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C90C14" w14:textId="77777777" w:rsidR="00ED751C" w:rsidRPr="00046E14" w:rsidRDefault="00ED751C" w:rsidP="00ED751C">
      <w:pPr>
        <w:pStyle w:val="SubSubPar"/>
        <w:numPr>
          <w:ilvl w:val="0"/>
          <w:numId w:val="0"/>
        </w:numPr>
        <w:spacing w:after="0"/>
        <w:jc w:val="center"/>
        <w:rPr>
          <w:rFonts w:ascii="Arial" w:hAnsi="Arial" w:cs="Arial"/>
          <w:smallCaps/>
          <w:sz w:val="22"/>
          <w:szCs w:val="22"/>
          <w:lang w:val="es-ES"/>
        </w:rPr>
      </w:pPr>
      <w:r w:rsidRPr="00046E14">
        <w:rPr>
          <w:rFonts w:ascii="Arial" w:hAnsi="Arial" w:cs="Arial"/>
          <w:smallCaps/>
          <w:sz w:val="22"/>
          <w:szCs w:val="22"/>
          <w:lang w:val="es-ES"/>
        </w:rPr>
        <w:t xml:space="preserve">Documento del Banco Interamericano </w:t>
      </w:r>
      <w:r w:rsidR="00C1154C" w:rsidRPr="00046E14">
        <w:rPr>
          <w:rFonts w:ascii="Arial" w:hAnsi="Arial" w:cs="Arial"/>
          <w:smallCaps/>
          <w:sz w:val="22"/>
          <w:szCs w:val="22"/>
          <w:lang w:val="es-ES"/>
        </w:rPr>
        <w:t>d</w:t>
      </w:r>
      <w:r w:rsidRPr="00046E14">
        <w:rPr>
          <w:rFonts w:ascii="Arial" w:hAnsi="Arial" w:cs="Arial"/>
          <w:smallCaps/>
          <w:sz w:val="22"/>
          <w:szCs w:val="22"/>
          <w:lang w:val="es-ES"/>
        </w:rPr>
        <w:t>e Desarrollo</w:t>
      </w:r>
    </w:p>
    <w:p w14:paraId="6CC90C15"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6CC90C16"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6CC90C17"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6CC90C18"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6CC90C19"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6CC90C1A" w14:textId="77777777" w:rsidR="00F54AAD" w:rsidRPr="00046E14" w:rsidRDefault="00F54AAD" w:rsidP="00ED751C">
      <w:pPr>
        <w:tabs>
          <w:tab w:val="left" w:pos="1440"/>
          <w:tab w:val="left" w:pos="3060"/>
        </w:tabs>
        <w:jc w:val="center"/>
        <w:rPr>
          <w:rFonts w:ascii="Arial" w:hAnsi="Arial" w:cs="Arial"/>
          <w:smallCaps/>
          <w:sz w:val="22"/>
          <w:szCs w:val="22"/>
          <w:lang w:val="es-ES"/>
        </w:rPr>
      </w:pPr>
    </w:p>
    <w:p w14:paraId="6CC90C1B" w14:textId="77777777" w:rsidR="00F54AAD" w:rsidRPr="00046E14" w:rsidRDefault="00F54AAD" w:rsidP="00ED751C">
      <w:pPr>
        <w:tabs>
          <w:tab w:val="left" w:pos="1440"/>
          <w:tab w:val="left" w:pos="3060"/>
        </w:tabs>
        <w:jc w:val="center"/>
        <w:rPr>
          <w:rFonts w:ascii="Arial" w:hAnsi="Arial" w:cs="Arial"/>
          <w:smallCaps/>
          <w:sz w:val="22"/>
          <w:szCs w:val="22"/>
          <w:lang w:val="es-ES"/>
        </w:rPr>
      </w:pPr>
    </w:p>
    <w:p w14:paraId="6CC90C1C"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6CC90C1D" w14:textId="77777777" w:rsidR="00ED751C" w:rsidRDefault="00C36453" w:rsidP="00ED751C">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México</w:t>
      </w:r>
    </w:p>
    <w:p w14:paraId="6CC90C1E" w14:textId="77777777" w:rsidR="006F7E62" w:rsidRDefault="006F7E62" w:rsidP="00ED751C">
      <w:pPr>
        <w:tabs>
          <w:tab w:val="left" w:pos="1440"/>
          <w:tab w:val="left" w:pos="3060"/>
        </w:tabs>
        <w:jc w:val="center"/>
        <w:rPr>
          <w:rFonts w:ascii="Arial" w:hAnsi="Arial" w:cs="Arial"/>
          <w:b/>
          <w:smallCaps/>
          <w:sz w:val="28"/>
          <w:szCs w:val="28"/>
          <w:lang w:val="es-ES"/>
        </w:rPr>
      </w:pPr>
    </w:p>
    <w:p w14:paraId="6CC90C1F" w14:textId="77777777" w:rsidR="006F7E62" w:rsidRDefault="006F7E62" w:rsidP="00ED751C">
      <w:pPr>
        <w:tabs>
          <w:tab w:val="left" w:pos="1440"/>
          <w:tab w:val="left" w:pos="3060"/>
        </w:tabs>
        <w:jc w:val="center"/>
        <w:rPr>
          <w:rFonts w:ascii="Arial" w:hAnsi="Arial" w:cs="Arial"/>
          <w:b/>
          <w:smallCaps/>
          <w:sz w:val="28"/>
          <w:szCs w:val="28"/>
          <w:lang w:val="es-ES"/>
        </w:rPr>
      </w:pPr>
    </w:p>
    <w:p w14:paraId="6CC90C20" w14:textId="77777777" w:rsidR="006F7E62" w:rsidRPr="00046E14" w:rsidRDefault="006F7E62" w:rsidP="00ED751C">
      <w:pPr>
        <w:tabs>
          <w:tab w:val="left" w:pos="1440"/>
          <w:tab w:val="left" w:pos="3060"/>
        </w:tabs>
        <w:jc w:val="center"/>
        <w:rPr>
          <w:rFonts w:ascii="Arial" w:hAnsi="Arial" w:cs="Arial"/>
          <w:b/>
          <w:smallCaps/>
          <w:sz w:val="28"/>
          <w:szCs w:val="28"/>
          <w:lang w:val="es-ES"/>
        </w:rPr>
      </w:pPr>
    </w:p>
    <w:p w14:paraId="6CC90C21" w14:textId="77777777" w:rsidR="00ED751C" w:rsidRDefault="00ED751C" w:rsidP="006F7E62">
      <w:pPr>
        <w:tabs>
          <w:tab w:val="left" w:pos="1440"/>
          <w:tab w:val="left" w:pos="3060"/>
        </w:tabs>
        <w:rPr>
          <w:rFonts w:ascii="Arial" w:hAnsi="Arial" w:cs="Arial"/>
          <w:smallCaps/>
          <w:sz w:val="22"/>
          <w:szCs w:val="22"/>
          <w:lang w:val="es-ES"/>
        </w:rPr>
      </w:pPr>
    </w:p>
    <w:p w14:paraId="6CC90C22" w14:textId="77777777" w:rsidR="006F7E62" w:rsidRDefault="006F7E62" w:rsidP="006F7E62">
      <w:pPr>
        <w:tabs>
          <w:tab w:val="left" w:pos="1440"/>
          <w:tab w:val="left" w:pos="3060"/>
        </w:tabs>
        <w:rPr>
          <w:rFonts w:ascii="Arial" w:hAnsi="Arial" w:cs="Arial"/>
          <w:smallCaps/>
          <w:sz w:val="22"/>
          <w:szCs w:val="22"/>
          <w:lang w:val="es-ES"/>
        </w:rPr>
      </w:pPr>
    </w:p>
    <w:p w14:paraId="6CC90C23" w14:textId="77777777" w:rsidR="006F7E62" w:rsidRDefault="006F7E62" w:rsidP="006F7E62">
      <w:pPr>
        <w:tabs>
          <w:tab w:val="left" w:pos="1440"/>
          <w:tab w:val="left" w:pos="3060"/>
        </w:tabs>
        <w:rPr>
          <w:rFonts w:ascii="Arial" w:hAnsi="Arial" w:cs="Arial"/>
          <w:smallCaps/>
          <w:sz w:val="22"/>
          <w:szCs w:val="22"/>
          <w:lang w:val="es-ES"/>
        </w:rPr>
      </w:pPr>
    </w:p>
    <w:p w14:paraId="6CC90C24" w14:textId="77777777" w:rsidR="006F7E62" w:rsidRDefault="006F7E62" w:rsidP="006F7E62">
      <w:pPr>
        <w:tabs>
          <w:tab w:val="left" w:pos="1440"/>
          <w:tab w:val="left" w:pos="3060"/>
        </w:tabs>
        <w:rPr>
          <w:rFonts w:ascii="Arial" w:hAnsi="Arial" w:cs="Arial"/>
          <w:smallCaps/>
          <w:sz w:val="22"/>
          <w:szCs w:val="22"/>
          <w:lang w:val="es-ES"/>
        </w:rPr>
      </w:pPr>
    </w:p>
    <w:p w14:paraId="6CC90C25" w14:textId="77777777" w:rsidR="006F7E62" w:rsidRPr="00046E14" w:rsidRDefault="006F7E62" w:rsidP="006F7E62">
      <w:pPr>
        <w:tabs>
          <w:tab w:val="left" w:pos="1440"/>
          <w:tab w:val="left" w:pos="3060"/>
        </w:tabs>
        <w:rPr>
          <w:rFonts w:ascii="Arial" w:hAnsi="Arial" w:cs="Arial"/>
          <w:smallCaps/>
          <w:sz w:val="22"/>
          <w:szCs w:val="22"/>
          <w:lang w:val="es-ES"/>
        </w:rPr>
      </w:pPr>
    </w:p>
    <w:p w14:paraId="6CC90C26" w14:textId="166B1115" w:rsidR="006F7E62" w:rsidRDefault="00C36453" w:rsidP="00ED751C">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Programa de Fortalecimiento de la</w:t>
      </w:r>
      <w:r w:rsidR="008346DD">
        <w:rPr>
          <w:rFonts w:ascii="Arial" w:hAnsi="Arial" w:cs="Arial"/>
          <w:b/>
          <w:smallCaps/>
          <w:sz w:val="28"/>
          <w:szCs w:val="28"/>
          <w:lang w:val="es-ES"/>
        </w:rPr>
        <w:t xml:space="preserve"> Gestión Hacendaria de Estado</w:t>
      </w:r>
      <w:r>
        <w:rPr>
          <w:rFonts w:ascii="Arial" w:hAnsi="Arial" w:cs="Arial"/>
          <w:b/>
          <w:smallCaps/>
          <w:sz w:val="28"/>
          <w:szCs w:val="28"/>
          <w:lang w:val="es-ES"/>
        </w:rPr>
        <w:t>s</w:t>
      </w:r>
      <w:r w:rsidR="008346DD">
        <w:rPr>
          <w:rFonts w:ascii="Arial" w:hAnsi="Arial" w:cs="Arial"/>
          <w:b/>
          <w:smallCaps/>
          <w:sz w:val="28"/>
          <w:szCs w:val="28"/>
          <w:lang w:val="es-ES"/>
        </w:rPr>
        <w:t xml:space="preserve"> y Municipios</w:t>
      </w:r>
      <w:r w:rsidR="006F7E62" w:rsidRPr="006F7E62">
        <w:rPr>
          <w:rFonts w:ascii="Arial" w:hAnsi="Arial" w:cs="Arial"/>
          <w:b/>
          <w:smallCaps/>
          <w:sz w:val="28"/>
          <w:szCs w:val="28"/>
          <w:lang w:val="es-ES"/>
        </w:rPr>
        <w:t xml:space="preserve"> </w:t>
      </w:r>
      <w:r w:rsidR="00755AF3">
        <w:rPr>
          <w:rFonts w:ascii="Arial" w:hAnsi="Arial" w:cs="Arial"/>
          <w:b/>
          <w:smallCaps/>
          <w:sz w:val="28"/>
          <w:szCs w:val="28"/>
          <w:lang w:val="es-ES"/>
        </w:rPr>
        <w:t>II</w:t>
      </w:r>
    </w:p>
    <w:p w14:paraId="6CC90C27" w14:textId="29F99F83" w:rsidR="00ED751C" w:rsidRDefault="006F7E62" w:rsidP="00ED751C">
      <w:pPr>
        <w:tabs>
          <w:tab w:val="left" w:pos="1440"/>
          <w:tab w:val="left" w:pos="3060"/>
        </w:tabs>
        <w:jc w:val="center"/>
        <w:rPr>
          <w:rFonts w:ascii="Arial" w:hAnsi="Arial" w:cs="Arial"/>
          <w:b/>
          <w:smallCaps/>
          <w:sz w:val="28"/>
          <w:szCs w:val="28"/>
          <w:lang w:val="es-ES"/>
        </w:rPr>
      </w:pPr>
      <w:r w:rsidRPr="006F7E62">
        <w:rPr>
          <w:rFonts w:ascii="Arial" w:hAnsi="Arial" w:cs="Arial"/>
          <w:b/>
          <w:smallCaps/>
          <w:sz w:val="28"/>
          <w:szCs w:val="28"/>
          <w:lang w:val="es-ES"/>
        </w:rPr>
        <w:t>(ME-L1</w:t>
      </w:r>
      <w:r w:rsidR="008346DD">
        <w:rPr>
          <w:rFonts w:ascii="Arial" w:hAnsi="Arial" w:cs="Arial"/>
          <w:b/>
          <w:smallCaps/>
          <w:sz w:val="28"/>
          <w:szCs w:val="28"/>
          <w:lang w:val="es-ES"/>
        </w:rPr>
        <w:t>2</w:t>
      </w:r>
      <w:r w:rsidR="00755AF3">
        <w:rPr>
          <w:rFonts w:ascii="Arial" w:hAnsi="Arial" w:cs="Arial"/>
          <w:b/>
          <w:smallCaps/>
          <w:sz w:val="28"/>
          <w:szCs w:val="28"/>
          <w:lang w:val="es-ES"/>
        </w:rPr>
        <w:t>76</w:t>
      </w:r>
      <w:r w:rsidRPr="006F7E62">
        <w:rPr>
          <w:rFonts w:ascii="Arial" w:hAnsi="Arial" w:cs="Arial"/>
          <w:b/>
          <w:smallCaps/>
          <w:sz w:val="28"/>
          <w:szCs w:val="28"/>
          <w:lang w:val="es-ES"/>
        </w:rPr>
        <w:t>)</w:t>
      </w:r>
    </w:p>
    <w:p w14:paraId="6CC90C28" w14:textId="77777777" w:rsidR="003F69C9" w:rsidRDefault="003F69C9" w:rsidP="00ED751C">
      <w:pPr>
        <w:tabs>
          <w:tab w:val="left" w:pos="1440"/>
          <w:tab w:val="left" w:pos="3060"/>
        </w:tabs>
        <w:jc w:val="center"/>
        <w:rPr>
          <w:rFonts w:ascii="Arial" w:hAnsi="Arial" w:cs="Arial"/>
          <w:b/>
          <w:smallCaps/>
          <w:sz w:val="28"/>
          <w:szCs w:val="28"/>
          <w:lang w:val="es-ES"/>
        </w:rPr>
      </w:pPr>
    </w:p>
    <w:p w14:paraId="6CC90C29" w14:textId="77777777" w:rsidR="003F69C9" w:rsidRDefault="003F69C9" w:rsidP="00ED751C">
      <w:pPr>
        <w:tabs>
          <w:tab w:val="left" w:pos="1440"/>
          <w:tab w:val="left" w:pos="3060"/>
        </w:tabs>
        <w:jc w:val="center"/>
        <w:rPr>
          <w:rFonts w:ascii="Arial" w:hAnsi="Arial" w:cs="Arial"/>
          <w:b/>
          <w:smallCaps/>
          <w:sz w:val="28"/>
          <w:szCs w:val="28"/>
          <w:lang w:val="es-ES"/>
        </w:rPr>
      </w:pPr>
    </w:p>
    <w:p w14:paraId="6CC90C2A" w14:textId="11713401" w:rsidR="003F69C9" w:rsidRDefault="003F69C9" w:rsidP="00ED751C">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 xml:space="preserve">Plan de Monitoreo y </w:t>
      </w:r>
      <w:r w:rsidR="008346DD">
        <w:rPr>
          <w:rFonts w:ascii="Arial" w:hAnsi="Arial" w:cs="Arial"/>
          <w:b/>
          <w:smallCaps/>
          <w:sz w:val="28"/>
          <w:szCs w:val="28"/>
          <w:lang w:val="es-ES"/>
        </w:rPr>
        <w:t>E</w:t>
      </w:r>
      <w:r>
        <w:rPr>
          <w:rFonts w:ascii="Arial" w:hAnsi="Arial" w:cs="Arial"/>
          <w:b/>
          <w:smallCaps/>
          <w:sz w:val="28"/>
          <w:szCs w:val="28"/>
          <w:lang w:val="es-ES"/>
        </w:rPr>
        <w:t xml:space="preserve">valuación </w:t>
      </w:r>
    </w:p>
    <w:p w14:paraId="6CC90C2B" w14:textId="77777777" w:rsidR="003F69C9" w:rsidRPr="006F7E62" w:rsidRDefault="003F69C9" w:rsidP="00ED751C">
      <w:pPr>
        <w:tabs>
          <w:tab w:val="left" w:pos="1440"/>
          <w:tab w:val="left" w:pos="3060"/>
        </w:tabs>
        <w:jc w:val="center"/>
        <w:rPr>
          <w:rFonts w:ascii="Arial" w:hAnsi="Arial" w:cs="Arial"/>
          <w:b/>
          <w:smallCaps/>
          <w:sz w:val="28"/>
          <w:szCs w:val="28"/>
          <w:lang w:val="es-ES"/>
        </w:rPr>
      </w:pPr>
    </w:p>
    <w:p w14:paraId="6CC90C2C" w14:textId="77777777" w:rsidR="00ED751C" w:rsidRPr="00046E14" w:rsidRDefault="00ED751C" w:rsidP="00ED751C">
      <w:pPr>
        <w:pStyle w:val="Newpage"/>
        <w:rPr>
          <w:rFonts w:ascii="Arial" w:hAnsi="Arial" w:cs="Arial"/>
          <w:b w:val="0"/>
          <w:caps/>
          <w:smallCaps w:val="0"/>
          <w:sz w:val="22"/>
          <w:szCs w:val="22"/>
        </w:rPr>
      </w:pPr>
    </w:p>
    <w:p w14:paraId="6CC90C2D" w14:textId="77777777" w:rsidR="00ED751C" w:rsidRPr="00046E14" w:rsidRDefault="00ED751C" w:rsidP="00ED751C">
      <w:pPr>
        <w:tabs>
          <w:tab w:val="left" w:pos="1440"/>
          <w:tab w:val="left" w:pos="3060"/>
        </w:tabs>
        <w:jc w:val="center"/>
        <w:rPr>
          <w:rFonts w:ascii="Arial" w:hAnsi="Arial" w:cs="Arial"/>
          <w:b/>
          <w:smallCaps/>
          <w:sz w:val="22"/>
          <w:szCs w:val="22"/>
          <w:lang w:val="es-ES"/>
        </w:rPr>
      </w:pPr>
    </w:p>
    <w:p w14:paraId="6CC90C2E"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6CC90C2F"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6CC90C30"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6CC90C31" w14:textId="77777777" w:rsidR="00ED751C" w:rsidRPr="00046E14" w:rsidRDefault="00ED751C" w:rsidP="00ED751C">
      <w:pPr>
        <w:tabs>
          <w:tab w:val="left" w:pos="1440"/>
          <w:tab w:val="left" w:pos="3060"/>
        </w:tabs>
        <w:jc w:val="center"/>
        <w:rPr>
          <w:rFonts w:ascii="Arial" w:hAnsi="Arial" w:cs="Arial"/>
          <w:sz w:val="22"/>
          <w:szCs w:val="22"/>
          <w:lang w:val="es-ES"/>
        </w:rPr>
      </w:pPr>
    </w:p>
    <w:p w14:paraId="6CC90C32" w14:textId="77777777" w:rsidR="00ED751C" w:rsidRPr="00046E14" w:rsidRDefault="00ED751C" w:rsidP="00ED751C">
      <w:pPr>
        <w:tabs>
          <w:tab w:val="left" w:pos="1440"/>
          <w:tab w:val="left" w:pos="3060"/>
        </w:tabs>
        <w:jc w:val="center"/>
        <w:rPr>
          <w:rFonts w:ascii="Arial" w:hAnsi="Arial" w:cs="Arial"/>
          <w:sz w:val="22"/>
          <w:szCs w:val="22"/>
          <w:lang w:val="es-ES"/>
        </w:rPr>
      </w:pPr>
    </w:p>
    <w:p w14:paraId="6CC90C33" w14:textId="77777777" w:rsidR="00ED751C" w:rsidRPr="00046E14" w:rsidRDefault="00ED751C" w:rsidP="00ED751C">
      <w:pPr>
        <w:tabs>
          <w:tab w:val="left" w:pos="1440"/>
          <w:tab w:val="left" w:pos="3060"/>
        </w:tabs>
        <w:jc w:val="center"/>
        <w:rPr>
          <w:rFonts w:ascii="Arial" w:hAnsi="Arial" w:cs="Arial"/>
          <w:sz w:val="22"/>
          <w:szCs w:val="22"/>
          <w:lang w:val="es-ES"/>
        </w:rPr>
      </w:pPr>
    </w:p>
    <w:p w14:paraId="6CC90C34" w14:textId="77777777" w:rsidR="00ED751C" w:rsidRPr="00046E14" w:rsidRDefault="00ED751C" w:rsidP="00ED751C">
      <w:pPr>
        <w:tabs>
          <w:tab w:val="left" w:pos="1440"/>
          <w:tab w:val="left" w:pos="3060"/>
        </w:tabs>
        <w:jc w:val="center"/>
        <w:rPr>
          <w:rFonts w:ascii="Arial" w:hAnsi="Arial" w:cs="Arial"/>
          <w:sz w:val="22"/>
          <w:szCs w:val="22"/>
          <w:lang w:val="es-ES"/>
        </w:rPr>
      </w:pPr>
    </w:p>
    <w:p w14:paraId="6CC90C35" w14:textId="77777777" w:rsidR="00ED751C" w:rsidRPr="00046E14" w:rsidRDefault="00ED751C" w:rsidP="00ED751C">
      <w:pPr>
        <w:tabs>
          <w:tab w:val="left" w:pos="1440"/>
          <w:tab w:val="left" w:pos="3060"/>
        </w:tabs>
        <w:jc w:val="center"/>
        <w:rPr>
          <w:rFonts w:ascii="Arial" w:hAnsi="Arial" w:cs="Arial"/>
          <w:sz w:val="22"/>
          <w:szCs w:val="22"/>
          <w:lang w:val="es-ES"/>
        </w:rPr>
      </w:pPr>
    </w:p>
    <w:p w14:paraId="6CC90C36" w14:textId="77777777" w:rsidR="00ED751C" w:rsidRPr="00046E14" w:rsidRDefault="00ED751C" w:rsidP="00ED751C">
      <w:pPr>
        <w:tabs>
          <w:tab w:val="left" w:pos="1440"/>
          <w:tab w:val="left" w:pos="3060"/>
        </w:tabs>
        <w:jc w:val="center"/>
        <w:rPr>
          <w:rFonts w:ascii="Arial" w:hAnsi="Arial" w:cs="Arial"/>
          <w:sz w:val="22"/>
          <w:szCs w:val="22"/>
          <w:lang w:val="es-ES"/>
        </w:rPr>
      </w:pPr>
    </w:p>
    <w:p w14:paraId="6CC90C37" w14:textId="77777777" w:rsidR="00ED751C" w:rsidRPr="00046E14" w:rsidRDefault="00ED751C" w:rsidP="00ED751C">
      <w:pPr>
        <w:tabs>
          <w:tab w:val="left" w:pos="1440"/>
          <w:tab w:val="left" w:pos="3060"/>
        </w:tabs>
        <w:jc w:val="center"/>
        <w:rPr>
          <w:rFonts w:ascii="Arial" w:hAnsi="Arial" w:cs="Arial"/>
          <w:sz w:val="22"/>
          <w:szCs w:val="22"/>
          <w:lang w:val="es-ES"/>
        </w:rPr>
      </w:pPr>
    </w:p>
    <w:p w14:paraId="6CC90C38" w14:textId="77777777" w:rsidR="00ED751C" w:rsidRDefault="00ED751C" w:rsidP="00ED751C">
      <w:pPr>
        <w:tabs>
          <w:tab w:val="left" w:pos="1440"/>
          <w:tab w:val="left" w:pos="3060"/>
        </w:tabs>
        <w:jc w:val="center"/>
        <w:rPr>
          <w:rFonts w:ascii="Arial" w:hAnsi="Arial" w:cs="Arial"/>
          <w:sz w:val="22"/>
          <w:szCs w:val="22"/>
          <w:lang w:val="es-ES"/>
        </w:rPr>
      </w:pPr>
    </w:p>
    <w:p w14:paraId="6CC90C39" w14:textId="77777777" w:rsidR="006F7E62" w:rsidRDefault="006F7E62" w:rsidP="00ED751C">
      <w:pPr>
        <w:tabs>
          <w:tab w:val="left" w:pos="1440"/>
          <w:tab w:val="left" w:pos="3060"/>
        </w:tabs>
        <w:jc w:val="center"/>
        <w:rPr>
          <w:rFonts w:ascii="Arial" w:hAnsi="Arial" w:cs="Arial"/>
          <w:sz w:val="22"/>
          <w:szCs w:val="22"/>
          <w:lang w:val="es-ES"/>
        </w:rPr>
      </w:pPr>
    </w:p>
    <w:p w14:paraId="6CC90C3A" w14:textId="77777777" w:rsidR="006F7E62" w:rsidRDefault="006F7E62" w:rsidP="00ED751C">
      <w:pPr>
        <w:tabs>
          <w:tab w:val="left" w:pos="1440"/>
          <w:tab w:val="left" w:pos="3060"/>
        </w:tabs>
        <w:jc w:val="center"/>
        <w:rPr>
          <w:rFonts w:ascii="Arial" w:hAnsi="Arial" w:cs="Arial"/>
          <w:sz w:val="22"/>
          <w:szCs w:val="22"/>
          <w:lang w:val="es-ES"/>
        </w:rPr>
      </w:pPr>
    </w:p>
    <w:p w14:paraId="6CC90C3B" w14:textId="77777777" w:rsidR="00ED751C" w:rsidRPr="00046E14" w:rsidRDefault="00ED751C" w:rsidP="00ED751C">
      <w:pPr>
        <w:tabs>
          <w:tab w:val="left" w:pos="1440"/>
          <w:tab w:val="left" w:pos="3060"/>
        </w:tabs>
        <w:jc w:val="center"/>
        <w:rPr>
          <w:rFonts w:ascii="Arial" w:hAnsi="Arial" w:cs="Arial"/>
          <w:sz w:val="22"/>
          <w:szCs w:val="22"/>
          <w:lang w:val="es-ES"/>
        </w:rPr>
      </w:pPr>
    </w:p>
    <w:p w14:paraId="6CC90C3C" w14:textId="77777777" w:rsidR="00ED751C" w:rsidRPr="00046E14" w:rsidRDefault="00ED751C" w:rsidP="00ED751C">
      <w:pPr>
        <w:tabs>
          <w:tab w:val="left" w:pos="1440"/>
          <w:tab w:val="left" w:pos="3060"/>
        </w:tabs>
        <w:jc w:val="center"/>
        <w:rPr>
          <w:rFonts w:ascii="Arial" w:hAnsi="Arial" w:cs="Arial"/>
          <w:sz w:val="22"/>
          <w:szCs w:val="22"/>
          <w:lang w:val="es-ES"/>
        </w:rPr>
      </w:pPr>
    </w:p>
    <w:p w14:paraId="6CC90C3D" w14:textId="77777777" w:rsidR="00ED751C" w:rsidRPr="00046E14" w:rsidRDefault="00ED751C" w:rsidP="00ED751C">
      <w:pPr>
        <w:tabs>
          <w:tab w:val="left" w:pos="1440"/>
          <w:tab w:val="left" w:pos="3060"/>
        </w:tabs>
        <w:jc w:val="center"/>
        <w:rPr>
          <w:rFonts w:ascii="Arial" w:hAnsi="Arial" w:cs="Arial"/>
          <w:sz w:val="22"/>
          <w:szCs w:val="22"/>
          <w:lang w:val="es-ES"/>
        </w:rPr>
      </w:pPr>
    </w:p>
    <w:p w14:paraId="6CC90C3E" w14:textId="3A7D3D15" w:rsidR="00ED751C" w:rsidRPr="00D150CF" w:rsidRDefault="00ED751C" w:rsidP="00ED751C">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b/>
          <w:sz w:val="22"/>
          <w:szCs w:val="22"/>
          <w:lang w:val="es-ES"/>
        </w:rPr>
      </w:pPr>
      <w:r w:rsidRPr="00D150CF">
        <w:rPr>
          <w:rFonts w:ascii="Arial" w:hAnsi="Arial" w:cs="Arial"/>
          <w:sz w:val="22"/>
          <w:szCs w:val="22"/>
          <w:lang w:val="es-ES"/>
        </w:rPr>
        <w:t xml:space="preserve">Este documento fue preparado por: </w:t>
      </w:r>
      <w:r w:rsidR="003F69C9" w:rsidRPr="00D150CF">
        <w:rPr>
          <w:rFonts w:ascii="Arial" w:hAnsi="Arial" w:cs="Arial"/>
          <w:sz w:val="22"/>
          <w:szCs w:val="22"/>
          <w:lang w:val="es-ES"/>
        </w:rPr>
        <w:t>Alejandro Rasteletti</w:t>
      </w:r>
      <w:r w:rsidR="00181729" w:rsidRPr="00D150CF">
        <w:rPr>
          <w:rFonts w:ascii="Arial" w:hAnsi="Arial" w:cs="Arial"/>
          <w:sz w:val="22"/>
          <w:szCs w:val="22"/>
          <w:lang w:val="es-ES"/>
        </w:rPr>
        <w:t xml:space="preserve"> (</w:t>
      </w:r>
      <w:r w:rsidR="00FD7DE0">
        <w:rPr>
          <w:rFonts w:ascii="Arial" w:hAnsi="Arial" w:cs="Arial"/>
          <w:sz w:val="22"/>
          <w:szCs w:val="22"/>
          <w:lang w:val="es-ES"/>
        </w:rPr>
        <w:t>IFD</w:t>
      </w:r>
      <w:r w:rsidR="00181729" w:rsidRPr="00D150CF">
        <w:rPr>
          <w:rFonts w:ascii="Arial" w:hAnsi="Arial" w:cs="Arial"/>
          <w:sz w:val="22"/>
          <w:szCs w:val="22"/>
          <w:lang w:val="es-ES"/>
        </w:rPr>
        <w:t>/</w:t>
      </w:r>
      <w:r w:rsidR="00FD7DE0">
        <w:rPr>
          <w:rFonts w:ascii="Arial" w:hAnsi="Arial" w:cs="Arial"/>
          <w:sz w:val="22"/>
          <w:szCs w:val="22"/>
          <w:lang w:val="es-ES"/>
        </w:rPr>
        <w:t>FMM</w:t>
      </w:r>
      <w:r w:rsidR="00181729" w:rsidRPr="00D150CF">
        <w:rPr>
          <w:rFonts w:ascii="Arial" w:hAnsi="Arial" w:cs="Arial"/>
          <w:sz w:val="22"/>
          <w:szCs w:val="22"/>
          <w:lang w:val="es-ES"/>
        </w:rPr>
        <w:t>)</w:t>
      </w:r>
      <w:r w:rsidR="00633121">
        <w:rPr>
          <w:rFonts w:ascii="Arial" w:hAnsi="Arial" w:cs="Arial"/>
          <w:sz w:val="22"/>
          <w:szCs w:val="22"/>
          <w:lang w:val="es-ES"/>
        </w:rPr>
        <w:t>;</w:t>
      </w:r>
      <w:r w:rsidR="00181729" w:rsidRPr="00D150CF">
        <w:rPr>
          <w:rFonts w:ascii="Arial" w:hAnsi="Arial" w:cs="Arial"/>
          <w:sz w:val="22"/>
          <w:szCs w:val="22"/>
          <w:lang w:val="es-ES"/>
        </w:rPr>
        <w:t xml:space="preserve"> </w:t>
      </w:r>
      <w:r w:rsidR="00755AF3">
        <w:rPr>
          <w:rFonts w:ascii="Arial" w:hAnsi="Arial" w:cs="Arial"/>
          <w:sz w:val="22"/>
          <w:szCs w:val="22"/>
          <w:lang w:val="es-ES"/>
        </w:rPr>
        <w:t>Andr</w:t>
      </w:r>
      <w:r w:rsidR="00FD7DE0">
        <w:rPr>
          <w:rFonts w:ascii="Arial" w:hAnsi="Arial" w:cs="Arial"/>
          <w:sz w:val="22"/>
          <w:szCs w:val="22"/>
          <w:lang w:val="es-ES"/>
        </w:rPr>
        <w:t>és Muñoz</w:t>
      </w:r>
      <w:r w:rsidR="003B6623">
        <w:rPr>
          <w:rFonts w:ascii="Arial" w:hAnsi="Arial" w:cs="Arial"/>
          <w:sz w:val="22"/>
          <w:szCs w:val="22"/>
          <w:lang w:val="es-ES"/>
        </w:rPr>
        <w:t xml:space="preserve"> </w:t>
      </w:r>
      <w:r w:rsidR="00FD7DE0">
        <w:rPr>
          <w:rFonts w:ascii="Arial" w:hAnsi="Arial" w:cs="Arial"/>
          <w:sz w:val="22"/>
          <w:szCs w:val="22"/>
          <w:lang w:val="es-ES"/>
        </w:rPr>
        <w:t>(IFD</w:t>
      </w:r>
      <w:r w:rsidR="00FD7DE0" w:rsidRPr="00D150CF">
        <w:rPr>
          <w:rFonts w:ascii="Arial" w:hAnsi="Arial" w:cs="Arial"/>
          <w:sz w:val="22"/>
          <w:szCs w:val="22"/>
          <w:lang w:val="es-ES"/>
        </w:rPr>
        <w:t>/</w:t>
      </w:r>
      <w:r w:rsidR="00FD7DE0">
        <w:rPr>
          <w:rFonts w:ascii="Arial" w:hAnsi="Arial" w:cs="Arial"/>
          <w:sz w:val="22"/>
          <w:szCs w:val="22"/>
          <w:lang w:val="es-ES"/>
        </w:rPr>
        <w:t>FMM</w:t>
      </w:r>
      <w:r w:rsidR="003B6623">
        <w:rPr>
          <w:rFonts w:ascii="Arial" w:hAnsi="Arial" w:cs="Arial"/>
          <w:sz w:val="22"/>
          <w:szCs w:val="22"/>
          <w:lang w:val="es-ES"/>
        </w:rPr>
        <w:t>)</w:t>
      </w:r>
      <w:r w:rsidR="00633121">
        <w:rPr>
          <w:rFonts w:ascii="Arial" w:hAnsi="Arial" w:cs="Arial"/>
          <w:sz w:val="22"/>
          <w:szCs w:val="22"/>
          <w:lang w:val="es-ES"/>
        </w:rPr>
        <w:t>;</w:t>
      </w:r>
      <w:r w:rsidR="003B6623">
        <w:rPr>
          <w:rFonts w:ascii="Arial" w:hAnsi="Arial" w:cs="Arial"/>
          <w:sz w:val="22"/>
          <w:szCs w:val="22"/>
          <w:lang w:val="es-ES"/>
        </w:rPr>
        <w:t xml:space="preserve"> y </w:t>
      </w:r>
      <w:r w:rsidR="00FD7DE0">
        <w:rPr>
          <w:rFonts w:ascii="Arial" w:hAnsi="Arial" w:cs="Arial"/>
          <w:sz w:val="22"/>
          <w:szCs w:val="22"/>
          <w:lang w:val="es-ES"/>
        </w:rPr>
        <w:t>Huáscar Eguino</w:t>
      </w:r>
      <w:r w:rsidR="003B6623" w:rsidRPr="00D150CF">
        <w:rPr>
          <w:rFonts w:ascii="Arial" w:hAnsi="Arial" w:cs="Arial"/>
          <w:sz w:val="22"/>
          <w:szCs w:val="22"/>
          <w:lang w:val="es-ES"/>
        </w:rPr>
        <w:t xml:space="preserve"> (</w:t>
      </w:r>
      <w:r w:rsidR="00FD7DE0">
        <w:rPr>
          <w:rFonts w:ascii="Arial" w:hAnsi="Arial" w:cs="Arial"/>
          <w:sz w:val="22"/>
          <w:szCs w:val="22"/>
          <w:lang w:val="es-ES"/>
        </w:rPr>
        <w:t>IFD</w:t>
      </w:r>
      <w:r w:rsidR="00FD7DE0" w:rsidRPr="00D150CF">
        <w:rPr>
          <w:rFonts w:ascii="Arial" w:hAnsi="Arial" w:cs="Arial"/>
          <w:sz w:val="22"/>
          <w:szCs w:val="22"/>
          <w:lang w:val="es-ES"/>
        </w:rPr>
        <w:t>/</w:t>
      </w:r>
      <w:r w:rsidR="00FD7DE0">
        <w:rPr>
          <w:rFonts w:ascii="Arial" w:hAnsi="Arial" w:cs="Arial"/>
          <w:sz w:val="22"/>
          <w:szCs w:val="22"/>
          <w:lang w:val="es-ES"/>
        </w:rPr>
        <w:t>FMM</w:t>
      </w:r>
      <w:r w:rsidR="003B6623" w:rsidRPr="00D150CF">
        <w:rPr>
          <w:rFonts w:ascii="Arial" w:hAnsi="Arial" w:cs="Arial"/>
          <w:sz w:val="22"/>
          <w:szCs w:val="22"/>
          <w:lang w:val="es-ES"/>
        </w:rPr>
        <w:t>)</w:t>
      </w:r>
      <w:r w:rsidR="00181729" w:rsidRPr="00D150CF">
        <w:rPr>
          <w:rFonts w:ascii="Arial" w:hAnsi="Arial" w:cs="Arial"/>
          <w:sz w:val="22"/>
          <w:szCs w:val="22"/>
          <w:lang w:val="es-ES"/>
        </w:rPr>
        <w:t>.</w:t>
      </w:r>
      <w:r w:rsidRPr="00D150CF">
        <w:rPr>
          <w:rFonts w:ascii="Arial" w:hAnsi="Arial" w:cs="Arial"/>
          <w:sz w:val="22"/>
          <w:szCs w:val="22"/>
          <w:lang w:val="es-ES"/>
        </w:rPr>
        <w:t xml:space="preserve"> </w:t>
      </w:r>
    </w:p>
    <w:p w14:paraId="6CC90C3F" w14:textId="77777777" w:rsidR="00ED751C" w:rsidRPr="00D150CF" w:rsidRDefault="00ED751C" w:rsidP="00ED751C">
      <w:pPr>
        <w:tabs>
          <w:tab w:val="left" w:pos="1440"/>
          <w:tab w:val="left" w:pos="3060"/>
        </w:tabs>
        <w:outlineLvl w:val="0"/>
        <w:rPr>
          <w:rFonts w:ascii="Arial" w:hAnsi="Arial" w:cs="Arial"/>
          <w:sz w:val="20"/>
          <w:lang w:val="es-ES"/>
        </w:rPr>
      </w:pPr>
    </w:p>
    <w:p w14:paraId="6CC90C40" w14:textId="77777777" w:rsidR="00ED751C" w:rsidRPr="00D150CF" w:rsidRDefault="00ED751C" w:rsidP="00ED751C">
      <w:pPr>
        <w:tabs>
          <w:tab w:val="left" w:pos="1440"/>
          <w:tab w:val="left" w:pos="3060"/>
        </w:tabs>
        <w:outlineLvl w:val="0"/>
        <w:rPr>
          <w:rFonts w:ascii="Arial" w:hAnsi="Arial" w:cs="Arial"/>
          <w:sz w:val="22"/>
          <w:szCs w:val="22"/>
          <w:lang w:val="es-ES"/>
        </w:rPr>
        <w:sectPr w:rsidR="00ED751C" w:rsidRPr="00D150CF" w:rsidSect="00ED751C">
          <w:headerReference w:type="even" r:id="rId8"/>
          <w:headerReference w:type="default" r:id="rId9"/>
          <w:footerReference w:type="even" r:id="rId10"/>
          <w:footerReference w:type="default" r:id="rId11"/>
          <w:pgSz w:w="12240" w:h="15840" w:code="1"/>
          <w:pgMar w:top="1440" w:right="1800" w:bottom="1440" w:left="1800" w:header="706" w:footer="706" w:gutter="0"/>
          <w:pgNumType w:fmt="lowerRoman" w:start="1"/>
          <w:cols w:space="720"/>
          <w:formProt w:val="0"/>
          <w:titlePg/>
        </w:sectPr>
      </w:pPr>
    </w:p>
    <w:p w14:paraId="6CC90C41" w14:textId="77777777" w:rsidR="00ED751C" w:rsidRPr="003F69C9" w:rsidRDefault="00ED751C" w:rsidP="003F69C9">
      <w:pPr>
        <w:pStyle w:val="Newpage"/>
        <w:rPr>
          <w:rFonts w:ascii="Arial" w:hAnsi="Arial" w:cs="Arial"/>
          <w:szCs w:val="24"/>
        </w:rPr>
      </w:pPr>
      <w:r w:rsidRPr="00A97B06">
        <w:rPr>
          <w:rFonts w:ascii="Arial" w:hAnsi="Arial" w:cs="Arial"/>
          <w:szCs w:val="24"/>
        </w:rPr>
        <w:lastRenderedPageBreak/>
        <w:t>Índice</w:t>
      </w:r>
    </w:p>
    <w:p w14:paraId="6CC90C42" w14:textId="77777777" w:rsidR="00ED751C" w:rsidRPr="007510C3" w:rsidRDefault="00ED751C" w:rsidP="00ED751C">
      <w:pPr>
        <w:pStyle w:val="Newpage"/>
        <w:rPr>
          <w:rFonts w:ascii="Arial" w:hAnsi="Arial" w:cs="Arial"/>
          <w:sz w:val="22"/>
          <w:szCs w:val="22"/>
        </w:rPr>
      </w:pPr>
    </w:p>
    <w:p w14:paraId="4840CC73" w14:textId="0DE48AD6" w:rsidR="00AB04E5" w:rsidRPr="00AB04E5" w:rsidRDefault="00E3347F">
      <w:pPr>
        <w:pStyle w:val="TOC1"/>
        <w:rPr>
          <w:rFonts w:eastAsiaTheme="minorEastAsia"/>
          <w:b w:val="0"/>
          <w:smallCaps w:val="0"/>
          <w:sz w:val="22"/>
          <w:szCs w:val="22"/>
          <w:lang w:val="es-MX"/>
        </w:rPr>
      </w:pPr>
      <w:r w:rsidRPr="00AB04E5">
        <w:rPr>
          <w:noProof w:val="0"/>
          <w:sz w:val="22"/>
          <w:szCs w:val="22"/>
          <w:lang w:val="es-ES"/>
        </w:rPr>
        <w:fldChar w:fldCharType="begin"/>
      </w:r>
      <w:r w:rsidR="00ED751C" w:rsidRPr="00AB04E5">
        <w:rPr>
          <w:noProof w:val="0"/>
          <w:sz w:val="22"/>
          <w:szCs w:val="22"/>
          <w:lang w:val="es-ES"/>
        </w:rPr>
        <w:instrText xml:space="preserve"> TOC \f \t "Chapter,1,FirstHeading,2,SecHeading,3" </w:instrText>
      </w:r>
      <w:r w:rsidRPr="00AB04E5">
        <w:rPr>
          <w:noProof w:val="0"/>
          <w:sz w:val="22"/>
          <w:szCs w:val="22"/>
          <w:lang w:val="es-ES"/>
        </w:rPr>
        <w:fldChar w:fldCharType="separate"/>
      </w:r>
      <w:r w:rsidR="00AB04E5" w:rsidRPr="00AB04E5">
        <w:rPr>
          <w:sz w:val="22"/>
          <w:szCs w:val="22"/>
        </w:rPr>
        <w:t>I.</w:t>
      </w:r>
      <w:r w:rsidR="00AB04E5" w:rsidRPr="00AB04E5">
        <w:rPr>
          <w:rFonts w:eastAsiaTheme="minorEastAsia"/>
          <w:b w:val="0"/>
          <w:smallCaps w:val="0"/>
          <w:sz w:val="22"/>
          <w:szCs w:val="22"/>
          <w:lang w:val="es-MX"/>
        </w:rPr>
        <w:tab/>
      </w:r>
      <w:r w:rsidR="00AB04E5" w:rsidRPr="00AB04E5">
        <w:rPr>
          <w:sz w:val="22"/>
          <w:szCs w:val="22"/>
        </w:rPr>
        <w:t>Introducción</w:t>
      </w:r>
      <w:r w:rsidR="00AB04E5" w:rsidRPr="00AB04E5">
        <w:rPr>
          <w:sz w:val="22"/>
          <w:szCs w:val="22"/>
        </w:rPr>
        <w:tab/>
      </w:r>
      <w:r w:rsidR="00AB04E5" w:rsidRPr="00AB04E5">
        <w:rPr>
          <w:sz w:val="22"/>
          <w:szCs w:val="22"/>
        </w:rPr>
        <w:fldChar w:fldCharType="begin"/>
      </w:r>
      <w:r w:rsidR="00AB04E5" w:rsidRPr="00AB04E5">
        <w:rPr>
          <w:sz w:val="22"/>
          <w:szCs w:val="22"/>
        </w:rPr>
        <w:instrText xml:space="preserve"> PAGEREF _Toc468199033 \h </w:instrText>
      </w:r>
      <w:r w:rsidR="00AB04E5" w:rsidRPr="00AB04E5">
        <w:rPr>
          <w:sz w:val="22"/>
          <w:szCs w:val="22"/>
        </w:rPr>
      </w:r>
      <w:r w:rsidR="00AB04E5" w:rsidRPr="00AB04E5">
        <w:rPr>
          <w:sz w:val="22"/>
          <w:szCs w:val="22"/>
        </w:rPr>
        <w:fldChar w:fldCharType="separate"/>
      </w:r>
      <w:r w:rsidR="00EF5E36">
        <w:rPr>
          <w:sz w:val="22"/>
          <w:szCs w:val="22"/>
        </w:rPr>
        <w:t>3</w:t>
      </w:r>
      <w:r w:rsidR="00AB04E5" w:rsidRPr="00AB04E5">
        <w:rPr>
          <w:sz w:val="22"/>
          <w:szCs w:val="22"/>
        </w:rPr>
        <w:fldChar w:fldCharType="end"/>
      </w:r>
    </w:p>
    <w:p w14:paraId="78F045B2" w14:textId="35CCB954" w:rsidR="00AB04E5" w:rsidRPr="00AB04E5" w:rsidRDefault="00AB04E5">
      <w:pPr>
        <w:pStyle w:val="TOC1"/>
        <w:rPr>
          <w:rFonts w:eastAsiaTheme="minorEastAsia"/>
          <w:b w:val="0"/>
          <w:smallCaps w:val="0"/>
          <w:sz w:val="22"/>
          <w:szCs w:val="22"/>
          <w:lang w:val="es-MX"/>
        </w:rPr>
      </w:pPr>
      <w:r w:rsidRPr="00AB04E5">
        <w:rPr>
          <w:sz w:val="22"/>
          <w:szCs w:val="22"/>
        </w:rPr>
        <w:t>II.</w:t>
      </w:r>
      <w:r w:rsidRPr="00AB04E5">
        <w:rPr>
          <w:rFonts w:eastAsiaTheme="minorEastAsia"/>
          <w:b w:val="0"/>
          <w:smallCaps w:val="0"/>
          <w:sz w:val="22"/>
          <w:szCs w:val="22"/>
          <w:lang w:val="es-MX"/>
        </w:rPr>
        <w:tab/>
      </w:r>
      <w:r w:rsidRPr="00AB04E5">
        <w:rPr>
          <w:sz w:val="22"/>
          <w:szCs w:val="22"/>
        </w:rPr>
        <w:t>Monitoreo</w:t>
      </w:r>
      <w:r w:rsidRPr="00AB04E5">
        <w:rPr>
          <w:sz w:val="22"/>
          <w:szCs w:val="22"/>
        </w:rPr>
        <w:tab/>
      </w:r>
      <w:r w:rsidRPr="00AB04E5">
        <w:rPr>
          <w:sz w:val="22"/>
          <w:szCs w:val="22"/>
        </w:rPr>
        <w:fldChar w:fldCharType="begin"/>
      </w:r>
      <w:r w:rsidRPr="00AB04E5">
        <w:rPr>
          <w:sz w:val="22"/>
          <w:szCs w:val="22"/>
        </w:rPr>
        <w:instrText xml:space="preserve"> PAGEREF _Toc468199034 \h </w:instrText>
      </w:r>
      <w:r w:rsidRPr="00AB04E5">
        <w:rPr>
          <w:sz w:val="22"/>
          <w:szCs w:val="22"/>
        </w:rPr>
      </w:r>
      <w:r w:rsidRPr="00AB04E5">
        <w:rPr>
          <w:sz w:val="22"/>
          <w:szCs w:val="22"/>
        </w:rPr>
        <w:fldChar w:fldCharType="separate"/>
      </w:r>
      <w:r w:rsidR="00EF5E36">
        <w:rPr>
          <w:sz w:val="22"/>
          <w:szCs w:val="22"/>
        </w:rPr>
        <w:t>3</w:t>
      </w:r>
      <w:r w:rsidRPr="00AB04E5">
        <w:rPr>
          <w:sz w:val="22"/>
          <w:szCs w:val="22"/>
        </w:rPr>
        <w:fldChar w:fldCharType="end"/>
      </w:r>
    </w:p>
    <w:p w14:paraId="34AEA969" w14:textId="24589993" w:rsidR="00AB04E5" w:rsidRPr="00AB04E5" w:rsidRDefault="00AB04E5">
      <w:pPr>
        <w:pStyle w:val="TOC2"/>
        <w:rPr>
          <w:rFonts w:ascii="Arial" w:eastAsiaTheme="minorEastAsia" w:hAnsi="Arial" w:cs="Arial"/>
          <w:sz w:val="22"/>
          <w:szCs w:val="22"/>
          <w:lang w:val="es-MX"/>
        </w:rPr>
      </w:pPr>
      <w:r w:rsidRPr="00AB04E5">
        <w:rPr>
          <w:rFonts w:ascii="Arial" w:hAnsi="Arial" w:cs="Arial"/>
          <w:sz w:val="22"/>
          <w:szCs w:val="22"/>
        </w:rPr>
        <w:t>A.</w:t>
      </w:r>
      <w:r w:rsidRPr="00AB04E5">
        <w:rPr>
          <w:rFonts w:ascii="Arial" w:eastAsiaTheme="minorEastAsia" w:hAnsi="Arial" w:cs="Arial"/>
          <w:sz w:val="22"/>
          <w:szCs w:val="22"/>
          <w:lang w:val="es-MX"/>
        </w:rPr>
        <w:tab/>
      </w:r>
      <w:r w:rsidRPr="00AB04E5">
        <w:rPr>
          <w:rFonts w:ascii="Arial" w:hAnsi="Arial" w:cs="Arial"/>
          <w:sz w:val="22"/>
          <w:szCs w:val="22"/>
        </w:rPr>
        <w:t>Indicadores</w:t>
      </w:r>
      <w:r w:rsidRPr="00AB04E5">
        <w:rPr>
          <w:rFonts w:ascii="Arial" w:hAnsi="Arial" w:cs="Arial"/>
          <w:sz w:val="22"/>
          <w:szCs w:val="22"/>
        </w:rPr>
        <w:tab/>
      </w:r>
      <w:r w:rsidRPr="00AB04E5">
        <w:rPr>
          <w:rFonts w:ascii="Arial" w:hAnsi="Arial" w:cs="Arial"/>
          <w:sz w:val="22"/>
          <w:szCs w:val="22"/>
        </w:rPr>
        <w:fldChar w:fldCharType="begin"/>
      </w:r>
      <w:r w:rsidRPr="00AB04E5">
        <w:rPr>
          <w:rFonts w:ascii="Arial" w:hAnsi="Arial" w:cs="Arial"/>
          <w:sz w:val="22"/>
          <w:szCs w:val="22"/>
        </w:rPr>
        <w:instrText xml:space="preserve"> PAGEREF _Toc468199035 \h </w:instrText>
      </w:r>
      <w:r w:rsidRPr="00AB04E5">
        <w:rPr>
          <w:rFonts w:ascii="Arial" w:hAnsi="Arial" w:cs="Arial"/>
          <w:sz w:val="22"/>
          <w:szCs w:val="22"/>
        </w:rPr>
      </w:r>
      <w:r w:rsidRPr="00AB04E5">
        <w:rPr>
          <w:rFonts w:ascii="Arial" w:hAnsi="Arial" w:cs="Arial"/>
          <w:sz w:val="22"/>
          <w:szCs w:val="22"/>
        </w:rPr>
        <w:fldChar w:fldCharType="separate"/>
      </w:r>
      <w:r w:rsidR="00EF5E36">
        <w:rPr>
          <w:rFonts w:ascii="Arial" w:hAnsi="Arial" w:cs="Arial"/>
          <w:sz w:val="22"/>
          <w:szCs w:val="22"/>
        </w:rPr>
        <w:t>3</w:t>
      </w:r>
      <w:r w:rsidRPr="00AB04E5">
        <w:rPr>
          <w:rFonts w:ascii="Arial" w:hAnsi="Arial" w:cs="Arial"/>
          <w:sz w:val="22"/>
          <w:szCs w:val="22"/>
        </w:rPr>
        <w:fldChar w:fldCharType="end"/>
      </w:r>
    </w:p>
    <w:p w14:paraId="2BA602C7" w14:textId="3D0C0170" w:rsidR="00AB04E5" w:rsidRPr="00AB04E5" w:rsidRDefault="00AB04E5">
      <w:pPr>
        <w:pStyle w:val="TOC2"/>
        <w:rPr>
          <w:rFonts w:ascii="Arial" w:eastAsiaTheme="minorEastAsia" w:hAnsi="Arial" w:cs="Arial"/>
          <w:sz w:val="22"/>
          <w:szCs w:val="22"/>
          <w:lang w:val="es-MX"/>
        </w:rPr>
      </w:pPr>
      <w:r w:rsidRPr="00AB04E5">
        <w:rPr>
          <w:rFonts w:ascii="Arial" w:hAnsi="Arial" w:cs="Arial"/>
          <w:sz w:val="22"/>
          <w:szCs w:val="22"/>
        </w:rPr>
        <w:t>B.</w:t>
      </w:r>
      <w:r w:rsidRPr="00AB04E5">
        <w:rPr>
          <w:rFonts w:ascii="Arial" w:eastAsiaTheme="minorEastAsia" w:hAnsi="Arial" w:cs="Arial"/>
          <w:sz w:val="22"/>
          <w:szCs w:val="22"/>
          <w:lang w:val="es-MX"/>
        </w:rPr>
        <w:tab/>
      </w:r>
      <w:r w:rsidRPr="00AB04E5">
        <w:rPr>
          <w:rFonts w:ascii="Arial" w:hAnsi="Arial" w:cs="Arial"/>
          <w:sz w:val="22"/>
          <w:szCs w:val="22"/>
        </w:rPr>
        <w:t>Recopilación de Datos e Instrumentos</w:t>
      </w:r>
      <w:r w:rsidRPr="00AB04E5">
        <w:rPr>
          <w:rFonts w:ascii="Arial" w:hAnsi="Arial" w:cs="Arial"/>
          <w:sz w:val="22"/>
          <w:szCs w:val="22"/>
        </w:rPr>
        <w:tab/>
      </w:r>
      <w:r w:rsidRPr="00AB04E5">
        <w:rPr>
          <w:rFonts w:ascii="Arial" w:hAnsi="Arial" w:cs="Arial"/>
          <w:sz w:val="22"/>
          <w:szCs w:val="22"/>
        </w:rPr>
        <w:fldChar w:fldCharType="begin"/>
      </w:r>
      <w:r w:rsidRPr="00AB04E5">
        <w:rPr>
          <w:rFonts w:ascii="Arial" w:hAnsi="Arial" w:cs="Arial"/>
          <w:sz w:val="22"/>
          <w:szCs w:val="22"/>
        </w:rPr>
        <w:instrText xml:space="preserve"> PAGEREF _Toc468199036 \h </w:instrText>
      </w:r>
      <w:r w:rsidRPr="00AB04E5">
        <w:rPr>
          <w:rFonts w:ascii="Arial" w:hAnsi="Arial" w:cs="Arial"/>
          <w:sz w:val="22"/>
          <w:szCs w:val="22"/>
        </w:rPr>
      </w:r>
      <w:r w:rsidRPr="00AB04E5">
        <w:rPr>
          <w:rFonts w:ascii="Arial" w:hAnsi="Arial" w:cs="Arial"/>
          <w:sz w:val="22"/>
          <w:szCs w:val="22"/>
        </w:rPr>
        <w:fldChar w:fldCharType="separate"/>
      </w:r>
      <w:r w:rsidR="00EF5E36">
        <w:rPr>
          <w:rFonts w:ascii="Arial" w:hAnsi="Arial" w:cs="Arial"/>
          <w:sz w:val="22"/>
          <w:szCs w:val="22"/>
        </w:rPr>
        <w:t>4</w:t>
      </w:r>
      <w:r w:rsidRPr="00AB04E5">
        <w:rPr>
          <w:rFonts w:ascii="Arial" w:hAnsi="Arial" w:cs="Arial"/>
          <w:sz w:val="22"/>
          <w:szCs w:val="22"/>
        </w:rPr>
        <w:fldChar w:fldCharType="end"/>
      </w:r>
    </w:p>
    <w:p w14:paraId="1AC559C5" w14:textId="65262F32" w:rsidR="00AB04E5" w:rsidRPr="00AB04E5" w:rsidRDefault="00AB04E5">
      <w:pPr>
        <w:pStyle w:val="TOC2"/>
        <w:rPr>
          <w:rFonts w:ascii="Arial" w:eastAsiaTheme="minorEastAsia" w:hAnsi="Arial" w:cs="Arial"/>
          <w:sz w:val="22"/>
          <w:szCs w:val="22"/>
          <w:lang w:val="es-MX"/>
        </w:rPr>
      </w:pPr>
      <w:r w:rsidRPr="00AB04E5">
        <w:rPr>
          <w:rFonts w:ascii="Arial" w:hAnsi="Arial" w:cs="Arial"/>
          <w:sz w:val="22"/>
          <w:szCs w:val="22"/>
        </w:rPr>
        <w:t>C.</w:t>
      </w:r>
      <w:r w:rsidRPr="00AB04E5">
        <w:rPr>
          <w:rFonts w:ascii="Arial" w:eastAsiaTheme="minorEastAsia" w:hAnsi="Arial" w:cs="Arial"/>
          <w:sz w:val="22"/>
          <w:szCs w:val="22"/>
          <w:lang w:val="es-MX"/>
        </w:rPr>
        <w:tab/>
      </w:r>
      <w:r w:rsidRPr="00AB04E5">
        <w:rPr>
          <w:rFonts w:ascii="Arial" w:hAnsi="Arial" w:cs="Arial"/>
          <w:sz w:val="22"/>
          <w:szCs w:val="22"/>
        </w:rPr>
        <w:t>Presentación de Informes</w:t>
      </w:r>
      <w:r w:rsidRPr="00AB04E5">
        <w:rPr>
          <w:rFonts w:ascii="Arial" w:hAnsi="Arial" w:cs="Arial"/>
          <w:sz w:val="22"/>
          <w:szCs w:val="22"/>
        </w:rPr>
        <w:tab/>
      </w:r>
      <w:r w:rsidRPr="00AB04E5">
        <w:rPr>
          <w:rFonts w:ascii="Arial" w:hAnsi="Arial" w:cs="Arial"/>
          <w:sz w:val="22"/>
          <w:szCs w:val="22"/>
        </w:rPr>
        <w:fldChar w:fldCharType="begin"/>
      </w:r>
      <w:r w:rsidRPr="00AB04E5">
        <w:rPr>
          <w:rFonts w:ascii="Arial" w:hAnsi="Arial" w:cs="Arial"/>
          <w:sz w:val="22"/>
          <w:szCs w:val="22"/>
        </w:rPr>
        <w:instrText xml:space="preserve"> PAGEREF _Toc468199037 \h </w:instrText>
      </w:r>
      <w:r w:rsidRPr="00AB04E5">
        <w:rPr>
          <w:rFonts w:ascii="Arial" w:hAnsi="Arial" w:cs="Arial"/>
          <w:sz w:val="22"/>
          <w:szCs w:val="22"/>
        </w:rPr>
      </w:r>
      <w:r w:rsidRPr="00AB04E5">
        <w:rPr>
          <w:rFonts w:ascii="Arial" w:hAnsi="Arial" w:cs="Arial"/>
          <w:sz w:val="22"/>
          <w:szCs w:val="22"/>
        </w:rPr>
        <w:fldChar w:fldCharType="separate"/>
      </w:r>
      <w:r w:rsidR="00EF5E36">
        <w:rPr>
          <w:rFonts w:ascii="Arial" w:hAnsi="Arial" w:cs="Arial"/>
          <w:sz w:val="22"/>
          <w:szCs w:val="22"/>
        </w:rPr>
        <w:t>5</w:t>
      </w:r>
      <w:r w:rsidRPr="00AB04E5">
        <w:rPr>
          <w:rFonts w:ascii="Arial" w:hAnsi="Arial" w:cs="Arial"/>
          <w:sz w:val="22"/>
          <w:szCs w:val="22"/>
        </w:rPr>
        <w:fldChar w:fldCharType="end"/>
      </w:r>
    </w:p>
    <w:p w14:paraId="2011AD5D" w14:textId="2664F20D" w:rsidR="00AB04E5" w:rsidRPr="00AB04E5" w:rsidRDefault="00AB04E5">
      <w:pPr>
        <w:pStyle w:val="TOC2"/>
        <w:rPr>
          <w:rFonts w:ascii="Arial" w:eastAsiaTheme="minorEastAsia" w:hAnsi="Arial" w:cs="Arial"/>
          <w:sz w:val="22"/>
          <w:szCs w:val="22"/>
          <w:lang w:val="es-MX"/>
        </w:rPr>
      </w:pPr>
      <w:r w:rsidRPr="00AB04E5">
        <w:rPr>
          <w:rFonts w:ascii="Arial" w:hAnsi="Arial" w:cs="Arial"/>
          <w:sz w:val="22"/>
          <w:szCs w:val="22"/>
        </w:rPr>
        <w:t>D.</w:t>
      </w:r>
      <w:r w:rsidRPr="00AB04E5">
        <w:rPr>
          <w:rFonts w:ascii="Arial" w:eastAsiaTheme="minorEastAsia" w:hAnsi="Arial" w:cs="Arial"/>
          <w:sz w:val="22"/>
          <w:szCs w:val="22"/>
          <w:lang w:val="es-MX"/>
        </w:rPr>
        <w:tab/>
      </w:r>
      <w:r w:rsidRPr="00AB04E5">
        <w:rPr>
          <w:rFonts w:ascii="Arial" w:hAnsi="Arial" w:cs="Arial"/>
          <w:sz w:val="22"/>
          <w:szCs w:val="22"/>
        </w:rPr>
        <w:t>Coordinación, Plan de Trabajo y Presupuesto del Seguimiento</w:t>
      </w:r>
      <w:r w:rsidRPr="00AB04E5">
        <w:rPr>
          <w:rFonts w:ascii="Arial" w:hAnsi="Arial" w:cs="Arial"/>
          <w:sz w:val="22"/>
          <w:szCs w:val="22"/>
        </w:rPr>
        <w:tab/>
      </w:r>
      <w:r w:rsidRPr="00AB04E5">
        <w:rPr>
          <w:rFonts w:ascii="Arial" w:hAnsi="Arial" w:cs="Arial"/>
          <w:sz w:val="22"/>
          <w:szCs w:val="22"/>
        </w:rPr>
        <w:fldChar w:fldCharType="begin"/>
      </w:r>
      <w:r w:rsidRPr="00AB04E5">
        <w:rPr>
          <w:rFonts w:ascii="Arial" w:hAnsi="Arial" w:cs="Arial"/>
          <w:sz w:val="22"/>
          <w:szCs w:val="22"/>
        </w:rPr>
        <w:instrText xml:space="preserve"> PAGEREF _Toc468199038 \h </w:instrText>
      </w:r>
      <w:r w:rsidRPr="00AB04E5">
        <w:rPr>
          <w:rFonts w:ascii="Arial" w:hAnsi="Arial" w:cs="Arial"/>
          <w:sz w:val="22"/>
          <w:szCs w:val="22"/>
        </w:rPr>
      </w:r>
      <w:r w:rsidRPr="00AB04E5">
        <w:rPr>
          <w:rFonts w:ascii="Arial" w:hAnsi="Arial" w:cs="Arial"/>
          <w:sz w:val="22"/>
          <w:szCs w:val="22"/>
        </w:rPr>
        <w:fldChar w:fldCharType="separate"/>
      </w:r>
      <w:r w:rsidR="00EF5E36">
        <w:rPr>
          <w:rFonts w:ascii="Arial" w:hAnsi="Arial" w:cs="Arial"/>
          <w:sz w:val="22"/>
          <w:szCs w:val="22"/>
        </w:rPr>
        <w:t>5</w:t>
      </w:r>
      <w:r w:rsidRPr="00AB04E5">
        <w:rPr>
          <w:rFonts w:ascii="Arial" w:hAnsi="Arial" w:cs="Arial"/>
          <w:sz w:val="22"/>
          <w:szCs w:val="22"/>
        </w:rPr>
        <w:fldChar w:fldCharType="end"/>
      </w:r>
    </w:p>
    <w:p w14:paraId="6134979C" w14:textId="577DB49C" w:rsidR="00AB04E5" w:rsidRPr="00AB04E5" w:rsidRDefault="00AB04E5">
      <w:pPr>
        <w:pStyle w:val="TOC1"/>
        <w:rPr>
          <w:rFonts w:eastAsiaTheme="minorEastAsia"/>
          <w:b w:val="0"/>
          <w:smallCaps w:val="0"/>
          <w:sz w:val="22"/>
          <w:szCs w:val="22"/>
          <w:lang w:val="es-MX"/>
        </w:rPr>
      </w:pPr>
      <w:r w:rsidRPr="00AB04E5">
        <w:rPr>
          <w:sz w:val="22"/>
          <w:szCs w:val="22"/>
        </w:rPr>
        <w:t>III.</w:t>
      </w:r>
      <w:r w:rsidRPr="00AB04E5">
        <w:rPr>
          <w:rFonts w:eastAsiaTheme="minorEastAsia"/>
          <w:b w:val="0"/>
          <w:smallCaps w:val="0"/>
          <w:sz w:val="22"/>
          <w:szCs w:val="22"/>
          <w:lang w:val="es-MX"/>
        </w:rPr>
        <w:tab/>
      </w:r>
      <w:r w:rsidRPr="00AB04E5">
        <w:rPr>
          <w:sz w:val="22"/>
          <w:szCs w:val="22"/>
        </w:rPr>
        <w:t>Evaluación</w:t>
      </w:r>
      <w:r w:rsidRPr="00AB04E5">
        <w:rPr>
          <w:sz w:val="22"/>
          <w:szCs w:val="22"/>
        </w:rPr>
        <w:tab/>
      </w:r>
      <w:r w:rsidRPr="00AB04E5">
        <w:rPr>
          <w:sz w:val="22"/>
          <w:szCs w:val="22"/>
        </w:rPr>
        <w:fldChar w:fldCharType="begin"/>
      </w:r>
      <w:r w:rsidRPr="00AB04E5">
        <w:rPr>
          <w:sz w:val="22"/>
          <w:szCs w:val="22"/>
        </w:rPr>
        <w:instrText xml:space="preserve"> PAGEREF _Toc468199039 \h </w:instrText>
      </w:r>
      <w:r w:rsidRPr="00AB04E5">
        <w:rPr>
          <w:sz w:val="22"/>
          <w:szCs w:val="22"/>
        </w:rPr>
      </w:r>
      <w:r w:rsidRPr="00AB04E5">
        <w:rPr>
          <w:sz w:val="22"/>
          <w:szCs w:val="22"/>
        </w:rPr>
        <w:fldChar w:fldCharType="separate"/>
      </w:r>
      <w:r w:rsidR="00EF5E36">
        <w:rPr>
          <w:sz w:val="22"/>
          <w:szCs w:val="22"/>
        </w:rPr>
        <w:t>5</w:t>
      </w:r>
      <w:r w:rsidRPr="00AB04E5">
        <w:rPr>
          <w:sz w:val="22"/>
          <w:szCs w:val="22"/>
        </w:rPr>
        <w:fldChar w:fldCharType="end"/>
      </w:r>
    </w:p>
    <w:p w14:paraId="39A918CF" w14:textId="25A9802D" w:rsidR="00AB04E5" w:rsidRPr="00AB04E5" w:rsidRDefault="00AB04E5">
      <w:pPr>
        <w:pStyle w:val="TOC2"/>
        <w:rPr>
          <w:rFonts w:ascii="Arial" w:eastAsiaTheme="minorEastAsia" w:hAnsi="Arial" w:cs="Arial"/>
          <w:sz w:val="22"/>
          <w:szCs w:val="22"/>
          <w:lang w:val="es-MX"/>
        </w:rPr>
      </w:pPr>
      <w:r w:rsidRPr="00AB04E5">
        <w:rPr>
          <w:rFonts w:ascii="Arial" w:hAnsi="Arial" w:cs="Arial"/>
          <w:sz w:val="22"/>
          <w:szCs w:val="22"/>
        </w:rPr>
        <w:t>A.</w:t>
      </w:r>
      <w:r w:rsidRPr="00AB04E5">
        <w:rPr>
          <w:rFonts w:ascii="Arial" w:eastAsiaTheme="minorEastAsia" w:hAnsi="Arial" w:cs="Arial"/>
          <w:sz w:val="22"/>
          <w:szCs w:val="22"/>
          <w:lang w:val="es-MX"/>
        </w:rPr>
        <w:tab/>
      </w:r>
      <w:r w:rsidRPr="00AB04E5">
        <w:rPr>
          <w:rFonts w:ascii="Arial" w:hAnsi="Arial" w:cs="Arial"/>
          <w:sz w:val="22"/>
          <w:szCs w:val="22"/>
        </w:rPr>
        <w:t>Principales Preguntas de la Evaluación</w:t>
      </w:r>
      <w:r w:rsidRPr="00AB04E5">
        <w:rPr>
          <w:rFonts w:ascii="Arial" w:hAnsi="Arial" w:cs="Arial"/>
          <w:sz w:val="22"/>
          <w:szCs w:val="22"/>
        </w:rPr>
        <w:tab/>
      </w:r>
      <w:r w:rsidRPr="00AB04E5">
        <w:rPr>
          <w:rFonts w:ascii="Arial" w:hAnsi="Arial" w:cs="Arial"/>
          <w:sz w:val="22"/>
          <w:szCs w:val="22"/>
        </w:rPr>
        <w:fldChar w:fldCharType="begin"/>
      </w:r>
      <w:r w:rsidRPr="00AB04E5">
        <w:rPr>
          <w:rFonts w:ascii="Arial" w:hAnsi="Arial" w:cs="Arial"/>
          <w:sz w:val="22"/>
          <w:szCs w:val="22"/>
        </w:rPr>
        <w:instrText xml:space="preserve"> PAGEREF _Toc468199040 \h </w:instrText>
      </w:r>
      <w:r w:rsidRPr="00AB04E5">
        <w:rPr>
          <w:rFonts w:ascii="Arial" w:hAnsi="Arial" w:cs="Arial"/>
          <w:sz w:val="22"/>
          <w:szCs w:val="22"/>
        </w:rPr>
      </w:r>
      <w:r w:rsidRPr="00AB04E5">
        <w:rPr>
          <w:rFonts w:ascii="Arial" w:hAnsi="Arial" w:cs="Arial"/>
          <w:sz w:val="22"/>
          <w:szCs w:val="22"/>
        </w:rPr>
        <w:fldChar w:fldCharType="separate"/>
      </w:r>
      <w:r w:rsidR="00EF5E36">
        <w:rPr>
          <w:rFonts w:ascii="Arial" w:hAnsi="Arial" w:cs="Arial"/>
          <w:sz w:val="22"/>
          <w:szCs w:val="22"/>
        </w:rPr>
        <w:t>5</w:t>
      </w:r>
      <w:r w:rsidRPr="00AB04E5">
        <w:rPr>
          <w:rFonts w:ascii="Arial" w:hAnsi="Arial" w:cs="Arial"/>
          <w:sz w:val="22"/>
          <w:szCs w:val="22"/>
        </w:rPr>
        <w:fldChar w:fldCharType="end"/>
      </w:r>
    </w:p>
    <w:p w14:paraId="27298E93" w14:textId="2D9D6034" w:rsidR="00AB04E5" w:rsidRPr="00AB04E5" w:rsidRDefault="00AB04E5">
      <w:pPr>
        <w:pStyle w:val="TOC2"/>
        <w:rPr>
          <w:rFonts w:ascii="Arial" w:eastAsiaTheme="minorEastAsia" w:hAnsi="Arial" w:cs="Arial"/>
          <w:sz w:val="22"/>
          <w:szCs w:val="22"/>
          <w:lang w:val="es-MX"/>
        </w:rPr>
      </w:pPr>
      <w:r w:rsidRPr="00AB04E5">
        <w:rPr>
          <w:rFonts w:ascii="Arial" w:hAnsi="Arial" w:cs="Arial"/>
          <w:sz w:val="22"/>
          <w:szCs w:val="22"/>
        </w:rPr>
        <w:t>B.</w:t>
      </w:r>
      <w:r w:rsidRPr="00AB04E5">
        <w:rPr>
          <w:rFonts w:ascii="Arial" w:eastAsiaTheme="minorEastAsia" w:hAnsi="Arial" w:cs="Arial"/>
          <w:sz w:val="22"/>
          <w:szCs w:val="22"/>
          <w:lang w:val="es-MX"/>
        </w:rPr>
        <w:tab/>
      </w:r>
      <w:r w:rsidRPr="00AB04E5">
        <w:rPr>
          <w:rFonts w:ascii="Arial" w:hAnsi="Arial" w:cs="Arial"/>
          <w:sz w:val="22"/>
          <w:szCs w:val="22"/>
        </w:rPr>
        <w:t>Conocimiento Existente (evaluaciones previas, análisis financiero ex</w:t>
      </w:r>
      <w:r w:rsidR="004F3AF4">
        <w:rPr>
          <w:rFonts w:ascii="Arial" w:hAnsi="Arial" w:cs="Arial"/>
          <w:sz w:val="22"/>
          <w:szCs w:val="22"/>
        </w:rPr>
        <w:t xml:space="preserve"> </w:t>
      </w:r>
      <w:r w:rsidRPr="00AB04E5">
        <w:rPr>
          <w:rFonts w:ascii="Arial" w:hAnsi="Arial" w:cs="Arial"/>
          <w:sz w:val="22"/>
          <w:szCs w:val="22"/>
        </w:rPr>
        <w:t>ante)</w:t>
      </w:r>
      <w:r w:rsidRPr="00AB04E5">
        <w:rPr>
          <w:rFonts w:ascii="Arial" w:hAnsi="Arial" w:cs="Arial"/>
          <w:sz w:val="22"/>
          <w:szCs w:val="22"/>
        </w:rPr>
        <w:tab/>
      </w:r>
      <w:r w:rsidRPr="00AB04E5">
        <w:rPr>
          <w:rFonts w:ascii="Arial" w:hAnsi="Arial" w:cs="Arial"/>
          <w:sz w:val="22"/>
          <w:szCs w:val="22"/>
        </w:rPr>
        <w:fldChar w:fldCharType="begin"/>
      </w:r>
      <w:r w:rsidRPr="00AB04E5">
        <w:rPr>
          <w:rFonts w:ascii="Arial" w:hAnsi="Arial" w:cs="Arial"/>
          <w:sz w:val="22"/>
          <w:szCs w:val="22"/>
        </w:rPr>
        <w:instrText xml:space="preserve"> PAGEREF _Toc468199041 \h </w:instrText>
      </w:r>
      <w:r w:rsidRPr="00AB04E5">
        <w:rPr>
          <w:rFonts w:ascii="Arial" w:hAnsi="Arial" w:cs="Arial"/>
          <w:sz w:val="22"/>
          <w:szCs w:val="22"/>
        </w:rPr>
      </w:r>
      <w:r w:rsidRPr="00AB04E5">
        <w:rPr>
          <w:rFonts w:ascii="Arial" w:hAnsi="Arial" w:cs="Arial"/>
          <w:sz w:val="22"/>
          <w:szCs w:val="22"/>
        </w:rPr>
        <w:fldChar w:fldCharType="separate"/>
      </w:r>
      <w:r w:rsidR="00EF5E36">
        <w:rPr>
          <w:rFonts w:ascii="Arial" w:hAnsi="Arial" w:cs="Arial"/>
          <w:sz w:val="22"/>
          <w:szCs w:val="22"/>
        </w:rPr>
        <w:t>6</w:t>
      </w:r>
      <w:r w:rsidRPr="00AB04E5">
        <w:rPr>
          <w:rFonts w:ascii="Arial" w:hAnsi="Arial" w:cs="Arial"/>
          <w:sz w:val="22"/>
          <w:szCs w:val="22"/>
        </w:rPr>
        <w:fldChar w:fldCharType="end"/>
      </w:r>
    </w:p>
    <w:p w14:paraId="004F5AEC" w14:textId="2FF35BE0" w:rsidR="00AB04E5" w:rsidRPr="00AB04E5" w:rsidRDefault="00AB04E5">
      <w:pPr>
        <w:pStyle w:val="TOC2"/>
        <w:rPr>
          <w:rFonts w:ascii="Arial" w:eastAsiaTheme="minorEastAsia" w:hAnsi="Arial" w:cs="Arial"/>
          <w:sz w:val="22"/>
          <w:szCs w:val="22"/>
          <w:lang w:val="es-MX"/>
        </w:rPr>
      </w:pPr>
      <w:r w:rsidRPr="00AB04E5">
        <w:rPr>
          <w:rFonts w:ascii="Arial" w:hAnsi="Arial" w:cs="Arial"/>
          <w:sz w:val="22"/>
          <w:szCs w:val="22"/>
        </w:rPr>
        <w:t>D.</w:t>
      </w:r>
      <w:r w:rsidRPr="00AB04E5">
        <w:rPr>
          <w:rFonts w:ascii="Arial" w:eastAsiaTheme="minorEastAsia" w:hAnsi="Arial" w:cs="Arial"/>
          <w:sz w:val="22"/>
          <w:szCs w:val="22"/>
          <w:lang w:val="es-MX"/>
        </w:rPr>
        <w:tab/>
      </w:r>
      <w:r w:rsidRPr="00AB04E5">
        <w:rPr>
          <w:rFonts w:ascii="Arial" w:hAnsi="Arial" w:cs="Arial"/>
          <w:sz w:val="22"/>
          <w:szCs w:val="22"/>
        </w:rPr>
        <w:t>Metodología de la Evaluación Ex-Post</w:t>
      </w:r>
      <w:r w:rsidRPr="00AB04E5">
        <w:rPr>
          <w:rFonts w:ascii="Arial" w:hAnsi="Arial" w:cs="Arial"/>
          <w:sz w:val="22"/>
          <w:szCs w:val="22"/>
        </w:rPr>
        <w:tab/>
      </w:r>
      <w:r w:rsidRPr="00AB04E5">
        <w:rPr>
          <w:rFonts w:ascii="Arial" w:hAnsi="Arial" w:cs="Arial"/>
          <w:sz w:val="22"/>
          <w:szCs w:val="22"/>
        </w:rPr>
        <w:fldChar w:fldCharType="begin"/>
      </w:r>
      <w:r w:rsidRPr="00AB04E5">
        <w:rPr>
          <w:rFonts w:ascii="Arial" w:hAnsi="Arial" w:cs="Arial"/>
          <w:sz w:val="22"/>
          <w:szCs w:val="22"/>
        </w:rPr>
        <w:instrText xml:space="preserve"> PAGEREF _Toc468199042 \h </w:instrText>
      </w:r>
      <w:r w:rsidRPr="00AB04E5">
        <w:rPr>
          <w:rFonts w:ascii="Arial" w:hAnsi="Arial" w:cs="Arial"/>
          <w:sz w:val="22"/>
          <w:szCs w:val="22"/>
        </w:rPr>
      </w:r>
      <w:r w:rsidRPr="00AB04E5">
        <w:rPr>
          <w:rFonts w:ascii="Arial" w:hAnsi="Arial" w:cs="Arial"/>
          <w:sz w:val="22"/>
          <w:szCs w:val="22"/>
        </w:rPr>
        <w:fldChar w:fldCharType="separate"/>
      </w:r>
      <w:r w:rsidR="00EF5E36">
        <w:rPr>
          <w:rFonts w:ascii="Arial" w:hAnsi="Arial" w:cs="Arial"/>
          <w:sz w:val="22"/>
          <w:szCs w:val="22"/>
        </w:rPr>
        <w:t>8</w:t>
      </w:r>
      <w:r w:rsidRPr="00AB04E5">
        <w:rPr>
          <w:rFonts w:ascii="Arial" w:hAnsi="Arial" w:cs="Arial"/>
          <w:sz w:val="22"/>
          <w:szCs w:val="22"/>
        </w:rPr>
        <w:fldChar w:fldCharType="end"/>
      </w:r>
    </w:p>
    <w:p w14:paraId="7F5FC814" w14:textId="10DF46A5" w:rsidR="00AB04E5" w:rsidRPr="00AB04E5" w:rsidRDefault="00AB04E5">
      <w:pPr>
        <w:pStyle w:val="TOC2"/>
        <w:rPr>
          <w:rFonts w:ascii="Arial" w:eastAsiaTheme="minorEastAsia" w:hAnsi="Arial" w:cs="Arial"/>
          <w:sz w:val="22"/>
          <w:szCs w:val="22"/>
          <w:lang w:val="es-MX"/>
        </w:rPr>
      </w:pPr>
      <w:r w:rsidRPr="00AB04E5">
        <w:rPr>
          <w:rFonts w:ascii="Arial" w:hAnsi="Arial" w:cs="Arial"/>
          <w:sz w:val="22"/>
          <w:szCs w:val="22"/>
        </w:rPr>
        <w:t>F.</w:t>
      </w:r>
      <w:r w:rsidRPr="00AB04E5">
        <w:rPr>
          <w:rFonts w:ascii="Arial" w:eastAsiaTheme="minorEastAsia" w:hAnsi="Arial" w:cs="Arial"/>
          <w:sz w:val="22"/>
          <w:szCs w:val="22"/>
          <w:lang w:val="es-MX"/>
        </w:rPr>
        <w:tab/>
      </w:r>
      <w:r w:rsidRPr="00AB04E5">
        <w:rPr>
          <w:rFonts w:ascii="Arial" w:hAnsi="Arial" w:cs="Arial"/>
          <w:sz w:val="22"/>
          <w:szCs w:val="22"/>
        </w:rPr>
        <w:t>Aspectos Técnicos de la Evaluación Ex-Post</w:t>
      </w:r>
      <w:r w:rsidRPr="00AB04E5">
        <w:rPr>
          <w:rFonts w:ascii="Arial" w:hAnsi="Arial" w:cs="Arial"/>
          <w:sz w:val="22"/>
          <w:szCs w:val="22"/>
        </w:rPr>
        <w:tab/>
      </w:r>
      <w:r w:rsidRPr="00AB04E5">
        <w:rPr>
          <w:rFonts w:ascii="Arial" w:hAnsi="Arial" w:cs="Arial"/>
          <w:sz w:val="22"/>
          <w:szCs w:val="22"/>
        </w:rPr>
        <w:fldChar w:fldCharType="begin"/>
      </w:r>
      <w:r w:rsidRPr="00AB04E5">
        <w:rPr>
          <w:rFonts w:ascii="Arial" w:hAnsi="Arial" w:cs="Arial"/>
          <w:sz w:val="22"/>
          <w:szCs w:val="22"/>
        </w:rPr>
        <w:instrText xml:space="preserve"> PAGEREF _Toc468199043 \h </w:instrText>
      </w:r>
      <w:r w:rsidRPr="00AB04E5">
        <w:rPr>
          <w:rFonts w:ascii="Arial" w:hAnsi="Arial" w:cs="Arial"/>
          <w:sz w:val="22"/>
          <w:szCs w:val="22"/>
        </w:rPr>
      </w:r>
      <w:r w:rsidRPr="00AB04E5">
        <w:rPr>
          <w:rFonts w:ascii="Arial" w:hAnsi="Arial" w:cs="Arial"/>
          <w:sz w:val="22"/>
          <w:szCs w:val="22"/>
        </w:rPr>
        <w:fldChar w:fldCharType="separate"/>
      </w:r>
      <w:r w:rsidR="00EF5E36">
        <w:rPr>
          <w:rFonts w:ascii="Arial" w:hAnsi="Arial" w:cs="Arial"/>
          <w:sz w:val="22"/>
          <w:szCs w:val="22"/>
        </w:rPr>
        <w:t>9</w:t>
      </w:r>
      <w:r w:rsidRPr="00AB04E5">
        <w:rPr>
          <w:rFonts w:ascii="Arial" w:hAnsi="Arial" w:cs="Arial"/>
          <w:sz w:val="22"/>
          <w:szCs w:val="22"/>
        </w:rPr>
        <w:fldChar w:fldCharType="end"/>
      </w:r>
    </w:p>
    <w:p w14:paraId="6CC90C50" w14:textId="3307AB3B" w:rsidR="003F69C9" w:rsidRPr="00AB04E5" w:rsidRDefault="00E3347F" w:rsidP="003F69C9">
      <w:pPr>
        <w:pStyle w:val="TOC3"/>
        <w:rPr>
          <w:rFonts w:ascii="Arial" w:hAnsi="Arial" w:cs="Arial"/>
          <w:sz w:val="22"/>
          <w:szCs w:val="22"/>
        </w:rPr>
      </w:pPr>
      <w:r w:rsidRPr="00AB04E5">
        <w:rPr>
          <w:rFonts w:ascii="Arial" w:hAnsi="Arial" w:cs="Arial"/>
          <w:sz w:val="22"/>
          <w:szCs w:val="22"/>
        </w:rPr>
        <w:fldChar w:fldCharType="end"/>
      </w:r>
    </w:p>
    <w:p w14:paraId="6CC90C51" w14:textId="77777777" w:rsidR="003F69C9" w:rsidRPr="003F69C9" w:rsidRDefault="003F69C9" w:rsidP="003F69C9">
      <w:pPr>
        <w:rPr>
          <w:lang w:val="es-ES"/>
        </w:rPr>
      </w:pPr>
    </w:p>
    <w:p w14:paraId="6CC90C52" w14:textId="77777777" w:rsidR="003F69C9" w:rsidRDefault="003F69C9" w:rsidP="003F69C9">
      <w:pPr>
        <w:rPr>
          <w:rFonts w:ascii="Arial" w:hAnsi="Arial" w:cs="Arial"/>
          <w:sz w:val="22"/>
          <w:szCs w:val="22"/>
          <w:lang w:val="es-ES"/>
        </w:rPr>
      </w:pPr>
    </w:p>
    <w:p w14:paraId="6CC90C68" w14:textId="01BE0653" w:rsidR="00532A6A" w:rsidRDefault="00532A6A">
      <w:pPr>
        <w:spacing w:after="200" w:line="276" w:lineRule="auto"/>
        <w:rPr>
          <w:rFonts w:ascii="Arial" w:hAnsi="Arial" w:cs="Arial"/>
          <w:sz w:val="22"/>
          <w:szCs w:val="22"/>
          <w:lang w:val="es-ES"/>
        </w:rPr>
      </w:pPr>
      <w:r>
        <w:rPr>
          <w:rFonts w:ascii="Arial" w:hAnsi="Arial" w:cs="Arial"/>
          <w:sz w:val="22"/>
          <w:szCs w:val="22"/>
          <w:lang w:val="es-ES"/>
        </w:rPr>
        <w:br w:type="page"/>
      </w:r>
    </w:p>
    <w:p w14:paraId="72054569" w14:textId="77777777" w:rsidR="003F69C9" w:rsidRDefault="003F69C9" w:rsidP="003F69C9">
      <w:pPr>
        <w:rPr>
          <w:rFonts w:ascii="Arial" w:hAnsi="Arial" w:cs="Arial"/>
          <w:sz w:val="22"/>
          <w:szCs w:val="22"/>
          <w:lang w:val="es-ES"/>
        </w:rPr>
      </w:pPr>
    </w:p>
    <w:p w14:paraId="6CC90C69" w14:textId="77777777" w:rsidR="003F69C9" w:rsidRDefault="003F69C9" w:rsidP="003F69C9">
      <w:pPr>
        <w:rPr>
          <w:rFonts w:ascii="Arial" w:hAnsi="Arial" w:cs="Arial"/>
          <w:sz w:val="22"/>
          <w:szCs w:val="22"/>
          <w:lang w:val="es-ES"/>
        </w:rPr>
      </w:pPr>
    </w:p>
    <w:tbl>
      <w:tblPr>
        <w:tblW w:w="8640" w:type="dxa"/>
        <w:tblInd w:w="108" w:type="dxa"/>
        <w:tblLook w:val="01E0" w:firstRow="1" w:lastRow="1" w:firstColumn="1" w:lastColumn="1" w:noHBand="0" w:noVBand="0"/>
      </w:tblPr>
      <w:tblGrid>
        <w:gridCol w:w="1512"/>
        <w:gridCol w:w="7128"/>
      </w:tblGrid>
      <w:tr w:rsidR="00C62367" w:rsidRPr="00046E14" w14:paraId="6CC90C6C" w14:textId="77777777" w:rsidTr="00175C6F">
        <w:trPr>
          <w:cantSplit/>
          <w:trHeight w:val="423"/>
        </w:trPr>
        <w:tc>
          <w:tcPr>
            <w:tcW w:w="8640"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6CC90C6B" w14:textId="77777777" w:rsidR="00C62367" w:rsidRPr="00046E14" w:rsidRDefault="00C62367" w:rsidP="00860AB9">
            <w:pPr>
              <w:spacing w:before="20" w:after="20"/>
              <w:jc w:val="center"/>
              <w:rPr>
                <w:rFonts w:ascii="Arial" w:eastAsia="Arial Unicode MS" w:hAnsi="Arial" w:cs="Arial"/>
                <w:b/>
                <w:bCs/>
                <w:smallCaps/>
                <w:sz w:val="22"/>
                <w:szCs w:val="22"/>
                <w:lang w:val="es-ES"/>
              </w:rPr>
            </w:pPr>
            <w:r w:rsidRPr="00046E14">
              <w:rPr>
                <w:rFonts w:ascii="Arial" w:eastAsia="Arial Unicode MS" w:hAnsi="Arial" w:cs="Arial"/>
                <w:b/>
                <w:bCs/>
                <w:smallCaps/>
                <w:sz w:val="22"/>
                <w:szCs w:val="22"/>
                <w:lang w:val="es-ES"/>
              </w:rPr>
              <w:t>Abreviaturas</w:t>
            </w:r>
          </w:p>
        </w:tc>
      </w:tr>
      <w:tr w:rsidR="00A25974" w:rsidRPr="00046E14" w14:paraId="6CC90C77" w14:textId="77777777" w:rsidTr="003F69C9">
        <w:trPr>
          <w:cantSplit/>
        </w:trPr>
        <w:tc>
          <w:tcPr>
            <w:tcW w:w="1512" w:type="dxa"/>
            <w:tcBorders>
              <w:top w:val="single" w:sz="4" w:space="0" w:color="auto"/>
              <w:left w:val="single" w:sz="4" w:space="0" w:color="auto"/>
            </w:tcBorders>
          </w:tcPr>
          <w:p w14:paraId="6CC90C6D" w14:textId="77777777" w:rsidR="004A22E0" w:rsidRPr="00063838" w:rsidRDefault="004A22E0" w:rsidP="00860AB9">
            <w:pPr>
              <w:spacing w:before="20" w:after="20"/>
              <w:rPr>
                <w:rFonts w:ascii="Arial" w:hAnsi="Arial" w:cs="Arial"/>
                <w:sz w:val="22"/>
                <w:szCs w:val="22"/>
                <w:lang w:val="en-US"/>
              </w:rPr>
            </w:pPr>
            <w:r w:rsidRPr="00063838">
              <w:rPr>
                <w:rFonts w:ascii="Arial" w:hAnsi="Arial" w:cs="Arial"/>
                <w:sz w:val="22"/>
                <w:szCs w:val="22"/>
                <w:lang w:val="en-US"/>
              </w:rPr>
              <w:t>AFF</w:t>
            </w:r>
          </w:p>
          <w:p w14:paraId="6CC90C6E" w14:textId="26FA1DA2" w:rsidR="00DF5753" w:rsidRDefault="00DF5753" w:rsidP="00860AB9">
            <w:pPr>
              <w:spacing w:before="20" w:after="20"/>
              <w:rPr>
                <w:rFonts w:ascii="Arial" w:hAnsi="Arial" w:cs="Arial"/>
                <w:sz w:val="22"/>
                <w:szCs w:val="22"/>
                <w:lang w:val="en-US"/>
              </w:rPr>
            </w:pPr>
            <w:r w:rsidRPr="00063838">
              <w:rPr>
                <w:rFonts w:ascii="Arial" w:hAnsi="Arial" w:cs="Arial"/>
                <w:sz w:val="22"/>
                <w:szCs w:val="22"/>
                <w:lang w:val="en-US"/>
              </w:rPr>
              <w:t>BID</w:t>
            </w:r>
          </w:p>
          <w:p w14:paraId="644F96E2" w14:textId="59ADA34A" w:rsidR="009222BF" w:rsidRPr="00063838" w:rsidRDefault="009222BF" w:rsidP="00860AB9">
            <w:pPr>
              <w:spacing w:before="20" w:after="20"/>
              <w:rPr>
                <w:rFonts w:ascii="Arial" w:hAnsi="Arial" w:cs="Arial"/>
                <w:sz w:val="22"/>
                <w:szCs w:val="22"/>
                <w:lang w:val="en-US"/>
              </w:rPr>
            </w:pPr>
            <w:r>
              <w:rPr>
                <w:rFonts w:ascii="Arial" w:hAnsi="Arial" w:cs="Arial"/>
                <w:sz w:val="22"/>
                <w:szCs w:val="22"/>
                <w:lang w:val="en-US"/>
              </w:rPr>
              <w:t>BM</w:t>
            </w:r>
          </w:p>
          <w:p w14:paraId="6CC90C6F" w14:textId="50304448" w:rsidR="00D70351" w:rsidRDefault="00253D3E" w:rsidP="00860AB9">
            <w:pPr>
              <w:spacing w:before="20" w:after="20"/>
              <w:rPr>
                <w:rFonts w:ascii="Arial" w:hAnsi="Arial" w:cs="Arial"/>
                <w:sz w:val="22"/>
                <w:szCs w:val="22"/>
                <w:lang w:val="en-US"/>
              </w:rPr>
            </w:pPr>
            <w:r w:rsidRPr="00063838">
              <w:rPr>
                <w:rFonts w:ascii="Arial" w:hAnsi="Arial" w:cs="Arial"/>
                <w:sz w:val="22"/>
                <w:szCs w:val="22"/>
                <w:lang w:val="en-US"/>
              </w:rPr>
              <w:t>CONAC</w:t>
            </w:r>
          </w:p>
          <w:p w14:paraId="66B86F25" w14:textId="52C7B74E" w:rsidR="00E60408" w:rsidRPr="00063838" w:rsidRDefault="00E60408" w:rsidP="00860AB9">
            <w:pPr>
              <w:spacing w:before="20" w:after="20"/>
              <w:rPr>
                <w:rFonts w:ascii="Arial" w:hAnsi="Arial" w:cs="Arial"/>
                <w:sz w:val="22"/>
                <w:szCs w:val="22"/>
                <w:lang w:val="en-US"/>
              </w:rPr>
            </w:pPr>
            <w:r>
              <w:rPr>
                <w:rFonts w:ascii="Arial" w:hAnsi="Arial" w:cs="Arial"/>
                <w:sz w:val="22"/>
                <w:szCs w:val="22"/>
                <w:lang w:val="en-US"/>
              </w:rPr>
              <w:t>CP</w:t>
            </w:r>
          </w:p>
          <w:p w14:paraId="6CC90C70" w14:textId="64227B7F" w:rsidR="00BD57CA" w:rsidRPr="00063838" w:rsidRDefault="00D91BCD" w:rsidP="00860AB9">
            <w:pPr>
              <w:spacing w:before="20" w:after="20"/>
              <w:rPr>
                <w:rFonts w:ascii="Arial" w:hAnsi="Arial" w:cs="Arial"/>
                <w:sz w:val="22"/>
                <w:szCs w:val="22"/>
                <w:lang w:val="en-US"/>
              </w:rPr>
            </w:pPr>
            <w:r w:rsidRPr="00063838">
              <w:rPr>
                <w:rFonts w:ascii="Arial" w:hAnsi="Arial" w:cs="Arial"/>
                <w:sz w:val="22"/>
                <w:szCs w:val="22"/>
                <w:lang w:val="en-US"/>
              </w:rPr>
              <w:t>DEG</w:t>
            </w:r>
          </w:p>
          <w:p w14:paraId="19E89C5E" w14:textId="11C7DF6A" w:rsidR="00253D3E" w:rsidRDefault="00253D3E" w:rsidP="00860AB9">
            <w:pPr>
              <w:spacing w:before="20" w:after="20"/>
              <w:rPr>
                <w:rFonts w:ascii="Arial" w:hAnsi="Arial" w:cs="Arial"/>
                <w:sz w:val="22"/>
                <w:szCs w:val="22"/>
                <w:lang w:val="en-US"/>
              </w:rPr>
            </w:pPr>
            <w:r w:rsidRPr="00063838">
              <w:rPr>
                <w:rFonts w:ascii="Arial" w:hAnsi="Arial" w:cs="Arial"/>
                <w:sz w:val="22"/>
                <w:szCs w:val="22"/>
                <w:lang w:val="en-US"/>
              </w:rPr>
              <w:t>DOF</w:t>
            </w:r>
          </w:p>
          <w:p w14:paraId="3BD29490" w14:textId="0E4C0C19" w:rsidR="00F9580E" w:rsidRPr="00063838" w:rsidRDefault="00F9580E" w:rsidP="00860AB9">
            <w:pPr>
              <w:spacing w:before="20" w:after="20"/>
              <w:rPr>
                <w:rFonts w:ascii="Arial" w:hAnsi="Arial" w:cs="Arial"/>
                <w:sz w:val="22"/>
                <w:szCs w:val="22"/>
                <w:lang w:val="en-US"/>
              </w:rPr>
            </w:pPr>
            <w:r>
              <w:rPr>
                <w:rFonts w:ascii="Arial" w:hAnsi="Arial" w:cs="Arial"/>
                <w:sz w:val="22"/>
                <w:szCs w:val="22"/>
                <w:lang w:val="en-US"/>
              </w:rPr>
              <w:t>EP</w:t>
            </w:r>
          </w:p>
          <w:p w14:paraId="5975E89E" w14:textId="1A8B7561" w:rsidR="003F69C9" w:rsidRDefault="003F69C9" w:rsidP="00860AB9">
            <w:pPr>
              <w:spacing w:before="20" w:after="20"/>
              <w:rPr>
                <w:rFonts w:ascii="Arial" w:hAnsi="Arial" w:cs="Arial"/>
                <w:sz w:val="22"/>
                <w:szCs w:val="22"/>
                <w:lang w:val="en-US"/>
              </w:rPr>
            </w:pPr>
            <w:proofErr w:type="spellStart"/>
            <w:r w:rsidRPr="00063838">
              <w:rPr>
                <w:rFonts w:ascii="Arial" w:hAnsi="Arial" w:cs="Arial"/>
                <w:sz w:val="22"/>
                <w:szCs w:val="22"/>
                <w:lang w:val="en-US"/>
              </w:rPr>
              <w:t>E</w:t>
            </w:r>
            <w:r w:rsidR="00A159C1" w:rsidRPr="00063838">
              <w:rPr>
                <w:rFonts w:ascii="Arial" w:hAnsi="Arial" w:cs="Arial"/>
                <w:sz w:val="22"/>
                <w:szCs w:val="22"/>
                <w:lang w:val="en-US"/>
              </w:rPr>
              <w:t>yM</w:t>
            </w:r>
            <w:proofErr w:type="spellEnd"/>
          </w:p>
          <w:p w14:paraId="7322DBD5" w14:textId="729938E8" w:rsidR="00F9580E" w:rsidRDefault="00F9580E" w:rsidP="00860AB9">
            <w:pPr>
              <w:spacing w:before="20" w:after="20"/>
              <w:rPr>
                <w:rFonts w:ascii="Arial" w:hAnsi="Arial" w:cs="Arial"/>
                <w:sz w:val="22"/>
                <w:szCs w:val="22"/>
                <w:lang w:val="en-US"/>
              </w:rPr>
            </w:pPr>
            <w:r>
              <w:rPr>
                <w:rFonts w:ascii="Arial" w:hAnsi="Arial" w:cs="Arial"/>
                <w:sz w:val="22"/>
                <w:szCs w:val="22"/>
                <w:lang w:val="en-US"/>
              </w:rPr>
              <w:t>EF</w:t>
            </w:r>
          </w:p>
          <w:p w14:paraId="6CC90C71" w14:textId="49CAE154" w:rsidR="0080138D" w:rsidRPr="00063838" w:rsidRDefault="0080138D" w:rsidP="00860AB9">
            <w:pPr>
              <w:spacing w:before="20" w:after="20"/>
              <w:rPr>
                <w:rFonts w:ascii="Arial" w:hAnsi="Arial" w:cs="Arial"/>
                <w:sz w:val="22"/>
                <w:szCs w:val="22"/>
                <w:lang w:val="en-US"/>
              </w:rPr>
            </w:pPr>
            <w:r>
              <w:rPr>
                <w:rFonts w:ascii="Arial" w:hAnsi="Arial" w:cs="Arial"/>
                <w:sz w:val="22"/>
                <w:szCs w:val="22"/>
                <w:lang w:val="en-US"/>
              </w:rPr>
              <w:t>GC</w:t>
            </w:r>
          </w:p>
        </w:tc>
        <w:tc>
          <w:tcPr>
            <w:tcW w:w="7128" w:type="dxa"/>
            <w:tcBorders>
              <w:top w:val="single" w:sz="4" w:space="0" w:color="auto"/>
              <w:right w:val="single" w:sz="4" w:space="0" w:color="auto"/>
            </w:tcBorders>
          </w:tcPr>
          <w:p w14:paraId="6CC90C72" w14:textId="77777777" w:rsidR="004A22E0" w:rsidRPr="00063838" w:rsidRDefault="004A22E0" w:rsidP="00860AB9">
            <w:pPr>
              <w:spacing w:before="20" w:after="20"/>
              <w:rPr>
                <w:rFonts w:ascii="Arial" w:eastAsiaTheme="minorHAnsi" w:hAnsi="Arial" w:cs="Arial"/>
                <w:sz w:val="22"/>
                <w:szCs w:val="22"/>
                <w:lang w:val="es-MX"/>
              </w:rPr>
            </w:pPr>
            <w:r w:rsidRPr="00063838">
              <w:rPr>
                <w:rFonts w:ascii="Arial" w:eastAsiaTheme="minorHAnsi" w:hAnsi="Arial" w:cs="Arial"/>
                <w:sz w:val="22"/>
                <w:szCs w:val="22"/>
                <w:lang w:val="es-MX"/>
              </w:rPr>
              <w:t>Ahorro Financiero Fiscal</w:t>
            </w:r>
          </w:p>
          <w:p w14:paraId="6CC90C73" w14:textId="755E3129" w:rsidR="00DF5753" w:rsidRDefault="00DF5753" w:rsidP="00860AB9">
            <w:pPr>
              <w:spacing w:before="20" w:after="20"/>
              <w:rPr>
                <w:rFonts w:ascii="Arial" w:eastAsiaTheme="minorHAnsi" w:hAnsi="Arial" w:cs="Arial"/>
                <w:sz w:val="22"/>
                <w:szCs w:val="22"/>
                <w:lang w:val="es-MX"/>
              </w:rPr>
            </w:pPr>
            <w:r w:rsidRPr="00063838">
              <w:rPr>
                <w:rFonts w:ascii="Arial" w:eastAsiaTheme="minorHAnsi" w:hAnsi="Arial" w:cs="Arial"/>
                <w:sz w:val="22"/>
                <w:szCs w:val="22"/>
                <w:lang w:val="es-MX"/>
              </w:rPr>
              <w:t>Banco Interamericano de Desarrollo</w:t>
            </w:r>
          </w:p>
          <w:p w14:paraId="3990E596" w14:textId="4DBE7067" w:rsidR="009222BF" w:rsidRPr="00063838" w:rsidRDefault="009222BF" w:rsidP="00860AB9">
            <w:pPr>
              <w:spacing w:before="20" w:after="20"/>
              <w:rPr>
                <w:rFonts w:ascii="Arial" w:eastAsiaTheme="minorHAnsi" w:hAnsi="Arial" w:cs="Arial"/>
                <w:sz w:val="22"/>
                <w:szCs w:val="22"/>
                <w:lang w:val="es-MX"/>
              </w:rPr>
            </w:pPr>
            <w:r>
              <w:rPr>
                <w:rFonts w:ascii="Arial" w:eastAsiaTheme="minorHAnsi" w:hAnsi="Arial" w:cs="Arial"/>
                <w:sz w:val="22"/>
                <w:szCs w:val="22"/>
                <w:lang w:val="es-MX"/>
              </w:rPr>
              <w:t>Banco de México</w:t>
            </w:r>
          </w:p>
          <w:p w14:paraId="6CC90C74" w14:textId="52CFFA3C" w:rsidR="00D70351" w:rsidRDefault="000E2AA8" w:rsidP="00860AB9">
            <w:pPr>
              <w:spacing w:before="20" w:after="20"/>
              <w:rPr>
                <w:rFonts w:ascii="Arial" w:hAnsi="Arial" w:cs="Arial"/>
                <w:color w:val="000000"/>
                <w:sz w:val="22"/>
                <w:szCs w:val="22"/>
                <w:lang w:val="es-ES"/>
              </w:rPr>
            </w:pPr>
            <w:r>
              <w:rPr>
                <w:rFonts w:ascii="Arial" w:hAnsi="Arial" w:cs="Arial"/>
                <w:color w:val="000000"/>
                <w:sz w:val="22"/>
                <w:szCs w:val="22"/>
                <w:lang w:val="es-ES"/>
              </w:rPr>
              <w:t>Con</w:t>
            </w:r>
            <w:r w:rsidR="00D9356E">
              <w:rPr>
                <w:rFonts w:ascii="Arial" w:hAnsi="Arial" w:cs="Arial"/>
                <w:color w:val="000000"/>
                <w:sz w:val="22"/>
                <w:szCs w:val="22"/>
                <w:lang w:val="es-ES"/>
              </w:rPr>
              <w:t>s</w:t>
            </w:r>
            <w:r>
              <w:rPr>
                <w:rFonts w:ascii="Arial" w:hAnsi="Arial" w:cs="Arial"/>
                <w:color w:val="000000"/>
                <w:sz w:val="22"/>
                <w:szCs w:val="22"/>
                <w:lang w:val="es-ES"/>
              </w:rPr>
              <w:t>ejo</w:t>
            </w:r>
            <w:r w:rsidR="00D91BCD" w:rsidRPr="00063838">
              <w:rPr>
                <w:rFonts w:ascii="Arial" w:hAnsi="Arial" w:cs="Arial"/>
                <w:color w:val="000000"/>
                <w:sz w:val="22"/>
                <w:szCs w:val="22"/>
                <w:lang w:val="es-ES"/>
              </w:rPr>
              <w:t xml:space="preserve"> Nacional de Armonización Contable</w:t>
            </w:r>
          </w:p>
          <w:p w14:paraId="0FBFB3E8" w14:textId="2E05911D" w:rsidR="00E60408" w:rsidRPr="00063838" w:rsidRDefault="00E60408" w:rsidP="00860AB9">
            <w:pPr>
              <w:spacing w:before="20" w:after="20"/>
              <w:rPr>
                <w:rFonts w:ascii="Arial" w:eastAsiaTheme="minorHAnsi" w:hAnsi="Arial" w:cs="Arial"/>
                <w:sz w:val="22"/>
                <w:szCs w:val="22"/>
                <w:lang w:val="es-MX"/>
              </w:rPr>
            </w:pPr>
            <w:r>
              <w:rPr>
                <w:rFonts w:ascii="Arial" w:eastAsiaTheme="minorHAnsi" w:hAnsi="Arial" w:cs="Arial"/>
                <w:sz w:val="22"/>
                <w:szCs w:val="22"/>
                <w:lang w:val="es-MX"/>
              </w:rPr>
              <w:t>Cuenta Pública</w:t>
            </w:r>
          </w:p>
          <w:p w14:paraId="6CC90C75" w14:textId="6EB6B19F" w:rsidR="00BD57CA" w:rsidRPr="00063838" w:rsidRDefault="00D91BCD" w:rsidP="00860AB9">
            <w:pPr>
              <w:spacing w:before="20" w:after="20"/>
              <w:rPr>
                <w:rFonts w:ascii="Arial" w:eastAsiaTheme="minorHAnsi" w:hAnsi="Arial" w:cs="Arial"/>
                <w:sz w:val="22"/>
                <w:szCs w:val="22"/>
                <w:lang w:val="es-MX"/>
              </w:rPr>
            </w:pPr>
            <w:r w:rsidRPr="00063838">
              <w:rPr>
                <w:rFonts w:ascii="Arial" w:eastAsiaTheme="minorHAnsi" w:hAnsi="Arial" w:cs="Arial"/>
                <w:sz w:val="22"/>
                <w:szCs w:val="22"/>
                <w:lang w:val="es-MX"/>
              </w:rPr>
              <w:t>Deuda Estatal Garantizada</w:t>
            </w:r>
          </w:p>
          <w:p w14:paraId="71C906D0" w14:textId="5704B32F" w:rsidR="00253D3E" w:rsidRDefault="00253D3E" w:rsidP="00860AB9">
            <w:pPr>
              <w:spacing w:before="20" w:after="20"/>
              <w:rPr>
                <w:rFonts w:ascii="Arial" w:eastAsiaTheme="minorHAnsi" w:hAnsi="Arial" w:cs="Arial"/>
                <w:sz w:val="22"/>
                <w:szCs w:val="22"/>
                <w:lang w:val="es-MX"/>
              </w:rPr>
            </w:pPr>
            <w:r w:rsidRPr="00063838">
              <w:rPr>
                <w:rFonts w:ascii="Arial" w:eastAsiaTheme="minorHAnsi" w:hAnsi="Arial" w:cs="Arial"/>
                <w:sz w:val="22"/>
                <w:szCs w:val="22"/>
                <w:lang w:val="es-MX"/>
              </w:rPr>
              <w:t>Diario Oficial de la Federación</w:t>
            </w:r>
          </w:p>
          <w:p w14:paraId="6A5B0589" w14:textId="564D7146" w:rsidR="00F9580E" w:rsidRPr="00063838" w:rsidRDefault="00F9580E" w:rsidP="00860AB9">
            <w:pPr>
              <w:spacing w:before="20" w:after="20"/>
              <w:rPr>
                <w:rFonts w:ascii="Arial" w:eastAsiaTheme="minorHAnsi" w:hAnsi="Arial" w:cs="Arial"/>
                <w:sz w:val="22"/>
                <w:szCs w:val="22"/>
                <w:lang w:val="es-MX"/>
              </w:rPr>
            </w:pPr>
            <w:r>
              <w:rPr>
                <w:rFonts w:ascii="Arial" w:eastAsiaTheme="minorHAnsi" w:hAnsi="Arial" w:cs="Arial"/>
                <w:sz w:val="22"/>
                <w:szCs w:val="22"/>
                <w:lang w:val="es-MX"/>
              </w:rPr>
              <w:t xml:space="preserve">Entes </w:t>
            </w:r>
            <w:r w:rsidR="006A2497">
              <w:rPr>
                <w:rFonts w:ascii="Arial" w:eastAsiaTheme="minorHAnsi" w:hAnsi="Arial" w:cs="Arial"/>
                <w:sz w:val="22"/>
                <w:szCs w:val="22"/>
                <w:lang w:val="es-MX"/>
              </w:rPr>
              <w:t>Públicos</w:t>
            </w:r>
          </w:p>
          <w:p w14:paraId="72DDB55C" w14:textId="071155A7" w:rsidR="003F69C9" w:rsidRDefault="00A159C1" w:rsidP="00860AB9">
            <w:pPr>
              <w:spacing w:before="20" w:after="20"/>
              <w:rPr>
                <w:rFonts w:ascii="Arial" w:hAnsi="Arial" w:cs="Arial"/>
                <w:sz w:val="22"/>
                <w:szCs w:val="22"/>
                <w:lang w:val="es-ES"/>
              </w:rPr>
            </w:pPr>
            <w:r w:rsidRPr="00063838">
              <w:rPr>
                <w:rFonts w:ascii="Arial" w:hAnsi="Arial" w:cs="Arial"/>
                <w:sz w:val="22"/>
                <w:szCs w:val="22"/>
                <w:lang w:val="es-ES"/>
              </w:rPr>
              <w:t>E</w:t>
            </w:r>
            <w:r w:rsidR="000C66D7">
              <w:rPr>
                <w:rFonts w:ascii="Arial" w:hAnsi="Arial" w:cs="Arial"/>
                <w:sz w:val="22"/>
                <w:szCs w:val="22"/>
                <w:lang w:val="es-ES"/>
              </w:rPr>
              <w:t>ntidades Federativas</w:t>
            </w:r>
            <w:r w:rsidRPr="00063838">
              <w:rPr>
                <w:rFonts w:ascii="Arial" w:hAnsi="Arial" w:cs="Arial"/>
                <w:sz w:val="22"/>
                <w:szCs w:val="22"/>
                <w:lang w:val="es-ES"/>
              </w:rPr>
              <w:t xml:space="preserve"> y Municipios</w:t>
            </w:r>
          </w:p>
          <w:p w14:paraId="5D6CF41B" w14:textId="545BB1F3" w:rsidR="00F9580E" w:rsidRDefault="00F9580E" w:rsidP="00860AB9">
            <w:pPr>
              <w:spacing w:before="20" w:after="20"/>
              <w:rPr>
                <w:rFonts w:ascii="Arial" w:hAnsi="Arial" w:cs="Arial"/>
                <w:sz w:val="22"/>
                <w:szCs w:val="22"/>
                <w:lang w:val="es-ES"/>
              </w:rPr>
            </w:pPr>
            <w:r>
              <w:rPr>
                <w:rFonts w:ascii="Arial" w:hAnsi="Arial" w:cs="Arial"/>
                <w:sz w:val="22"/>
                <w:szCs w:val="22"/>
                <w:lang w:val="es-ES"/>
              </w:rPr>
              <w:t>Entidad Federativa</w:t>
            </w:r>
          </w:p>
          <w:p w14:paraId="6CC90C76" w14:textId="1A3A0CD0" w:rsidR="0080138D" w:rsidRPr="00063838" w:rsidRDefault="0080138D" w:rsidP="00860AB9">
            <w:pPr>
              <w:spacing w:before="20" w:after="20"/>
              <w:rPr>
                <w:rFonts w:ascii="Arial" w:hAnsi="Arial" w:cs="Arial"/>
                <w:sz w:val="22"/>
                <w:szCs w:val="22"/>
                <w:lang w:val="es-ES"/>
              </w:rPr>
            </w:pPr>
            <w:r>
              <w:rPr>
                <w:rFonts w:ascii="Arial" w:hAnsi="Arial" w:cs="Arial"/>
                <w:sz w:val="22"/>
                <w:szCs w:val="22"/>
                <w:lang w:val="es-ES"/>
              </w:rPr>
              <w:t>Gobierno Central</w:t>
            </w:r>
          </w:p>
        </w:tc>
      </w:tr>
      <w:tr w:rsidR="00A25974" w:rsidRPr="00046E14" w14:paraId="6CC90C84" w14:textId="77777777" w:rsidTr="003F69C9">
        <w:trPr>
          <w:cantSplit/>
        </w:trPr>
        <w:tc>
          <w:tcPr>
            <w:tcW w:w="1512" w:type="dxa"/>
            <w:tcBorders>
              <w:left w:val="single" w:sz="4" w:space="0" w:color="auto"/>
            </w:tcBorders>
          </w:tcPr>
          <w:p w14:paraId="6CC90C78" w14:textId="4911A5FA" w:rsidR="00BD57CA" w:rsidRPr="00181729" w:rsidRDefault="00D91BCD" w:rsidP="00860AB9">
            <w:pPr>
              <w:spacing w:before="20" w:after="20"/>
              <w:rPr>
                <w:rFonts w:ascii="Arial" w:hAnsi="Arial" w:cs="Arial"/>
                <w:sz w:val="22"/>
                <w:szCs w:val="22"/>
                <w:lang w:val="en-US"/>
              </w:rPr>
            </w:pPr>
            <w:r w:rsidRPr="00181729">
              <w:rPr>
                <w:rFonts w:ascii="Arial" w:hAnsi="Arial" w:cs="Arial"/>
                <w:sz w:val="22"/>
                <w:szCs w:val="22"/>
                <w:lang w:val="en-US"/>
              </w:rPr>
              <w:t>ILD</w:t>
            </w:r>
          </w:p>
          <w:p w14:paraId="4B135A0F" w14:textId="7BA102B7" w:rsidR="007678B2" w:rsidRPr="00181729" w:rsidRDefault="007678B2" w:rsidP="00860AB9">
            <w:pPr>
              <w:spacing w:before="20" w:after="20"/>
              <w:rPr>
                <w:rFonts w:ascii="Arial" w:hAnsi="Arial" w:cs="Arial"/>
                <w:sz w:val="22"/>
                <w:szCs w:val="22"/>
                <w:lang w:val="en-US"/>
              </w:rPr>
            </w:pPr>
            <w:r w:rsidRPr="00181729">
              <w:rPr>
                <w:rFonts w:ascii="Arial" w:hAnsi="Arial" w:cs="Arial"/>
                <w:sz w:val="22"/>
                <w:szCs w:val="22"/>
                <w:lang w:val="en-US"/>
              </w:rPr>
              <w:t>INDETEC</w:t>
            </w:r>
          </w:p>
          <w:p w14:paraId="6AF231D8" w14:textId="2130BEBC" w:rsidR="009C620C" w:rsidRPr="00181729" w:rsidRDefault="009C620C" w:rsidP="00860AB9">
            <w:pPr>
              <w:spacing w:before="20" w:after="20"/>
              <w:rPr>
                <w:rFonts w:ascii="Arial" w:hAnsi="Arial" w:cs="Arial"/>
                <w:sz w:val="22"/>
                <w:szCs w:val="22"/>
                <w:lang w:val="en-US"/>
              </w:rPr>
            </w:pPr>
            <w:r w:rsidRPr="00181729">
              <w:rPr>
                <w:rFonts w:ascii="Arial" w:hAnsi="Arial" w:cs="Arial"/>
                <w:sz w:val="22"/>
                <w:szCs w:val="22"/>
                <w:lang w:val="en-US"/>
              </w:rPr>
              <w:t>INEGI</w:t>
            </w:r>
          </w:p>
          <w:p w14:paraId="6CC90C7B" w14:textId="3145DC23" w:rsidR="00A5509A" w:rsidRDefault="00063838" w:rsidP="00860AB9">
            <w:pPr>
              <w:spacing w:before="20" w:after="20"/>
              <w:rPr>
                <w:rFonts w:ascii="Arial" w:hAnsi="Arial" w:cs="Arial"/>
                <w:sz w:val="22"/>
                <w:szCs w:val="22"/>
                <w:lang w:val="en-US"/>
              </w:rPr>
            </w:pPr>
            <w:r w:rsidRPr="00181729">
              <w:rPr>
                <w:rFonts w:ascii="Arial" w:hAnsi="Arial" w:cs="Arial"/>
                <w:sz w:val="22"/>
                <w:szCs w:val="22"/>
                <w:lang w:val="en-US"/>
              </w:rPr>
              <w:t>LDF</w:t>
            </w:r>
          </w:p>
          <w:p w14:paraId="601AECCD" w14:textId="25CDF219" w:rsidR="006D1242" w:rsidRDefault="006D1242" w:rsidP="00860AB9">
            <w:pPr>
              <w:spacing w:before="20" w:after="20"/>
              <w:rPr>
                <w:rFonts w:ascii="Arial" w:hAnsi="Arial" w:cs="Arial"/>
                <w:sz w:val="22"/>
                <w:szCs w:val="22"/>
                <w:lang w:val="en-US"/>
              </w:rPr>
            </w:pPr>
          </w:p>
          <w:p w14:paraId="68CD78A7" w14:textId="25263E6F" w:rsidR="006D1242" w:rsidRPr="00181729" w:rsidRDefault="006D1242" w:rsidP="00860AB9">
            <w:pPr>
              <w:spacing w:before="20" w:after="20"/>
              <w:rPr>
                <w:rFonts w:ascii="Arial" w:hAnsi="Arial" w:cs="Arial"/>
                <w:sz w:val="22"/>
                <w:szCs w:val="22"/>
                <w:lang w:val="en-US"/>
              </w:rPr>
            </w:pPr>
            <w:r>
              <w:rPr>
                <w:rFonts w:ascii="Arial" w:hAnsi="Arial" w:cs="Arial"/>
                <w:sz w:val="22"/>
                <w:szCs w:val="22"/>
                <w:lang w:val="en-US"/>
              </w:rPr>
              <w:t>PBP</w:t>
            </w:r>
          </w:p>
          <w:p w14:paraId="6CC90C7C" w14:textId="7FB10744" w:rsidR="00A5509A" w:rsidRPr="00181729" w:rsidRDefault="003F69C9" w:rsidP="00860AB9">
            <w:pPr>
              <w:spacing w:before="20" w:after="20"/>
              <w:rPr>
                <w:rFonts w:ascii="Arial" w:hAnsi="Arial" w:cs="Arial"/>
                <w:sz w:val="22"/>
                <w:szCs w:val="22"/>
                <w:lang w:val="en-US"/>
              </w:rPr>
            </w:pPr>
            <w:r w:rsidRPr="00181729">
              <w:rPr>
                <w:rFonts w:ascii="Arial" w:hAnsi="Arial" w:cs="Arial"/>
                <w:sz w:val="22"/>
                <w:szCs w:val="22"/>
                <w:lang w:val="en-US"/>
              </w:rPr>
              <w:t>PCR</w:t>
            </w:r>
          </w:p>
          <w:p w14:paraId="27A7F884" w14:textId="77777777" w:rsidR="00297501" w:rsidRPr="00181729" w:rsidRDefault="00297501" w:rsidP="00860AB9">
            <w:pPr>
              <w:spacing w:before="20" w:after="20"/>
              <w:rPr>
                <w:rFonts w:ascii="Arial" w:hAnsi="Arial" w:cs="Arial"/>
                <w:sz w:val="22"/>
                <w:szCs w:val="22"/>
                <w:lang w:val="en-US"/>
              </w:rPr>
            </w:pPr>
            <w:r w:rsidRPr="00181729">
              <w:rPr>
                <w:rFonts w:ascii="Arial" w:hAnsi="Arial" w:cs="Arial"/>
                <w:sz w:val="22"/>
                <w:szCs w:val="22"/>
                <w:lang w:val="en-US"/>
              </w:rPr>
              <w:t>PIB</w:t>
            </w:r>
          </w:p>
          <w:p w14:paraId="2FB6F9C0" w14:textId="77777777" w:rsidR="005265D1" w:rsidRDefault="005265D1" w:rsidP="00860AB9">
            <w:pPr>
              <w:spacing w:before="20" w:after="20"/>
              <w:rPr>
                <w:rFonts w:ascii="Arial" w:hAnsi="Arial" w:cs="Arial"/>
                <w:sz w:val="22"/>
                <w:szCs w:val="22"/>
                <w:lang w:val="fr-FR"/>
              </w:rPr>
            </w:pPr>
            <w:r>
              <w:rPr>
                <w:rFonts w:ascii="Arial" w:hAnsi="Arial" w:cs="Arial"/>
                <w:sz w:val="22"/>
                <w:szCs w:val="22"/>
                <w:lang w:val="fr-FR"/>
              </w:rPr>
              <w:t>POD</w:t>
            </w:r>
          </w:p>
          <w:p w14:paraId="163211F4" w14:textId="77777777" w:rsidR="00A85CD2" w:rsidRDefault="00A85CD2" w:rsidP="00860AB9">
            <w:pPr>
              <w:spacing w:before="20" w:after="20"/>
              <w:rPr>
                <w:rFonts w:ascii="Arial" w:hAnsi="Arial" w:cs="Arial"/>
                <w:sz w:val="22"/>
                <w:szCs w:val="22"/>
                <w:lang w:val="fr-FR"/>
              </w:rPr>
            </w:pPr>
            <w:r>
              <w:rPr>
                <w:rFonts w:ascii="Arial" w:hAnsi="Arial" w:cs="Arial"/>
                <w:sz w:val="22"/>
                <w:szCs w:val="22"/>
                <w:lang w:val="fr-FR"/>
              </w:rPr>
              <w:t>RPU</w:t>
            </w:r>
          </w:p>
          <w:p w14:paraId="6CC90C7D" w14:textId="54D81B88" w:rsidR="00F667EC" w:rsidRPr="008346DD" w:rsidRDefault="00F667EC" w:rsidP="00860AB9">
            <w:pPr>
              <w:spacing w:before="20" w:after="20"/>
              <w:rPr>
                <w:rFonts w:ascii="Arial" w:hAnsi="Arial" w:cs="Arial"/>
                <w:sz w:val="22"/>
                <w:szCs w:val="22"/>
                <w:highlight w:val="yellow"/>
                <w:lang w:val="fr-FR"/>
              </w:rPr>
            </w:pPr>
            <w:proofErr w:type="spellStart"/>
            <w:r>
              <w:rPr>
                <w:rFonts w:ascii="Arial" w:hAnsi="Arial" w:cs="Arial"/>
                <w:sz w:val="22"/>
                <w:szCs w:val="22"/>
                <w:lang w:val="fr-FR"/>
              </w:rPr>
              <w:t>SdA</w:t>
            </w:r>
            <w:proofErr w:type="spellEnd"/>
          </w:p>
        </w:tc>
        <w:tc>
          <w:tcPr>
            <w:tcW w:w="7128" w:type="dxa"/>
            <w:tcBorders>
              <w:right w:val="single" w:sz="4" w:space="0" w:color="auto"/>
            </w:tcBorders>
          </w:tcPr>
          <w:p w14:paraId="6CC90C7E" w14:textId="2E361987" w:rsidR="009004F8" w:rsidRPr="00D91BCD" w:rsidRDefault="00D91BCD" w:rsidP="00860AB9">
            <w:pPr>
              <w:spacing w:before="20" w:after="20"/>
              <w:rPr>
                <w:rFonts w:ascii="Arial" w:hAnsi="Arial" w:cs="Arial"/>
                <w:sz w:val="22"/>
                <w:szCs w:val="22"/>
                <w:lang w:val="es-ES"/>
              </w:rPr>
            </w:pPr>
            <w:r>
              <w:rPr>
                <w:rFonts w:ascii="Arial" w:hAnsi="Arial" w:cs="Arial"/>
                <w:sz w:val="22"/>
                <w:szCs w:val="22"/>
                <w:lang w:val="es-ES"/>
              </w:rPr>
              <w:t>Ingreso de Libre Disposición</w:t>
            </w:r>
          </w:p>
          <w:p w14:paraId="6CC90C7F" w14:textId="6121E4B1" w:rsidR="00BD57CA" w:rsidRDefault="007678B2" w:rsidP="00860AB9">
            <w:pPr>
              <w:spacing w:before="20" w:after="20"/>
              <w:rPr>
                <w:rFonts w:ascii="Arial" w:hAnsi="Arial" w:cs="Arial"/>
                <w:sz w:val="22"/>
                <w:szCs w:val="22"/>
                <w:lang w:val="es-MX"/>
              </w:rPr>
            </w:pPr>
            <w:r w:rsidRPr="007678B2">
              <w:rPr>
                <w:rFonts w:ascii="Arial" w:hAnsi="Arial" w:cs="Arial"/>
                <w:sz w:val="22"/>
                <w:szCs w:val="22"/>
                <w:lang w:val="es-MX"/>
              </w:rPr>
              <w:t>Instituto para el Desarrollo Técnico de las Haciendas Públicas</w:t>
            </w:r>
          </w:p>
          <w:p w14:paraId="6C4F53D5" w14:textId="0BF244C0" w:rsidR="009C620C" w:rsidRPr="007678B2" w:rsidRDefault="009C620C" w:rsidP="00860AB9">
            <w:pPr>
              <w:spacing w:before="20" w:after="20"/>
              <w:rPr>
                <w:rFonts w:ascii="Arial" w:hAnsi="Arial" w:cs="Arial"/>
                <w:sz w:val="22"/>
                <w:szCs w:val="22"/>
                <w:lang w:val="es-MX"/>
              </w:rPr>
            </w:pPr>
            <w:r>
              <w:rPr>
                <w:rFonts w:ascii="Arial" w:hAnsi="Arial" w:cs="Arial"/>
                <w:sz w:val="22"/>
                <w:szCs w:val="22"/>
              </w:rPr>
              <w:t>Instituto Nacional de Estadísticas y Geografía</w:t>
            </w:r>
          </w:p>
          <w:p w14:paraId="6CC90C80" w14:textId="4735E3D1" w:rsidR="00A5509A" w:rsidRDefault="00063838" w:rsidP="00860AB9">
            <w:pPr>
              <w:spacing w:before="20" w:after="20"/>
              <w:rPr>
                <w:rFonts w:ascii="Arial" w:eastAsiaTheme="minorHAnsi" w:hAnsi="Arial" w:cs="Arial"/>
                <w:iCs/>
                <w:sz w:val="22"/>
                <w:szCs w:val="22"/>
                <w:lang w:val="es-MX"/>
              </w:rPr>
            </w:pPr>
            <w:r>
              <w:rPr>
                <w:rFonts w:ascii="Arial" w:eastAsiaTheme="minorHAnsi" w:hAnsi="Arial" w:cs="Arial"/>
                <w:iCs/>
                <w:sz w:val="22"/>
                <w:szCs w:val="22"/>
                <w:lang w:val="es-MX"/>
              </w:rPr>
              <w:t>Ley de Disciplina Financiera de las Entidades Federativas y los Municipios</w:t>
            </w:r>
          </w:p>
          <w:p w14:paraId="7971AB4E" w14:textId="6172BEE5" w:rsidR="006D1242" w:rsidRPr="006D1242" w:rsidRDefault="006D1242" w:rsidP="00860AB9">
            <w:pPr>
              <w:spacing w:before="20" w:after="20"/>
              <w:rPr>
                <w:rFonts w:ascii="Arial" w:eastAsiaTheme="minorHAnsi" w:hAnsi="Arial" w:cs="Arial"/>
                <w:iCs/>
                <w:sz w:val="22"/>
                <w:szCs w:val="22"/>
                <w:lang w:val="es-MX"/>
              </w:rPr>
            </w:pPr>
            <w:r w:rsidRPr="00764263">
              <w:rPr>
                <w:rFonts w:ascii="Arial" w:hAnsi="Arial" w:cs="Arial"/>
                <w:spacing w:val="-4"/>
                <w:sz w:val="22"/>
                <w:szCs w:val="22"/>
              </w:rPr>
              <w:t>Operación Programática de</w:t>
            </w:r>
            <w:r>
              <w:rPr>
                <w:rFonts w:ascii="Arial" w:hAnsi="Arial" w:cs="Arial"/>
                <w:spacing w:val="-4"/>
                <w:sz w:val="22"/>
                <w:szCs w:val="22"/>
              </w:rPr>
              <w:t xml:space="preserve"> Apoyo a Reformas de Políticas</w:t>
            </w:r>
          </w:p>
          <w:p w14:paraId="6CC90C82" w14:textId="77777777" w:rsidR="00A5509A" w:rsidRPr="00063838" w:rsidRDefault="003F69C9" w:rsidP="00860AB9">
            <w:pPr>
              <w:spacing w:before="20" w:after="20"/>
              <w:rPr>
                <w:rFonts w:ascii="Arial" w:hAnsi="Arial" w:cs="Arial"/>
                <w:sz w:val="22"/>
                <w:szCs w:val="22"/>
                <w:lang w:val="es-MX"/>
              </w:rPr>
            </w:pPr>
            <w:r w:rsidRPr="00063838">
              <w:rPr>
                <w:rFonts w:ascii="Arial" w:hAnsi="Arial" w:cs="Arial"/>
                <w:sz w:val="22"/>
                <w:szCs w:val="22"/>
                <w:lang w:val="es-ES"/>
              </w:rPr>
              <w:t xml:space="preserve">Informe de Terminación de Proyecto (Project </w:t>
            </w:r>
            <w:proofErr w:type="spellStart"/>
            <w:r w:rsidRPr="00063838">
              <w:rPr>
                <w:rFonts w:ascii="Arial" w:hAnsi="Arial" w:cs="Arial"/>
                <w:sz w:val="22"/>
                <w:szCs w:val="22"/>
              </w:rPr>
              <w:t>Completion</w:t>
            </w:r>
            <w:proofErr w:type="spellEnd"/>
            <w:r w:rsidRPr="00063838">
              <w:rPr>
                <w:rFonts w:ascii="Arial" w:hAnsi="Arial" w:cs="Arial"/>
                <w:sz w:val="22"/>
                <w:szCs w:val="22"/>
                <w:lang w:val="es-ES"/>
              </w:rPr>
              <w:t xml:space="preserve"> </w:t>
            </w:r>
            <w:proofErr w:type="spellStart"/>
            <w:r w:rsidRPr="00063838">
              <w:rPr>
                <w:rFonts w:ascii="Arial" w:hAnsi="Arial" w:cs="Arial"/>
                <w:sz w:val="22"/>
                <w:szCs w:val="22"/>
                <w:lang w:val="es-ES"/>
              </w:rPr>
              <w:t>Report</w:t>
            </w:r>
            <w:proofErr w:type="spellEnd"/>
            <w:r w:rsidRPr="00063838">
              <w:rPr>
                <w:rFonts w:ascii="Arial" w:hAnsi="Arial" w:cs="Arial"/>
                <w:sz w:val="22"/>
                <w:szCs w:val="22"/>
                <w:lang w:val="es-ES"/>
              </w:rPr>
              <w:t>)</w:t>
            </w:r>
          </w:p>
          <w:p w14:paraId="74C46BD4" w14:textId="77777777" w:rsidR="00297501" w:rsidRDefault="00297501" w:rsidP="00860AB9">
            <w:pPr>
              <w:spacing w:before="20" w:after="20"/>
              <w:rPr>
                <w:rFonts w:ascii="Arial" w:eastAsiaTheme="minorHAnsi" w:hAnsi="Arial" w:cs="Arial"/>
                <w:sz w:val="22"/>
                <w:szCs w:val="22"/>
                <w:lang w:val="es-MX"/>
              </w:rPr>
            </w:pPr>
            <w:r w:rsidRPr="00D91BCD">
              <w:rPr>
                <w:rFonts w:ascii="Arial" w:eastAsiaTheme="minorHAnsi" w:hAnsi="Arial" w:cs="Arial"/>
                <w:sz w:val="22"/>
                <w:szCs w:val="22"/>
                <w:lang w:val="es-MX"/>
              </w:rPr>
              <w:t>Producto Interno Bruto</w:t>
            </w:r>
          </w:p>
          <w:p w14:paraId="264940E9" w14:textId="77777777" w:rsidR="005265D1" w:rsidRDefault="005265D1" w:rsidP="00860AB9">
            <w:pPr>
              <w:spacing w:before="20" w:after="20"/>
              <w:rPr>
                <w:rFonts w:ascii="Arial" w:hAnsi="Arial" w:cs="Arial"/>
                <w:sz w:val="22"/>
                <w:szCs w:val="22"/>
                <w:lang w:val="es-ES"/>
              </w:rPr>
            </w:pPr>
            <w:r w:rsidRPr="00253D3E">
              <w:rPr>
                <w:rFonts w:ascii="Arial" w:hAnsi="Arial" w:cs="Arial"/>
                <w:sz w:val="22"/>
                <w:szCs w:val="22"/>
                <w:lang w:val="es-ES"/>
              </w:rPr>
              <w:t>Propuesta para el Desarrollo de la Operación</w:t>
            </w:r>
          </w:p>
          <w:p w14:paraId="7276B763" w14:textId="77777777" w:rsidR="00A85CD2" w:rsidRDefault="00A85CD2" w:rsidP="00860AB9">
            <w:pPr>
              <w:spacing w:before="20" w:after="20"/>
              <w:rPr>
                <w:rFonts w:ascii="Arial" w:hAnsi="Arial" w:cs="Arial"/>
                <w:sz w:val="22"/>
                <w:szCs w:val="22"/>
                <w:lang w:val="es-ES"/>
              </w:rPr>
            </w:pPr>
            <w:r>
              <w:rPr>
                <w:rFonts w:ascii="Arial" w:hAnsi="Arial" w:cs="Arial"/>
                <w:sz w:val="22"/>
                <w:szCs w:val="22"/>
                <w:lang w:val="es-ES"/>
              </w:rPr>
              <w:t>Registro Público Único</w:t>
            </w:r>
          </w:p>
          <w:p w14:paraId="6CC90C83" w14:textId="3556C466" w:rsidR="00F667EC" w:rsidRPr="008346DD" w:rsidRDefault="00F667EC" w:rsidP="00860AB9">
            <w:pPr>
              <w:spacing w:before="20" w:after="20"/>
              <w:rPr>
                <w:rFonts w:ascii="Arial" w:hAnsi="Arial" w:cs="Arial"/>
                <w:sz w:val="22"/>
                <w:szCs w:val="22"/>
                <w:highlight w:val="yellow"/>
                <w:lang w:val="es-MX"/>
              </w:rPr>
            </w:pPr>
            <w:r>
              <w:rPr>
                <w:rFonts w:ascii="Arial" w:hAnsi="Arial" w:cs="Arial"/>
                <w:sz w:val="22"/>
                <w:szCs w:val="22"/>
                <w:lang w:val="es-ES"/>
              </w:rPr>
              <w:t>Sistema de Alertas</w:t>
            </w:r>
          </w:p>
        </w:tc>
      </w:tr>
      <w:tr w:rsidR="00A25974" w:rsidRPr="00046E14" w14:paraId="6CC90C90" w14:textId="77777777" w:rsidTr="003F69C9">
        <w:trPr>
          <w:cantSplit/>
        </w:trPr>
        <w:tc>
          <w:tcPr>
            <w:tcW w:w="1512" w:type="dxa"/>
            <w:tcBorders>
              <w:left w:val="single" w:sz="4" w:space="0" w:color="auto"/>
              <w:bottom w:val="single" w:sz="4" w:space="0" w:color="auto"/>
            </w:tcBorders>
          </w:tcPr>
          <w:p w14:paraId="6CC90C8E" w14:textId="2D91D25D" w:rsidR="009004F8" w:rsidRPr="00046E14" w:rsidRDefault="005265D1" w:rsidP="00860AB9">
            <w:pPr>
              <w:spacing w:before="20" w:after="20"/>
              <w:rPr>
                <w:rFonts w:ascii="Arial" w:hAnsi="Arial" w:cs="Arial"/>
                <w:sz w:val="22"/>
                <w:szCs w:val="22"/>
                <w:lang w:val="es-ES"/>
              </w:rPr>
            </w:pPr>
            <w:r w:rsidRPr="00D91BCD">
              <w:rPr>
                <w:rFonts w:ascii="Arial" w:hAnsi="Arial" w:cs="Arial"/>
                <w:sz w:val="22"/>
                <w:szCs w:val="22"/>
                <w:lang w:val="en-US"/>
              </w:rPr>
              <w:t>SHCP</w:t>
            </w:r>
          </w:p>
        </w:tc>
        <w:tc>
          <w:tcPr>
            <w:tcW w:w="7128" w:type="dxa"/>
            <w:tcBorders>
              <w:bottom w:val="single" w:sz="4" w:space="0" w:color="auto"/>
              <w:right w:val="single" w:sz="4" w:space="0" w:color="auto"/>
            </w:tcBorders>
          </w:tcPr>
          <w:p w14:paraId="6CC90C8F" w14:textId="65702377" w:rsidR="009004F8" w:rsidRPr="00046E14" w:rsidRDefault="005265D1" w:rsidP="00860AB9">
            <w:pPr>
              <w:spacing w:before="20" w:after="20"/>
              <w:rPr>
                <w:rFonts w:ascii="Arial" w:hAnsi="Arial" w:cs="Arial"/>
                <w:i/>
                <w:sz w:val="22"/>
                <w:szCs w:val="22"/>
                <w:lang w:val="es-ES"/>
              </w:rPr>
            </w:pPr>
            <w:r w:rsidRPr="00D91BCD">
              <w:rPr>
                <w:rFonts w:ascii="Arial" w:hAnsi="Arial" w:cs="Arial"/>
                <w:sz w:val="22"/>
                <w:szCs w:val="22"/>
                <w:lang w:val="es-ES"/>
              </w:rPr>
              <w:t>Secretaría de Hacienda y Crédito Público</w:t>
            </w:r>
          </w:p>
        </w:tc>
      </w:tr>
    </w:tbl>
    <w:p w14:paraId="6CC90C91" w14:textId="77777777" w:rsidR="00ED751C" w:rsidRPr="00046E14" w:rsidRDefault="00ED751C" w:rsidP="00ED751C">
      <w:pPr>
        <w:pStyle w:val="AbbrDesc"/>
        <w:tabs>
          <w:tab w:val="left" w:pos="1440"/>
        </w:tabs>
        <w:rPr>
          <w:rFonts w:ascii="Arial" w:hAnsi="Arial" w:cs="Arial"/>
          <w:sz w:val="22"/>
          <w:szCs w:val="22"/>
          <w:lang w:val="es-ES"/>
        </w:rPr>
        <w:sectPr w:rsidR="00ED751C" w:rsidRPr="00046E14">
          <w:headerReference w:type="first" r:id="rId12"/>
          <w:pgSz w:w="12240" w:h="15840" w:code="1"/>
          <w:pgMar w:top="1440" w:right="1800" w:bottom="1440" w:left="1800" w:header="706" w:footer="706" w:gutter="0"/>
          <w:pgNumType w:fmt="lowerRoman" w:start="1"/>
          <w:cols w:space="720"/>
          <w:formProt w:val="0"/>
          <w:titlePg/>
        </w:sectPr>
      </w:pPr>
    </w:p>
    <w:p w14:paraId="6CC90C92" w14:textId="77777777" w:rsidR="003F69C9" w:rsidRDefault="003F69C9">
      <w:pPr>
        <w:spacing w:after="200" w:line="276" w:lineRule="auto"/>
        <w:rPr>
          <w:rFonts w:ascii="Arial" w:hAnsi="Arial" w:cs="Arial"/>
          <w:b/>
          <w:smallCaps/>
          <w:szCs w:val="22"/>
          <w:lang w:val="es-ES"/>
        </w:rPr>
      </w:pPr>
      <w:r>
        <w:rPr>
          <w:rFonts w:ascii="Arial" w:hAnsi="Arial" w:cs="Arial"/>
          <w:szCs w:val="22"/>
        </w:rPr>
        <w:br w:type="page"/>
      </w:r>
    </w:p>
    <w:p w14:paraId="6CC90C93" w14:textId="77777777" w:rsidR="00ED751C" w:rsidRPr="00EB0154" w:rsidRDefault="007C1307" w:rsidP="00EB2886">
      <w:pPr>
        <w:pStyle w:val="Chapter"/>
        <w:spacing w:before="360"/>
        <w:rPr>
          <w:rFonts w:ascii="Arial" w:hAnsi="Arial" w:cs="Arial"/>
          <w:szCs w:val="22"/>
        </w:rPr>
      </w:pPr>
      <w:bookmarkStart w:id="0" w:name="_Toc468199033"/>
      <w:r>
        <w:rPr>
          <w:rFonts w:ascii="Arial" w:hAnsi="Arial" w:cs="Arial"/>
          <w:szCs w:val="22"/>
        </w:rPr>
        <w:lastRenderedPageBreak/>
        <w:t>Introducción</w:t>
      </w:r>
      <w:bookmarkEnd w:id="0"/>
      <w:r>
        <w:rPr>
          <w:rFonts w:ascii="Arial" w:hAnsi="Arial" w:cs="Arial"/>
          <w:szCs w:val="22"/>
        </w:rPr>
        <w:t xml:space="preserve"> </w:t>
      </w:r>
    </w:p>
    <w:p w14:paraId="3CB2FD51" w14:textId="61D0C6E5" w:rsidR="00CE572E" w:rsidRPr="00CE572E" w:rsidRDefault="006018AB" w:rsidP="00A159C1">
      <w:pPr>
        <w:pStyle w:val="Paragraph"/>
        <w:rPr>
          <w:rFonts w:ascii="Arial" w:hAnsi="Arial" w:cs="Arial"/>
          <w:sz w:val="22"/>
          <w:szCs w:val="22"/>
        </w:rPr>
      </w:pPr>
      <w:r w:rsidRPr="00EF2B38">
        <w:rPr>
          <w:rFonts w:ascii="Arial" w:eastAsiaTheme="minorHAnsi" w:hAnsi="Arial" w:cs="Arial"/>
          <w:sz w:val="22"/>
          <w:szCs w:val="22"/>
          <w:lang w:val="es-MX"/>
        </w:rPr>
        <w:t xml:space="preserve">El objetivo de esta serie programática es mejorar la gestión hacendaria </w:t>
      </w:r>
      <w:r w:rsidR="00FB003E">
        <w:rPr>
          <w:rFonts w:ascii="Arial" w:eastAsiaTheme="minorHAnsi" w:hAnsi="Arial" w:cs="Arial"/>
          <w:sz w:val="22"/>
          <w:szCs w:val="22"/>
          <w:lang w:val="es-MX"/>
        </w:rPr>
        <w:t>en entidades federativas</w:t>
      </w:r>
      <w:r w:rsidR="00700F69">
        <w:rPr>
          <w:rFonts w:ascii="Arial" w:eastAsiaTheme="minorHAnsi" w:hAnsi="Arial" w:cs="Arial"/>
          <w:sz w:val="22"/>
          <w:szCs w:val="22"/>
          <w:lang w:val="es-MX"/>
        </w:rPr>
        <w:t xml:space="preserve"> y municipios (</w:t>
      </w:r>
      <w:proofErr w:type="spellStart"/>
      <w:r w:rsidRPr="00EF2B38">
        <w:rPr>
          <w:rFonts w:ascii="Arial" w:eastAsiaTheme="minorHAnsi" w:hAnsi="Arial" w:cs="Arial"/>
          <w:sz w:val="22"/>
          <w:szCs w:val="22"/>
          <w:lang w:val="es-MX"/>
        </w:rPr>
        <w:t>EyM</w:t>
      </w:r>
      <w:proofErr w:type="spellEnd"/>
      <w:r w:rsidR="00700F69">
        <w:rPr>
          <w:rFonts w:ascii="Arial" w:eastAsiaTheme="minorHAnsi" w:hAnsi="Arial" w:cs="Arial"/>
          <w:sz w:val="22"/>
          <w:szCs w:val="22"/>
          <w:lang w:val="es-MX"/>
        </w:rPr>
        <w:t>)</w:t>
      </w:r>
      <w:r w:rsidR="004B280A">
        <w:rPr>
          <w:rFonts w:ascii="Arial" w:eastAsiaTheme="minorHAnsi" w:hAnsi="Arial" w:cs="Arial"/>
          <w:sz w:val="22"/>
          <w:szCs w:val="22"/>
          <w:lang w:val="es-MX"/>
        </w:rPr>
        <w:t>,</w:t>
      </w:r>
      <w:r w:rsidRPr="00EF2B38">
        <w:rPr>
          <w:rFonts w:ascii="Arial" w:eastAsiaTheme="minorHAnsi" w:hAnsi="Arial" w:cs="Arial"/>
          <w:sz w:val="22"/>
          <w:szCs w:val="22"/>
          <w:lang w:val="es-MX"/>
        </w:rPr>
        <w:t xml:space="preserve"> a fin de fortalecer </w:t>
      </w:r>
      <w:r w:rsidR="00B52EB6">
        <w:rPr>
          <w:rFonts w:ascii="Arial" w:eastAsiaTheme="minorHAnsi" w:hAnsi="Arial" w:cs="Arial"/>
          <w:sz w:val="22"/>
          <w:szCs w:val="22"/>
          <w:lang w:val="es-MX"/>
        </w:rPr>
        <w:t xml:space="preserve">su </w:t>
      </w:r>
      <w:r w:rsidRPr="00EF2B38">
        <w:rPr>
          <w:rFonts w:ascii="Arial" w:eastAsiaTheme="minorHAnsi" w:hAnsi="Arial" w:cs="Arial"/>
          <w:sz w:val="22"/>
          <w:szCs w:val="22"/>
          <w:lang w:val="es-MX"/>
        </w:rPr>
        <w:t xml:space="preserve">sostenibilidad fiscal. Esto se logrará mediante la implementación de un nuevo marco de disciplina financiera, el </w:t>
      </w:r>
      <w:r w:rsidR="00B52EB6">
        <w:rPr>
          <w:rFonts w:ascii="Arial" w:eastAsiaTheme="minorHAnsi" w:hAnsi="Arial" w:cs="Arial"/>
          <w:sz w:val="22"/>
          <w:szCs w:val="22"/>
          <w:lang w:val="es-MX"/>
        </w:rPr>
        <w:t>incremento</w:t>
      </w:r>
      <w:r w:rsidRPr="00EF2B38">
        <w:rPr>
          <w:rFonts w:ascii="Arial" w:eastAsiaTheme="minorHAnsi" w:hAnsi="Arial" w:cs="Arial"/>
          <w:sz w:val="22"/>
          <w:szCs w:val="22"/>
          <w:lang w:val="es-MX"/>
        </w:rPr>
        <w:t xml:space="preserve"> de la transparencia y rendición de cuentas, y el </w:t>
      </w:r>
      <w:r w:rsidR="00B52EB6">
        <w:rPr>
          <w:rFonts w:ascii="Arial" w:eastAsiaTheme="minorHAnsi" w:hAnsi="Arial" w:cs="Arial"/>
          <w:sz w:val="22"/>
          <w:szCs w:val="22"/>
          <w:lang w:val="es-MX"/>
        </w:rPr>
        <w:t>fortalecimiento</w:t>
      </w:r>
      <w:r w:rsidRPr="00EF2B38">
        <w:rPr>
          <w:rFonts w:ascii="Arial" w:eastAsiaTheme="minorHAnsi" w:hAnsi="Arial" w:cs="Arial"/>
          <w:sz w:val="22"/>
          <w:szCs w:val="22"/>
          <w:lang w:val="es-MX"/>
        </w:rPr>
        <w:t xml:space="preserve"> de </w:t>
      </w:r>
      <w:r w:rsidR="00B52EB6">
        <w:rPr>
          <w:rFonts w:ascii="Arial" w:eastAsiaTheme="minorHAnsi" w:hAnsi="Arial" w:cs="Arial"/>
          <w:sz w:val="22"/>
          <w:szCs w:val="22"/>
          <w:lang w:val="es-MX"/>
        </w:rPr>
        <w:t xml:space="preserve">las capacidades institucionales en </w:t>
      </w:r>
      <w:proofErr w:type="spellStart"/>
      <w:r w:rsidR="008807E6">
        <w:rPr>
          <w:rFonts w:ascii="Arial" w:eastAsiaTheme="minorHAnsi" w:hAnsi="Arial" w:cs="Arial"/>
          <w:sz w:val="22"/>
          <w:szCs w:val="22"/>
          <w:lang w:val="es-MX"/>
        </w:rPr>
        <w:t>EyM</w:t>
      </w:r>
      <w:proofErr w:type="spellEnd"/>
      <w:r w:rsidR="00B52EB6">
        <w:rPr>
          <w:rFonts w:ascii="Arial" w:eastAsiaTheme="minorHAnsi" w:hAnsi="Arial" w:cs="Arial"/>
          <w:sz w:val="22"/>
          <w:szCs w:val="22"/>
          <w:lang w:val="es-MX"/>
        </w:rPr>
        <w:t xml:space="preserve"> para</w:t>
      </w:r>
      <w:r w:rsidRPr="00EF2B38">
        <w:rPr>
          <w:rFonts w:ascii="Arial" w:eastAsiaTheme="minorHAnsi" w:hAnsi="Arial" w:cs="Arial"/>
          <w:sz w:val="22"/>
          <w:szCs w:val="22"/>
          <w:lang w:val="es-MX"/>
        </w:rPr>
        <w:t xml:space="preserve"> la implementación de medidas en estos ámbitos</w:t>
      </w:r>
      <w:r w:rsidR="00903AE2">
        <w:rPr>
          <w:rFonts w:ascii="Arial" w:eastAsiaTheme="minorHAnsi" w:hAnsi="Arial" w:cs="Arial"/>
          <w:sz w:val="22"/>
          <w:szCs w:val="22"/>
          <w:lang w:val="es-MX"/>
        </w:rPr>
        <w:t>.</w:t>
      </w:r>
    </w:p>
    <w:p w14:paraId="7B30491C" w14:textId="6B8A4E56" w:rsidR="00BD12DF" w:rsidRPr="00BD12DF" w:rsidRDefault="00BD12DF" w:rsidP="002F33A3">
      <w:pPr>
        <w:pStyle w:val="Paragraph"/>
        <w:rPr>
          <w:rFonts w:ascii="Arial" w:hAnsi="Arial" w:cs="Arial"/>
          <w:sz w:val="22"/>
          <w:szCs w:val="22"/>
        </w:rPr>
      </w:pPr>
      <w:r w:rsidRPr="00903AE2">
        <w:rPr>
          <w:rFonts w:ascii="Arial" w:hAnsi="Arial" w:cs="Arial"/>
          <w:spacing w:val="-4"/>
          <w:sz w:val="22"/>
          <w:szCs w:val="22"/>
        </w:rPr>
        <w:t xml:space="preserve">La serie se estructura en dos </w:t>
      </w:r>
      <w:r w:rsidR="00903AE2" w:rsidRPr="00764263">
        <w:rPr>
          <w:rFonts w:ascii="Arial" w:hAnsi="Arial" w:cs="Arial"/>
          <w:spacing w:val="-4"/>
          <w:sz w:val="22"/>
          <w:szCs w:val="22"/>
        </w:rPr>
        <w:t>Operaciones Programáticas de</w:t>
      </w:r>
      <w:r w:rsidR="00903AE2">
        <w:rPr>
          <w:rFonts w:ascii="Arial" w:hAnsi="Arial" w:cs="Arial"/>
          <w:spacing w:val="-4"/>
          <w:sz w:val="22"/>
          <w:szCs w:val="22"/>
        </w:rPr>
        <w:t xml:space="preserve"> Apoyo a Reformas de Políticas (PBP)</w:t>
      </w:r>
      <w:r w:rsidRPr="005F55DB">
        <w:rPr>
          <w:rFonts w:ascii="Arial" w:hAnsi="Arial" w:cs="Arial"/>
          <w:spacing w:val="-4"/>
          <w:sz w:val="22"/>
          <w:szCs w:val="22"/>
        </w:rPr>
        <w:t xml:space="preserve">, cuyas acciones buscan dar respuesta a los principales retos que enfrenta el país para implementar de manera efectiva la reforma constitucional en materia de disciplina financiera de </w:t>
      </w:r>
      <w:r>
        <w:rPr>
          <w:rFonts w:ascii="Arial" w:hAnsi="Arial" w:cs="Arial"/>
          <w:spacing w:val="-4"/>
          <w:sz w:val="22"/>
          <w:szCs w:val="22"/>
        </w:rPr>
        <w:t xml:space="preserve">las </w:t>
      </w:r>
      <w:proofErr w:type="spellStart"/>
      <w:r>
        <w:rPr>
          <w:rFonts w:ascii="Arial" w:hAnsi="Arial" w:cs="Arial"/>
          <w:spacing w:val="-4"/>
          <w:sz w:val="22"/>
          <w:szCs w:val="22"/>
        </w:rPr>
        <w:t>EyM</w:t>
      </w:r>
      <w:proofErr w:type="spellEnd"/>
      <w:r w:rsidRPr="005F55DB">
        <w:rPr>
          <w:rFonts w:ascii="Arial" w:hAnsi="Arial" w:cs="Arial"/>
          <w:spacing w:val="-4"/>
          <w:sz w:val="22"/>
          <w:szCs w:val="22"/>
        </w:rPr>
        <w:t xml:space="preserve"> y el fortalecimiento de la transparencia y la rendición de cuentas. </w:t>
      </w:r>
      <w:r w:rsidRPr="005F55DB">
        <w:rPr>
          <w:rFonts w:ascii="Arial" w:eastAsiaTheme="minorHAnsi" w:hAnsi="Arial" w:cs="Arial"/>
          <w:sz w:val="22"/>
          <w:szCs w:val="22"/>
          <w:lang w:val="es-MX"/>
        </w:rPr>
        <w:t xml:space="preserve">La primera operación programática se orientó principalmente a sentar las bases legales y normativas de la reforma constitucional, mediante la expedición de leyes, reglamentados y lineamientos. Esta segunda operación continúa con el desarrollo </w:t>
      </w:r>
      <w:r>
        <w:rPr>
          <w:rFonts w:ascii="Arial" w:eastAsiaTheme="minorHAnsi" w:hAnsi="Arial" w:cs="Arial"/>
          <w:sz w:val="22"/>
          <w:szCs w:val="22"/>
          <w:lang w:val="es-MX"/>
        </w:rPr>
        <w:t xml:space="preserve">del marco </w:t>
      </w:r>
      <w:r w:rsidRPr="005F55DB">
        <w:rPr>
          <w:rFonts w:ascii="Arial" w:eastAsiaTheme="minorHAnsi" w:hAnsi="Arial" w:cs="Arial"/>
          <w:sz w:val="22"/>
          <w:szCs w:val="22"/>
          <w:lang w:val="es-MX"/>
        </w:rPr>
        <w:t xml:space="preserve">normativo </w:t>
      </w:r>
      <w:r>
        <w:rPr>
          <w:rFonts w:ascii="Arial" w:eastAsiaTheme="minorHAnsi" w:hAnsi="Arial" w:cs="Arial"/>
          <w:sz w:val="22"/>
          <w:szCs w:val="22"/>
          <w:lang w:val="es-MX"/>
        </w:rPr>
        <w:t>y avanza con midas que alienten una efectiva</w:t>
      </w:r>
      <w:r w:rsidRPr="005F55DB">
        <w:rPr>
          <w:rFonts w:ascii="Arial" w:eastAsiaTheme="minorHAnsi" w:hAnsi="Arial" w:cs="Arial"/>
          <w:sz w:val="22"/>
          <w:szCs w:val="22"/>
          <w:lang w:val="es-MX"/>
        </w:rPr>
        <w:t xml:space="preserve"> implementación </w:t>
      </w:r>
      <w:r>
        <w:rPr>
          <w:rFonts w:ascii="Arial" w:eastAsiaTheme="minorHAnsi" w:hAnsi="Arial" w:cs="Arial"/>
          <w:sz w:val="22"/>
          <w:szCs w:val="22"/>
          <w:lang w:val="es-MX"/>
        </w:rPr>
        <w:t xml:space="preserve">por parte de las </w:t>
      </w:r>
      <w:proofErr w:type="spellStart"/>
      <w:r>
        <w:rPr>
          <w:rFonts w:ascii="Arial" w:eastAsiaTheme="minorHAnsi" w:hAnsi="Arial" w:cs="Arial"/>
          <w:sz w:val="22"/>
          <w:szCs w:val="22"/>
          <w:lang w:val="es-MX"/>
        </w:rPr>
        <w:t>EyM</w:t>
      </w:r>
      <w:proofErr w:type="spellEnd"/>
      <w:r>
        <w:rPr>
          <w:rFonts w:ascii="Arial" w:eastAsiaTheme="minorHAnsi" w:hAnsi="Arial" w:cs="Arial"/>
          <w:sz w:val="22"/>
          <w:szCs w:val="22"/>
          <w:lang w:val="es-MX"/>
        </w:rPr>
        <w:t xml:space="preserve"> del nuevo marco regulatorio</w:t>
      </w:r>
      <w:r w:rsidRPr="005F55DB">
        <w:rPr>
          <w:rFonts w:ascii="Arial" w:eastAsiaTheme="minorHAnsi" w:hAnsi="Arial" w:cs="Arial"/>
          <w:sz w:val="22"/>
          <w:szCs w:val="22"/>
          <w:lang w:val="es-MX"/>
        </w:rPr>
        <w:t>.</w:t>
      </w:r>
    </w:p>
    <w:p w14:paraId="6CC90C94" w14:textId="58381952" w:rsidR="007C1307" w:rsidRPr="002F33A3" w:rsidRDefault="00A159C1" w:rsidP="002F33A3">
      <w:pPr>
        <w:pStyle w:val="Paragraph"/>
        <w:rPr>
          <w:rFonts w:ascii="Arial" w:hAnsi="Arial" w:cs="Arial"/>
          <w:sz w:val="22"/>
          <w:szCs w:val="22"/>
        </w:rPr>
      </w:pPr>
      <w:r w:rsidRPr="00764263">
        <w:rPr>
          <w:rFonts w:ascii="Arial" w:hAnsi="Arial" w:cs="Arial"/>
          <w:spacing w:val="-4"/>
          <w:sz w:val="22"/>
          <w:szCs w:val="22"/>
        </w:rPr>
        <w:t>La</w:t>
      </w:r>
      <w:r w:rsidR="00BB66D4">
        <w:rPr>
          <w:rFonts w:ascii="Arial" w:hAnsi="Arial" w:cs="Arial"/>
          <w:spacing w:val="-4"/>
          <w:sz w:val="22"/>
          <w:szCs w:val="22"/>
        </w:rPr>
        <w:t xml:space="preserve">s dos operaciones de la serie programática cuentan </w:t>
      </w:r>
      <w:r w:rsidR="009954D6">
        <w:rPr>
          <w:rFonts w:ascii="Arial" w:hAnsi="Arial" w:cs="Arial"/>
          <w:spacing w:val="-4"/>
          <w:sz w:val="22"/>
          <w:szCs w:val="22"/>
          <w:lang w:val="es-MX"/>
        </w:rPr>
        <w:t>con</w:t>
      </w:r>
      <w:r>
        <w:rPr>
          <w:rFonts w:ascii="Arial" w:hAnsi="Arial" w:cs="Arial"/>
          <w:spacing w:val="-4"/>
          <w:sz w:val="22"/>
          <w:szCs w:val="22"/>
        </w:rPr>
        <w:t xml:space="preserve"> cuatro componentes. El primer componente se relaciona con la </w:t>
      </w:r>
      <w:r w:rsidRPr="00A159C1">
        <w:rPr>
          <w:rFonts w:ascii="Arial" w:hAnsi="Arial" w:cs="Arial"/>
          <w:spacing w:val="-4"/>
          <w:sz w:val="22"/>
          <w:szCs w:val="22"/>
        </w:rPr>
        <w:t>e</w:t>
      </w:r>
      <w:r w:rsidRPr="00A159C1">
        <w:rPr>
          <w:rFonts w:ascii="Arial" w:hAnsi="Arial" w:cs="Arial"/>
          <w:bCs/>
          <w:sz w:val="22"/>
          <w:szCs w:val="22"/>
        </w:rPr>
        <w:t xml:space="preserve">stabilidad macroeconómica y </w:t>
      </w:r>
      <w:r w:rsidRPr="00A159C1">
        <w:rPr>
          <w:rFonts w:ascii="Arial" w:hAnsi="Arial" w:cs="Arial"/>
          <w:sz w:val="22"/>
          <w:szCs w:val="22"/>
        </w:rPr>
        <w:t>tiene como objetivo asegurar un contexto macroeconómico congruente con los objetivos del programa según establecido en su Matriz de Políticas. El segundo componente</w:t>
      </w:r>
      <w:r w:rsidR="004C10D9">
        <w:rPr>
          <w:rFonts w:ascii="Arial" w:hAnsi="Arial" w:cs="Arial"/>
          <w:sz w:val="22"/>
          <w:szCs w:val="22"/>
        </w:rPr>
        <w:t xml:space="preserve"> se relacion</w:t>
      </w:r>
      <w:r w:rsidR="00290AD9">
        <w:rPr>
          <w:rFonts w:ascii="Arial" w:hAnsi="Arial" w:cs="Arial"/>
          <w:sz w:val="22"/>
          <w:szCs w:val="22"/>
        </w:rPr>
        <w:t>a</w:t>
      </w:r>
      <w:r w:rsidR="004C10D9">
        <w:rPr>
          <w:rFonts w:ascii="Arial" w:hAnsi="Arial" w:cs="Arial"/>
          <w:sz w:val="22"/>
          <w:szCs w:val="22"/>
        </w:rPr>
        <w:t xml:space="preserve"> con el</w:t>
      </w:r>
      <w:r w:rsidRPr="00A159C1">
        <w:rPr>
          <w:rFonts w:ascii="Arial" w:hAnsi="Arial" w:cs="Arial"/>
          <w:sz w:val="22"/>
          <w:szCs w:val="22"/>
        </w:rPr>
        <w:t xml:space="preserve"> </w:t>
      </w:r>
      <w:r w:rsidR="00D91BCD">
        <w:rPr>
          <w:rFonts w:ascii="Arial" w:hAnsi="Arial" w:cs="Arial"/>
          <w:bCs/>
          <w:spacing w:val="-4"/>
          <w:sz w:val="22"/>
          <w:szCs w:val="22"/>
          <w:lang w:val="es-MX"/>
        </w:rPr>
        <w:t>f</w:t>
      </w:r>
      <w:r w:rsidRPr="00A159C1">
        <w:rPr>
          <w:rFonts w:ascii="Arial" w:hAnsi="Arial" w:cs="Arial"/>
          <w:bCs/>
          <w:spacing w:val="-4"/>
          <w:sz w:val="22"/>
          <w:szCs w:val="22"/>
          <w:lang w:val="es-MX"/>
        </w:rPr>
        <w:t>ortalecimiento de la responsabilidad hacendaria y busc</w:t>
      </w:r>
      <w:r w:rsidR="004C10D9">
        <w:rPr>
          <w:rFonts w:ascii="Arial" w:hAnsi="Arial" w:cs="Arial"/>
          <w:bCs/>
          <w:spacing w:val="-4"/>
          <w:sz w:val="22"/>
          <w:szCs w:val="22"/>
          <w:lang w:val="es-MX"/>
        </w:rPr>
        <w:t>ó</w:t>
      </w:r>
      <w:r w:rsidRPr="00A159C1">
        <w:rPr>
          <w:rFonts w:ascii="Arial" w:hAnsi="Arial" w:cs="Arial"/>
          <w:bCs/>
          <w:spacing w:val="-4"/>
          <w:sz w:val="22"/>
          <w:szCs w:val="22"/>
          <w:lang w:val="es-MX"/>
        </w:rPr>
        <w:t xml:space="preserve"> </w:t>
      </w:r>
      <w:r w:rsidRPr="00A159C1">
        <w:rPr>
          <w:rFonts w:ascii="Arial" w:hAnsi="Arial" w:cs="Arial"/>
          <w:spacing w:val="-4"/>
          <w:sz w:val="22"/>
          <w:szCs w:val="22"/>
          <w:lang w:val="es-MX"/>
        </w:rPr>
        <w:t xml:space="preserve">incrementar la disciplina financiera de los </w:t>
      </w:r>
      <w:proofErr w:type="spellStart"/>
      <w:r w:rsidRPr="00A159C1">
        <w:rPr>
          <w:rFonts w:ascii="Arial" w:hAnsi="Arial" w:cs="Arial"/>
          <w:spacing w:val="-4"/>
          <w:sz w:val="22"/>
          <w:szCs w:val="22"/>
          <w:lang w:val="es-MX"/>
        </w:rPr>
        <w:t>EyM</w:t>
      </w:r>
      <w:proofErr w:type="spellEnd"/>
      <w:r w:rsidRPr="00A159C1">
        <w:rPr>
          <w:rFonts w:ascii="Arial" w:hAnsi="Arial" w:cs="Arial"/>
          <w:spacing w:val="-4"/>
          <w:sz w:val="22"/>
          <w:szCs w:val="22"/>
          <w:lang w:val="es-MX"/>
        </w:rPr>
        <w:t xml:space="preserve"> y sus </w:t>
      </w:r>
      <w:r w:rsidR="004216E0">
        <w:rPr>
          <w:rFonts w:ascii="Arial" w:hAnsi="Arial" w:cs="Arial"/>
          <w:spacing w:val="-4"/>
          <w:sz w:val="22"/>
          <w:szCs w:val="22"/>
          <w:lang w:val="es-MX"/>
        </w:rPr>
        <w:t>entes públicos (</w:t>
      </w:r>
      <w:r w:rsidRPr="00A159C1">
        <w:rPr>
          <w:rFonts w:ascii="Arial" w:hAnsi="Arial" w:cs="Arial"/>
          <w:spacing w:val="-4"/>
          <w:sz w:val="22"/>
          <w:szCs w:val="22"/>
          <w:lang w:val="es-MX"/>
        </w:rPr>
        <w:t>EP</w:t>
      </w:r>
      <w:r w:rsidR="004216E0">
        <w:rPr>
          <w:rFonts w:ascii="Arial" w:hAnsi="Arial" w:cs="Arial"/>
          <w:spacing w:val="-4"/>
          <w:sz w:val="22"/>
          <w:szCs w:val="22"/>
          <w:lang w:val="es-MX"/>
        </w:rPr>
        <w:t>)</w:t>
      </w:r>
      <w:r w:rsidRPr="00A159C1">
        <w:rPr>
          <w:rFonts w:ascii="Arial" w:hAnsi="Arial" w:cs="Arial"/>
          <w:spacing w:val="-4"/>
          <w:sz w:val="22"/>
          <w:szCs w:val="22"/>
          <w:lang w:val="es-MX"/>
        </w:rPr>
        <w:t xml:space="preserve">, a fin de fortalecer </w:t>
      </w:r>
      <w:r w:rsidRPr="00A159C1">
        <w:rPr>
          <w:rFonts w:ascii="Arial" w:hAnsi="Arial" w:cs="Arial"/>
          <w:color w:val="000000"/>
          <w:spacing w:val="-4"/>
          <w:sz w:val="22"/>
          <w:szCs w:val="22"/>
        </w:rPr>
        <w:t xml:space="preserve">su sostenibilidad fiscal. </w:t>
      </w:r>
      <w:r>
        <w:rPr>
          <w:rFonts w:ascii="Arial" w:hAnsi="Arial" w:cs="Arial"/>
          <w:color w:val="000000"/>
          <w:spacing w:val="-4"/>
          <w:sz w:val="22"/>
          <w:szCs w:val="22"/>
        </w:rPr>
        <w:t xml:space="preserve">El tercer componente, </w:t>
      </w:r>
      <w:r w:rsidRPr="00A159C1">
        <w:rPr>
          <w:rFonts w:ascii="Arial" w:hAnsi="Arial" w:cs="Arial"/>
          <w:color w:val="000000"/>
          <w:spacing w:val="-4"/>
          <w:sz w:val="22"/>
          <w:szCs w:val="22"/>
        </w:rPr>
        <w:t xml:space="preserve">denominado </w:t>
      </w:r>
      <w:r>
        <w:rPr>
          <w:rFonts w:ascii="Arial" w:hAnsi="Arial" w:cs="Arial"/>
          <w:bCs/>
          <w:spacing w:val="-4"/>
          <w:sz w:val="22"/>
          <w:szCs w:val="22"/>
          <w:lang w:val="es-MX"/>
        </w:rPr>
        <w:t>f</w:t>
      </w:r>
      <w:r w:rsidRPr="00A159C1">
        <w:rPr>
          <w:rFonts w:ascii="Arial" w:hAnsi="Arial" w:cs="Arial"/>
          <w:bCs/>
          <w:spacing w:val="-4"/>
          <w:sz w:val="22"/>
          <w:szCs w:val="22"/>
          <w:lang w:val="es-MX"/>
        </w:rPr>
        <w:t xml:space="preserve">ortalecimiento de la transparencia y la rendición de cuentas en los </w:t>
      </w:r>
      <w:proofErr w:type="spellStart"/>
      <w:r w:rsidRPr="00A159C1">
        <w:rPr>
          <w:rFonts w:ascii="Arial" w:hAnsi="Arial" w:cs="Arial"/>
          <w:bCs/>
          <w:spacing w:val="-4"/>
          <w:sz w:val="22"/>
          <w:szCs w:val="22"/>
          <w:lang w:val="es-MX"/>
        </w:rPr>
        <w:t>EyM</w:t>
      </w:r>
      <w:proofErr w:type="spellEnd"/>
      <w:r w:rsidRPr="00A159C1">
        <w:rPr>
          <w:rFonts w:ascii="Arial" w:hAnsi="Arial" w:cs="Arial"/>
          <w:color w:val="000000"/>
          <w:spacing w:val="-4"/>
          <w:sz w:val="22"/>
          <w:szCs w:val="22"/>
        </w:rPr>
        <w:t>, tiene</w:t>
      </w:r>
      <w:r>
        <w:rPr>
          <w:rFonts w:ascii="Arial" w:hAnsi="Arial" w:cs="Arial"/>
          <w:color w:val="000000"/>
          <w:spacing w:val="-4"/>
          <w:sz w:val="22"/>
          <w:szCs w:val="22"/>
        </w:rPr>
        <w:t xml:space="preserve"> como </w:t>
      </w:r>
      <w:r w:rsidRPr="00A159C1">
        <w:rPr>
          <w:rFonts w:ascii="Arial" w:hAnsi="Arial" w:cs="Arial"/>
          <w:spacing w:val="-4"/>
          <w:sz w:val="22"/>
          <w:szCs w:val="22"/>
          <w:lang w:val="es-MX"/>
        </w:rPr>
        <w:t xml:space="preserve">objetivo </w:t>
      </w:r>
      <w:r w:rsidRPr="00A159C1">
        <w:rPr>
          <w:rFonts w:ascii="Arial" w:hAnsi="Arial" w:cs="Arial"/>
          <w:color w:val="000000"/>
          <w:spacing w:val="-4"/>
          <w:sz w:val="22"/>
          <w:szCs w:val="22"/>
        </w:rPr>
        <w:t>fortalecer la transparencia</w:t>
      </w:r>
      <w:r w:rsidR="002F33A3" w:rsidRPr="002F33A3">
        <w:rPr>
          <w:rFonts w:ascii="Arial" w:hAnsi="Arial" w:cs="Arial"/>
          <w:color w:val="000000"/>
          <w:spacing w:val="-4"/>
          <w:sz w:val="22"/>
          <w:szCs w:val="22"/>
        </w:rPr>
        <w:t xml:space="preserve"> </w:t>
      </w:r>
      <w:r w:rsidR="002F33A3">
        <w:rPr>
          <w:rFonts w:ascii="Arial" w:hAnsi="Arial" w:cs="Arial"/>
          <w:color w:val="000000"/>
          <w:spacing w:val="-4"/>
          <w:sz w:val="22"/>
          <w:szCs w:val="22"/>
        </w:rPr>
        <w:t>y la fiscalización</w:t>
      </w:r>
      <w:r w:rsidR="002F33A3" w:rsidRPr="007636E9">
        <w:rPr>
          <w:rFonts w:ascii="Arial" w:hAnsi="Arial" w:cs="Arial"/>
          <w:color w:val="000000"/>
          <w:spacing w:val="-4"/>
          <w:sz w:val="22"/>
          <w:szCs w:val="22"/>
        </w:rPr>
        <w:t xml:space="preserve"> y mejorar la calidad de la información</w:t>
      </w:r>
      <w:r w:rsidR="002F33A3" w:rsidRPr="00764263">
        <w:rPr>
          <w:rFonts w:ascii="Arial" w:hAnsi="Arial" w:cs="Arial"/>
          <w:color w:val="000000"/>
          <w:spacing w:val="-4"/>
          <w:sz w:val="22"/>
          <w:szCs w:val="22"/>
        </w:rPr>
        <w:t xml:space="preserve"> fiscal y financiera, a fin de fortalecer los mecanismos de rendición de cuentas</w:t>
      </w:r>
      <w:r w:rsidRPr="002F33A3">
        <w:rPr>
          <w:rFonts w:ascii="Arial" w:hAnsi="Arial" w:cs="Arial"/>
          <w:color w:val="000000"/>
          <w:spacing w:val="-4"/>
          <w:sz w:val="22"/>
          <w:szCs w:val="22"/>
        </w:rPr>
        <w:t xml:space="preserve">. </w:t>
      </w:r>
      <w:r w:rsidRPr="002F33A3">
        <w:rPr>
          <w:rFonts w:ascii="Arial" w:hAnsi="Arial" w:cs="Arial"/>
          <w:spacing w:val="-4"/>
          <w:sz w:val="22"/>
          <w:szCs w:val="22"/>
          <w:lang w:val="es-MX"/>
        </w:rPr>
        <w:t>El cuarto y último componente</w:t>
      </w:r>
      <w:r w:rsidR="000A5276" w:rsidRPr="002F33A3">
        <w:rPr>
          <w:rFonts w:ascii="Arial" w:hAnsi="Arial" w:cs="Arial"/>
          <w:spacing w:val="-4"/>
          <w:sz w:val="22"/>
          <w:szCs w:val="22"/>
          <w:lang w:val="es-MX"/>
        </w:rPr>
        <w:t xml:space="preserve">, se refiere al </w:t>
      </w:r>
      <w:r w:rsidR="000A5276" w:rsidRPr="002F33A3">
        <w:rPr>
          <w:rFonts w:ascii="Arial" w:hAnsi="Arial" w:cs="Arial"/>
          <w:spacing w:val="-4"/>
          <w:sz w:val="22"/>
          <w:szCs w:val="22"/>
        </w:rPr>
        <w:t xml:space="preserve">fortalecimiento institucional de </w:t>
      </w:r>
      <w:proofErr w:type="spellStart"/>
      <w:r w:rsidR="000A5276" w:rsidRPr="002F33A3">
        <w:rPr>
          <w:rFonts w:ascii="Arial" w:hAnsi="Arial" w:cs="Arial"/>
          <w:spacing w:val="-4"/>
          <w:sz w:val="22"/>
          <w:szCs w:val="22"/>
        </w:rPr>
        <w:t>EyM</w:t>
      </w:r>
      <w:proofErr w:type="spellEnd"/>
      <w:r w:rsidR="000A5276" w:rsidRPr="002F33A3">
        <w:rPr>
          <w:rFonts w:ascii="Arial" w:hAnsi="Arial" w:cs="Arial"/>
          <w:spacing w:val="-4"/>
          <w:sz w:val="22"/>
          <w:szCs w:val="22"/>
        </w:rPr>
        <w:t xml:space="preserve"> en materia de responsabilidad hacendaria, transparencia y rendición de cuentas, y </w:t>
      </w:r>
      <w:r w:rsidR="000A5276" w:rsidRPr="002F33A3">
        <w:rPr>
          <w:rFonts w:ascii="Arial" w:hAnsi="Arial" w:cs="Arial"/>
          <w:spacing w:val="-4"/>
          <w:sz w:val="22"/>
          <w:szCs w:val="22"/>
          <w:lang w:val="es-MX"/>
        </w:rPr>
        <w:t>tiene como finalidad</w:t>
      </w:r>
      <w:r w:rsidRPr="002F33A3">
        <w:rPr>
          <w:rFonts w:ascii="Arial" w:hAnsi="Arial" w:cs="Arial"/>
          <w:spacing w:val="-4"/>
          <w:sz w:val="22"/>
          <w:szCs w:val="22"/>
          <w:lang w:val="es-MX"/>
        </w:rPr>
        <w:t xml:space="preserve"> </w:t>
      </w:r>
      <w:r w:rsidR="002F33A3" w:rsidRPr="00764263">
        <w:rPr>
          <w:rFonts w:ascii="Arial" w:hAnsi="Arial" w:cs="Arial"/>
          <w:color w:val="000000"/>
          <w:spacing w:val="-4"/>
          <w:sz w:val="22"/>
          <w:szCs w:val="22"/>
        </w:rPr>
        <w:t xml:space="preserve">fortalecer la capacidad institucional de </w:t>
      </w:r>
      <w:proofErr w:type="spellStart"/>
      <w:r w:rsidR="002F33A3" w:rsidRPr="00764263">
        <w:rPr>
          <w:rFonts w:ascii="Arial" w:hAnsi="Arial" w:cs="Arial"/>
          <w:color w:val="000000"/>
          <w:spacing w:val="-4"/>
          <w:sz w:val="22"/>
          <w:szCs w:val="22"/>
        </w:rPr>
        <w:t>EyM</w:t>
      </w:r>
      <w:proofErr w:type="spellEnd"/>
      <w:r w:rsidR="002F33A3" w:rsidRPr="00764263">
        <w:rPr>
          <w:rFonts w:ascii="Arial" w:hAnsi="Arial" w:cs="Arial"/>
          <w:color w:val="000000"/>
          <w:spacing w:val="-4"/>
          <w:sz w:val="22"/>
          <w:szCs w:val="22"/>
        </w:rPr>
        <w:t xml:space="preserve"> para una aplicación oportuna de la reglamentación aprobada en materia de responsabilidad hacendaria, transparencia y rendición de cuentas</w:t>
      </w:r>
      <w:r w:rsidRPr="002F33A3">
        <w:rPr>
          <w:rFonts w:ascii="Arial" w:hAnsi="Arial" w:cs="Arial"/>
          <w:color w:val="000000"/>
          <w:spacing w:val="-4"/>
          <w:sz w:val="22"/>
          <w:szCs w:val="22"/>
        </w:rPr>
        <w:t>.</w:t>
      </w:r>
    </w:p>
    <w:p w14:paraId="61DF519E" w14:textId="13342667" w:rsidR="002F33A3" w:rsidRDefault="007C1307" w:rsidP="00E153F4">
      <w:pPr>
        <w:pStyle w:val="Paragraph"/>
        <w:rPr>
          <w:rFonts w:ascii="Arial" w:hAnsi="Arial" w:cs="Arial"/>
          <w:sz w:val="22"/>
          <w:szCs w:val="22"/>
        </w:rPr>
      </w:pPr>
      <w:r w:rsidRPr="007C1307">
        <w:rPr>
          <w:rFonts w:ascii="Arial" w:hAnsi="Arial" w:cs="Arial"/>
          <w:sz w:val="22"/>
          <w:szCs w:val="22"/>
        </w:rPr>
        <w:t xml:space="preserve">El plan de monitoreo y evaluación comprende dos secciones. </w:t>
      </w:r>
      <w:r w:rsidR="00EB2886">
        <w:rPr>
          <w:rFonts w:ascii="Arial" w:hAnsi="Arial" w:cs="Arial"/>
          <w:sz w:val="22"/>
          <w:szCs w:val="22"/>
        </w:rPr>
        <w:t>La</w:t>
      </w:r>
      <w:r w:rsidRPr="007C1307">
        <w:rPr>
          <w:rFonts w:ascii="Arial" w:hAnsi="Arial" w:cs="Arial"/>
          <w:sz w:val="22"/>
          <w:szCs w:val="22"/>
        </w:rPr>
        <w:t xml:space="preserve"> primer</w:t>
      </w:r>
      <w:r w:rsidR="00EB2886">
        <w:rPr>
          <w:rFonts w:ascii="Arial" w:hAnsi="Arial" w:cs="Arial"/>
          <w:sz w:val="22"/>
          <w:szCs w:val="22"/>
        </w:rPr>
        <w:t xml:space="preserve">a sección se refiere </w:t>
      </w:r>
      <w:r w:rsidRPr="007C1307">
        <w:rPr>
          <w:rFonts w:ascii="Arial" w:hAnsi="Arial" w:cs="Arial"/>
          <w:sz w:val="22"/>
          <w:szCs w:val="22"/>
        </w:rPr>
        <w:t>al</w:t>
      </w:r>
      <w:r w:rsidR="00EB2886">
        <w:rPr>
          <w:rFonts w:ascii="Arial" w:hAnsi="Arial" w:cs="Arial"/>
          <w:sz w:val="22"/>
          <w:szCs w:val="22"/>
        </w:rPr>
        <w:t xml:space="preserve"> </w:t>
      </w:r>
      <w:r w:rsidRPr="007C1307">
        <w:rPr>
          <w:rFonts w:ascii="Arial" w:hAnsi="Arial" w:cs="Arial"/>
          <w:sz w:val="22"/>
          <w:szCs w:val="22"/>
        </w:rPr>
        <w:t xml:space="preserve">monitoreo del programa, el que se realizará principalmente a </w:t>
      </w:r>
      <w:r w:rsidRPr="00253D3E">
        <w:rPr>
          <w:rFonts w:ascii="Arial" w:hAnsi="Arial" w:cs="Arial"/>
          <w:sz w:val="22"/>
          <w:szCs w:val="22"/>
        </w:rPr>
        <w:t xml:space="preserve">través de informes oficiales </w:t>
      </w:r>
      <w:r w:rsidR="00253D3E" w:rsidRPr="00253D3E">
        <w:rPr>
          <w:rFonts w:ascii="Arial" w:hAnsi="Arial" w:cs="Arial"/>
          <w:sz w:val="22"/>
          <w:szCs w:val="22"/>
        </w:rPr>
        <w:t xml:space="preserve">que incluirán información detallada y presentarán la </w:t>
      </w:r>
      <w:r w:rsidRPr="00253D3E">
        <w:rPr>
          <w:rFonts w:ascii="Arial" w:hAnsi="Arial" w:cs="Arial"/>
          <w:sz w:val="22"/>
          <w:szCs w:val="22"/>
        </w:rPr>
        <w:t>evidencia correspondiente al cumplimiento de las condiciones planteadas por el</w:t>
      </w:r>
      <w:r w:rsidR="00253D3E">
        <w:rPr>
          <w:rFonts w:ascii="Arial" w:hAnsi="Arial" w:cs="Arial"/>
          <w:sz w:val="22"/>
          <w:szCs w:val="22"/>
        </w:rPr>
        <w:t xml:space="preserve"> P</w:t>
      </w:r>
      <w:r w:rsidRPr="00253D3E">
        <w:rPr>
          <w:rFonts w:ascii="Arial" w:hAnsi="Arial" w:cs="Arial"/>
          <w:sz w:val="22"/>
          <w:szCs w:val="22"/>
        </w:rPr>
        <w:t>rograma.</w:t>
      </w:r>
      <w:r w:rsidRPr="007C1307">
        <w:rPr>
          <w:rFonts w:ascii="Arial" w:hAnsi="Arial" w:cs="Arial"/>
          <w:sz w:val="22"/>
          <w:szCs w:val="22"/>
        </w:rPr>
        <w:t xml:space="preserve"> </w:t>
      </w:r>
      <w:r w:rsidR="00EB1388" w:rsidRPr="00E153F4">
        <w:rPr>
          <w:rFonts w:ascii="Arial" w:hAnsi="Arial" w:cs="Arial"/>
          <w:sz w:val="22"/>
          <w:szCs w:val="22"/>
        </w:rPr>
        <w:t>Para la evaluación ex post, las principales preguntas est</w:t>
      </w:r>
      <w:r w:rsidR="002F33A3" w:rsidRPr="00E153F4">
        <w:rPr>
          <w:rFonts w:ascii="Arial" w:hAnsi="Arial" w:cs="Arial"/>
          <w:sz w:val="22"/>
          <w:szCs w:val="22"/>
        </w:rPr>
        <w:t>ar</w:t>
      </w:r>
      <w:r w:rsidR="00EB1388" w:rsidRPr="00E153F4">
        <w:rPr>
          <w:rFonts w:ascii="Arial" w:hAnsi="Arial" w:cs="Arial"/>
          <w:sz w:val="22"/>
          <w:szCs w:val="22"/>
        </w:rPr>
        <w:t xml:space="preserve">án referidas a si la reforma logró el impacto deseado en términos de </w:t>
      </w:r>
      <w:r w:rsidR="00700F69">
        <w:rPr>
          <w:rFonts w:ascii="Arial" w:hAnsi="Arial" w:cs="Arial"/>
          <w:sz w:val="22"/>
          <w:szCs w:val="22"/>
        </w:rPr>
        <w:t xml:space="preserve">controlar el nivel de endeudamiento de </w:t>
      </w:r>
      <w:r w:rsidR="00FD334A">
        <w:rPr>
          <w:rFonts w:ascii="Arial" w:hAnsi="Arial" w:cs="Arial"/>
          <w:sz w:val="22"/>
          <w:szCs w:val="22"/>
        </w:rPr>
        <w:t xml:space="preserve">las </w:t>
      </w:r>
      <w:proofErr w:type="spellStart"/>
      <w:r w:rsidR="00FD334A">
        <w:rPr>
          <w:rFonts w:ascii="Arial" w:hAnsi="Arial" w:cs="Arial"/>
          <w:sz w:val="22"/>
          <w:szCs w:val="22"/>
        </w:rPr>
        <w:t>EyM</w:t>
      </w:r>
      <w:proofErr w:type="spellEnd"/>
      <w:r w:rsidR="00700F69">
        <w:rPr>
          <w:rFonts w:ascii="Arial" w:hAnsi="Arial" w:cs="Arial"/>
          <w:sz w:val="22"/>
          <w:szCs w:val="22"/>
        </w:rPr>
        <w:t xml:space="preserve"> y fortalecer la sostenibilidad fiscal de los mismos</w:t>
      </w:r>
      <w:r w:rsidR="002F33A3" w:rsidRPr="00E153F4">
        <w:rPr>
          <w:rFonts w:ascii="Arial" w:hAnsi="Arial" w:cs="Arial"/>
          <w:sz w:val="22"/>
          <w:szCs w:val="22"/>
        </w:rPr>
        <w:t>.</w:t>
      </w:r>
      <w:r w:rsidR="00532A6A" w:rsidRPr="00E153F4">
        <w:rPr>
          <w:rFonts w:ascii="Arial" w:hAnsi="Arial" w:cs="Arial"/>
          <w:sz w:val="22"/>
          <w:szCs w:val="22"/>
        </w:rPr>
        <w:t xml:space="preserve"> </w:t>
      </w:r>
      <w:r w:rsidR="002F33A3" w:rsidRPr="00E153F4">
        <w:rPr>
          <w:rFonts w:ascii="Arial" w:hAnsi="Arial" w:cs="Arial"/>
          <w:sz w:val="22"/>
          <w:szCs w:val="22"/>
        </w:rPr>
        <w:t>A través del análisis realizado s</w:t>
      </w:r>
      <w:r w:rsidR="00532A6A" w:rsidRPr="00E153F4">
        <w:rPr>
          <w:rFonts w:ascii="Arial" w:hAnsi="Arial" w:cs="Arial"/>
          <w:sz w:val="22"/>
          <w:szCs w:val="22"/>
        </w:rPr>
        <w:t xml:space="preserve">e </w:t>
      </w:r>
      <w:r w:rsidR="002F33A3" w:rsidRPr="00E153F4">
        <w:rPr>
          <w:rFonts w:ascii="Arial" w:hAnsi="Arial" w:cs="Arial"/>
          <w:sz w:val="22"/>
          <w:szCs w:val="22"/>
        </w:rPr>
        <w:t>tratará</w:t>
      </w:r>
      <w:r w:rsidR="00532A6A" w:rsidRPr="00E153F4">
        <w:rPr>
          <w:rFonts w:ascii="Arial" w:hAnsi="Arial" w:cs="Arial"/>
          <w:sz w:val="22"/>
          <w:szCs w:val="22"/>
        </w:rPr>
        <w:t xml:space="preserve"> de identificar lecciones aprendidas para futuras operaciones del Banco en esta área</w:t>
      </w:r>
      <w:r w:rsidR="00EB1388" w:rsidRPr="00E153F4">
        <w:rPr>
          <w:rFonts w:ascii="Arial" w:hAnsi="Arial" w:cs="Arial"/>
          <w:sz w:val="22"/>
          <w:szCs w:val="22"/>
        </w:rPr>
        <w:t xml:space="preserve">. Asimismo, se evaluarán los resultados de </w:t>
      </w:r>
      <w:r w:rsidR="00532A6A" w:rsidRPr="00E153F4">
        <w:rPr>
          <w:rFonts w:ascii="Arial" w:hAnsi="Arial" w:cs="Arial"/>
          <w:sz w:val="22"/>
          <w:szCs w:val="22"/>
        </w:rPr>
        <w:t>algunas</w:t>
      </w:r>
      <w:r w:rsidR="00EB1388" w:rsidRPr="00E153F4">
        <w:rPr>
          <w:rFonts w:ascii="Arial" w:hAnsi="Arial" w:cs="Arial"/>
          <w:sz w:val="22"/>
          <w:szCs w:val="22"/>
        </w:rPr>
        <w:t xml:space="preserve"> medidas </w:t>
      </w:r>
      <w:r w:rsidR="00532A6A" w:rsidRPr="00E153F4">
        <w:rPr>
          <w:rFonts w:ascii="Arial" w:hAnsi="Arial" w:cs="Arial"/>
          <w:sz w:val="22"/>
          <w:szCs w:val="22"/>
        </w:rPr>
        <w:t xml:space="preserve">de fortalecimiento de las finanzas </w:t>
      </w:r>
      <w:r w:rsidR="00CC124F" w:rsidRPr="00E153F4">
        <w:rPr>
          <w:rFonts w:ascii="Arial" w:hAnsi="Arial" w:cs="Arial"/>
          <w:sz w:val="22"/>
          <w:szCs w:val="22"/>
        </w:rPr>
        <w:t>públicas</w:t>
      </w:r>
      <w:r w:rsidR="00532A6A" w:rsidRPr="00E153F4">
        <w:rPr>
          <w:rFonts w:ascii="Arial" w:hAnsi="Arial" w:cs="Arial"/>
          <w:sz w:val="22"/>
          <w:szCs w:val="22"/>
        </w:rPr>
        <w:t xml:space="preserve"> </w:t>
      </w:r>
      <w:r w:rsidR="00CC124F" w:rsidRPr="00E153F4">
        <w:rPr>
          <w:rFonts w:ascii="Arial" w:hAnsi="Arial" w:cs="Arial"/>
          <w:sz w:val="22"/>
          <w:szCs w:val="22"/>
        </w:rPr>
        <w:t xml:space="preserve">de </w:t>
      </w:r>
      <w:proofErr w:type="spellStart"/>
      <w:r w:rsidR="00CC124F" w:rsidRPr="00E153F4">
        <w:rPr>
          <w:rFonts w:ascii="Arial" w:hAnsi="Arial" w:cs="Arial"/>
          <w:sz w:val="22"/>
          <w:szCs w:val="22"/>
        </w:rPr>
        <w:t>EyM</w:t>
      </w:r>
      <w:proofErr w:type="spellEnd"/>
      <w:r w:rsidR="00532A6A" w:rsidRPr="00E153F4">
        <w:rPr>
          <w:rFonts w:ascii="Arial" w:hAnsi="Arial" w:cs="Arial"/>
          <w:sz w:val="22"/>
          <w:szCs w:val="22"/>
        </w:rPr>
        <w:t xml:space="preserve"> </w:t>
      </w:r>
      <w:r w:rsidR="00CC124F" w:rsidRPr="00E153F4">
        <w:rPr>
          <w:rFonts w:ascii="Arial" w:hAnsi="Arial" w:cs="Arial"/>
          <w:sz w:val="22"/>
          <w:szCs w:val="22"/>
        </w:rPr>
        <w:t>incorporadas en el Programa</w:t>
      </w:r>
      <w:r w:rsidR="00EB1388" w:rsidRPr="00E153F4">
        <w:rPr>
          <w:rFonts w:ascii="Arial" w:hAnsi="Arial" w:cs="Arial"/>
          <w:sz w:val="22"/>
          <w:szCs w:val="22"/>
        </w:rPr>
        <w:t>.</w:t>
      </w:r>
    </w:p>
    <w:p w14:paraId="2B56D563" w14:textId="77777777" w:rsidR="00520674" w:rsidRPr="00E153F4" w:rsidRDefault="00520674" w:rsidP="00520674">
      <w:pPr>
        <w:pStyle w:val="Paragraph"/>
        <w:numPr>
          <w:ilvl w:val="0"/>
          <w:numId w:val="0"/>
        </w:numPr>
        <w:ind w:left="720"/>
        <w:rPr>
          <w:rFonts w:ascii="Arial" w:hAnsi="Arial" w:cs="Arial"/>
          <w:sz w:val="22"/>
          <w:szCs w:val="22"/>
        </w:rPr>
      </w:pPr>
    </w:p>
    <w:p w14:paraId="6CC90C96" w14:textId="77777777" w:rsidR="00ED751C" w:rsidRPr="00EB0154" w:rsidRDefault="007C1307" w:rsidP="00EB2886">
      <w:pPr>
        <w:pStyle w:val="Chapter"/>
        <w:keepNext w:val="0"/>
        <w:widowControl w:val="0"/>
        <w:spacing w:before="360"/>
        <w:rPr>
          <w:rFonts w:ascii="Arial" w:hAnsi="Arial" w:cs="Arial"/>
          <w:szCs w:val="22"/>
        </w:rPr>
      </w:pPr>
      <w:bookmarkStart w:id="1" w:name="_Toc468199034"/>
      <w:r>
        <w:rPr>
          <w:rFonts w:ascii="Arial" w:hAnsi="Arial" w:cs="Arial"/>
          <w:szCs w:val="22"/>
        </w:rPr>
        <w:lastRenderedPageBreak/>
        <w:t>Monitoreo</w:t>
      </w:r>
      <w:bookmarkEnd w:id="1"/>
    </w:p>
    <w:p w14:paraId="6CC90C97" w14:textId="77777777" w:rsidR="00960179" w:rsidRPr="00960179" w:rsidRDefault="00EB0154" w:rsidP="00EB1388">
      <w:pPr>
        <w:pStyle w:val="FirstHeading"/>
        <w:spacing w:before="0"/>
        <w:rPr>
          <w:rFonts w:ascii="Arial" w:hAnsi="Arial" w:cs="Arial"/>
          <w:sz w:val="22"/>
          <w:szCs w:val="22"/>
        </w:rPr>
      </w:pPr>
      <w:r w:rsidRPr="00EB0154">
        <w:rPr>
          <w:rFonts w:ascii="Arial" w:hAnsi="Arial" w:cs="Arial"/>
          <w:sz w:val="22"/>
          <w:szCs w:val="22"/>
        </w:rPr>
        <w:fldChar w:fldCharType="begin"/>
      </w:r>
      <w:r w:rsidRPr="00EB0154">
        <w:rPr>
          <w:rFonts w:ascii="Arial" w:hAnsi="Arial" w:cs="Arial"/>
          <w:sz w:val="22"/>
          <w:szCs w:val="22"/>
        </w:rPr>
        <w:instrText xml:space="preserve"> SEQ "</w:instrText>
      </w:r>
      <w:r w:rsidRPr="00EB0154">
        <w:rPr>
          <w:rFonts w:ascii="Arial" w:hAnsi="Arial" w:cs="Arial"/>
          <w:sz w:val="22"/>
          <w:szCs w:val="22"/>
        </w:rPr>
        <w:fldChar w:fldCharType="begin"/>
      </w:r>
      <w:r w:rsidRPr="00EB0154">
        <w:rPr>
          <w:rFonts w:ascii="Arial" w:hAnsi="Arial" w:cs="Arial"/>
          <w:sz w:val="22"/>
          <w:szCs w:val="22"/>
        </w:rPr>
        <w:instrText xml:space="preserve"> SECTION  \* MERGEFORMAT </w:instrText>
      </w:r>
      <w:r w:rsidRPr="00EB0154">
        <w:rPr>
          <w:rFonts w:ascii="Arial" w:hAnsi="Arial" w:cs="Arial"/>
          <w:sz w:val="22"/>
          <w:szCs w:val="22"/>
        </w:rPr>
        <w:fldChar w:fldCharType="separate"/>
      </w:r>
      <w:r w:rsidRPr="00EB0154">
        <w:rPr>
          <w:rFonts w:ascii="Arial" w:hAnsi="Arial" w:cs="Arial"/>
          <w:sz w:val="22"/>
          <w:szCs w:val="22"/>
        </w:rPr>
        <w:instrText>5</w:instrText>
      </w:r>
      <w:r w:rsidRPr="00EB0154">
        <w:rPr>
          <w:rFonts w:ascii="Arial" w:hAnsi="Arial" w:cs="Arial"/>
          <w:sz w:val="22"/>
          <w:szCs w:val="22"/>
        </w:rPr>
        <w:fldChar w:fldCharType="end"/>
      </w:r>
      <w:r w:rsidRPr="00EB0154">
        <w:rPr>
          <w:rFonts w:ascii="Arial" w:hAnsi="Arial" w:cs="Arial"/>
          <w:sz w:val="22"/>
          <w:szCs w:val="22"/>
        </w:rPr>
        <w:instrText xml:space="preserve">#"\* ALPHABETIC \* MERGEFORMAT </w:instrText>
      </w:r>
      <w:r w:rsidRPr="00EB0154">
        <w:rPr>
          <w:rFonts w:ascii="Arial" w:hAnsi="Arial" w:cs="Arial"/>
          <w:sz w:val="22"/>
          <w:szCs w:val="22"/>
        </w:rPr>
        <w:fldChar w:fldCharType="separate"/>
      </w:r>
      <w:bookmarkStart w:id="2" w:name="_Toc468199035"/>
      <w:r w:rsidRPr="00EB0154">
        <w:rPr>
          <w:rFonts w:ascii="Arial" w:hAnsi="Arial" w:cs="Arial"/>
          <w:noProof/>
          <w:sz w:val="22"/>
          <w:szCs w:val="22"/>
        </w:rPr>
        <w:t>A</w:t>
      </w:r>
      <w:r w:rsidRPr="00EB0154">
        <w:rPr>
          <w:rFonts w:ascii="Arial" w:hAnsi="Arial" w:cs="Arial"/>
          <w:sz w:val="22"/>
          <w:szCs w:val="22"/>
        </w:rPr>
        <w:fldChar w:fldCharType="end"/>
      </w:r>
      <w:r w:rsidRPr="00EB0154">
        <w:rPr>
          <w:rFonts w:ascii="Arial" w:hAnsi="Arial" w:cs="Arial"/>
          <w:sz w:val="22"/>
          <w:szCs w:val="22"/>
        </w:rPr>
        <w:t>.</w:t>
      </w:r>
      <w:r w:rsidRPr="00EB0154">
        <w:rPr>
          <w:rFonts w:ascii="Arial" w:hAnsi="Arial" w:cs="Arial"/>
          <w:sz w:val="22"/>
          <w:szCs w:val="22"/>
        </w:rPr>
        <w:tab/>
      </w:r>
      <w:r w:rsidR="007C1307">
        <w:rPr>
          <w:rFonts w:ascii="Arial" w:hAnsi="Arial" w:cs="Arial"/>
          <w:sz w:val="22"/>
          <w:szCs w:val="22"/>
        </w:rPr>
        <w:t>Indicadores</w:t>
      </w:r>
      <w:bookmarkEnd w:id="2"/>
    </w:p>
    <w:p w14:paraId="264DEDE5" w14:textId="52B1E9DA" w:rsidR="009F6FC6" w:rsidRPr="009F6FC6" w:rsidRDefault="007B67F5" w:rsidP="009F6FC6">
      <w:pPr>
        <w:pStyle w:val="Paragraph"/>
        <w:rPr>
          <w:rFonts w:ascii="Arial" w:hAnsi="Arial" w:cs="Arial"/>
          <w:sz w:val="22"/>
          <w:szCs w:val="22"/>
        </w:rPr>
      </w:pPr>
      <w:r>
        <w:rPr>
          <w:rFonts w:ascii="Arial" w:hAnsi="Arial" w:cs="Arial"/>
          <w:color w:val="000000"/>
          <w:sz w:val="22"/>
          <w:szCs w:val="22"/>
        </w:rPr>
        <w:t>A lo largo de la ejecución del presente PB</w:t>
      </w:r>
      <w:r w:rsidR="005F4CC5">
        <w:rPr>
          <w:rFonts w:ascii="Arial" w:hAnsi="Arial" w:cs="Arial"/>
          <w:color w:val="000000"/>
          <w:sz w:val="22"/>
          <w:szCs w:val="22"/>
        </w:rPr>
        <w:t>P</w:t>
      </w:r>
      <w:r>
        <w:rPr>
          <w:rFonts w:ascii="Arial" w:hAnsi="Arial" w:cs="Arial"/>
          <w:color w:val="000000"/>
          <w:sz w:val="22"/>
          <w:szCs w:val="22"/>
        </w:rPr>
        <w:t>, se hará seguimiento continuo a los indicadores de productos establecidos en la matriz de resultados. Dichos productos son claves, dado que se relacionan con las condiciones establecidas en la Matriz de Políticas. El Cuadro 1 describe los indicadores de producto a los que se hará seguimiento durante la ejecución del programa, y una verificación final en el 20</w:t>
      </w:r>
      <w:r w:rsidR="00A645EF">
        <w:rPr>
          <w:rFonts w:ascii="Arial" w:hAnsi="Arial" w:cs="Arial"/>
          <w:color w:val="000000"/>
          <w:sz w:val="22"/>
          <w:szCs w:val="22"/>
        </w:rPr>
        <w:t>19</w:t>
      </w:r>
      <w:r>
        <w:rPr>
          <w:rFonts w:ascii="Arial" w:hAnsi="Arial" w:cs="Arial"/>
          <w:color w:val="000000"/>
          <w:sz w:val="22"/>
          <w:szCs w:val="22"/>
        </w:rPr>
        <w:t xml:space="preserve">, cuando las reformas introducidas </w:t>
      </w:r>
      <w:r w:rsidR="00FD334A">
        <w:rPr>
          <w:rFonts w:ascii="Arial" w:hAnsi="Arial" w:cs="Arial"/>
          <w:color w:val="000000"/>
          <w:sz w:val="22"/>
          <w:szCs w:val="22"/>
        </w:rPr>
        <w:t>hayan</w:t>
      </w:r>
      <w:r>
        <w:rPr>
          <w:rFonts w:ascii="Arial" w:hAnsi="Arial" w:cs="Arial"/>
          <w:color w:val="000000"/>
          <w:sz w:val="22"/>
          <w:szCs w:val="22"/>
        </w:rPr>
        <w:t xml:space="preserve"> genera</w:t>
      </w:r>
      <w:r w:rsidR="00FD334A">
        <w:rPr>
          <w:rFonts w:ascii="Arial" w:hAnsi="Arial" w:cs="Arial"/>
          <w:color w:val="000000"/>
          <w:sz w:val="22"/>
          <w:szCs w:val="22"/>
        </w:rPr>
        <w:t>do</w:t>
      </w:r>
      <w:r>
        <w:rPr>
          <w:rFonts w:ascii="Arial" w:hAnsi="Arial" w:cs="Arial"/>
          <w:color w:val="000000"/>
          <w:sz w:val="22"/>
          <w:szCs w:val="22"/>
        </w:rPr>
        <w:t xml:space="preserve"> los productos esperados.</w:t>
      </w:r>
    </w:p>
    <w:p w14:paraId="16AC3426" w14:textId="77777777" w:rsidR="009F6FC6" w:rsidRDefault="009F6FC6" w:rsidP="009F6FC6">
      <w:pPr>
        <w:pStyle w:val="Chapter"/>
        <w:numPr>
          <w:ilvl w:val="0"/>
          <w:numId w:val="0"/>
        </w:numPr>
        <w:spacing w:after="120"/>
        <w:ind w:firstLine="288"/>
        <w:rPr>
          <w:rFonts w:ascii="Times New Roman Bold" w:hAnsi="Times New Roman Bold"/>
          <w:smallCaps w:val="0"/>
        </w:rPr>
        <w:sectPr w:rsidR="009F6FC6" w:rsidSect="009F6FC6">
          <w:type w:val="continuous"/>
          <w:pgSz w:w="12240" w:h="15840" w:code="1"/>
          <w:pgMar w:top="1440" w:right="1800" w:bottom="1440" w:left="1800" w:header="706" w:footer="706" w:gutter="0"/>
          <w:pgNumType w:start="1"/>
          <w:cols w:space="720"/>
          <w:formProt w:val="0"/>
          <w:docGrid w:linePitch="326"/>
        </w:sectPr>
      </w:pPr>
    </w:p>
    <w:p w14:paraId="19CB5DED" w14:textId="5B8BBAD8" w:rsidR="00441FF0" w:rsidRPr="00B94E25" w:rsidRDefault="009F6FC6" w:rsidP="00B94E25">
      <w:pPr>
        <w:pStyle w:val="Chapter"/>
        <w:numPr>
          <w:ilvl w:val="0"/>
          <w:numId w:val="0"/>
        </w:numPr>
        <w:spacing w:after="120"/>
        <w:ind w:firstLine="288"/>
        <w:rPr>
          <w:rFonts w:ascii="Arial" w:hAnsi="Arial" w:cs="Arial"/>
          <w:smallCaps w:val="0"/>
          <w:sz w:val="22"/>
        </w:rPr>
      </w:pPr>
      <w:r>
        <w:rPr>
          <w:rFonts w:ascii="Arial" w:hAnsi="Arial" w:cs="Arial"/>
          <w:smallCaps w:val="0"/>
          <w:sz w:val="22"/>
        </w:rPr>
        <w:lastRenderedPageBreak/>
        <w:t>Cuadro 1. Indicadores de Productos</w:t>
      </w:r>
    </w:p>
    <w:tbl>
      <w:tblPr>
        <w:tblW w:w="1321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9"/>
        <w:gridCol w:w="174"/>
        <w:gridCol w:w="1491"/>
        <w:gridCol w:w="970"/>
        <w:gridCol w:w="1107"/>
        <w:gridCol w:w="757"/>
        <w:gridCol w:w="1181"/>
        <w:gridCol w:w="2125"/>
        <w:gridCol w:w="3276"/>
      </w:tblGrid>
      <w:tr w:rsidR="00441FF0" w:rsidRPr="00D92AD6" w14:paraId="7089CA70" w14:textId="77777777" w:rsidTr="000B1932">
        <w:trPr>
          <w:trHeight w:val="1070"/>
          <w:tblHeader/>
        </w:trPr>
        <w:tc>
          <w:tcPr>
            <w:tcW w:w="2369"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9DF11E2" w14:textId="77777777" w:rsidR="00441FF0" w:rsidRPr="00D92AD6" w:rsidRDefault="00441FF0" w:rsidP="00633121">
            <w:pPr>
              <w:jc w:val="center"/>
              <w:rPr>
                <w:rFonts w:ascii="Arial" w:hAnsi="Arial" w:cs="Arial"/>
                <w:b/>
                <w:noProof/>
                <w:sz w:val="20"/>
                <w:lang w:eastAsia="zh-CN"/>
              </w:rPr>
            </w:pPr>
            <w:r w:rsidRPr="00D92AD6">
              <w:rPr>
                <w:rFonts w:ascii="Arial" w:hAnsi="Arial" w:cs="Arial"/>
                <w:b/>
                <w:noProof/>
                <w:sz w:val="20"/>
                <w:lang w:eastAsia="zh-CN"/>
              </w:rPr>
              <w:t>Productos</w:t>
            </w:r>
          </w:p>
        </w:tc>
        <w:tc>
          <w:tcPr>
            <w:tcW w:w="11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DBDDB33" w14:textId="77777777" w:rsidR="00441FF0" w:rsidRPr="00D92AD6" w:rsidRDefault="00441FF0" w:rsidP="00633121">
            <w:pPr>
              <w:jc w:val="center"/>
              <w:rPr>
                <w:rFonts w:ascii="Arial" w:hAnsi="Arial" w:cs="Arial"/>
                <w:b/>
                <w:noProof/>
                <w:sz w:val="20"/>
                <w:lang w:eastAsia="zh-CN"/>
              </w:rPr>
            </w:pPr>
            <w:r w:rsidRPr="00D92AD6">
              <w:rPr>
                <w:rFonts w:ascii="Arial" w:hAnsi="Arial" w:cs="Arial"/>
                <w:b/>
                <w:noProof/>
                <w:sz w:val="20"/>
                <w:lang w:eastAsia="zh-CN"/>
              </w:rPr>
              <w:t>Unidad de Medida</w:t>
            </w:r>
          </w:p>
        </w:tc>
        <w:tc>
          <w:tcPr>
            <w:tcW w:w="9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78F1409" w14:textId="77777777" w:rsidR="00441FF0" w:rsidRPr="00D92AD6" w:rsidRDefault="00441FF0" w:rsidP="00633121">
            <w:pPr>
              <w:jc w:val="center"/>
              <w:rPr>
                <w:rFonts w:ascii="Arial" w:hAnsi="Arial" w:cs="Arial"/>
                <w:b/>
                <w:noProof/>
                <w:sz w:val="20"/>
                <w:lang w:eastAsia="zh-CN"/>
              </w:rPr>
            </w:pPr>
            <w:r w:rsidRPr="00D92AD6">
              <w:rPr>
                <w:rFonts w:ascii="Arial" w:hAnsi="Arial" w:cs="Arial"/>
                <w:b/>
                <w:noProof/>
                <w:sz w:val="20"/>
                <w:lang w:eastAsia="zh-CN"/>
              </w:rPr>
              <w:t xml:space="preserve">Línea de Base </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7007550" w14:textId="77777777" w:rsidR="00441FF0" w:rsidRPr="00D92AD6" w:rsidRDefault="00441FF0" w:rsidP="00633121">
            <w:pPr>
              <w:jc w:val="center"/>
              <w:rPr>
                <w:rFonts w:ascii="Arial" w:hAnsi="Arial" w:cs="Arial"/>
                <w:b/>
                <w:noProof/>
                <w:sz w:val="20"/>
                <w:lang w:eastAsia="zh-CN"/>
              </w:rPr>
            </w:pPr>
            <w:r w:rsidRPr="00D92AD6">
              <w:rPr>
                <w:rFonts w:ascii="Arial" w:hAnsi="Arial" w:cs="Arial"/>
                <w:b/>
                <w:noProof/>
                <w:sz w:val="20"/>
                <w:lang w:eastAsia="zh-CN"/>
              </w:rPr>
              <w:t xml:space="preserve">Año </w:t>
            </w:r>
          </w:p>
          <w:p w14:paraId="27A141F3" w14:textId="77777777" w:rsidR="00441FF0" w:rsidRPr="00D92AD6" w:rsidRDefault="00441FF0" w:rsidP="00633121">
            <w:pPr>
              <w:jc w:val="center"/>
              <w:rPr>
                <w:rFonts w:ascii="Arial" w:hAnsi="Arial" w:cs="Arial"/>
                <w:b/>
                <w:noProof/>
                <w:sz w:val="20"/>
                <w:lang w:eastAsia="zh-CN"/>
              </w:rPr>
            </w:pPr>
            <w:r w:rsidRPr="00D92AD6">
              <w:rPr>
                <w:rFonts w:ascii="Arial" w:hAnsi="Arial" w:cs="Arial"/>
                <w:b/>
                <w:noProof/>
                <w:sz w:val="20"/>
                <w:lang w:eastAsia="zh-CN"/>
              </w:rPr>
              <w:t>Línea de Base</w:t>
            </w:r>
          </w:p>
        </w:tc>
        <w:tc>
          <w:tcPr>
            <w:tcW w:w="7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06BD07B" w14:textId="77777777" w:rsidR="00441FF0" w:rsidRPr="00D92AD6" w:rsidRDefault="00441FF0" w:rsidP="00633121">
            <w:pPr>
              <w:jc w:val="center"/>
              <w:rPr>
                <w:rFonts w:ascii="Arial" w:hAnsi="Arial" w:cs="Arial"/>
                <w:b/>
                <w:noProof/>
                <w:sz w:val="20"/>
                <w:lang w:eastAsia="zh-CN"/>
              </w:rPr>
            </w:pPr>
            <w:r w:rsidRPr="00D92AD6">
              <w:rPr>
                <w:rFonts w:ascii="Arial" w:hAnsi="Arial" w:cs="Arial"/>
                <w:b/>
                <w:noProof/>
                <w:sz w:val="20"/>
                <w:lang w:eastAsia="zh-CN"/>
              </w:rPr>
              <w:t>201</w:t>
            </w:r>
            <w:r>
              <w:rPr>
                <w:rFonts w:ascii="Arial" w:hAnsi="Arial" w:cs="Arial"/>
                <w:b/>
                <w:noProof/>
                <w:sz w:val="20"/>
                <w:lang w:eastAsia="zh-CN"/>
              </w:rPr>
              <w:t>7</w:t>
            </w:r>
          </w:p>
        </w:tc>
        <w:tc>
          <w:tcPr>
            <w:tcW w:w="12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329EA47" w14:textId="77777777" w:rsidR="00441FF0" w:rsidRPr="00D92AD6" w:rsidRDefault="00441FF0" w:rsidP="00633121">
            <w:pPr>
              <w:jc w:val="center"/>
              <w:rPr>
                <w:rFonts w:ascii="Arial" w:hAnsi="Arial" w:cs="Arial"/>
                <w:b/>
                <w:noProof/>
                <w:sz w:val="20"/>
                <w:lang w:eastAsia="zh-CN"/>
              </w:rPr>
            </w:pPr>
            <w:r w:rsidRPr="00D92AD6">
              <w:rPr>
                <w:rFonts w:ascii="Arial" w:hAnsi="Arial" w:cs="Arial"/>
                <w:b/>
                <w:noProof/>
                <w:sz w:val="20"/>
                <w:lang w:eastAsia="zh-CN"/>
              </w:rPr>
              <w:t>Meta Final</w:t>
            </w:r>
          </w:p>
          <w:p w14:paraId="2A0D9FB4" w14:textId="77777777" w:rsidR="00441FF0" w:rsidRPr="00D92AD6" w:rsidRDefault="00441FF0" w:rsidP="00633121">
            <w:pPr>
              <w:jc w:val="center"/>
              <w:rPr>
                <w:rFonts w:ascii="Arial" w:hAnsi="Arial" w:cs="Arial"/>
                <w:b/>
                <w:noProof/>
                <w:sz w:val="20"/>
                <w:lang w:eastAsia="zh-CN"/>
              </w:rPr>
            </w:pPr>
            <w:r w:rsidRPr="00D92AD6">
              <w:rPr>
                <w:rFonts w:ascii="Arial" w:hAnsi="Arial" w:cs="Arial"/>
                <w:b/>
                <w:noProof/>
                <w:sz w:val="20"/>
                <w:lang w:eastAsia="zh-CN"/>
              </w:rPr>
              <w:t>(201</w:t>
            </w:r>
            <w:r>
              <w:rPr>
                <w:rFonts w:ascii="Arial" w:hAnsi="Arial" w:cs="Arial"/>
                <w:b/>
                <w:noProof/>
                <w:sz w:val="20"/>
                <w:lang w:eastAsia="zh-CN"/>
              </w:rPr>
              <w:t>9</w:t>
            </w:r>
            <w:r w:rsidRPr="00D92AD6">
              <w:rPr>
                <w:rFonts w:ascii="Arial" w:hAnsi="Arial" w:cs="Arial"/>
                <w:b/>
                <w:noProof/>
                <w:sz w:val="20"/>
                <w:lang w:eastAsia="zh-CN"/>
              </w:rPr>
              <w:t>)</w:t>
            </w:r>
          </w:p>
        </w:tc>
        <w:tc>
          <w:tcPr>
            <w:tcW w:w="21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7B4843F" w14:textId="77777777" w:rsidR="00441FF0" w:rsidRPr="00D92AD6" w:rsidRDefault="00441FF0" w:rsidP="00633121">
            <w:pPr>
              <w:jc w:val="center"/>
              <w:rPr>
                <w:rFonts w:ascii="Arial" w:hAnsi="Arial" w:cs="Arial"/>
                <w:b/>
                <w:noProof/>
                <w:sz w:val="20"/>
                <w:lang w:eastAsia="zh-CN"/>
              </w:rPr>
            </w:pPr>
            <w:r w:rsidRPr="00D92AD6">
              <w:rPr>
                <w:rFonts w:ascii="Arial" w:hAnsi="Arial" w:cs="Arial"/>
                <w:b/>
                <w:noProof/>
                <w:sz w:val="20"/>
                <w:lang w:eastAsia="zh-CN"/>
              </w:rPr>
              <w:t>Medios de Verificación</w:t>
            </w:r>
          </w:p>
        </w:tc>
        <w:tc>
          <w:tcPr>
            <w:tcW w:w="33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3424626" w14:textId="77777777" w:rsidR="00441FF0" w:rsidRPr="00D92AD6" w:rsidRDefault="00441FF0" w:rsidP="00633121">
            <w:pPr>
              <w:jc w:val="center"/>
              <w:rPr>
                <w:rFonts w:ascii="Arial" w:hAnsi="Arial" w:cs="Arial"/>
                <w:b/>
                <w:noProof/>
                <w:sz w:val="20"/>
                <w:lang w:eastAsia="zh-CN"/>
              </w:rPr>
            </w:pPr>
            <w:r w:rsidRPr="00D92AD6">
              <w:rPr>
                <w:rFonts w:ascii="Arial" w:hAnsi="Arial" w:cs="Arial"/>
                <w:b/>
                <w:noProof/>
                <w:sz w:val="20"/>
                <w:lang w:eastAsia="zh-CN"/>
              </w:rPr>
              <w:t>Comentarios</w:t>
            </w:r>
          </w:p>
        </w:tc>
      </w:tr>
      <w:tr w:rsidR="00441FF0" w:rsidRPr="005542A4" w14:paraId="294AC94F" w14:textId="77777777" w:rsidTr="00B47CEB">
        <w:trPr>
          <w:trHeight w:val="50"/>
        </w:trPr>
        <w:tc>
          <w:tcPr>
            <w:tcW w:w="13210" w:type="dxa"/>
            <w:gridSpan w:val="9"/>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71281216" w14:textId="77777777" w:rsidR="00441FF0" w:rsidRPr="00D92AD6" w:rsidRDefault="00441FF0" w:rsidP="00B47CEB">
            <w:pPr>
              <w:spacing w:before="60" w:after="60"/>
              <w:rPr>
                <w:rFonts w:ascii="Arial" w:hAnsi="Arial" w:cs="Arial"/>
                <w:b/>
                <w:noProof/>
                <w:sz w:val="20"/>
                <w:lang w:eastAsia="zh-CN"/>
              </w:rPr>
            </w:pPr>
            <w:r w:rsidRPr="00D92AD6">
              <w:rPr>
                <w:rFonts w:ascii="Arial" w:hAnsi="Arial" w:cs="Arial"/>
                <w:b/>
                <w:noProof/>
                <w:sz w:val="20"/>
                <w:lang w:eastAsia="zh-CN"/>
              </w:rPr>
              <w:t>Componente #2: Fortalecimiento de la responsabilidad hacendaria de Estados y Municipios</w:t>
            </w:r>
          </w:p>
        </w:tc>
      </w:tr>
      <w:tr w:rsidR="00441FF0" w:rsidRPr="005542A4" w14:paraId="432C1F1E" w14:textId="77777777" w:rsidTr="00903AE2">
        <w:trPr>
          <w:trHeight w:val="64"/>
        </w:trPr>
        <w:tc>
          <w:tcPr>
            <w:tcW w:w="2369" w:type="dxa"/>
            <w:gridSpan w:val="2"/>
            <w:tcBorders>
              <w:top w:val="single" w:sz="4" w:space="0" w:color="000000"/>
              <w:left w:val="single" w:sz="4" w:space="0" w:color="000000"/>
              <w:bottom w:val="single" w:sz="4" w:space="0" w:color="000000"/>
              <w:right w:val="single" w:sz="4" w:space="0" w:color="000000"/>
            </w:tcBorders>
            <w:vAlign w:val="center"/>
            <w:hideMark/>
          </w:tcPr>
          <w:p w14:paraId="3519A428" w14:textId="38DC5893" w:rsidR="00441FF0" w:rsidRPr="00D92AD6" w:rsidRDefault="00441FF0" w:rsidP="00633121">
            <w:pPr>
              <w:pStyle w:val="ListParagraph"/>
              <w:spacing w:before="60" w:after="60"/>
              <w:ind w:left="0"/>
              <w:rPr>
                <w:rFonts w:ascii="Arial" w:hAnsi="Arial" w:cs="Arial"/>
                <w:noProof/>
                <w:sz w:val="20"/>
                <w:lang w:eastAsia="zh-CN"/>
              </w:rPr>
            </w:pPr>
            <w:r w:rsidRPr="00D92AD6">
              <w:rPr>
                <w:rFonts w:ascii="Arial" w:hAnsi="Arial" w:cs="Arial"/>
                <w:noProof/>
                <w:color w:val="000000"/>
                <w:sz w:val="18"/>
                <w:szCs w:val="18"/>
              </w:rPr>
              <w:t>Ley de Disciplina Financiera de las Entidades Federativas y los Municipios</w:t>
            </w:r>
            <w:r>
              <w:rPr>
                <w:rFonts w:ascii="Arial" w:hAnsi="Arial" w:cs="Arial"/>
                <w:noProof/>
                <w:color w:val="000000"/>
                <w:sz w:val="18"/>
                <w:szCs w:val="18"/>
              </w:rPr>
              <w:t xml:space="preserve"> (LDF)</w:t>
            </w:r>
            <w:r w:rsidRPr="00D92AD6">
              <w:rPr>
                <w:rFonts w:ascii="Arial" w:hAnsi="Arial" w:cs="Arial"/>
                <w:noProof/>
                <w:color w:val="000000"/>
                <w:sz w:val="18"/>
                <w:szCs w:val="18"/>
              </w:rPr>
              <w:t xml:space="preserve"> </w:t>
            </w:r>
            <w:r w:rsidR="00DA4C79">
              <w:rPr>
                <w:rFonts w:ascii="Arial" w:hAnsi="Arial" w:cs="Arial"/>
                <w:noProof/>
                <w:color w:val="000000"/>
                <w:sz w:val="18"/>
                <w:szCs w:val="18"/>
              </w:rPr>
              <w:t xml:space="preserve">vigente en </w:t>
            </w:r>
            <w:r w:rsidR="00DA4C79">
              <w:rPr>
                <w:rFonts w:ascii="Arial" w:hAnsi="Arial" w:cs="Arial"/>
                <w:color w:val="000000"/>
                <w:sz w:val="18"/>
                <w:szCs w:val="18"/>
                <w:lang w:val="es-ES"/>
              </w:rPr>
              <w:t xml:space="preserve">municipios </w:t>
            </w:r>
            <w:r w:rsidR="00DA4C79" w:rsidRPr="00F87A0A">
              <w:rPr>
                <w:rFonts w:ascii="Arial" w:hAnsi="Arial" w:cs="Arial"/>
                <w:color w:val="000000"/>
                <w:sz w:val="18"/>
                <w:szCs w:val="18"/>
                <w:lang w:val="es-ES"/>
              </w:rPr>
              <w:t>y en sus respectivos entes públicos (EP)</w:t>
            </w:r>
            <w:r w:rsidR="00DA4C79">
              <w:rPr>
                <w:rFonts w:ascii="Arial" w:hAnsi="Arial" w:cs="Arial"/>
                <w:noProof/>
                <w:color w:val="000000"/>
                <w:sz w:val="18"/>
                <w:szCs w:val="18"/>
              </w:rPr>
              <w:t>.</w:t>
            </w:r>
          </w:p>
        </w:tc>
        <w:tc>
          <w:tcPr>
            <w:tcW w:w="1175" w:type="dxa"/>
            <w:tcBorders>
              <w:top w:val="single" w:sz="4" w:space="0" w:color="000000"/>
              <w:left w:val="single" w:sz="4" w:space="0" w:color="000000"/>
              <w:bottom w:val="single" w:sz="4" w:space="0" w:color="000000"/>
              <w:right w:val="single" w:sz="4" w:space="0" w:color="000000"/>
            </w:tcBorders>
            <w:vAlign w:val="center"/>
          </w:tcPr>
          <w:p w14:paraId="33BB5ECF" w14:textId="77777777" w:rsidR="00441FF0" w:rsidRPr="00D92AD6" w:rsidRDefault="00441FF0" w:rsidP="00633121">
            <w:pPr>
              <w:pStyle w:val="ListParagraph"/>
              <w:spacing w:before="60" w:after="60"/>
              <w:ind w:left="0"/>
              <w:jc w:val="center"/>
              <w:rPr>
                <w:rFonts w:ascii="Arial" w:hAnsi="Arial" w:cs="Arial"/>
                <w:noProof/>
                <w:sz w:val="18"/>
                <w:szCs w:val="18"/>
                <w:lang w:eastAsia="zh-CN"/>
              </w:rPr>
            </w:pPr>
            <w:r w:rsidRPr="00D92AD6">
              <w:rPr>
                <w:rFonts w:ascii="Arial" w:hAnsi="Arial" w:cs="Arial"/>
                <w:noProof/>
                <w:sz w:val="18"/>
                <w:szCs w:val="18"/>
                <w:lang w:eastAsia="zh-CN"/>
              </w:rPr>
              <w:t xml:space="preserve">Ley </w:t>
            </w:r>
          </w:p>
        </w:tc>
        <w:tc>
          <w:tcPr>
            <w:tcW w:w="993" w:type="dxa"/>
            <w:tcBorders>
              <w:top w:val="single" w:sz="4" w:space="0" w:color="000000"/>
              <w:left w:val="single" w:sz="4" w:space="0" w:color="000000"/>
              <w:bottom w:val="single" w:sz="4" w:space="0" w:color="000000"/>
              <w:right w:val="single" w:sz="4" w:space="0" w:color="000000"/>
            </w:tcBorders>
            <w:vAlign w:val="center"/>
          </w:tcPr>
          <w:p w14:paraId="36310198" w14:textId="77777777" w:rsidR="00441FF0" w:rsidRPr="00D92AD6" w:rsidRDefault="00441FF0" w:rsidP="00633121">
            <w:pPr>
              <w:spacing w:before="60" w:after="60"/>
              <w:jc w:val="center"/>
              <w:rPr>
                <w:rFonts w:ascii="Arial" w:hAnsi="Arial" w:cs="Arial"/>
                <w:noProof/>
                <w:sz w:val="20"/>
                <w:lang w:eastAsia="zh-CN"/>
              </w:rPr>
            </w:pPr>
            <w:r w:rsidRPr="00D92AD6">
              <w:rPr>
                <w:rFonts w:ascii="Arial" w:hAnsi="Arial" w:cs="Arial"/>
                <w:noProof/>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1116E842" w14:textId="7DC7F6C3" w:rsidR="00441FF0" w:rsidRPr="00D92AD6" w:rsidRDefault="00441FF0" w:rsidP="00633121">
            <w:pPr>
              <w:spacing w:before="60" w:after="60"/>
              <w:jc w:val="center"/>
              <w:rPr>
                <w:rFonts w:ascii="Arial" w:hAnsi="Arial" w:cs="Arial"/>
                <w:noProof/>
                <w:sz w:val="18"/>
                <w:szCs w:val="18"/>
                <w:lang w:eastAsia="zh-CN"/>
              </w:rPr>
            </w:pPr>
            <w:r w:rsidRPr="00D92AD6">
              <w:rPr>
                <w:rFonts w:ascii="Arial" w:hAnsi="Arial" w:cs="Arial"/>
                <w:noProof/>
                <w:sz w:val="18"/>
                <w:szCs w:val="18"/>
              </w:rPr>
              <w:t>201</w:t>
            </w:r>
            <w:r w:rsidR="00C113A6">
              <w:rPr>
                <w:rFonts w:ascii="Arial" w:hAnsi="Arial" w:cs="Arial"/>
                <w:noProof/>
                <w:sz w:val="18"/>
                <w:szCs w:val="18"/>
              </w:rPr>
              <w:t>5</w:t>
            </w:r>
          </w:p>
        </w:tc>
        <w:tc>
          <w:tcPr>
            <w:tcW w:w="773" w:type="dxa"/>
            <w:tcBorders>
              <w:top w:val="single" w:sz="4" w:space="0" w:color="000000"/>
              <w:left w:val="single" w:sz="4" w:space="0" w:color="000000"/>
              <w:bottom w:val="single" w:sz="4" w:space="0" w:color="000000"/>
              <w:right w:val="single" w:sz="4" w:space="0" w:color="000000"/>
            </w:tcBorders>
            <w:vAlign w:val="center"/>
          </w:tcPr>
          <w:p w14:paraId="36D8DCC1" w14:textId="783EDAA9" w:rsidR="00441FF0" w:rsidRPr="00D92AD6" w:rsidRDefault="00DA4C79" w:rsidP="00633121">
            <w:pPr>
              <w:spacing w:before="60" w:after="60"/>
              <w:jc w:val="center"/>
              <w:rPr>
                <w:rFonts w:ascii="Arial" w:hAnsi="Arial" w:cs="Arial"/>
                <w:noProof/>
                <w:sz w:val="20"/>
                <w:lang w:eastAsia="zh-CN"/>
              </w:rPr>
            </w:pPr>
            <w:r>
              <w:rPr>
                <w:rFonts w:ascii="Arial" w:hAnsi="Arial" w:cs="Arial"/>
                <w:noProof/>
                <w:sz w:val="18"/>
                <w:szCs w:val="18"/>
              </w:rPr>
              <w:t>0</w:t>
            </w:r>
          </w:p>
        </w:tc>
        <w:tc>
          <w:tcPr>
            <w:tcW w:w="1211" w:type="dxa"/>
            <w:tcBorders>
              <w:top w:val="single" w:sz="4" w:space="0" w:color="000000"/>
              <w:left w:val="single" w:sz="4" w:space="0" w:color="000000"/>
              <w:bottom w:val="single" w:sz="4" w:space="0" w:color="000000"/>
              <w:right w:val="single" w:sz="4" w:space="0" w:color="000000"/>
            </w:tcBorders>
            <w:vAlign w:val="center"/>
          </w:tcPr>
          <w:p w14:paraId="3899BB78" w14:textId="77777777" w:rsidR="00441FF0" w:rsidRPr="00D92AD6" w:rsidRDefault="00441FF0" w:rsidP="00633121">
            <w:pPr>
              <w:spacing w:before="60" w:after="60"/>
              <w:jc w:val="center"/>
              <w:rPr>
                <w:rFonts w:ascii="Arial" w:hAnsi="Arial" w:cs="Arial"/>
                <w:noProof/>
                <w:sz w:val="20"/>
                <w:lang w:eastAsia="zh-CN"/>
              </w:rPr>
            </w:pPr>
            <w:r w:rsidRPr="00D92AD6">
              <w:rPr>
                <w:rFonts w:ascii="Arial" w:hAnsi="Arial" w:cs="Arial"/>
                <w:noProof/>
                <w:sz w:val="18"/>
                <w:szCs w:val="18"/>
              </w:rPr>
              <w:t>1</w:t>
            </w:r>
          </w:p>
        </w:tc>
        <w:tc>
          <w:tcPr>
            <w:tcW w:w="2184" w:type="dxa"/>
            <w:tcBorders>
              <w:top w:val="single" w:sz="4" w:space="0" w:color="000000"/>
              <w:left w:val="single" w:sz="4" w:space="0" w:color="000000"/>
              <w:bottom w:val="single" w:sz="4" w:space="0" w:color="000000"/>
              <w:right w:val="single" w:sz="4" w:space="0" w:color="000000"/>
            </w:tcBorders>
            <w:vAlign w:val="center"/>
          </w:tcPr>
          <w:p w14:paraId="7CB9BEE2" w14:textId="77777777" w:rsidR="00441FF0" w:rsidRPr="00D92AD6" w:rsidRDefault="00441FF0" w:rsidP="00633121">
            <w:pPr>
              <w:spacing w:before="60" w:after="60"/>
              <w:rPr>
                <w:rFonts w:ascii="Arial" w:hAnsi="Arial" w:cs="Arial"/>
                <w:noProof/>
                <w:sz w:val="20"/>
                <w:lang w:eastAsia="zh-CN"/>
              </w:rPr>
            </w:pPr>
            <w:r w:rsidRPr="00D92AD6">
              <w:rPr>
                <w:rFonts w:ascii="Arial" w:hAnsi="Arial" w:cs="Arial"/>
                <w:noProof/>
                <w:sz w:val="18"/>
                <w:szCs w:val="18"/>
              </w:rPr>
              <w:t>Publicación en el Diario Oficial de la Federación (DOF).</w:t>
            </w:r>
          </w:p>
        </w:tc>
        <w:tc>
          <w:tcPr>
            <w:tcW w:w="3371" w:type="dxa"/>
            <w:tcBorders>
              <w:top w:val="single" w:sz="4" w:space="0" w:color="000000"/>
              <w:left w:val="single" w:sz="4" w:space="0" w:color="000000"/>
              <w:bottom w:val="single" w:sz="4" w:space="0" w:color="000000"/>
              <w:right w:val="single" w:sz="4" w:space="0" w:color="000000"/>
            </w:tcBorders>
            <w:vAlign w:val="center"/>
          </w:tcPr>
          <w:p w14:paraId="7CDCF190" w14:textId="77777777" w:rsidR="00441FF0" w:rsidRPr="00D92AD6" w:rsidRDefault="00441FF0" w:rsidP="00633121">
            <w:pPr>
              <w:spacing w:before="60" w:after="60"/>
              <w:rPr>
                <w:rFonts w:ascii="Arial" w:hAnsi="Arial" w:cs="Arial"/>
                <w:noProof/>
                <w:sz w:val="20"/>
                <w:lang w:eastAsia="zh-CN"/>
              </w:rPr>
            </w:pPr>
            <w:r w:rsidRPr="00D92AD6">
              <w:rPr>
                <w:rFonts w:ascii="Arial" w:hAnsi="Arial" w:cs="Arial"/>
                <w:noProof/>
                <w:color w:val="000000"/>
                <w:sz w:val="18"/>
                <w:szCs w:val="18"/>
              </w:rPr>
              <w:t>Línea de base y metas a diciembre de cada año.</w:t>
            </w:r>
          </w:p>
        </w:tc>
      </w:tr>
      <w:tr w:rsidR="00192580" w:rsidRPr="005542A4" w14:paraId="7A366FCC" w14:textId="77777777" w:rsidTr="00EC3409">
        <w:trPr>
          <w:trHeight w:val="64"/>
        </w:trPr>
        <w:tc>
          <w:tcPr>
            <w:tcW w:w="2369" w:type="dxa"/>
            <w:gridSpan w:val="2"/>
            <w:tcBorders>
              <w:top w:val="single" w:sz="4" w:space="0" w:color="000000"/>
              <w:left w:val="single" w:sz="4" w:space="0" w:color="000000"/>
              <w:bottom w:val="single" w:sz="4" w:space="0" w:color="000000"/>
              <w:right w:val="single" w:sz="4" w:space="0" w:color="000000"/>
            </w:tcBorders>
            <w:vAlign w:val="center"/>
          </w:tcPr>
          <w:p w14:paraId="30F6888A" w14:textId="1E578EBE" w:rsidR="00192580" w:rsidRDefault="00192580" w:rsidP="00192580">
            <w:pPr>
              <w:pStyle w:val="ListParagraph"/>
              <w:spacing w:before="60" w:after="60"/>
              <w:ind w:left="0"/>
              <w:rPr>
                <w:rFonts w:ascii="Arial" w:hAnsi="Arial" w:cs="Arial"/>
                <w:sz w:val="18"/>
                <w:szCs w:val="18"/>
              </w:rPr>
            </w:pPr>
            <w:r>
              <w:rPr>
                <w:rFonts w:ascii="Arial" w:hAnsi="Arial" w:cs="Arial"/>
                <w:sz w:val="18"/>
                <w:szCs w:val="18"/>
              </w:rPr>
              <w:t>R</w:t>
            </w:r>
            <w:r w:rsidRPr="006B6ED7">
              <w:rPr>
                <w:rFonts w:ascii="Arial" w:hAnsi="Arial" w:cs="Arial"/>
                <w:sz w:val="18"/>
                <w:szCs w:val="18"/>
              </w:rPr>
              <w:t>egistro de proyectos de inversión pública productiva</w:t>
            </w:r>
            <w:r>
              <w:rPr>
                <w:rFonts w:ascii="Arial" w:hAnsi="Arial" w:cs="Arial"/>
                <w:sz w:val="18"/>
                <w:szCs w:val="18"/>
              </w:rPr>
              <w:t xml:space="preserve"> implementados por entidades federativas (EF)</w:t>
            </w:r>
            <w:r w:rsidR="00DA4C79">
              <w:rPr>
                <w:rFonts w:ascii="Arial" w:hAnsi="Arial" w:cs="Arial"/>
                <w:sz w:val="18"/>
                <w:szCs w:val="18"/>
              </w:rPr>
              <w:t>.</w:t>
            </w:r>
          </w:p>
        </w:tc>
        <w:tc>
          <w:tcPr>
            <w:tcW w:w="1175" w:type="dxa"/>
            <w:tcBorders>
              <w:top w:val="single" w:sz="4" w:space="0" w:color="000000"/>
              <w:left w:val="single" w:sz="4" w:space="0" w:color="000000"/>
              <w:bottom w:val="single" w:sz="4" w:space="0" w:color="000000"/>
              <w:right w:val="single" w:sz="4" w:space="0" w:color="000000"/>
            </w:tcBorders>
            <w:vAlign w:val="center"/>
          </w:tcPr>
          <w:p w14:paraId="7CE0F1C4" w14:textId="2DCE85AD" w:rsidR="00192580" w:rsidRPr="00D92AD6" w:rsidRDefault="00192580" w:rsidP="00192580">
            <w:pPr>
              <w:spacing w:before="60" w:after="60"/>
              <w:jc w:val="center"/>
              <w:rPr>
                <w:rFonts w:ascii="Arial" w:hAnsi="Arial" w:cs="Arial"/>
                <w:noProof/>
                <w:sz w:val="18"/>
                <w:szCs w:val="18"/>
                <w:lang w:eastAsia="zh-CN"/>
              </w:rPr>
            </w:pPr>
            <w:r w:rsidRPr="006B70E4">
              <w:rPr>
                <w:rFonts w:ascii="Arial" w:hAnsi="Arial" w:cs="Arial"/>
                <w:noProof/>
                <w:sz w:val="18"/>
                <w:szCs w:val="18"/>
                <w:lang w:eastAsia="zh-CN"/>
              </w:rPr>
              <w:t>Registros</w:t>
            </w:r>
          </w:p>
        </w:tc>
        <w:tc>
          <w:tcPr>
            <w:tcW w:w="993" w:type="dxa"/>
            <w:tcBorders>
              <w:top w:val="single" w:sz="4" w:space="0" w:color="000000"/>
              <w:left w:val="single" w:sz="4" w:space="0" w:color="000000"/>
              <w:bottom w:val="single" w:sz="4" w:space="0" w:color="000000"/>
              <w:right w:val="single" w:sz="4" w:space="0" w:color="000000"/>
            </w:tcBorders>
            <w:vAlign w:val="center"/>
          </w:tcPr>
          <w:p w14:paraId="5CA7F206" w14:textId="66EB0D1F" w:rsidR="00192580" w:rsidRPr="00D92AD6" w:rsidRDefault="00192580" w:rsidP="00192580">
            <w:pPr>
              <w:spacing w:before="60" w:after="60"/>
              <w:jc w:val="center"/>
              <w:rPr>
                <w:rFonts w:ascii="Arial" w:hAnsi="Arial" w:cs="Arial"/>
                <w:noProof/>
                <w:sz w:val="18"/>
                <w:szCs w:val="18"/>
              </w:rPr>
            </w:pPr>
            <w:r>
              <w:rPr>
                <w:rFonts w:ascii="Arial" w:hAnsi="Arial" w:cs="Arial"/>
                <w:noProof/>
                <w:sz w:val="18"/>
                <w:szCs w:val="18"/>
              </w:rPr>
              <w:t>No Disponible (N.D.)</w:t>
            </w:r>
          </w:p>
        </w:tc>
        <w:tc>
          <w:tcPr>
            <w:tcW w:w="1134" w:type="dxa"/>
            <w:tcBorders>
              <w:top w:val="single" w:sz="4" w:space="0" w:color="000000"/>
              <w:left w:val="single" w:sz="4" w:space="0" w:color="000000"/>
              <w:bottom w:val="single" w:sz="4" w:space="0" w:color="000000"/>
              <w:right w:val="single" w:sz="4" w:space="0" w:color="000000"/>
            </w:tcBorders>
            <w:vAlign w:val="center"/>
          </w:tcPr>
          <w:p w14:paraId="31FCB9E8" w14:textId="62633ED8" w:rsidR="00192580" w:rsidRPr="00D92AD6" w:rsidRDefault="00192580" w:rsidP="00192580">
            <w:pPr>
              <w:spacing w:before="60" w:after="60"/>
              <w:jc w:val="center"/>
              <w:rPr>
                <w:rFonts w:ascii="Arial" w:hAnsi="Arial" w:cs="Arial"/>
                <w:noProof/>
                <w:sz w:val="18"/>
                <w:szCs w:val="18"/>
              </w:rPr>
            </w:pPr>
            <w:r w:rsidRPr="006B70E4">
              <w:rPr>
                <w:rFonts w:ascii="Arial" w:hAnsi="Arial" w:cs="Arial"/>
                <w:noProof/>
                <w:sz w:val="18"/>
                <w:szCs w:val="18"/>
              </w:rPr>
              <w:t>201</w:t>
            </w:r>
            <w:r>
              <w:rPr>
                <w:rFonts w:ascii="Arial" w:hAnsi="Arial" w:cs="Arial"/>
                <w:noProof/>
                <w:sz w:val="18"/>
                <w:szCs w:val="18"/>
              </w:rPr>
              <w:t>5</w:t>
            </w:r>
          </w:p>
        </w:tc>
        <w:tc>
          <w:tcPr>
            <w:tcW w:w="773" w:type="dxa"/>
            <w:tcBorders>
              <w:top w:val="single" w:sz="4" w:space="0" w:color="000000"/>
              <w:left w:val="single" w:sz="4" w:space="0" w:color="000000"/>
              <w:bottom w:val="single" w:sz="4" w:space="0" w:color="000000"/>
              <w:right w:val="single" w:sz="4" w:space="0" w:color="000000"/>
            </w:tcBorders>
            <w:vAlign w:val="center"/>
          </w:tcPr>
          <w:p w14:paraId="4774B812" w14:textId="146EC37B" w:rsidR="00192580" w:rsidRDefault="00192580" w:rsidP="00192580">
            <w:pPr>
              <w:spacing w:before="60" w:after="60"/>
              <w:jc w:val="center"/>
              <w:rPr>
                <w:rFonts w:ascii="Arial" w:hAnsi="Arial" w:cs="Arial"/>
                <w:noProof/>
                <w:sz w:val="18"/>
                <w:szCs w:val="18"/>
              </w:rPr>
            </w:pPr>
            <w:r>
              <w:rPr>
                <w:rFonts w:ascii="Arial" w:hAnsi="Arial" w:cs="Arial"/>
                <w:noProof/>
                <w:sz w:val="18"/>
                <w:szCs w:val="18"/>
              </w:rPr>
              <w:t>15</w:t>
            </w:r>
          </w:p>
        </w:tc>
        <w:tc>
          <w:tcPr>
            <w:tcW w:w="1211" w:type="dxa"/>
            <w:tcBorders>
              <w:top w:val="single" w:sz="4" w:space="0" w:color="000000"/>
              <w:left w:val="single" w:sz="4" w:space="0" w:color="000000"/>
              <w:bottom w:val="single" w:sz="4" w:space="0" w:color="000000"/>
              <w:right w:val="single" w:sz="4" w:space="0" w:color="000000"/>
            </w:tcBorders>
            <w:vAlign w:val="center"/>
          </w:tcPr>
          <w:p w14:paraId="63C66C9E" w14:textId="784E0572" w:rsidR="00192580" w:rsidRDefault="00192580" w:rsidP="00192580">
            <w:pPr>
              <w:spacing w:before="60" w:after="60"/>
              <w:jc w:val="center"/>
              <w:rPr>
                <w:rFonts w:ascii="Arial" w:hAnsi="Arial" w:cs="Arial"/>
                <w:noProof/>
                <w:sz w:val="18"/>
                <w:szCs w:val="18"/>
              </w:rPr>
            </w:pPr>
            <w:r>
              <w:rPr>
                <w:rFonts w:ascii="Arial" w:hAnsi="Arial" w:cs="Arial"/>
                <w:noProof/>
                <w:sz w:val="18"/>
                <w:szCs w:val="18"/>
              </w:rPr>
              <w:t>20</w:t>
            </w:r>
          </w:p>
        </w:tc>
        <w:tc>
          <w:tcPr>
            <w:tcW w:w="2184" w:type="dxa"/>
            <w:tcBorders>
              <w:top w:val="single" w:sz="4" w:space="0" w:color="000000"/>
              <w:left w:val="single" w:sz="4" w:space="0" w:color="000000"/>
              <w:bottom w:val="single" w:sz="4" w:space="0" w:color="000000"/>
              <w:right w:val="single" w:sz="4" w:space="0" w:color="000000"/>
            </w:tcBorders>
            <w:vAlign w:val="center"/>
          </w:tcPr>
          <w:p w14:paraId="4E41E0AF" w14:textId="200BC08E" w:rsidR="00192580" w:rsidRDefault="00084006" w:rsidP="00192580">
            <w:pPr>
              <w:spacing w:before="60" w:after="60"/>
              <w:rPr>
                <w:rFonts w:ascii="Arial" w:hAnsi="Arial" w:cs="Arial"/>
                <w:noProof/>
                <w:sz w:val="18"/>
                <w:szCs w:val="18"/>
              </w:rPr>
            </w:pPr>
            <w:r>
              <w:rPr>
                <w:rFonts w:ascii="Arial" w:hAnsi="Arial" w:cs="Arial"/>
                <w:sz w:val="18"/>
                <w:szCs w:val="18"/>
                <w:lang w:val="es-ES"/>
              </w:rPr>
              <w:t>S</w:t>
            </w:r>
            <w:r w:rsidRPr="00E85F35">
              <w:rPr>
                <w:rFonts w:ascii="Arial" w:hAnsi="Arial" w:cs="Arial"/>
                <w:sz w:val="18"/>
                <w:szCs w:val="18"/>
                <w:lang w:val="es-ES"/>
              </w:rPr>
              <w:t>itios</w:t>
            </w:r>
            <w:r>
              <w:rPr>
                <w:rFonts w:ascii="Arial" w:hAnsi="Arial" w:cs="Arial"/>
                <w:sz w:val="18"/>
                <w:szCs w:val="18"/>
                <w:lang w:val="es-ES"/>
              </w:rPr>
              <w:t xml:space="preserve"> web</w:t>
            </w:r>
            <w:r w:rsidR="00192580" w:rsidRPr="00E85F35">
              <w:rPr>
                <w:rFonts w:ascii="Arial" w:hAnsi="Arial" w:cs="Arial"/>
                <w:sz w:val="18"/>
                <w:szCs w:val="18"/>
                <w:lang w:val="es-ES"/>
              </w:rPr>
              <w:t xml:space="preserve"> de los </w:t>
            </w:r>
            <w:r>
              <w:rPr>
                <w:rFonts w:ascii="Arial" w:hAnsi="Arial" w:cs="Arial"/>
                <w:sz w:val="18"/>
                <w:szCs w:val="18"/>
                <w:lang w:val="es-ES"/>
              </w:rPr>
              <w:t>registros de proyecto de inversión pública productiva</w:t>
            </w:r>
            <w:r w:rsidR="00192580" w:rsidRPr="00E85F35">
              <w:rPr>
                <w:rFonts w:ascii="Arial" w:hAnsi="Arial" w:cs="Arial"/>
                <w:sz w:val="18"/>
                <w:szCs w:val="18"/>
                <w:lang w:val="es-ES"/>
              </w:rPr>
              <w:t xml:space="preserve"> de las</w:t>
            </w:r>
            <w:r>
              <w:rPr>
                <w:rFonts w:ascii="Arial" w:hAnsi="Arial" w:cs="Arial"/>
                <w:sz w:val="18"/>
                <w:szCs w:val="18"/>
                <w:lang w:val="es-ES"/>
              </w:rPr>
              <w:t> </w:t>
            </w:r>
            <w:r w:rsidR="00192580" w:rsidRPr="00E85F35">
              <w:rPr>
                <w:rFonts w:ascii="Arial" w:hAnsi="Arial" w:cs="Arial"/>
                <w:sz w:val="18"/>
                <w:szCs w:val="18"/>
                <w:lang w:val="es-ES"/>
              </w:rPr>
              <w:t>entidades federativas</w:t>
            </w:r>
            <w:r w:rsidR="00DA4C79">
              <w:rPr>
                <w:rFonts w:ascii="Arial" w:hAnsi="Arial" w:cs="Arial"/>
                <w:sz w:val="18"/>
                <w:szCs w:val="18"/>
                <w:lang w:val="es-ES"/>
              </w:rPr>
              <w:t>.</w:t>
            </w:r>
          </w:p>
        </w:tc>
        <w:tc>
          <w:tcPr>
            <w:tcW w:w="3371" w:type="dxa"/>
            <w:tcBorders>
              <w:top w:val="single" w:sz="4" w:space="0" w:color="000000"/>
              <w:left w:val="single" w:sz="4" w:space="0" w:color="000000"/>
              <w:bottom w:val="single" w:sz="4" w:space="0" w:color="000000"/>
              <w:right w:val="single" w:sz="4" w:space="0" w:color="000000"/>
            </w:tcBorders>
          </w:tcPr>
          <w:p w14:paraId="50557A02" w14:textId="742FC379" w:rsidR="00192580" w:rsidRPr="00D92AD6" w:rsidRDefault="00192580" w:rsidP="00192580">
            <w:pPr>
              <w:spacing w:before="60" w:after="60"/>
              <w:rPr>
                <w:rFonts w:ascii="Arial" w:hAnsi="Arial" w:cs="Arial"/>
                <w:noProof/>
                <w:color w:val="000000"/>
                <w:sz w:val="18"/>
                <w:szCs w:val="18"/>
              </w:rPr>
            </w:pPr>
            <w:r w:rsidRPr="00D92AD6">
              <w:rPr>
                <w:rFonts w:ascii="Arial" w:hAnsi="Arial" w:cs="Arial"/>
                <w:noProof/>
                <w:color w:val="000000"/>
                <w:sz w:val="18"/>
                <w:szCs w:val="18"/>
              </w:rPr>
              <w:t>Línea de base y metas a diciembre de cada año.</w:t>
            </w:r>
            <w:r>
              <w:rPr>
                <w:rFonts w:ascii="Arial" w:hAnsi="Arial" w:cs="Arial"/>
                <w:noProof/>
                <w:color w:val="000000"/>
                <w:sz w:val="18"/>
                <w:szCs w:val="18"/>
              </w:rPr>
              <w:t xml:space="preserve"> Indicador es acumulativo.</w:t>
            </w:r>
            <w:r w:rsidR="00084006">
              <w:rPr>
                <w:rFonts w:ascii="Arial" w:hAnsi="Arial" w:cs="Arial"/>
                <w:noProof/>
                <w:color w:val="000000"/>
                <w:sz w:val="18"/>
                <w:szCs w:val="18"/>
              </w:rPr>
              <w:t xml:space="preserve"> Los enlaces a los sitios web serán provistos por la SHCP, o su agente financiero, al momento del desembolso de la operación.</w:t>
            </w:r>
          </w:p>
        </w:tc>
      </w:tr>
      <w:tr w:rsidR="00877328" w:rsidRPr="005542A4" w14:paraId="76789BD9" w14:textId="77777777" w:rsidTr="00903AE2">
        <w:trPr>
          <w:trHeight w:val="64"/>
        </w:trPr>
        <w:tc>
          <w:tcPr>
            <w:tcW w:w="2369" w:type="dxa"/>
            <w:gridSpan w:val="2"/>
            <w:tcBorders>
              <w:top w:val="single" w:sz="4" w:space="0" w:color="000000"/>
              <w:left w:val="single" w:sz="4" w:space="0" w:color="000000"/>
              <w:bottom w:val="single" w:sz="4" w:space="0" w:color="000000"/>
              <w:right w:val="single" w:sz="4" w:space="0" w:color="000000"/>
            </w:tcBorders>
            <w:vAlign w:val="center"/>
          </w:tcPr>
          <w:p w14:paraId="39C1C64D" w14:textId="515826EC" w:rsidR="00877328" w:rsidRDefault="00877328" w:rsidP="00877328">
            <w:pPr>
              <w:pStyle w:val="ListParagraph"/>
              <w:spacing w:before="60" w:after="60"/>
              <w:ind w:left="0"/>
              <w:rPr>
                <w:rFonts w:ascii="Arial" w:hAnsi="Arial" w:cs="Arial"/>
                <w:sz w:val="18"/>
                <w:szCs w:val="18"/>
              </w:rPr>
            </w:pPr>
            <w:r>
              <w:rPr>
                <w:rFonts w:ascii="Arial" w:hAnsi="Arial" w:cs="Arial"/>
                <w:color w:val="000000"/>
                <w:sz w:val="18"/>
                <w:szCs w:val="18"/>
                <w:lang w:val="es-ES"/>
              </w:rPr>
              <w:t>A</w:t>
            </w:r>
            <w:r w:rsidRPr="009A55E6">
              <w:rPr>
                <w:rFonts w:ascii="Arial" w:hAnsi="Arial" w:cs="Arial"/>
                <w:color w:val="000000"/>
                <w:sz w:val="18"/>
                <w:szCs w:val="18"/>
                <w:lang w:val="es-ES"/>
              </w:rPr>
              <w:t>nálisis de capacidad de pago</w:t>
            </w:r>
            <w:r>
              <w:rPr>
                <w:rFonts w:ascii="Arial" w:hAnsi="Arial" w:cs="Arial"/>
                <w:color w:val="000000"/>
                <w:sz w:val="18"/>
                <w:szCs w:val="18"/>
                <w:lang w:val="es-ES"/>
              </w:rPr>
              <w:t xml:space="preserve"> de obligaciones de </w:t>
            </w:r>
            <w:proofErr w:type="spellStart"/>
            <w:r>
              <w:rPr>
                <w:rFonts w:ascii="Arial" w:hAnsi="Arial" w:cs="Arial"/>
                <w:color w:val="000000"/>
                <w:sz w:val="18"/>
                <w:szCs w:val="18"/>
                <w:lang w:val="es-ES"/>
              </w:rPr>
              <w:t>EyM</w:t>
            </w:r>
            <w:proofErr w:type="spellEnd"/>
            <w:r>
              <w:rPr>
                <w:rFonts w:ascii="Arial" w:hAnsi="Arial" w:cs="Arial"/>
                <w:color w:val="000000"/>
                <w:sz w:val="18"/>
                <w:szCs w:val="18"/>
                <w:lang w:val="es-ES"/>
              </w:rPr>
              <w:t xml:space="preserve"> realizados</w:t>
            </w:r>
            <w:r w:rsidR="004F3AF4">
              <w:rPr>
                <w:rFonts w:ascii="Arial" w:hAnsi="Arial" w:cs="Arial"/>
                <w:color w:val="000000"/>
                <w:sz w:val="18"/>
                <w:szCs w:val="18"/>
                <w:lang w:val="es-ES"/>
              </w:rPr>
              <w:t>.</w:t>
            </w:r>
          </w:p>
        </w:tc>
        <w:tc>
          <w:tcPr>
            <w:tcW w:w="1175" w:type="dxa"/>
            <w:tcBorders>
              <w:top w:val="single" w:sz="4" w:space="0" w:color="000000"/>
              <w:left w:val="single" w:sz="4" w:space="0" w:color="000000"/>
              <w:bottom w:val="single" w:sz="4" w:space="0" w:color="000000"/>
              <w:right w:val="single" w:sz="4" w:space="0" w:color="000000"/>
            </w:tcBorders>
            <w:vAlign w:val="center"/>
          </w:tcPr>
          <w:p w14:paraId="59E13E1B" w14:textId="64730477" w:rsidR="00877328" w:rsidRPr="00D92AD6" w:rsidRDefault="00877328" w:rsidP="00877328">
            <w:pPr>
              <w:spacing w:before="60" w:after="60"/>
              <w:jc w:val="center"/>
              <w:rPr>
                <w:rFonts w:ascii="Arial" w:hAnsi="Arial" w:cs="Arial"/>
                <w:noProof/>
                <w:sz w:val="18"/>
                <w:szCs w:val="18"/>
                <w:lang w:eastAsia="zh-CN"/>
              </w:rPr>
            </w:pPr>
            <w:r>
              <w:rPr>
                <w:rFonts w:ascii="Arial" w:hAnsi="Arial" w:cs="Arial"/>
                <w:noProof/>
                <w:sz w:val="18"/>
                <w:szCs w:val="18"/>
                <w:lang w:eastAsia="zh-CN"/>
              </w:rPr>
              <w:t>Reportes</w:t>
            </w:r>
          </w:p>
        </w:tc>
        <w:tc>
          <w:tcPr>
            <w:tcW w:w="993" w:type="dxa"/>
            <w:tcBorders>
              <w:top w:val="single" w:sz="4" w:space="0" w:color="000000"/>
              <w:left w:val="single" w:sz="4" w:space="0" w:color="000000"/>
              <w:bottom w:val="single" w:sz="4" w:space="0" w:color="000000"/>
              <w:right w:val="single" w:sz="4" w:space="0" w:color="000000"/>
            </w:tcBorders>
            <w:vAlign w:val="center"/>
          </w:tcPr>
          <w:p w14:paraId="31188340" w14:textId="2B7F3907" w:rsidR="00877328" w:rsidRPr="00D92AD6" w:rsidRDefault="00877328" w:rsidP="00877328">
            <w:pPr>
              <w:spacing w:before="60" w:after="60"/>
              <w:jc w:val="center"/>
              <w:rPr>
                <w:rFonts w:ascii="Arial" w:hAnsi="Arial" w:cs="Arial"/>
                <w:noProof/>
                <w:sz w:val="18"/>
                <w:szCs w:val="18"/>
              </w:rPr>
            </w:pPr>
            <w:r>
              <w:rPr>
                <w:rFonts w:ascii="Arial" w:hAnsi="Arial" w:cs="Arial"/>
                <w:noProof/>
                <w:sz w:val="18"/>
                <w:szCs w:val="18"/>
              </w:rPr>
              <w:t>N.D.</w:t>
            </w:r>
          </w:p>
        </w:tc>
        <w:tc>
          <w:tcPr>
            <w:tcW w:w="1134" w:type="dxa"/>
            <w:tcBorders>
              <w:top w:val="single" w:sz="4" w:space="0" w:color="000000"/>
              <w:left w:val="single" w:sz="4" w:space="0" w:color="000000"/>
              <w:bottom w:val="single" w:sz="4" w:space="0" w:color="000000"/>
              <w:right w:val="single" w:sz="4" w:space="0" w:color="000000"/>
            </w:tcBorders>
            <w:vAlign w:val="center"/>
          </w:tcPr>
          <w:p w14:paraId="1470083E" w14:textId="4ABB82F4" w:rsidR="00877328" w:rsidRPr="00D92AD6" w:rsidRDefault="00877328" w:rsidP="00877328">
            <w:pPr>
              <w:spacing w:before="60" w:after="60"/>
              <w:jc w:val="center"/>
              <w:rPr>
                <w:rFonts w:ascii="Arial" w:hAnsi="Arial" w:cs="Arial"/>
                <w:noProof/>
                <w:sz w:val="18"/>
                <w:szCs w:val="18"/>
              </w:rPr>
            </w:pPr>
            <w:r w:rsidRPr="006B70E4">
              <w:rPr>
                <w:rFonts w:ascii="Arial" w:hAnsi="Arial" w:cs="Arial"/>
                <w:noProof/>
                <w:sz w:val="18"/>
                <w:szCs w:val="18"/>
              </w:rPr>
              <w:t>201</w:t>
            </w:r>
            <w:r>
              <w:rPr>
                <w:rFonts w:ascii="Arial" w:hAnsi="Arial" w:cs="Arial"/>
                <w:noProof/>
                <w:sz w:val="18"/>
                <w:szCs w:val="18"/>
              </w:rPr>
              <w:t>5</w:t>
            </w:r>
          </w:p>
        </w:tc>
        <w:tc>
          <w:tcPr>
            <w:tcW w:w="773" w:type="dxa"/>
            <w:tcBorders>
              <w:top w:val="single" w:sz="4" w:space="0" w:color="000000"/>
              <w:left w:val="single" w:sz="4" w:space="0" w:color="000000"/>
              <w:bottom w:val="single" w:sz="4" w:space="0" w:color="000000"/>
              <w:right w:val="single" w:sz="4" w:space="0" w:color="000000"/>
            </w:tcBorders>
            <w:vAlign w:val="center"/>
          </w:tcPr>
          <w:p w14:paraId="28F8EBC5" w14:textId="4E6EA7DC" w:rsidR="00877328" w:rsidRDefault="00877328" w:rsidP="00877328">
            <w:pPr>
              <w:spacing w:before="60" w:after="60"/>
              <w:jc w:val="center"/>
              <w:rPr>
                <w:rFonts w:ascii="Arial" w:hAnsi="Arial" w:cs="Arial"/>
                <w:noProof/>
                <w:sz w:val="18"/>
                <w:szCs w:val="18"/>
              </w:rPr>
            </w:pPr>
            <w:r w:rsidRPr="00AF3023">
              <w:rPr>
                <w:rFonts w:ascii="Arial" w:hAnsi="Arial" w:cs="Arial"/>
                <w:noProof/>
                <w:sz w:val="18"/>
                <w:szCs w:val="18"/>
              </w:rPr>
              <w:t>130</w:t>
            </w:r>
          </w:p>
        </w:tc>
        <w:tc>
          <w:tcPr>
            <w:tcW w:w="1211" w:type="dxa"/>
            <w:tcBorders>
              <w:top w:val="single" w:sz="4" w:space="0" w:color="000000"/>
              <w:left w:val="single" w:sz="4" w:space="0" w:color="000000"/>
              <w:bottom w:val="single" w:sz="4" w:space="0" w:color="000000"/>
              <w:right w:val="single" w:sz="4" w:space="0" w:color="000000"/>
            </w:tcBorders>
            <w:vAlign w:val="center"/>
          </w:tcPr>
          <w:p w14:paraId="7079B5B6" w14:textId="409F9003" w:rsidR="00877328" w:rsidRDefault="00084006" w:rsidP="00877328">
            <w:pPr>
              <w:spacing w:before="60" w:after="60"/>
              <w:jc w:val="center"/>
              <w:rPr>
                <w:rFonts w:ascii="Arial" w:hAnsi="Arial" w:cs="Arial"/>
                <w:noProof/>
                <w:sz w:val="18"/>
                <w:szCs w:val="18"/>
              </w:rPr>
            </w:pPr>
            <w:r>
              <w:rPr>
                <w:rFonts w:ascii="Arial" w:hAnsi="Arial" w:cs="Arial"/>
                <w:noProof/>
                <w:sz w:val="18"/>
                <w:szCs w:val="18"/>
              </w:rPr>
              <w:t>300</w:t>
            </w:r>
          </w:p>
        </w:tc>
        <w:tc>
          <w:tcPr>
            <w:tcW w:w="2184" w:type="dxa"/>
            <w:tcBorders>
              <w:top w:val="single" w:sz="4" w:space="0" w:color="000000"/>
              <w:left w:val="single" w:sz="4" w:space="0" w:color="000000"/>
              <w:bottom w:val="single" w:sz="4" w:space="0" w:color="000000"/>
              <w:right w:val="single" w:sz="4" w:space="0" w:color="000000"/>
            </w:tcBorders>
            <w:vAlign w:val="center"/>
          </w:tcPr>
          <w:p w14:paraId="083CFC75" w14:textId="676AF124" w:rsidR="00877328" w:rsidRDefault="00084006" w:rsidP="00877328">
            <w:pPr>
              <w:spacing w:before="60" w:after="60"/>
              <w:rPr>
                <w:rFonts w:ascii="Arial" w:hAnsi="Arial" w:cs="Arial"/>
                <w:noProof/>
                <w:sz w:val="18"/>
                <w:szCs w:val="18"/>
              </w:rPr>
            </w:pPr>
            <w:r>
              <w:rPr>
                <w:rFonts w:ascii="Arial" w:hAnsi="Arial" w:cs="Arial"/>
                <w:noProof/>
                <w:color w:val="000000"/>
                <w:sz w:val="18"/>
                <w:szCs w:val="18"/>
              </w:rPr>
              <w:t>Decretos</w:t>
            </w:r>
            <w:r w:rsidRPr="00597A14">
              <w:rPr>
                <w:rFonts w:ascii="Arial" w:hAnsi="Arial" w:cs="Arial"/>
                <w:color w:val="000000"/>
                <w:sz w:val="18"/>
                <w:szCs w:val="18"/>
                <w:lang w:val="es-ES"/>
              </w:rPr>
              <w:t xml:space="preserve"> de autorización de los montos máximos para la contratación de financiamientos</w:t>
            </w:r>
            <w:r>
              <w:rPr>
                <w:rFonts w:ascii="Arial" w:hAnsi="Arial" w:cs="Arial"/>
                <w:color w:val="000000"/>
                <w:sz w:val="18"/>
                <w:szCs w:val="18"/>
                <w:lang w:val="es-ES"/>
              </w:rPr>
              <w:t xml:space="preserve"> </w:t>
            </w:r>
            <w:r w:rsidRPr="00597A14">
              <w:rPr>
                <w:rFonts w:ascii="Arial" w:hAnsi="Arial" w:cs="Arial"/>
                <w:color w:val="000000"/>
                <w:sz w:val="18"/>
                <w:szCs w:val="18"/>
                <w:lang w:val="es-ES"/>
              </w:rPr>
              <w:t xml:space="preserve">constatando la realización de los análisis de capacidad de pago </w:t>
            </w:r>
            <w:r>
              <w:rPr>
                <w:rFonts w:ascii="Arial" w:hAnsi="Arial" w:cs="Arial"/>
                <w:color w:val="000000"/>
                <w:sz w:val="18"/>
                <w:szCs w:val="18"/>
                <w:lang w:val="es-ES"/>
              </w:rPr>
              <w:t>publicados en las gacetas oficiales estatales</w:t>
            </w:r>
            <w:r w:rsidRPr="00D92AD6">
              <w:rPr>
                <w:rFonts w:ascii="Arial" w:hAnsi="Arial" w:cs="Arial"/>
                <w:noProof/>
                <w:color w:val="000000"/>
                <w:sz w:val="18"/>
                <w:szCs w:val="18"/>
              </w:rPr>
              <w:t>.</w:t>
            </w:r>
          </w:p>
        </w:tc>
        <w:tc>
          <w:tcPr>
            <w:tcW w:w="3371" w:type="dxa"/>
            <w:tcBorders>
              <w:top w:val="single" w:sz="4" w:space="0" w:color="000000"/>
              <w:left w:val="single" w:sz="4" w:space="0" w:color="000000"/>
              <w:bottom w:val="single" w:sz="4" w:space="0" w:color="000000"/>
              <w:right w:val="single" w:sz="4" w:space="0" w:color="000000"/>
            </w:tcBorders>
            <w:vAlign w:val="center"/>
          </w:tcPr>
          <w:p w14:paraId="26ADD95D" w14:textId="747794B3" w:rsidR="00877328" w:rsidRPr="00D92AD6" w:rsidRDefault="00877328" w:rsidP="00877328">
            <w:pPr>
              <w:spacing w:before="60" w:after="60"/>
              <w:rPr>
                <w:rFonts w:ascii="Arial" w:hAnsi="Arial" w:cs="Arial"/>
                <w:noProof/>
                <w:color w:val="000000"/>
                <w:sz w:val="18"/>
                <w:szCs w:val="18"/>
              </w:rPr>
            </w:pPr>
            <w:r w:rsidRPr="00D92AD6">
              <w:rPr>
                <w:rFonts w:ascii="Arial" w:hAnsi="Arial" w:cs="Arial"/>
                <w:noProof/>
                <w:color w:val="000000"/>
                <w:sz w:val="18"/>
                <w:szCs w:val="18"/>
              </w:rPr>
              <w:t>Línea de base y metas a diciembre de cada año.</w:t>
            </w:r>
            <w:r w:rsidR="00084006">
              <w:rPr>
                <w:rFonts w:ascii="Arial" w:hAnsi="Arial" w:cs="Arial"/>
                <w:noProof/>
                <w:color w:val="000000"/>
                <w:sz w:val="18"/>
                <w:szCs w:val="18"/>
              </w:rPr>
              <w:t xml:space="preserve"> Indicador es acumulativo. La fuente de información para este indicador es el Registro Público Único.</w:t>
            </w:r>
          </w:p>
        </w:tc>
      </w:tr>
      <w:tr w:rsidR="00192580" w:rsidRPr="005542A4" w14:paraId="03C5A8E3" w14:textId="77777777" w:rsidTr="00903AE2">
        <w:trPr>
          <w:trHeight w:val="64"/>
        </w:trPr>
        <w:tc>
          <w:tcPr>
            <w:tcW w:w="2369" w:type="dxa"/>
            <w:gridSpan w:val="2"/>
            <w:tcBorders>
              <w:top w:val="single" w:sz="4" w:space="0" w:color="000000"/>
              <w:left w:val="single" w:sz="4" w:space="0" w:color="000000"/>
              <w:bottom w:val="single" w:sz="4" w:space="0" w:color="000000"/>
              <w:right w:val="single" w:sz="4" w:space="0" w:color="000000"/>
            </w:tcBorders>
            <w:vAlign w:val="center"/>
          </w:tcPr>
          <w:p w14:paraId="773E938D" w14:textId="3DDA1AEE" w:rsidR="00192580" w:rsidRDefault="00192580" w:rsidP="00192580">
            <w:pPr>
              <w:pStyle w:val="ListParagraph"/>
              <w:spacing w:before="60" w:after="60"/>
              <w:ind w:left="0"/>
              <w:rPr>
                <w:rFonts w:ascii="Arial" w:hAnsi="Arial" w:cs="Arial"/>
                <w:sz w:val="18"/>
                <w:szCs w:val="18"/>
              </w:rPr>
            </w:pPr>
            <w:r>
              <w:rPr>
                <w:rFonts w:ascii="Arial" w:hAnsi="Arial" w:cs="Arial"/>
                <w:sz w:val="18"/>
                <w:szCs w:val="18"/>
              </w:rPr>
              <w:t xml:space="preserve">Estudio para identificar las características necesarias de los documentos legales para </w:t>
            </w:r>
            <w:r>
              <w:rPr>
                <w:rFonts w:ascii="Arial" w:hAnsi="Arial" w:cs="Arial"/>
                <w:sz w:val="18"/>
                <w:szCs w:val="18"/>
              </w:rPr>
              <w:lastRenderedPageBreak/>
              <w:t xml:space="preserve">la suscripción de la </w:t>
            </w:r>
            <w:r w:rsidRPr="00CF1113">
              <w:rPr>
                <w:rFonts w:ascii="Arial" w:hAnsi="Arial" w:cs="Arial"/>
                <w:sz w:val="18"/>
                <w:szCs w:val="18"/>
              </w:rPr>
              <w:t>DEG</w:t>
            </w:r>
            <w:r>
              <w:rPr>
                <w:rFonts w:ascii="Arial" w:hAnsi="Arial" w:cs="Arial"/>
                <w:sz w:val="18"/>
                <w:szCs w:val="18"/>
              </w:rPr>
              <w:t xml:space="preserve"> elaborado</w:t>
            </w:r>
            <w:r w:rsidR="00DA4C79">
              <w:rPr>
                <w:rFonts w:ascii="Arial" w:hAnsi="Arial" w:cs="Arial"/>
                <w:sz w:val="18"/>
                <w:szCs w:val="18"/>
              </w:rPr>
              <w:t>.</w:t>
            </w:r>
          </w:p>
        </w:tc>
        <w:tc>
          <w:tcPr>
            <w:tcW w:w="1175" w:type="dxa"/>
            <w:tcBorders>
              <w:top w:val="single" w:sz="4" w:space="0" w:color="000000"/>
              <w:left w:val="single" w:sz="4" w:space="0" w:color="000000"/>
              <w:bottom w:val="single" w:sz="4" w:space="0" w:color="000000"/>
              <w:right w:val="single" w:sz="4" w:space="0" w:color="000000"/>
            </w:tcBorders>
            <w:vAlign w:val="center"/>
          </w:tcPr>
          <w:p w14:paraId="36AF7971" w14:textId="586EF665" w:rsidR="00192580" w:rsidRPr="00D92AD6" w:rsidRDefault="00192580" w:rsidP="00192580">
            <w:pPr>
              <w:spacing w:before="60" w:after="60"/>
              <w:jc w:val="center"/>
              <w:rPr>
                <w:rFonts w:ascii="Arial" w:hAnsi="Arial" w:cs="Arial"/>
                <w:noProof/>
                <w:sz w:val="18"/>
                <w:szCs w:val="18"/>
                <w:lang w:eastAsia="zh-CN"/>
              </w:rPr>
            </w:pPr>
            <w:r>
              <w:rPr>
                <w:rFonts w:ascii="Arial" w:hAnsi="Arial" w:cs="Arial"/>
                <w:noProof/>
                <w:sz w:val="18"/>
                <w:szCs w:val="18"/>
                <w:lang w:eastAsia="zh-CN"/>
              </w:rPr>
              <w:lastRenderedPageBreak/>
              <w:t>Reporte</w:t>
            </w:r>
          </w:p>
        </w:tc>
        <w:tc>
          <w:tcPr>
            <w:tcW w:w="993" w:type="dxa"/>
            <w:tcBorders>
              <w:top w:val="single" w:sz="4" w:space="0" w:color="000000"/>
              <w:left w:val="single" w:sz="4" w:space="0" w:color="000000"/>
              <w:bottom w:val="single" w:sz="4" w:space="0" w:color="000000"/>
              <w:right w:val="single" w:sz="4" w:space="0" w:color="000000"/>
            </w:tcBorders>
            <w:vAlign w:val="center"/>
          </w:tcPr>
          <w:p w14:paraId="04D2A937" w14:textId="33EF55A9" w:rsidR="00192580" w:rsidRPr="00D92AD6" w:rsidRDefault="00192580" w:rsidP="00192580">
            <w:pPr>
              <w:spacing w:before="60" w:after="60"/>
              <w:jc w:val="center"/>
              <w:rPr>
                <w:rFonts w:ascii="Arial" w:hAnsi="Arial" w:cs="Arial"/>
                <w:noProof/>
                <w:sz w:val="18"/>
                <w:szCs w:val="18"/>
              </w:rPr>
            </w:pPr>
            <w:r>
              <w:rPr>
                <w:rFonts w:ascii="Arial" w:hAnsi="Arial" w:cs="Arial"/>
                <w:noProof/>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0B24932" w14:textId="7FB60D7B" w:rsidR="00192580" w:rsidRPr="00D92AD6" w:rsidRDefault="00192580" w:rsidP="00192580">
            <w:pPr>
              <w:spacing w:before="60" w:after="60"/>
              <w:jc w:val="center"/>
              <w:rPr>
                <w:rFonts w:ascii="Arial" w:hAnsi="Arial" w:cs="Arial"/>
                <w:noProof/>
                <w:sz w:val="18"/>
                <w:szCs w:val="18"/>
              </w:rPr>
            </w:pPr>
            <w:r>
              <w:rPr>
                <w:rFonts w:ascii="Arial" w:hAnsi="Arial" w:cs="Arial"/>
                <w:noProof/>
                <w:sz w:val="18"/>
                <w:szCs w:val="18"/>
              </w:rPr>
              <w:t>2015</w:t>
            </w:r>
          </w:p>
        </w:tc>
        <w:tc>
          <w:tcPr>
            <w:tcW w:w="773" w:type="dxa"/>
            <w:tcBorders>
              <w:top w:val="single" w:sz="4" w:space="0" w:color="000000"/>
              <w:left w:val="single" w:sz="4" w:space="0" w:color="000000"/>
              <w:bottom w:val="single" w:sz="4" w:space="0" w:color="000000"/>
              <w:right w:val="single" w:sz="4" w:space="0" w:color="000000"/>
            </w:tcBorders>
            <w:vAlign w:val="center"/>
          </w:tcPr>
          <w:p w14:paraId="72AECF10" w14:textId="063026C4" w:rsidR="00192580" w:rsidRDefault="00192580" w:rsidP="00192580">
            <w:pPr>
              <w:spacing w:before="60" w:after="60"/>
              <w:jc w:val="center"/>
              <w:rPr>
                <w:rFonts w:ascii="Arial" w:hAnsi="Arial" w:cs="Arial"/>
                <w:noProof/>
                <w:sz w:val="18"/>
                <w:szCs w:val="18"/>
              </w:rPr>
            </w:pPr>
            <w:r>
              <w:rPr>
                <w:rFonts w:ascii="Arial" w:hAnsi="Arial" w:cs="Arial"/>
                <w:noProof/>
                <w:sz w:val="18"/>
                <w:szCs w:val="18"/>
              </w:rPr>
              <w:t>1</w:t>
            </w:r>
          </w:p>
        </w:tc>
        <w:tc>
          <w:tcPr>
            <w:tcW w:w="1211" w:type="dxa"/>
            <w:tcBorders>
              <w:top w:val="single" w:sz="4" w:space="0" w:color="000000"/>
              <w:left w:val="single" w:sz="4" w:space="0" w:color="000000"/>
              <w:bottom w:val="single" w:sz="4" w:space="0" w:color="000000"/>
              <w:right w:val="single" w:sz="4" w:space="0" w:color="000000"/>
            </w:tcBorders>
            <w:vAlign w:val="center"/>
          </w:tcPr>
          <w:p w14:paraId="374A9917" w14:textId="47CD1503" w:rsidR="00192580" w:rsidRDefault="00084006" w:rsidP="00192580">
            <w:pPr>
              <w:spacing w:before="60" w:after="60"/>
              <w:jc w:val="center"/>
              <w:rPr>
                <w:rFonts w:ascii="Arial" w:hAnsi="Arial" w:cs="Arial"/>
                <w:noProof/>
                <w:sz w:val="18"/>
                <w:szCs w:val="18"/>
              </w:rPr>
            </w:pPr>
            <w:r>
              <w:rPr>
                <w:rFonts w:ascii="Arial" w:hAnsi="Arial" w:cs="Arial"/>
                <w:noProof/>
                <w:sz w:val="18"/>
                <w:szCs w:val="18"/>
              </w:rPr>
              <w:t>1</w:t>
            </w:r>
          </w:p>
        </w:tc>
        <w:tc>
          <w:tcPr>
            <w:tcW w:w="2184" w:type="dxa"/>
            <w:tcBorders>
              <w:top w:val="single" w:sz="4" w:space="0" w:color="000000"/>
              <w:left w:val="single" w:sz="4" w:space="0" w:color="000000"/>
              <w:bottom w:val="single" w:sz="4" w:space="0" w:color="000000"/>
              <w:right w:val="single" w:sz="4" w:space="0" w:color="000000"/>
            </w:tcBorders>
            <w:vAlign w:val="center"/>
          </w:tcPr>
          <w:p w14:paraId="43DFDFFF" w14:textId="0CB1D968" w:rsidR="00192580" w:rsidRPr="00903AE2" w:rsidRDefault="00FB42A7" w:rsidP="00192580">
            <w:pPr>
              <w:spacing w:before="60" w:after="60"/>
              <w:rPr>
                <w:rFonts w:ascii="Arial" w:hAnsi="Arial" w:cs="Arial"/>
                <w:noProof/>
                <w:sz w:val="18"/>
                <w:szCs w:val="18"/>
              </w:rPr>
            </w:pPr>
            <w:r w:rsidRPr="00903AE2">
              <w:rPr>
                <w:rFonts w:ascii="Arial" w:hAnsi="Arial" w:cs="Arial"/>
                <w:color w:val="000000"/>
                <w:sz w:val="18"/>
                <w:szCs w:val="18"/>
                <w:lang w:val="es-MX"/>
              </w:rPr>
              <w:t xml:space="preserve">Reporte final de la firma consultora que realizó el estudio para la suscripción de la </w:t>
            </w:r>
            <w:r w:rsidRPr="00903AE2">
              <w:rPr>
                <w:rFonts w:ascii="Arial" w:hAnsi="Arial" w:cs="Arial"/>
                <w:color w:val="000000"/>
                <w:sz w:val="18"/>
                <w:szCs w:val="18"/>
                <w:lang w:val="es-MX"/>
              </w:rPr>
              <w:lastRenderedPageBreak/>
              <w:t>deuda estatal garantizada.</w:t>
            </w:r>
          </w:p>
        </w:tc>
        <w:tc>
          <w:tcPr>
            <w:tcW w:w="3371" w:type="dxa"/>
            <w:tcBorders>
              <w:top w:val="single" w:sz="4" w:space="0" w:color="000000"/>
              <w:left w:val="single" w:sz="4" w:space="0" w:color="000000"/>
              <w:bottom w:val="single" w:sz="4" w:space="0" w:color="000000"/>
              <w:right w:val="single" w:sz="4" w:space="0" w:color="000000"/>
            </w:tcBorders>
            <w:vAlign w:val="center"/>
          </w:tcPr>
          <w:p w14:paraId="7EA10EE7" w14:textId="66E7A7FE" w:rsidR="00192580" w:rsidRPr="00D92AD6" w:rsidRDefault="00192580" w:rsidP="00192580">
            <w:pPr>
              <w:spacing w:before="60" w:after="60"/>
              <w:rPr>
                <w:rFonts w:ascii="Arial" w:hAnsi="Arial" w:cs="Arial"/>
                <w:noProof/>
                <w:color w:val="000000"/>
                <w:sz w:val="18"/>
                <w:szCs w:val="18"/>
              </w:rPr>
            </w:pPr>
            <w:r w:rsidRPr="00D92AD6">
              <w:rPr>
                <w:rFonts w:ascii="Arial" w:hAnsi="Arial" w:cs="Arial"/>
                <w:noProof/>
                <w:color w:val="000000"/>
                <w:sz w:val="18"/>
                <w:szCs w:val="18"/>
              </w:rPr>
              <w:lastRenderedPageBreak/>
              <w:t>Línea de base y metas a diciembre de cada año.</w:t>
            </w:r>
          </w:p>
        </w:tc>
      </w:tr>
      <w:tr w:rsidR="00192580" w:rsidRPr="005542A4" w14:paraId="5709EF7E" w14:textId="77777777" w:rsidTr="00903AE2">
        <w:trPr>
          <w:trHeight w:val="64"/>
        </w:trPr>
        <w:tc>
          <w:tcPr>
            <w:tcW w:w="2369" w:type="dxa"/>
            <w:gridSpan w:val="2"/>
            <w:tcBorders>
              <w:top w:val="single" w:sz="4" w:space="0" w:color="000000"/>
              <w:left w:val="single" w:sz="4" w:space="0" w:color="000000"/>
              <w:bottom w:val="single" w:sz="4" w:space="0" w:color="000000"/>
              <w:right w:val="single" w:sz="4" w:space="0" w:color="000000"/>
            </w:tcBorders>
            <w:vAlign w:val="center"/>
          </w:tcPr>
          <w:p w14:paraId="2D66E9A9" w14:textId="7347E537" w:rsidR="00192580" w:rsidRPr="00D92AD6" w:rsidRDefault="00192580" w:rsidP="00192580">
            <w:pPr>
              <w:pStyle w:val="ListParagraph"/>
              <w:spacing w:before="60" w:after="60"/>
              <w:ind w:left="0"/>
              <w:rPr>
                <w:rFonts w:ascii="Arial" w:hAnsi="Arial" w:cs="Arial"/>
                <w:noProof/>
                <w:sz w:val="20"/>
                <w:lang w:eastAsia="zh-CN"/>
              </w:rPr>
            </w:pPr>
            <w:r>
              <w:rPr>
                <w:rFonts w:ascii="Arial" w:hAnsi="Arial" w:cs="Arial"/>
                <w:sz w:val="18"/>
                <w:szCs w:val="18"/>
              </w:rPr>
              <w:t>Modelos de</w:t>
            </w:r>
            <w:r w:rsidRPr="00CF1113">
              <w:rPr>
                <w:rFonts w:ascii="Arial" w:hAnsi="Arial" w:cs="Arial"/>
                <w:sz w:val="18"/>
                <w:szCs w:val="18"/>
              </w:rPr>
              <w:t xml:space="preserve"> contrato de constitución de garantía </w:t>
            </w:r>
            <w:r w:rsidRPr="00CF1113">
              <w:rPr>
                <w:rFonts w:ascii="Arial" w:hAnsi="Arial" w:cs="Arial"/>
                <w:sz w:val="18"/>
                <w:szCs w:val="18"/>
                <w:lang w:val="es-MX"/>
              </w:rPr>
              <w:t xml:space="preserve">y </w:t>
            </w:r>
            <w:r>
              <w:rPr>
                <w:rFonts w:ascii="Arial" w:hAnsi="Arial" w:cs="Arial"/>
                <w:sz w:val="18"/>
                <w:szCs w:val="18"/>
                <w:lang w:val="es-MX"/>
              </w:rPr>
              <w:t xml:space="preserve">modelo de </w:t>
            </w:r>
            <w:r w:rsidRPr="00CF1113">
              <w:rPr>
                <w:rFonts w:ascii="Arial" w:hAnsi="Arial" w:cs="Arial"/>
                <w:sz w:val="18"/>
                <w:szCs w:val="18"/>
              </w:rPr>
              <w:t>convenio de adhesión al mecanismo de DEG</w:t>
            </w:r>
            <w:r>
              <w:rPr>
                <w:rFonts w:ascii="Arial" w:hAnsi="Arial" w:cs="Arial"/>
                <w:sz w:val="18"/>
                <w:szCs w:val="18"/>
              </w:rPr>
              <w:t xml:space="preserve"> elaborados</w:t>
            </w:r>
            <w:r w:rsidR="00DA4C79">
              <w:rPr>
                <w:rFonts w:ascii="Arial" w:hAnsi="Arial" w:cs="Arial"/>
                <w:sz w:val="18"/>
                <w:szCs w:val="18"/>
              </w:rPr>
              <w:t>.</w:t>
            </w:r>
          </w:p>
        </w:tc>
        <w:tc>
          <w:tcPr>
            <w:tcW w:w="1175" w:type="dxa"/>
            <w:tcBorders>
              <w:top w:val="single" w:sz="4" w:space="0" w:color="000000"/>
              <w:left w:val="single" w:sz="4" w:space="0" w:color="000000"/>
              <w:bottom w:val="single" w:sz="4" w:space="0" w:color="000000"/>
              <w:right w:val="single" w:sz="4" w:space="0" w:color="000000"/>
            </w:tcBorders>
            <w:vAlign w:val="center"/>
          </w:tcPr>
          <w:p w14:paraId="601EB635" w14:textId="21ABF4E6" w:rsidR="00192580" w:rsidRPr="00D92AD6" w:rsidRDefault="00084006" w:rsidP="00192580">
            <w:pPr>
              <w:spacing w:before="60" w:after="60"/>
              <w:jc w:val="center"/>
              <w:rPr>
                <w:rFonts w:ascii="Arial" w:hAnsi="Arial" w:cs="Arial"/>
                <w:noProof/>
                <w:sz w:val="18"/>
                <w:szCs w:val="18"/>
                <w:lang w:eastAsia="zh-CN"/>
              </w:rPr>
            </w:pPr>
            <w:r>
              <w:rPr>
                <w:rFonts w:ascii="Arial" w:hAnsi="Arial" w:cs="Arial"/>
                <w:noProof/>
                <w:sz w:val="18"/>
                <w:szCs w:val="18"/>
                <w:lang w:eastAsia="zh-CN"/>
              </w:rPr>
              <w:t>Modelos de contrato</w:t>
            </w:r>
          </w:p>
        </w:tc>
        <w:tc>
          <w:tcPr>
            <w:tcW w:w="993" w:type="dxa"/>
            <w:tcBorders>
              <w:top w:val="single" w:sz="4" w:space="0" w:color="000000"/>
              <w:left w:val="single" w:sz="4" w:space="0" w:color="000000"/>
              <w:bottom w:val="single" w:sz="4" w:space="0" w:color="000000"/>
              <w:right w:val="single" w:sz="4" w:space="0" w:color="000000"/>
            </w:tcBorders>
            <w:vAlign w:val="center"/>
          </w:tcPr>
          <w:p w14:paraId="154109D7" w14:textId="77777777" w:rsidR="00192580" w:rsidRPr="00D92AD6" w:rsidRDefault="00192580" w:rsidP="00192580">
            <w:pPr>
              <w:spacing w:before="60" w:after="60"/>
              <w:jc w:val="center"/>
              <w:rPr>
                <w:rFonts w:ascii="Arial" w:hAnsi="Arial" w:cs="Arial"/>
                <w:noProof/>
                <w:sz w:val="20"/>
                <w:lang w:eastAsia="zh-CN"/>
              </w:rPr>
            </w:pPr>
            <w:r w:rsidRPr="00D92AD6">
              <w:rPr>
                <w:rFonts w:ascii="Arial" w:hAnsi="Arial" w:cs="Arial"/>
                <w:noProof/>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7B2336DF" w14:textId="2A8A91F8" w:rsidR="00192580" w:rsidRPr="00D92AD6" w:rsidRDefault="00192580" w:rsidP="00192580">
            <w:pPr>
              <w:spacing w:before="60" w:after="60"/>
              <w:jc w:val="center"/>
              <w:rPr>
                <w:rFonts w:ascii="Arial" w:hAnsi="Arial" w:cs="Arial"/>
                <w:noProof/>
                <w:sz w:val="18"/>
                <w:szCs w:val="18"/>
                <w:lang w:eastAsia="zh-CN"/>
              </w:rPr>
            </w:pPr>
            <w:r w:rsidRPr="00D92AD6">
              <w:rPr>
                <w:rFonts w:ascii="Arial" w:hAnsi="Arial" w:cs="Arial"/>
                <w:noProof/>
                <w:sz w:val="18"/>
                <w:szCs w:val="18"/>
              </w:rPr>
              <w:t>201</w:t>
            </w:r>
            <w:r>
              <w:rPr>
                <w:rFonts w:ascii="Arial" w:hAnsi="Arial" w:cs="Arial"/>
                <w:noProof/>
                <w:sz w:val="18"/>
                <w:szCs w:val="18"/>
              </w:rPr>
              <w:t>5</w:t>
            </w:r>
          </w:p>
        </w:tc>
        <w:tc>
          <w:tcPr>
            <w:tcW w:w="773" w:type="dxa"/>
            <w:tcBorders>
              <w:top w:val="single" w:sz="4" w:space="0" w:color="000000"/>
              <w:left w:val="single" w:sz="4" w:space="0" w:color="000000"/>
              <w:bottom w:val="single" w:sz="4" w:space="0" w:color="000000"/>
              <w:right w:val="single" w:sz="4" w:space="0" w:color="000000"/>
            </w:tcBorders>
            <w:vAlign w:val="center"/>
          </w:tcPr>
          <w:p w14:paraId="10FD0AF1" w14:textId="77777777" w:rsidR="00192580" w:rsidRPr="00D92AD6" w:rsidRDefault="00192580" w:rsidP="00192580">
            <w:pPr>
              <w:spacing w:before="60" w:after="60"/>
              <w:jc w:val="center"/>
              <w:rPr>
                <w:rFonts w:ascii="Arial" w:hAnsi="Arial" w:cs="Arial"/>
                <w:noProof/>
                <w:sz w:val="20"/>
                <w:lang w:eastAsia="zh-CN"/>
              </w:rPr>
            </w:pPr>
            <w:r>
              <w:rPr>
                <w:rFonts w:ascii="Arial" w:hAnsi="Arial" w:cs="Arial"/>
                <w:noProof/>
                <w:sz w:val="18"/>
                <w:szCs w:val="18"/>
              </w:rPr>
              <w:t>2</w:t>
            </w:r>
          </w:p>
        </w:tc>
        <w:tc>
          <w:tcPr>
            <w:tcW w:w="1211" w:type="dxa"/>
            <w:tcBorders>
              <w:top w:val="single" w:sz="4" w:space="0" w:color="000000"/>
              <w:left w:val="single" w:sz="4" w:space="0" w:color="000000"/>
              <w:bottom w:val="single" w:sz="4" w:space="0" w:color="000000"/>
              <w:right w:val="single" w:sz="4" w:space="0" w:color="000000"/>
            </w:tcBorders>
            <w:vAlign w:val="center"/>
          </w:tcPr>
          <w:p w14:paraId="569971D4" w14:textId="5CDEE91B" w:rsidR="00192580" w:rsidRPr="00D92AD6" w:rsidRDefault="00084006" w:rsidP="00192580">
            <w:pPr>
              <w:spacing w:before="60" w:after="60"/>
              <w:jc w:val="center"/>
              <w:rPr>
                <w:rFonts w:ascii="Arial" w:hAnsi="Arial" w:cs="Arial"/>
                <w:noProof/>
                <w:sz w:val="18"/>
                <w:szCs w:val="18"/>
              </w:rPr>
            </w:pPr>
            <w:r>
              <w:rPr>
                <w:rFonts w:ascii="Arial" w:hAnsi="Arial" w:cs="Arial"/>
                <w:noProof/>
                <w:sz w:val="18"/>
                <w:szCs w:val="18"/>
              </w:rPr>
              <w:t>2</w:t>
            </w:r>
          </w:p>
        </w:tc>
        <w:tc>
          <w:tcPr>
            <w:tcW w:w="2184" w:type="dxa"/>
            <w:tcBorders>
              <w:top w:val="single" w:sz="4" w:space="0" w:color="000000"/>
              <w:left w:val="single" w:sz="4" w:space="0" w:color="000000"/>
              <w:bottom w:val="single" w:sz="4" w:space="0" w:color="000000"/>
              <w:right w:val="single" w:sz="4" w:space="0" w:color="000000"/>
            </w:tcBorders>
            <w:vAlign w:val="center"/>
          </w:tcPr>
          <w:p w14:paraId="57B0A748" w14:textId="55D19BB4" w:rsidR="00192580" w:rsidRPr="00903AE2" w:rsidRDefault="002415E7" w:rsidP="00192580">
            <w:pPr>
              <w:spacing w:before="60" w:after="60"/>
              <w:rPr>
                <w:rFonts w:ascii="Arial" w:hAnsi="Arial" w:cs="Arial"/>
                <w:noProof/>
                <w:sz w:val="20"/>
                <w:lang w:eastAsia="zh-CN"/>
              </w:rPr>
            </w:pPr>
            <w:r w:rsidRPr="00903AE2">
              <w:rPr>
                <w:rFonts w:ascii="Arial" w:hAnsi="Arial" w:cs="Arial"/>
                <w:color w:val="000000"/>
                <w:sz w:val="18"/>
                <w:szCs w:val="18"/>
                <w:lang w:val="es-MX"/>
              </w:rPr>
              <w:t>Borradores de modelo de contrato de constitución de garantía y de modelo de convenio de adhesión al mecanismo de DEG elaborados.</w:t>
            </w:r>
          </w:p>
        </w:tc>
        <w:tc>
          <w:tcPr>
            <w:tcW w:w="3371" w:type="dxa"/>
            <w:tcBorders>
              <w:top w:val="single" w:sz="4" w:space="0" w:color="000000"/>
              <w:left w:val="single" w:sz="4" w:space="0" w:color="000000"/>
              <w:bottom w:val="single" w:sz="4" w:space="0" w:color="000000"/>
              <w:right w:val="single" w:sz="4" w:space="0" w:color="000000"/>
            </w:tcBorders>
            <w:vAlign w:val="center"/>
          </w:tcPr>
          <w:p w14:paraId="2F0E6A1F" w14:textId="77777777" w:rsidR="00192580" w:rsidRPr="00D92AD6" w:rsidRDefault="00192580" w:rsidP="00192580">
            <w:pPr>
              <w:spacing w:before="60" w:after="60"/>
              <w:rPr>
                <w:rFonts w:ascii="Arial" w:hAnsi="Arial" w:cs="Arial"/>
                <w:noProof/>
                <w:sz w:val="20"/>
                <w:lang w:eastAsia="zh-CN"/>
              </w:rPr>
            </w:pPr>
            <w:r w:rsidRPr="00D92AD6">
              <w:rPr>
                <w:rFonts w:ascii="Arial" w:hAnsi="Arial" w:cs="Arial"/>
                <w:noProof/>
                <w:color w:val="000000"/>
                <w:sz w:val="18"/>
                <w:szCs w:val="18"/>
              </w:rPr>
              <w:t>Línea de base y metas a diciembre de cada año.</w:t>
            </w:r>
          </w:p>
        </w:tc>
      </w:tr>
      <w:tr w:rsidR="005B0EE2" w:rsidRPr="005542A4" w14:paraId="5D819AA6" w14:textId="77777777" w:rsidTr="00903AE2">
        <w:trPr>
          <w:trHeight w:val="64"/>
        </w:trPr>
        <w:tc>
          <w:tcPr>
            <w:tcW w:w="2369" w:type="dxa"/>
            <w:gridSpan w:val="2"/>
            <w:tcBorders>
              <w:top w:val="single" w:sz="4" w:space="0" w:color="000000"/>
              <w:left w:val="single" w:sz="4" w:space="0" w:color="000000"/>
              <w:bottom w:val="single" w:sz="4" w:space="0" w:color="000000"/>
              <w:right w:val="single" w:sz="4" w:space="0" w:color="000000"/>
            </w:tcBorders>
            <w:vAlign w:val="center"/>
          </w:tcPr>
          <w:p w14:paraId="33359283" w14:textId="28315722" w:rsidR="005B0EE2" w:rsidRPr="00D92AD6" w:rsidRDefault="005B0EE2" w:rsidP="005B0EE2">
            <w:pPr>
              <w:pStyle w:val="ListParagraph"/>
              <w:spacing w:before="60" w:after="60"/>
              <w:ind w:left="0"/>
              <w:rPr>
                <w:rFonts w:ascii="Arial" w:hAnsi="Arial" w:cs="Arial"/>
                <w:noProof/>
                <w:color w:val="000000"/>
                <w:sz w:val="18"/>
                <w:szCs w:val="18"/>
              </w:rPr>
            </w:pPr>
            <w:r>
              <w:rPr>
                <w:rFonts w:ascii="Arial" w:hAnsi="Arial" w:cs="Arial"/>
                <w:sz w:val="18"/>
                <w:szCs w:val="18"/>
              </w:rPr>
              <w:t>Saldo de la Deuda Estatal Garantizada</w:t>
            </w:r>
            <w:r w:rsidR="00DA4C79">
              <w:rPr>
                <w:rFonts w:ascii="Arial" w:hAnsi="Arial" w:cs="Arial"/>
                <w:sz w:val="18"/>
                <w:szCs w:val="18"/>
              </w:rPr>
              <w:t>.</w:t>
            </w:r>
          </w:p>
        </w:tc>
        <w:tc>
          <w:tcPr>
            <w:tcW w:w="1175" w:type="dxa"/>
            <w:tcBorders>
              <w:top w:val="single" w:sz="4" w:space="0" w:color="000000"/>
              <w:left w:val="single" w:sz="4" w:space="0" w:color="000000"/>
              <w:bottom w:val="single" w:sz="4" w:space="0" w:color="000000"/>
              <w:right w:val="single" w:sz="4" w:space="0" w:color="000000"/>
            </w:tcBorders>
            <w:vAlign w:val="center"/>
          </w:tcPr>
          <w:p w14:paraId="294267FC" w14:textId="42AC06E8" w:rsidR="005B0EE2" w:rsidRDefault="005B0EE2" w:rsidP="005B0EE2">
            <w:pPr>
              <w:spacing w:before="60" w:after="60"/>
              <w:jc w:val="center"/>
              <w:rPr>
                <w:rFonts w:ascii="Arial" w:hAnsi="Arial" w:cs="Arial"/>
                <w:noProof/>
                <w:sz w:val="18"/>
                <w:szCs w:val="18"/>
                <w:lang w:eastAsia="zh-CN"/>
              </w:rPr>
            </w:pPr>
            <w:r>
              <w:rPr>
                <w:rFonts w:ascii="Arial" w:hAnsi="Arial" w:cs="Arial"/>
                <w:noProof/>
                <w:sz w:val="18"/>
                <w:szCs w:val="18"/>
                <w:lang w:eastAsia="zh-CN"/>
              </w:rPr>
              <w:t>Porcentaje</w:t>
            </w:r>
          </w:p>
        </w:tc>
        <w:tc>
          <w:tcPr>
            <w:tcW w:w="993" w:type="dxa"/>
            <w:tcBorders>
              <w:top w:val="single" w:sz="4" w:space="0" w:color="000000"/>
              <w:left w:val="single" w:sz="4" w:space="0" w:color="000000"/>
              <w:bottom w:val="single" w:sz="4" w:space="0" w:color="000000"/>
              <w:right w:val="single" w:sz="4" w:space="0" w:color="000000"/>
            </w:tcBorders>
            <w:vAlign w:val="center"/>
          </w:tcPr>
          <w:p w14:paraId="739BF174" w14:textId="5C91DA35" w:rsidR="005B0EE2" w:rsidRPr="0023601A" w:rsidRDefault="005B0EE2" w:rsidP="005B0EE2">
            <w:pPr>
              <w:spacing w:before="60" w:after="60"/>
              <w:jc w:val="center"/>
              <w:rPr>
                <w:rFonts w:ascii="Arial" w:hAnsi="Arial" w:cs="Arial"/>
                <w:noProof/>
                <w:sz w:val="18"/>
                <w:szCs w:val="18"/>
              </w:rPr>
            </w:pPr>
            <w:r>
              <w:rPr>
                <w:rFonts w:ascii="Arial" w:hAnsi="Arial" w:cs="Arial"/>
                <w:noProof/>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408AF736" w14:textId="09D777A9" w:rsidR="005B0EE2" w:rsidRPr="0023601A" w:rsidRDefault="005B0EE2" w:rsidP="005B0EE2">
            <w:pPr>
              <w:spacing w:before="60" w:after="60"/>
              <w:jc w:val="center"/>
              <w:rPr>
                <w:rFonts w:ascii="Arial" w:hAnsi="Arial" w:cs="Arial"/>
                <w:noProof/>
                <w:sz w:val="18"/>
                <w:szCs w:val="18"/>
              </w:rPr>
            </w:pPr>
            <w:r w:rsidRPr="006B70E4">
              <w:rPr>
                <w:rFonts w:ascii="Arial" w:hAnsi="Arial" w:cs="Arial"/>
                <w:noProof/>
                <w:sz w:val="18"/>
                <w:szCs w:val="18"/>
              </w:rPr>
              <w:t>201</w:t>
            </w:r>
            <w:r>
              <w:rPr>
                <w:rFonts w:ascii="Arial" w:hAnsi="Arial" w:cs="Arial"/>
                <w:noProof/>
                <w:sz w:val="18"/>
                <w:szCs w:val="18"/>
              </w:rPr>
              <w:t>5</w:t>
            </w:r>
          </w:p>
        </w:tc>
        <w:tc>
          <w:tcPr>
            <w:tcW w:w="773" w:type="dxa"/>
            <w:tcBorders>
              <w:top w:val="single" w:sz="4" w:space="0" w:color="000000"/>
              <w:left w:val="single" w:sz="4" w:space="0" w:color="000000"/>
              <w:bottom w:val="single" w:sz="4" w:space="0" w:color="000000"/>
              <w:right w:val="single" w:sz="4" w:space="0" w:color="000000"/>
            </w:tcBorders>
            <w:vAlign w:val="center"/>
          </w:tcPr>
          <w:p w14:paraId="2E3AA710" w14:textId="2A165654" w:rsidR="005B0EE2" w:rsidRPr="0023601A" w:rsidRDefault="005B0EE2" w:rsidP="005B0EE2">
            <w:pPr>
              <w:spacing w:before="60" w:after="60"/>
              <w:jc w:val="center"/>
              <w:rPr>
                <w:rFonts w:ascii="Arial" w:hAnsi="Arial" w:cs="Arial"/>
                <w:noProof/>
                <w:sz w:val="18"/>
                <w:szCs w:val="18"/>
              </w:rPr>
            </w:pPr>
            <w:r>
              <w:rPr>
                <w:rFonts w:ascii="Arial" w:hAnsi="Arial" w:cs="Arial"/>
                <w:noProof/>
                <w:sz w:val="18"/>
                <w:szCs w:val="18"/>
              </w:rPr>
              <w:t>0</w:t>
            </w:r>
          </w:p>
        </w:tc>
        <w:tc>
          <w:tcPr>
            <w:tcW w:w="1211" w:type="dxa"/>
            <w:tcBorders>
              <w:top w:val="single" w:sz="4" w:space="0" w:color="000000"/>
              <w:left w:val="single" w:sz="4" w:space="0" w:color="000000"/>
              <w:bottom w:val="single" w:sz="4" w:space="0" w:color="000000"/>
              <w:right w:val="single" w:sz="4" w:space="0" w:color="000000"/>
            </w:tcBorders>
            <w:vAlign w:val="center"/>
          </w:tcPr>
          <w:p w14:paraId="1B27DF7D" w14:textId="35FA9661" w:rsidR="005B0EE2" w:rsidRPr="0023601A" w:rsidRDefault="005B0EE2" w:rsidP="005B0EE2">
            <w:pPr>
              <w:spacing w:before="60" w:after="60"/>
              <w:jc w:val="center"/>
              <w:rPr>
                <w:rFonts w:ascii="Arial" w:hAnsi="Arial" w:cs="Arial"/>
                <w:noProof/>
                <w:sz w:val="18"/>
                <w:szCs w:val="18"/>
              </w:rPr>
            </w:pPr>
            <w:r>
              <w:rPr>
                <w:rFonts w:ascii="Arial" w:hAnsi="Arial" w:cs="Arial"/>
                <w:noProof/>
                <w:sz w:val="18"/>
                <w:szCs w:val="18"/>
              </w:rPr>
              <w:t>&lt;3,5</w:t>
            </w:r>
          </w:p>
        </w:tc>
        <w:tc>
          <w:tcPr>
            <w:tcW w:w="2184" w:type="dxa"/>
            <w:tcBorders>
              <w:top w:val="single" w:sz="4" w:space="0" w:color="000000"/>
              <w:left w:val="single" w:sz="4" w:space="0" w:color="000000"/>
              <w:bottom w:val="single" w:sz="4" w:space="0" w:color="000000"/>
              <w:right w:val="single" w:sz="4" w:space="0" w:color="000000"/>
            </w:tcBorders>
            <w:vAlign w:val="center"/>
          </w:tcPr>
          <w:p w14:paraId="63B58D9C" w14:textId="07E8796A" w:rsidR="005B0EE2" w:rsidRPr="00D92AD6" w:rsidRDefault="005B0EE2" w:rsidP="005B0EE2">
            <w:pPr>
              <w:spacing w:before="60" w:after="60"/>
              <w:rPr>
                <w:rFonts w:ascii="Arial" w:hAnsi="Arial" w:cs="Arial"/>
                <w:noProof/>
                <w:color w:val="000000"/>
                <w:sz w:val="18"/>
                <w:szCs w:val="18"/>
              </w:rPr>
            </w:pPr>
            <w:r w:rsidRPr="004D399C">
              <w:rPr>
                <w:rFonts w:ascii="Arial" w:hAnsi="Arial" w:cs="Arial"/>
                <w:color w:val="000000"/>
                <w:sz w:val="18"/>
                <w:szCs w:val="18"/>
                <w:lang w:val="es-ES"/>
              </w:rPr>
              <w:t>Publicación trimestral en la</w:t>
            </w:r>
            <w:r>
              <w:rPr>
                <w:rFonts w:ascii="Arial" w:hAnsi="Arial" w:cs="Arial"/>
                <w:color w:val="000000"/>
                <w:sz w:val="18"/>
                <w:szCs w:val="18"/>
                <w:lang w:val="es-ES"/>
              </w:rPr>
              <w:t xml:space="preserve"> página de la</w:t>
            </w:r>
            <w:r w:rsidRPr="004D399C">
              <w:rPr>
                <w:rFonts w:ascii="Arial" w:hAnsi="Arial" w:cs="Arial"/>
                <w:color w:val="000000"/>
                <w:sz w:val="18"/>
                <w:szCs w:val="18"/>
                <w:lang w:val="es-ES"/>
              </w:rPr>
              <w:t xml:space="preserve"> SHCP del Informe sobre la Situación Económica, las Finanzas Públicas y la Deuda Pública</w:t>
            </w:r>
            <w:r w:rsidR="00DA4C79">
              <w:rPr>
                <w:rFonts w:ascii="Arial" w:hAnsi="Arial" w:cs="Arial"/>
                <w:color w:val="000000"/>
                <w:sz w:val="18"/>
                <w:szCs w:val="18"/>
                <w:lang w:val="es-ES"/>
              </w:rPr>
              <w:t>.</w:t>
            </w:r>
          </w:p>
        </w:tc>
        <w:tc>
          <w:tcPr>
            <w:tcW w:w="3371" w:type="dxa"/>
            <w:tcBorders>
              <w:top w:val="single" w:sz="4" w:space="0" w:color="000000"/>
              <w:left w:val="single" w:sz="4" w:space="0" w:color="000000"/>
              <w:bottom w:val="single" w:sz="4" w:space="0" w:color="000000"/>
              <w:right w:val="single" w:sz="4" w:space="0" w:color="000000"/>
            </w:tcBorders>
            <w:vAlign w:val="center"/>
          </w:tcPr>
          <w:p w14:paraId="47067349" w14:textId="77777777" w:rsidR="005B0EE2" w:rsidRPr="00D92AD6" w:rsidRDefault="005B0EE2" w:rsidP="005B0EE2">
            <w:pPr>
              <w:spacing w:before="60" w:after="60"/>
              <w:rPr>
                <w:rFonts w:ascii="Arial" w:hAnsi="Arial" w:cs="Arial"/>
                <w:noProof/>
                <w:color w:val="000000"/>
                <w:sz w:val="18"/>
                <w:szCs w:val="18"/>
              </w:rPr>
            </w:pPr>
            <w:r w:rsidRPr="00D92AD6">
              <w:rPr>
                <w:rFonts w:ascii="Arial" w:hAnsi="Arial" w:cs="Arial"/>
                <w:noProof/>
                <w:color w:val="000000"/>
                <w:sz w:val="18"/>
                <w:szCs w:val="18"/>
              </w:rPr>
              <w:t>Línea de base y metas a diciembre de cada año.</w:t>
            </w:r>
          </w:p>
        </w:tc>
      </w:tr>
      <w:tr w:rsidR="00AE6137" w:rsidRPr="005542A4" w14:paraId="631BF98C" w14:textId="77777777" w:rsidTr="00903AE2">
        <w:trPr>
          <w:trHeight w:val="64"/>
        </w:trPr>
        <w:tc>
          <w:tcPr>
            <w:tcW w:w="2369" w:type="dxa"/>
            <w:gridSpan w:val="2"/>
            <w:tcBorders>
              <w:top w:val="single" w:sz="4" w:space="0" w:color="000000"/>
              <w:left w:val="single" w:sz="4" w:space="0" w:color="000000"/>
              <w:bottom w:val="single" w:sz="4" w:space="0" w:color="000000"/>
              <w:right w:val="single" w:sz="4" w:space="0" w:color="000000"/>
            </w:tcBorders>
            <w:vAlign w:val="center"/>
          </w:tcPr>
          <w:p w14:paraId="5016B80F" w14:textId="5E4ECDB4" w:rsidR="00AE6137" w:rsidRPr="00D92AD6" w:rsidRDefault="00AE6137" w:rsidP="00AE6137">
            <w:pPr>
              <w:pStyle w:val="ListParagraph"/>
              <w:spacing w:before="60" w:after="60"/>
              <w:ind w:left="0"/>
              <w:rPr>
                <w:rFonts w:ascii="Arial" w:hAnsi="Arial" w:cs="Arial"/>
                <w:noProof/>
                <w:color w:val="000000"/>
                <w:sz w:val="18"/>
                <w:szCs w:val="18"/>
              </w:rPr>
            </w:pPr>
            <w:r>
              <w:rPr>
                <w:rFonts w:ascii="Arial" w:hAnsi="Arial" w:cs="Arial"/>
                <w:sz w:val="18"/>
                <w:szCs w:val="18"/>
              </w:rPr>
              <w:t>R</w:t>
            </w:r>
            <w:r w:rsidRPr="00CF1113">
              <w:rPr>
                <w:rFonts w:ascii="Arial" w:hAnsi="Arial" w:cs="Arial"/>
                <w:sz w:val="18"/>
                <w:szCs w:val="18"/>
              </w:rPr>
              <w:t>eformas a marcos normativos de gestión hacendaria en EF, para hacerlos congruentes con la LDF</w:t>
            </w:r>
            <w:r>
              <w:rPr>
                <w:rFonts w:ascii="Arial" w:hAnsi="Arial" w:cs="Arial"/>
                <w:sz w:val="18"/>
                <w:szCs w:val="18"/>
              </w:rPr>
              <w:t>.</w:t>
            </w:r>
          </w:p>
        </w:tc>
        <w:tc>
          <w:tcPr>
            <w:tcW w:w="1175" w:type="dxa"/>
            <w:tcBorders>
              <w:top w:val="single" w:sz="4" w:space="0" w:color="000000"/>
              <w:left w:val="single" w:sz="4" w:space="0" w:color="000000"/>
              <w:bottom w:val="single" w:sz="4" w:space="0" w:color="000000"/>
              <w:right w:val="single" w:sz="4" w:space="0" w:color="000000"/>
            </w:tcBorders>
            <w:vAlign w:val="center"/>
          </w:tcPr>
          <w:p w14:paraId="129FE48E" w14:textId="1036687B" w:rsidR="00AE6137" w:rsidRDefault="00AE6137" w:rsidP="00AE6137">
            <w:pPr>
              <w:spacing w:before="60" w:after="60"/>
              <w:jc w:val="center"/>
              <w:rPr>
                <w:rFonts w:ascii="Arial" w:hAnsi="Arial" w:cs="Arial"/>
                <w:noProof/>
                <w:sz w:val="18"/>
                <w:szCs w:val="18"/>
                <w:lang w:eastAsia="zh-CN"/>
              </w:rPr>
            </w:pPr>
            <w:r>
              <w:rPr>
                <w:rFonts w:ascii="Arial" w:hAnsi="Arial" w:cs="Arial"/>
                <w:noProof/>
                <w:sz w:val="18"/>
                <w:szCs w:val="18"/>
                <w:lang w:eastAsia="zh-CN"/>
              </w:rPr>
              <w:t>Ley</w:t>
            </w:r>
          </w:p>
        </w:tc>
        <w:tc>
          <w:tcPr>
            <w:tcW w:w="993" w:type="dxa"/>
            <w:tcBorders>
              <w:top w:val="single" w:sz="4" w:space="0" w:color="000000"/>
              <w:left w:val="single" w:sz="4" w:space="0" w:color="000000"/>
              <w:bottom w:val="single" w:sz="4" w:space="0" w:color="000000"/>
              <w:right w:val="single" w:sz="4" w:space="0" w:color="000000"/>
            </w:tcBorders>
            <w:vAlign w:val="center"/>
          </w:tcPr>
          <w:p w14:paraId="1B0FCB8B" w14:textId="1252F45A" w:rsidR="00AE6137" w:rsidRPr="0023601A" w:rsidRDefault="00AE6137" w:rsidP="00AE6137">
            <w:pPr>
              <w:spacing w:before="60" w:after="60"/>
              <w:jc w:val="center"/>
              <w:rPr>
                <w:rFonts w:ascii="Arial" w:hAnsi="Arial" w:cs="Arial"/>
                <w:noProof/>
                <w:sz w:val="18"/>
                <w:szCs w:val="18"/>
              </w:rPr>
            </w:pPr>
            <w:r w:rsidRPr="00D92AD6">
              <w:rPr>
                <w:rFonts w:ascii="Arial" w:hAnsi="Arial" w:cs="Arial"/>
                <w:noProof/>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48005090" w14:textId="06CDED33" w:rsidR="00AE6137" w:rsidRPr="0023601A" w:rsidRDefault="00AE6137" w:rsidP="00AE6137">
            <w:pPr>
              <w:spacing w:before="60" w:after="60"/>
              <w:jc w:val="center"/>
              <w:rPr>
                <w:rFonts w:ascii="Arial" w:hAnsi="Arial" w:cs="Arial"/>
                <w:noProof/>
                <w:sz w:val="18"/>
                <w:szCs w:val="18"/>
              </w:rPr>
            </w:pPr>
            <w:r w:rsidRPr="00D92AD6">
              <w:rPr>
                <w:rFonts w:ascii="Arial" w:hAnsi="Arial" w:cs="Arial"/>
                <w:noProof/>
                <w:sz w:val="18"/>
                <w:szCs w:val="18"/>
              </w:rPr>
              <w:t>201</w:t>
            </w:r>
            <w:r>
              <w:rPr>
                <w:rFonts w:ascii="Arial" w:hAnsi="Arial" w:cs="Arial"/>
                <w:noProof/>
                <w:sz w:val="18"/>
                <w:szCs w:val="18"/>
              </w:rPr>
              <w:t>5</w:t>
            </w:r>
          </w:p>
        </w:tc>
        <w:tc>
          <w:tcPr>
            <w:tcW w:w="773" w:type="dxa"/>
            <w:tcBorders>
              <w:top w:val="single" w:sz="4" w:space="0" w:color="000000"/>
              <w:left w:val="single" w:sz="4" w:space="0" w:color="000000"/>
              <w:bottom w:val="single" w:sz="4" w:space="0" w:color="000000"/>
              <w:right w:val="single" w:sz="4" w:space="0" w:color="000000"/>
            </w:tcBorders>
            <w:vAlign w:val="center"/>
          </w:tcPr>
          <w:p w14:paraId="4F1F7F93" w14:textId="251171FB" w:rsidR="00AE6137" w:rsidRPr="0023601A" w:rsidRDefault="00AE6137" w:rsidP="00AE6137">
            <w:pPr>
              <w:spacing w:before="60" w:after="60"/>
              <w:jc w:val="center"/>
              <w:rPr>
                <w:rFonts w:ascii="Arial" w:hAnsi="Arial" w:cs="Arial"/>
                <w:noProof/>
                <w:sz w:val="18"/>
                <w:szCs w:val="18"/>
              </w:rPr>
            </w:pPr>
            <w:r>
              <w:rPr>
                <w:rFonts w:ascii="Arial" w:hAnsi="Arial" w:cs="Arial"/>
                <w:noProof/>
                <w:sz w:val="18"/>
                <w:szCs w:val="18"/>
              </w:rPr>
              <w:t>28</w:t>
            </w:r>
          </w:p>
        </w:tc>
        <w:tc>
          <w:tcPr>
            <w:tcW w:w="1211" w:type="dxa"/>
            <w:tcBorders>
              <w:top w:val="single" w:sz="4" w:space="0" w:color="000000"/>
              <w:left w:val="single" w:sz="4" w:space="0" w:color="000000"/>
              <w:bottom w:val="single" w:sz="4" w:space="0" w:color="000000"/>
              <w:right w:val="single" w:sz="4" w:space="0" w:color="000000"/>
            </w:tcBorders>
            <w:vAlign w:val="center"/>
          </w:tcPr>
          <w:p w14:paraId="066E0D63" w14:textId="294E635B" w:rsidR="00AE6137" w:rsidRPr="0023601A" w:rsidRDefault="00AE6137" w:rsidP="00AE6137">
            <w:pPr>
              <w:spacing w:before="60" w:after="60"/>
              <w:jc w:val="center"/>
              <w:rPr>
                <w:rFonts w:ascii="Arial" w:hAnsi="Arial" w:cs="Arial"/>
                <w:noProof/>
                <w:sz w:val="18"/>
                <w:szCs w:val="18"/>
              </w:rPr>
            </w:pPr>
            <w:r>
              <w:rPr>
                <w:rFonts w:ascii="Arial" w:hAnsi="Arial" w:cs="Arial"/>
                <w:noProof/>
                <w:sz w:val="18"/>
                <w:szCs w:val="18"/>
              </w:rPr>
              <w:t>30</w:t>
            </w:r>
          </w:p>
        </w:tc>
        <w:tc>
          <w:tcPr>
            <w:tcW w:w="2184" w:type="dxa"/>
            <w:tcBorders>
              <w:top w:val="single" w:sz="4" w:space="0" w:color="000000"/>
              <w:left w:val="single" w:sz="4" w:space="0" w:color="000000"/>
              <w:bottom w:val="single" w:sz="4" w:space="0" w:color="000000"/>
              <w:right w:val="single" w:sz="4" w:space="0" w:color="000000"/>
            </w:tcBorders>
            <w:vAlign w:val="center"/>
          </w:tcPr>
          <w:p w14:paraId="4704406B" w14:textId="0A804B42" w:rsidR="00AE6137" w:rsidRPr="00D92AD6" w:rsidRDefault="00AE6137" w:rsidP="00AE6137">
            <w:pPr>
              <w:spacing w:before="60" w:after="60"/>
              <w:rPr>
                <w:rFonts w:ascii="Arial" w:hAnsi="Arial" w:cs="Arial"/>
                <w:noProof/>
                <w:color w:val="000000"/>
                <w:sz w:val="18"/>
                <w:szCs w:val="18"/>
              </w:rPr>
            </w:pPr>
            <w:r w:rsidRPr="00D92AD6">
              <w:rPr>
                <w:rFonts w:ascii="Arial" w:hAnsi="Arial" w:cs="Arial"/>
                <w:noProof/>
                <w:color w:val="000000"/>
                <w:sz w:val="18"/>
                <w:szCs w:val="18"/>
              </w:rPr>
              <w:t xml:space="preserve">Publicación en </w:t>
            </w:r>
            <w:r>
              <w:rPr>
                <w:rFonts w:ascii="Arial" w:hAnsi="Arial" w:cs="Arial"/>
                <w:noProof/>
                <w:color w:val="000000"/>
                <w:sz w:val="18"/>
                <w:szCs w:val="18"/>
              </w:rPr>
              <w:t>diarios oficiales estatales</w:t>
            </w:r>
            <w:r w:rsidRPr="00D92AD6">
              <w:rPr>
                <w:rFonts w:ascii="Arial" w:hAnsi="Arial" w:cs="Arial"/>
                <w:noProof/>
                <w:color w:val="000000"/>
                <w:sz w:val="18"/>
                <w:szCs w:val="18"/>
              </w:rPr>
              <w:t>.</w:t>
            </w:r>
          </w:p>
        </w:tc>
        <w:tc>
          <w:tcPr>
            <w:tcW w:w="3371" w:type="dxa"/>
            <w:tcBorders>
              <w:top w:val="single" w:sz="4" w:space="0" w:color="000000"/>
              <w:left w:val="single" w:sz="4" w:space="0" w:color="000000"/>
              <w:bottom w:val="single" w:sz="4" w:space="0" w:color="000000"/>
              <w:right w:val="single" w:sz="4" w:space="0" w:color="000000"/>
            </w:tcBorders>
            <w:vAlign w:val="center"/>
          </w:tcPr>
          <w:p w14:paraId="09281E38" w14:textId="76D3E74F" w:rsidR="00AE6137" w:rsidRPr="00D92AD6" w:rsidRDefault="00AE6137" w:rsidP="00AE6137">
            <w:pPr>
              <w:spacing w:before="60" w:after="60"/>
              <w:rPr>
                <w:rFonts w:ascii="Arial" w:hAnsi="Arial" w:cs="Arial"/>
                <w:noProof/>
                <w:color w:val="000000"/>
                <w:sz w:val="18"/>
                <w:szCs w:val="18"/>
              </w:rPr>
            </w:pPr>
            <w:r w:rsidRPr="00D92AD6">
              <w:rPr>
                <w:rFonts w:ascii="Arial" w:hAnsi="Arial" w:cs="Arial"/>
                <w:noProof/>
                <w:color w:val="000000"/>
                <w:sz w:val="18"/>
                <w:szCs w:val="18"/>
              </w:rPr>
              <w:t>Línea de base y metas a diciembre de cada año.</w:t>
            </w:r>
            <w:r>
              <w:rPr>
                <w:rFonts w:ascii="Arial" w:hAnsi="Arial" w:cs="Arial"/>
                <w:noProof/>
                <w:color w:val="000000"/>
                <w:sz w:val="18"/>
                <w:szCs w:val="18"/>
              </w:rPr>
              <w:t xml:space="preserve"> Indicador es acumulativo.</w:t>
            </w:r>
          </w:p>
        </w:tc>
      </w:tr>
      <w:tr w:rsidR="00877328" w:rsidRPr="005542A4" w14:paraId="35519537" w14:textId="77777777" w:rsidTr="00903AE2">
        <w:trPr>
          <w:trHeight w:val="64"/>
        </w:trPr>
        <w:tc>
          <w:tcPr>
            <w:tcW w:w="2369" w:type="dxa"/>
            <w:gridSpan w:val="2"/>
            <w:tcBorders>
              <w:top w:val="single" w:sz="4" w:space="0" w:color="000000"/>
              <w:left w:val="single" w:sz="4" w:space="0" w:color="000000"/>
              <w:bottom w:val="single" w:sz="4" w:space="0" w:color="000000"/>
              <w:right w:val="single" w:sz="4" w:space="0" w:color="000000"/>
            </w:tcBorders>
            <w:vAlign w:val="center"/>
          </w:tcPr>
          <w:p w14:paraId="4C99439B" w14:textId="7C86849C" w:rsidR="00877328" w:rsidRDefault="00877328" w:rsidP="00877328">
            <w:pPr>
              <w:pStyle w:val="ListParagraph"/>
              <w:spacing w:before="60" w:after="60"/>
              <w:ind w:left="0"/>
              <w:rPr>
                <w:rFonts w:ascii="Arial" w:hAnsi="Arial" w:cs="Arial"/>
                <w:sz w:val="18"/>
                <w:szCs w:val="18"/>
              </w:rPr>
            </w:pPr>
            <w:r>
              <w:rPr>
                <w:rFonts w:ascii="Arial" w:hAnsi="Arial" w:cs="Arial"/>
                <w:color w:val="000000"/>
                <w:sz w:val="18"/>
                <w:szCs w:val="18"/>
                <w:lang w:val="es-ES"/>
              </w:rPr>
              <w:t>Procesos competitivos para la contratación de financiamientos realizados</w:t>
            </w:r>
            <w:r w:rsidR="00DA4C79">
              <w:rPr>
                <w:rFonts w:ascii="Arial" w:hAnsi="Arial" w:cs="Arial"/>
                <w:color w:val="000000"/>
                <w:sz w:val="18"/>
                <w:szCs w:val="18"/>
                <w:lang w:val="es-ES"/>
              </w:rPr>
              <w:t>.</w:t>
            </w:r>
          </w:p>
        </w:tc>
        <w:tc>
          <w:tcPr>
            <w:tcW w:w="1175" w:type="dxa"/>
            <w:tcBorders>
              <w:top w:val="single" w:sz="4" w:space="0" w:color="000000"/>
              <w:left w:val="single" w:sz="4" w:space="0" w:color="000000"/>
              <w:bottom w:val="single" w:sz="4" w:space="0" w:color="000000"/>
              <w:right w:val="single" w:sz="4" w:space="0" w:color="000000"/>
            </w:tcBorders>
            <w:vAlign w:val="center"/>
          </w:tcPr>
          <w:p w14:paraId="2EC361B5" w14:textId="6EA18A92" w:rsidR="00877328" w:rsidRDefault="00084006" w:rsidP="00877328">
            <w:pPr>
              <w:spacing w:before="60" w:after="60"/>
              <w:jc w:val="center"/>
              <w:rPr>
                <w:rFonts w:ascii="Arial" w:hAnsi="Arial" w:cs="Arial"/>
                <w:noProof/>
                <w:sz w:val="18"/>
                <w:szCs w:val="18"/>
                <w:lang w:eastAsia="zh-CN"/>
              </w:rPr>
            </w:pPr>
            <w:r>
              <w:rPr>
                <w:rFonts w:ascii="Arial" w:hAnsi="Arial" w:cs="Arial"/>
                <w:noProof/>
                <w:sz w:val="18"/>
                <w:szCs w:val="18"/>
                <w:lang w:eastAsia="zh-CN"/>
              </w:rPr>
              <w:t>Procesos competitivos</w:t>
            </w:r>
          </w:p>
        </w:tc>
        <w:tc>
          <w:tcPr>
            <w:tcW w:w="993" w:type="dxa"/>
            <w:tcBorders>
              <w:top w:val="single" w:sz="4" w:space="0" w:color="000000"/>
              <w:left w:val="single" w:sz="4" w:space="0" w:color="000000"/>
              <w:bottom w:val="single" w:sz="4" w:space="0" w:color="000000"/>
              <w:right w:val="single" w:sz="4" w:space="0" w:color="000000"/>
            </w:tcBorders>
            <w:vAlign w:val="center"/>
          </w:tcPr>
          <w:p w14:paraId="188832C6" w14:textId="6BA63E52" w:rsidR="00877328" w:rsidRPr="00D92AD6" w:rsidRDefault="00877328" w:rsidP="00877328">
            <w:pPr>
              <w:spacing w:before="60" w:after="60"/>
              <w:jc w:val="center"/>
              <w:rPr>
                <w:rFonts w:ascii="Arial" w:hAnsi="Arial" w:cs="Arial"/>
                <w:noProof/>
                <w:sz w:val="18"/>
                <w:szCs w:val="18"/>
              </w:rPr>
            </w:pPr>
            <w:r>
              <w:rPr>
                <w:rFonts w:ascii="Arial" w:hAnsi="Arial" w:cs="Arial"/>
                <w:noProof/>
                <w:sz w:val="18"/>
                <w:szCs w:val="18"/>
              </w:rPr>
              <w:t>N.D.</w:t>
            </w:r>
          </w:p>
        </w:tc>
        <w:tc>
          <w:tcPr>
            <w:tcW w:w="1134" w:type="dxa"/>
            <w:tcBorders>
              <w:top w:val="single" w:sz="4" w:space="0" w:color="000000"/>
              <w:left w:val="single" w:sz="4" w:space="0" w:color="000000"/>
              <w:bottom w:val="single" w:sz="4" w:space="0" w:color="000000"/>
              <w:right w:val="single" w:sz="4" w:space="0" w:color="000000"/>
            </w:tcBorders>
            <w:vAlign w:val="center"/>
          </w:tcPr>
          <w:p w14:paraId="3C109D7D" w14:textId="63B1BFCE" w:rsidR="00877328" w:rsidRPr="00D92AD6" w:rsidRDefault="00877328" w:rsidP="00877328">
            <w:pPr>
              <w:spacing w:before="60" w:after="60"/>
              <w:jc w:val="center"/>
              <w:rPr>
                <w:rFonts w:ascii="Arial" w:hAnsi="Arial" w:cs="Arial"/>
                <w:noProof/>
                <w:sz w:val="18"/>
                <w:szCs w:val="18"/>
              </w:rPr>
            </w:pPr>
            <w:r w:rsidRPr="006B70E4">
              <w:rPr>
                <w:rFonts w:ascii="Arial" w:hAnsi="Arial" w:cs="Arial"/>
                <w:noProof/>
                <w:sz w:val="18"/>
                <w:szCs w:val="18"/>
              </w:rPr>
              <w:t>201</w:t>
            </w:r>
            <w:r>
              <w:rPr>
                <w:rFonts w:ascii="Arial" w:hAnsi="Arial" w:cs="Arial"/>
                <w:noProof/>
                <w:sz w:val="18"/>
                <w:szCs w:val="18"/>
              </w:rPr>
              <w:t>5</w:t>
            </w:r>
          </w:p>
        </w:tc>
        <w:tc>
          <w:tcPr>
            <w:tcW w:w="773" w:type="dxa"/>
            <w:tcBorders>
              <w:top w:val="single" w:sz="4" w:space="0" w:color="000000"/>
              <w:left w:val="single" w:sz="4" w:space="0" w:color="000000"/>
              <w:bottom w:val="single" w:sz="4" w:space="0" w:color="000000"/>
              <w:right w:val="single" w:sz="4" w:space="0" w:color="000000"/>
            </w:tcBorders>
            <w:vAlign w:val="center"/>
          </w:tcPr>
          <w:p w14:paraId="647689CB" w14:textId="409BCE9F" w:rsidR="00877328" w:rsidRDefault="00877328" w:rsidP="00877328">
            <w:pPr>
              <w:spacing w:before="60" w:after="60"/>
              <w:jc w:val="center"/>
              <w:rPr>
                <w:rFonts w:ascii="Arial" w:hAnsi="Arial" w:cs="Arial"/>
                <w:noProof/>
                <w:sz w:val="18"/>
                <w:szCs w:val="18"/>
              </w:rPr>
            </w:pPr>
            <w:r w:rsidRPr="00AF3023">
              <w:rPr>
                <w:rFonts w:ascii="Arial" w:hAnsi="Arial" w:cs="Arial"/>
                <w:noProof/>
                <w:sz w:val="18"/>
                <w:szCs w:val="18"/>
              </w:rPr>
              <w:t>130</w:t>
            </w:r>
          </w:p>
        </w:tc>
        <w:tc>
          <w:tcPr>
            <w:tcW w:w="1211" w:type="dxa"/>
            <w:tcBorders>
              <w:top w:val="single" w:sz="4" w:space="0" w:color="000000"/>
              <w:left w:val="single" w:sz="4" w:space="0" w:color="000000"/>
              <w:bottom w:val="single" w:sz="4" w:space="0" w:color="000000"/>
              <w:right w:val="single" w:sz="4" w:space="0" w:color="000000"/>
            </w:tcBorders>
            <w:vAlign w:val="center"/>
          </w:tcPr>
          <w:p w14:paraId="3291123B" w14:textId="464DF41B" w:rsidR="00877328" w:rsidRDefault="00084006" w:rsidP="00877328">
            <w:pPr>
              <w:spacing w:before="60" w:after="60"/>
              <w:jc w:val="center"/>
              <w:rPr>
                <w:rFonts w:ascii="Arial" w:hAnsi="Arial" w:cs="Arial"/>
                <w:noProof/>
                <w:sz w:val="18"/>
                <w:szCs w:val="18"/>
              </w:rPr>
            </w:pPr>
            <w:r>
              <w:rPr>
                <w:rFonts w:ascii="Arial" w:hAnsi="Arial" w:cs="Arial"/>
                <w:noProof/>
                <w:sz w:val="18"/>
                <w:szCs w:val="18"/>
              </w:rPr>
              <w:t>300</w:t>
            </w:r>
          </w:p>
        </w:tc>
        <w:tc>
          <w:tcPr>
            <w:tcW w:w="2184" w:type="dxa"/>
            <w:tcBorders>
              <w:top w:val="single" w:sz="4" w:space="0" w:color="000000"/>
              <w:left w:val="single" w:sz="4" w:space="0" w:color="000000"/>
              <w:bottom w:val="single" w:sz="4" w:space="0" w:color="000000"/>
              <w:right w:val="single" w:sz="4" w:space="0" w:color="000000"/>
            </w:tcBorders>
            <w:vAlign w:val="center"/>
          </w:tcPr>
          <w:p w14:paraId="027520FA" w14:textId="2A7EC4F9" w:rsidR="00877328" w:rsidRPr="00903AE2" w:rsidRDefault="002415E7" w:rsidP="00877328">
            <w:pPr>
              <w:spacing w:before="60" w:after="60"/>
              <w:rPr>
                <w:rFonts w:ascii="Arial" w:hAnsi="Arial" w:cs="Arial"/>
                <w:noProof/>
                <w:color w:val="000000"/>
                <w:sz w:val="18"/>
                <w:szCs w:val="18"/>
              </w:rPr>
            </w:pPr>
            <w:r w:rsidRPr="00903AE2">
              <w:rPr>
                <w:rFonts w:ascii="Arial" w:hAnsi="Arial" w:cs="Arial"/>
                <w:color w:val="000000"/>
                <w:sz w:val="18"/>
                <w:szCs w:val="18"/>
                <w:lang w:val="es-ES"/>
              </w:rPr>
              <w:t xml:space="preserve">Certificaciones por parte de las </w:t>
            </w:r>
            <w:proofErr w:type="spellStart"/>
            <w:r w:rsidRPr="00903AE2">
              <w:rPr>
                <w:rFonts w:ascii="Arial" w:hAnsi="Arial" w:cs="Arial"/>
                <w:color w:val="000000"/>
                <w:sz w:val="18"/>
                <w:szCs w:val="18"/>
                <w:lang w:val="es-ES"/>
              </w:rPr>
              <w:t>EyM</w:t>
            </w:r>
            <w:proofErr w:type="spellEnd"/>
            <w:r w:rsidRPr="00903AE2">
              <w:rPr>
                <w:rFonts w:ascii="Arial" w:hAnsi="Arial" w:cs="Arial"/>
                <w:color w:val="000000"/>
                <w:sz w:val="18"/>
                <w:szCs w:val="18"/>
                <w:lang w:val="es-ES"/>
              </w:rPr>
              <w:t xml:space="preserve"> y sus EP presentadas al momento de registrar las obligaciones en el RPU, de la realización de las contrataciones mediante procesos competitivos bajo las mejores condiciones del mercado.</w:t>
            </w:r>
          </w:p>
        </w:tc>
        <w:tc>
          <w:tcPr>
            <w:tcW w:w="3371" w:type="dxa"/>
            <w:tcBorders>
              <w:top w:val="single" w:sz="4" w:space="0" w:color="000000"/>
              <w:left w:val="single" w:sz="4" w:space="0" w:color="000000"/>
              <w:bottom w:val="single" w:sz="4" w:space="0" w:color="000000"/>
              <w:right w:val="single" w:sz="4" w:space="0" w:color="000000"/>
            </w:tcBorders>
            <w:vAlign w:val="center"/>
          </w:tcPr>
          <w:p w14:paraId="627ECB7E" w14:textId="5C575CB9" w:rsidR="00877328" w:rsidRPr="00D92AD6" w:rsidRDefault="00877328" w:rsidP="00877328">
            <w:pPr>
              <w:spacing w:before="60" w:after="60"/>
              <w:rPr>
                <w:rFonts w:ascii="Arial" w:hAnsi="Arial" w:cs="Arial"/>
                <w:noProof/>
                <w:color w:val="000000"/>
                <w:sz w:val="18"/>
                <w:szCs w:val="18"/>
              </w:rPr>
            </w:pPr>
            <w:r w:rsidRPr="00D92AD6">
              <w:rPr>
                <w:rFonts w:ascii="Arial" w:hAnsi="Arial" w:cs="Arial"/>
                <w:noProof/>
                <w:color w:val="000000"/>
                <w:sz w:val="18"/>
                <w:szCs w:val="18"/>
              </w:rPr>
              <w:t>Línea de base y metas a diciembre de cada año.</w:t>
            </w:r>
            <w:r w:rsidR="00084006">
              <w:rPr>
                <w:rFonts w:ascii="Arial" w:hAnsi="Arial" w:cs="Arial"/>
                <w:noProof/>
                <w:color w:val="000000"/>
                <w:sz w:val="18"/>
                <w:szCs w:val="18"/>
              </w:rPr>
              <w:t xml:space="preserve"> Indicador es acumulativo.</w:t>
            </w:r>
          </w:p>
        </w:tc>
      </w:tr>
      <w:tr w:rsidR="001D0CB1" w:rsidRPr="005542A4" w14:paraId="4A551BDB" w14:textId="77777777" w:rsidTr="00903AE2">
        <w:trPr>
          <w:trHeight w:val="64"/>
        </w:trPr>
        <w:tc>
          <w:tcPr>
            <w:tcW w:w="2369" w:type="dxa"/>
            <w:gridSpan w:val="2"/>
            <w:tcBorders>
              <w:top w:val="single" w:sz="4" w:space="0" w:color="000000"/>
              <w:left w:val="single" w:sz="4" w:space="0" w:color="000000"/>
              <w:bottom w:val="single" w:sz="4" w:space="0" w:color="000000"/>
              <w:right w:val="single" w:sz="4" w:space="0" w:color="000000"/>
            </w:tcBorders>
            <w:vAlign w:val="center"/>
          </w:tcPr>
          <w:p w14:paraId="43415A55" w14:textId="4F9A6236" w:rsidR="001D0CB1" w:rsidRDefault="001D0CB1" w:rsidP="001D0CB1">
            <w:pPr>
              <w:pStyle w:val="ListParagraph"/>
              <w:spacing w:before="60" w:after="60"/>
              <w:ind w:left="0"/>
              <w:rPr>
                <w:rFonts w:ascii="Arial" w:hAnsi="Arial" w:cs="Arial"/>
                <w:sz w:val="18"/>
                <w:szCs w:val="18"/>
              </w:rPr>
            </w:pPr>
            <w:r>
              <w:rPr>
                <w:rFonts w:ascii="Arial" w:hAnsi="Arial" w:cs="Arial"/>
                <w:sz w:val="18"/>
                <w:szCs w:val="18"/>
              </w:rPr>
              <w:lastRenderedPageBreak/>
              <w:t xml:space="preserve">Reformas a disposiciones de la Comisión Nacional Bancaria y de Valores para hacer documentación de créditos a </w:t>
            </w:r>
            <w:proofErr w:type="spellStart"/>
            <w:r>
              <w:rPr>
                <w:rFonts w:ascii="Arial" w:hAnsi="Arial" w:cs="Arial"/>
                <w:sz w:val="18"/>
                <w:szCs w:val="18"/>
              </w:rPr>
              <w:t>EyM</w:t>
            </w:r>
            <w:proofErr w:type="spellEnd"/>
            <w:r>
              <w:rPr>
                <w:rFonts w:ascii="Arial" w:hAnsi="Arial" w:cs="Arial"/>
                <w:sz w:val="18"/>
                <w:szCs w:val="18"/>
              </w:rPr>
              <w:t xml:space="preserve"> consistentes con la LDF</w:t>
            </w:r>
            <w:r w:rsidR="00DA4C79">
              <w:rPr>
                <w:rFonts w:ascii="Arial" w:hAnsi="Arial" w:cs="Arial"/>
                <w:sz w:val="18"/>
                <w:szCs w:val="18"/>
              </w:rPr>
              <w:t>.</w:t>
            </w:r>
          </w:p>
        </w:tc>
        <w:tc>
          <w:tcPr>
            <w:tcW w:w="1175" w:type="dxa"/>
            <w:tcBorders>
              <w:top w:val="single" w:sz="4" w:space="0" w:color="000000"/>
              <w:left w:val="single" w:sz="4" w:space="0" w:color="000000"/>
              <w:bottom w:val="single" w:sz="4" w:space="0" w:color="000000"/>
              <w:right w:val="single" w:sz="4" w:space="0" w:color="000000"/>
            </w:tcBorders>
            <w:vAlign w:val="center"/>
          </w:tcPr>
          <w:p w14:paraId="3D334CFD" w14:textId="77777777" w:rsidR="001D0CB1" w:rsidRDefault="001D0CB1" w:rsidP="001D0CB1">
            <w:pPr>
              <w:spacing w:before="60" w:after="60"/>
              <w:jc w:val="center"/>
              <w:rPr>
                <w:rFonts w:ascii="Arial" w:hAnsi="Arial" w:cs="Arial"/>
                <w:noProof/>
                <w:sz w:val="18"/>
                <w:szCs w:val="18"/>
                <w:lang w:eastAsia="zh-CN"/>
              </w:rPr>
            </w:pPr>
            <w:r>
              <w:rPr>
                <w:rFonts w:ascii="Arial" w:hAnsi="Arial" w:cs="Arial"/>
                <w:noProof/>
                <w:sz w:val="18"/>
                <w:szCs w:val="18"/>
                <w:lang w:eastAsia="zh-CN"/>
              </w:rPr>
              <w:t>Resolución</w:t>
            </w:r>
          </w:p>
        </w:tc>
        <w:tc>
          <w:tcPr>
            <w:tcW w:w="993" w:type="dxa"/>
            <w:tcBorders>
              <w:top w:val="single" w:sz="4" w:space="0" w:color="000000"/>
              <w:left w:val="single" w:sz="4" w:space="0" w:color="000000"/>
              <w:bottom w:val="single" w:sz="4" w:space="0" w:color="000000"/>
              <w:right w:val="single" w:sz="4" w:space="0" w:color="000000"/>
            </w:tcBorders>
            <w:vAlign w:val="center"/>
          </w:tcPr>
          <w:p w14:paraId="741D6524" w14:textId="77777777" w:rsidR="001D0CB1" w:rsidRPr="005704F8" w:rsidRDefault="001D0CB1" w:rsidP="001D0CB1">
            <w:pPr>
              <w:spacing w:before="60" w:after="60"/>
              <w:jc w:val="center"/>
              <w:rPr>
                <w:rFonts w:ascii="Arial" w:hAnsi="Arial" w:cs="Arial"/>
                <w:noProof/>
                <w:sz w:val="18"/>
                <w:szCs w:val="18"/>
                <w:highlight w:val="yellow"/>
              </w:rPr>
            </w:pPr>
            <w:r w:rsidRPr="00D92AD6">
              <w:rPr>
                <w:rFonts w:ascii="Arial" w:hAnsi="Arial" w:cs="Arial"/>
                <w:noProof/>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6BE111D" w14:textId="3A5DB4B7" w:rsidR="001D0CB1" w:rsidRPr="005704F8" w:rsidRDefault="001D0CB1" w:rsidP="001D0CB1">
            <w:pPr>
              <w:spacing w:before="60" w:after="60"/>
              <w:jc w:val="center"/>
              <w:rPr>
                <w:rFonts w:ascii="Arial" w:hAnsi="Arial" w:cs="Arial"/>
                <w:noProof/>
                <w:sz w:val="18"/>
                <w:szCs w:val="18"/>
                <w:highlight w:val="yellow"/>
              </w:rPr>
            </w:pPr>
            <w:r w:rsidRPr="00D92AD6">
              <w:rPr>
                <w:rFonts w:ascii="Arial" w:hAnsi="Arial" w:cs="Arial"/>
                <w:noProof/>
                <w:sz w:val="18"/>
                <w:szCs w:val="18"/>
              </w:rPr>
              <w:t>201</w:t>
            </w:r>
            <w:r>
              <w:rPr>
                <w:rFonts w:ascii="Arial" w:hAnsi="Arial" w:cs="Arial"/>
                <w:noProof/>
                <w:sz w:val="18"/>
                <w:szCs w:val="18"/>
              </w:rPr>
              <w:t>5</w:t>
            </w:r>
          </w:p>
        </w:tc>
        <w:tc>
          <w:tcPr>
            <w:tcW w:w="773" w:type="dxa"/>
            <w:tcBorders>
              <w:top w:val="single" w:sz="4" w:space="0" w:color="000000"/>
              <w:left w:val="single" w:sz="4" w:space="0" w:color="000000"/>
              <w:bottom w:val="single" w:sz="4" w:space="0" w:color="000000"/>
              <w:right w:val="single" w:sz="4" w:space="0" w:color="000000"/>
            </w:tcBorders>
            <w:vAlign w:val="center"/>
          </w:tcPr>
          <w:p w14:paraId="64A342E6" w14:textId="77777777" w:rsidR="001D0CB1" w:rsidRPr="005704F8" w:rsidRDefault="001D0CB1" w:rsidP="001D0CB1">
            <w:pPr>
              <w:spacing w:before="60" w:after="60"/>
              <w:jc w:val="center"/>
              <w:rPr>
                <w:rFonts w:ascii="Arial" w:hAnsi="Arial" w:cs="Arial"/>
                <w:noProof/>
                <w:sz w:val="18"/>
                <w:szCs w:val="18"/>
                <w:highlight w:val="yellow"/>
              </w:rPr>
            </w:pPr>
            <w:r>
              <w:rPr>
                <w:rFonts w:ascii="Arial" w:hAnsi="Arial" w:cs="Arial"/>
                <w:noProof/>
                <w:sz w:val="18"/>
                <w:szCs w:val="18"/>
              </w:rPr>
              <w:t>2</w:t>
            </w:r>
          </w:p>
        </w:tc>
        <w:tc>
          <w:tcPr>
            <w:tcW w:w="1211" w:type="dxa"/>
            <w:tcBorders>
              <w:top w:val="single" w:sz="4" w:space="0" w:color="000000"/>
              <w:left w:val="single" w:sz="4" w:space="0" w:color="000000"/>
              <w:bottom w:val="single" w:sz="4" w:space="0" w:color="000000"/>
              <w:right w:val="single" w:sz="4" w:space="0" w:color="000000"/>
            </w:tcBorders>
            <w:vAlign w:val="center"/>
          </w:tcPr>
          <w:p w14:paraId="664A68B0" w14:textId="77777777" w:rsidR="001D0CB1" w:rsidRPr="005704F8" w:rsidRDefault="001D0CB1" w:rsidP="001D0CB1">
            <w:pPr>
              <w:spacing w:before="60" w:after="60"/>
              <w:jc w:val="center"/>
              <w:rPr>
                <w:rFonts w:ascii="Arial" w:hAnsi="Arial" w:cs="Arial"/>
                <w:noProof/>
                <w:sz w:val="18"/>
                <w:szCs w:val="18"/>
                <w:highlight w:val="yellow"/>
              </w:rPr>
            </w:pPr>
            <w:r>
              <w:rPr>
                <w:rFonts w:ascii="Arial" w:hAnsi="Arial" w:cs="Arial"/>
                <w:noProof/>
                <w:sz w:val="18"/>
                <w:szCs w:val="18"/>
              </w:rPr>
              <w:t>2</w:t>
            </w:r>
          </w:p>
        </w:tc>
        <w:tc>
          <w:tcPr>
            <w:tcW w:w="2184" w:type="dxa"/>
            <w:tcBorders>
              <w:top w:val="single" w:sz="4" w:space="0" w:color="000000"/>
              <w:left w:val="single" w:sz="4" w:space="0" w:color="000000"/>
              <w:bottom w:val="single" w:sz="4" w:space="0" w:color="000000"/>
              <w:right w:val="single" w:sz="4" w:space="0" w:color="000000"/>
            </w:tcBorders>
            <w:vAlign w:val="center"/>
          </w:tcPr>
          <w:p w14:paraId="4F9F20CC" w14:textId="77777777" w:rsidR="001D0CB1" w:rsidRDefault="001D0CB1" w:rsidP="001D0CB1">
            <w:pPr>
              <w:spacing w:before="60" w:after="60"/>
              <w:rPr>
                <w:rFonts w:ascii="Arial" w:hAnsi="Arial" w:cs="Arial"/>
                <w:noProof/>
                <w:color w:val="000000"/>
                <w:sz w:val="18"/>
                <w:szCs w:val="18"/>
              </w:rPr>
            </w:pPr>
            <w:r w:rsidRPr="00D92AD6">
              <w:rPr>
                <w:rFonts w:ascii="Arial" w:hAnsi="Arial" w:cs="Arial"/>
                <w:noProof/>
                <w:color w:val="000000"/>
                <w:sz w:val="18"/>
                <w:szCs w:val="18"/>
              </w:rPr>
              <w:t>Publicación en el DOF.</w:t>
            </w:r>
          </w:p>
        </w:tc>
        <w:tc>
          <w:tcPr>
            <w:tcW w:w="3371" w:type="dxa"/>
            <w:tcBorders>
              <w:top w:val="single" w:sz="4" w:space="0" w:color="000000"/>
              <w:left w:val="single" w:sz="4" w:space="0" w:color="000000"/>
              <w:bottom w:val="single" w:sz="4" w:space="0" w:color="000000"/>
              <w:right w:val="single" w:sz="4" w:space="0" w:color="000000"/>
            </w:tcBorders>
            <w:vAlign w:val="center"/>
          </w:tcPr>
          <w:p w14:paraId="26BA0B6D" w14:textId="77777777" w:rsidR="001D0CB1" w:rsidRPr="00D92AD6" w:rsidRDefault="001D0CB1" w:rsidP="001D0CB1">
            <w:pPr>
              <w:spacing w:before="60" w:after="60"/>
              <w:rPr>
                <w:rFonts w:ascii="Arial" w:hAnsi="Arial" w:cs="Arial"/>
                <w:noProof/>
                <w:color w:val="000000"/>
                <w:sz w:val="18"/>
                <w:szCs w:val="18"/>
              </w:rPr>
            </w:pPr>
            <w:r w:rsidRPr="00D92AD6">
              <w:rPr>
                <w:rFonts w:ascii="Arial" w:hAnsi="Arial" w:cs="Arial"/>
                <w:noProof/>
                <w:color w:val="000000"/>
                <w:sz w:val="18"/>
                <w:szCs w:val="18"/>
              </w:rPr>
              <w:t>Línea de base y metas a diciembre de cada año.</w:t>
            </w:r>
          </w:p>
        </w:tc>
      </w:tr>
      <w:tr w:rsidR="001D0CB1" w:rsidRPr="005542A4" w14:paraId="132A6B77" w14:textId="77777777" w:rsidTr="00903AE2">
        <w:trPr>
          <w:trHeight w:val="64"/>
        </w:trPr>
        <w:tc>
          <w:tcPr>
            <w:tcW w:w="2369" w:type="dxa"/>
            <w:gridSpan w:val="2"/>
            <w:tcBorders>
              <w:top w:val="single" w:sz="4" w:space="0" w:color="000000"/>
              <w:left w:val="single" w:sz="4" w:space="0" w:color="000000"/>
              <w:bottom w:val="single" w:sz="4" w:space="0" w:color="000000"/>
              <w:right w:val="single" w:sz="4" w:space="0" w:color="000000"/>
            </w:tcBorders>
            <w:vAlign w:val="center"/>
          </w:tcPr>
          <w:p w14:paraId="3E1A706F" w14:textId="70B69019" w:rsidR="001D0CB1" w:rsidRDefault="001D0CB1" w:rsidP="001D0CB1">
            <w:pPr>
              <w:pStyle w:val="ListParagraph"/>
              <w:spacing w:before="60" w:after="60"/>
              <w:ind w:left="0"/>
              <w:rPr>
                <w:rFonts w:ascii="Arial" w:hAnsi="Arial" w:cs="Arial"/>
                <w:sz w:val="18"/>
                <w:szCs w:val="18"/>
              </w:rPr>
            </w:pPr>
            <w:r>
              <w:rPr>
                <w:rFonts w:ascii="Arial" w:hAnsi="Arial" w:cs="Arial"/>
                <w:sz w:val="18"/>
                <w:szCs w:val="18"/>
              </w:rPr>
              <w:t>Reformas a normas del CONAC para hacer criterios contables consistentes con la LDF</w:t>
            </w:r>
            <w:r w:rsidR="0069088B">
              <w:rPr>
                <w:rFonts w:ascii="Arial" w:hAnsi="Arial" w:cs="Arial"/>
                <w:sz w:val="18"/>
                <w:szCs w:val="18"/>
              </w:rPr>
              <w:t>.</w:t>
            </w:r>
          </w:p>
        </w:tc>
        <w:tc>
          <w:tcPr>
            <w:tcW w:w="1175" w:type="dxa"/>
            <w:tcBorders>
              <w:top w:val="single" w:sz="4" w:space="0" w:color="000000"/>
              <w:left w:val="single" w:sz="4" w:space="0" w:color="000000"/>
              <w:bottom w:val="single" w:sz="4" w:space="0" w:color="000000"/>
              <w:right w:val="single" w:sz="4" w:space="0" w:color="000000"/>
            </w:tcBorders>
            <w:vAlign w:val="center"/>
          </w:tcPr>
          <w:p w14:paraId="17581DEE" w14:textId="77777777" w:rsidR="001D0CB1" w:rsidRDefault="001D0CB1" w:rsidP="001D0CB1">
            <w:pPr>
              <w:spacing w:before="60" w:after="60"/>
              <w:jc w:val="center"/>
              <w:rPr>
                <w:rFonts w:ascii="Arial" w:hAnsi="Arial" w:cs="Arial"/>
                <w:noProof/>
                <w:sz w:val="18"/>
                <w:szCs w:val="18"/>
                <w:lang w:eastAsia="zh-CN"/>
              </w:rPr>
            </w:pPr>
            <w:r>
              <w:rPr>
                <w:rFonts w:ascii="Arial" w:hAnsi="Arial" w:cs="Arial"/>
                <w:noProof/>
                <w:sz w:val="18"/>
                <w:szCs w:val="18"/>
                <w:lang w:eastAsia="zh-CN"/>
              </w:rPr>
              <w:t>Acuerdos</w:t>
            </w:r>
          </w:p>
        </w:tc>
        <w:tc>
          <w:tcPr>
            <w:tcW w:w="993" w:type="dxa"/>
            <w:tcBorders>
              <w:top w:val="single" w:sz="4" w:space="0" w:color="000000"/>
              <w:left w:val="single" w:sz="4" w:space="0" w:color="000000"/>
              <w:bottom w:val="single" w:sz="4" w:space="0" w:color="000000"/>
              <w:right w:val="single" w:sz="4" w:space="0" w:color="000000"/>
            </w:tcBorders>
            <w:vAlign w:val="center"/>
          </w:tcPr>
          <w:p w14:paraId="2A80F181" w14:textId="77777777" w:rsidR="001D0CB1" w:rsidRPr="005704F8" w:rsidRDefault="001D0CB1" w:rsidP="001D0CB1">
            <w:pPr>
              <w:spacing w:before="60" w:after="60"/>
              <w:jc w:val="center"/>
              <w:rPr>
                <w:rFonts w:ascii="Arial" w:hAnsi="Arial" w:cs="Arial"/>
                <w:noProof/>
                <w:sz w:val="18"/>
                <w:szCs w:val="18"/>
                <w:highlight w:val="yellow"/>
              </w:rPr>
            </w:pPr>
            <w:r w:rsidRPr="00D92AD6">
              <w:rPr>
                <w:rFonts w:ascii="Arial" w:hAnsi="Arial" w:cs="Arial"/>
                <w:noProof/>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FBDA4A0" w14:textId="37EAA36D" w:rsidR="001D0CB1" w:rsidRPr="005704F8" w:rsidRDefault="001D0CB1" w:rsidP="001D0CB1">
            <w:pPr>
              <w:spacing w:before="60" w:after="60"/>
              <w:jc w:val="center"/>
              <w:rPr>
                <w:rFonts w:ascii="Arial" w:hAnsi="Arial" w:cs="Arial"/>
                <w:noProof/>
                <w:sz w:val="18"/>
                <w:szCs w:val="18"/>
                <w:highlight w:val="yellow"/>
              </w:rPr>
            </w:pPr>
            <w:r w:rsidRPr="00D92AD6">
              <w:rPr>
                <w:rFonts w:ascii="Arial" w:hAnsi="Arial" w:cs="Arial"/>
                <w:noProof/>
                <w:sz w:val="18"/>
                <w:szCs w:val="18"/>
              </w:rPr>
              <w:t>201</w:t>
            </w:r>
            <w:r>
              <w:rPr>
                <w:rFonts w:ascii="Arial" w:hAnsi="Arial" w:cs="Arial"/>
                <w:noProof/>
                <w:sz w:val="18"/>
                <w:szCs w:val="18"/>
              </w:rPr>
              <w:t>5</w:t>
            </w:r>
          </w:p>
        </w:tc>
        <w:tc>
          <w:tcPr>
            <w:tcW w:w="773" w:type="dxa"/>
            <w:tcBorders>
              <w:top w:val="single" w:sz="4" w:space="0" w:color="000000"/>
              <w:left w:val="single" w:sz="4" w:space="0" w:color="000000"/>
              <w:bottom w:val="single" w:sz="4" w:space="0" w:color="000000"/>
              <w:right w:val="single" w:sz="4" w:space="0" w:color="000000"/>
            </w:tcBorders>
            <w:vAlign w:val="center"/>
          </w:tcPr>
          <w:p w14:paraId="196161E6" w14:textId="77777777" w:rsidR="001D0CB1" w:rsidRPr="005704F8" w:rsidRDefault="001D0CB1" w:rsidP="001D0CB1">
            <w:pPr>
              <w:spacing w:before="60" w:after="60"/>
              <w:jc w:val="center"/>
              <w:rPr>
                <w:rFonts w:ascii="Arial" w:hAnsi="Arial" w:cs="Arial"/>
                <w:noProof/>
                <w:sz w:val="18"/>
                <w:szCs w:val="18"/>
                <w:highlight w:val="yellow"/>
              </w:rPr>
            </w:pPr>
            <w:r>
              <w:rPr>
                <w:rFonts w:ascii="Arial" w:hAnsi="Arial" w:cs="Arial"/>
                <w:noProof/>
                <w:sz w:val="18"/>
                <w:szCs w:val="18"/>
              </w:rPr>
              <w:t>2</w:t>
            </w:r>
          </w:p>
        </w:tc>
        <w:tc>
          <w:tcPr>
            <w:tcW w:w="1211" w:type="dxa"/>
            <w:tcBorders>
              <w:top w:val="single" w:sz="4" w:space="0" w:color="000000"/>
              <w:left w:val="single" w:sz="4" w:space="0" w:color="000000"/>
              <w:bottom w:val="single" w:sz="4" w:space="0" w:color="000000"/>
              <w:right w:val="single" w:sz="4" w:space="0" w:color="000000"/>
            </w:tcBorders>
            <w:vAlign w:val="center"/>
          </w:tcPr>
          <w:p w14:paraId="47F56AE1" w14:textId="77777777" w:rsidR="001D0CB1" w:rsidRPr="005704F8" w:rsidRDefault="001D0CB1" w:rsidP="001D0CB1">
            <w:pPr>
              <w:spacing w:before="60" w:after="60"/>
              <w:jc w:val="center"/>
              <w:rPr>
                <w:rFonts w:ascii="Arial" w:hAnsi="Arial" w:cs="Arial"/>
                <w:noProof/>
                <w:sz w:val="18"/>
                <w:szCs w:val="18"/>
                <w:highlight w:val="yellow"/>
              </w:rPr>
            </w:pPr>
            <w:r>
              <w:rPr>
                <w:rFonts w:ascii="Arial" w:hAnsi="Arial" w:cs="Arial"/>
                <w:noProof/>
                <w:sz w:val="18"/>
                <w:szCs w:val="18"/>
              </w:rPr>
              <w:t>2</w:t>
            </w:r>
          </w:p>
        </w:tc>
        <w:tc>
          <w:tcPr>
            <w:tcW w:w="2184" w:type="dxa"/>
            <w:tcBorders>
              <w:top w:val="single" w:sz="4" w:space="0" w:color="000000"/>
              <w:left w:val="single" w:sz="4" w:space="0" w:color="000000"/>
              <w:bottom w:val="single" w:sz="4" w:space="0" w:color="000000"/>
              <w:right w:val="single" w:sz="4" w:space="0" w:color="000000"/>
            </w:tcBorders>
            <w:vAlign w:val="center"/>
          </w:tcPr>
          <w:p w14:paraId="2D1207AA" w14:textId="77777777" w:rsidR="001D0CB1" w:rsidRDefault="001D0CB1" w:rsidP="001D0CB1">
            <w:pPr>
              <w:spacing w:before="60" w:after="60"/>
              <w:rPr>
                <w:rFonts w:ascii="Arial" w:hAnsi="Arial" w:cs="Arial"/>
                <w:noProof/>
                <w:color w:val="000000"/>
                <w:sz w:val="18"/>
                <w:szCs w:val="18"/>
              </w:rPr>
            </w:pPr>
            <w:r w:rsidRPr="00D92AD6">
              <w:rPr>
                <w:rFonts w:ascii="Arial" w:hAnsi="Arial" w:cs="Arial"/>
                <w:noProof/>
                <w:color w:val="000000"/>
                <w:sz w:val="18"/>
                <w:szCs w:val="18"/>
              </w:rPr>
              <w:t>Publicación en el DOF.</w:t>
            </w:r>
          </w:p>
        </w:tc>
        <w:tc>
          <w:tcPr>
            <w:tcW w:w="3371" w:type="dxa"/>
            <w:tcBorders>
              <w:top w:val="single" w:sz="4" w:space="0" w:color="000000"/>
              <w:left w:val="single" w:sz="4" w:space="0" w:color="000000"/>
              <w:bottom w:val="single" w:sz="4" w:space="0" w:color="000000"/>
              <w:right w:val="single" w:sz="4" w:space="0" w:color="000000"/>
            </w:tcBorders>
            <w:vAlign w:val="center"/>
          </w:tcPr>
          <w:p w14:paraId="27BCDB01" w14:textId="77777777" w:rsidR="001D0CB1" w:rsidRPr="00D92AD6" w:rsidRDefault="001D0CB1" w:rsidP="001D0CB1">
            <w:pPr>
              <w:spacing w:before="60" w:after="60"/>
              <w:rPr>
                <w:rFonts w:ascii="Arial" w:hAnsi="Arial" w:cs="Arial"/>
                <w:noProof/>
                <w:color w:val="000000"/>
                <w:sz w:val="18"/>
                <w:szCs w:val="18"/>
              </w:rPr>
            </w:pPr>
            <w:r w:rsidRPr="00D92AD6">
              <w:rPr>
                <w:rFonts w:ascii="Arial" w:hAnsi="Arial" w:cs="Arial"/>
                <w:noProof/>
                <w:color w:val="000000"/>
                <w:sz w:val="18"/>
                <w:szCs w:val="18"/>
              </w:rPr>
              <w:t>Línea de base y metas a diciembre de cada año.</w:t>
            </w:r>
          </w:p>
        </w:tc>
      </w:tr>
      <w:tr w:rsidR="001D0CB1" w:rsidRPr="005542A4" w14:paraId="122FDC64" w14:textId="77777777" w:rsidTr="00B47CEB">
        <w:trPr>
          <w:trHeight w:val="64"/>
        </w:trPr>
        <w:tc>
          <w:tcPr>
            <w:tcW w:w="2369" w:type="dxa"/>
            <w:gridSpan w:val="2"/>
            <w:tcBorders>
              <w:top w:val="single" w:sz="4" w:space="0" w:color="000000"/>
              <w:left w:val="single" w:sz="4" w:space="0" w:color="000000"/>
              <w:bottom w:val="single" w:sz="4" w:space="0" w:color="000000"/>
              <w:right w:val="single" w:sz="4" w:space="0" w:color="000000"/>
            </w:tcBorders>
            <w:vAlign w:val="center"/>
          </w:tcPr>
          <w:p w14:paraId="5D696D40" w14:textId="77777777" w:rsidR="001D0CB1" w:rsidRPr="00D92AD6" w:rsidRDefault="001D0CB1" w:rsidP="001D0CB1">
            <w:pPr>
              <w:pStyle w:val="ListParagraph"/>
              <w:spacing w:before="60" w:after="60"/>
              <w:ind w:left="0"/>
              <w:rPr>
                <w:rFonts w:ascii="Arial" w:hAnsi="Arial" w:cs="Arial"/>
                <w:noProof/>
                <w:sz w:val="20"/>
                <w:lang w:eastAsia="zh-CN"/>
              </w:rPr>
            </w:pPr>
            <w:r w:rsidRPr="00D92AD6">
              <w:rPr>
                <w:rFonts w:ascii="Arial" w:hAnsi="Arial" w:cs="Arial"/>
                <w:noProof/>
                <w:color w:val="000000"/>
                <w:sz w:val="18"/>
                <w:szCs w:val="18"/>
              </w:rPr>
              <w:t>Plataforma para la elaboración de proyecciones fiscales de mediano plazo y análisis de sostenibilidad de la deuda diseñada.</w:t>
            </w:r>
          </w:p>
        </w:tc>
        <w:tc>
          <w:tcPr>
            <w:tcW w:w="1175" w:type="dxa"/>
            <w:tcBorders>
              <w:top w:val="single" w:sz="4" w:space="0" w:color="000000"/>
              <w:left w:val="single" w:sz="4" w:space="0" w:color="000000"/>
              <w:bottom w:val="single" w:sz="4" w:space="0" w:color="000000"/>
              <w:right w:val="single" w:sz="4" w:space="0" w:color="000000"/>
            </w:tcBorders>
            <w:vAlign w:val="center"/>
          </w:tcPr>
          <w:p w14:paraId="309112DB" w14:textId="77777777" w:rsidR="001D0CB1" w:rsidRPr="00D92AD6" w:rsidRDefault="001D0CB1" w:rsidP="001D0CB1">
            <w:pPr>
              <w:spacing w:before="60" w:after="60"/>
              <w:jc w:val="center"/>
              <w:rPr>
                <w:rFonts w:ascii="Arial" w:hAnsi="Arial" w:cs="Arial"/>
                <w:noProof/>
                <w:sz w:val="18"/>
                <w:szCs w:val="18"/>
                <w:lang w:eastAsia="zh-CN"/>
              </w:rPr>
            </w:pPr>
            <w:r>
              <w:rPr>
                <w:rFonts w:ascii="Arial" w:hAnsi="Arial" w:cs="Arial"/>
                <w:noProof/>
                <w:sz w:val="18"/>
                <w:szCs w:val="18"/>
                <w:lang w:eastAsia="zh-CN"/>
              </w:rPr>
              <w:t>Software</w:t>
            </w:r>
          </w:p>
        </w:tc>
        <w:tc>
          <w:tcPr>
            <w:tcW w:w="993" w:type="dxa"/>
            <w:tcBorders>
              <w:top w:val="single" w:sz="4" w:space="0" w:color="000000"/>
              <w:left w:val="single" w:sz="4" w:space="0" w:color="000000"/>
              <w:bottom w:val="single" w:sz="4" w:space="0" w:color="000000"/>
              <w:right w:val="single" w:sz="4" w:space="0" w:color="000000"/>
            </w:tcBorders>
            <w:vAlign w:val="center"/>
          </w:tcPr>
          <w:p w14:paraId="488D36E5" w14:textId="77777777" w:rsidR="001D0CB1" w:rsidRPr="00D92AD6" w:rsidRDefault="001D0CB1" w:rsidP="001D0CB1">
            <w:pPr>
              <w:spacing w:before="60" w:after="60"/>
              <w:jc w:val="center"/>
              <w:rPr>
                <w:rFonts w:ascii="Arial" w:hAnsi="Arial" w:cs="Arial"/>
                <w:noProof/>
                <w:sz w:val="20"/>
                <w:lang w:eastAsia="zh-CN"/>
              </w:rPr>
            </w:pPr>
            <w:r w:rsidRPr="00D92AD6">
              <w:rPr>
                <w:rFonts w:ascii="Arial" w:hAnsi="Arial" w:cs="Arial"/>
                <w:noProof/>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C7FD923" w14:textId="3F8C695C" w:rsidR="001D0CB1" w:rsidRPr="00D92AD6" w:rsidRDefault="001D0CB1" w:rsidP="001D0CB1">
            <w:pPr>
              <w:spacing w:before="60" w:after="60"/>
              <w:jc w:val="center"/>
              <w:rPr>
                <w:rFonts w:ascii="Arial" w:hAnsi="Arial" w:cs="Arial"/>
                <w:noProof/>
                <w:sz w:val="18"/>
                <w:szCs w:val="18"/>
                <w:lang w:eastAsia="zh-CN"/>
              </w:rPr>
            </w:pPr>
            <w:r w:rsidRPr="00D92AD6">
              <w:rPr>
                <w:rFonts w:ascii="Arial" w:hAnsi="Arial" w:cs="Arial"/>
                <w:noProof/>
                <w:sz w:val="18"/>
                <w:szCs w:val="18"/>
              </w:rPr>
              <w:t>201</w:t>
            </w:r>
            <w:r>
              <w:rPr>
                <w:rFonts w:ascii="Arial" w:hAnsi="Arial" w:cs="Arial"/>
                <w:noProof/>
                <w:sz w:val="18"/>
                <w:szCs w:val="18"/>
              </w:rPr>
              <w:t>5</w:t>
            </w:r>
          </w:p>
        </w:tc>
        <w:tc>
          <w:tcPr>
            <w:tcW w:w="773" w:type="dxa"/>
            <w:tcBorders>
              <w:top w:val="single" w:sz="4" w:space="0" w:color="000000"/>
              <w:left w:val="single" w:sz="4" w:space="0" w:color="000000"/>
              <w:bottom w:val="single" w:sz="4" w:space="0" w:color="000000"/>
              <w:right w:val="single" w:sz="4" w:space="0" w:color="000000"/>
            </w:tcBorders>
            <w:vAlign w:val="center"/>
          </w:tcPr>
          <w:p w14:paraId="7FBA0DC5" w14:textId="77777777" w:rsidR="001D0CB1" w:rsidRPr="00D92AD6" w:rsidRDefault="001D0CB1" w:rsidP="001D0CB1">
            <w:pPr>
              <w:spacing w:before="60" w:after="60"/>
              <w:jc w:val="center"/>
              <w:rPr>
                <w:rFonts w:ascii="Arial" w:hAnsi="Arial" w:cs="Arial"/>
                <w:noProof/>
                <w:sz w:val="20"/>
                <w:lang w:eastAsia="zh-CN"/>
              </w:rPr>
            </w:pPr>
            <w:r w:rsidRPr="00D92AD6">
              <w:rPr>
                <w:rFonts w:ascii="Arial" w:hAnsi="Arial" w:cs="Arial"/>
                <w:noProof/>
                <w:sz w:val="18"/>
                <w:szCs w:val="18"/>
              </w:rPr>
              <w:t>0</w:t>
            </w:r>
          </w:p>
        </w:tc>
        <w:tc>
          <w:tcPr>
            <w:tcW w:w="1211" w:type="dxa"/>
            <w:tcBorders>
              <w:top w:val="single" w:sz="4" w:space="0" w:color="000000"/>
              <w:left w:val="single" w:sz="4" w:space="0" w:color="000000"/>
              <w:bottom w:val="single" w:sz="4" w:space="0" w:color="000000"/>
              <w:right w:val="single" w:sz="4" w:space="0" w:color="000000"/>
            </w:tcBorders>
            <w:vAlign w:val="center"/>
          </w:tcPr>
          <w:p w14:paraId="1FAF3ABA" w14:textId="77777777" w:rsidR="001D0CB1" w:rsidRPr="00D92AD6" w:rsidRDefault="001D0CB1" w:rsidP="001D0CB1">
            <w:pPr>
              <w:spacing w:before="60" w:after="60"/>
              <w:jc w:val="center"/>
              <w:rPr>
                <w:rFonts w:ascii="Arial" w:hAnsi="Arial" w:cs="Arial"/>
                <w:noProof/>
                <w:sz w:val="18"/>
                <w:szCs w:val="18"/>
              </w:rPr>
            </w:pPr>
            <w:r w:rsidRPr="00D92AD6">
              <w:rPr>
                <w:rFonts w:ascii="Arial" w:hAnsi="Arial" w:cs="Arial"/>
                <w:noProof/>
                <w:sz w:val="18"/>
                <w:szCs w:val="18"/>
              </w:rPr>
              <w:t>1</w:t>
            </w:r>
          </w:p>
        </w:tc>
        <w:tc>
          <w:tcPr>
            <w:tcW w:w="2184" w:type="dxa"/>
            <w:tcBorders>
              <w:top w:val="single" w:sz="4" w:space="0" w:color="000000"/>
              <w:left w:val="single" w:sz="4" w:space="0" w:color="000000"/>
              <w:bottom w:val="single" w:sz="4" w:space="0" w:color="000000"/>
              <w:right w:val="single" w:sz="4" w:space="0" w:color="000000"/>
            </w:tcBorders>
            <w:vAlign w:val="center"/>
          </w:tcPr>
          <w:p w14:paraId="206CA44D" w14:textId="18020238" w:rsidR="001D0CB1" w:rsidRPr="00903AE2" w:rsidRDefault="002415E7" w:rsidP="001D0CB1">
            <w:pPr>
              <w:spacing w:before="60" w:after="60"/>
              <w:rPr>
                <w:rFonts w:ascii="Arial" w:hAnsi="Arial" w:cs="Arial"/>
                <w:noProof/>
                <w:sz w:val="20"/>
                <w:lang w:eastAsia="zh-CN"/>
              </w:rPr>
            </w:pPr>
            <w:r w:rsidRPr="00903AE2">
              <w:rPr>
                <w:rFonts w:ascii="Arial" w:hAnsi="Arial" w:cs="Arial"/>
                <w:color w:val="000000"/>
                <w:sz w:val="18"/>
                <w:szCs w:val="18"/>
                <w:lang w:val="es-MX"/>
              </w:rPr>
              <w:t>Informe de consultor independiente certificando el desarrollo funcional</w:t>
            </w:r>
            <w:r w:rsidR="001D0CB1" w:rsidRPr="00903AE2">
              <w:rPr>
                <w:rFonts w:ascii="Arial" w:hAnsi="Arial" w:cs="Arial"/>
                <w:noProof/>
                <w:color w:val="000000"/>
                <w:sz w:val="18"/>
                <w:szCs w:val="18"/>
              </w:rPr>
              <w:t xml:space="preserve"> de la plataforma</w:t>
            </w:r>
            <w:r w:rsidR="00DA4C79" w:rsidRPr="00903AE2">
              <w:rPr>
                <w:rFonts w:ascii="Arial" w:hAnsi="Arial" w:cs="Arial"/>
                <w:noProof/>
                <w:color w:val="000000"/>
                <w:sz w:val="18"/>
                <w:szCs w:val="18"/>
              </w:rPr>
              <w:t>.</w:t>
            </w:r>
          </w:p>
        </w:tc>
        <w:tc>
          <w:tcPr>
            <w:tcW w:w="3371" w:type="dxa"/>
            <w:tcBorders>
              <w:top w:val="single" w:sz="4" w:space="0" w:color="000000"/>
              <w:left w:val="single" w:sz="4" w:space="0" w:color="000000"/>
              <w:bottom w:val="single" w:sz="4" w:space="0" w:color="000000"/>
              <w:right w:val="single" w:sz="4" w:space="0" w:color="000000"/>
            </w:tcBorders>
          </w:tcPr>
          <w:p w14:paraId="02E7D054" w14:textId="77777777" w:rsidR="001D0CB1" w:rsidRPr="00D92AD6" w:rsidRDefault="001D0CB1" w:rsidP="001D0CB1">
            <w:pPr>
              <w:spacing w:before="60" w:after="60"/>
              <w:rPr>
                <w:rFonts w:ascii="Arial" w:hAnsi="Arial" w:cs="Arial"/>
                <w:noProof/>
                <w:sz w:val="20"/>
                <w:lang w:eastAsia="zh-CN"/>
              </w:rPr>
            </w:pPr>
            <w:r w:rsidRPr="00D92AD6">
              <w:rPr>
                <w:rFonts w:ascii="Arial" w:hAnsi="Arial" w:cs="Arial"/>
                <w:noProof/>
                <w:color w:val="000000"/>
                <w:sz w:val="18"/>
                <w:szCs w:val="18"/>
              </w:rPr>
              <w:t>Línea de base y metas a diciembre de cada año.</w:t>
            </w:r>
            <w:r>
              <w:rPr>
                <w:rFonts w:ascii="Arial" w:hAnsi="Arial" w:cs="Arial"/>
                <w:noProof/>
                <w:color w:val="000000"/>
                <w:sz w:val="18"/>
                <w:szCs w:val="18"/>
              </w:rPr>
              <w:t xml:space="preserve"> La plataforma se considerará diseñada cuando se cuente con un documento que describa los diferentes módulos de la misma. </w:t>
            </w:r>
          </w:p>
        </w:tc>
      </w:tr>
      <w:tr w:rsidR="001D0CB1" w:rsidRPr="005542A4" w14:paraId="54A68ECF" w14:textId="77777777" w:rsidTr="00B47CEB">
        <w:trPr>
          <w:trHeight w:val="197"/>
        </w:trPr>
        <w:tc>
          <w:tcPr>
            <w:tcW w:w="13210" w:type="dxa"/>
            <w:gridSpan w:val="9"/>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5126B2CF" w14:textId="77777777" w:rsidR="001D0CB1" w:rsidRPr="00D92AD6" w:rsidRDefault="001D0CB1" w:rsidP="00B47CEB">
            <w:pPr>
              <w:spacing w:before="60" w:after="60"/>
              <w:rPr>
                <w:rFonts w:ascii="Arial" w:hAnsi="Arial" w:cs="Arial"/>
                <w:b/>
                <w:noProof/>
                <w:color w:val="000000"/>
                <w:sz w:val="20"/>
              </w:rPr>
            </w:pPr>
            <w:r w:rsidRPr="00D92AD6">
              <w:rPr>
                <w:rFonts w:ascii="Arial" w:hAnsi="Arial" w:cs="Arial"/>
                <w:b/>
                <w:noProof/>
                <w:color w:val="000000"/>
                <w:sz w:val="20"/>
              </w:rPr>
              <w:t>Componente #3: Fortalecimiento de la transparencia y la rendición de cuentas en los Estados y Municipios</w:t>
            </w:r>
          </w:p>
        </w:tc>
      </w:tr>
      <w:tr w:rsidR="002415E7" w:rsidRPr="005542A4" w14:paraId="514BE6B9" w14:textId="77777777" w:rsidTr="00903AE2">
        <w:trPr>
          <w:trHeight w:val="64"/>
        </w:trPr>
        <w:tc>
          <w:tcPr>
            <w:tcW w:w="2189" w:type="dxa"/>
            <w:tcBorders>
              <w:top w:val="single" w:sz="4" w:space="0" w:color="000000"/>
              <w:left w:val="single" w:sz="4" w:space="0" w:color="000000"/>
              <w:bottom w:val="single" w:sz="4" w:space="0" w:color="000000"/>
              <w:right w:val="single" w:sz="4" w:space="0" w:color="000000"/>
            </w:tcBorders>
            <w:vAlign w:val="center"/>
          </w:tcPr>
          <w:p w14:paraId="7D691E2C" w14:textId="77777777" w:rsidR="002415E7" w:rsidRPr="00D92AD6" w:rsidRDefault="002415E7" w:rsidP="002415E7">
            <w:pPr>
              <w:pStyle w:val="ListParagraph"/>
              <w:spacing w:before="60" w:after="60"/>
              <w:ind w:left="0"/>
              <w:rPr>
                <w:rFonts w:ascii="Arial" w:hAnsi="Arial" w:cs="Arial"/>
                <w:noProof/>
                <w:sz w:val="18"/>
                <w:szCs w:val="18"/>
              </w:rPr>
            </w:pPr>
            <w:r w:rsidRPr="008A784F">
              <w:rPr>
                <w:rFonts w:ascii="Arial" w:hAnsi="Arial" w:cs="Arial"/>
                <w:color w:val="000000"/>
                <w:sz w:val="18"/>
                <w:szCs w:val="18"/>
                <w:lang w:val="es-ES"/>
              </w:rPr>
              <w:t xml:space="preserve">Proyectos de Prestación de Servicio </w:t>
            </w:r>
            <w:r>
              <w:rPr>
                <w:rFonts w:ascii="Arial" w:hAnsi="Arial" w:cs="Arial"/>
                <w:color w:val="000000"/>
                <w:sz w:val="18"/>
                <w:szCs w:val="18"/>
                <w:lang w:val="es-ES"/>
              </w:rPr>
              <w:t>(PPS)</w:t>
            </w:r>
            <w:r w:rsidRPr="008A784F">
              <w:rPr>
                <w:rFonts w:ascii="Arial" w:hAnsi="Arial" w:cs="Arial"/>
                <w:color w:val="000000"/>
                <w:sz w:val="18"/>
                <w:szCs w:val="18"/>
                <w:lang w:val="es-ES"/>
              </w:rPr>
              <w:t xml:space="preserve"> </w:t>
            </w:r>
            <w:r>
              <w:rPr>
                <w:rFonts w:ascii="Arial" w:hAnsi="Arial" w:cs="Arial"/>
                <w:color w:val="000000"/>
                <w:sz w:val="18"/>
                <w:szCs w:val="18"/>
                <w:lang w:val="es-ES"/>
              </w:rPr>
              <w:t xml:space="preserve">registrados </w:t>
            </w:r>
            <w:r w:rsidRPr="008A784F">
              <w:rPr>
                <w:rFonts w:ascii="Arial" w:hAnsi="Arial" w:cs="Arial"/>
                <w:color w:val="000000"/>
                <w:sz w:val="18"/>
                <w:szCs w:val="18"/>
                <w:lang w:val="es-ES"/>
              </w:rPr>
              <w:t>en el RPU</w:t>
            </w:r>
            <w:r>
              <w:rPr>
                <w:rFonts w:ascii="Arial" w:hAnsi="Arial" w:cs="Arial"/>
                <w:color w:val="000000"/>
                <w:sz w:val="18"/>
                <w:szCs w:val="18"/>
                <w:lang w:val="es-ES"/>
              </w:rPr>
              <w:t>.</w:t>
            </w:r>
          </w:p>
        </w:tc>
        <w:tc>
          <w:tcPr>
            <w:tcW w:w="1530" w:type="dxa"/>
            <w:gridSpan w:val="2"/>
            <w:tcBorders>
              <w:top w:val="single" w:sz="4" w:space="0" w:color="000000"/>
              <w:left w:val="single" w:sz="4" w:space="0" w:color="000000"/>
              <w:bottom w:val="single" w:sz="4" w:space="0" w:color="000000"/>
              <w:right w:val="single" w:sz="4" w:space="0" w:color="000000"/>
            </w:tcBorders>
            <w:vAlign w:val="center"/>
          </w:tcPr>
          <w:p w14:paraId="44B76C47" w14:textId="77777777" w:rsidR="002415E7" w:rsidRPr="00D92AD6" w:rsidRDefault="002415E7" w:rsidP="002415E7">
            <w:pPr>
              <w:spacing w:before="60" w:after="60"/>
              <w:jc w:val="center"/>
              <w:rPr>
                <w:rFonts w:ascii="Arial" w:hAnsi="Arial" w:cs="Arial"/>
                <w:noProof/>
                <w:sz w:val="18"/>
                <w:szCs w:val="18"/>
                <w:lang w:eastAsia="zh-CN"/>
              </w:rPr>
            </w:pPr>
            <w:r>
              <w:rPr>
                <w:rFonts w:ascii="Arial" w:hAnsi="Arial" w:cs="Arial"/>
                <w:noProof/>
                <w:sz w:val="18"/>
                <w:szCs w:val="18"/>
                <w:lang w:eastAsia="zh-CN"/>
              </w:rPr>
              <w:t>PPS</w:t>
            </w:r>
          </w:p>
        </w:tc>
        <w:tc>
          <w:tcPr>
            <w:tcW w:w="818" w:type="dxa"/>
            <w:tcBorders>
              <w:top w:val="single" w:sz="4" w:space="0" w:color="000000"/>
              <w:left w:val="single" w:sz="4" w:space="0" w:color="000000"/>
              <w:bottom w:val="single" w:sz="4" w:space="0" w:color="000000"/>
              <w:right w:val="single" w:sz="4" w:space="0" w:color="000000"/>
            </w:tcBorders>
            <w:vAlign w:val="center"/>
          </w:tcPr>
          <w:p w14:paraId="4BC1C805" w14:textId="77777777" w:rsidR="002415E7" w:rsidRPr="00D92AD6" w:rsidRDefault="002415E7" w:rsidP="002415E7">
            <w:pPr>
              <w:spacing w:before="60" w:after="60"/>
              <w:jc w:val="center"/>
              <w:rPr>
                <w:rFonts w:ascii="Arial" w:hAnsi="Arial" w:cs="Arial"/>
                <w:noProof/>
                <w:sz w:val="18"/>
                <w:szCs w:val="18"/>
              </w:rPr>
            </w:pPr>
            <w:r>
              <w:rPr>
                <w:rFonts w:ascii="Arial" w:hAnsi="Arial" w:cs="Arial"/>
                <w:noProof/>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42334B1" w14:textId="77777777" w:rsidR="002415E7" w:rsidRPr="00D92AD6" w:rsidRDefault="002415E7" w:rsidP="002415E7">
            <w:pPr>
              <w:spacing w:before="60" w:after="60"/>
              <w:jc w:val="center"/>
              <w:rPr>
                <w:rFonts w:ascii="Arial" w:hAnsi="Arial" w:cs="Arial"/>
                <w:noProof/>
                <w:sz w:val="18"/>
                <w:szCs w:val="18"/>
              </w:rPr>
            </w:pPr>
            <w:r w:rsidRPr="008D7C0E">
              <w:rPr>
                <w:rFonts w:ascii="Arial" w:hAnsi="Arial" w:cs="Arial"/>
                <w:noProof/>
                <w:sz w:val="18"/>
                <w:szCs w:val="18"/>
              </w:rPr>
              <w:t>2015</w:t>
            </w:r>
          </w:p>
        </w:tc>
        <w:tc>
          <w:tcPr>
            <w:tcW w:w="773" w:type="dxa"/>
            <w:tcBorders>
              <w:top w:val="single" w:sz="4" w:space="0" w:color="000000"/>
              <w:left w:val="single" w:sz="4" w:space="0" w:color="000000"/>
              <w:bottom w:val="single" w:sz="4" w:space="0" w:color="000000"/>
              <w:right w:val="single" w:sz="4" w:space="0" w:color="000000"/>
            </w:tcBorders>
            <w:vAlign w:val="center"/>
          </w:tcPr>
          <w:p w14:paraId="35A95214" w14:textId="77777777" w:rsidR="002415E7" w:rsidRPr="00D92AD6" w:rsidRDefault="002415E7" w:rsidP="002415E7">
            <w:pPr>
              <w:spacing w:before="60" w:after="60"/>
              <w:jc w:val="center"/>
              <w:rPr>
                <w:rFonts w:ascii="Arial" w:hAnsi="Arial" w:cs="Arial"/>
                <w:noProof/>
                <w:sz w:val="18"/>
                <w:szCs w:val="18"/>
              </w:rPr>
            </w:pPr>
            <w:r w:rsidRPr="008D7C0E">
              <w:rPr>
                <w:rFonts w:ascii="Arial" w:hAnsi="Arial" w:cs="Arial"/>
                <w:noProof/>
                <w:sz w:val="18"/>
                <w:szCs w:val="18"/>
              </w:rPr>
              <w:t>15</w:t>
            </w:r>
          </w:p>
        </w:tc>
        <w:tc>
          <w:tcPr>
            <w:tcW w:w="1211" w:type="dxa"/>
            <w:tcBorders>
              <w:top w:val="single" w:sz="4" w:space="0" w:color="000000"/>
              <w:left w:val="single" w:sz="4" w:space="0" w:color="000000"/>
              <w:bottom w:val="single" w:sz="4" w:space="0" w:color="000000"/>
              <w:right w:val="single" w:sz="4" w:space="0" w:color="000000"/>
            </w:tcBorders>
            <w:vAlign w:val="center"/>
          </w:tcPr>
          <w:p w14:paraId="3BBE92B2" w14:textId="77777777" w:rsidR="002415E7" w:rsidRPr="00D92AD6" w:rsidRDefault="002415E7" w:rsidP="002415E7">
            <w:pPr>
              <w:spacing w:before="60" w:after="60"/>
              <w:jc w:val="center"/>
              <w:rPr>
                <w:rFonts w:ascii="Arial" w:hAnsi="Arial" w:cs="Arial"/>
                <w:noProof/>
                <w:sz w:val="18"/>
                <w:szCs w:val="18"/>
              </w:rPr>
            </w:pPr>
            <w:r>
              <w:rPr>
                <w:rFonts w:ascii="Arial" w:hAnsi="Arial" w:cs="Arial"/>
                <w:noProof/>
                <w:sz w:val="18"/>
                <w:szCs w:val="18"/>
              </w:rPr>
              <w:t>3</w:t>
            </w:r>
            <w:r w:rsidRPr="008D7C0E">
              <w:rPr>
                <w:rFonts w:ascii="Arial" w:hAnsi="Arial" w:cs="Arial"/>
                <w:noProof/>
                <w:sz w:val="18"/>
                <w:szCs w:val="18"/>
              </w:rPr>
              <w:t>5</w:t>
            </w:r>
          </w:p>
        </w:tc>
        <w:tc>
          <w:tcPr>
            <w:tcW w:w="2184" w:type="dxa"/>
            <w:tcBorders>
              <w:top w:val="single" w:sz="4" w:space="0" w:color="000000"/>
              <w:left w:val="single" w:sz="4" w:space="0" w:color="000000"/>
              <w:bottom w:val="single" w:sz="4" w:space="0" w:color="000000"/>
              <w:right w:val="single" w:sz="4" w:space="0" w:color="000000"/>
            </w:tcBorders>
            <w:vAlign w:val="center"/>
          </w:tcPr>
          <w:p w14:paraId="190E90CE" w14:textId="2E1903FB" w:rsidR="002415E7" w:rsidRPr="00D92AD6" w:rsidRDefault="002415E7" w:rsidP="002415E7">
            <w:pPr>
              <w:spacing w:before="60" w:after="60"/>
              <w:rPr>
                <w:rFonts w:ascii="Arial" w:hAnsi="Arial" w:cs="Arial"/>
                <w:noProof/>
                <w:color w:val="000000"/>
                <w:sz w:val="18"/>
                <w:szCs w:val="18"/>
              </w:rPr>
            </w:pPr>
            <w:r w:rsidRPr="008D7C0E">
              <w:rPr>
                <w:rFonts w:ascii="Arial" w:hAnsi="Arial" w:cs="Arial"/>
                <w:noProof/>
                <w:sz w:val="18"/>
                <w:szCs w:val="18"/>
              </w:rPr>
              <w:t>RPU</w:t>
            </w:r>
            <w:r w:rsidR="00903AE2">
              <w:rPr>
                <w:rFonts w:ascii="Arial" w:hAnsi="Arial" w:cs="Arial"/>
                <w:noProof/>
                <w:sz w:val="18"/>
                <w:szCs w:val="18"/>
              </w:rPr>
              <w:t>.</w:t>
            </w:r>
          </w:p>
        </w:tc>
        <w:tc>
          <w:tcPr>
            <w:tcW w:w="3371" w:type="dxa"/>
            <w:tcBorders>
              <w:top w:val="single" w:sz="4" w:space="0" w:color="000000"/>
              <w:left w:val="single" w:sz="4" w:space="0" w:color="000000"/>
              <w:bottom w:val="single" w:sz="4" w:space="0" w:color="000000"/>
              <w:right w:val="single" w:sz="4" w:space="0" w:color="000000"/>
            </w:tcBorders>
            <w:vAlign w:val="center"/>
          </w:tcPr>
          <w:p w14:paraId="5ED5F604" w14:textId="77777777" w:rsidR="002415E7" w:rsidRPr="00D92AD6" w:rsidRDefault="002415E7" w:rsidP="002415E7">
            <w:pPr>
              <w:spacing w:before="60" w:after="60"/>
              <w:rPr>
                <w:rFonts w:ascii="Arial" w:hAnsi="Arial" w:cs="Arial"/>
                <w:noProof/>
                <w:color w:val="000000"/>
                <w:sz w:val="18"/>
                <w:szCs w:val="18"/>
              </w:rPr>
            </w:pPr>
            <w:r w:rsidRPr="00D92AD6">
              <w:rPr>
                <w:rFonts w:ascii="Arial" w:hAnsi="Arial" w:cs="Arial"/>
                <w:noProof/>
                <w:color w:val="000000"/>
                <w:sz w:val="18"/>
                <w:szCs w:val="18"/>
              </w:rPr>
              <w:t>Línea de base y metas a diciembre de cada año.</w:t>
            </w:r>
            <w:r>
              <w:rPr>
                <w:rFonts w:ascii="Arial" w:hAnsi="Arial" w:cs="Arial"/>
                <w:noProof/>
                <w:color w:val="000000"/>
                <w:sz w:val="18"/>
                <w:szCs w:val="18"/>
              </w:rPr>
              <w:t xml:space="preserve"> Indicador es acumulativo.</w:t>
            </w:r>
          </w:p>
        </w:tc>
      </w:tr>
      <w:tr w:rsidR="0003297B" w:rsidRPr="005542A4" w14:paraId="02C3F8F2" w14:textId="77777777" w:rsidTr="00903AE2">
        <w:trPr>
          <w:trHeight w:val="242"/>
        </w:trPr>
        <w:tc>
          <w:tcPr>
            <w:tcW w:w="2369" w:type="dxa"/>
            <w:gridSpan w:val="2"/>
            <w:tcBorders>
              <w:top w:val="single" w:sz="4" w:space="0" w:color="000000"/>
              <w:left w:val="single" w:sz="4" w:space="0" w:color="000000"/>
              <w:bottom w:val="single" w:sz="4" w:space="0" w:color="000000"/>
              <w:right w:val="single" w:sz="4" w:space="0" w:color="000000"/>
            </w:tcBorders>
            <w:vAlign w:val="center"/>
          </w:tcPr>
          <w:p w14:paraId="5E506F86" w14:textId="619A48F8" w:rsidR="0003297B" w:rsidRPr="00D92AD6" w:rsidRDefault="0069088B" w:rsidP="0003297B">
            <w:pPr>
              <w:pStyle w:val="ListParagraph"/>
              <w:spacing w:before="60" w:after="60"/>
              <w:ind w:left="0"/>
              <w:rPr>
                <w:rFonts w:ascii="Arial" w:hAnsi="Arial" w:cs="Arial"/>
                <w:noProof/>
                <w:sz w:val="20"/>
                <w:lang w:eastAsia="zh-CN"/>
              </w:rPr>
            </w:pPr>
            <w:r>
              <w:rPr>
                <w:rFonts w:ascii="Arial" w:hAnsi="Arial" w:cs="Arial"/>
                <w:color w:val="000000"/>
                <w:sz w:val="18"/>
                <w:szCs w:val="18"/>
                <w:lang w:val="es-ES"/>
              </w:rPr>
              <w:t>M</w:t>
            </w:r>
            <w:r w:rsidRPr="00BF3BBF">
              <w:rPr>
                <w:rFonts w:ascii="Arial" w:hAnsi="Arial" w:cs="Arial"/>
                <w:color w:val="000000"/>
                <w:sz w:val="18"/>
                <w:szCs w:val="18"/>
                <w:lang w:val="es-ES"/>
              </w:rPr>
              <w:t xml:space="preserve">etodología para el cálculo de los indicadores de desempeño fiscal incluidos en el </w:t>
            </w:r>
            <w:proofErr w:type="spellStart"/>
            <w:r w:rsidRPr="00BF3BBF">
              <w:rPr>
                <w:rFonts w:ascii="Arial" w:hAnsi="Arial" w:cs="Arial"/>
                <w:color w:val="000000"/>
                <w:sz w:val="18"/>
                <w:szCs w:val="18"/>
                <w:lang w:val="es-ES"/>
              </w:rPr>
              <w:t>SdA</w:t>
            </w:r>
            <w:proofErr w:type="spellEnd"/>
            <w:r w:rsidRPr="00BF3BBF">
              <w:rPr>
                <w:rFonts w:ascii="Arial" w:hAnsi="Arial" w:cs="Arial"/>
                <w:color w:val="000000"/>
                <w:sz w:val="18"/>
                <w:szCs w:val="18"/>
                <w:lang w:val="es-ES"/>
              </w:rPr>
              <w:t xml:space="preserve"> para las </w:t>
            </w:r>
            <w:proofErr w:type="spellStart"/>
            <w:r w:rsidRPr="00BF3BBF">
              <w:rPr>
                <w:rFonts w:ascii="Arial" w:hAnsi="Arial" w:cs="Arial"/>
                <w:color w:val="000000"/>
                <w:sz w:val="18"/>
                <w:szCs w:val="18"/>
                <w:lang w:val="es-ES"/>
              </w:rPr>
              <w:t>EyM</w:t>
            </w:r>
            <w:proofErr w:type="spellEnd"/>
            <w:r w:rsidRPr="00BF3BBF">
              <w:rPr>
                <w:rFonts w:ascii="Arial" w:hAnsi="Arial" w:cs="Arial"/>
                <w:color w:val="000000"/>
                <w:sz w:val="18"/>
                <w:szCs w:val="18"/>
                <w:lang w:val="es-ES"/>
              </w:rPr>
              <w:t>,</w:t>
            </w:r>
            <w:r w:rsidRPr="00D92AD6">
              <w:rPr>
                <w:rFonts w:ascii="Arial" w:hAnsi="Arial" w:cs="Arial"/>
                <w:noProof/>
                <w:sz w:val="18"/>
                <w:szCs w:val="18"/>
              </w:rPr>
              <w:t xml:space="preserve"> desarrollada</w:t>
            </w:r>
            <w:r>
              <w:rPr>
                <w:rFonts w:ascii="Arial" w:hAnsi="Arial" w:cs="Arial"/>
                <w:noProof/>
                <w:sz w:val="18"/>
                <w:szCs w:val="18"/>
              </w:rPr>
              <w:t>.</w:t>
            </w:r>
          </w:p>
        </w:tc>
        <w:tc>
          <w:tcPr>
            <w:tcW w:w="1175" w:type="dxa"/>
            <w:tcBorders>
              <w:top w:val="single" w:sz="4" w:space="0" w:color="000000"/>
              <w:left w:val="single" w:sz="4" w:space="0" w:color="000000"/>
              <w:bottom w:val="single" w:sz="4" w:space="0" w:color="000000"/>
              <w:right w:val="single" w:sz="4" w:space="0" w:color="000000"/>
            </w:tcBorders>
            <w:vAlign w:val="center"/>
          </w:tcPr>
          <w:p w14:paraId="4ED36110" w14:textId="76EE342C" w:rsidR="0003297B" w:rsidRPr="00D92AD6" w:rsidRDefault="0069088B" w:rsidP="0003297B">
            <w:pPr>
              <w:spacing w:before="60" w:after="60"/>
              <w:jc w:val="center"/>
              <w:rPr>
                <w:rFonts w:ascii="Arial" w:hAnsi="Arial" w:cs="Arial"/>
                <w:noProof/>
                <w:sz w:val="18"/>
                <w:szCs w:val="18"/>
                <w:lang w:eastAsia="zh-CN"/>
              </w:rPr>
            </w:pPr>
            <w:r>
              <w:rPr>
                <w:rFonts w:ascii="Arial" w:hAnsi="Arial" w:cs="Arial"/>
                <w:noProof/>
                <w:sz w:val="18"/>
                <w:szCs w:val="18"/>
                <w:lang w:eastAsia="zh-CN"/>
              </w:rPr>
              <w:t>Metodología</w:t>
            </w:r>
          </w:p>
        </w:tc>
        <w:tc>
          <w:tcPr>
            <w:tcW w:w="993" w:type="dxa"/>
            <w:tcBorders>
              <w:top w:val="single" w:sz="4" w:space="0" w:color="000000"/>
              <w:left w:val="single" w:sz="4" w:space="0" w:color="000000"/>
              <w:bottom w:val="single" w:sz="4" w:space="0" w:color="000000"/>
              <w:right w:val="single" w:sz="4" w:space="0" w:color="000000"/>
            </w:tcBorders>
            <w:vAlign w:val="center"/>
          </w:tcPr>
          <w:p w14:paraId="1E3F868B" w14:textId="77777777" w:rsidR="0003297B" w:rsidRPr="00D92AD6" w:rsidRDefault="0003297B" w:rsidP="0003297B">
            <w:pPr>
              <w:spacing w:before="60" w:after="60"/>
              <w:jc w:val="center"/>
              <w:rPr>
                <w:rFonts w:ascii="Arial" w:hAnsi="Arial" w:cs="Arial"/>
                <w:noProof/>
                <w:sz w:val="20"/>
                <w:lang w:eastAsia="zh-CN"/>
              </w:rPr>
            </w:pPr>
            <w:r w:rsidRPr="00D92AD6">
              <w:rPr>
                <w:rFonts w:ascii="Arial" w:hAnsi="Arial" w:cs="Arial"/>
                <w:noProof/>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6195346" w14:textId="2C230EF3" w:rsidR="0003297B" w:rsidRPr="00D92AD6" w:rsidRDefault="0003297B" w:rsidP="0003297B">
            <w:pPr>
              <w:spacing w:before="60" w:after="60"/>
              <w:jc w:val="center"/>
              <w:rPr>
                <w:rFonts w:ascii="Arial" w:hAnsi="Arial" w:cs="Arial"/>
                <w:noProof/>
                <w:sz w:val="18"/>
                <w:szCs w:val="18"/>
                <w:lang w:eastAsia="zh-CN"/>
              </w:rPr>
            </w:pPr>
            <w:r w:rsidRPr="00D92AD6">
              <w:rPr>
                <w:rFonts w:ascii="Arial" w:hAnsi="Arial" w:cs="Arial"/>
                <w:noProof/>
                <w:sz w:val="18"/>
                <w:szCs w:val="18"/>
              </w:rPr>
              <w:t>201</w:t>
            </w:r>
            <w:r>
              <w:rPr>
                <w:rFonts w:ascii="Arial" w:hAnsi="Arial" w:cs="Arial"/>
                <w:noProof/>
                <w:sz w:val="18"/>
                <w:szCs w:val="18"/>
              </w:rPr>
              <w:t>5</w:t>
            </w:r>
          </w:p>
        </w:tc>
        <w:tc>
          <w:tcPr>
            <w:tcW w:w="773" w:type="dxa"/>
            <w:tcBorders>
              <w:top w:val="single" w:sz="4" w:space="0" w:color="000000"/>
              <w:left w:val="single" w:sz="4" w:space="0" w:color="000000"/>
              <w:bottom w:val="single" w:sz="4" w:space="0" w:color="000000"/>
              <w:right w:val="single" w:sz="4" w:space="0" w:color="000000"/>
            </w:tcBorders>
            <w:vAlign w:val="center"/>
          </w:tcPr>
          <w:p w14:paraId="149C5091" w14:textId="77777777" w:rsidR="0003297B" w:rsidRPr="00D92AD6" w:rsidRDefault="0003297B" w:rsidP="0003297B">
            <w:pPr>
              <w:spacing w:before="60" w:after="60"/>
              <w:jc w:val="center"/>
              <w:rPr>
                <w:rFonts w:ascii="Arial" w:hAnsi="Arial" w:cs="Arial"/>
                <w:noProof/>
                <w:sz w:val="20"/>
                <w:lang w:eastAsia="zh-CN"/>
              </w:rPr>
            </w:pPr>
            <w:r>
              <w:rPr>
                <w:rFonts w:ascii="Arial" w:hAnsi="Arial" w:cs="Arial"/>
                <w:noProof/>
                <w:sz w:val="18"/>
                <w:szCs w:val="18"/>
              </w:rPr>
              <w:t>1</w:t>
            </w:r>
          </w:p>
        </w:tc>
        <w:tc>
          <w:tcPr>
            <w:tcW w:w="1211" w:type="dxa"/>
            <w:tcBorders>
              <w:top w:val="single" w:sz="4" w:space="0" w:color="000000"/>
              <w:left w:val="single" w:sz="4" w:space="0" w:color="000000"/>
              <w:bottom w:val="single" w:sz="4" w:space="0" w:color="000000"/>
              <w:right w:val="single" w:sz="4" w:space="0" w:color="000000"/>
            </w:tcBorders>
            <w:vAlign w:val="center"/>
          </w:tcPr>
          <w:p w14:paraId="4BCB7DA0" w14:textId="77777777" w:rsidR="0003297B" w:rsidRPr="00D92AD6" w:rsidRDefault="0003297B" w:rsidP="0003297B">
            <w:pPr>
              <w:spacing w:before="60" w:after="60"/>
              <w:jc w:val="center"/>
              <w:rPr>
                <w:rFonts w:ascii="Arial" w:hAnsi="Arial" w:cs="Arial"/>
                <w:noProof/>
                <w:sz w:val="20"/>
                <w:lang w:eastAsia="zh-CN"/>
              </w:rPr>
            </w:pPr>
            <w:r w:rsidRPr="00D92AD6">
              <w:rPr>
                <w:rFonts w:ascii="Arial" w:hAnsi="Arial" w:cs="Arial"/>
                <w:noProof/>
                <w:sz w:val="18"/>
                <w:szCs w:val="18"/>
              </w:rPr>
              <w:t>1</w:t>
            </w:r>
          </w:p>
        </w:tc>
        <w:tc>
          <w:tcPr>
            <w:tcW w:w="2184" w:type="dxa"/>
            <w:tcBorders>
              <w:top w:val="single" w:sz="4" w:space="0" w:color="000000"/>
              <w:left w:val="single" w:sz="4" w:space="0" w:color="000000"/>
              <w:bottom w:val="single" w:sz="4" w:space="0" w:color="000000"/>
              <w:right w:val="single" w:sz="4" w:space="0" w:color="000000"/>
            </w:tcBorders>
            <w:vAlign w:val="center"/>
          </w:tcPr>
          <w:p w14:paraId="589F50BE" w14:textId="77777777" w:rsidR="0003297B" w:rsidRPr="00D92AD6" w:rsidRDefault="0003297B" w:rsidP="0003297B">
            <w:pPr>
              <w:spacing w:before="60" w:after="60"/>
              <w:rPr>
                <w:rFonts w:ascii="Arial" w:hAnsi="Arial" w:cs="Arial"/>
                <w:noProof/>
                <w:sz w:val="20"/>
                <w:lang w:eastAsia="zh-CN"/>
              </w:rPr>
            </w:pPr>
            <w:r w:rsidRPr="00D92AD6">
              <w:rPr>
                <w:rFonts w:ascii="Arial" w:hAnsi="Arial" w:cs="Arial"/>
                <w:noProof/>
                <w:sz w:val="18"/>
                <w:szCs w:val="18"/>
              </w:rPr>
              <w:t>Publicación en el DOF.</w:t>
            </w:r>
          </w:p>
        </w:tc>
        <w:tc>
          <w:tcPr>
            <w:tcW w:w="3371" w:type="dxa"/>
            <w:tcBorders>
              <w:top w:val="single" w:sz="4" w:space="0" w:color="000000"/>
              <w:left w:val="single" w:sz="4" w:space="0" w:color="000000"/>
              <w:bottom w:val="single" w:sz="4" w:space="0" w:color="000000"/>
              <w:right w:val="single" w:sz="4" w:space="0" w:color="000000"/>
            </w:tcBorders>
            <w:vAlign w:val="center"/>
          </w:tcPr>
          <w:p w14:paraId="72E97F42" w14:textId="77777777" w:rsidR="0003297B" w:rsidRPr="00D92AD6" w:rsidRDefault="0003297B" w:rsidP="0003297B">
            <w:pPr>
              <w:spacing w:before="60" w:after="60"/>
              <w:rPr>
                <w:rFonts w:ascii="Arial" w:hAnsi="Arial" w:cs="Arial"/>
                <w:noProof/>
                <w:sz w:val="20"/>
                <w:lang w:eastAsia="zh-CN"/>
              </w:rPr>
            </w:pPr>
            <w:r w:rsidRPr="00D92AD6">
              <w:rPr>
                <w:rFonts w:ascii="Arial" w:hAnsi="Arial" w:cs="Arial"/>
                <w:noProof/>
                <w:color w:val="000000"/>
                <w:sz w:val="18"/>
                <w:szCs w:val="18"/>
              </w:rPr>
              <w:t>Línea de base y metas a diciembre de cada año.</w:t>
            </w:r>
          </w:p>
        </w:tc>
      </w:tr>
      <w:tr w:rsidR="0003297B" w:rsidRPr="005542A4" w14:paraId="5EFA02C9" w14:textId="77777777" w:rsidTr="00EC3409">
        <w:trPr>
          <w:trHeight w:val="242"/>
        </w:trPr>
        <w:tc>
          <w:tcPr>
            <w:tcW w:w="2369" w:type="dxa"/>
            <w:gridSpan w:val="2"/>
            <w:tcBorders>
              <w:top w:val="single" w:sz="4" w:space="0" w:color="000000"/>
              <w:left w:val="single" w:sz="4" w:space="0" w:color="000000"/>
              <w:bottom w:val="single" w:sz="4" w:space="0" w:color="000000"/>
              <w:right w:val="single" w:sz="4" w:space="0" w:color="000000"/>
            </w:tcBorders>
            <w:vAlign w:val="center"/>
          </w:tcPr>
          <w:p w14:paraId="33321A08" w14:textId="2B547346" w:rsidR="0003297B" w:rsidRPr="00D92AD6" w:rsidRDefault="0069088B" w:rsidP="0003297B">
            <w:pPr>
              <w:pStyle w:val="ListParagraph"/>
              <w:spacing w:before="60" w:after="60"/>
              <w:ind w:left="0"/>
              <w:rPr>
                <w:rFonts w:ascii="Arial" w:hAnsi="Arial" w:cs="Arial"/>
                <w:noProof/>
                <w:sz w:val="20"/>
                <w:lang w:eastAsia="zh-CN"/>
              </w:rPr>
            </w:pPr>
            <w:r>
              <w:rPr>
                <w:rFonts w:ascii="Arial" w:hAnsi="Arial" w:cs="Arial"/>
                <w:color w:val="000000"/>
                <w:sz w:val="18"/>
                <w:szCs w:val="18"/>
                <w:lang w:val="es-ES"/>
              </w:rPr>
              <w:t xml:space="preserve">Evaluaciones vinculantes del </w:t>
            </w:r>
            <w:proofErr w:type="spellStart"/>
            <w:r>
              <w:rPr>
                <w:rFonts w:ascii="Arial" w:hAnsi="Arial" w:cs="Arial"/>
                <w:color w:val="000000"/>
                <w:sz w:val="18"/>
                <w:szCs w:val="18"/>
                <w:lang w:val="es-ES"/>
              </w:rPr>
              <w:t>SdA</w:t>
            </w:r>
            <w:proofErr w:type="spellEnd"/>
            <w:r w:rsidR="0003297B">
              <w:rPr>
                <w:rFonts w:ascii="Arial" w:hAnsi="Arial" w:cs="Arial"/>
                <w:noProof/>
                <w:sz w:val="18"/>
                <w:szCs w:val="18"/>
              </w:rPr>
              <w:t xml:space="preserve"> para </w:t>
            </w:r>
            <w:r w:rsidRPr="00BF3BBF">
              <w:rPr>
                <w:rFonts w:ascii="Arial" w:hAnsi="Arial" w:cs="Arial"/>
                <w:color w:val="000000"/>
                <w:sz w:val="18"/>
                <w:szCs w:val="18"/>
                <w:lang w:val="es-ES"/>
              </w:rPr>
              <w:t xml:space="preserve">las </w:t>
            </w:r>
            <w:r w:rsidR="0003297B">
              <w:rPr>
                <w:rFonts w:ascii="Arial" w:hAnsi="Arial" w:cs="Arial"/>
                <w:noProof/>
                <w:sz w:val="18"/>
                <w:szCs w:val="18"/>
              </w:rPr>
              <w:t>EyM</w:t>
            </w:r>
            <w:r w:rsidR="00CD2018">
              <w:rPr>
                <w:rFonts w:ascii="Arial" w:hAnsi="Arial" w:cs="Arial"/>
                <w:noProof/>
                <w:sz w:val="18"/>
                <w:szCs w:val="18"/>
              </w:rPr>
              <w:t>.</w:t>
            </w:r>
          </w:p>
        </w:tc>
        <w:tc>
          <w:tcPr>
            <w:tcW w:w="1175" w:type="dxa"/>
            <w:tcBorders>
              <w:top w:val="single" w:sz="4" w:space="0" w:color="000000"/>
              <w:left w:val="single" w:sz="4" w:space="0" w:color="000000"/>
              <w:bottom w:val="single" w:sz="4" w:space="0" w:color="000000"/>
              <w:right w:val="single" w:sz="4" w:space="0" w:color="000000"/>
            </w:tcBorders>
            <w:vAlign w:val="center"/>
          </w:tcPr>
          <w:p w14:paraId="241D6EA4" w14:textId="61D6FE7F" w:rsidR="0003297B" w:rsidRPr="00D92AD6" w:rsidRDefault="0069088B" w:rsidP="0003297B">
            <w:pPr>
              <w:spacing w:before="60" w:after="60"/>
              <w:jc w:val="center"/>
              <w:rPr>
                <w:rFonts w:ascii="Arial" w:hAnsi="Arial" w:cs="Arial"/>
                <w:noProof/>
                <w:sz w:val="18"/>
                <w:szCs w:val="18"/>
                <w:lang w:eastAsia="zh-CN"/>
              </w:rPr>
            </w:pPr>
            <w:r>
              <w:rPr>
                <w:rFonts w:ascii="Arial" w:hAnsi="Arial" w:cs="Arial"/>
                <w:noProof/>
                <w:sz w:val="18"/>
                <w:szCs w:val="18"/>
                <w:lang w:eastAsia="zh-CN"/>
              </w:rPr>
              <w:t>Evaluación</w:t>
            </w:r>
          </w:p>
        </w:tc>
        <w:tc>
          <w:tcPr>
            <w:tcW w:w="993" w:type="dxa"/>
            <w:tcBorders>
              <w:top w:val="single" w:sz="4" w:space="0" w:color="000000"/>
              <w:left w:val="single" w:sz="4" w:space="0" w:color="000000"/>
              <w:bottom w:val="single" w:sz="4" w:space="0" w:color="000000"/>
              <w:right w:val="single" w:sz="4" w:space="0" w:color="000000"/>
            </w:tcBorders>
            <w:vAlign w:val="center"/>
          </w:tcPr>
          <w:p w14:paraId="182A49DF" w14:textId="77777777" w:rsidR="0003297B" w:rsidRPr="00D92AD6" w:rsidRDefault="0003297B" w:rsidP="0003297B">
            <w:pPr>
              <w:spacing w:before="60" w:after="60"/>
              <w:jc w:val="center"/>
              <w:rPr>
                <w:rFonts w:ascii="Arial" w:hAnsi="Arial" w:cs="Arial"/>
                <w:noProof/>
                <w:sz w:val="20"/>
                <w:lang w:eastAsia="zh-CN"/>
              </w:rPr>
            </w:pPr>
            <w:r w:rsidRPr="00D92AD6">
              <w:rPr>
                <w:rFonts w:ascii="Arial" w:hAnsi="Arial" w:cs="Arial"/>
                <w:noProof/>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9609DA5" w14:textId="58015060" w:rsidR="0003297B" w:rsidRPr="00D92AD6" w:rsidRDefault="0003297B" w:rsidP="0003297B">
            <w:pPr>
              <w:spacing w:before="60" w:after="60"/>
              <w:jc w:val="center"/>
              <w:rPr>
                <w:rFonts w:ascii="Arial" w:hAnsi="Arial" w:cs="Arial"/>
                <w:noProof/>
                <w:sz w:val="18"/>
                <w:szCs w:val="18"/>
                <w:lang w:eastAsia="zh-CN"/>
              </w:rPr>
            </w:pPr>
            <w:r w:rsidRPr="00D92AD6">
              <w:rPr>
                <w:rFonts w:ascii="Arial" w:hAnsi="Arial" w:cs="Arial"/>
                <w:noProof/>
                <w:sz w:val="18"/>
                <w:szCs w:val="18"/>
              </w:rPr>
              <w:t>201</w:t>
            </w:r>
            <w:r>
              <w:rPr>
                <w:rFonts w:ascii="Arial" w:hAnsi="Arial" w:cs="Arial"/>
                <w:noProof/>
                <w:sz w:val="18"/>
                <w:szCs w:val="18"/>
              </w:rPr>
              <w:t>5</w:t>
            </w:r>
          </w:p>
        </w:tc>
        <w:tc>
          <w:tcPr>
            <w:tcW w:w="773" w:type="dxa"/>
            <w:tcBorders>
              <w:top w:val="single" w:sz="4" w:space="0" w:color="000000"/>
              <w:left w:val="single" w:sz="4" w:space="0" w:color="000000"/>
              <w:bottom w:val="single" w:sz="4" w:space="0" w:color="000000"/>
              <w:right w:val="single" w:sz="4" w:space="0" w:color="000000"/>
            </w:tcBorders>
            <w:vAlign w:val="center"/>
          </w:tcPr>
          <w:p w14:paraId="7A8C8E2B" w14:textId="0FEE4593" w:rsidR="0003297B" w:rsidRPr="00D92AD6" w:rsidRDefault="0069088B" w:rsidP="0003297B">
            <w:pPr>
              <w:spacing w:before="60" w:after="60"/>
              <w:jc w:val="center"/>
              <w:rPr>
                <w:rFonts w:ascii="Arial" w:hAnsi="Arial" w:cs="Arial"/>
                <w:noProof/>
                <w:sz w:val="20"/>
                <w:lang w:eastAsia="zh-CN"/>
              </w:rPr>
            </w:pPr>
            <w:r>
              <w:rPr>
                <w:rFonts w:ascii="Arial" w:hAnsi="Arial" w:cs="Arial"/>
                <w:noProof/>
                <w:sz w:val="18"/>
                <w:szCs w:val="18"/>
              </w:rPr>
              <w:t>1</w:t>
            </w:r>
          </w:p>
        </w:tc>
        <w:tc>
          <w:tcPr>
            <w:tcW w:w="1211" w:type="dxa"/>
            <w:tcBorders>
              <w:top w:val="single" w:sz="4" w:space="0" w:color="000000"/>
              <w:left w:val="single" w:sz="4" w:space="0" w:color="000000"/>
              <w:bottom w:val="single" w:sz="4" w:space="0" w:color="000000"/>
              <w:right w:val="single" w:sz="4" w:space="0" w:color="000000"/>
            </w:tcBorders>
            <w:vAlign w:val="center"/>
          </w:tcPr>
          <w:p w14:paraId="7D36EF8B" w14:textId="42EFE069" w:rsidR="0003297B" w:rsidRPr="00254E21" w:rsidRDefault="0069088B" w:rsidP="0003297B">
            <w:pPr>
              <w:spacing w:before="60" w:after="60"/>
              <w:jc w:val="center"/>
              <w:rPr>
                <w:rFonts w:ascii="Arial" w:hAnsi="Arial" w:cs="Arial"/>
                <w:noProof/>
                <w:sz w:val="18"/>
                <w:szCs w:val="18"/>
              </w:rPr>
            </w:pPr>
            <w:r>
              <w:rPr>
                <w:rFonts w:ascii="Arial" w:hAnsi="Arial" w:cs="Arial"/>
                <w:noProof/>
                <w:sz w:val="18"/>
                <w:szCs w:val="18"/>
              </w:rPr>
              <w:t>5</w:t>
            </w:r>
          </w:p>
        </w:tc>
        <w:tc>
          <w:tcPr>
            <w:tcW w:w="2184" w:type="dxa"/>
            <w:tcBorders>
              <w:top w:val="single" w:sz="4" w:space="0" w:color="000000"/>
              <w:left w:val="single" w:sz="4" w:space="0" w:color="000000"/>
              <w:bottom w:val="single" w:sz="4" w:space="0" w:color="000000"/>
              <w:right w:val="single" w:sz="4" w:space="0" w:color="000000"/>
            </w:tcBorders>
            <w:vAlign w:val="center"/>
          </w:tcPr>
          <w:p w14:paraId="3F90A54D" w14:textId="3EA3D133" w:rsidR="0003297B" w:rsidRPr="00D92AD6" w:rsidRDefault="0003297B" w:rsidP="0003297B">
            <w:pPr>
              <w:spacing w:before="60" w:after="60"/>
              <w:rPr>
                <w:rFonts w:ascii="Arial" w:hAnsi="Arial" w:cs="Arial"/>
                <w:noProof/>
                <w:sz w:val="20"/>
                <w:lang w:eastAsia="zh-CN"/>
              </w:rPr>
            </w:pPr>
            <w:r w:rsidRPr="00D92AD6">
              <w:rPr>
                <w:rFonts w:ascii="Arial" w:hAnsi="Arial" w:cs="Arial"/>
                <w:noProof/>
                <w:sz w:val="18"/>
                <w:szCs w:val="18"/>
              </w:rPr>
              <w:t>P</w:t>
            </w:r>
            <w:r w:rsidR="00903AE2">
              <w:rPr>
                <w:rFonts w:ascii="Arial" w:hAnsi="Arial" w:cs="Arial"/>
                <w:noProof/>
                <w:sz w:val="18"/>
                <w:szCs w:val="18"/>
              </w:rPr>
              <w:t xml:space="preserve">ublicación </w:t>
            </w:r>
            <w:r w:rsidR="00CD2018">
              <w:rPr>
                <w:rFonts w:ascii="Arial" w:hAnsi="Arial" w:cs="Arial"/>
                <w:color w:val="000000"/>
                <w:sz w:val="18"/>
                <w:szCs w:val="18"/>
                <w:lang w:val="es-ES"/>
              </w:rPr>
              <w:t>en la página</w:t>
            </w:r>
            <w:r w:rsidRPr="00D92AD6">
              <w:rPr>
                <w:rFonts w:ascii="Arial" w:hAnsi="Arial" w:cs="Arial"/>
                <w:noProof/>
                <w:sz w:val="18"/>
                <w:szCs w:val="18"/>
              </w:rPr>
              <w:t xml:space="preserve"> de </w:t>
            </w:r>
            <w:r w:rsidR="00CD2018">
              <w:rPr>
                <w:rFonts w:ascii="Arial" w:hAnsi="Arial" w:cs="Arial"/>
                <w:color w:val="000000"/>
                <w:sz w:val="18"/>
                <w:szCs w:val="18"/>
                <w:lang w:val="es-ES"/>
              </w:rPr>
              <w:t xml:space="preserve">Disciplina Financiera de </w:t>
            </w:r>
            <w:proofErr w:type="spellStart"/>
            <w:r w:rsidR="00CD2018">
              <w:rPr>
                <w:rFonts w:ascii="Arial" w:hAnsi="Arial" w:cs="Arial"/>
                <w:color w:val="000000"/>
                <w:sz w:val="18"/>
                <w:szCs w:val="18"/>
                <w:lang w:val="es-ES"/>
              </w:rPr>
              <w:t>EyM</w:t>
            </w:r>
            <w:proofErr w:type="spellEnd"/>
            <w:r w:rsidRPr="00D92AD6">
              <w:rPr>
                <w:rFonts w:ascii="Arial" w:hAnsi="Arial" w:cs="Arial"/>
                <w:noProof/>
                <w:sz w:val="18"/>
                <w:szCs w:val="18"/>
              </w:rPr>
              <w:t xml:space="preserve"> de la SHCP.</w:t>
            </w:r>
          </w:p>
        </w:tc>
        <w:tc>
          <w:tcPr>
            <w:tcW w:w="3371" w:type="dxa"/>
            <w:tcBorders>
              <w:top w:val="single" w:sz="4" w:space="0" w:color="000000"/>
              <w:left w:val="single" w:sz="4" w:space="0" w:color="000000"/>
              <w:bottom w:val="single" w:sz="4" w:space="0" w:color="000000"/>
              <w:right w:val="single" w:sz="4" w:space="0" w:color="000000"/>
            </w:tcBorders>
          </w:tcPr>
          <w:p w14:paraId="2B2253EA" w14:textId="207C4C6A" w:rsidR="0003297B" w:rsidRPr="00D92AD6" w:rsidRDefault="0003297B" w:rsidP="0003297B">
            <w:pPr>
              <w:spacing w:before="60" w:after="60"/>
              <w:rPr>
                <w:rFonts w:ascii="Arial" w:hAnsi="Arial" w:cs="Arial"/>
                <w:noProof/>
                <w:sz w:val="20"/>
                <w:lang w:eastAsia="zh-CN"/>
              </w:rPr>
            </w:pPr>
            <w:r w:rsidRPr="00D92AD6">
              <w:rPr>
                <w:rFonts w:ascii="Arial" w:hAnsi="Arial" w:cs="Arial"/>
                <w:noProof/>
                <w:color w:val="000000"/>
                <w:sz w:val="18"/>
                <w:szCs w:val="18"/>
              </w:rPr>
              <w:t>Línea de base y metas a diciembre de cada año.</w:t>
            </w:r>
            <w:r>
              <w:rPr>
                <w:rFonts w:ascii="Arial" w:hAnsi="Arial" w:cs="Arial"/>
                <w:noProof/>
                <w:color w:val="000000"/>
                <w:sz w:val="18"/>
                <w:szCs w:val="18"/>
              </w:rPr>
              <w:t xml:space="preserve"> </w:t>
            </w:r>
            <w:r w:rsidR="0069088B">
              <w:rPr>
                <w:rFonts w:ascii="Arial" w:hAnsi="Arial" w:cs="Arial"/>
                <w:noProof/>
                <w:color w:val="000000"/>
                <w:sz w:val="18"/>
                <w:szCs w:val="18"/>
              </w:rPr>
              <w:t>Las evaluaciones</w:t>
            </w:r>
            <w:r>
              <w:rPr>
                <w:rFonts w:ascii="Arial" w:hAnsi="Arial" w:cs="Arial"/>
                <w:noProof/>
                <w:color w:val="000000"/>
                <w:sz w:val="18"/>
                <w:szCs w:val="18"/>
              </w:rPr>
              <w:t xml:space="preserve"> se </w:t>
            </w:r>
            <w:r w:rsidR="0069088B">
              <w:rPr>
                <w:rFonts w:ascii="Arial" w:hAnsi="Arial" w:cs="Arial"/>
                <w:noProof/>
                <w:color w:val="000000"/>
                <w:sz w:val="18"/>
                <w:szCs w:val="18"/>
              </w:rPr>
              <w:t xml:space="preserve">aplicarán a aquellas EyM </w:t>
            </w:r>
            <w:r w:rsidR="0069088B" w:rsidRPr="00BF3BBF">
              <w:rPr>
                <w:rFonts w:ascii="Arial" w:hAnsi="Arial" w:cs="Arial"/>
                <w:color w:val="000000"/>
                <w:sz w:val="18"/>
                <w:szCs w:val="18"/>
                <w:lang w:val="es-ES"/>
              </w:rPr>
              <w:t>que tengan contratados financiamientos y obligaciones inscritos</w:t>
            </w:r>
            <w:r>
              <w:rPr>
                <w:rFonts w:ascii="Arial" w:hAnsi="Arial" w:cs="Arial"/>
                <w:noProof/>
                <w:color w:val="000000"/>
                <w:sz w:val="18"/>
                <w:szCs w:val="18"/>
              </w:rPr>
              <w:t xml:space="preserve"> en el </w:t>
            </w:r>
            <w:r w:rsidR="0069088B" w:rsidRPr="00BF3BBF">
              <w:rPr>
                <w:rFonts w:ascii="Arial" w:hAnsi="Arial" w:cs="Arial"/>
                <w:color w:val="000000"/>
                <w:sz w:val="18"/>
                <w:szCs w:val="18"/>
                <w:lang w:val="es-ES"/>
              </w:rPr>
              <w:t xml:space="preserve">RPU cuya </w:t>
            </w:r>
            <w:r w:rsidR="0069088B" w:rsidRPr="00BF3BBF">
              <w:rPr>
                <w:rFonts w:ascii="Arial" w:hAnsi="Arial" w:cs="Arial"/>
                <w:color w:val="000000"/>
                <w:sz w:val="18"/>
                <w:szCs w:val="18"/>
                <w:lang w:val="es-ES"/>
              </w:rPr>
              <w:lastRenderedPageBreak/>
              <w:t>fuente o garantía de pago sean ingresos</w:t>
            </w:r>
            <w:r>
              <w:rPr>
                <w:rFonts w:ascii="Arial" w:hAnsi="Arial" w:cs="Arial"/>
                <w:noProof/>
                <w:color w:val="000000"/>
                <w:sz w:val="18"/>
                <w:szCs w:val="18"/>
              </w:rPr>
              <w:t xml:space="preserve"> de </w:t>
            </w:r>
            <w:r w:rsidR="0069088B" w:rsidRPr="00BF3BBF">
              <w:rPr>
                <w:rFonts w:ascii="Arial" w:hAnsi="Arial" w:cs="Arial"/>
                <w:color w:val="000000"/>
                <w:sz w:val="18"/>
                <w:szCs w:val="18"/>
                <w:lang w:val="es-ES"/>
              </w:rPr>
              <w:t>libre disposición</w:t>
            </w:r>
            <w:r>
              <w:rPr>
                <w:rFonts w:ascii="Arial" w:hAnsi="Arial" w:cs="Arial"/>
                <w:noProof/>
                <w:color w:val="000000"/>
                <w:sz w:val="18"/>
                <w:szCs w:val="18"/>
              </w:rPr>
              <w:t>.</w:t>
            </w:r>
          </w:p>
        </w:tc>
      </w:tr>
      <w:tr w:rsidR="0069088B" w:rsidRPr="005542A4" w14:paraId="66EB577E" w14:textId="77777777" w:rsidTr="00903AE2">
        <w:trPr>
          <w:trHeight w:val="64"/>
        </w:trPr>
        <w:tc>
          <w:tcPr>
            <w:tcW w:w="2301" w:type="dxa"/>
            <w:gridSpan w:val="2"/>
            <w:tcBorders>
              <w:top w:val="single" w:sz="4" w:space="0" w:color="000000"/>
              <w:left w:val="single" w:sz="4" w:space="0" w:color="000000"/>
              <w:bottom w:val="single" w:sz="4" w:space="0" w:color="000000"/>
              <w:right w:val="single" w:sz="4" w:space="0" w:color="000000"/>
            </w:tcBorders>
            <w:vAlign w:val="center"/>
          </w:tcPr>
          <w:p w14:paraId="2D220416" w14:textId="77777777" w:rsidR="0069088B" w:rsidRPr="00D92AD6" w:rsidRDefault="0069088B" w:rsidP="0069088B">
            <w:pPr>
              <w:pStyle w:val="ListParagraph"/>
              <w:spacing w:before="60" w:after="60"/>
              <w:ind w:left="0"/>
              <w:rPr>
                <w:rFonts w:ascii="Arial" w:hAnsi="Arial" w:cs="Arial"/>
                <w:noProof/>
                <w:sz w:val="18"/>
                <w:szCs w:val="18"/>
              </w:rPr>
            </w:pPr>
            <w:r w:rsidRPr="00D92AD6">
              <w:rPr>
                <w:rFonts w:ascii="Arial" w:hAnsi="Arial" w:cs="Arial"/>
                <w:noProof/>
                <w:sz w:val="18"/>
                <w:szCs w:val="18"/>
              </w:rPr>
              <w:lastRenderedPageBreak/>
              <w:t xml:space="preserve">Lineamientos del Sistema del </w:t>
            </w:r>
            <w:r>
              <w:rPr>
                <w:rFonts w:ascii="Arial" w:hAnsi="Arial" w:cs="Arial"/>
                <w:noProof/>
                <w:sz w:val="18"/>
                <w:szCs w:val="18"/>
              </w:rPr>
              <w:t>RPU</w:t>
            </w:r>
            <w:r w:rsidRPr="00D92AD6">
              <w:rPr>
                <w:rFonts w:ascii="Arial" w:hAnsi="Arial" w:cs="Arial"/>
                <w:noProof/>
                <w:sz w:val="18"/>
                <w:szCs w:val="18"/>
              </w:rPr>
              <w:t xml:space="preserve"> desarrollados</w:t>
            </w:r>
            <w:r>
              <w:rPr>
                <w:rFonts w:ascii="Arial" w:hAnsi="Arial" w:cs="Arial"/>
                <w:noProof/>
                <w:sz w:val="18"/>
                <w:szCs w:val="18"/>
              </w:rPr>
              <w:t>.</w:t>
            </w:r>
          </w:p>
        </w:tc>
        <w:tc>
          <w:tcPr>
            <w:tcW w:w="1490" w:type="dxa"/>
            <w:tcBorders>
              <w:top w:val="single" w:sz="4" w:space="0" w:color="000000"/>
              <w:left w:val="single" w:sz="4" w:space="0" w:color="000000"/>
              <w:bottom w:val="single" w:sz="4" w:space="0" w:color="000000"/>
              <w:right w:val="single" w:sz="4" w:space="0" w:color="000000"/>
            </w:tcBorders>
            <w:vAlign w:val="center"/>
          </w:tcPr>
          <w:p w14:paraId="0D039843" w14:textId="77777777" w:rsidR="0069088B" w:rsidRPr="00D92AD6" w:rsidRDefault="0069088B" w:rsidP="0069088B">
            <w:pPr>
              <w:spacing w:before="60" w:after="60"/>
              <w:jc w:val="center"/>
              <w:rPr>
                <w:rFonts w:ascii="Arial" w:hAnsi="Arial" w:cs="Arial"/>
                <w:noProof/>
                <w:sz w:val="18"/>
                <w:szCs w:val="18"/>
                <w:lang w:eastAsia="zh-CN"/>
              </w:rPr>
            </w:pPr>
            <w:r w:rsidRPr="00D92AD6">
              <w:rPr>
                <w:rFonts w:ascii="Arial" w:hAnsi="Arial" w:cs="Arial"/>
                <w:noProof/>
                <w:sz w:val="18"/>
                <w:szCs w:val="18"/>
                <w:lang w:eastAsia="zh-CN"/>
              </w:rPr>
              <w:t>Lineamiento</w:t>
            </w:r>
          </w:p>
        </w:tc>
        <w:tc>
          <w:tcPr>
            <w:tcW w:w="970" w:type="dxa"/>
            <w:tcBorders>
              <w:top w:val="single" w:sz="4" w:space="0" w:color="000000"/>
              <w:left w:val="single" w:sz="4" w:space="0" w:color="000000"/>
              <w:bottom w:val="single" w:sz="4" w:space="0" w:color="000000"/>
              <w:right w:val="single" w:sz="4" w:space="0" w:color="000000"/>
            </w:tcBorders>
            <w:vAlign w:val="center"/>
          </w:tcPr>
          <w:p w14:paraId="5DF4F4C4" w14:textId="77777777" w:rsidR="0069088B" w:rsidRPr="00D92AD6" w:rsidRDefault="0069088B" w:rsidP="0069088B">
            <w:pPr>
              <w:spacing w:before="60" w:after="60"/>
              <w:jc w:val="center"/>
              <w:rPr>
                <w:rFonts w:ascii="Arial" w:hAnsi="Arial" w:cs="Arial"/>
                <w:noProof/>
                <w:sz w:val="18"/>
                <w:szCs w:val="18"/>
              </w:rPr>
            </w:pPr>
            <w:r w:rsidRPr="00D92AD6">
              <w:rPr>
                <w:rFonts w:ascii="Arial" w:hAnsi="Arial" w:cs="Arial"/>
                <w:noProof/>
                <w:sz w:val="18"/>
                <w:szCs w:val="18"/>
              </w:rPr>
              <w:t>0</w:t>
            </w:r>
          </w:p>
        </w:tc>
        <w:tc>
          <w:tcPr>
            <w:tcW w:w="1107" w:type="dxa"/>
            <w:tcBorders>
              <w:top w:val="single" w:sz="4" w:space="0" w:color="000000"/>
              <w:left w:val="single" w:sz="4" w:space="0" w:color="000000"/>
              <w:bottom w:val="single" w:sz="4" w:space="0" w:color="000000"/>
              <w:right w:val="single" w:sz="4" w:space="0" w:color="000000"/>
            </w:tcBorders>
            <w:vAlign w:val="center"/>
          </w:tcPr>
          <w:p w14:paraId="195EE669" w14:textId="77777777" w:rsidR="0069088B" w:rsidRPr="00D92AD6" w:rsidRDefault="0069088B" w:rsidP="0069088B">
            <w:pPr>
              <w:spacing w:before="60" w:after="60"/>
              <w:jc w:val="center"/>
              <w:rPr>
                <w:rFonts w:ascii="Arial" w:hAnsi="Arial" w:cs="Arial"/>
                <w:noProof/>
                <w:sz w:val="18"/>
                <w:szCs w:val="18"/>
              </w:rPr>
            </w:pPr>
            <w:r w:rsidRPr="00D92AD6">
              <w:rPr>
                <w:rFonts w:ascii="Arial" w:hAnsi="Arial" w:cs="Arial"/>
                <w:noProof/>
                <w:sz w:val="18"/>
                <w:szCs w:val="18"/>
              </w:rPr>
              <w:t>201</w:t>
            </w:r>
            <w:r>
              <w:rPr>
                <w:rFonts w:ascii="Arial" w:hAnsi="Arial" w:cs="Arial"/>
                <w:noProof/>
                <w:sz w:val="18"/>
                <w:szCs w:val="18"/>
              </w:rPr>
              <w:t>5</w:t>
            </w:r>
          </w:p>
        </w:tc>
        <w:tc>
          <w:tcPr>
            <w:tcW w:w="757" w:type="dxa"/>
            <w:tcBorders>
              <w:top w:val="single" w:sz="4" w:space="0" w:color="000000"/>
              <w:left w:val="single" w:sz="4" w:space="0" w:color="000000"/>
              <w:bottom w:val="single" w:sz="4" w:space="0" w:color="000000"/>
              <w:right w:val="single" w:sz="4" w:space="0" w:color="000000"/>
            </w:tcBorders>
            <w:vAlign w:val="center"/>
          </w:tcPr>
          <w:p w14:paraId="68BA1080" w14:textId="77777777" w:rsidR="0069088B" w:rsidRPr="00D92AD6" w:rsidRDefault="0069088B" w:rsidP="0069088B">
            <w:pPr>
              <w:spacing w:before="60" w:after="60"/>
              <w:jc w:val="center"/>
              <w:rPr>
                <w:rFonts w:ascii="Arial" w:hAnsi="Arial" w:cs="Arial"/>
                <w:noProof/>
                <w:sz w:val="18"/>
                <w:szCs w:val="18"/>
              </w:rPr>
            </w:pPr>
            <w:r>
              <w:rPr>
                <w:rFonts w:ascii="Arial" w:hAnsi="Arial" w:cs="Arial"/>
                <w:noProof/>
                <w:sz w:val="18"/>
                <w:szCs w:val="18"/>
              </w:rPr>
              <w:t>1</w:t>
            </w:r>
          </w:p>
        </w:tc>
        <w:tc>
          <w:tcPr>
            <w:tcW w:w="1181" w:type="dxa"/>
            <w:tcBorders>
              <w:top w:val="single" w:sz="4" w:space="0" w:color="000000"/>
              <w:left w:val="single" w:sz="4" w:space="0" w:color="000000"/>
              <w:bottom w:val="single" w:sz="4" w:space="0" w:color="000000"/>
              <w:right w:val="single" w:sz="4" w:space="0" w:color="000000"/>
            </w:tcBorders>
            <w:vAlign w:val="center"/>
          </w:tcPr>
          <w:p w14:paraId="4517EDD8" w14:textId="77777777" w:rsidR="0069088B" w:rsidRPr="00D92AD6" w:rsidRDefault="0069088B" w:rsidP="0069088B">
            <w:pPr>
              <w:spacing w:before="60" w:after="60"/>
              <w:jc w:val="center"/>
              <w:rPr>
                <w:rFonts w:ascii="Arial" w:hAnsi="Arial" w:cs="Arial"/>
                <w:noProof/>
                <w:sz w:val="18"/>
                <w:szCs w:val="18"/>
              </w:rPr>
            </w:pPr>
            <w:r w:rsidRPr="00D92AD6">
              <w:rPr>
                <w:rFonts w:ascii="Arial" w:hAnsi="Arial" w:cs="Arial"/>
                <w:noProof/>
                <w:sz w:val="18"/>
                <w:szCs w:val="18"/>
              </w:rPr>
              <w:t>1</w:t>
            </w:r>
          </w:p>
        </w:tc>
        <w:tc>
          <w:tcPr>
            <w:tcW w:w="2124" w:type="dxa"/>
            <w:tcBorders>
              <w:top w:val="single" w:sz="4" w:space="0" w:color="000000"/>
              <w:left w:val="single" w:sz="4" w:space="0" w:color="000000"/>
              <w:bottom w:val="single" w:sz="4" w:space="0" w:color="000000"/>
              <w:right w:val="single" w:sz="4" w:space="0" w:color="000000"/>
            </w:tcBorders>
            <w:vAlign w:val="center"/>
          </w:tcPr>
          <w:p w14:paraId="420C4E29" w14:textId="77777777" w:rsidR="0069088B" w:rsidRPr="00D92AD6" w:rsidRDefault="0069088B" w:rsidP="0069088B">
            <w:pPr>
              <w:spacing w:before="60" w:after="60"/>
              <w:rPr>
                <w:rFonts w:ascii="Arial" w:hAnsi="Arial" w:cs="Arial"/>
                <w:noProof/>
                <w:color w:val="000000"/>
                <w:sz w:val="18"/>
                <w:szCs w:val="18"/>
              </w:rPr>
            </w:pPr>
            <w:r w:rsidRPr="00D92AD6">
              <w:rPr>
                <w:rFonts w:ascii="Arial" w:hAnsi="Arial" w:cs="Arial"/>
                <w:noProof/>
                <w:color w:val="000000"/>
                <w:sz w:val="18"/>
                <w:szCs w:val="18"/>
              </w:rPr>
              <w:t>Publicación en el DOF.</w:t>
            </w:r>
          </w:p>
        </w:tc>
        <w:tc>
          <w:tcPr>
            <w:tcW w:w="3280" w:type="dxa"/>
            <w:tcBorders>
              <w:top w:val="single" w:sz="4" w:space="0" w:color="000000"/>
              <w:left w:val="single" w:sz="4" w:space="0" w:color="000000"/>
              <w:bottom w:val="single" w:sz="4" w:space="0" w:color="000000"/>
              <w:right w:val="single" w:sz="4" w:space="0" w:color="000000"/>
            </w:tcBorders>
            <w:vAlign w:val="center"/>
          </w:tcPr>
          <w:p w14:paraId="6D1F5ACD" w14:textId="77777777" w:rsidR="0069088B" w:rsidRPr="00D92AD6" w:rsidRDefault="0069088B" w:rsidP="0069088B">
            <w:pPr>
              <w:spacing w:before="60" w:after="60"/>
              <w:rPr>
                <w:rFonts w:ascii="Arial" w:hAnsi="Arial" w:cs="Arial"/>
                <w:noProof/>
                <w:color w:val="000000"/>
                <w:sz w:val="18"/>
                <w:szCs w:val="18"/>
              </w:rPr>
            </w:pPr>
            <w:r w:rsidRPr="00D92AD6">
              <w:rPr>
                <w:rFonts w:ascii="Arial" w:hAnsi="Arial" w:cs="Arial"/>
                <w:noProof/>
                <w:color w:val="000000"/>
                <w:sz w:val="18"/>
                <w:szCs w:val="18"/>
              </w:rPr>
              <w:t>Línea de base y metas a diciembre de cada año.</w:t>
            </w:r>
          </w:p>
        </w:tc>
      </w:tr>
      <w:tr w:rsidR="001D0CB1" w:rsidRPr="005542A4" w14:paraId="347B1BBC" w14:textId="77777777" w:rsidTr="00903AE2">
        <w:trPr>
          <w:trHeight w:val="242"/>
        </w:trPr>
        <w:tc>
          <w:tcPr>
            <w:tcW w:w="2189" w:type="dxa"/>
            <w:gridSpan w:val="2"/>
            <w:tcBorders>
              <w:top w:val="single" w:sz="4" w:space="0" w:color="000000"/>
              <w:left w:val="single" w:sz="4" w:space="0" w:color="000000"/>
              <w:bottom w:val="single" w:sz="4" w:space="0" w:color="000000"/>
              <w:right w:val="single" w:sz="4" w:space="0" w:color="000000"/>
            </w:tcBorders>
            <w:vAlign w:val="center"/>
          </w:tcPr>
          <w:p w14:paraId="7C7E4A6B" w14:textId="6D8861B3" w:rsidR="001D0CB1" w:rsidRPr="00D92AD6" w:rsidRDefault="001F32C8" w:rsidP="001D0CB1">
            <w:pPr>
              <w:pStyle w:val="ListParagraph"/>
              <w:spacing w:before="60" w:after="60"/>
              <w:ind w:left="0"/>
              <w:rPr>
                <w:rFonts w:ascii="Arial" w:hAnsi="Arial" w:cs="Arial"/>
                <w:noProof/>
                <w:sz w:val="20"/>
                <w:lang w:eastAsia="zh-CN"/>
              </w:rPr>
            </w:pPr>
            <w:r>
              <w:rPr>
                <w:rFonts w:ascii="Arial" w:hAnsi="Arial" w:cs="Arial"/>
                <w:noProof/>
                <w:sz w:val="18"/>
                <w:szCs w:val="18"/>
              </w:rPr>
              <w:t xml:space="preserve">Sistema del </w:t>
            </w:r>
            <w:r w:rsidR="00FD4DC3">
              <w:rPr>
                <w:rFonts w:ascii="Arial" w:hAnsi="Arial" w:cs="Arial"/>
                <w:noProof/>
                <w:sz w:val="18"/>
                <w:szCs w:val="18"/>
              </w:rPr>
              <w:t>RPU</w:t>
            </w:r>
            <w:r w:rsidR="001D0CB1" w:rsidRPr="00D92AD6">
              <w:rPr>
                <w:rFonts w:ascii="Arial" w:hAnsi="Arial" w:cs="Arial"/>
                <w:noProof/>
                <w:sz w:val="18"/>
                <w:szCs w:val="18"/>
              </w:rPr>
              <w:t xml:space="preserve"> en funcionamiento</w:t>
            </w:r>
            <w:r w:rsidR="0069088B">
              <w:rPr>
                <w:rFonts w:ascii="Arial" w:hAnsi="Arial" w:cs="Arial"/>
                <w:noProof/>
                <w:sz w:val="18"/>
                <w:szCs w:val="18"/>
              </w:rPr>
              <w:t>.</w:t>
            </w:r>
          </w:p>
        </w:tc>
        <w:tc>
          <w:tcPr>
            <w:tcW w:w="1530" w:type="dxa"/>
            <w:tcBorders>
              <w:top w:val="single" w:sz="4" w:space="0" w:color="000000"/>
              <w:left w:val="single" w:sz="4" w:space="0" w:color="000000"/>
              <w:bottom w:val="single" w:sz="4" w:space="0" w:color="000000"/>
              <w:right w:val="single" w:sz="4" w:space="0" w:color="000000"/>
            </w:tcBorders>
            <w:vAlign w:val="center"/>
          </w:tcPr>
          <w:p w14:paraId="13F9E887" w14:textId="77777777" w:rsidR="001D0CB1" w:rsidRPr="00584118" w:rsidRDefault="001D0CB1" w:rsidP="001D0CB1">
            <w:pPr>
              <w:spacing w:before="60" w:after="60"/>
              <w:jc w:val="center"/>
              <w:rPr>
                <w:rFonts w:ascii="Arial" w:hAnsi="Arial" w:cs="Arial"/>
                <w:i/>
                <w:noProof/>
                <w:sz w:val="18"/>
                <w:szCs w:val="18"/>
                <w:lang w:eastAsia="zh-CN"/>
              </w:rPr>
            </w:pPr>
            <w:r w:rsidRPr="00584118">
              <w:rPr>
                <w:rFonts w:ascii="Arial" w:hAnsi="Arial" w:cs="Arial"/>
                <w:i/>
                <w:noProof/>
                <w:sz w:val="18"/>
                <w:szCs w:val="18"/>
                <w:lang w:eastAsia="zh-CN"/>
              </w:rPr>
              <w:t>Software</w:t>
            </w:r>
          </w:p>
        </w:tc>
        <w:tc>
          <w:tcPr>
            <w:tcW w:w="818" w:type="dxa"/>
            <w:tcBorders>
              <w:top w:val="single" w:sz="4" w:space="0" w:color="000000"/>
              <w:left w:val="single" w:sz="4" w:space="0" w:color="000000"/>
              <w:bottom w:val="single" w:sz="4" w:space="0" w:color="000000"/>
              <w:right w:val="single" w:sz="4" w:space="0" w:color="000000"/>
            </w:tcBorders>
            <w:vAlign w:val="center"/>
          </w:tcPr>
          <w:p w14:paraId="755A4E0B" w14:textId="77777777" w:rsidR="001D0CB1" w:rsidRPr="00D92AD6" w:rsidRDefault="001D0CB1" w:rsidP="001D0CB1">
            <w:pPr>
              <w:spacing w:before="60" w:after="60"/>
              <w:jc w:val="center"/>
              <w:rPr>
                <w:rFonts w:ascii="Arial" w:hAnsi="Arial" w:cs="Arial"/>
                <w:noProof/>
                <w:sz w:val="20"/>
                <w:lang w:eastAsia="zh-CN"/>
              </w:rPr>
            </w:pPr>
            <w:r w:rsidRPr="00D92AD6">
              <w:rPr>
                <w:rFonts w:ascii="Arial" w:hAnsi="Arial" w:cs="Arial"/>
                <w:noProof/>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470F562" w14:textId="77777777" w:rsidR="001D0CB1" w:rsidRPr="00D92AD6" w:rsidRDefault="001D0CB1" w:rsidP="001D0CB1">
            <w:pPr>
              <w:spacing w:before="60" w:after="60"/>
              <w:jc w:val="center"/>
              <w:rPr>
                <w:rFonts w:ascii="Arial" w:hAnsi="Arial" w:cs="Arial"/>
                <w:noProof/>
                <w:sz w:val="18"/>
                <w:szCs w:val="18"/>
                <w:lang w:eastAsia="zh-CN"/>
              </w:rPr>
            </w:pPr>
            <w:r w:rsidRPr="00D92AD6">
              <w:rPr>
                <w:rFonts w:ascii="Arial" w:hAnsi="Arial" w:cs="Arial"/>
                <w:noProof/>
                <w:sz w:val="18"/>
                <w:szCs w:val="18"/>
              </w:rPr>
              <w:t>201</w:t>
            </w:r>
            <w:r>
              <w:rPr>
                <w:rFonts w:ascii="Arial" w:hAnsi="Arial" w:cs="Arial"/>
                <w:noProof/>
                <w:sz w:val="18"/>
                <w:szCs w:val="18"/>
              </w:rPr>
              <w:t>5</w:t>
            </w:r>
          </w:p>
        </w:tc>
        <w:tc>
          <w:tcPr>
            <w:tcW w:w="773" w:type="dxa"/>
            <w:tcBorders>
              <w:top w:val="single" w:sz="4" w:space="0" w:color="000000"/>
              <w:left w:val="single" w:sz="4" w:space="0" w:color="000000"/>
              <w:bottom w:val="single" w:sz="4" w:space="0" w:color="000000"/>
              <w:right w:val="single" w:sz="4" w:space="0" w:color="000000"/>
            </w:tcBorders>
            <w:vAlign w:val="center"/>
          </w:tcPr>
          <w:p w14:paraId="1C826DF8" w14:textId="77777777" w:rsidR="001D0CB1" w:rsidRPr="00D92AD6" w:rsidRDefault="001D0CB1" w:rsidP="001D0CB1">
            <w:pPr>
              <w:spacing w:before="60" w:after="60"/>
              <w:jc w:val="center"/>
              <w:rPr>
                <w:rFonts w:ascii="Arial" w:hAnsi="Arial" w:cs="Arial"/>
                <w:noProof/>
                <w:sz w:val="20"/>
                <w:lang w:eastAsia="zh-CN"/>
              </w:rPr>
            </w:pPr>
            <w:r>
              <w:rPr>
                <w:rFonts w:ascii="Arial" w:hAnsi="Arial" w:cs="Arial"/>
                <w:noProof/>
                <w:sz w:val="18"/>
                <w:szCs w:val="18"/>
              </w:rPr>
              <w:t>1</w:t>
            </w:r>
          </w:p>
        </w:tc>
        <w:tc>
          <w:tcPr>
            <w:tcW w:w="1211" w:type="dxa"/>
            <w:tcBorders>
              <w:top w:val="single" w:sz="4" w:space="0" w:color="000000"/>
              <w:left w:val="single" w:sz="4" w:space="0" w:color="000000"/>
              <w:bottom w:val="single" w:sz="4" w:space="0" w:color="000000"/>
              <w:right w:val="single" w:sz="4" w:space="0" w:color="000000"/>
            </w:tcBorders>
            <w:vAlign w:val="center"/>
          </w:tcPr>
          <w:p w14:paraId="52C193DE" w14:textId="77777777" w:rsidR="001D0CB1" w:rsidRPr="00D92AD6" w:rsidRDefault="001D0CB1" w:rsidP="001D0CB1">
            <w:pPr>
              <w:spacing w:before="60" w:after="60"/>
              <w:jc w:val="center"/>
              <w:rPr>
                <w:rFonts w:ascii="Arial" w:hAnsi="Arial" w:cs="Arial"/>
                <w:noProof/>
                <w:sz w:val="20"/>
                <w:lang w:eastAsia="zh-CN"/>
              </w:rPr>
            </w:pPr>
            <w:r w:rsidRPr="00D92AD6">
              <w:rPr>
                <w:rFonts w:ascii="Arial" w:hAnsi="Arial" w:cs="Arial"/>
                <w:noProof/>
                <w:sz w:val="18"/>
                <w:szCs w:val="18"/>
              </w:rPr>
              <w:t>1</w:t>
            </w:r>
          </w:p>
        </w:tc>
        <w:tc>
          <w:tcPr>
            <w:tcW w:w="2184" w:type="dxa"/>
            <w:tcBorders>
              <w:top w:val="single" w:sz="4" w:space="0" w:color="000000"/>
              <w:left w:val="single" w:sz="4" w:space="0" w:color="000000"/>
              <w:bottom w:val="single" w:sz="4" w:space="0" w:color="000000"/>
              <w:right w:val="single" w:sz="4" w:space="0" w:color="000000"/>
            </w:tcBorders>
            <w:vAlign w:val="center"/>
          </w:tcPr>
          <w:p w14:paraId="67527E24" w14:textId="77777777" w:rsidR="001D0CB1" w:rsidRPr="00D92AD6" w:rsidRDefault="00084006" w:rsidP="001D0CB1">
            <w:pPr>
              <w:spacing w:before="60" w:after="60"/>
              <w:rPr>
                <w:rFonts w:ascii="Arial" w:hAnsi="Arial" w:cs="Arial"/>
                <w:noProof/>
                <w:sz w:val="20"/>
                <w:lang w:eastAsia="zh-CN"/>
              </w:rPr>
            </w:pPr>
            <w:r>
              <w:rPr>
                <w:rFonts w:ascii="Arial" w:hAnsi="Arial" w:cs="Arial"/>
                <w:color w:val="000000"/>
                <w:sz w:val="18"/>
                <w:szCs w:val="18"/>
                <w:lang w:val="es-ES"/>
              </w:rPr>
              <w:t>Comunicado</w:t>
            </w:r>
            <w:r w:rsidR="001D0CB1" w:rsidRPr="00D92AD6">
              <w:rPr>
                <w:rFonts w:ascii="Arial" w:hAnsi="Arial" w:cs="Arial"/>
                <w:noProof/>
                <w:sz w:val="18"/>
                <w:szCs w:val="18"/>
              </w:rPr>
              <w:t xml:space="preserve"> de la SHCP</w:t>
            </w:r>
            <w:r w:rsidRPr="00AE404D">
              <w:rPr>
                <w:rFonts w:ascii="Arial" w:hAnsi="Arial" w:cs="Arial"/>
                <w:color w:val="000000"/>
                <w:sz w:val="18"/>
                <w:szCs w:val="18"/>
                <w:lang w:val="es-ES"/>
              </w:rPr>
              <w:t xml:space="preserve"> validando la puesta en funcionamiento del sistema</w:t>
            </w:r>
            <w:r w:rsidR="00CD2018">
              <w:rPr>
                <w:rFonts w:ascii="Arial" w:hAnsi="Arial" w:cs="Arial"/>
                <w:color w:val="000000"/>
                <w:sz w:val="18"/>
                <w:szCs w:val="18"/>
                <w:lang w:val="es-ES"/>
              </w:rPr>
              <w:t>.</w:t>
            </w:r>
          </w:p>
        </w:tc>
        <w:tc>
          <w:tcPr>
            <w:tcW w:w="3371" w:type="dxa"/>
            <w:tcBorders>
              <w:top w:val="single" w:sz="4" w:space="0" w:color="000000"/>
              <w:left w:val="single" w:sz="4" w:space="0" w:color="000000"/>
              <w:bottom w:val="single" w:sz="4" w:space="0" w:color="000000"/>
              <w:right w:val="single" w:sz="4" w:space="0" w:color="000000"/>
            </w:tcBorders>
            <w:vAlign w:val="center"/>
          </w:tcPr>
          <w:p w14:paraId="62BE2AC1" w14:textId="77777777" w:rsidR="001D0CB1" w:rsidRPr="00D92AD6" w:rsidRDefault="001D0CB1" w:rsidP="001D0CB1">
            <w:pPr>
              <w:spacing w:before="60" w:after="60"/>
              <w:rPr>
                <w:rFonts w:ascii="Arial" w:hAnsi="Arial" w:cs="Arial"/>
                <w:noProof/>
                <w:sz w:val="20"/>
                <w:lang w:eastAsia="zh-CN"/>
              </w:rPr>
            </w:pPr>
            <w:r w:rsidRPr="00D92AD6">
              <w:rPr>
                <w:rFonts w:ascii="Arial" w:hAnsi="Arial" w:cs="Arial"/>
                <w:noProof/>
                <w:color w:val="000000"/>
                <w:sz w:val="18"/>
                <w:szCs w:val="18"/>
              </w:rPr>
              <w:t>Línea de base y metas a diciembre de cada año.</w:t>
            </w:r>
            <w:r>
              <w:rPr>
                <w:rFonts w:ascii="Arial" w:hAnsi="Arial" w:cs="Arial"/>
                <w:noProof/>
                <w:color w:val="000000"/>
                <w:sz w:val="18"/>
                <w:szCs w:val="18"/>
              </w:rPr>
              <w:t xml:space="preserve"> El sistema informatico se considerá en funcionamiento cuando los estados y municipios se encuentren en condiciones de cargar sus obligaciones y financiamientos en el mismo.</w:t>
            </w:r>
          </w:p>
        </w:tc>
      </w:tr>
      <w:tr w:rsidR="00DD3A65" w:rsidRPr="005542A4" w14:paraId="65DEECF9" w14:textId="77777777" w:rsidTr="00903AE2">
        <w:trPr>
          <w:trHeight w:val="242"/>
        </w:trPr>
        <w:tc>
          <w:tcPr>
            <w:tcW w:w="2369" w:type="dxa"/>
            <w:gridSpan w:val="2"/>
            <w:tcBorders>
              <w:top w:val="single" w:sz="4" w:space="0" w:color="000000"/>
              <w:left w:val="single" w:sz="4" w:space="0" w:color="000000"/>
              <w:bottom w:val="single" w:sz="4" w:space="0" w:color="000000"/>
              <w:right w:val="single" w:sz="4" w:space="0" w:color="000000"/>
            </w:tcBorders>
            <w:vAlign w:val="center"/>
          </w:tcPr>
          <w:p w14:paraId="5CAAF3B6" w14:textId="24190392" w:rsidR="00DD3A65" w:rsidRPr="00D92AD6" w:rsidRDefault="00DD3A65" w:rsidP="00DD3A65">
            <w:pPr>
              <w:pStyle w:val="ListParagraph"/>
              <w:spacing w:before="60" w:after="60"/>
              <w:ind w:left="0"/>
              <w:rPr>
                <w:rFonts w:ascii="Arial" w:hAnsi="Arial" w:cs="Arial"/>
                <w:noProof/>
                <w:sz w:val="18"/>
                <w:szCs w:val="18"/>
              </w:rPr>
            </w:pPr>
            <w:r w:rsidRPr="00D46610">
              <w:rPr>
                <w:rFonts w:ascii="Arial" w:hAnsi="Arial" w:cs="Arial"/>
                <w:color w:val="000000"/>
                <w:sz w:val="18"/>
                <w:szCs w:val="18"/>
                <w:lang w:val="es-ES"/>
              </w:rPr>
              <w:t>Reorganización interna de la</w:t>
            </w:r>
            <w:r>
              <w:rPr>
                <w:rFonts w:ascii="Arial" w:hAnsi="Arial" w:cs="Arial"/>
                <w:color w:val="000000"/>
                <w:sz w:val="18"/>
                <w:szCs w:val="18"/>
                <w:lang w:val="es-ES"/>
              </w:rPr>
              <w:t xml:space="preserve"> Auditoría Superior de la Federación aprobada</w:t>
            </w:r>
            <w:r w:rsidR="0069088B">
              <w:rPr>
                <w:rFonts w:ascii="Arial" w:hAnsi="Arial" w:cs="Arial"/>
                <w:color w:val="000000"/>
                <w:sz w:val="18"/>
                <w:szCs w:val="18"/>
                <w:lang w:val="es-ES"/>
              </w:rPr>
              <w:t>.</w:t>
            </w:r>
          </w:p>
        </w:tc>
        <w:tc>
          <w:tcPr>
            <w:tcW w:w="1175" w:type="dxa"/>
            <w:tcBorders>
              <w:top w:val="single" w:sz="4" w:space="0" w:color="000000"/>
              <w:left w:val="single" w:sz="4" w:space="0" w:color="000000"/>
              <w:bottom w:val="single" w:sz="4" w:space="0" w:color="000000"/>
              <w:right w:val="single" w:sz="4" w:space="0" w:color="000000"/>
            </w:tcBorders>
            <w:vAlign w:val="center"/>
          </w:tcPr>
          <w:p w14:paraId="25547DE3" w14:textId="587C0A99" w:rsidR="00DD3A65" w:rsidRPr="00D92AD6" w:rsidRDefault="00084006" w:rsidP="00DD3A65">
            <w:pPr>
              <w:spacing w:before="60" w:after="60"/>
              <w:jc w:val="center"/>
              <w:rPr>
                <w:rFonts w:ascii="Arial" w:hAnsi="Arial" w:cs="Arial"/>
                <w:noProof/>
                <w:sz w:val="18"/>
                <w:szCs w:val="18"/>
                <w:lang w:eastAsia="zh-CN"/>
              </w:rPr>
            </w:pPr>
            <w:r>
              <w:rPr>
                <w:rFonts w:ascii="Arial" w:hAnsi="Arial" w:cs="Arial"/>
                <w:noProof/>
                <w:sz w:val="18"/>
                <w:szCs w:val="18"/>
                <w:lang w:eastAsia="zh-CN"/>
              </w:rPr>
              <w:t>Reorganización</w:t>
            </w:r>
          </w:p>
        </w:tc>
        <w:tc>
          <w:tcPr>
            <w:tcW w:w="993" w:type="dxa"/>
            <w:tcBorders>
              <w:top w:val="single" w:sz="4" w:space="0" w:color="000000"/>
              <w:left w:val="single" w:sz="4" w:space="0" w:color="000000"/>
              <w:bottom w:val="single" w:sz="4" w:space="0" w:color="000000"/>
              <w:right w:val="single" w:sz="4" w:space="0" w:color="000000"/>
            </w:tcBorders>
            <w:vAlign w:val="center"/>
          </w:tcPr>
          <w:p w14:paraId="356E2F1A" w14:textId="16D94702" w:rsidR="00DD3A65" w:rsidRPr="00D92AD6" w:rsidRDefault="00DD3A65" w:rsidP="00DD3A65">
            <w:pPr>
              <w:spacing w:before="60" w:after="60"/>
              <w:jc w:val="center"/>
              <w:rPr>
                <w:rFonts w:ascii="Arial" w:hAnsi="Arial" w:cs="Arial"/>
                <w:noProof/>
                <w:sz w:val="18"/>
                <w:szCs w:val="18"/>
              </w:rPr>
            </w:pPr>
            <w:r>
              <w:rPr>
                <w:rFonts w:ascii="Arial" w:hAnsi="Arial" w:cs="Arial"/>
                <w:noProof/>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F11D6C7" w14:textId="2885E3EE" w:rsidR="00DD3A65" w:rsidRPr="00D92AD6" w:rsidRDefault="00DD3A65" w:rsidP="00DD3A65">
            <w:pPr>
              <w:spacing w:before="60" w:after="60"/>
              <w:jc w:val="center"/>
              <w:rPr>
                <w:rFonts w:ascii="Arial" w:hAnsi="Arial" w:cs="Arial"/>
                <w:noProof/>
                <w:sz w:val="18"/>
                <w:szCs w:val="18"/>
              </w:rPr>
            </w:pPr>
            <w:r>
              <w:rPr>
                <w:rFonts w:ascii="Arial" w:hAnsi="Arial" w:cs="Arial"/>
                <w:noProof/>
                <w:sz w:val="18"/>
                <w:szCs w:val="18"/>
              </w:rPr>
              <w:t>2015</w:t>
            </w:r>
          </w:p>
        </w:tc>
        <w:tc>
          <w:tcPr>
            <w:tcW w:w="773" w:type="dxa"/>
            <w:tcBorders>
              <w:top w:val="single" w:sz="4" w:space="0" w:color="000000"/>
              <w:left w:val="single" w:sz="4" w:space="0" w:color="000000"/>
              <w:bottom w:val="single" w:sz="4" w:space="0" w:color="000000"/>
              <w:right w:val="single" w:sz="4" w:space="0" w:color="000000"/>
            </w:tcBorders>
            <w:vAlign w:val="center"/>
          </w:tcPr>
          <w:p w14:paraId="4A69846E" w14:textId="3385F0E3" w:rsidR="00DD3A65" w:rsidRPr="00D92AD6" w:rsidRDefault="00DD3A65" w:rsidP="00DD3A65">
            <w:pPr>
              <w:spacing w:before="60" w:after="60"/>
              <w:jc w:val="center"/>
              <w:rPr>
                <w:rFonts w:ascii="Arial" w:hAnsi="Arial" w:cs="Arial"/>
                <w:noProof/>
                <w:sz w:val="18"/>
                <w:szCs w:val="18"/>
              </w:rPr>
            </w:pPr>
            <w:r>
              <w:rPr>
                <w:rFonts w:ascii="Arial" w:hAnsi="Arial" w:cs="Arial"/>
                <w:noProof/>
                <w:sz w:val="18"/>
                <w:szCs w:val="18"/>
              </w:rPr>
              <w:t>1</w:t>
            </w:r>
          </w:p>
        </w:tc>
        <w:tc>
          <w:tcPr>
            <w:tcW w:w="1211" w:type="dxa"/>
            <w:tcBorders>
              <w:top w:val="single" w:sz="4" w:space="0" w:color="000000"/>
              <w:left w:val="single" w:sz="4" w:space="0" w:color="000000"/>
              <w:bottom w:val="single" w:sz="4" w:space="0" w:color="000000"/>
              <w:right w:val="single" w:sz="4" w:space="0" w:color="000000"/>
            </w:tcBorders>
            <w:vAlign w:val="center"/>
          </w:tcPr>
          <w:p w14:paraId="4D0A5EA1" w14:textId="5F3DD0B9" w:rsidR="00DD3A65" w:rsidRPr="00D92AD6" w:rsidRDefault="0069088B" w:rsidP="00DD3A65">
            <w:pPr>
              <w:spacing w:before="60" w:after="60"/>
              <w:jc w:val="center"/>
              <w:rPr>
                <w:rFonts w:ascii="Arial" w:hAnsi="Arial" w:cs="Arial"/>
                <w:noProof/>
                <w:sz w:val="18"/>
                <w:szCs w:val="18"/>
              </w:rPr>
            </w:pPr>
            <w:r>
              <w:rPr>
                <w:rFonts w:ascii="Arial" w:hAnsi="Arial" w:cs="Arial"/>
                <w:noProof/>
                <w:sz w:val="18"/>
                <w:szCs w:val="18"/>
              </w:rPr>
              <w:t>1</w:t>
            </w:r>
          </w:p>
        </w:tc>
        <w:tc>
          <w:tcPr>
            <w:tcW w:w="2184" w:type="dxa"/>
            <w:tcBorders>
              <w:top w:val="single" w:sz="4" w:space="0" w:color="000000"/>
              <w:left w:val="single" w:sz="4" w:space="0" w:color="000000"/>
              <w:bottom w:val="single" w:sz="4" w:space="0" w:color="000000"/>
              <w:right w:val="single" w:sz="4" w:space="0" w:color="000000"/>
            </w:tcBorders>
            <w:vAlign w:val="center"/>
          </w:tcPr>
          <w:p w14:paraId="21DD2B32" w14:textId="53C63687" w:rsidR="00DD3A65" w:rsidRPr="00D92AD6" w:rsidRDefault="00DD3A65" w:rsidP="00DD3A65">
            <w:pPr>
              <w:spacing w:before="60" w:after="60"/>
              <w:rPr>
                <w:rFonts w:ascii="Arial" w:hAnsi="Arial" w:cs="Arial"/>
                <w:noProof/>
                <w:sz w:val="18"/>
                <w:szCs w:val="18"/>
              </w:rPr>
            </w:pPr>
            <w:r w:rsidRPr="00D92AD6">
              <w:rPr>
                <w:rFonts w:ascii="Arial" w:hAnsi="Arial" w:cs="Arial"/>
                <w:noProof/>
                <w:sz w:val="18"/>
                <w:szCs w:val="18"/>
              </w:rPr>
              <w:t>Publicación en el DOF</w:t>
            </w:r>
            <w:r>
              <w:rPr>
                <w:rFonts w:ascii="Arial" w:hAnsi="Arial" w:cs="Arial"/>
                <w:noProof/>
                <w:sz w:val="18"/>
                <w:szCs w:val="18"/>
              </w:rPr>
              <w:t>.</w:t>
            </w:r>
          </w:p>
        </w:tc>
        <w:tc>
          <w:tcPr>
            <w:tcW w:w="3371" w:type="dxa"/>
            <w:tcBorders>
              <w:top w:val="single" w:sz="4" w:space="0" w:color="000000"/>
              <w:left w:val="single" w:sz="4" w:space="0" w:color="000000"/>
              <w:bottom w:val="single" w:sz="4" w:space="0" w:color="000000"/>
              <w:right w:val="single" w:sz="4" w:space="0" w:color="000000"/>
            </w:tcBorders>
            <w:vAlign w:val="center"/>
          </w:tcPr>
          <w:p w14:paraId="3CCED570" w14:textId="7626BFEB" w:rsidR="00DD3A65" w:rsidRPr="00D92AD6" w:rsidRDefault="00DD3A65" w:rsidP="00DD3A65">
            <w:pPr>
              <w:spacing w:before="60" w:after="60"/>
              <w:rPr>
                <w:rFonts w:ascii="Arial" w:hAnsi="Arial" w:cs="Arial"/>
                <w:noProof/>
                <w:color w:val="000000"/>
                <w:sz w:val="18"/>
                <w:szCs w:val="18"/>
              </w:rPr>
            </w:pPr>
            <w:r w:rsidRPr="00D92AD6">
              <w:rPr>
                <w:rFonts w:ascii="Arial" w:hAnsi="Arial" w:cs="Arial"/>
                <w:noProof/>
                <w:color w:val="000000"/>
                <w:sz w:val="18"/>
                <w:szCs w:val="18"/>
              </w:rPr>
              <w:t>Línea de base y metas a diciembre de cada año.</w:t>
            </w:r>
          </w:p>
        </w:tc>
      </w:tr>
      <w:tr w:rsidR="00DD3A65" w:rsidRPr="005542A4" w14:paraId="51AAAF73" w14:textId="77777777" w:rsidTr="00903AE2">
        <w:trPr>
          <w:trHeight w:val="242"/>
        </w:trPr>
        <w:tc>
          <w:tcPr>
            <w:tcW w:w="2369" w:type="dxa"/>
            <w:gridSpan w:val="2"/>
            <w:tcBorders>
              <w:top w:val="single" w:sz="4" w:space="0" w:color="000000"/>
              <w:left w:val="single" w:sz="4" w:space="0" w:color="000000"/>
              <w:bottom w:val="single" w:sz="4" w:space="0" w:color="000000"/>
              <w:right w:val="single" w:sz="4" w:space="0" w:color="000000"/>
            </w:tcBorders>
            <w:vAlign w:val="center"/>
          </w:tcPr>
          <w:p w14:paraId="12DFDDDB" w14:textId="250CB26B" w:rsidR="00DD3A65" w:rsidRPr="00D92AD6" w:rsidRDefault="00DD3A65" w:rsidP="00DD3A65">
            <w:pPr>
              <w:pStyle w:val="ListParagraph"/>
              <w:spacing w:before="60" w:after="60"/>
              <w:ind w:left="0"/>
              <w:rPr>
                <w:rFonts w:ascii="Arial" w:hAnsi="Arial" w:cs="Arial"/>
                <w:noProof/>
                <w:sz w:val="18"/>
                <w:szCs w:val="18"/>
              </w:rPr>
            </w:pPr>
            <w:r w:rsidRPr="007E2B6F">
              <w:rPr>
                <w:rFonts w:ascii="Arial" w:hAnsi="Arial" w:cs="Arial"/>
                <w:color w:val="000000"/>
                <w:sz w:val="18"/>
                <w:szCs w:val="18"/>
                <w:lang w:val="es-MX"/>
              </w:rPr>
              <w:t xml:space="preserve">Programa Anual de Auditorías para la </w:t>
            </w:r>
            <w:r>
              <w:rPr>
                <w:rFonts w:ascii="Arial" w:hAnsi="Arial" w:cs="Arial"/>
                <w:color w:val="000000"/>
                <w:sz w:val="18"/>
                <w:szCs w:val="18"/>
                <w:lang w:val="es-MX"/>
              </w:rPr>
              <w:t>f</w:t>
            </w:r>
            <w:r w:rsidRPr="007E2B6F">
              <w:rPr>
                <w:rFonts w:ascii="Arial" w:hAnsi="Arial" w:cs="Arial"/>
                <w:color w:val="000000"/>
                <w:sz w:val="18"/>
                <w:szCs w:val="18"/>
                <w:lang w:val="es-MX"/>
              </w:rPr>
              <w:t xml:space="preserve">iscalización de la Cuenta Pública que incluya la fiscalización del cumplimiento de la LDF en </w:t>
            </w:r>
            <w:proofErr w:type="spellStart"/>
            <w:r w:rsidRPr="007E2B6F">
              <w:rPr>
                <w:rFonts w:ascii="Arial" w:hAnsi="Arial" w:cs="Arial"/>
                <w:color w:val="000000"/>
                <w:sz w:val="18"/>
                <w:szCs w:val="18"/>
                <w:lang w:val="es-MX"/>
              </w:rPr>
              <w:t>EyM</w:t>
            </w:r>
            <w:proofErr w:type="spellEnd"/>
            <w:r w:rsidRPr="007E2B6F">
              <w:rPr>
                <w:rFonts w:ascii="Arial" w:hAnsi="Arial" w:cs="Arial"/>
                <w:color w:val="000000"/>
                <w:sz w:val="18"/>
                <w:szCs w:val="18"/>
                <w:lang w:val="es-MX"/>
              </w:rPr>
              <w:t xml:space="preserve"> y</w:t>
            </w:r>
            <w:r>
              <w:rPr>
                <w:rFonts w:ascii="Arial" w:hAnsi="Arial" w:cs="Arial"/>
                <w:color w:val="000000"/>
                <w:sz w:val="18"/>
                <w:szCs w:val="18"/>
                <w:lang w:val="es-MX"/>
              </w:rPr>
              <w:t xml:space="preserve"> la</w:t>
            </w:r>
            <w:r w:rsidRPr="007E2B6F">
              <w:rPr>
                <w:rFonts w:ascii="Arial" w:hAnsi="Arial" w:cs="Arial"/>
                <w:color w:val="000000"/>
                <w:sz w:val="18"/>
                <w:szCs w:val="18"/>
                <w:lang w:val="es-MX"/>
              </w:rPr>
              <w:t xml:space="preserve"> fiscalización de la ejecución de participaciones</w:t>
            </w:r>
            <w:r>
              <w:rPr>
                <w:rFonts w:ascii="Arial" w:hAnsi="Arial" w:cs="Arial"/>
                <w:color w:val="000000"/>
                <w:sz w:val="18"/>
                <w:szCs w:val="18"/>
                <w:lang w:val="es-MX"/>
              </w:rPr>
              <w:t xml:space="preserve"> aprobado</w:t>
            </w:r>
            <w:r w:rsidR="0069088B">
              <w:rPr>
                <w:rFonts w:ascii="Arial" w:hAnsi="Arial" w:cs="Arial"/>
                <w:color w:val="000000"/>
                <w:sz w:val="18"/>
                <w:szCs w:val="18"/>
                <w:lang w:val="es-MX"/>
              </w:rPr>
              <w:t>.</w:t>
            </w:r>
          </w:p>
        </w:tc>
        <w:tc>
          <w:tcPr>
            <w:tcW w:w="1175" w:type="dxa"/>
            <w:tcBorders>
              <w:top w:val="single" w:sz="4" w:space="0" w:color="000000"/>
              <w:left w:val="single" w:sz="4" w:space="0" w:color="000000"/>
              <w:bottom w:val="single" w:sz="4" w:space="0" w:color="000000"/>
              <w:right w:val="single" w:sz="4" w:space="0" w:color="000000"/>
            </w:tcBorders>
            <w:vAlign w:val="center"/>
          </w:tcPr>
          <w:p w14:paraId="314EC6EB" w14:textId="4EB1D26E" w:rsidR="00DD3A65" w:rsidRPr="00D92AD6" w:rsidRDefault="00DD3A65" w:rsidP="00DD3A65">
            <w:pPr>
              <w:spacing w:before="60" w:after="60"/>
              <w:jc w:val="center"/>
              <w:rPr>
                <w:rFonts w:ascii="Arial" w:hAnsi="Arial" w:cs="Arial"/>
                <w:noProof/>
                <w:sz w:val="18"/>
                <w:szCs w:val="18"/>
                <w:lang w:eastAsia="zh-CN"/>
              </w:rPr>
            </w:pPr>
            <w:r>
              <w:rPr>
                <w:rFonts w:ascii="Arial" w:hAnsi="Arial" w:cs="Arial"/>
                <w:noProof/>
                <w:sz w:val="18"/>
                <w:szCs w:val="18"/>
                <w:lang w:eastAsia="zh-CN"/>
              </w:rPr>
              <w:t>Programa</w:t>
            </w:r>
            <w:r w:rsidR="00084006">
              <w:rPr>
                <w:rFonts w:ascii="Arial" w:hAnsi="Arial" w:cs="Arial"/>
                <w:noProof/>
                <w:sz w:val="18"/>
                <w:szCs w:val="18"/>
                <w:lang w:eastAsia="zh-CN"/>
              </w:rPr>
              <w:t xml:space="preserve"> de Auditoría</w:t>
            </w:r>
          </w:p>
        </w:tc>
        <w:tc>
          <w:tcPr>
            <w:tcW w:w="993" w:type="dxa"/>
            <w:tcBorders>
              <w:top w:val="single" w:sz="4" w:space="0" w:color="000000"/>
              <w:left w:val="single" w:sz="4" w:space="0" w:color="000000"/>
              <w:bottom w:val="single" w:sz="4" w:space="0" w:color="000000"/>
              <w:right w:val="single" w:sz="4" w:space="0" w:color="000000"/>
            </w:tcBorders>
            <w:vAlign w:val="center"/>
          </w:tcPr>
          <w:p w14:paraId="3631ED3A" w14:textId="26D3CD4C" w:rsidR="00DD3A65" w:rsidRPr="00D92AD6" w:rsidRDefault="00DD3A65" w:rsidP="00DD3A65">
            <w:pPr>
              <w:spacing w:before="60" w:after="60"/>
              <w:jc w:val="center"/>
              <w:rPr>
                <w:rFonts w:ascii="Arial" w:hAnsi="Arial" w:cs="Arial"/>
                <w:noProof/>
                <w:sz w:val="18"/>
                <w:szCs w:val="18"/>
              </w:rPr>
            </w:pPr>
            <w:r>
              <w:rPr>
                <w:rFonts w:ascii="Arial" w:hAnsi="Arial" w:cs="Arial"/>
                <w:noProof/>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3466AB54" w14:textId="2677A96A" w:rsidR="00DD3A65" w:rsidRPr="00D92AD6" w:rsidRDefault="00DD3A65" w:rsidP="00DD3A65">
            <w:pPr>
              <w:spacing w:before="60" w:after="60"/>
              <w:jc w:val="center"/>
              <w:rPr>
                <w:rFonts w:ascii="Arial" w:hAnsi="Arial" w:cs="Arial"/>
                <w:noProof/>
                <w:sz w:val="18"/>
                <w:szCs w:val="18"/>
              </w:rPr>
            </w:pPr>
            <w:r>
              <w:rPr>
                <w:rFonts w:ascii="Arial" w:hAnsi="Arial" w:cs="Arial"/>
                <w:noProof/>
                <w:sz w:val="18"/>
                <w:szCs w:val="18"/>
              </w:rPr>
              <w:t>2015</w:t>
            </w:r>
          </w:p>
        </w:tc>
        <w:tc>
          <w:tcPr>
            <w:tcW w:w="773" w:type="dxa"/>
            <w:tcBorders>
              <w:top w:val="single" w:sz="4" w:space="0" w:color="000000"/>
              <w:left w:val="single" w:sz="4" w:space="0" w:color="000000"/>
              <w:bottom w:val="single" w:sz="4" w:space="0" w:color="000000"/>
              <w:right w:val="single" w:sz="4" w:space="0" w:color="000000"/>
            </w:tcBorders>
            <w:vAlign w:val="center"/>
          </w:tcPr>
          <w:p w14:paraId="61C78683" w14:textId="57AB0D74" w:rsidR="00DD3A65" w:rsidRPr="00D92AD6" w:rsidRDefault="00DD3A65" w:rsidP="00DD3A65">
            <w:pPr>
              <w:spacing w:before="60" w:after="60"/>
              <w:jc w:val="center"/>
              <w:rPr>
                <w:rFonts w:ascii="Arial" w:hAnsi="Arial" w:cs="Arial"/>
                <w:noProof/>
                <w:sz w:val="18"/>
                <w:szCs w:val="18"/>
              </w:rPr>
            </w:pPr>
            <w:r>
              <w:rPr>
                <w:rFonts w:ascii="Arial" w:hAnsi="Arial" w:cs="Arial"/>
                <w:noProof/>
                <w:sz w:val="18"/>
                <w:szCs w:val="18"/>
              </w:rPr>
              <w:t>0</w:t>
            </w:r>
          </w:p>
        </w:tc>
        <w:tc>
          <w:tcPr>
            <w:tcW w:w="1211" w:type="dxa"/>
            <w:tcBorders>
              <w:top w:val="single" w:sz="4" w:space="0" w:color="000000"/>
              <w:left w:val="single" w:sz="4" w:space="0" w:color="000000"/>
              <w:bottom w:val="single" w:sz="4" w:space="0" w:color="000000"/>
              <w:right w:val="single" w:sz="4" w:space="0" w:color="000000"/>
            </w:tcBorders>
            <w:vAlign w:val="center"/>
          </w:tcPr>
          <w:p w14:paraId="3E8036FE" w14:textId="582FF757" w:rsidR="00DD3A65" w:rsidRPr="00D92AD6" w:rsidRDefault="00DD3A65" w:rsidP="00DD3A65">
            <w:pPr>
              <w:spacing w:before="60" w:after="60"/>
              <w:jc w:val="center"/>
              <w:rPr>
                <w:rFonts w:ascii="Arial" w:hAnsi="Arial" w:cs="Arial"/>
                <w:noProof/>
                <w:sz w:val="18"/>
                <w:szCs w:val="18"/>
              </w:rPr>
            </w:pPr>
            <w:r>
              <w:rPr>
                <w:rFonts w:ascii="Arial" w:hAnsi="Arial" w:cs="Arial"/>
                <w:noProof/>
                <w:sz w:val="18"/>
                <w:szCs w:val="18"/>
              </w:rPr>
              <w:t>1</w:t>
            </w:r>
          </w:p>
        </w:tc>
        <w:tc>
          <w:tcPr>
            <w:tcW w:w="2184" w:type="dxa"/>
            <w:tcBorders>
              <w:top w:val="single" w:sz="4" w:space="0" w:color="000000"/>
              <w:left w:val="single" w:sz="4" w:space="0" w:color="000000"/>
              <w:bottom w:val="single" w:sz="4" w:space="0" w:color="000000"/>
              <w:right w:val="single" w:sz="4" w:space="0" w:color="000000"/>
            </w:tcBorders>
            <w:vAlign w:val="center"/>
          </w:tcPr>
          <w:p w14:paraId="57CA7B39" w14:textId="43309ED2" w:rsidR="00DD3A65" w:rsidRPr="00D92AD6" w:rsidRDefault="00DD3A65" w:rsidP="00DD3A65">
            <w:pPr>
              <w:spacing w:before="60" w:after="60"/>
              <w:rPr>
                <w:rFonts w:ascii="Arial" w:hAnsi="Arial" w:cs="Arial"/>
                <w:noProof/>
                <w:sz w:val="18"/>
                <w:szCs w:val="18"/>
              </w:rPr>
            </w:pPr>
            <w:r w:rsidRPr="00D92AD6">
              <w:rPr>
                <w:rFonts w:ascii="Arial" w:hAnsi="Arial" w:cs="Arial"/>
                <w:noProof/>
                <w:sz w:val="18"/>
                <w:szCs w:val="18"/>
              </w:rPr>
              <w:t>Publicación en el DOF</w:t>
            </w:r>
            <w:r>
              <w:rPr>
                <w:rFonts w:ascii="Arial" w:hAnsi="Arial" w:cs="Arial"/>
                <w:noProof/>
                <w:sz w:val="18"/>
                <w:szCs w:val="18"/>
              </w:rPr>
              <w:t>.</w:t>
            </w:r>
          </w:p>
        </w:tc>
        <w:tc>
          <w:tcPr>
            <w:tcW w:w="3371" w:type="dxa"/>
            <w:tcBorders>
              <w:top w:val="single" w:sz="4" w:space="0" w:color="000000"/>
              <w:left w:val="single" w:sz="4" w:space="0" w:color="000000"/>
              <w:bottom w:val="single" w:sz="4" w:space="0" w:color="000000"/>
              <w:right w:val="single" w:sz="4" w:space="0" w:color="000000"/>
            </w:tcBorders>
            <w:vAlign w:val="center"/>
          </w:tcPr>
          <w:p w14:paraId="0DE62874" w14:textId="3B49AC71" w:rsidR="00DD3A65" w:rsidRPr="00D92AD6" w:rsidRDefault="00DD3A65" w:rsidP="00DD3A65">
            <w:pPr>
              <w:spacing w:before="60" w:after="60"/>
              <w:rPr>
                <w:rFonts w:ascii="Arial" w:hAnsi="Arial" w:cs="Arial"/>
                <w:noProof/>
                <w:color w:val="000000"/>
                <w:sz w:val="18"/>
                <w:szCs w:val="18"/>
              </w:rPr>
            </w:pPr>
            <w:r w:rsidRPr="00D92AD6">
              <w:rPr>
                <w:rFonts w:ascii="Arial" w:hAnsi="Arial" w:cs="Arial"/>
                <w:noProof/>
                <w:color w:val="000000"/>
                <w:sz w:val="18"/>
                <w:szCs w:val="18"/>
              </w:rPr>
              <w:t>Línea de base y metas a diciembre de cada año.</w:t>
            </w:r>
          </w:p>
        </w:tc>
      </w:tr>
      <w:tr w:rsidR="00DD3A65" w:rsidRPr="005542A4" w14:paraId="03512B58" w14:textId="77777777" w:rsidTr="00B47CEB">
        <w:trPr>
          <w:trHeight w:val="377"/>
        </w:trPr>
        <w:tc>
          <w:tcPr>
            <w:tcW w:w="13210" w:type="dxa"/>
            <w:gridSpan w:val="9"/>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7FA1F56C" w14:textId="77777777" w:rsidR="00DD3A65" w:rsidRPr="00D92AD6" w:rsidRDefault="00DD3A65" w:rsidP="00B47CEB">
            <w:pPr>
              <w:spacing w:before="60" w:after="60"/>
              <w:rPr>
                <w:rFonts w:ascii="Arial" w:hAnsi="Arial" w:cs="Arial"/>
                <w:b/>
                <w:noProof/>
                <w:color w:val="000000"/>
                <w:sz w:val="20"/>
              </w:rPr>
            </w:pPr>
            <w:r w:rsidRPr="00D92AD6">
              <w:rPr>
                <w:rFonts w:ascii="Arial" w:hAnsi="Arial" w:cs="Arial"/>
                <w:b/>
                <w:noProof/>
                <w:color w:val="000000"/>
                <w:sz w:val="20"/>
              </w:rPr>
              <w:t>Componente #4: Fortalecimiento institucional de Estados y Municipios en materia de responsabilidad hacendaria, trasparencia y rendición de cuentas</w:t>
            </w:r>
          </w:p>
        </w:tc>
      </w:tr>
      <w:tr w:rsidR="00AA3513" w:rsidRPr="005542A4" w14:paraId="747BCA03" w14:textId="77777777" w:rsidTr="00EC3409">
        <w:trPr>
          <w:trHeight w:val="64"/>
        </w:trPr>
        <w:tc>
          <w:tcPr>
            <w:tcW w:w="2369" w:type="dxa"/>
            <w:gridSpan w:val="2"/>
            <w:tcBorders>
              <w:top w:val="single" w:sz="4" w:space="0" w:color="000000"/>
              <w:left w:val="single" w:sz="4" w:space="0" w:color="000000"/>
              <w:bottom w:val="single" w:sz="4" w:space="0" w:color="000000"/>
              <w:right w:val="single" w:sz="4" w:space="0" w:color="000000"/>
            </w:tcBorders>
            <w:vAlign w:val="center"/>
            <w:hideMark/>
          </w:tcPr>
          <w:p w14:paraId="5BF8933A" w14:textId="7325866A" w:rsidR="00AA3513" w:rsidRPr="00E86796" w:rsidRDefault="00AA3513" w:rsidP="00AA3513">
            <w:pPr>
              <w:pStyle w:val="ListParagraph"/>
              <w:spacing w:before="60" w:after="60"/>
              <w:ind w:left="0"/>
              <w:rPr>
                <w:rFonts w:ascii="Arial" w:hAnsi="Arial" w:cs="Arial"/>
                <w:noProof/>
                <w:sz w:val="20"/>
                <w:highlight w:val="yellow"/>
                <w:lang w:eastAsia="zh-CN"/>
              </w:rPr>
            </w:pPr>
            <w:r>
              <w:rPr>
                <w:rFonts w:ascii="Arial" w:hAnsi="Arial" w:cs="Arial"/>
                <w:color w:val="000000"/>
                <w:sz w:val="18"/>
                <w:szCs w:val="18"/>
                <w:lang w:val="es-ES"/>
              </w:rPr>
              <w:t xml:space="preserve">Acuerdos entre la SHCP y EF, en el marco de las Reuniones Anuales de Funcionarios Fiscales, para la implementación por parte del </w:t>
            </w:r>
            <w:r w:rsidRPr="0095010D">
              <w:rPr>
                <w:rFonts w:ascii="Arial" w:eastAsiaTheme="minorHAnsi" w:hAnsi="Arial" w:cs="Arial"/>
                <w:sz w:val="18"/>
                <w:szCs w:val="18"/>
                <w:lang w:val="es-MX"/>
              </w:rPr>
              <w:t xml:space="preserve">Instituto </w:t>
            </w:r>
            <w:r w:rsidRPr="0095010D">
              <w:rPr>
                <w:rFonts w:ascii="Arial" w:eastAsiaTheme="minorHAnsi" w:hAnsi="Arial" w:cs="Arial"/>
                <w:sz w:val="18"/>
                <w:szCs w:val="18"/>
                <w:lang w:val="es-MX"/>
              </w:rPr>
              <w:lastRenderedPageBreak/>
              <w:t>para el Desarrollo Técnico de las Haciendas Públicas</w:t>
            </w:r>
            <w:r>
              <w:rPr>
                <w:rFonts w:ascii="Arial" w:hAnsi="Arial" w:cs="Arial"/>
                <w:color w:val="000000"/>
                <w:sz w:val="18"/>
                <w:szCs w:val="18"/>
                <w:lang w:val="es-ES"/>
              </w:rPr>
              <w:t xml:space="preserve"> (INDETEC) de capacitaciones en materia de </w:t>
            </w:r>
            <w:r w:rsidRPr="008314E3">
              <w:rPr>
                <w:rFonts w:ascii="Arial" w:hAnsi="Arial" w:cs="Arial"/>
                <w:color w:val="000000"/>
                <w:sz w:val="18"/>
                <w:szCs w:val="18"/>
                <w:lang w:val="es-ES"/>
              </w:rPr>
              <w:t>disciplina financiera local</w:t>
            </w:r>
            <w:r w:rsidRPr="008314E3">
              <w:rPr>
                <w:rFonts w:ascii="Arial" w:hAnsi="Arial" w:cs="Arial"/>
                <w:noProof/>
                <w:color w:val="000000"/>
                <w:sz w:val="18"/>
                <w:szCs w:val="18"/>
              </w:rPr>
              <w:t>.</w:t>
            </w:r>
          </w:p>
        </w:tc>
        <w:tc>
          <w:tcPr>
            <w:tcW w:w="1175" w:type="dxa"/>
            <w:tcBorders>
              <w:top w:val="single" w:sz="4" w:space="0" w:color="000000"/>
              <w:left w:val="single" w:sz="4" w:space="0" w:color="000000"/>
              <w:bottom w:val="single" w:sz="4" w:space="0" w:color="000000"/>
              <w:right w:val="single" w:sz="4" w:space="0" w:color="000000"/>
            </w:tcBorders>
            <w:vAlign w:val="center"/>
          </w:tcPr>
          <w:p w14:paraId="6A35041E" w14:textId="6F4070F0" w:rsidR="00AA3513" w:rsidRPr="00701F23" w:rsidRDefault="00AA3513" w:rsidP="00AA3513">
            <w:pPr>
              <w:spacing w:before="60" w:after="60"/>
              <w:jc w:val="center"/>
              <w:rPr>
                <w:rFonts w:ascii="Arial" w:hAnsi="Arial" w:cs="Arial"/>
                <w:noProof/>
                <w:sz w:val="18"/>
                <w:szCs w:val="18"/>
                <w:lang w:eastAsia="zh-CN"/>
              </w:rPr>
            </w:pPr>
            <w:r>
              <w:rPr>
                <w:rFonts w:ascii="Arial" w:hAnsi="Arial" w:cs="Arial"/>
                <w:noProof/>
                <w:sz w:val="18"/>
                <w:szCs w:val="18"/>
                <w:lang w:eastAsia="zh-CN"/>
              </w:rPr>
              <w:lastRenderedPageBreak/>
              <w:t>Acuerdos</w:t>
            </w:r>
          </w:p>
        </w:tc>
        <w:tc>
          <w:tcPr>
            <w:tcW w:w="993" w:type="dxa"/>
            <w:tcBorders>
              <w:top w:val="single" w:sz="4" w:space="0" w:color="000000"/>
              <w:left w:val="single" w:sz="4" w:space="0" w:color="000000"/>
              <w:bottom w:val="single" w:sz="4" w:space="0" w:color="000000"/>
              <w:right w:val="single" w:sz="4" w:space="0" w:color="000000"/>
            </w:tcBorders>
            <w:vAlign w:val="center"/>
          </w:tcPr>
          <w:p w14:paraId="0EEBE0E6" w14:textId="1639A119" w:rsidR="00AA3513" w:rsidRPr="00701F23" w:rsidRDefault="00AA3513" w:rsidP="00AA3513">
            <w:pPr>
              <w:spacing w:before="60" w:after="60"/>
              <w:jc w:val="center"/>
              <w:rPr>
                <w:rFonts w:ascii="Arial" w:hAnsi="Arial" w:cs="Arial"/>
                <w:noProof/>
                <w:sz w:val="20"/>
                <w:lang w:eastAsia="zh-CN"/>
              </w:rPr>
            </w:pPr>
            <w:r w:rsidRPr="00697976">
              <w:rPr>
                <w:rFonts w:ascii="Arial" w:hAnsi="Arial" w:cs="Arial"/>
                <w:noProof/>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A1F7D8C" w14:textId="0231EF73" w:rsidR="00AA3513" w:rsidRPr="00971DB7" w:rsidRDefault="00AA3513" w:rsidP="00AA3513">
            <w:pPr>
              <w:spacing w:before="60" w:after="60"/>
              <w:jc w:val="center"/>
              <w:rPr>
                <w:rFonts w:ascii="Arial" w:hAnsi="Arial" w:cs="Arial"/>
                <w:noProof/>
                <w:sz w:val="18"/>
                <w:szCs w:val="18"/>
              </w:rPr>
            </w:pPr>
            <w:r w:rsidRPr="00971DB7">
              <w:rPr>
                <w:rFonts w:ascii="Arial" w:hAnsi="Arial" w:cs="Arial"/>
                <w:noProof/>
                <w:sz w:val="18"/>
                <w:szCs w:val="18"/>
              </w:rPr>
              <w:t>201</w:t>
            </w:r>
            <w:r>
              <w:rPr>
                <w:rFonts w:ascii="Arial" w:hAnsi="Arial" w:cs="Arial"/>
                <w:noProof/>
                <w:sz w:val="18"/>
                <w:szCs w:val="18"/>
              </w:rPr>
              <w:t>5</w:t>
            </w:r>
          </w:p>
        </w:tc>
        <w:tc>
          <w:tcPr>
            <w:tcW w:w="773" w:type="dxa"/>
            <w:tcBorders>
              <w:top w:val="single" w:sz="4" w:space="0" w:color="000000"/>
              <w:left w:val="single" w:sz="4" w:space="0" w:color="000000"/>
              <w:bottom w:val="single" w:sz="4" w:space="0" w:color="000000"/>
              <w:right w:val="single" w:sz="4" w:space="0" w:color="000000"/>
            </w:tcBorders>
            <w:vAlign w:val="center"/>
          </w:tcPr>
          <w:p w14:paraId="75201ADB" w14:textId="50BBB969" w:rsidR="00AA3513" w:rsidRPr="00971DB7" w:rsidRDefault="00AA3513" w:rsidP="00AA3513">
            <w:pPr>
              <w:spacing w:before="60" w:after="60"/>
              <w:jc w:val="center"/>
              <w:rPr>
                <w:rFonts w:ascii="Arial" w:hAnsi="Arial" w:cs="Arial"/>
                <w:noProof/>
                <w:sz w:val="18"/>
                <w:szCs w:val="18"/>
                <w:lang w:eastAsia="zh-CN"/>
              </w:rPr>
            </w:pPr>
            <w:r w:rsidRPr="00971DB7">
              <w:rPr>
                <w:rFonts w:ascii="Arial" w:hAnsi="Arial" w:cs="Arial"/>
                <w:noProof/>
                <w:sz w:val="18"/>
                <w:szCs w:val="18"/>
              </w:rPr>
              <w:t>1</w:t>
            </w:r>
          </w:p>
        </w:tc>
        <w:tc>
          <w:tcPr>
            <w:tcW w:w="1211" w:type="dxa"/>
            <w:tcBorders>
              <w:top w:val="single" w:sz="4" w:space="0" w:color="000000"/>
              <w:left w:val="single" w:sz="4" w:space="0" w:color="000000"/>
              <w:bottom w:val="single" w:sz="4" w:space="0" w:color="000000"/>
              <w:right w:val="single" w:sz="4" w:space="0" w:color="000000"/>
            </w:tcBorders>
            <w:vAlign w:val="center"/>
          </w:tcPr>
          <w:p w14:paraId="6BB329D5" w14:textId="4CC4D88C" w:rsidR="00AA3513" w:rsidRPr="00971DB7" w:rsidRDefault="00AA3513" w:rsidP="00AA3513">
            <w:pPr>
              <w:spacing w:before="60" w:after="60"/>
              <w:jc w:val="center"/>
              <w:rPr>
                <w:rFonts w:ascii="Arial" w:hAnsi="Arial" w:cs="Arial"/>
                <w:noProof/>
                <w:sz w:val="18"/>
                <w:szCs w:val="18"/>
              </w:rPr>
            </w:pPr>
            <w:r w:rsidRPr="00971DB7">
              <w:rPr>
                <w:rFonts w:ascii="Arial" w:hAnsi="Arial" w:cs="Arial"/>
                <w:noProof/>
                <w:sz w:val="18"/>
                <w:szCs w:val="18"/>
              </w:rPr>
              <w:t>1</w:t>
            </w:r>
          </w:p>
        </w:tc>
        <w:tc>
          <w:tcPr>
            <w:tcW w:w="2184" w:type="dxa"/>
            <w:tcBorders>
              <w:top w:val="single" w:sz="4" w:space="0" w:color="000000"/>
              <w:left w:val="single" w:sz="4" w:space="0" w:color="000000"/>
              <w:bottom w:val="single" w:sz="4" w:space="0" w:color="000000"/>
              <w:right w:val="single" w:sz="4" w:space="0" w:color="000000"/>
            </w:tcBorders>
            <w:vAlign w:val="center"/>
          </w:tcPr>
          <w:p w14:paraId="5358CE55" w14:textId="3F734F3E" w:rsidR="00AA3513" w:rsidRPr="00701F23" w:rsidRDefault="00AA3513" w:rsidP="00AA3513">
            <w:pPr>
              <w:spacing w:before="60" w:after="60"/>
              <w:rPr>
                <w:rFonts w:ascii="Arial" w:hAnsi="Arial" w:cs="Arial"/>
                <w:noProof/>
                <w:sz w:val="20"/>
                <w:lang w:eastAsia="zh-CN"/>
              </w:rPr>
            </w:pPr>
            <w:r w:rsidRPr="00EB616C">
              <w:rPr>
                <w:rFonts w:ascii="Arial" w:hAnsi="Arial" w:cs="Arial"/>
                <w:color w:val="000000"/>
                <w:sz w:val="18"/>
                <w:szCs w:val="18"/>
                <w:lang w:val="es-ES"/>
              </w:rPr>
              <w:t>Acuerdos de la XLVII Reunión Nacional de Funcionarios Fiscales</w:t>
            </w:r>
            <w:r w:rsidRPr="00701F23">
              <w:rPr>
                <w:rFonts w:ascii="Arial" w:hAnsi="Arial" w:cs="Arial"/>
                <w:noProof/>
                <w:color w:val="000000"/>
                <w:sz w:val="18"/>
                <w:szCs w:val="18"/>
              </w:rPr>
              <w:t>.</w:t>
            </w:r>
          </w:p>
        </w:tc>
        <w:tc>
          <w:tcPr>
            <w:tcW w:w="3371" w:type="dxa"/>
            <w:tcBorders>
              <w:top w:val="single" w:sz="4" w:space="0" w:color="000000"/>
              <w:left w:val="single" w:sz="4" w:space="0" w:color="000000"/>
              <w:bottom w:val="single" w:sz="4" w:space="0" w:color="000000"/>
              <w:right w:val="single" w:sz="4" w:space="0" w:color="000000"/>
            </w:tcBorders>
            <w:vAlign w:val="center"/>
          </w:tcPr>
          <w:p w14:paraId="10F079C2" w14:textId="45B3C3A8" w:rsidR="00AA3513" w:rsidRPr="00701F23" w:rsidRDefault="00AA3513" w:rsidP="00AA3513">
            <w:pPr>
              <w:spacing w:before="60" w:after="60"/>
              <w:rPr>
                <w:rFonts w:ascii="Arial" w:hAnsi="Arial" w:cs="Arial"/>
                <w:noProof/>
                <w:sz w:val="20"/>
                <w:lang w:eastAsia="zh-CN"/>
              </w:rPr>
            </w:pPr>
            <w:r w:rsidRPr="00701F23">
              <w:rPr>
                <w:rFonts w:ascii="Arial" w:hAnsi="Arial" w:cs="Arial"/>
                <w:noProof/>
                <w:color w:val="000000"/>
                <w:sz w:val="18"/>
                <w:szCs w:val="18"/>
              </w:rPr>
              <w:t>Línea de base y metas a diciembre de cada año.</w:t>
            </w:r>
          </w:p>
        </w:tc>
      </w:tr>
      <w:tr w:rsidR="00AA3513" w:rsidRPr="005542A4" w14:paraId="0ABBA601" w14:textId="77777777" w:rsidTr="00EC3409">
        <w:trPr>
          <w:trHeight w:val="64"/>
        </w:trPr>
        <w:tc>
          <w:tcPr>
            <w:tcW w:w="2369" w:type="dxa"/>
            <w:gridSpan w:val="2"/>
            <w:tcBorders>
              <w:top w:val="single" w:sz="4" w:space="0" w:color="000000"/>
              <w:left w:val="single" w:sz="4" w:space="0" w:color="000000"/>
              <w:bottom w:val="single" w:sz="4" w:space="0" w:color="000000"/>
              <w:right w:val="single" w:sz="4" w:space="0" w:color="000000"/>
            </w:tcBorders>
            <w:vAlign w:val="center"/>
          </w:tcPr>
          <w:p w14:paraId="4C01BA51" w14:textId="51E1A71B" w:rsidR="00AA3513" w:rsidRPr="00E86796" w:rsidRDefault="00AA3513" w:rsidP="00AA3513">
            <w:pPr>
              <w:pStyle w:val="ListParagraph"/>
              <w:spacing w:before="60" w:after="60"/>
              <w:ind w:left="0"/>
              <w:rPr>
                <w:rFonts w:ascii="Arial" w:hAnsi="Arial" w:cs="Arial"/>
                <w:noProof/>
                <w:color w:val="000000"/>
                <w:sz w:val="18"/>
                <w:szCs w:val="18"/>
                <w:highlight w:val="yellow"/>
              </w:rPr>
            </w:pPr>
            <w:r>
              <w:rPr>
                <w:rFonts w:ascii="Arial" w:hAnsi="Arial" w:cs="Arial"/>
                <w:color w:val="000000"/>
                <w:sz w:val="18"/>
                <w:szCs w:val="18"/>
                <w:lang w:val="es-ES"/>
              </w:rPr>
              <w:t>Cursos o eventos de capacitación en materia</w:t>
            </w:r>
            <w:r w:rsidR="008314E3">
              <w:rPr>
                <w:rFonts w:ascii="Arial" w:hAnsi="Arial" w:cs="Arial"/>
                <w:color w:val="000000"/>
                <w:sz w:val="18"/>
                <w:szCs w:val="18"/>
                <w:lang w:val="es-ES"/>
              </w:rPr>
              <w:t xml:space="preserve"> de</w:t>
            </w:r>
            <w:r>
              <w:rPr>
                <w:rFonts w:ascii="Arial" w:hAnsi="Arial" w:cs="Arial"/>
                <w:color w:val="000000"/>
                <w:sz w:val="18"/>
                <w:szCs w:val="18"/>
                <w:lang w:val="es-ES"/>
              </w:rPr>
              <w:t xml:space="preserve"> disciplina </w:t>
            </w:r>
            <w:r w:rsidRPr="008314E3">
              <w:rPr>
                <w:rFonts w:ascii="Arial" w:hAnsi="Arial" w:cs="Arial"/>
                <w:color w:val="000000"/>
                <w:sz w:val="18"/>
                <w:szCs w:val="18"/>
                <w:lang w:val="es-ES"/>
              </w:rPr>
              <w:t>financiera implementados por el INDETEC</w:t>
            </w:r>
            <w:r w:rsidR="00073882">
              <w:rPr>
                <w:rFonts w:ascii="Arial" w:hAnsi="Arial" w:cs="Arial"/>
                <w:color w:val="000000"/>
                <w:sz w:val="18"/>
                <w:szCs w:val="18"/>
                <w:lang w:val="es-ES"/>
              </w:rPr>
              <w:t>.</w:t>
            </w:r>
          </w:p>
        </w:tc>
        <w:tc>
          <w:tcPr>
            <w:tcW w:w="1175" w:type="dxa"/>
            <w:tcBorders>
              <w:top w:val="single" w:sz="4" w:space="0" w:color="000000"/>
              <w:left w:val="single" w:sz="4" w:space="0" w:color="000000"/>
              <w:bottom w:val="single" w:sz="4" w:space="0" w:color="000000"/>
              <w:right w:val="single" w:sz="4" w:space="0" w:color="000000"/>
            </w:tcBorders>
            <w:vAlign w:val="center"/>
          </w:tcPr>
          <w:p w14:paraId="79559E8C" w14:textId="0B1484A7" w:rsidR="00AA3513" w:rsidRPr="00701F23" w:rsidRDefault="00AA3513" w:rsidP="00AA3513">
            <w:pPr>
              <w:spacing w:before="60" w:after="60"/>
              <w:jc w:val="center"/>
              <w:rPr>
                <w:rFonts w:ascii="Arial" w:hAnsi="Arial" w:cs="Arial"/>
                <w:noProof/>
                <w:sz w:val="18"/>
                <w:szCs w:val="18"/>
                <w:lang w:eastAsia="zh-CN"/>
              </w:rPr>
            </w:pPr>
            <w:r>
              <w:rPr>
                <w:rFonts w:ascii="Arial" w:hAnsi="Arial" w:cs="Arial"/>
                <w:noProof/>
                <w:sz w:val="18"/>
                <w:szCs w:val="18"/>
                <w:lang w:eastAsia="zh-CN"/>
              </w:rPr>
              <w:t>Cursos o Eventos</w:t>
            </w:r>
          </w:p>
        </w:tc>
        <w:tc>
          <w:tcPr>
            <w:tcW w:w="993" w:type="dxa"/>
            <w:tcBorders>
              <w:top w:val="single" w:sz="4" w:space="0" w:color="000000"/>
              <w:left w:val="single" w:sz="4" w:space="0" w:color="000000"/>
              <w:bottom w:val="single" w:sz="4" w:space="0" w:color="000000"/>
              <w:right w:val="single" w:sz="4" w:space="0" w:color="000000"/>
            </w:tcBorders>
            <w:vAlign w:val="center"/>
          </w:tcPr>
          <w:p w14:paraId="64B05AFE" w14:textId="2D31B317" w:rsidR="00AA3513" w:rsidRPr="00701F23" w:rsidRDefault="00AA3513" w:rsidP="00AA3513">
            <w:pPr>
              <w:spacing w:before="60" w:after="60"/>
              <w:jc w:val="center"/>
              <w:rPr>
                <w:rFonts w:ascii="Arial" w:hAnsi="Arial" w:cs="Arial"/>
                <w:noProof/>
                <w:sz w:val="18"/>
                <w:szCs w:val="18"/>
              </w:rPr>
            </w:pPr>
            <w:r w:rsidRPr="00697976">
              <w:rPr>
                <w:rFonts w:ascii="Arial" w:hAnsi="Arial" w:cs="Arial"/>
                <w:noProof/>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C9F9F1C" w14:textId="1429E5B6" w:rsidR="00AA3513" w:rsidRPr="00971DB7" w:rsidRDefault="00AA3513" w:rsidP="00AA3513">
            <w:pPr>
              <w:spacing w:before="60" w:after="60"/>
              <w:jc w:val="center"/>
              <w:rPr>
                <w:rFonts w:ascii="Arial" w:hAnsi="Arial" w:cs="Arial"/>
                <w:noProof/>
                <w:sz w:val="18"/>
                <w:szCs w:val="18"/>
              </w:rPr>
            </w:pPr>
            <w:r w:rsidRPr="00971DB7">
              <w:rPr>
                <w:rFonts w:ascii="Arial" w:hAnsi="Arial" w:cs="Arial"/>
                <w:noProof/>
                <w:sz w:val="18"/>
                <w:szCs w:val="18"/>
              </w:rPr>
              <w:t>201</w:t>
            </w:r>
            <w:r>
              <w:rPr>
                <w:rFonts w:ascii="Arial" w:hAnsi="Arial" w:cs="Arial"/>
                <w:noProof/>
                <w:sz w:val="18"/>
                <w:szCs w:val="18"/>
              </w:rPr>
              <w:t>5</w:t>
            </w:r>
          </w:p>
        </w:tc>
        <w:tc>
          <w:tcPr>
            <w:tcW w:w="773" w:type="dxa"/>
            <w:tcBorders>
              <w:top w:val="single" w:sz="4" w:space="0" w:color="000000"/>
              <w:left w:val="single" w:sz="4" w:space="0" w:color="000000"/>
              <w:bottom w:val="single" w:sz="4" w:space="0" w:color="000000"/>
              <w:right w:val="single" w:sz="4" w:space="0" w:color="000000"/>
            </w:tcBorders>
            <w:vAlign w:val="center"/>
          </w:tcPr>
          <w:p w14:paraId="72A7D108" w14:textId="19420C68" w:rsidR="00AA3513" w:rsidRPr="00971DB7" w:rsidRDefault="00B00E26" w:rsidP="00AA3513">
            <w:pPr>
              <w:spacing w:before="60" w:after="60"/>
              <w:jc w:val="center"/>
              <w:rPr>
                <w:rFonts w:ascii="Arial" w:hAnsi="Arial" w:cs="Arial"/>
                <w:noProof/>
                <w:sz w:val="18"/>
                <w:szCs w:val="18"/>
              </w:rPr>
            </w:pPr>
            <w:r>
              <w:rPr>
                <w:rFonts w:ascii="Arial" w:hAnsi="Arial" w:cs="Arial"/>
                <w:noProof/>
                <w:sz w:val="18"/>
                <w:szCs w:val="18"/>
              </w:rPr>
              <w:t>35</w:t>
            </w:r>
          </w:p>
        </w:tc>
        <w:tc>
          <w:tcPr>
            <w:tcW w:w="1211" w:type="dxa"/>
            <w:tcBorders>
              <w:top w:val="single" w:sz="4" w:space="0" w:color="000000"/>
              <w:left w:val="single" w:sz="4" w:space="0" w:color="000000"/>
              <w:bottom w:val="single" w:sz="4" w:space="0" w:color="000000"/>
              <w:right w:val="single" w:sz="4" w:space="0" w:color="000000"/>
            </w:tcBorders>
            <w:vAlign w:val="center"/>
          </w:tcPr>
          <w:p w14:paraId="2B0B1446" w14:textId="1909B149" w:rsidR="00AA3513" w:rsidRPr="00971DB7" w:rsidRDefault="00073882" w:rsidP="00AA3513">
            <w:pPr>
              <w:spacing w:before="60" w:after="60"/>
              <w:jc w:val="center"/>
              <w:rPr>
                <w:rFonts w:ascii="Arial" w:hAnsi="Arial" w:cs="Arial"/>
                <w:noProof/>
                <w:sz w:val="18"/>
                <w:szCs w:val="18"/>
              </w:rPr>
            </w:pPr>
            <w:r>
              <w:rPr>
                <w:rFonts w:ascii="Arial" w:hAnsi="Arial" w:cs="Arial"/>
                <w:noProof/>
                <w:sz w:val="18"/>
                <w:szCs w:val="18"/>
              </w:rPr>
              <w:t>60</w:t>
            </w:r>
          </w:p>
        </w:tc>
        <w:tc>
          <w:tcPr>
            <w:tcW w:w="2184" w:type="dxa"/>
            <w:tcBorders>
              <w:top w:val="single" w:sz="4" w:space="0" w:color="000000"/>
              <w:left w:val="single" w:sz="4" w:space="0" w:color="000000"/>
              <w:bottom w:val="single" w:sz="4" w:space="0" w:color="000000"/>
              <w:right w:val="single" w:sz="4" w:space="0" w:color="000000"/>
            </w:tcBorders>
            <w:vAlign w:val="center"/>
          </w:tcPr>
          <w:p w14:paraId="6315785A" w14:textId="23BDA40E" w:rsidR="00AA3513" w:rsidRPr="00701F23" w:rsidRDefault="00AA3513" w:rsidP="00AA3513">
            <w:pPr>
              <w:spacing w:before="60" w:after="60"/>
              <w:rPr>
                <w:rFonts w:ascii="Arial" w:hAnsi="Arial" w:cs="Arial"/>
                <w:noProof/>
                <w:color w:val="000000"/>
                <w:sz w:val="18"/>
                <w:szCs w:val="18"/>
              </w:rPr>
            </w:pPr>
            <w:r w:rsidRPr="00EB616C">
              <w:rPr>
                <w:rFonts w:ascii="Arial" w:hAnsi="Arial" w:cs="Arial"/>
                <w:color w:val="000000"/>
                <w:sz w:val="18"/>
                <w:szCs w:val="18"/>
                <w:lang w:val="es-ES"/>
              </w:rPr>
              <w:t>Reporte</w:t>
            </w:r>
            <w:r>
              <w:rPr>
                <w:rFonts w:ascii="Arial" w:hAnsi="Arial" w:cs="Arial"/>
                <w:color w:val="000000"/>
                <w:sz w:val="18"/>
                <w:szCs w:val="18"/>
                <w:lang w:val="es-ES"/>
              </w:rPr>
              <w:t>s</w:t>
            </w:r>
            <w:r w:rsidRPr="00EB616C">
              <w:rPr>
                <w:rFonts w:ascii="Arial" w:hAnsi="Arial" w:cs="Arial"/>
                <w:color w:val="000000"/>
                <w:sz w:val="18"/>
                <w:szCs w:val="18"/>
                <w:lang w:val="es-ES"/>
              </w:rPr>
              <w:t xml:space="preserve"> del INDETEC</w:t>
            </w:r>
            <w:r>
              <w:rPr>
                <w:rFonts w:ascii="Arial" w:hAnsi="Arial" w:cs="Arial"/>
                <w:color w:val="000000"/>
                <w:sz w:val="18"/>
                <w:szCs w:val="18"/>
                <w:lang w:val="es-ES"/>
              </w:rPr>
              <w:t xml:space="preserve"> a las Reuniones Anuales de Funcionarios Fiscales</w:t>
            </w:r>
            <w:r w:rsidRPr="00701F23">
              <w:rPr>
                <w:rFonts w:ascii="Arial" w:hAnsi="Arial" w:cs="Arial"/>
                <w:noProof/>
                <w:color w:val="000000"/>
                <w:sz w:val="18"/>
                <w:szCs w:val="18"/>
              </w:rPr>
              <w:t>.</w:t>
            </w:r>
          </w:p>
        </w:tc>
        <w:tc>
          <w:tcPr>
            <w:tcW w:w="3371" w:type="dxa"/>
            <w:tcBorders>
              <w:top w:val="single" w:sz="4" w:space="0" w:color="000000"/>
              <w:left w:val="single" w:sz="4" w:space="0" w:color="000000"/>
              <w:bottom w:val="single" w:sz="4" w:space="0" w:color="000000"/>
              <w:right w:val="single" w:sz="4" w:space="0" w:color="000000"/>
            </w:tcBorders>
            <w:vAlign w:val="center"/>
          </w:tcPr>
          <w:p w14:paraId="49B6F401" w14:textId="71E3CB2B" w:rsidR="00AA3513" w:rsidRPr="00701F23" w:rsidRDefault="00AA3513" w:rsidP="00AA3513">
            <w:pPr>
              <w:spacing w:before="60" w:after="60"/>
              <w:rPr>
                <w:rFonts w:ascii="Arial" w:hAnsi="Arial" w:cs="Arial"/>
                <w:noProof/>
                <w:color w:val="000000"/>
                <w:sz w:val="18"/>
                <w:szCs w:val="18"/>
              </w:rPr>
            </w:pPr>
            <w:r w:rsidRPr="00701F23">
              <w:rPr>
                <w:rFonts w:ascii="Arial" w:hAnsi="Arial" w:cs="Arial"/>
                <w:noProof/>
                <w:color w:val="000000"/>
                <w:sz w:val="18"/>
                <w:szCs w:val="18"/>
              </w:rPr>
              <w:t>Línea de base y metas a diciembre de cada año.</w:t>
            </w:r>
            <w:r w:rsidR="00CD2018">
              <w:rPr>
                <w:rFonts w:ascii="Arial" w:hAnsi="Arial" w:cs="Arial"/>
                <w:noProof/>
                <w:color w:val="000000"/>
                <w:sz w:val="18"/>
                <w:szCs w:val="18"/>
              </w:rPr>
              <w:t xml:space="preserve"> Indicador es acumulativo.</w:t>
            </w:r>
          </w:p>
        </w:tc>
      </w:tr>
    </w:tbl>
    <w:p w14:paraId="037A1639" w14:textId="7DB32AF2" w:rsidR="00441FF0" w:rsidRPr="00441FF0" w:rsidRDefault="00441FF0" w:rsidP="00441FF0"/>
    <w:p w14:paraId="5D83867D" w14:textId="77777777" w:rsidR="00441FF0" w:rsidRPr="00441FF0" w:rsidRDefault="00441FF0" w:rsidP="00441FF0">
      <w:pPr>
        <w:rPr>
          <w:lang w:val="es-ES"/>
        </w:rPr>
      </w:pPr>
    </w:p>
    <w:p w14:paraId="7329B7E2" w14:textId="77777777" w:rsidR="009F6FC6" w:rsidRPr="009F6FC6" w:rsidRDefault="009F6FC6" w:rsidP="009F6FC6"/>
    <w:p w14:paraId="228059E8" w14:textId="77777777" w:rsidR="009F6FC6" w:rsidRDefault="009F6FC6" w:rsidP="009F6FC6">
      <w:pPr>
        <w:pStyle w:val="FirstHeading"/>
        <w:spacing w:after="0"/>
        <w:rPr>
          <w:rFonts w:ascii="Arial" w:hAnsi="Arial" w:cs="Arial"/>
          <w:sz w:val="22"/>
          <w:szCs w:val="22"/>
        </w:rPr>
        <w:sectPr w:rsidR="009F6FC6" w:rsidSect="005A0ED4">
          <w:pgSz w:w="15840" w:h="12240" w:orient="landscape" w:code="1"/>
          <w:pgMar w:top="1800" w:right="1440" w:bottom="1800" w:left="1440" w:header="706" w:footer="706" w:gutter="0"/>
          <w:cols w:space="720"/>
          <w:formProt w:val="0"/>
          <w:docGrid w:linePitch="326"/>
        </w:sectPr>
      </w:pPr>
    </w:p>
    <w:p w14:paraId="3105D60D" w14:textId="46F7B1DF" w:rsidR="009F6FC6" w:rsidRDefault="009F6FC6" w:rsidP="009F6FC6">
      <w:pPr>
        <w:pStyle w:val="FirstHeading"/>
        <w:spacing w:after="0"/>
        <w:rPr>
          <w:rFonts w:ascii="Arial" w:hAnsi="Arial" w:cs="Arial"/>
          <w:sz w:val="22"/>
          <w:szCs w:val="22"/>
        </w:rPr>
      </w:pPr>
      <w:bookmarkStart w:id="3" w:name="_Toc508105577"/>
      <w:r>
        <w:rPr>
          <w:rFonts w:ascii="Arial" w:hAnsi="Arial" w:cs="Arial"/>
          <w:sz w:val="22"/>
          <w:szCs w:val="22"/>
        </w:rPr>
        <w:lastRenderedPageBreak/>
        <w:t>B.</w:t>
      </w:r>
      <w:r>
        <w:rPr>
          <w:rFonts w:ascii="Arial" w:hAnsi="Arial" w:cs="Arial"/>
          <w:sz w:val="22"/>
          <w:szCs w:val="22"/>
        </w:rPr>
        <w:tab/>
        <w:t xml:space="preserve">Recolección de </w:t>
      </w:r>
      <w:r w:rsidR="00483743">
        <w:rPr>
          <w:rFonts w:ascii="Arial" w:hAnsi="Arial" w:cs="Arial"/>
          <w:sz w:val="22"/>
          <w:szCs w:val="22"/>
        </w:rPr>
        <w:t>d</w:t>
      </w:r>
      <w:r>
        <w:rPr>
          <w:rFonts w:ascii="Arial" w:hAnsi="Arial" w:cs="Arial"/>
          <w:sz w:val="22"/>
          <w:szCs w:val="22"/>
        </w:rPr>
        <w:t xml:space="preserve">atos e </w:t>
      </w:r>
      <w:r w:rsidR="00483743">
        <w:rPr>
          <w:rFonts w:ascii="Arial" w:hAnsi="Arial" w:cs="Arial"/>
          <w:sz w:val="22"/>
          <w:szCs w:val="22"/>
        </w:rPr>
        <w:t>i</w:t>
      </w:r>
      <w:r>
        <w:rPr>
          <w:rFonts w:ascii="Arial" w:hAnsi="Arial" w:cs="Arial"/>
          <w:sz w:val="22"/>
          <w:szCs w:val="22"/>
        </w:rPr>
        <w:t>nstrumentos</w:t>
      </w:r>
      <w:bookmarkEnd w:id="3"/>
    </w:p>
    <w:p w14:paraId="58302F4A" w14:textId="2377EC3C" w:rsidR="00B61E42" w:rsidRPr="00B61E42" w:rsidRDefault="007C1307" w:rsidP="007C1307">
      <w:pPr>
        <w:pStyle w:val="Paragraph"/>
        <w:tabs>
          <w:tab w:val="num" w:pos="1440"/>
        </w:tabs>
        <w:rPr>
          <w:rFonts w:ascii="Arial" w:hAnsi="Arial" w:cs="Arial"/>
          <w:sz w:val="22"/>
          <w:szCs w:val="22"/>
        </w:rPr>
      </w:pPr>
      <w:r w:rsidRPr="007C1307">
        <w:rPr>
          <w:rFonts w:ascii="Arial" w:hAnsi="Arial" w:cs="Arial"/>
          <w:color w:val="000000"/>
          <w:sz w:val="22"/>
          <w:szCs w:val="22"/>
        </w:rPr>
        <w:t>A nivel de productos, la información será pres</w:t>
      </w:r>
      <w:r w:rsidR="00253D3E">
        <w:rPr>
          <w:rFonts w:ascii="Arial" w:hAnsi="Arial" w:cs="Arial"/>
          <w:color w:val="000000"/>
          <w:sz w:val="22"/>
          <w:szCs w:val="22"/>
        </w:rPr>
        <w:t xml:space="preserve">entada al Banco como parte del </w:t>
      </w:r>
      <w:r w:rsidRPr="007C1307">
        <w:rPr>
          <w:rFonts w:ascii="Arial" w:hAnsi="Arial" w:cs="Arial"/>
          <w:color w:val="000000"/>
          <w:sz w:val="22"/>
          <w:szCs w:val="22"/>
        </w:rPr>
        <w:t xml:space="preserve">informe de cumplimiento de </w:t>
      </w:r>
      <w:r w:rsidR="00432830">
        <w:rPr>
          <w:rFonts w:ascii="Arial" w:hAnsi="Arial" w:cs="Arial"/>
          <w:color w:val="000000"/>
          <w:sz w:val="22"/>
          <w:szCs w:val="22"/>
        </w:rPr>
        <w:t>los compromisos</w:t>
      </w:r>
      <w:r w:rsidRPr="007C1307">
        <w:rPr>
          <w:rFonts w:ascii="Arial" w:hAnsi="Arial" w:cs="Arial"/>
          <w:color w:val="000000"/>
          <w:sz w:val="22"/>
          <w:szCs w:val="22"/>
        </w:rPr>
        <w:t xml:space="preserve"> a ser llevado a cabo por un consultor independiente. </w:t>
      </w:r>
      <w:r w:rsidR="0026386D">
        <w:rPr>
          <w:rFonts w:ascii="Arial" w:hAnsi="Arial" w:cs="Arial"/>
          <w:color w:val="000000"/>
          <w:sz w:val="22"/>
          <w:szCs w:val="22"/>
        </w:rPr>
        <w:t xml:space="preserve">Los productos a los que se les dará seguimiento son los que </w:t>
      </w:r>
      <w:r w:rsidR="00D954A1">
        <w:rPr>
          <w:rFonts w:ascii="Arial" w:hAnsi="Arial" w:cs="Arial"/>
          <w:color w:val="000000"/>
          <w:sz w:val="22"/>
          <w:szCs w:val="22"/>
        </w:rPr>
        <w:t xml:space="preserve">se especifican en la sección de productos de la matriz de resultados de esta operación. </w:t>
      </w:r>
      <w:r w:rsidRPr="007C1307">
        <w:rPr>
          <w:rFonts w:ascii="Arial" w:hAnsi="Arial" w:cs="Arial"/>
          <w:color w:val="000000"/>
          <w:sz w:val="22"/>
          <w:szCs w:val="22"/>
        </w:rPr>
        <w:t>En dicho informe se verificará el avance</w:t>
      </w:r>
      <w:r w:rsidR="00253D3E">
        <w:rPr>
          <w:rFonts w:ascii="Arial" w:hAnsi="Arial" w:cs="Arial"/>
          <w:color w:val="000000"/>
          <w:sz w:val="22"/>
          <w:szCs w:val="22"/>
        </w:rPr>
        <w:t xml:space="preserve"> o el </w:t>
      </w:r>
      <w:r w:rsidRPr="007C1307">
        <w:rPr>
          <w:rFonts w:ascii="Arial" w:hAnsi="Arial" w:cs="Arial"/>
          <w:color w:val="000000"/>
          <w:sz w:val="22"/>
          <w:szCs w:val="22"/>
        </w:rPr>
        <w:t xml:space="preserve">cumplimiento de cada uno de los indicadores durante el período evaluado y se deberá presentar la documentación de respaldo correspondiente (por ejemplo, evidencia de la publicación de la normativa correspondiente en el Diario Oficial de la Federación). </w:t>
      </w:r>
    </w:p>
    <w:p w14:paraId="6CC90CC4" w14:textId="7D8EB1A0" w:rsidR="007C1307" w:rsidRPr="007C1307" w:rsidRDefault="007C1307" w:rsidP="007C1307">
      <w:pPr>
        <w:pStyle w:val="Paragraph"/>
        <w:tabs>
          <w:tab w:val="num" w:pos="1440"/>
        </w:tabs>
        <w:rPr>
          <w:rFonts w:ascii="Arial" w:hAnsi="Arial" w:cs="Arial"/>
          <w:sz w:val="22"/>
          <w:szCs w:val="22"/>
        </w:rPr>
      </w:pPr>
      <w:r w:rsidRPr="007C1307">
        <w:rPr>
          <w:rFonts w:ascii="Arial" w:hAnsi="Arial" w:cs="Arial"/>
          <w:color w:val="000000"/>
          <w:sz w:val="22"/>
          <w:szCs w:val="22"/>
        </w:rPr>
        <w:t xml:space="preserve">Para el seguimiento de los resultados, se utilizará la información publicada </w:t>
      </w:r>
      <w:r w:rsidR="001C125B">
        <w:rPr>
          <w:rFonts w:ascii="Arial" w:hAnsi="Arial" w:cs="Arial"/>
          <w:color w:val="000000"/>
          <w:sz w:val="22"/>
          <w:szCs w:val="22"/>
        </w:rPr>
        <w:t>en medios</w:t>
      </w:r>
      <w:r w:rsidRPr="007C1307">
        <w:rPr>
          <w:rFonts w:ascii="Arial" w:hAnsi="Arial" w:cs="Arial"/>
          <w:color w:val="000000"/>
          <w:sz w:val="22"/>
          <w:szCs w:val="22"/>
        </w:rPr>
        <w:t xml:space="preserve"> oficiales</w:t>
      </w:r>
      <w:r w:rsidR="001C125B">
        <w:rPr>
          <w:rFonts w:ascii="Arial" w:hAnsi="Arial" w:cs="Arial"/>
          <w:color w:val="000000"/>
          <w:sz w:val="22"/>
          <w:szCs w:val="22"/>
        </w:rPr>
        <w:t xml:space="preserve"> por parte del </w:t>
      </w:r>
      <w:r w:rsidRPr="007C1307">
        <w:rPr>
          <w:rFonts w:ascii="Arial" w:hAnsi="Arial" w:cs="Arial"/>
          <w:color w:val="000000"/>
          <w:sz w:val="22"/>
          <w:szCs w:val="22"/>
        </w:rPr>
        <w:t>Gobierno de los Estados Unidos Mexicanos (en lo sucesivo El Gobierno)</w:t>
      </w:r>
      <w:r w:rsidR="001C125B">
        <w:rPr>
          <w:rFonts w:ascii="Arial" w:hAnsi="Arial" w:cs="Arial"/>
          <w:color w:val="000000"/>
          <w:sz w:val="22"/>
          <w:szCs w:val="22"/>
        </w:rPr>
        <w:t xml:space="preserve"> y los gobiernos estatales. También se utilizará información publicada en medio oficiales por </w:t>
      </w:r>
      <w:r w:rsidR="00253D3E">
        <w:rPr>
          <w:rFonts w:ascii="Arial" w:hAnsi="Arial" w:cs="Arial"/>
          <w:color w:val="000000"/>
          <w:sz w:val="22"/>
          <w:szCs w:val="22"/>
        </w:rPr>
        <w:t xml:space="preserve">el </w:t>
      </w:r>
      <w:r w:rsidR="00DE0E72">
        <w:rPr>
          <w:rFonts w:ascii="Arial" w:hAnsi="Arial" w:cs="Arial"/>
          <w:color w:val="000000"/>
          <w:sz w:val="22"/>
          <w:szCs w:val="22"/>
        </w:rPr>
        <w:t xml:space="preserve">Banco de México y el </w:t>
      </w:r>
      <w:r w:rsidR="006A0C51">
        <w:rPr>
          <w:rFonts w:ascii="Arial" w:hAnsi="Arial" w:cs="Arial"/>
          <w:color w:val="000000"/>
          <w:sz w:val="22"/>
          <w:szCs w:val="22"/>
        </w:rPr>
        <w:t>INEGI</w:t>
      </w:r>
      <w:r w:rsidRPr="007C1307">
        <w:rPr>
          <w:rFonts w:ascii="Arial" w:hAnsi="Arial" w:cs="Arial"/>
          <w:color w:val="000000"/>
          <w:sz w:val="22"/>
          <w:szCs w:val="22"/>
        </w:rPr>
        <w:t xml:space="preserve">. </w:t>
      </w:r>
    </w:p>
    <w:p w14:paraId="6CC90CC5" w14:textId="55D96F90" w:rsidR="00022BE3" w:rsidRPr="007C1307" w:rsidRDefault="007C1307" w:rsidP="00022BE3">
      <w:pPr>
        <w:pStyle w:val="Paragraph"/>
        <w:rPr>
          <w:rFonts w:ascii="Arial" w:hAnsi="Arial" w:cs="Arial"/>
          <w:sz w:val="22"/>
          <w:szCs w:val="22"/>
        </w:rPr>
      </w:pPr>
      <w:r w:rsidRPr="007C1307">
        <w:rPr>
          <w:rFonts w:ascii="Arial" w:hAnsi="Arial" w:cs="Arial"/>
          <w:color w:val="000000"/>
          <w:sz w:val="22"/>
          <w:szCs w:val="22"/>
        </w:rPr>
        <w:t>La contratación de los consultores independientes será responsabilidad del equipo de proyecto de este programa en el B</w:t>
      </w:r>
      <w:r w:rsidR="00253D3E">
        <w:rPr>
          <w:rFonts w:ascii="Arial" w:hAnsi="Arial" w:cs="Arial"/>
          <w:color w:val="000000"/>
          <w:sz w:val="22"/>
          <w:szCs w:val="22"/>
        </w:rPr>
        <w:t>anco Interamericano de Desarrollo (B</w:t>
      </w:r>
      <w:r w:rsidRPr="007C1307">
        <w:rPr>
          <w:rFonts w:ascii="Arial" w:hAnsi="Arial" w:cs="Arial"/>
          <w:color w:val="000000"/>
          <w:sz w:val="22"/>
          <w:szCs w:val="22"/>
        </w:rPr>
        <w:t>ID</w:t>
      </w:r>
      <w:r w:rsidR="00253D3E">
        <w:rPr>
          <w:rFonts w:ascii="Arial" w:hAnsi="Arial" w:cs="Arial"/>
          <w:color w:val="000000"/>
          <w:sz w:val="22"/>
          <w:szCs w:val="22"/>
        </w:rPr>
        <w:t>)</w:t>
      </w:r>
      <w:r w:rsidRPr="007C1307">
        <w:rPr>
          <w:rFonts w:ascii="Arial" w:hAnsi="Arial" w:cs="Arial"/>
          <w:color w:val="000000"/>
          <w:sz w:val="22"/>
          <w:szCs w:val="22"/>
        </w:rPr>
        <w:t>. La información requerida para monitorear y verificar el cumplimiento de los indicadores se verificará en el Diario Oficial de la Federación</w:t>
      </w:r>
      <w:r w:rsidR="00253D3E">
        <w:rPr>
          <w:rFonts w:ascii="Arial" w:hAnsi="Arial" w:cs="Arial"/>
          <w:color w:val="000000"/>
          <w:sz w:val="22"/>
          <w:szCs w:val="22"/>
        </w:rPr>
        <w:t xml:space="preserve"> (DOF)</w:t>
      </w:r>
      <w:r w:rsidRPr="007C1307">
        <w:rPr>
          <w:rFonts w:ascii="Arial" w:hAnsi="Arial" w:cs="Arial"/>
          <w:color w:val="000000"/>
          <w:sz w:val="22"/>
          <w:szCs w:val="22"/>
        </w:rPr>
        <w:t xml:space="preserve"> </w:t>
      </w:r>
      <w:r w:rsidR="00253D3E">
        <w:rPr>
          <w:rFonts w:ascii="Arial" w:hAnsi="Arial" w:cs="Arial"/>
          <w:color w:val="000000"/>
          <w:sz w:val="22"/>
          <w:szCs w:val="22"/>
        </w:rPr>
        <w:t>o</w:t>
      </w:r>
      <w:r w:rsidRPr="007C1307">
        <w:rPr>
          <w:rFonts w:ascii="Arial" w:hAnsi="Arial" w:cs="Arial"/>
          <w:color w:val="000000"/>
          <w:sz w:val="22"/>
          <w:szCs w:val="22"/>
        </w:rPr>
        <w:t xml:space="preserve"> se solicitará a las instancias pertinentes de la</w:t>
      </w:r>
      <w:r w:rsidR="001C125B">
        <w:rPr>
          <w:rFonts w:ascii="Arial" w:hAnsi="Arial" w:cs="Arial"/>
          <w:color w:val="000000"/>
          <w:sz w:val="22"/>
          <w:szCs w:val="22"/>
        </w:rPr>
        <w:t xml:space="preserve"> Secretaría de Hacienda y Crédito Público (</w:t>
      </w:r>
      <w:r w:rsidRPr="007C1307">
        <w:rPr>
          <w:rFonts w:ascii="Arial" w:hAnsi="Arial" w:cs="Arial"/>
          <w:color w:val="000000"/>
          <w:sz w:val="22"/>
          <w:szCs w:val="22"/>
        </w:rPr>
        <w:t>SHCP</w:t>
      </w:r>
      <w:r w:rsidR="001C125B">
        <w:rPr>
          <w:rFonts w:ascii="Arial" w:hAnsi="Arial" w:cs="Arial"/>
          <w:color w:val="000000"/>
          <w:sz w:val="22"/>
          <w:szCs w:val="22"/>
        </w:rPr>
        <w:t>)</w:t>
      </w:r>
      <w:r w:rsidR="00253D3E">
        <w:rPr>
          <w:rFonts w:ascii="Arial" w:hAnsi="Arial" w:cs="Arial"/>
          <w:color w:val="000000"/>
          <w:sz w:val="22"/>
          <w:szCs w:val="22"/>
        </w:rPr>
        <w:t xml:space="preserve">, el </w:t>
      </w:r>
      <w:r w:rsidR="00D80AF0">
        <w:rPr>
          <w:rFonts w:ascii="Arial" w:hAnsi="Arial" w:cs="Arial"/>
          <w:color w:val="000000"/>
          <w:sz w:val="22"/>
          <w:szCs w:val="22"/>
        </w:rPr>
        <w:t>INEGI</w:t>
      </w:r>
      <w:r w:rsidR="000B5D29">
        <w:rPr>
          <w:rFonts w:ascii="Arial" w:hAnsi="Arial" w:cs="Arial"/>
          <w:color w:val="000000"/>
          <w:sz w:val="22"/>
          <w:szCs w:val="22"/>
        </w:rPr>
        <w:t>,</w:t>
      </w:r>
      <w:r w:rsidR="00253D3E">
        <w:rPr>
          <w:rFonts w:ascii="Arial" w:hAnsi="Arial" w:cs="Arial"/>
          <w:color w:val="000000"/>
          <w:sz w:val="22"/>
          <w:szCs w:val="22"/>
        </w:rPr>
        <w:t xml:space="preserve"> el </w:t>
      </w:r>
      <w:r w:rsidR="00D80AF0">
        <w:rPr>
          <w:rFonts w:ascii="Arial" w:hAnsi="Arial" w:cs="Arial"/>
          <w:color w:val="000000"/>
          <w:sz w:val="22"/>
          <w:szCs w:val="22"/>
        </w:rPr>
        <w:t>Banco de México</w:t>
      </w:r>
      <w:r w:rsidR="000B5D29">
        <w:rPr>
          <w:rFonts w:ascii="Arial" w:hAnsi="Arial" w:cs="Arial"/>
          <w:color w:val="000000"/>
          <w:sz w:val="22"/>
          <w:szCs w:val="22"/>
        </w:rPr>
        <w:t xml:space="preserve"> y el </w:t>
      </w:r>
      <w:r w:rsidR="000B5D29" w:rsidRPr="007678B2">
        <w:rPr>
          <w:rFonts w:ascii="Arial" w:hAnsi="Arial" w:cs="Arial"/>
          <w:sz w:val="22"/>
          <w:szCs w:val="22"/>
          <w:lang w:val="es-MX"/>
        </w:rPr>
        <w:t>Instituto para el Desarrollo Técnico de las Haciendas Públicas</w:t>
      </w:r>
      <w:r w:rsidR="000B5D29">
        <w:rPr>
          <w:rFonts w:ascii="Arial" w:hAnsi="Arial" w:cs="Arial"/>
          <w:sz w:val="22"/>
          <w:szCs w:val="22"/>
          <w:lang w:val="es-MX"/>
        </w:rPr>
        <w:t xml:space="preserve"> (INDETEC)</w:t>
      </w:r>
      <w:r w:rsidRPr="007C1307">
        <w:rPr>
          <w:rFonts w:ascii="Arial" w:hAnsi="Arial" w:cs="Arial"/>
          <w:color w:val="000000"/>
          <w:sz w:val="22"/>
          <w:szCs w:val="22"/>
        </w:rPr>
        <w:t>.</w:t>
      </w:r>
      <w:r w:rsidR="00022BE3" w:rsidRPr="007C1307">
        <w:rPr>
          <w:rFonts w:ascii="Arial" w:hAnsi="Arial" w:cs="Arial"/>
          <w:sz w:val="22"/>
          <w:szCs w:val="22"/>
        </w:rPr>
        <w:t xml:space="preserve"> </w:t>
      </w:r>
    </w:p>
    <w:p w14:paraId="6CC90CC6" w14:textId="66413199" w:rsidR="00022BE3" w:rsidRPr="00EB0154" w:rsidRDefault="00022BE3" w:rsidP="00022BE3">
      <w:pPr>
        <w:pStyle w:val="FirstHeading"/>
        <w:rPr>
          <w:rFonts w:ascii="Arial" w:hAnsi="Arial" w:cs="Arial"/>
          <w:noProof/>
          <w:sz w:val="22"/>
          <w:szCs w:val="22"/>
        </w:rPr>
      </w:pPr>
      <w:bookmarkStart w:id="4" w:name="_Toc468199037"/>
      <w:r>
        <w:rPr>
          <w:rFonts w:ascii="Arial" w:hAnsi="Arial" w:cs="Arial"/>
          <w:sz w:val="22"/>
          <w:szCs w:val="22"/>
        </w:rPr>
        <w:t>C</w:t>
      </w:r>
      <w:r w:rsidRPr="00EB0154">
        <w:rPr>
          <w:rFonts w:ascii="Arial" w:hAnsi="Arial" w:cs="Arial"/>
          <w:sz w:val="22"/>
          <w:szCs w:val="22"/>
        </w:rPr>
        <w:t>.</w:t>
      </w:r>
      <w:r w:rsidRPr="00EB0154">
        <w:rPr>
          <w:rFonts w:ascii="Arial" w:hAnsi="Arial" w:cs="Arial"/>
          <w:sz w:val="22"/>
          <w:szCs w:val="22"/>
        </w:rPr>
        <w:tab/>
      </w:r>
      <w:r>
        <w:rPr>
          <w:rFonts w:ascii="Arial" w:hAnsi="Arial" w:cs="Arial"/>
          <w:sz w:val="22"/>
          <w:szCs w:val="22"/>
        </w:rPr>
        <w:t xml:space="preserve">Presentación de </w:t>
      </w:r>
      <w:r w:rsidR="00483743">
        <w:rPr>
          <w:rFonts w:ascii="Arial" w:hAnsi="Arial" w:cs="Arial"/>
          <w:sz w:val="22"/>
          <w:szCs w:val="22"/>
        </w:rPr>
        <w:t>i</w:t>
      </w:r>
      <w:r>
        <w:rPr>
          <w:rFonts w:ascii="Arial" w:hAnsi="Arial" w:cs="Arial"/>
          <w:sz w:val="22"/>
          <w:szCs w:val="22"/>
        </w:rPr>
        <w:t>nformes</w:t>
      </w:r>
      <w:bookmarkEnd w:id="4"/>
    </w:p>
    <w:p w14:paraId="6CC90CC7" w14:textId="79934733" w:rsidR="007C1307" w:rsidRPr="007C1307" w:rsidRDefault="007C1307" w:rsidP="007C1307">
      <w:pPr>
        <w:pStyle w:val="Paragraph"/>
        <w:tabs>
          <w:tab w:val="num" w:pos="1440"/>
        </w:tabs>
        <w:rPr>
          <w:rFonts w:ascii="Arial" w:hAnsi="Arial" w:cs="Arial"/>
          <w:sz w:val="22"/>
          <w:szCs w:val="22"/>
        </w:rPr>
      </w:pPr>
      <w:r w:rsidRPr="007C1307">
        <w:rPr>
          <w:rFonts w:ascii="Arial" w:hAnsi="Arial" w:cs="Arial"/>
          <w:color w:val="000000"/>
          <w:sz w:val="22"/>
          <w:szCs w:val="22"/>
        </w:rPr>
        <w:t>El principal insumo de monitoreo de la operación será el informe de cumplimiento de</w:t>
      </w:r>
      <w:r w:rsidR="00432830">
        <w:rPr>
          <w:rFonts w:ascii="Arial" w:hAnsi="Arial" w:cs="Arial"/>
          <w:color w:val="000000"/>
          <w:sz w:val="22"/>
          <w:szCs w:val="22"/>
        </w:rPr>
        <w:t xml:space="preserve"> los compromisos</w:t>
      </w:r>
      <w:r w:rsidRPr="007C1307">
        <w:rPr>
          <w:rFonts w:ascii="Arial" w:hAnsi="Arial" w:cs="Arial"/>
          <w:color w:val="000000"/>
          <w:sz w:val="22"/>
          <w:szCs w:val="22"/>
        </w:rPr>
        <w:t xml:space="preserve"> del préstamo, a ser entregado posteriormente a la aprobación del Programa por parte del Directorio del Banco. Este informe deberá verificar el cumplimiento de</w:t>
      </w:r>
      <w:r w:rsidR="00432830">
        <w:rPr>
          <w:rFonts w:ascii="Arial" w:hAnsi="Arial" w:cs="Arial"/>
          <w:color w:val="000000"/>
          <w:sz w:val="22"/>
          <w:szCs w:val="22"/>
        </w:rPr>
        <w:t xml:space="preserve"> los compromisos definidos</w:t>
      </w:r>
      <w:r w:rsidRPr="007C1307">
        <w:rPr>
          <w:rFonts w:ascii="Arial" w:hAnsi="Arial" w:cs="Arial"/>
          <w:color w:val="000000"/>
          <w:sz w:val="22"/>
          <w:szCs w:val="22"/>
        </w:rPr>
        <w:t xml:space="preserve"> para esta operación en la Matriz de Políticas (ver Anexo II de</w:t>
      </w:r>
      <w:r w:rsidR="00825B36">
        <w:rPr>
          <w:rFonts w:ascii="Arial" w:hAnsi="Arial" w:cs="Arial"/>
          <w:color w:val="000000"/>
          <w:sz w:val="22"/>
          <w:szCs w:val="22"/>
        </w:rPr>
        <w:t xml:space="preserve"> </w:t>
      </w:r>
      <w:r w:rsidRPr="007C1307">
        <w:rPr>
          <w:rFonts w:ascii="Arial" w:hAnsi="Arial" w:cs="Arial"/>
          <w:color w:val="000000"/>
          <w:sz w:val="22"/>
          <w:szCs w:val="22"/>
        </w:rPr>
        <w:t>l</w:t>
      </w:r>
      <w:r w:rsidR="00825B36">
        <w:rPr>
          <w:rFonts w:ascii="Arial" w:hAnsi="Arial" w:cs="Arial"/>
          <w:color w:val="000000"/>
          <w:sz w:val="22"/>
          <w:szCs w:val="22"/>
        </w:rPr>
        <w:t>a</w:t>
      </w:r>
      <w:r w:rsidRPr="007C1307">
        <w:rPr>
          <w:rFonts w:ascii="Arial" w:hAnsi="Arial" w:cs="Arial"/>
          <w:color w:val="000000"/>
          <w:sz w:val="22"/>
          <w:szCs w:val="22"/>
        </w:rPr>
        <w:t xml:space="preserve"> </w:t>
      </w:r>
      <w:r w:rsidR="00825B36">
        <w:rPr>
          <w:rFonts w:ascii="Arial" w:hAnsi="Arial" w:cs="Arial"/>
          <w:color w:val="000000"/>
          <w:sz w:val="22"/>
          <w:szCs w:val="22"/>
        </w:rPr>
        <w:t>Propuesta de Desarrollo de la Operación (</w:t>
      </w:r>
      <w:r w:rsidRPr="007C1307">
        <w:rPr>
          <w:rFonts w:ascii="Arial" w:hAnsi="Arial" w:cs="Arial"/>
          <w:color w:val="000000"/>
          <w:sz w:val="22"/>
          <w:szCs w:val="22"/>
        </w:rPr>
        <w:t>POD)</w:t>
      </w:r>
      <w:r w:rsidR="00825B36">
        <w:rPr>
          <w:rFonts w:ascii="Arial" w:hAnsi="Arial" w:cs="Arial"/>
          <w:color w:val="000000"/>
          <w:sz w:val="22"/>
          <w:szCs w:val="22"/>
        </w:rPr>
        <w:t>)</w:t>
      </w:r>
      <w:r w:rsidRPr="007C1307">
        <w:rPr>
          <w:rFonts w:ascii="Arial" w:hAnsi="Arial" w:cs="Arial"/>
          <w:color w:val="000000"/>
          <w:sz w:val="22"/>
          <w:szCs w:val="22"/>
        </w:rPr>
        <w:t>.</w:t>
      </w:r>
    </w:p>
    <w:p w14:paraId="6CC90CC9" w14:textId="7C0E707D" w:rsidR="00022BE3" w:rsidRPr="00912F01" w:rsidRDefault="007C1307" w:rsidP="00912F01">
      <w:pPr>
        <w:pStyle w:val="Paragraph"/>
        <w:tabs>
          <w:tab w:val="num" w:pos="1440"/>
        </w:tabs>
        <w:rPr>
          <w:rFonts w:ascii="Arial" w:hAnsi="Arial" w:cs="Arial"/>
          <w:sz w:val="22"/>
          <w:szCs w:val="22"/>
        </w:rPr>
      </w:pPr>
      <w:r w:rsidRPr="007C1307">
        <w:rPr>
          <w:rFonts w:ascii="Arial" w:hAnsi="Arial" w:cs="Arial"/>
          <w:color w:val="000000"/>
          <w:sz w:val="22"/>
          <w:szCs w:val="22"/>
        </w:rPr>
        <w:t xml:space="preserve">La evaluación final del programa se realizará al finalizar el plazo </w:t>
      </w:r>
      <w:r w:rsidR="00B32BE9">
        <w:rPr>
          <w:rFonts w:ascii="Arial" w:hAnsi="Arial" w:cs="Arial"/>
          <w:color w:val="000000"/>
          <w:sz w:val="22"/>
          <w:szCs w:val="22"/>
        </w:rPr>
        <w:t>de ejecución de la segunda operación de la serie programática</w:t>
      </w:r>
      <w:r w:rsidR="00F3301D">
        <w:rPr>
          <w:rFonts w:ascii="Arial" w:hAnsi="Arial" w:cs="Arial"/>
          <w:color w:val="000000"/>
          <w:sz w:val="22"/>
          <w:szCs w:val="22"/>
        </w:rPr>
        <w:t xml:space="preserve"> en 2019 o 2020,</w:t>
      </w:r>
      <w:r w:rsidR="00B32BE9">
        <w:rPr>
          <w:rFonts w:ascii="Arial" w:hAnsi="Arial" w:cs="Arial"/>
          <w:color w:val="000000"/>
          <w:sz w:val="22"/>
          <w:szCs w:val="22"/>
        </w:rPr>
        <w:t xml:space="preserve"> </w:t>
      </w:r>
      <w:r w:rsidRPr="007C1307">
        <w:rPr>
          <w:rFonts w:ascii="Arial" w:hAnsi="Arial" w:cs="Arial"/>
          <w:color w:val="000000"/>
          <w:sz w:val="22"/>
          <w:szCs w:val="22"/>
        </w:rPr>
        <w:t>y examinará</w:t>
      </w:r>
      <w:r w:rsidR="00215781">
        <w:rPr>
          <w:rFonts w:ascii="Arial" w:hAnsi="Arial" w:cs="Arial"/>
          <w:color w:val="000000"/>
          <w:sz w:val="22"/>
          <w:szCs w:val="22"/>
        </w:rPr>
        <w:t xml:space="preserve"> </w:t>
      </w:r>
      <w:r w:rsidRPr="007C1307">
        <w:rPr>
          <w:rFonts w:ascii="Arial" w:hAnsi="Arial" w:cs="Arial"/>
          <w:color w:val="000000"/>
          <w:sz w:val="22"/>
          <w:szCs w:val="22"/>
        </w:rPr>
        <w:t>los resultados alcanzados por el programa, medidos en cuanto al logro de las metas y desempeño de los indicadores establecidos en la Matriz de Resultados y los indicadores del cuadro 1.</w:t>
      </w:r>
    </w:p>
    <w:p w14:paraId="6CC90CCA" w14:textId="54EAAD78" w:rsidR="00022BE3" w:rsidRPr="00EB0154" w:rsidRDefault="00022BE3" w:rsidP="00022BE3">
      <w:pPr>
        <w:pStyle w:val="FirstHeading"/>
        <w:rPr>
          <w:rFonts w:ascii="Arial" w:hAnsi="Arial" w:cs="Arial"/>
          <w:noProof/>
          <w:sz w:val="22"/>
          <w:szCs w:val="22"/>
        </w:rPr>
      </w:pPr>
      <w:bookmarkStart w:id="5" w:name="_Toc468199038"/>
      <w:r>
        <w:rPr>
          <w:rFonts w:ascii="Arial" w:hAnsi="Arial" w:cs="Arial"/>
          <w:sz w:val="22"/>
          <w:szCs w:val="22"/>
        </w:rPr>
        <w:t>D</w:t>
      </w:r>
      <w:r w:rsidRPr="00EB0154">
        <w:rPr>
          <w:rFonts w:ascii="Arial" w:hAnsi="Arial" w:cs="Arial"/>
          <w:sz w:val="22"/>
          <w:szCs w:val="22"/>
        </w:rPr>
        <w:t>.</w:t>
      </w:r>
      <w:r w:rsidRPr="00EB0154">
        <w:rPr>
          <w:rFonts w:ascii="Arial" w:hAnsi="Arial" w:cs="Arial"/>
          <w:sz w:val="22"/>
          <w:szCs w:val="22"/>
        </w:rPr>
        <w:tab/>
      </w:r>
      <w:r>
        <w:rPr>
          <w:rFonts w:ascii="Arial" w:hAnsi="Arial" w:cs="Arial"/>
          <w:sz w:val="22"/>
          <w:szCs w:val="22"/>
        </w:rPr>
        <w:t xml:space="preserve">Coordinación, </w:t>
      </w:r>
      <w:r w:rsidR="00483743">
        <w:rPr>
          <w:rFonts w:ascii="Arial" w:hAnsi="Arial" w:cs="Arial"/>
          <w:sz w:val="22"/>
          <w:szCs w:val="22"/>
        </w:rPr>
        <w:t>p</w:t>
      </w:r>
      <w:r>
        <w:rPr>
          <w:rFonts w:ascii="Arial" w:hAnsi="Arial" w:cs="Arial"/>
          <w:sz w:val="22"/>
          <w:szCs w:val="22"/>
        </w:rPr>
        <w:t xml:space="preserve">lan de </w:t>
      </w:r>
      <w:r w:rsidR="00483743">
        <w:rPr>
          <w:rFonts w:ascii="Arial" w:hAnsi="Arial" w:cs="Arial"/>
          <w:sz w:val="22"/>
          <w:szCs w:val="22"/>
        </w:rPr>
        <w:t>t</w:t>
      </w:r>
      <w:r>
        <w:rPr>
          <w:rFonts w:ascii="Arial" w:hAnsi="Arial" w:cs="Arial"/>
          <w:sz w:val="22"/>
          <w:szCs w:val="22"/>
        </w:rPr>
        <w:t xml:space="preserve">rabajo y </w:t>
      </w:r>
      <w:r w:rsidR="00483743">
        <w:rPr>
          <w:rFonts w:ascii="Arial" w:hAnsi="Arial" w:cs="Arial"/>
          <w:sz w:val="22"/>
          <w:szCs w:val="22"/>
        </w:rPr>
        <w:t>p</w:t>
      </w:r>
      <w:r>
        <w:rPr>
          <w:rFonts w:ascii="Arial" w:hAnsi="Arial" w:cs="Arial"/>
          <w:sz w:val="22"/>
          <w:szCs w:val="22"/>
        </w:rPr>
        <w:t xml:space="preserve">resupuesto del </w:t>
      </w:r>
      <w:r w:rsidR="00483743">
        <w:rPr>
          <w:rFonts w:ascii="Arial" w:hAnsi="Arial" w:cs="Arial"/>
          <w:sz w:val="22"/>
          <w:szCs w:val="22"/>
        </w:rPr>
        <w:t>s</w:t>
      </w:r>
      <w:r>
        <w:rPr>
          <w:rFonts w:ascii="Arial" w:hAnsi="Arial" w:cs="Arial"/>
          <w:sz w:val="22"/>
          <w:szCs w:val="22"/>
        </w:rPr>
        <w:t>eguimiento</w:t>
      </w:r>
      <w:bookmarkEnd w:id="5"/>
    </w:p>
    <w:p w14:paraId="3AB05456" w14:textId="77777777" w:rsidR="00CB7EF0" w:rsidRDefault="007C1307" w:rsidP="007C1307">
      <w:pPr>
        <w:pStyle w:val="Paragraph"/>
        <w:tabs>
          <w:tab w:val="num" w:pos="1440"/>
        </w:tabs>
        <w:rPr>
          <w:rFonts w:ascii="Arial" w:hAnsi="Arial" w:cs="Arial"/>
          <w:color w:val="000000"/>
          <w:sz w:val="22"/>
          <w:szCs w:val="22"/>
        </w:rPr>
      </w:pPr>
      <w:r w:rsidRPr="007C1307">
        <w:rPr>
          <w:rFonts w:ascii="Arial" w:hAnsi="Arial" w:cs="Arial"/>
          <w:color w:val="000000"/>
          <w:sz w:val="22"/>
          <w:szCs w:val="22"/>
        </w:rPr>
        <w:t xml:space="preserve">Las actividades de monitoreo y elaboración de informes serán coordinadas por el equipo de proyecto de este programa en conjunto con </w:t>
      </w:r>
      <w:r w:rsidR="009777D5">
        <w:rPr>
          <w:rFonts w:ascii="Arial" w:hAnsi="Arial" w:cs="Arial"/>
          <w:color w:val="000000"/>
          <w:sz w:val="22"/>
          <w:szCs w:val="22"/>
        </w:rPr>
        <w:t>la SHCP</w:t>
      </w:r>
      <w:r w:rsidRPr="007C1307">
        <w:rPr>
          <w:rFonts w:ascii="Arial" w:hAnsi="Arial" w:cs="Arial"/>
          <w:color w:val="000000"/>
          <w:sz w:val="22"/>
          <w:szCs w:val="22"/>
        </w:rPr>
        <w:t xml:space="preserve">, con </w:t>
      </w:r>
      <w:r w:rsidR="00DB7888">
        <w:rPr>
          <w:rFonts w:ascii="Arial" w:hAnsi="Arial" w:cs="Arial"/>
          <w:color w:val="000000"/>
          <w:sz w:val="22"/>
          <w:szCs w:val="22"/>
        </w:rPr>
        <w:t>quienes</w:t>
      </w:r>
      <w:r w:rsidRPr="007C1307">
        <w:rPr>
          <w:rFonts w:ascii="Arial" w:hAnsi="Arial" w:cs="Arial"/>
          <w:color w:val="000000"/>
          <w:sz w:val="22"/>
          <w:szCs w:val="22"/>
        </w:rPr>
        <w:t xml:space="preserve"> se ha </w:t>
      </w:r>
      <w:r w:rsidR="00DB7888">
        <w:rPr>
          <w:rFonts w:ascii="Arial" w:hAnsi="Arial" w:cs="Arial"/>
          <w:color w:val="000000"/>
          <w:sz w:val="22"/>
          <w:szCs w:val="22"/>
        </w:rPr>
        <w:t>acordado</w:t>
      </w:r>
      <w:r w:rsidR="00CC788C">
        <w:rPr>
          <w:rFonts w:ascii="Arial" w:hAnsi="Arial" w:cs="Arial"/>
          <w:color w:val="000000"/>
          <w:sz w:val="22"/>
          <w:szCs w:val="22"/>
        </w:rPr>
        <w:t xml:space="preserve"> monitorear</w:t>
      </w:r>
      <w:r w:rsidRPr="007C1307">
        <w:rPr>
          <w:rFonts w:ascii="Arial" w:hAnsi="Arial" w:cs="Arial"/>
          <w:color w:val="000000"/>
          <w:sz w:val="22"/>
          <w:szCs w:val="22"/>
        </w:rPr>
        <w:t xml:space="preserve"> los indicadores propuestos en este Programa. Se planea realizar una reunión de supervisión </w:t>
      </w:r>
      <w:r w:rsidR="008169BE">
        <w:rPr>
          <w:rFonts w:ascii="Arial" w:hAnsi="Arial" w:cs="Arial"/>
          <w:color w:val="000000"/>
          <w:sz w:val="22"/>
          <w:szCs w:val="22"/>
        </w:rPr>
        <w:t>anua</w:t>
      </w:r>
      <w:r w:rsidR="009777D5">
        <w:rPr>
          <w:rFonts w:ascii="Arial" w:hAnsi="Arial" w:cs="Arial"/>
          <w:color w:val="000000"/>
          <w:sz w:val="22"/>
          <w:szCs w:val="22"/>
        </w:rPr>
        <w:t>lmente</w:t>
      </w:r>
      <w:r w:rsidRPr="007C1307">
        <w:rPr>
          <w:rFonts w:ascii="Arial" w:hAnsi="Arial" w:cs="Arial"/>
          <w:color w:val="000000"/>
          <w:sz w:val="22"/>
          <w:szCs w:val="22"/>
        </w:rPr>
        <w:t>, para la evaluación del progreso de los indicadores de monitoreo.</w:t>
      </w:r>
      <w:r w:rsidR="00735808">
        <w:rPr>
          <w:rFonts w:ascii="Arial" w:hAnsi="Arial" w:cs="Arial"/>
          <w:color w:val="000000"/>
          <w:sz w:val="22"/>
          <w:szCs w:val="22"/>
        </w:rPr>
        <w:t xml:space="preserve"> </w:t>
      </w:r>
    </w:p>
    <w:p w14:paraId="6CC90CCB" w14:textId="046EC071" w:rsidR="00215781" w:rsidRDefault="00735808" w:rsidP="007C1307">
      <w:pPr>
        <w:pStyle w:val="Paragraph"/>
        <w:tabs>
          <w:tab w:val="num" w:pos="1440"/>
        </w:tabs>
        <w:rPr>
          <w:rFonts w:ascii="Arial" w:hAnsi="Arial" w:cs="Arial"/>
          <w:color w:val="000000"/>
          <w:sz w:val="22"/>
          <w:szCs w:val="22"/>
        </w:rPr>
      </w:pPr>
      <w:r>
        <w:rPr>
          <w:rFonts w:ascii="Arial" w:hAnsi="Arial" w:cs="Arial"/>
          <w:color w:val="000000"/>
          <w:sz w:val="22"/>
          <w:szCs w:val="22"/>
        </w:rPr>
        <w:t>La SHCP proveerá los datos para la realización de las evaluaciones. Las evaluaciones serán realizadas por especialistas de FMM o, de no ser posible por restricciones de tiempo, las mismas serían financiadas con recursos administrativos</w:t>
      </w:r>
      <w:r w:rsidR="00341B66">
        <w:rPr>
          <w:rFonts w:ascii="Arial" w:hAnsi="Arial" w:cs="Arial"/>
          <w:color w:val="000000"/>
          <w:sz w:val="22"/>
          <w:szCs w:val="22"/>
        </w:rPr>
        <w:t>.</w:t>
      </w:r>
      <w:r>
        <w:rPr>
          <w:rFonts w:ascii="Arial" w:hAnsi="Arial" w:cs="Arial"/>
          <w:color w:val="000000"/>
          <w:sz w:val="22"/>
          <w:szCs w:val="22"/>
        </w:rPr>
        <w:t xml:space="preserve"> </w:t>
      </w:r>
    </w:p>
    <w:p w14:paraId="6CC90CCC" w14:textId="77777777" w:rsidR="009B3E59" w:rsidRPr="009B3E59" w:rsidRDefault="009B3E59" w:rsidP="005A0ED4">
      <w:pPr>
        <w:spacing w:before="120" w:after="120"/>
        <w:jc w:val="center"/>
        <w:rPr>
          <w:rFonts w:ascii="Arial" w:hAnsi="Arial" w:cs="Arial"/>
          <w:b/>
          <w:sz w:val="22"/>
          <w:szCs w:val="22"/>
          <w:lang w:val="es-ES"/>
        </w:rPr>
      </w:pPr>
      <w:r w:rsidRPr="009B3E59">
        <w:rPr>
          <w:rFonts w:ascii="Arial" w:hAnsi="Arial" w:cs="Arial"/>
          <w:b/>
          <w:sz w:val="22"/>
          <w:szCs w:val="22"/>
          <w:lang w:val="es-ES"/>
        </w:rPr>
        <w:lastRenderedPageBreak/>
        <w:t xml:space="preserve">Cuadro 2: </w:t>
      </w:r>
      <w:r w:rsidRPr="009B3E59">
        <w:rPr>
          <w:rFonts w:ascii="Arial" w:hAnsi="Arial" w:cs="Arial"/>
          <w:b/>
          <w:bCs/>
          <w:color w:val="000000"/>
          <w:sz w:val="22"/>
          <w:szCs w:val="22"/>
          <w:lang w:val="es-ES"/>
        </w:rPr>
        <w:t>Principales actividades de seguimiento/Productos por actividad</w:t>
      </w:r>
    </w:p>
    <w:tbl>
      <w:tblPr>
        <w:tblW w:w="836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420"/>
        <w:gridCol w:w="810"/>
        <w:gridCol w:w="810"/>
        <w:gridCol w:w="1530"/>
        <w:gridCol w:w="900"/>
        <w:gridCol w:w="1890"/>
      </w:tblGrid>
      <w:tr w:rsidR="00633121" w:rsidRPr="00D97056" w14:paraId="6CC90CD3" w14:textId="77777777" w:rsidTr="00B47CEB">
        <w:trPr>
          <w:trHeight w:val="598"/>
          <w:tblHeader/>
          <w:jc w:val="center"/>
        </w:trPr>
        <w:tc>
          <w:tcPr>
            <w:tcW w:w="2420" w:type="dxa"/>
            <w:shd w:val="clear" w:color="000000" w:fill="8DB3E2"/>
            <w:vAlign w:val="center"/>
            <w:hideMark/>
          </w:tcPr>
          <w:p w14:paraId="6CC90CCD" w14:textId="77777777" w:rsidR="00633121" w:rsidRPr="00DF5753" w:rsidRDefault="00633121" w:rsidP="005A0ED4">
            <w:pPr>
              <w:spacing w:before="40" w:after="40"/>
              <w:jc w:val="center"/>
              <w:rPr>
                <w:rFonts w:ascii="Arial" w:hAnsi="Arial" w:cs="Arial"/>
                <w:b/>
                <w:bCs/>
                <w:color w:val="000000"/>
                <w:sz w:val="20"/>
                <w:lang w:val="es-ES"/>
              </w:rPr>
            </w:pPr>
            <w:r>
              <w:rPr>
                <w:rFonts w:ascii="Arial" w:hAnsi="Arial" w:cs="Arial"/>
                <w:b/>
                <w:bCs/>
                <w:color w:val="000000"/>
                <w:sz w:val="20"/>
                <w:lang w:val="es-ES"/>
              </w:rPr>
              <w:t>Actividades y Productos</w:t>
            </w:r>
          </w:p>
        </w:tc>
        <w:tc>
          <w:tcPr>
            <w:tcW w:w="810" w:type="dxa"/>
            <w:shd w:val="clear" w:color="000000" w:fill="8DB3E2"/>
            <w:vAlign w:val="center"/>
          </w:tcPr>
          <w:p w14:paraId="61C57345" w14:textId="224C2915" w:rsidR="00633121" w:rsidRPr="00DF5753" w:rsidRDefault="00633121" w:rsidP="005A0ED4">
            <w:pPr>
              <w:spacing w:before="40" w:after="40"/>
              <w:jc w:val="center"/>
              <w:rPr>
                <w:rFonts w:ascii="Arial" w:hAnsi="Arial" w:cs="Arial"/>
                <w:b/>
                <w:bCs/>
                <w:color w:val="000000"/>
                <w:sz w:val="20"/>
                <w:lang w:val="es-ES"/>
              </w:rPr>
            </w:pPr>
            <w:r>
              <w:rPr>
                <w:rFonts w:ascii="Arial" w:hAnsi="Arial" w:cs="Arial"/>
                <w:b/>
                <w:bCs/>
                <w:color w:val="000000"/>
                <w:sz w:val="20"/>
                <w:lang w:val="es-ES"/>
              </w:rPr>
              <w:t>2019</w:t>
            </w:r>
          </w:p>
        </w:tc>
        <w:tc>
          <w:tcPr>
            <w:tcW w:w="810" w:type="dxa"/>
            <w:shd w:val="clear" w:color="000000" w:fill="8DB3E2"/>
            <w:vAlign w:val="center"/>
          </w:tcPr>
          <w:p w14:paraId="6CC90CCF" w14:textId="0D95897E" w:rsidR="00633121" w:rsidRPr="00DF5753" w:rsidRDefault="00633121" w:rsidP="005A0ED4">
            <w:pPr>
              <w:spacing w:before="40" w:after="40"/>
              <w:jc w:val="center"/>
              <w:rPr>
                <w:rFonts w:ascii="Arial" w:hAnsi="Arial" w:cs="Arial"/>
                <w:b/>
                <w:bCs/>
                <w:color w:val="000000"/>
                <w:sz w:val="20"/>
                <w:lang w:val="es-ES"/>
              </w:rPr>
            </w:pPr>
            <w:r>
              <w:rPr>
                <w:rFonts w:ascii="Arial" w:hAnsi="Arial" w:cs="Arial"/>
                <w:b/>
                <w:bCs/>
                <w:color w:val="000000"/>
                <w:sz w:val="20"/>
                <w:lang w:val="es-ES"/>
              </w:rPr>
              <w:t>2020</w:t>
            </w:r>
          </w:p>
        </w:tc>
        <w:tc>
          <w:tcPr>
            <w:tcW w:w="1530" w:type="dxa"/>
            <w:shd w:val="clear" w:color="000000" w:fill="8DB3E2"/>
            <w:vAlign w:val="center"/>
            <w:hideMark/>
          </w:tcPr>
          <w:p w14:paraId="6CC90CD0" w14:textId="4A0DBA45" w:rsidR="00633121" w:rsidRPr="00DF5753" w:rsidRDefault="00633121" w:rsidP="005A0ED4">
            <w:pPr>
              <w:spacing w:before="40" w:after="40"/>
              <w:jc w:val="center"/>
              <w:rPr>
                <w:rFonts w:ascii="Arial" w:hAnsi="Arial" w:cs="Arial"/>
                <w:b/>
                <w:bCs/>
                <w:color w:val="000000"/>
                <w:sz w:val="20"/>
                <w:lang w:val="en-US"/>
              </w:rPr>
            </w:pPr>
            <w:r w:rsidRPr="00DF5753">
              <w:rPr>
                <w:rFonts w:ascii="Arial" w:hAnsi="Arial" w:cs="Arial"/>
                <w:b/>
                <w:bCs/>
                <w:color w:val="000000"/>
                <w:sz w:val="20"/>
                <w:lang w:val="es-ES"/>
              </w:rPr>
              <w:t>Responsable</w:t>
            </w:r>
          </w:p>
        </w:tc>
        <w:tc>
          <w:tcPr>
            <w:tcW w:w="900" w:type="dxa"/>
            <w:shd w:val="clear" w:color="000000" w:fill="8DB3E2"/>
            <w:vAlign w:val="center"/>
            <w:hideMark/>
          </w:tcPr>
          <w:p w14:paraId="79E38AE5" w14:textId="77777777" w:rsidR="00633121" w:rsidRPr="00DF5753" w:rsidRDefault="00633121" w:rsidP="005A0ED4">
            <w:pPr>
              <w:spacing w:before="40"/>
              <w:jc w:val="center"/>
              <w:rPr>
                <w:rFonts w:ascii="Arial" w:hAnsi="Arial" w:cs="Arial"/>
                <w:b/>
                <w:bCs/>
                <w:color w:val="000000"/>
                <w:sz w:val="20"/>
                <w:lang w:val="en-US"/>
              </w:rPr>
            </w:pPr>
            <w:r w:rsidRPr="00DF5753">
              <w:rPr>
                <w:rFonts w:ascii="Arial" w:hAnsi="Arial" w:cs="Arial"/>
                <w:b/>
                <w:bCs/>
                <w:color w:val="000000"/>
                <w:sz w:val="20"/>
                <w:lang w:val="es-ES"/>
              </w:rPr>
              <w:t>Costo</w:t>
            </w:r>
          </w:p>
          <w:p w14:paraId="6CC90CD1" w14:textId="2954786A" w:rsidR="00633121" w:rsidRPr="00DF5753" w:rsidRDefault="00633121" w:rsidP="005A0ED4">
            <w:pPr>
              <w:spacing w:after="40"/>
              <w:jc w:val="center"/>
              <w:rPr>
                <w:rFonts w:ascii="Arial" w:hAnsi="Arial" w:cs="Arial"/>
                <w:b/>
                <w:bCs/>
                <w:color w:val="000000"/>
                <w:sz w:val="20"/>
                <w:lang w:val="en-US"/>
              </w:rPr>
            </w:pPr>
            <w:r w:rsidRPr="00DF5753">
              <w:rPr>
                <w:rFonts w:ascii="Arial" w:hAnsi="Arial" w:cs="Arial"/>
                <w:b/>
                <w:bCs/>
                <w:color w:val="000000"/>
                <w:sz w:val="20"/>
                <w:lang w:val="es-ES"/>
              </w:rPr>
              <w:t>US$</w:t>
            </w:r>
          </w:p>
        </w:tc>
        <w:tc>
          <w:tcPr>
            <w:tcW w:w="1890" w:type="dxa"/>
            <w:shd w:val="clear" w:color="000000" w:fill="8DB3E2"/>
            <w:vAlign w:val="center"/>
            <w:hideMark/>
          </w:tcPr>
          <w:p w14:paraId="6CC90CD2" w14:textId="0BAFD591" w:rsidR="00633121" w:rsidRPr="00DF5753" w:rsidRDefault="00633121" w:rsidP="005A0ED4">
            <w:pPr>
              <w:spacing w:before="40" w:after="40"/>
              <w:jc w:val="center"/>
              <w:rPr>
                <w:rFonts w:ascii="Arial" w:hAnsi="Arial" w:cs="Arial"/>
                <w:b/>
                <w:bCs/>
                <w:color w:val="000000"/>
                <w:sz w:val="20"/>
                <w:lang w:val="en-US"/>
              </w:rPr>
            </w:pPr>
            <w:r w:rsidRPr="00DF5753">
              <w:rPr>
                <w:rFonts w:ascii="Arial" w:hAnsi="Arial" w:cs="Arial"/>
                <w:b/>
                <w:bCs/>
                <w:color w:val="000000"/>
                <w:sz w:val="20"/>
                <w:lang w:val="es-ES"/>
              </w:rPr>
              <w:t>Financiamiento</w:t>
            </w:r>
          </w:p>
        </w:tc>
      </w:tr>
      <w:tr w:rsidR="007F5F2A" w:rsidRPr="00D97056" w14:paraId="6CC90CEF" w14:textId="77777777" w:rsidTr="00B47CEB">
        <w:trPr>
          <w:trHeight w:val="315"/>
          <w:jc w:val="center"/>
        </w:trPr>
        <w:tc>
          <w:tcPr>
            <w:tcW w:w="2420" w:type="dxa"/>
            <w:shd w:val="clear" w:color="auto" w:fill="auto"/>
            <w:vAlign w:val="center"/>
            <w:hideMark/>
          </w:tcPr>
          <w:p w14:paraId="6CC90CE9" w14:textId="28B32BC8" w:rsidR="007F5F2A" w:rsidRPr="00DF5753" w:rsidRDefault="007F5F2A" w:rsidP="001A5A3B">
            <w:pPr>
              <w:rPr>
                <w:rFonts w:ascii="Arial" w:hAnsi="Arial" w:cs="Arial"/>
                <w:color w:val="000000"/>
                <w:sz w:val="20"/>
                <w:lang w:val="en-US"/>
              </w:rPr>
            </w:pPr>
            <w:r w:rsidRPr="00DF5753">
              <w:rPr>
                <w:rFonts w:ascii="Arial" w:hAnsi="Arial" w:cs="Arial"/>
                <w:color w:val="000000"/>
                <w:sz w:val="20"/>
                <w:lang w:val="es-ES"/>
              </w:rPr>
              <w:t>Informe de Seguimiento</w:t>
            </w:r>
          </w:p>
        </w:tc>
        <w:tc>
          <w:tcPr>
            <w:tcW w:w="810" w:type="dxa"/>
          </w:tcPr>
          <w:p w14:paraId="769E7F34" w14:textId="36193C68" w:rsidR="007F5F2A" w:rsidRPr="00DF5753" w:rsidRDefault="007F5F2A" w:rsidP="001A5A3B">
            <w:pPr>
              <w:jc w:val="center"/>
              <w:rPr>
                <w:rFonts w:ascii="Arial" w:hAnsi="Arial" w:cs="Arial"/>
                <w:color w:val="000000"/>
                <w:sz w:val="20"/>
                <w:lang w:val="es-ES"/>
              </w:rPr>
            </w:pPr>
            <w:r>
              <w:rPr>
                <w:rFonts w:ascii="Arial" w:hAnsi="Arial" w:cs="Arial"/>
                <w:color w:val="000000"/>
                <w:sz w:val="20"/>
                <w:lang w:val="es-ES"/>
              </w:rPr>
              <w:t>1</w:t>
            </w:r>
          </w:p>
        </w:tc>
        <w:tc>
          <w:tcPr>
            <w:tcW w:w="810" w:type="dxa"/>
            <w:vAlign w:val="center"/>
          </w:tcPr>
          <w:p w14:paraId="6CC90CEB" w14:textId="102BAD28" w:rsidR="007F5F2A" w:rsidRPr="00DF5753" w:rsidRDefault="007F5F2A" w:rsidP="001A5A3B">
            <w:pPr>
              <w:jc w:val="center"/>
              <w:rPr>
                <w:rFonts w:ascii="Arial" w:hAnsi="Arial" w:cs="Arial"/>
                <w:color w:val="000000"/>
                <w:sz w:val="20"/>
                <w:lang w:val="es-ES"/>
              </w:rPr>
            </w:pPr>
            <w:r w:rsidRPr="00DF5753">
              <w:rPr>
                <w:rFonts w:ascii="Arial" w:hAnsi="Arial" w:cs="Arial"/>
                <w:color w:val="000000"/>
                <w:sz w:val="20"/>
                <w:lang w:val="es-ES"/>
              </w:rPr>
              <w:t>1</w:t>
            </w:r>
          </w:p>
        </w:tc>
        <w:tc>
          <w:tcPr>
            <w:tcW w:w="1530" w:type="dxa"/>
            <w:shd w:val="clear" w:color="auto" w:fill="auto"/>
            <w:vAlign w:val="center"/>
            <w:hideMark/>
          </w:tcPr>
          <w:p w14:paraId="6CC90CEC" w14:textId="77777777" w:rsidR="007F5F2A" w:rsidRPr="00DF5753" w:rsidRDefault="007F5F2A" w:rsidP="001A5A3B">
            <w:pPr>
              <w:jc w:val="center"/>
              <w:rPr>
                <w:rFonts w:ascii="Arial" w:hAnsi="Arial" w:cs="Arial"/>
                <w:color w:val="000000"/>
                <w:sz w:val="20"/>
                <w:lang w:val="en-US"/>
              </w:rPr>
            </w:pPr>
            <w:r w:rsidRPr="00DF5753">
              <w:rPr>
                <w:rFonts w:ascii="Arial" w:hAnsi="Arial" w:cs="Arial"/>
                <w:color w:val="000000"/>
                <w:sz w:val="20"/>
                <w:lang w:val="es-ES"/>
              </w:rPr>
              <w:t>BID</w:t>
            </w:r>
          </w:p>
        </w:tc>
        <w:tc>
          <w:tcPr>
            <w:tcW w:w="900" w:type="dxa"/>
            <w:shd w:val="clear" w:color="auto" w:fill="auto"/>
            <w:vAlign w:val="center"/>
            <w:hideMark/>
          </w:tcPr>
          <w:p w14:paraId="6CC90CED" w14:textId="73A0CFC0" w:rsidR="007F5F2A" w:rsidRPr="00DF5753" w:rsidRDefault="00CA232D" w:rsidP="005A0ED4">
            <w:pPr>
              <w:ind w:left="-288" w:right="152"/>
              <w:jc w:val="right"/>
              <w:rPr>
                <w:rFonts w:ascii="Arial" w:hAnsi="Arial" w:cs="Arial"/>
                <w:color w:val="000000"/>
                <w:sz w:val="20"/>
                <w:lang w:val="en-US"/>
              </w:rPr>
            </w:pPr>
            <w:r>
              <w:rPr>
                <w:rFonts w:ascii="Arial" w:hAnsi="Arial" w:cs="Arial"/>
                <w:color w:val="000000"/>
                <w:sz w:val="20"/>
                <w:lang w:val="en-US"/>
              </w:rPr>
              <w:t>5</w:t>
            </w:r>
            <w:r w:rsidR="00633121">
              <w:rPr>
                <w:rFonts w:ascii="Arial" w:hAnsi="Arial" w:cs="Arial"/>
                <w:color w:val="000000"/>
                <w:sz w:val="20"/>
                <w:lang w:val="en-US"/>
              </w:rPr>
              <w:t>.</w:t>
            </w:r>
            <w:r>
              <w:rPr>
                <w:rFonts w:ascii="Arial" w:hAnsi="Arial" w:cs="Arial"/>
                <w:color w:val="000000"/>
                <w:sz w:val="20"/>
                <w:lang w:val="en-US"/>
              </w:rPr>
              <w:t>0</w:t>
            </w:r>
            <w:r w:rsidR="007F5F2A" w:rsidRPr="00DF5753">
              <w:rPr>
                <w:rFonts w:ascii="Arial" w:hAnsi="Arial" w:cs="Arial"/>
                <w:color w:val="000000"/>
                <w:sz w:val="20"/>
                <w:lang w:val="en-US"/>
              </w:rPr>
              <w:t>00</w:t>
            </w:r>
          </w:p>
        </w:tc>
        <w:tc>
          <w:tcPr>
            <w:tcW w:w="1890" w:type="dxa"/>
            <w:shd w:val="clear" w:color="auto" w:fill="auto"/>
            <w:vAlign w:val="center"/>
            <w:hideMark/>
          </w:tcPr>
          <w:p w14:paraId="6CC90CEE" w14:textId="77777777" w:rsidR="007F5F2A" w:rsidRPr="00DF5753" w:rsidRDefault="007F5F2A" w:rsidP="001A5A3B">
            <w:pPr>
              <w:jc w:val="center"/>
              <w:rPr>
                <w:rFonts w:ascii="Arial" w:hAnsi="Arial" w:cs="Arial"/>
                <w:color w:val="000000"/>
                <w:sz w:val="20"/>
                <w:lang w:val="en-US"/>
              </w:rPr>
            </w:pPr>
            <w:r w:rsidRPr="00DF5753">
              <w:rPr>
                <w:rFonts w:ascii="Arial" w:hAnsi="Arial" w:cs="Arial"/>
                <w:color w:val="000000"/>
                <w:sz w:val="20"/>
                <w:lang w:val="en-US"/>
              </w:rPr>
              <w:t>BID</w:t>
            </w:r>
          </w:p>
        </w:tc>
      </w:tr>
      <w:tr w:rsidR="007F5F2A" w:rsidRPr="00D97056" w14:paraId="6CC90CFD" w14:textId="77777777" w:rsidTr="00B47CEB">
        <w:trPr>
          <w:trHeight w:val="394"/>
          <w:jc w:val="center"/>
        </w:trPr>
        <w:tc>
          <w:tcPr>
            <w:tcW w:w="2420" w:type="dxa"/>
            <w:shd w:val="clear" w:color="auto" w:fill="auto"/>
            <w:vAlign w:val="center"/>
          </w:tcPr>
          <w:p w14:paraId="6CC90CF7" w14:textId="77777777" w:rsidR="007F5F2A" w:rsidRPr="00DF5753" w:rsidRDefault="007F5F2A" w:rsidP="001A5A3B">
            <w:pPr>
              <w:rPr>
                <w:rFonts w:ascii="Arial" w:hAnsi="Arial" w:cs="Arial"/>
                <w:color w:val="000000"/>
                <w:sz w:val="20"/>
                <w:lang w:val="es-ES"/>
              </w:rPr>
            </w:pPr>
            <w:r w:rsidRPr="00DF5753">
              <w:rPr>
                <w:rFonts w:ascii="Arial" w:hAnsi="Arial" w:cs="Arial"/>
                <w:color w:val="000000"/>
                <w:sz w:val="20"/>
                <w:lang w:val="es-ES"/>
              </w:rPr>
              <w:t>Total</w:t>
            </w:r>
          </w:p>
        </w:tc>
        <w:tc>
          <w:tcPr>
            <w:tcW w:w="810" w:type="dxa"/>
          </w:tcPr>
          <w:p w14:paraId="6466B78C" w14:textId="77777777" w:rsidR="007F5F2A" w:rsidRPr="00DF5753" w:rsidRDefault="007F5F2A" w:rsidP="001A5A3B">
            <w:pPr>
              <w:rPr>
                <w:rFonts w:ascii="Arial" w:hAnsi="Arial" w:cs="Arial"/>
                <w:color w:val="000000"/>
                <w:sz w:val="20"/>
                <w:lang w:val="es-ES"/>
              </w:rPr>
            </w:pPr>
          </w:p>
        </w:tc>
        <w:tc>
          <w:tcPr>
            <w:tcW w:w="810" w:type="dxa"/>
            <w:vAlign w:val="center"/>
          </w:tcPr>
          <w:p w14:paraId="6CC90CF9" w14:textId="67167A82" w:rsidR="007F5F2A" w:rsidRPr="00DF5753" w:rsidRDefault="007F5F2A" w:rsidP="001A5A3B">
            <w:pPr>
              <w:rPr>
                <w:rFonts w:ascii="Arial" w:hAnsi="Arial" w:cs="Arial"/>
                <w:color w:val="000000"/>
                <w:sz w:val="20"/>
                <w:lang w:val="es-ES"/>
              </w:rPr>
            </w:pPr>
          </w:p>
        </w:tc>
        <w:tc>
          <w:tcPr>
            <w:tcW w:w="1530" w:type="dxa"/>
            <w:shd w:val="clear" w:color="auto" w:fill="auto"/>
            <w:vAlign w:val="center"/>
          </w:tcPr>
          <w:p w14:paraId="6CC90CFA" w14:textId="77777777" w:rsidR="007F5F2A" w:rsidRPr="00DF5753" w:rsidRDefault="007F5F2A" w:rsidP="001A5A3B">
            <w:pPr>
              <w:jc w:val="center"/>
              <w:rPr>
                <w:rFonts w:ascii="Arial" w:hAnsi="Arial" w:cs="Arial"/>
                <w:color w:val="000000"/>
                <w:sz w:val="20"/>
                <w:lang w:val="es-ES"/>
              </w:rPr>
            </w:pPr>
          </w:p>
        </w:tc>
        <w:tc>
          <w:tcPr>
            <w:tcW w:w="900" w:type="dxa"/>
            <w:shd w:val="clear" w:color="auto" w:fill="auto"/>
            <w:vAlign w:val="center"/>
          </w:tcPr>
          <w:p w14:paraId="6CC90CFB" w14:textId="7B4EDBCD" w:rsidR="007F5F2A" w:rsidRPr="00DF5753" w:rsidRDefault="007F5F2A" w:rsidP="005A0ED4">
            <w:pPr>
              <w:ind w:left="-288" w:right="152"/>
              <w:jc w:val="right"/>
              <w:rPr>
                <w:rFonts w:ascii="Arial" w:hAnsi="Arial" w:cs="Arial"/>
                <w:color w:val="000000"/>
                <w:sz w:val="20"/>
                <w:lang w:val="en-US"/>
              </w:rPr>
            </w:pPr>
            <w:r>
              <w:rPr>
                <w:rFonts w:ascii="Arial" w:hAnsi="Arial" w:cs="Arial"/>
                <w:color w:val="000000"/>
                <w:sz w:val="20"/>
                <w:lang w:val="en-US"/>
              </w:rPr>
              <w:t>5</w:t>
            </w:r>
            <w:r w:rsidR="00633121">
              <w:rPr>
                <w:rFonts w:ascii="Arial" w:hAnsi="Arial" w:cs="Arial"/>
                <w:color w:val="000000"/>
                <w:sz w:val="20"/>
                <w:lang w:val="en-US"/>
              </w:rPr>
              <w:t>.</w:t>
            </w:r>
            <w:r w:rsidRPr="00DF5753">
              <w:rPr>
                <w:rFonts w:ascii="Arial" w:hAnsi="Arial" w:cs="Arial"/>
                <w:color w:val="000000"/>
                <w:sz w:val="20"/>
                <w:lang w:val="en-US"/>
              </w:rPr>
              <w:t>000</w:t>
            </w:r>
          </w:p>
        </w:tc>
        <w:tc>
          <w:tcPr>
            <w:tcW w:w="1890" w:type="dxa"/>
            <w:shd w:val="clear" w:color="auto" w:fill="auto"/>
            <w:vAlign w:val="center"/>
          </w:tcPr>
          <w:p w14:paraId="6CC90CFC" w14:textId="19A6BB2C" w:rsidR="007F5F2A" w:rsidRPr="00DF5753" w:rsidRDefault="00293D3B" w:rsidP="001A5A3B">
            <w:pPr>
              <w:jc w:val="center"/>
              <w:rPr>
                <w:rFonts w:ascii="Arial" w:hAnsi="Arial" w:cs="Arial"/>
                <w:color w:val="000000"/>
                <w:sz w:val="20"/>
                <w:lang w:val="en-US"/>
              </w:rPr>
            </w:pPr>
            <w:r>
              <w:rPr>
                <w:rFonts w:ascii="Arial" w:hAnsi="Arial" w:cs="Arial"/>
                <w:color w:val="000000"/>
                <w:sz w:val="20"/>
                <w:lang w:val="en-US"/>
              </w:rPr>
              <w:t>BID</w:t>
            </w:r>
          </w:p>
        </w:tc>
      </w:tr>
    </w:tbl>
    <w:p w14:paraId="6CC90CFE" w14:textId="1038D241" w:rsidR="00ED751C" w:rsidRPr="00EB0154" w:rsidRDefault="007C1307" w:rsidP="005A0ED4">
      <w:pPr>
        <w:pStyle w:val="Chapter"/>
        <w:rPr>
          <w:rFonts w:ascii="Arial" w:hAnsi="Arial" w:cs="Arial"/>
          <w:szCs w:val="22"/>
        </w:rPr>
      </w:pPr>
      <w:bookmarkStart w:id="6" w:name="_Toc468199039"/>
      <w:r>
        <w:rPr>
          <w:rFonts w:ascii="Arial" w:hAnsi="Arial" w:cs="Arial"/>
          <w:szCs w:val="22"/>
        </w:rPr>
        <w:t>Evaluaci</w:t>
      </w:r>
      <w:r w:rsidR="00ED751C" w:rsidRPr="00EB0154">
        <w:rPr>
          <w:rFonts w:ascii="Arial" w:hAnsi="Arial" w:cs="Arial"/>
          <w:szCs w:val="22"/>
        </w:rPr>
        <w:t>ón</w:t>
      </w:r>
      <w:bookmarkEnd w:id="6"/>
    </w:p>
    <w:p w14:paraId="6CC90CFF" w14:textId="65B500CC" w:rsidR="00113103" w:rsidRPr="00113103" w:rsidRDefault="00EB0154" w:rsidP="00113103">
      <w:pPr>
        <w:pStyle w:val="FirstHeading"/>
        <w:rPr>
          <w:rFonts w:ascii="Arial" w:hAnsi="Arial" w:cs="Arial"/>
          <w:noProof/>
          <w:sz w:val="22"/>
          <w:szCs w:val="22"/>
        </w:rPr>
      </w:pPr>
      <w:bookmarkStart w:id="7" w:name="_Toc468199040"/>
      <w:r w:rsidRPr="00EB0154">
        <w:rPr>
          <w:rFonts w:ascii="Arial" w:hAnsi="Arial" w:cs="Arial"/>
          <w:sz w:val="22"/>
          <w:szCs w:val="22"/>
        </w:rPr>
        <w:t>A.</w:t>
      </w:r>
      <w:r w:rsidRPr="00EB0154">
        <w:rPr>
          <w:rFonts w:ascii="Arial" w:hAnsi="Arial" w:cs="Arial"/>
          <w:sz w:val="22"/>
          <w:szCs w:val="22"/>
        </w:rPr>
        <w:tab/>
      </w:r>
      <w:r w:rsidR="007C1307">
        <w:rPr>
          <w:rFonts w:ascii="Arial" w:hAnsi="Arial" w:cs="Arial"/>
          <w:noProof/>
          <w:sz w:val="22"/>
          <w:szCs w:val="22"/>
        </w:rPr>
        <w:t xml:space="preserve">Principales </w:t>
      </w:r>
      <w:r w:rsidR="004B2F1D">
        <w:rPr>
          <w:rFonts w:ascii="Arial" w:hAnsi="Arial" w:cs="Arial"/>
          <w:noProof/>
          <w:sz w:val="22"/>
          <w:szCs w:val="22"/>
        </w:rPr>
        <w:t>p</w:t>
      </w:r>
      <w:r w:rsidR="007C1307">
        <w:rPr>
          <w:rFonts w:ascii="Arial" w:hAnsi="Arial" w:cs="Arial"/>
          <w:noProof/>
          <w:sz w:val="22"/>
          <w:szCs w:val="22"/>
        </w:rPr>
        <w:t xml:space="preserve">reguntas de la </w:t>
      </w:r>
      <w:r w:rsidR="004B2F1D">
        <w:rPr>
          <w:rFonts w:ascii="Arial" w:hAnsi="Arial" w:cs="Arial"/>
          <w:noProof/>
          <w:sz w:val="22"/>
          <w:szCs w:val="22"/>
        </w:rPr>
        <w:t>e</w:t>
      </w:r>
      <w:r w:rsidR="007C1307">
        <w:rPr>
          <w:rFonts w:ascii="Arial" w:hAnsi="Arial" w:cs="Arial"/>
          <w:noProof/>
          <w:sz w:val="22"/>
          <w:szCs w:val="22"/>
        </w:rPr>
        <w:t>valuación</w:t>
      </w:r>
      <w:bookmarkEnd w:id="7"/>
    </w:p>
    <w:p w14:paraId="69B661B8" w14:textId="5F094BEB" w:rsidR="00700F69" w:rsidRDefault="00700F69" w:rsidP="00700F69">
      <w:pPr>
        <w:pStyle w:val="Paragraph"/>
        <w:rPr>
          <w:rFonts w:ascii="Arial" w:hAnsi="Arial" w:cs="Arial"/>
          <w:sz w:val="22"/>
          <w:szCs w:val="22"/>
        </w:rPr>
      </w:pPr>
      <w:r>
        <w:rPr>
          <w:rFonts w:ascii="Arial" w:hAnsi="Arial" w:cs="Arial"/>
          <w:sz w:val="22"/>
          <w:szCs w:val="22"/>
        </w:rPr>
        <w:t xml:space="preserve">El objetivo de </w:t>
      </w:r>
      <w:r w:rsidR="00B72534">
        <w:rPr>
          <w:rFonts w:ascii="Arial" w:hAnsi="Arial" w:cs="Arial"/>
          <w:sz w:val="22"/>
          <w:szCs w:val="22"/>
        </w:rPr>
        <w:t>l</w:t>
      </w:r>
      <w:r>
        <w:rPr>
          <w:rFonts w:ascii="Arial" w:hAnsi="Arial" w:cs="Arial"/>
          <w:sz w:val="22"/>
          <w:szCs w:val="22"/>
        </w:rPr>
        <w:t>a</w:t>
      </w:r>
      <w:r w:rsidR="007C1307" w:rsidRPr="007C1307">
        <w:rPr>
          <w:rFonts w:ascii="Arial" w:hAnsi="Arial" w:cs="Arial"/>
          <w:sz w:val="22"/>
          <w:szCs w:val="22"/>
        </w:rPr>
        <w:t xml:space="preserve"> </w:t>
      </w:r>
      <w:r w:rsidRPr="00EF2B38">
        <w:rPr>
          <w:rFonts w:ascii="Arial" w:eastAsiaTheme="minorHAnsi" w:hAnsi="Arial" w:cs="Arial"/>
          <w:sz w:val="22"/>
          <w:szCs w:val="22"/>
          <w:lang w:val="es-MX"/>
        </w:rPr>
        <w:t>serie programática</w:t>
      </w:r>
      <w:r w:rsidR="00B72534">
        <w:rPr>
          <w:rFonts w:ascii="Arial" w:eastAsiaTheme="minorHAnsi" w:hAnsi="Arial" w:cs="Arial"/>
          <w:sz w:val="22"/>
          <w:szCs w:val="22"/>
          <w:lang w:val="es-MX"/>
        </w:rPr>
        <w:t xml:space="preserve"> y de esta operación</w:t>
      </w:r>
      <w:r w:rsidRPr="00EF2B38">
        <w:rPr>
          <w:rFonts w:ascii="Arial" w:eastAsiaTheme="minorHAnsi" w:hAnsi="Arial" w:cs="Arial"/>
          <w:sz w:val="22"/>
          <w:szCs w:val="22"/>
          <w:lang w:val="es-MX"/>
        </w:rPr>
        <w:t xml:space="preserve"> es mejorar la gestión hacendaria de </w:t>
      </w:r>
      <w:proofErr w:type="spellStart"/>
      <w:r w:rsidRPr="00EF2B38">
        <w:rPr>
          <w:rFonts w:ascii="Arial" w:eastAsiaTheme="minorHAnsi" w:hAnsi="Arial" w:cs="Arial"/>
          <w:sz w:val="22"/>
          <w:szCs w:val="22"/>
          <w:lang w:val="es-MX"/>
        </w:rPr>
        <w:t>EyM</w:t>
      </w:r>
      <w:proofErr w:type="spellEnd"/>
      <w:r w:rsidR="004B280A">
        <w:rPr>
          <w:rFonts w:ascii="Arial" w:eastAsiaTheme="minorHAnsi" w:hAnsi="Arial" w:cs="Arial"/>
          <w:sz w:val="22"/>
          <w:szCs w:val="22"/>
          <w:lang w:val="es-MX"/>
        </w:rPr>
        <w:t>,</w:t>
      </w:r>
      <w:r w:rsidRPr="00EF2B38">
        <w:rPr>
          <w:rFonts w:ascii="Arial" w:eastAsiaTheme="minorHAnsi" w:hAnsi="Arial" w:cs="Arial"/>
          <w:sz w:val="22"/>
          <w:szCs w:val="22"/>
          <w:lang w:val="es-MX"/>
        </w:rPr>
        <w:t xml:space="preserve"> a fin de fortalecer </w:t>
      </w:r>
      <w:r w:rsidR="007B4B16">
        <w:rPr>
          <w:rFonts w:ascii="Arial" w:eastAsiaTheme="minorHAnsi" w:hAnsi="Arial" w:cs="Arial"/>
          <w:sz w:val="22"/>
          <w:szCs w:val="22"/>
          <w:lang w:val="es-MX"/>
        </w:rPr>
        <w:t>su</w:t>
      </w:r>
      <w:r w:rsidRPr="00EF2B38">
        <w:rPr>
          <w:rFonts w:ascii="Arial" w:eastAsiaTheme="minorHAnsi" w:hAnsi="Arial" w:cs="Arial"/>
          <w:sz w:val="22"/>
          <w:szCs w:val="22"/>
          <w:lang w:val="es-MX"/>
        </w:rPr>
        <w:t xml:space="preserve"> sostenibilidad fiscal. Esto se logrará mediante la implementación de un nuevo marco de disciplina financiera, el </w:t>
      </w:r>
      <w:r w:rsidR="004B280A">
        <w:rPr>
          <w:rFonts w:ascii="Arial" w:eastAsiaTheme="minorHAnsi" w:hAnsi="Arial" w:cs="Arial"/>
          <w:sz w:val="22"/>
          <w:szCs w:val="22"/>
          <w:lang w:val="es-MX"/>
        </w:rPr>
        <w:t>incremento</w:t>
      </w:r>
      <w:r w:rsidR="004B280A" w:rsidRPr="00EF2B38">
        <w:rPr>
          <w:rFonts w:ascii="Arial" w:eastAsiaTheme="minorHAnsi" w:hAnsi="Arial" w:cs="Arial"/>
          <w:sz w:val="22"/>
          <w:szCs w:val="22"/>
          <w:lang w:val="es-MX"/>
        </w:rPr>
        <w:t xml:space="preserve"> </w:t>
      </w:r>
      <w:r w:rsidRPr="00EF2B38">
        <w:rPr>
          <w:rFonts w:ascii="Arial" w:eastAsiaTheme="minorHAnsi" w:hAnsi="Arial" w:cs="Arial"/>
          <w:sz w:val="22"/>
          <w:szCs w:val="22"/>
          <w:lang w:val="es-MX"/>
        </w:rPr>
        <w:t xml:space="preserve">de la transparencia y rendición de cuentas, </w:t>
      </w:r>
      <w:r w:rsidR="007B4B16" w:rsidRPr="000E0B25">
        <w:rPr>
          <w:rFonts w:ascii="Arial" w:eastAsiaTheme="minorHAnsi" w:hAnsi="Arial" w:cs="Arial"/>
          <w:sz w:val="22"/>
          <w:szCs w:val="22"/>
          <w:lang w:val="es-MX"/>
        </w:rPr>
        <w:t>y el fortalecimiento de las capacidades institucionales en estados y municipios para la implementación de medidas en estos ámbitos</w:t>
      </w:r>
      <w:r w:rsidRPr="007C1307">
        <w:rPr>
          <w:rFonts w:ascii="Arial" w:hAnsi="Arial" w:cs="Arial"/>
          <w:sz w:val="22"/>
          <w:szCs w:val="22"/>
        </w:rPr>
        <w:t>.</w:t>
      </w:r>
      <w:r>
        <w:rPr>
          <w:rFonts w:ascii="Arial" w:hAnsi="Arial" w:cs="Arial"/>
          <w:sz w:val="22"/>
          <w:szCs w:val="22"/>
        </w:rPr>
        <w:t xml:space="preserve"> </w:t>
      </w:r>
      <w:r>
        <w:rPr>
          <w:rFonts w:ascii="Arial" w:hAnsi="Arial" w:cs="Arial"/>
          <w:spacing w:val="-4"/>
          <w:sz w:val="22"/>
          <w:szCs w:val="22"/>
        </w:rPr>
        <w:t>La serie</w:t>
      </w:r>
      <w:r w:rsidRPr="00764263">
        <w:rPr>
          <w:rFonts w:ascii="Arial" w:hAnsi="Arial" w:cs="Arial"/>
          <w:spacing w:val="-4"/>
          <w:sz w:val="22"/>
          <w:szCs w:val="22"/>
        </w:rPr>
        <w:t xml:space="preserve"> se estructura en dos Operaciones Programáticas de</w:t>
      </w:r>
      <w:r>
        <w:rPr>
          <w:rFonts w:ascii="Arial" w:hAnsi="Arial" w:cs="Arial"/>
          <w:spacing w:val="-4"/>
          <w:sz w:val="22"/>
          <w:szCs w:val="22"/>
        </w:rPr>
        <w:t xml:space="preserve"> Apoyo a Reformas de Políticas</w:t>
      </w:r>
      <w:r w:rsidR="005F6288" w:rsidRPr="007C1307">
        <w:rPr>
          <w:rFonts w:ascii="Arial" w:hAnsi="Arial" w:cs="Arial"/>
          <w:sz w:val="22"/>
          <w:szCs w:val="22"/>
        </w:rPr>
        <w:t>.</w:t>
      </w:r>
    </w:p>
    <w:p w14:paraId="4C26685C" w14:textId="6BEC8D24" w:rsidR="00A578FB" w:rsidRPr="00A578FB" w:rsidRDefault="007C1307" w:rsidP="00A578FB">
      <w:pPr>
        <w:pStyle w:val="Paragraph"/>
        <w:rPr>
          <w:rFonts w:ascii="Arial" w:hAnsi="Arial" w:cs="Arial"/>
          <w:sz w:val="22"/>
          <w:szCs w:val="22"/>
        </w:rPr>
      </w:pPr>
      <w:r w:rsidRPr="00ED34E6">
        <w:rPr>
          <w:rFonts w:ascii="Arial" w:hAnsi="Arial" w:cs="Arial"/>
          <w:sz w:val="22"/>
          <w:szCs w:val="22"/>
        </w:rPr>
        <w:t xml:space="preserve">Para la evaluación </w:t>
      </w:r>
      <w:r w:rsidR="008A4C74" w:rsidRPr="005A0ED4">
        <w:rPr>
          <w:rFonts w:ascii="Arial" w:hAnsi="Arial" w:cs="Arial"/>
          <w:sz w:val="22"/>
          <w:szCs w:val="22"/>
        </w:rPr>
        <w:t>ex</w:t>
      </w:r>
      <w:r w:rsidR="00D50EAA">
        <w:rPr>
          <w:rFonts w:ascii="Arial" w:hAnsi="Arial" w:cs="Arial"/>
          <w:sz w:val="22"/>
          <w:szCs w:val="22"/>
        </w:rPr>
        <w:t xml:space="preserve"> </w:t>
      </w:r>
      <w:r w:rsidRPr="005A0ED4">
        <w:rPr>
          <w:rFonts w:ascii="Arial" w:hAnsi="Arial" w:cs="Arial"/>
          <w:sz w:val="22"/>
          <w:szCs w:val="22"/>
        </w:rPr>
        <w:t>post</w:t>
      </w:r>
      <w:r w:rsidRPr="00ED34E6">
        <w:rPr>
          <w:rFonts w:ascii="Arial" w:hAnsi="Arial" w:cs="Arial"/>
          <w:sz w:val="22"/>
          <w:szCs w:val="22"/>
        </w:rPr>
        <w:t xml:space="preserve">, las principales preguntas están referidas a si la reforma logró el impacto deseado en términos de </w:t>
      </w:r>
      <w:r w:rsidR="00D61463" w:rsidRPr="00ED34E6">
        <w:rPr>
          <w:rFonts w:ascii="Arial" w:hAnsi="Arial" w:cs="Arial"/>
          <w:sz w:val="22"/>
          <w:szCs w:val="22"/>
        </w:rPr>
        <w:t>los indicadores de impacto y resultados contemplados en la Matriz de Resultados del programa (Cuadro 3</w:t>
      </w:r>
      <w:r w:rsidR="00ED34E6">
        <w:rPr>
          <w:rFonts w:ascii="Arial" w:hAnsi="Arial" w:cs="Arial"/>
          <w:sz w:val="22"/>
          <w:szCs w:val="22"/>
        </w:rPr>
        <w:t xml:space="preserve"> y 4</w:t>
      </w:r>
      <w:r w:rsidR="00D61463" w:rsidRPr="00ED34E6">
        <w:rPr>
          <w:rFonts w:ascii="Arial" w:hAnsi="Arial" w:cs="Arial"/>
          <w:sz w:val="22"/>
          <w:szCs w:val="22"/>
        </w:rPr>
        <w:t>).</w:t>
      </w:r>
      <w:r w:rsidR="003779EF">
        <w:rPr>
          <w:rFonts w:ascii="Arial" w:hAnsi="Arial" w:cs="Arial"/>
          <w:sz w:val="22"/>
          <w:szCs w:val="22"/>
        </w:rPr>
        <w:t xml:space="preserve"> </w:t>
      </w:r>
      <w:r w:rsidRPr="003779EF">
        <w:rPr>
          <w:rFonts w:ascii="Arial" w:hAnsi="Arial" w:cs="Arial"/>
          <w:sz w:val="22"/>
          <w:szCs w:val="22"/>
        </w:rPr>
        <w:t xml:space="preserve">Asimismo, se evaluarán los resultados de </w:t>
      </w:r>
      <w:r w:rsidR="00222643" w:rsidRPr="003779EF">
        <w:rPr>
          <w:rFonts w:ascii="Arial" w:hAnsi="Arial" w:cs="Arial"/>
          <w:sz w:val="22"/>
          <w:szCs w:val="22"/>
        </w:rPr>
        <w:t>dos</w:t>
      </w:r>
      <w:r w:rsidRPr="003779EF">
        <w:rPr>
          <w:rFonts w:ascii="Arial" w:hAnsi="Arial" w:cs="Arial"/>
          <w:sz w:val="22"/>
          <w:szCs w:val="22"/>
        </w:rPr>
        <w:t xml:space="preserve"> </w:t>
      </w:r>
      <w:r w:rsidR="00CE455C" w:rsidRPr="003779EF">
        <w:rPr>
          <w:rFonts w:ascii="Arial" w:hAnsi="Arial" w:cs="Arial"/>
          <w:sz w:val="22"/>
          <w:szCs w:val="22"/>
        </w:rPr>
        <w:t>medidas introducidas</w:t>
      </w:r>
      <w:r w:rsidR="008A4C74" w:rsidRPr="003779EF">
        <w:rPr>
          <w:rFonts w:ascii="Arial" w:hAnsi="Arial" w:cs="Arial"/>
          <w:sz w:val="22"/>
          <w:szCs w:val="22"/>
        </w:rPr>
        <w:t xml:space="preserve"> como parte del Programa tendientes a fortalecer las finanzas públicas de </w:t>
      </w:r>
      <w:proofErr w:type="spellStart"/>
      <w:r w:rsidR="008A4C74" w:rsidRPr="003779EF">
        <w:rPr>
          <w:rFonts w:ascii="Arial" w:hAnsi="Arial" w:cs="Arial"/>
          <w:sz w:val="22"/>
          <w:szCs w:val="22"/>
        </w:rPr>
        <w:t>EyM</w:t>
      </w:r>
      <w:proofErr w:type="spellEnd"/>
      <w:r w:rsidR="008A4C74" w:rsidRPr="003779EF">
        <w:rPr>
          <w:rFonts w:ascii="Arial" w:hAnsi="Arial" w:cs="Arial"/>
          <w:sz w:val="22"/>
          <w:szCs w:val="22"/>
        </w:rPr>
        <w:t xml:space="preserve">. Estas medidas se </w:t>
      </w:r>
      <w:r w:rsidR="00222643" w:rsidRPr="003779EF">
        <w:rPr>
          <w:rFonts w:ascii="Arial" w:hAnsi="Arial" w:cs="Arial"/>
          <w:sz w:val="22"/>
          <w:szCs w:val="22"/>
        </w:rPr>
        <w:t>relaciona</w:t>
      </w:r>
      <w:r w:rsidR="008A4C74" w:rsidRPr="003779EF">
        <w:rPr>
          <w:rFonts w:ascii="Arial" w:hAnsi="Arial" w:cs="Arial"/>
          <w:sz w:val="22"/>
          <w:szCs w:val="22"/>
        </w:rPr>
        <w:t>n</w:t>
      </w:r>
      <w:r w:rsidR="00222643" w:rsidRPr="003779EF">
        <w:rPr>
          <w:rFonts w:ascii="Arial" w:hAnsi="Arial" w:cs="Arial"/>
          <w:sz w:val="22"/>
          <w:szCs w:val="22"/>
        </w:rPr>
        <w:t xml:space="preserve"> con el</w:t>
      </w:r>
      <w:r w:rsidR="008A4C74" w:rsidRPr="003779EF">
        <w:rPr>
          <w:rFonts w:ascii="Arial" w:hAnsi="Arial" w:cs="Arial"/>
          <w:sz w:val="22"/>
          <w:szCs w:val="22"/>
        </w:rPr>
        <w:t xml:space="preserve"> costo de financiamiento y con un</w:t>
      </w:r>
      <w:r w:rsidR="00222643" w:rsidRPr="003779EF">
        <w:rPr>
          <w:rFonts w:ascii="Arial" w:hAnsi="Arial" w:cs="Arial"/>
          <w:sz w:val="22"/>
          <w:szCs w:val="22"/>
        </w:rPr>
        <w:t>a</w:t>
      </w:r>
      <w:r w:rsidR="008A4C74" w:rsidRPr="003779EF">
        <w:rPr>
          <w:rFonts w:ascii="Arial" w:hAnsi="Arial" w:cs="Arial"/>
          <w:sz w:val="22"/>
          <w:szCs w:val="22"/>
        </w:rPr>
        <w:t xml:space="preserve"> mejora en la</w:t>
      </w:r>
      <w:r w:rsidR="00222643" w:rsidRPr="003779EF">
        <w:rPr>
          <w:rFonts w:ascii="Arial" w:hAnsi="Arial" w:cs="Arial"/>
          <w:sz w:val="22"/>
          <w:szCs w:val="22"/>
        </w:rPr>
        <w:t xml:space="preserve"> planificación financiera</w:t>
      </w:r>
      <w:r w:rsidRPr="003779EF">
        <w:rPr>
          <w:rFonts w:ascii="Arial" w:hAnsi="Arial" w:cs="Arial"/>
          <w:sz w:val="22"/>
          <w:szCs w:val="22"/>
        </w:rPr>
        <w:t>.</w:t>
      </w:r>
    </w:p>
    <w:p w14:paraId="787E6DE1" w14:textId="77777777" w:rsidR="00A578FB" w:rsidRDefault="00A578FB" w:rsidP="00A578FB">
      <w:pPr>
        <w:pStyle w:val="Paragraph"/>
        <w:numPr>
          <w:ilvl w:val="0"/>
          <w:numId w:val="0"/>
        </w:numPr>
        <w:spacing w:before="360"/>
        <w:ind w:left="720"/>
        <w:jc w:val="center"/>
        <w:rPr>
          <w:rFonts w:ascii="Arial" w:hAnsi="Arial" w:cs="Arial"/>
          <w:sz w:val="22"/>
          <w:szCs w:val="22"/>
        </w:rPr>
        <w:sectPr w:rsidR="00A578FB" w:rsidSect="005A0ED4">
          <w:pgSz w:w="12240" w:h="15840" w:code="1"/>
          <w:pgMar w:top="1440" w:right="1800" w:bottom="1440" w:left="1800" w:header="706" w:footer="706" w:gutter="0"/>
          <w:cols w:space="720"/>
          <w:formProt w:val="0"/>
          <w:docGrid w:linePitch="326"/>
        </w:sectPr>
      </w:pPr>
    </w:p>
    <w:p w14:paraId="254A567D" w14:textId="77777777" w:rsidR="00A578FB" w:rsidRPr="00B45FD5" w:rsidRDefault="00A578FB" w:rsidP="00A578FB">
      <w:pPr>
        <w:pStyle w:val="Paragraph"/>
        <w:numPr>
          <w:ilvl w:val="0"/>
          <w:numId w:val="0"/>
        </w:numPr>
        <w:spacing w:before="360"/>
        <w:ind w:left="720"/>
        <w:jc w:val="center"/>
        <w:rPr>
          <w:rFonts w:ascii="Arial" w:hAnsi="Arial" w:cs="Arial"/>
          <w:b/>
          <w:sz w:val="20"/>
        </w:rPr>
      </w:pPr>
      <w:r>
        <w:rPr>
          <w:rFonts w:ascii="Arial" w:hAnsi="Arial" w:cs="Arial"/>
          <w:b/>
          <w:sz w:val="22"/>
          <w:szCs w:val="22"/>
        </w:rPr>
        <w:lastRenderedPageBreak/>
        <w:t>Cuadro 3: Indicadores de impacto</w:t>
      </w:r>
      <w:r>
        <w:rPr>
          <w:rFonts w:ascii="Arial" w:hAnsi="Arial" w:cs="Arial"/>
          <w:b/>
          <w:sz w:val="20"/>
        </w:rPr>
        <w:t xml:space="preserve"> </w:t>
      </w:r>
    </w:p>
    <w:tbl>
      <w:tblPr>
        <w:tblW w:w="13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3"/>
        <w:gridCol w:w="1421"/>
        <w:gridCol w:w="1097"/>
        <w:gridCol w:w="43"/>
        <w:gridCol w:w="1217"/>
        <w:gridCol w:w="900"/>
        <w:gridCol w:w="1728"/>
        <w:gridCol w:w="3515"/>
      </w:tblGrid>
      <w:tr w:rsidR="00A578FB" w:rsidRPr="00D92AD6" w14:paraId="7CD387C4" w14:textId="77777777" w:rsidTr="00633121">
        <w:trPr>
          <w:trHeight w:val="703"/>
          <w:jc w:val="center"/>
        </w:trPr>
        <w:tc>
          <w:tcPr>
            <w:tcW w:w="33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E4B5BB" w14:textId="77777777" w:rsidR="00A578FB" w:rsidRPr="00D92AD6" w:rsidRDefault="00A578FB" w:rsidP="00633121">
            <w:pPr>
              <w:jc w:val="center"/>
              <w:rPr>
                <w:rFonts w:ascii="Arial" w:hAnsi="Arial" w:cs="Arial"/>
                <w:b/>
                <w:noProof/>
                <w:sz w:val="20"/>
                <w:lang w:eastAsia="zh-CN"/>
              </w:rPr>
            </w:pPr>
            <w:r w:rsidRPr="00D92AD6">
              <w:rPr>
                <w:rFonts w:ascii="Arial" w:hAnsi="Arial" w:cs="Arial"/>
                <w:b/>
                <w:noProof/>
                <w:sz w:val="20"/>
                <w:lang w:eastAsia="zh-CN"/>
              </w:rPr>
              <w:t>Indicadores</w:t>
            </w:r>
          </w:p>
        </w:tc>
        <w:tc>
          <w:tcPr>
            <w:tcW w:w="1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1C82E0" w14:textId="77777777" w:rsidR="00A578FB" w:rsidRPr="00D92AD6" w:rsidRDefault="00A578FB" w:rsidP="00633121">
            <w:pPr>
              <w:jc w:val="center"/>
              <w:rPr>
                <w:rFonts w:ascii="Arial" w:hAnsi="Arial" w:cs="Arial"/>
                <w:b/>
                <w:noProof/>
                <w:sz w:val="20"/>
                <w:lang w:eastAsia="zh-CN"/>
              </w:rPr>
            </w:pPr>
            <w:r w:rsidRPr="00D92AD6">
              <w:rPr>
                <w:rFonts w:ascii="Arial" w:hAnsi="Arial" w:cs="Arial"/>
                <w:b/>
                <w:noProof/>
                <w:sz w:val="20"/>
                <w:lang w:eastAsia="zh-CN"/>
              </w:rPr>
              <w:t>Unidad de Medida</w:t>
            </w:r>
          </w:p>
        </w:tc>
        <w:tc>
          <w:tcPr>
            <w:tcW w:w="10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D5B135" w14:textId="77777777" w:rsidR="00A578FB" w:rsidRPr="00D92AD6" w:rsidRDefault="00A578FB" w:rsidP="00633121">
            <w:pPr>
              <w:jc w:val="center"/>
              <w:rPr>
                <w:rFonts w:ascii="Arial" w:hAnsi="Arial" w:cs="Arial"/>
                <w:b/>
                <w:noProof/>
                <w:sz w:val="20"/>
                <w:lang w:eastAsia="zh-CN"/>
              </w:rPr>
            </w:pPr>
            <w:r w:rsidRPr="00D92AD6">
              <w:rPr>
                <w:rFonts w:ascii="Arial" w:hAnsi="Arial" w:cs="Arial"/>
                <w:b/>
                <w:noProof/>
                <w:sz w:val="20"/>
                <w:lang w:eastAsia="zh-CN"/>
              </w:rPr>
              <w:t xml:space="preserve">Línea de Base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FBEC0A" w14:textId="77777777" w:rsidR="00A578FB" w:rsidRPr="00D92AD6" w:rsidRDefault="00A578FB" w:rsidP="00633121">
            <w:pPr>
              <w:jc w:val="center"/>
              <w:rPr>
                <w:rFonts w:ascii="Arial" w:hAnsi="Arial" w:cs="Arial"/>
                <w:b/>
                <w:noProof/>
                <w:sz w:val="20"/>
                <w:lang w:eastAsia="zh-CN"/>
              </w:rPr>
            </w:pPr>
            <w:r w:rsidRPr="00D92AD6">
              <w:rPr>
                <w:rFonts w:ascii="Arial" w:hAnsi="Arial" w:cs="Arial"/>
                <w:b/>
                <w:noProof/>
                <w:sz w:val="20"/>
                <w:lang w:eastAsia="zh-CN"/>
              </w:rPr>
              <w:t xml:space="preserve">Año </w:t>
            </w:r>
          </w:p>
          <w:p w14:paraId="1F9AEE70" w14:textId="77777777" w:rsidR="00A578FB" w:rsidRPr="00D92AD6" w:rsidRDefault="00A578FB" w:rsidP="00633121">
            <w:pPr>
              <w:jc w:val="center"/>
              <w:rPr>
                <w:rFonts w:ascii="Arial" w:hAnsi="Arial" w:cs="Arial"/>
                <w:b/>
                <w:noProof/>
                <w:sz w:val="20"/>
                <w:lang w:eastAsia="zh-CN"/>
              </w:rPr>
            </w:pPr>
            <w:r w:rsidRPr="00D92AD6">
              <w:rPr>
                <w:rFonts w:ascii="Arial" w:hAnsi="Arial" w:cs="Arial"/>
                <w:b/>
                <w:noProof/>
                <w:sz w:val="20"/>
                <w:lang w:eastAsia="zh-CN"/>
              </w:rPr>
              <w:t>Línea de Base</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B9F803" w14:textId="77777777" w:rsidR="00A578FB" w:rsidRPr="00D92AD6" w:rsidRDefault="00A578FB" w:rsidP="00633121">
            <w:pPr>
              <w:jc w:val="center"/>
              <w:rPr>
                <w:rFonts w:ascii="Arial" w:hAnsi="Arial" w:cs="Arial"/>
                <w:b/>
                <w:noProof/>
                <w:sz w:val="20"/>
                <w:lang w:eastAsia="zh-CN"/>
              </w:rPr>
            </w:pPr>
            <w:r w:rsidRPr="00D92AD6">
              <w:rPr>
                <w:rFonts w:ascii="Arial" w:hAnsi="Arial" w:cs="Arial"/>
                <w:b/>
                <w:noProof/>
                <w:sz w:val="20"/>
                <w:lang w:eastAsia="zh-CN"/>
              </w:rPr>
              <w:t>Meta Final</w:t>
            </w:r>
          </w:p>
          <w:p w14:paraId="1A6C3CD8" w14:textId="3A0AFA42" w:rsidR="00A578FB" w:rsidRPr="00D92AD6" w:rsidRDefault="00A578FB" w:rsidP="00633121">
            <w:pPr>
              <w:jc w:val="center"/>
              <w:rPr>
                <w:rFonts w:ascii="Arial" w:hAnsi="Arial" w:cs="Arial"/>
                <w:b/>
                <w:noProof/>
                <w:sz w:val="20"/>
                <w:lang w:eastAsia="zh-CN"/>
              </w:rPr>
            </w:pPr>
          </w:p>
        </w:tc>
        <w:tc>
          <w:tcPr>
            <w:tcW w:w="17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66F552" w14:textId="77777777" w:rsidR="00A578FB" w:rsidRPr="00D92AD6" w:rsidRDefault="00A578FB" w:rsidP="00633121">
            <w:pPr>
              <w:jc w:val="center"/>
              <w:rPr>
                <w:rFonts w:ascii="Arial" w:hAnsi="Arial" w:cs="Arial"/>
                <w:b/>
                <w:noProof/>
                <w:sz w:val="20"/>
                <w:lang w:eastAsia="zh-CN"/>
              </w:rPr>
            </w:pPr>
            <w:r w:rsidRPr="00D92AD6">
              <w:rPr>
                <w:rFonts w:ascii="Arial" w:hAnsi="Arial" w:cs="Arial"/>
                <w:b/>
                <w:noProof/>
                <w:sz w:val="20"/>
                <w:lang w:eastAsia="zh-CN"/>
              </w:rPr>
              <w:t>Medios de Verificación</w:t>
            </w:r>
          </w:p>
        </w:tc>
        <w:tc>
          <w:tcPr>
            <w:tcW w:w="35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DE363D" w14:textId="77777777" w:rsidR="00A578FB" w:rsidRPr="00D92AD6" w:rsidRDefault="00A578FB" w:rsidP="00633121">
            <w:pPr>
              <w:jc w:val="center"/>
              <w:rPr>
                <w:rFonts w:ascii="Arial" w:hAnsi="Arial" w:cs="Arial"/>
                <w:b/>
                <w:noProof/>
                <w:sz w:val="20"/>
                <w:lang w:eastAsia="zh-CN"/>
              </w:rPr>
            </w:pPr>
            <w:r w:rsidRPr="00D92AD6">
              <w:rPr>
                <w:rFonts w:ascii="Arial" w:hAnsi="Arial" w:cs="Arial"/>
                <w:b/>
                <w:noProof/>
                <w:sz w:val="20"/>
                <w:lang w:eastAsia="zh-CN"/>
              </w:rPr>
              <w:t>Comentarios</w:t>
            </w:r>
          </w:p>
        </w:tc>
      </w:tr>
      <w:tr w:rsidR="00A578FB" w:rsidRPr="00D92AD6" w14:paraId="27E25A66" w14:textId="77777777" w:rsidTr="00B47CEB">
        <w:trPr>
          <w:trHeight w:val="50"/>
          <w:jc w:val="center"/>
        </w:trPr>
        <w:tc>
          <w:tcPr>
            <w:tcW w:w="1327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0C6097" w14:textId="77777777" w:rsidR="00A578FB" w:rsidRPr="00D92AD6" w:rsidRDefault="00A578FB" w:rsidP="00B47CEB">
            <w:pPr>
              <w:spacing w:before="60" w:after="60"/>
              <w:rPr>
                <w:rFonts w:ascii="Arial" w:hAnsi="Arial" w:cs="Arial"/>
                <w:b/>
                <w:noProof/>
                <w:sz w:val="18"/>
                <w:szCs w:val="18"/>
                <w:lang w:eastAsia="zh-CN"/>
              </w:rPr>
            </w:pPr>
            <w:r w:rsidRPr="00D92AD6">
              <w:rPr>
                <w:rFonts w:ascii="Arial" w:hAnsi="Arial" w:cs="Arial"/>
                <w:b/>
                <w:noProof/>
                <w:sz w:val="18"/>
                <w:szCs w:val="18"/>
                <w:lang w:eastAsia="zh-CN"/>
              </w:rPr>
              <w:t>IMPACTO #1</w:t>
            </w:r>
          </w:p>
        </w:tc>
      </w:tr>
      <w:tr w:rsidR="00A578FB" w:rsidRPr="00360374" w14:paraId="37A6B762" w14:textId="77777777" w:rsidTr="00903AE2">
        <w:trPr>
          <w:trHeight w:val="2231"/>
          <w:jc w:val="center"/>
        </w:trPr>
        <w:tc>
          <w:tcPr>
            <w:tcW w:w="3353" w:type="dxa"/>
            <w:tcBorders>
              <w:top w:val="single" w:sz="4" w:space="0" w:color="auto"/>
              <w:left w:val="single" w:sz="4" w:space="0" w:color="auto"/>
              <w:bottom w:val="single" w:sz="4" w:space="0" w:color="auto"/>
              <w:right w:val="single" w:sz="4" w:space="0" w:color="auto"/>
            </w:tcBorders>
            <w:vAlign w:val="center"/>
            <w:hideMark/>
          </w:tcPr>
          <w:p w14:paraId="31B2B0DB" w14:textId="6F1F9D88" w:rsidR="00A578FB" w:rsidRPr="00D92AD6" w:rsidRDefault="00A578FB" w:rsidP="00633121">
            <w:pPr>
              <w:pStyle w:val="ListParagraph"/>
              <w:spacing w:before="60" w:after="60"/>
              <w:ind w:left="0"/>
              <w:rPr>
                <w:rFonts w:ascii="Arial" w:hAnsi="Arial" w:cs="Arial"/>
                <w:noProof/>
                <w:sz w:val="20"/>
                <w:lang w:eastAsia="zh-CN"/>
              </w:rPr>
            </w:pPr>
            <w:r>
              <w:rPr>
                <w:rFonts w:ascii="Arial" w:hAnsi="Arial" w:cs="Arial"/>
                <w:noProof/>
                <w:sz w:val="18"/>
                <w:szCs w:val="18"/>
              </w:rPr>
              <w:t>Financiamientos y obligaciones de los estados como porcentaje del PIB</w:t>
            </w:r>
            <w:r w:rsidR="004F3AF4">
              <w:rPr>
                <w:rFonts w:ascii="Arial" w:hAnsi="Arial" w:cs="Arial"/>
                <w:noProof/>
                <w:sz w:val="18"/>
                <w:szCs w:val="18"/>
              </w:rPr>
              <w:t>.</w:t>
            </w:r>
          </w:p>
        </w:tc>
        <w:tc>
          <w:tcPr>
            <w:tcW w:w="1421" w:type="dxa"/>
            <w:tcBorders>
              <w:top w:val="single" w:sz="4" w:space="0" w:color="auto"/>
              <w:left w:val="single" w:sz="4" w:space="0" w:color="auto"/>
              <w:bottom w:val="single" w:sz="4" w:space="0" w:color="auto"/>
              <w:right w:val="single" w:sz="4" w:space="0" w:color="auto"/>
            </w:tcBorders>
            <w:vAlign w:val="center"/>
          </w:tcPr>
          <w:p w14:paraId="2F378512" w14:textId="77777777" w:rsidR="00A578FB" w:rsidRPr="0000798F" w:rsidRDefault="00A578FB" w:rsidP="00633121">
            <w:pPr>
              <w:spacing w:before="60" w:after="60"/>
              <w:jc w:val="center"/>
              <w:rPr>
                <w:rFonts w:ascii="Arial" w:hAnsi="Arial" w:cs="Arial"/>
                <w:noProof/>
                <w:sz w:val="18"/>
                <w:szCs w:val="18"/>
                <w:lang w:eastAsia="zh-CN"/>
              </w:rPr>
            </w:pPr>
            <w:r w:rsidRPr="0000798F">
              <w:rPr>
                <w:rFonts w:ascii="Arial" w:hAnsi="Arial" w:cs="Arial"/>
                <w:noProof/>
                <w:sz w:val="18"/>
                <w:szCs w:val="18"/>
                <w:lang w:eastAsia="zh-CN"/>
              </w:rPr>
              <w:t>Puntos porcentuales</w:t>
            </w:r>
          </w:p>
        </w:tc>
        <w:tc>
          <w:tcPr>
            <w:tcW w:w="1140" w:type="dxa"/>
            <w:gridSpan w:val="2"/>
            <w:tcBorders>
              <w:top w:val="single" w:sz="4" w:space="0" w:color="auto"/>
              <w:left w:val="single" w:sz="4" w:space="0" w:color="auto"/>
              <w:bottom w:val="single" w:sz="4" w:space="0" w:color="auto"/>
              <w:right w:val="single" w:sz="4" w:space="0" w:color="auto"/>
            </w:tcBorders>
            <w:vAlign w:val="center"/>
          </w:tcPr>
          <w:p w14:paraId="7FF8D043" w14:textId="77777777" w:rsidR="00A578FB" w:rsidRPr="00D92AD6" w:rsidRDefault="00A578FB" w:rsidP="00633121">
            <w:pPr>
              <w:spacing w:before="60" w:after="60"/>
              <w:jc w:val="center"/>
              <w:rPr>
                <w:rFonts w:ascii="Arial" w:hAnsi="Arial" w:cs="Arial"/>
                <w:noProof/>
                <w:sz w:val="20"/>
                <w:lang w:eastAsia="zh-CN"/>
              </w:rPr>
            </w:pPr>
            <w:r>
              <w:rPr>
                <w:rFonts w:ascii="Arial" w:hAnsi="Arial" w:cs="Arial"/>
                <w:noProof/>
                <w:sz w:val="18"/>
                <w:szCs w:val="18"/>
              </w:rPr>
              <w:t>2,6</w:t>
            </w:r>
          </w:p>
        </w:tc>
        <w:tc>
          <w:tcPr>
            <w:tcW w:w="1217" w:type="dxa"/>
            <w:tcBorders>
              <w:top w:val="single" w:sz="4" w:space="0" w:color="auto"/>
              <w:left w:val="single" w:sz="4" w:space="0" w:color="auto"/>
              <w:bottom w:val="single" w:sz="4" w:space="0" w:color="auto"/>
              <w:right w:val="single" w:sz="4" w:space="0" w:color="auto"/>
            </w:tcBorders>
            <w:vAlign w:val="center"/>
          </w:tcPr>
          <w:p w14:paraId="075A9A8C" w14:textId="77777777" w:rsidR="00A578FB" w:rsidRPr="00D92AD6" w:rsidRDefault="00A578FB" w:rsidP="00633121">
            <w:pPr>
              <w:spacing w:before="60" w:after="60"/>
              <w:jc w:val="center"/>
              <w:rPr>
                <w:rFonts w:ascii="Arial" w:hAnsi="Arial" w:cs="Arial"/>
                <w:noProof/>
                <w:sz w:val="20"/>
                <w:lang w:eastAsia="zh-CN"/>
              </w:rPr>
            </w:pPr>
            <w:r w:rsidRPr="00D92AD6">
              <w:rPr>
                <w:rFonts w:ascii="Arial" w:hAnsi="Arial" w:cs="Arial"/>
                <w:noProof/>
                <w:sz w:val="18"/>
                <w:szCs w:val="18"/>
              </w:rPr>
              <w:t>2016</w:t>
            </w:r>
          </w:p>
        </w:tc>
        <w:tc>
          <w:tcPr>
            <w:tcW w:w="900" w:type="dxa"/>
            <w:tcBorders>
              <w:top w:val="single" w:sz="4" w:space="0" w:color="auto"/>
              <w:left w:val="single" w:sz="4" w:space="0" w:color="auto"/>
              <w:bottom w:val="single" w:sz="4" w:space="0" w:color="auto"/>
              <w:right w:val="single" w:sz="4" w:space="0" w:color="auto"/>
            </w:tcBorders>
            <w:vAlign w:val="center"/>
          </w:tcPr>
          <w:p w14:paraId="624101D5" w14:textId="77777777" w:rsidR="00A80CF7" w:rsidRDefault="00A80CF7" w:rsidP="00A80CF7">
            <w:pPr>
              <w:spacing w:before="60" w:after="60"/>
              <w:jc w:val="center"/>
              <w:rPr>
                <w:rFonts w:ascii="Arial" w:hAnsi="Arial" w:cs="Arial"/>
                <w:noProof/>
                <w:sz w:val="18"/>
                <w:szCs w:val="18"/>
              </w:rPr>
            </w:pPr>
          </w:p>
          <w:p w14:paraId="366BA66F" w14:textId="522F9236" w:rsidR="00452F52" w:rsidRPr="00D92AD6" w:rsidRDefault="00A578FB" w:rsidP="00EA6251">
            <w:pPr>
              <w:spacing w:before="60" w:after="60"/>
              <w:jc w:val="center"/>
              <w:rPr>
                <w:rFonts w:ascii="Arial" w:hAnsi="Arial" w:cs="Arial"/>
                <w:noProof/>
                <w:sz w:val="18"/>
                <w:szCs w:val="18"/>
              </w:rPr>
            </w:pPr>
            <w:r>
              <w:rPr>
                <w:rFonts w:ascii="Arial" w:hAnsi="Arial" w:cs="Arial"/>
                <w:noProof/>
                <w:sz w:val="18"/>
                <w:szCs w:val="18"/>
              </w:rPr>
              <w:t>2,</w:t>
            </w:r>
            <w:r w:rsidR="00CE4BA4">
              <w:rPr>
                <w:rFonts w:ascii="Arial" w:hAnsi="Arial" w:cs="Arial"/>
                <w:noProof/>
                <w:sz w:val="18"/>
                <w:szCs w:val="18"/>
              </w:rPr>
              <w:t>4</w:t>
            </w:r>
          </w:p>
          <w:p w14:paraId="39E7983E" w14:textId="07A1B87B" w:rsidR="00A578FB" w:rsidRPr="00D92AD6" w:rsidRDefault="00452F52" w:rsidP="00452F52">
            <w:pPr>
              <w:spacing w:before="60" w:after="60"/>
              <w:jc w:val="center"/>
              <w:rPr>
                <w:rFonts w:ascii="Arial" w:hAnsi="Arial" w:cs="Arial"/>
                <w:noProof/>
                <w:sz w:val="20"/>
                <w:lang w:eastAsia="zh-CN"/>
              </w:rPr>
            </w:pPr>
            <w:r w:rsidRPr="00D92AD6">
              <w:rPr>
                <w:rFonts w:ascii="Arial" w:hAnsi="Arial" w:cs="Arial"/>
                <w:noProof/>
                <w:sz w:val="18"/>
                <w:szCs w:val="18"/>
              </w:rPr>
              <w:t>(201</w:t>
            </w:r>
            <w:r>
              <w:rPr>
                <w:rFonts w:ascii="Arial" w:hAnsi="Arial" w:cs="Arial"/>
                <w:noProof/>
                <w:sz w:val="18"/>
                <w:szCs w:val="18"/>
              </w:rPr>
              <w:t>9</w:t>
            </w:r>
            <w:r w:rsidRPr="00D92AD6">
              <w:rPr>
                <w:rFonts w:ascii="Arial" w:hAnsi="Arial" w:cs="Arial"/>
                <w:noProof/>
                <w:sz w:val="18"/>
                <w:szCs w:val="18"/>
              </w:rPr>
              <w:t>)</w:t>
            </w:r>
          </w:p>
        </w:tc>
        <w:tc>
          <w:tcPr>
            <w:tcW w:w="1728" w:type="dxa"/>
            <w:tcBorders>
              <w:top w:val="single" w:sz="4" w:space="0" w:color="auto"/>
              <w:left w:val="single" w:sz="4" w:space="0" w:color="auto"/>
              <w:bottom w:val="single" w:sz="4" w:space="0" w:color="auto"/>
              <w:right w:val="single" w:sz="4" w:space="0" w:color="auto"/>
            </w:tcBorders>
          </w:tcPr>
          <w:p w14:paraId="04C862E3" w14:textId="77777777" w:rsidR="00A578FB" w:rsidRPr="0000798F" w:rsidRDefault="00A578FB" w:rsidP="00633121">
            <w:pPr>
              <w:spacing w:before="60" w:after="60"/>
              <w:rPr>
                <w:rFonts w:ascii="Arial" w:hAnsi="Arial" w:cs="Arial"/>
                <w:noProof/>
                <w:sz w:val="20"/>
                <w:lang w:eastAsia="zh-CN"/>
              </w:rPr>
            </w:pPr>
            <w:r>
              <w:rPr>
                <w:rFonts w:ascii="Arial" w:hAnsi="Arial" w:cs="Arial"/>
                <w:noProof/>
                <w:sz w:val="18"/>
                <w:szCs w:val="18"/>
              </w:rPr>
              <w:t xml:space="preserve">Informe sobre financiamientos y obligaciones de entidades federativas y municipios (EyM), publicado en la página de internet de la </w:t>
            </w:r>
            <w:r w:rsidRPr="00D92AD6">
              <w:rPr>
                <w:rFonts w:ascii="Arial" w:hAnsi="Arial" w:cs="Arial"/>
                <w:noProof/>
                <w:sz w:val="18"/>
                <w:szCs w:val="18"/>
              </w:rPr>
              <w:t xml:space="preserve">Secretaría de Hacienda y Crédito Público </w:t>
            </w:r>
            <w:r>
              <w:rPr>
                <w:rFonts w:ascii="Arial" w:hAnsi="Arial" w:cs="Arial"/>
                <w:noProof/>
                <w:sz w:val="18"/>
                <w:szCs w:val="18"/>
              </w:rPr>
              <w:t>(SHCP)</w:t>
            </w:r>
            <w:r w:rsidRPr="0080138D">
              <w:rPr>
                <w:rStyle w:val="FootnoteReference"/>
                <w:rFonts w:ascii="Arial" w:hAnsi="Arial" w:cs="Arial"/>
                <w:spacing w:val="-4"/>
                <w:lang w:val="es-ES"/>
              </w:rPr>
              <w:footnoteReference w:id="2"/>
            </w:r>
            <w:r>
              <w:rPr>
                <w:rFonts w:ascii="Arial" w:hAnsi="Arial" w:cs="Arial"/>
                <w:noProof/>
                <w:sz w:val="18"/>
                <w:szCs w:val="18"/>
              </w:rPr>
              <w:t>.</w:t>
            </w:r>
          </w:p>
        </w:tc>
        <w:tc>
          <w:tcPr>
            <w:tcW w:w="3515" w:type="dxa"/>
            <w:tcBorders>
              <w:top w:val="single" w:sz="4" w:space="0" w:color="auto"/>
              <w:left w:val="single" w:sz="4" w:space="0" w:color="auto"/>
              <w:bottom w:val="single" w:sz="4" w:space="0" w:color="auto"/>
              <w:right w:val="single" w:sz="4" w:space="0" w:color="auto"/>
            </w:tcBorders>
            <w:vAlign w:val="center"/>
          </w:tcPr>
          <w:p w14:paraId="16864235" w14:textId="77777777" w:rsidR="00A578FB" w:rsidRPr="00D92AD6" w:rsidRDefault="00A578FB" w:rsidP="00633121">
            <w:pPr>
              <w:spacing w:before="60" w:after="60"/>
              <w:rPr>
                <w:rFonts w:ascii="Arial" w:hAnsi="Arial" w:cs="Arial"/>
                <w:noProof/>
                <w:sz w:val="20"/>
                <w:lang w:eastAsia="zh-CN"/>
              </w:rPr>
            </w:pPr>
            <w:r w:rsidRPr="00D92AD6">
              <w:rPr>
                <w:rFonts w:ascii="Arial" w:hAnsi="Arial" w:cs="Arial"/>
                <w:noProof/>
                <w:color w:val="000000"/>
                <w:sz w:val="18"/>
                <w:szCs w:val="18"/>
              </w:rPr>
              <w:t>Línea de base y metas a diciembre de cada año.</w:t>
            </w:r>
          </w:p>
        </w:tc>
      </w:tr>
      <w:tr w:rsidR="00A578FB" w:rsidRPr="00360374" w14:paraId="2728B384" w14:textId="77777777" w:rsidTr="00903AE2">
        <w:trPr>
          <w:trHeight w:val="1457"/>
          <w:jc w:val="center"/>
        </w:trPr>
        <w:tc>
          <w:tcPr>
            <w:tcW w:w="3353" w:type="dxa"/>
            <w:tcBorders>
              <w:top w:val="single" w:sz="4" w:space="0" w:color="auto"/>
              <w:left w:val="single" w:sz="4" w:space="0" w:color="auto"/>
              <w:bottom w:val="single" w:sz="4" w:space="0" w:color="auto"/>
              <w:right w:val="single" w:sz="4" w:space="0" w:color="auto"/>
            </w:tcBorders>
            <w:vAlign w:val="center"/>
            <w:hideMark/>
          </w:tcPr>
          <w:p w14:paraId="11D5F30F" w14:textId="2AEB59FA" w:rsidR="00A578FB" w:rsidRPr="00D92AD6" w:rsidRDefault="00A578FB" w:rsidP="00633121">
            <w:pPr>
              <w:pStyle w:val="ListParagraph"/>
              <w:spacing w:before="60" w:after="60"/>
              <w:ind w:left="0"/>
              <w:rPr>
                <w:rFonts w:ascii="Arial" w:hAnsi="Arial" w:cs="Arial"/>
                <w:noProof/>
                <w:sz w:val="20"/>
                <w:lang w:eastAsia="zh-CN"/>
              </w:rPr>
            </w:pPr>
            <w:r>
              <w:rPr>
                <w:rFonts w:ascii="Arial" w:hAnsi="Arial" w:cs="Arial"/>
                <w:noProof/>
                <w:sz w:val="18"/>
                <w:szCs w:val="18"/>
              </w:rPr>
              <w:t>Financiamientos y obligaciones</w:t>
            </w:r>
            <w:r w:rsidRPr="00CE7384">
              <w:rPr>
                <w:rFonts w:ascii="Arial" w:hAnsi="Arial" w:cs="Arial"/>
                <w:noProof/>
                <w:sz w:val="18"/>
                <w:szCs w:val="18"/>
              </w:rPr>
              <w:t xml:space="preserve"> de los </w:t>
            </w:r>
            <w:r>
              <w:rPr>
                <w:rFonts w:ascii="Arial" w:hAnsi="Arial" w:cs="Arial"/>
                <w:noProof/>
                <w:sz w:val="18"/>
                <w:szCs w:val="18"/>
              </w:rPr>
              <w:t>municipios</w:t>
            </w:r>
            <w:r w:rsidRPr="00CE7384">
              <w:rPr>
                <w:rFonts w:ascii="Arial" w:hAnsi="Arial" w:cs="Arial"/>
                <w:noProof/>
                <w:sz w:val="18"/>
                <w:szCs w:val="18"/>
              </w:rPr>
              <w:t xml:space="preserve"> como porcentaje del PIB</w:t>
            </w:r>
            <w:r w:rsidR="004F3AF4">
              <w:rPr>
                <w:rFonts w:ascii="Arial" w:hAnsi="Arial" w:cs="Arial"/>
                <w:noProof/>
                <w:sz w:val="18"/>
                <w:szCs w:val="18"/>
              </w:rPr>
              <w:t>.</w:t>
            </w:r>
          </w:p>
        </w:tc>
        <w:tc>
          <w:tcPr>
            <w:tcW w:w="1421" w:type="dxa"/>
            <w:tcBorders>
              <w:top w:val="single" w:sz="4" w:space="0" w:color="auto"/>
              <w:left w:val="single" w:sz="4" w:space="0" w:color="auto"/>
              <w:bottom w:val="single" w:sz="4" w:space="0" w:color="auto"/>
              <w:right w:val="single" w:sz="4" w:space="0" w:color="auto"/>
            </w:tcBorders>
            <w:vAlign w:val="center"/>
          </w:tcPr>
          <w:p w14:paraId="57DA52BA" w14:textId="77777777" w:rsidR="00A578FB" w:rsidRPr="00D92AD6" w:rsidRDefault="00A578FB" w:rsidP="00633121">
            <w:pPr>
              <w:spacing w:before="60" w:after="60"/>
              <w:jc w:val="center"/>
              <w:rPr>
                <w:rFonts w:ascii="Arial" w:hAnsi="Arial" w:cs="Arial"/>
                <w:noProof/>
                <w:sz w:val="20"/>
                <w:lang w:eastAsia="zh-CN"/>
              </w:rPr>
            </w:pPr>
            <w:r>
              <w:rPr>
                <w:rFonts w:ascii="Arial" w:hAnsi="Arial" w:cs="Arial"/>
                <w:noProof/>
                <w:sz w:val="18"/>
                <w:szCs w:val="18"/>
              </w:rPr>
              <w:t>Puntos porcentuales</w:t>
            </w:r>
          </w:p>
        </w:tc>
        <w:tc>
          <w:tcPr>
            <w:tcW w:w="1140" w:type="dxa"/>
            <w:gridSpan w:val="2"/>
            <w:tcBorders>
              <w:top w:val="single" w:sz="4" w:space="0" w:color="auto"/>
              <w:left w:val="single" w:sz="4" w:space="0" w:color="auto"/>
              <w:bottom w:val="single" w:sz="4" w:space="0" w:color="auto"/>
              <w:right w:val="single" w:sz="4" w:space="0" w:color="auto"/>
            </w:tcBorders>
            <w:vAlign w:val="center"/>
          </w:tcPr>
          <w:p w14:paraId="6DA47FF6" w14:textId="77777777" w:rsidR="00A578FB" w:rsidRPr="00D92AD6" w:rsidRDefault="00A578FB" w:rsidP="00633121">
            <w:pPr>
              <w:spacing w:before="60" w:after="60"/>
              <w:jc w:val="center"/>
              <w:rPr>
                <w:rFonts w:ascii="Arial" w:hAnsi="Arial" w:cs="Arial"/>
                <w:noProof/>
                <w:sz w:val="20"/>
                <w:lang w:eastAsia="zh-CN"/>
              </w:rPr>
            </w:pPr>
            <w:r>
              <w:rPr>
                <w:rFonts w:ascii="Arial" w:hAnsi="Arial" w:cs="Arial"/>
                <w:noProof/>
                <w:sz w:val="18"/>
                <w:szCs w:val="18"/>
              </w:rPr>
              <w:t>0,23</w:t>
            </w:r>
          </w:p>
        </w:tc>
        <w:tc>
          <w:tcPr>
            <w:tcW w:w="1217" w:type="dxa"/>
            <w:tcBorders>
              <w:top w:val="single" w:sz="4" w:space="0" w:color="auto"/>
              <w:left w:val="single" w:sz="4" w:space="0" w:color="auto"/>
              <w:bottom w:val="single" w:sz="4" w:space="0" w:color="auto"/>
              <w:right w:val="single" w:sz="4" w:space="0" w:color="auto"/>
            </w:tcBorders>
            <w:vAlign w:val="center"/>
          </w:tcPr>
          <w:p w14:paraId="5ACDEAC4" w14:textId="77777777" w:rsidR="00A578FB" w:rsidRPr="00D92AD6" w:rsidRDefault="00A578FB" w:rsidP="00633121">
            <w:pPr>
              <w:spacing w:before="60" w:after="60"/>
              <w:jc w:val="center"/>
              <w:rPr>
                <w:rFonts w:ascii="Arial" w:hAnsi="Arial" w:cs="Arial"/>
                <w:noProof/>
                <w:sz w:val="20"/>
                <w:lang w:eastAsia="zh-CN"/>
              </w:rPr>
            </w:pPr>
            <w:r w:rsidRPr="00D92AD6">
              <w:rPr>
                <w:rFonts w:ascii="Arial" w:hAnsi="Arial" w:cs="Arial"/>
                <w:noProof/>
                <w:sz w:val="18"/>
                <w:szCs w:val="18"/>
              </w:rPr>
              <w:t>201</w:t>
            </w:r>
            <w:r>
              <w:rPr>
                <w:rFonts w:ascii="Arial" w:hAnsi="Arial" w:cs="Arial"/>
                <w:noProof/>
                <w:sz w:val="18"/>
                <w:szCs w:val="18"/>
              </w:rPr>
              <w:t>6</w:t>
            </w:r>
          </w:p>
        </w:tc>
        <w:tc>
          <w:tcPr>
            <w:tcW w:w="900" w:type="dxa"/>
            <w:tcBorders>
              <w:top w:val="single" w:sz="4" w:space="0" w:color="auto"/>
              <w:left w:val="single" w:sz="4" w:space="0" w:color="auto"/>
              <w:bottom w:val="single" w:sz="4" w:space="0" w:color="auto"/>
              <w:right w:val="single" w:sz="4" w:space="0" w:color="auto"/>
            </w:tcBorders>
            <w:vAlign w:val="center"/>
          </w:tcPr>
          <w:p w14:paraId="3EC0379A" w14:textId="77777777" w:rsidR="00A80CF7" w:rsidRDefault="00A80CF7" w:rsidP="00A80CF7">
            <w:pPr>
              <w:spacing w:before="60" w:after="60"/>
              <w:jc w:val="center"/>
              <w:rPr>
                <w:rFonts w:ascii="Arial" w:hAnsi="Arial" w:cs="Arial"/>
                <w:noProof/>
                <w:sz w:val="18"/>
                <w:szCs w:val="18"/>
              </w:rPr>
            </w:pPr>
          </w:p>
          <w:p w14:paraId="7C91402A" w14:textId="4E3412C0" w:rsidR="00452F52" w:rsidRPr="00D92AD6" w:rsidRDefault="00A578FB" w:rsidP="00EA6251">
            <w:pPr>
              <w:spacing w:before="60" w:after="60"/>
              <w:jc w:val="center"/>
              <w:rPr>
                <w:rFonts w:ascii="Arial" w:hAnsi="Arial" w:cs="Arial"/>
                <w:noProof/>
                <w:sz w:val="18"/>
                <w:szCs w:val="18"/>
              </w:rPr>
            </w:pPr>
            <w:r>
              <w:rPr>
                <w:rFonts w:ascii="Arial" w:hAnsi="Arial" w:cs="Arial"/>
                <w:noProof/>
                <w:sz w:val="18"/>
                <w:szCs w:val="18"/>
              </w:rPr>
              <w:t>0,21</w:t>
            </w:r>
          </w:p>
          <w:p w14:paraId="28B43859" w14:textId="41B26C60" w:rsidR="00A578FB" w:rsidRPr="00D92AD6" w:rsidRDefault="00452F52" w:rsidP="00452F52">
            <w:pPr>
              <w:spacing w:before="60" w:after="60"/>
              <w:jc w:val="center"/>
              <w:rPr>
                <w:rFonts w:ascii="Arial" w:hAnsi="Arial" w:cs="Arial"/>
                <w:noProof/>
                <w:sz w:val="20"/>
                <w:lang w:eastAsia="zh-CN"/>
              </w:rPr>
            </w:pPr>
            <w:r w:rsidRPr="00D92AD6">
              <w:rPr>
                <w:rFonts w:ascii="Arial" w:hAnsi="Arial" w:cs="Arial"/>
                <w:noProof/>
                <w:sz w:val="18"/>
                <w:szCs w:val="18"/>
              </w:rPr>
              <w:t>(201</w:t>
            </w:r>
            <w:r>
              <w:rPr>
                <w:rFonts w:ascii="Arial" w:hAnsi="Arial" w:cs="Arial"/>
                <w:noProof/>
                <w:sz w:val="18"/>
                <w:szCs w:val="18"/>
              </w:rPr>
              <w:t>9</w:t>
            </w:r>
            <w:r w:rsidRPr="00D92AD6">
              <w:rPr>
                <w:rFonts w:ascii="Arial" w:hAnsi="Arial" w:cs="Arial"/>
                <w:noProof/>
                <w:sz w:val="18"/>
                <w:szCs w:val="18"/>
              </w:rPr>
              <w:t>)</w:t>
            </w:r>
          </w:p>
        </w:tc>
        <w:tc>
          <w:tcPr>
            <w:tcW w:w="1728" w:type="dxa"/>
            <w:tcBorders>
              <w:top w:val="single" w:sz="4" w:space="0" w:color="auto"/>
              <w:left w:val="single" w:sz="4" w:space="0" w:color="auto"/>
              <w:bottom w:val="single" w:sz="4" w:space="0" w:color="auto"/>
              <w:right w:val="single" w:sz="4" w:space="0" w:color="auto"/>
            </w:tcBorders>
          </w:tcPr>
          <w:p w14:paraId="24E26B53" w14:textId="77777777" w:rsidR="00A578FB" w:rsidRPr="00D92AD6" w:rsidRDefault="00A578FB" w:rsidP="00633121">
            <w:pPr>
              <w:spacing w:before="60" w:after="60"/>
              <w:rPr>
                <w:rFonts w:ascii="Arial" w:hAnsi="Arial" w:cs="Arial"/>
                <w:noProof/>
                <w:sz w:val="20"/>
                <w:lang w:eastAsia="zh-CN"/>
              </w:rPr>
            </w:pPr>
            <w:r w:rsidRPr="00D92AD6">
              <w:rPr>
                <w:rFonts w:ascii="Arial" w:hAnsi="Arial" w:cs="Arial"/>
                <w:noProof/>
                <w:sz w:val="18"/>
                <w:szCs w:val="18"/>
              </w:rPr>
              <w:t xml:space="preserve">Informe sobre </w:t>
            </w:r>
            <w:r w:rsidRPr="00D92AD6">
              <w:rPr>
                <w:rFonts w:ascii="Arial" w:hAnsi="Arial" w:cs="Arial"/>
                <w:noProof/>
                <w:sz w:val="18"/>
                <w:szCs w:val="18"/>
                <w:shd w:val="clear" w:color="auto" w:fill="FFFFFF"/>
              </w:rPr>
              <w:t>financiamientos y obligaciones de entidades</w:t>
            </w:r>
            <w:r>
              <w:rPr>
                <w:rFonts w:ascii="Arial" w:hAnsi="Arial" w:cs="Arial"/>
                <w:noProof/>
                <w:sz w:val="18"/>
                <w:szCs w:val="18"/>
                <w:shd w:val="clear" w:color="auto" w:fill="FFFFFF"/>
              </w:rPr>
              <w:t xml:space="preserve"> EyM</w:t>
            </w:r>
            <w:r w:rsidRPr="00D92AD6">
              <w:rPr>
                <w:rFonts w:ascii="Arial" w:hAnsi="Arial" w:cs="Arial"/>
                <w:noProof/>
                <w:sz w:val="18"/>
                <w:szCs w:val="18"/>
                <w:shd w:val="clear" w:color="auto" w:fill="FFFFFF"/>
              </w:rPr>
              <w:t xml:space="preserve">, publicado </w:t>
            </w:r>
            <w:r w:rsidRPr="00D92AD6">
              <w:rPr>
                <w:rFonts w:ascii="Arial" w:hAnsi="Arial" w:cs="Arial"/>
                <w:noProof/>
                <w:sz w:val="18"/>
                <w:szCs w:val="18"/>
              </w:rPr>
              <w:t xml:space="preserve">en la página de internet </w:t>
            </w:r>
            <w:r w:rsidRPr="00D92AD6">
              <w:rPr>
                <w:rStyle w:val="apple-converted-space"/>
                <w:rFonts w:ascii="Arial" w:hAnsi="Arial" w:cs="Arial"/>
                <w:noProof/>
                <w:sz w:val="18"/>
                <w:szCs w:val="18"/>
                <w:shd w:val="clear" w:color="auto" w:fill="FFFFFF"/>
              </w:rPr>
              <w:t xml:space="preserve">de la </w:t>
            </w:r>
            <w:r>
              <w:rPr>
                <w:rFonts w:ascii="Arial" w:hAnsi="Arial" w:cs="Arial"/>
                <w:noProof/>
                <w:sz w:val="18"/>
                <w:szCs w:val="18"/>
              </w:rPr>
              <w:t>SHCP.</w:t>
            </w:r>
          </w:p>
        </w:tc>
        <w:tc>
          <w:tcPr>
            <w:tcW w:w="3515" w:type="dxa"/>
            <w:tcBorders>
              <w:top w:val="single" w:sz="4" w:space="0" w:color="auto"/>
              <w:left w:val="single" w:sz="4" w:space="0" w:color="auto"/>
              <w:bottom w:val="single" w:sz="4" w:space="0" w:color="auto"/>
              <w:right w:val="single" w:sz="4" w:space="0" w:color="auto"/>
            </w:tcBorders>
            <w:vAlign w:val="center"/>
          </w:tcPr>
          <w:p w14:paraId="1D3C2373" w14:textId="77777777" w:rsidR="00A578FB" w:rsidRPr="00D92AD6" w:rsidRDefault="00A578FB" w:rsidP="00633121">
            <w:pPr>
              <w:spacing w:before="60" w:after="60"/>
              <w:rPr>
                <w:rFonts w:ascii="Arial" w:hAnsi="Arial" w:cs="Arial"/>
                <w:noProof/>
                <w:sz w:val="20"/>
                <w:lang w:eastAsia="zh-CN"/>
              </w:rPr>
            </w:pPr>
            <w:r w:rsidRPr="00D92AD6">
              <w:rPr>
                <w:rFonts w:ascii="Arial" w:hAnsi="Arial" w:cs="Arial"/>
                <w:noProof/>
                <w:color w:val="000000"/>
                <w:sz w:val="18"/>
                <w:szCs w:val="18"/>
              </w:rPr>
              <w:t>Línea de base y metas a diciembre de cada año.</w:t>
            </w:r>
          </w:p>
        </w:tc>
      </w:tr>
    </w:tbl>
    <w:p w14:paraId="5F7BA665" w14:textId="77777777" w:rsidR="00A578FB" w:rsidRPr="00D92AD6" w:rsidRDefault="00A578FB" w:rsidP="00A578FB">
      <w:pPr>
        <w:autoSpaceDE w:val="0"/>
        <w:autoSpaceDN w:val="0"/>
        <w:adjustRightInd w:val="0"/>
        <w:rPr>
          <w:rFonts w:ascii="Arial" w:hAnsi="Arial" w:cs="Arial"/>
          <w:b/>
          <w:smallCaps/>
          <w:noProof/>
          <w:color w:val="000000"/>
          <w:sz w:val="20"/>
        </w:rPr>
      </w:pPr>
    </w:p>
    <w:p w14:paraId="75C03DC9" w14:textId="77777777" w:rsidR="00507AD1" w:rsidRDefault="00507AD1" w:rsidP="00A578FB">
      <w:pPr>
        <w:autoSpaceDE w:val="0"/>
        <w:autoSpaceDN w:val="0"/>
        <w:adjustRightInd w:val="0"/>
        <w:jc w:val="center"/>
        <w:rPr>
          <w:rFonts w:ascii="Arial" w:hAnsi="Arial" w:cs="Arial"/>
          <w:b/>
          <w:smallCaps/>
          <w:noProof/>
          <w:color w:val="000000"/>
          <w:sz w:val="20"/>
        </w:rPr>
        <w:sectPr w:rsidR="00507AD1" w:rsidSect="005A0ED4">
          <w:pgSz w:w="15840" w:h="12240" w:orient="landscape" w:code="1"/>
          <w:pgMar w:top="1800" w:right="1440" w:bottom="1800" w:left="1440" w:header="706" w:footer="706" w:gutter="0"/>
          <w:cols w:space="720"/>
          <w:formProt w:val="0"/>
          <w:docGrid w:linePitch="326"/>
        </w:sectPr>
      </w:pPr>
    </w:p>
    <w:p w14:paraId="5EB60D84" w14:textId="77777777" w:rsidR="00A578FB" w:rsidRPr="00D92AD6" w:rsidRDefault="00A578FB" w:rsidP="00A578FB">
      <w:pPr>
        <w:autoSpaceDE w:val="0"/>
        <w:autoSpaceDN w:val="0"/>
        <w:adjustRightInd w:val="0"/>
        <w:jc w:val="center"/>
        <w:rPr>
          <w:rFonts w:ascii="Arial" w:hAnsi="Arial" w:cs="Arial"/>
          <w:b/>
          <w:smallCaps/>
          <w:noProof/>
          <w:color w:val="000000"/>
          <w:sz w:val="20"/>
        </w:rPr>
      </w:pPr>
      <w:r>
        <w:rPr>
          <w:rFonts w:ascii="Arial" w:hAnsi="Arial" w:cs="Arial"/>
          <w:b/>
          <w:sz w:val="22"/>
          <w:szCs w:val="22"/>
        </w:rPr>
        <w:lastRenderedPageBreak/>
        <w:t>Cuadro 4: Indicadores de resultados</w:t>
      </w:r>
    </w:p>
    <w:tbl>
      <w:tblPr>
        <w:tblW w:w="131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65"/>
        <w:gridCol w:w="1170"/>
        <w:gridCol w:w="1170"/>
        <w:gridCol w:w="900"/>
        <w:gridCol w:w="900"/>
        <w:gridCol w:w="810"/>
        <w:gridCol w:w="810"/>
        <w:gridCol w:w="2250"/>
        <w:gridCol w:w="3074"/>
      </w:tblGrid>
      <w:tr w:rsidR="00757466" w:rsidRPr="00D92AD6" w14:paraId="6DA3A3B3" w14:textId="77777777" w:rsidTr="005A1D03">
        <w:trPr>
          <w:trHeight w:val="791"/>
          <w:tblHeader/>
          <w:jc w:val="center"/>
        </w:trPr>
        <w:tc>
          <w:tcPr>
            <w:tcW w:w="20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9317A91" w14:textId="77777777" w:rsidR="00A578FB" w:rsidRPr="00D92AD6" w:rsidRDefault="00A578FB" w:rsidP="005A1D03">
            <w:pPr>
              <w:jc w:val="center"/>
              <w:rPr>
                <w:rFonts w:ascii="Arial" w:hAnsi="Arial" w:cs="Arial"/>
                <w:b/>
                <w:noProof/>
                <w:sz w:val="20"/>
                <w:lang w:eastAsia="zh-CN"/>
              </w:rPr>
            </w:pPr>
            <w:r w:rsidRPr="00D92AD6">
              <w:rPr>
                <w:rFonts w:ascii="Arial" w:hAnsi="Arial" w:cs="Arial"/>
                <w:b/>
                <w:noProof/>
                <w:sz w:val="20"/>
                <w:lang w:eastAsia="zh-CN"/>
              </w:rPr>
              <w:t>Indicadores</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A37B895" w14:textId="77777777" w:rsidR="00A578FB" w:rsidRPr="00D92AD6" w:rsidRDefault="00A578FB" w:rsidP="005A1D03">
            <w:pPr>
              <w:jc w:val="center"/>
              <w:rPr>
                <w:rFonts w:ascii="Arial" w:hAnsi="Arial" w:cs="Arial"/>
                <w:b/>
                <w:noProof/>
                <w:sz w:val="20"/>
                <w:lang w:eastAsia="zh-CN"/>
              </w:rPr>
            </w:pPr>
            <w:r w:rsidRPr="00D92AD6">
              <w:rPr>
                <w:rFonts w:ascii="Arial" w:hAnsi="Arial" w:cs="Arial"/>
                <w:b/>
                <w:noProof/>
                <w:sz w:val="20"/>
                <w:lang w:eastAsia="zh-CN"/>
              </w:rPr>
              <w:t>Unidad de Medida</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6B116E7" w14:textId="77777777" w:rsidR="00A578FB" w:rsidRPr="00D92AD6" w:rsidRDefault="00A578FB" w:rsidP="005A1D03">
            <w:pPr>
              <w:jc w:val="center"/>
              <w:rPr>
                <w:rFonts w:ascii="Arial" w:hAnsi="Arial" w:cs="Arial"/>
                <w:b/>
                <w:noProof/>
                <w:sz w:val="20"/>
                <w:lang w:eastAsia="zh-CN"/>
              </w:rPr>
            </w:pPr>
            <w:r w:rsidRPr="00D92AD6">
              <w:rPr>
                <w:rFonts w:ascii="Arial" w:hAnsi="Arial" w:cs="Arial"/>
                <w:b/>
                <w:noProof/>
                <w:sz w:val="20"/>
                <w:lang w:eastAsia="zh-CN"/>
              </w:rPr>
              <w:t xml:space="preserve">Línea de Base </w:t>
            </w: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2C86F89" w14:textId="77777777" w:rsidR="00A578FB" w:rsidRPr="00D92AD6" w:rsidRDefault="00A578FB" w:rsidP="005A1D03">
            <w:pPr>
              <w:jc w:val="center"/>
              <w:rPr>
                <w:rFonts w:ascii="Arial" w:hAnsi="Arial" w:cs="Arial"/>
                <w:b/>
                <w:noProof/>
                <w:sz w:val="20"/>
                <w:lang w:eastAsia="zh-CN"/>
              </w:rPr>
            </w:pPr>
            <w:r w:rsidRPr="00D92AD6">
              <w:rPr>
                <w:rFonts w:ascii="Arial" w:hAnsi="Arial" w:cs="Arial"/>
                <w:b/>
                <w:noProof/>
                <w:sz w:val="20"/>
                <w:lang w:eastAsia="zh-CN"/>
              </w:rPr>
              <w:t xml:space="preserve">Año </w:t>
            </w:r>
          </w:p>
          <w:p w14:paraId="3E6BCFE2" w14:textId="77777777" w:rsidR="00A578FB" w:rsidRPr="00D92AD6" w:rsidRDefault="00A578FB" w:rsidP="005A1D03">
            <w:pPr>
              <w:jc w:val="center"/>
              <w:rPr>
                <w:rFonts w:ascii="Arial" w:hAnsi="Arial" w:cs="Arial"/>
                <w:b/>
                <w:noProof/>
                <w:sz w:val="20"/>
                <w:lang w:eastAsia="zh-CN"/>
              </w:rPr>
            </w:pPr>
            <w:r w:rsidRPr="00D92AD6">
              <w:rPr>
                <w:rFonts w:ascii="Arial" w:hAnsi="Arial" w:cs="Arial"/>
                <w:b/>
                <w:noProof/>
                <w:sz w:val="20"/>
                <w:lang w:eastAsia="zh-CN"/>
              </w:rPr>
              <w:t>Línea de Base</w:t>
            </w: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912E745" w14:textId="77777777" w:rsidR="00A578FB" w:rsidRPr="00D92AD6" w:rsidRDefault="00A578FB" w:rsidP="005A1D03">
            <w:pPr>
              <w:jc w:val="center"/>
              <w:rPr>
                <w:rFonts w:ascii="Arial" w:hAnsi="Arial" w:cs="Arial"/>
                <w:b/>
                <w:noProof/>
                <w:sz w:val="20"/>
                <w:lang w:eastAsia="zh-CN"/>
              </w:rPr>
            </w:pPr>
            <w:r w:rsidRPr="00D92AD6">
              <w:rPr>
                <w:rFonts w:ascii="Arial" w:hAnsi="Arial" w:cs="Arial"/>
                <w:b/>
                <w:noProof/>
                <w:sz w:val="20"/>
                <w:lang w:eastAsia="zh-CN"/>
              </w:rPr>
              <w:t>2016</w:t>
            </w:r>
          </w:p>
        </w:tc>
        <w:tc>
          <w:tcPr>
            <w:tcW w:w="8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53F178F" w14:textId="77777777" w:rsidR="00A578FB" w:rsidRPr="00D92AD6" w:rsidRDefault="00A578FB" w:rsidP="005A1D03">
            <w:pPr>
              <w:jc w:val="center"/>
              <w:rPr>
                <w:rFonts w:ascii="Arial" w:hAnsi="Arial" w:cs="Arial"/>
                <w:b/>
                <w:noProof/>
                <w:sz w:val="20"/>
                <w:lang w:eastAsia="zh-CN"/>
              </w:rPr>
            </w:pPr>
            <w:r w:rsidRPr="00D92AD6">
              <w:rPr>
                <w:rFonts w:ascii="Arial" w:hAnsi="Arial" w:cs="Arial"/>
                <w:b/>
                <w:noProof/>
                <w:sz w:val="20"/>
                <w:lang w:eastAsia="zh-CN"/>
              </w:rPr>
              <w:t>2017</w:t>
            </w:r>
          </w:p>
        </w:tc>
        <w:tc>
          <w:tcPr>
            <w:tcW w:w="8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077AC75" w14:textId="77777777" w:rsidR="00A578FB" w:rsidRPr="00D92AD6" w:rsidRDefault="00A578FB" w:rsidP="005A1D03">
            <w:pPr>
              <w:jc w:val="center"/>
              <w:rPr>
                <w:rFonts w:ascii="Arial" w:hAnsi="Arial" w:cs="Arial"/>
                <w:b/>
                <w:noProof/>
                <w:sz w:val="20"/>
                <w:lang w:eastAsia="zh-CN"/>
              </w:rPr>
            </w:pPr>
            <w:r w:rsidRPr="00D92AD6">
              <w:rPr>
                <w:rFonts w:ascii="Arial" w:hAnsi="Arial" w:cs="Arial"/>
                <w:b/>
                <w:noProof/>
                <w:sz w:val="20"/>
                <w:lang w:eastAsia="zh-CN"/>
              </w:rPr>
              <w:t>Meta Final</w:t>
            </w:r>
          </w:p>
        </w:tc>
        <w:tc>
          <w:tcPr>
            <w:tcW w:w="22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A1FC05F" w14:textId="77777777" w:rsidR="00A578FB" w:rsidRPr="00D92AD6" w:rsidRDefault="00A578FB" w:rsidP="005A1D03">
            <w:pPr>
              <w:jc w:val="center"/>
              <w:rPr>
                <w:rFonts w:ascii="Arial" w:hAnsi="Arial" w:cs="Arial"/>
                <w:b/>
                <w:noProof/>
                <w:sz w:val="20"/>
                <w:lang w:eastAsia="zh-CN"/>
              </w:rPr>
            </w:pPr>
            <w:r w:rsidRPr="00D92AD6">
              <w:rPr>
                <w:rFonts w:ascii="Arial" w:hAnsi="Arial" w:cs="Arial"/>
                <w:b/>
                <w:noProof/>
                <w:sz w:val="20"/>
                <w:lang w:eastAsia="zh-CN"/>
              </w:rPr>
              <w:t>Medios de Verificación</w:t>
            </w:r>
          </w:p>
        </w:tc>
        <w:tc>
          <w:tcPr>
            <w:tcW w:w="30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F23DB60" w14:textId="77777777" w:rsidR="00A578FB" w:rsidRPr="00D92AD6" w:rsidRDefault="00A578FB" w:rsidP="005A1D03">
            <w:pPr>
              <w:jc w:val="center"/>
              <w:rPr>
                <w:rFonts w:ascii="Arial" w:hAnsi="Arial" w:cs="Arial"/>
                <w:b/>
                <w:noProof/>
                <w:sz w:val="20"/>
                <w:lang w:eastAsia="zh-CN"/>
              </w:rPr>
            </w:pPr>
            <w:r w:rsidRPr="00D92AD6">
              <w:rPr>
                <w:rFonts w:ascii="Arial" w:hAnsi="Arial" w:cs="Arial"/>
                <w:b/>
                <w:noProof/>
                <w:sz w:val="20"/>
                <w:lang w:eastAsia="zh-CN"/>
              </w:rPr>
              <w:t>Comentarios</w:t>
            </w:r>
          </w:p>
        </w:tc>
      </w:tr>
      <w:tr w:rsidR="00A578FB" w:rsidRPr="00D92AD6" w14:paraId="627DB8F1" w14:textId="77777777" w:rsidTr="005A1D03">
        <w:trPr>
          <w:trHeight w:val="317"/>
          <w:jc w:val="center"/>
        </w:trPr>
        <w:tc>
          <w:tcPr>
            <w:tcW w:w="13149" w:type="dxa"/>
            <w:gridSpan w:val="9"/>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39CC0237" w14:textId="77777777" w:rsidR="00A578FB" w:rsidRPr="00D92AD6" w:rsidRDefault="00A578FB" w:rsidP="005A1D03">
            <w:pPr>
              <w:spacing w:before="60" w:after="60"/>
              <w:rPr>
                <w:rFonts w:ascii="Arial" w:hAnsi="Arial" w:cs="Arial"/>
                <w:b/>
                <w:noProof/>
                <w:sz w:val="18"/>
                <w:szCs w:val="18"/>
                <w:lang w:eastAsia="zh-CN"/>
              </w:rPr>
            </w:pPr>
            <w:r w:rsidRPr="00D92AD6">
              <w:rPr>
                <w:rFonts w:ascii="Arial" w:hAnsi="Arial" w:cs="Arial"/>
                <w:b/>
                <w:noProof/>
                <w:sz w:val="18"/>
                <w:szCs w:val="18"/>
                <w:lang w:eastAsia="zh-CN"/>
              </w:rPr>
              <w:t>RESULTADO #1</w:t>
            </w:r>
            <w:r>
              <w:rPr>
                <w:rFonts w:ascii="Arial" w:hAnsi="Arial" w:cs="Arial"/>
                <w:b/>
                <w:noProof/>
                <w:sz w:val="18"/>
                <w:szCs w:val="18"/>
                <w:lang w:eastAsia="zh-CN"/>
              </w:rPr>
              <w:t xml:space="preserve"> – DISCIPLINA FINANCIERA</w:t>
            </w:r>
          </w:p>
        </w:tc>
      </w:tr>
      <w:tr w:rsidR="00757466" w:rsidRPr="00360374" w14:paraId="19D51774" w14:textId="77777777" w:rsidTr="00903AE2">
        <w:trPr>
          <w:trHeight w:val="547"/>
          <w:jc w:val="center"/>
        </w:trPr>
        <w:tc>
          <w:tcPr>
            <w:tcW w:w="2065" w:type="dxa"/>
            <w:tcBorders>
              <w:top w:val="single" w:sz="4" w:space="0" w:color="000000"/>
              <w:left w:val="single" w:sz="4" w:space="0" w:color="000000"/>
              <w:bottom w:val="single" w:sz="4" w:space="0" w:color="000000"/>
              <w:right w:val="single" w:sz="4" w:space="0" w:color="000000"/>
            </w:tcBorders>
            <w:vAlign w:val="center"/>
          </w:tcPr>
          <w:p w14:paraId="0C2CE1E7" w14:textId="7B2E64BD" w:rsidR="00A578FB" w:rsidRPr="00D92AD6" w:rsidRDefault="00A578FB" w:rsidP="005A1D03">
            <w:pPr>
              <w:pStyle w:val="ListParagraph"/>
              <w:spacing w:before="60" w:after="60"/>
              <w:ind w:left="0"/>
              <w:rPr>
                <w:rFonts w:ascii="Arial" w:hAnsi="Arial" w:cs="Arial"/>
                <w:noProof/>
                <w:sz w:val="18"/>
                <w:szCs w:val="18"/>
              </w:rPr>
            </w:pPr>
            <w:r>
              <w:rPr>
                <w:rFonts w:ascii="Arial" w:hAnsi="Arial" w:cs="Arial"/>
                <w:noProof/>
                <w:sz w:val="18"/>
                <w:szCs w:val="18"/>
              </w:rPr>
              <w:t>N</w:t>
            </w:r>
            <w:r w:rsidRPr="00D92AD6">
              <w:rPr>
                <w:rFonts w:ascii="Arial" w:hAnsi="Arial" w:cs="Arial"/>
                <w:noProof/>
                <w:sz w:val="18"/>
                <w:szCs w:val="18"/>
              </w:rPr>
              <w:t xml:space="preserve">úmero de </w:t>
            </w:r>
            <w:r>
              <w:rPr>
                <w:rFonts w:ascii="Arial" w:hAnsi="Arial" w:cs="Arial"/>
                <w:noProof/>
                <w:sz w:val="18"/>
                <w:szCs w:val="18"/>
              </w:rPr>
              <w:t>entidadas federativas</w:t>
            </w:r>
            <w:r w:rsidRPr="00D92AD6">
              <w:rPr>
                <w:rFonts w:ascii="Arial" w:hAnsi="Arial" w:cs="Arial"/>
                <w:noProof/>
                <w:sz w:val="18"/>
                <w:szCs w:val="18"/>
              </w:rPr>
              <w:t xml:space="preserve"> calificad</w:t>
            </w:r>
            <w:r>
              <w:rPr>
                <w:rFonts w:ascii="Arial" w:hAnsi="Arial" w:cs="Arial"/>
                <w:noProof/>
                <w:sz w:val="18"/>
                <w:szCs w:val="18"/>
              </w:rPr>
              <w:t>a</w:t>
            </w:r>
            <w:r w:rsidRPr="00D92AD6">
              <w:rPr>
                <w:rFonts w:ascii="Arial" w:hAnsi="Arial" w:cs="Arial"/>
                <w:noProof/>
                <w:sz w:val="18"/>
                <w:szCs w:val="18"/>
              </w:rPr>
              <w:t>s en el nivel de endeudamiento elevado</w:t>
            </w:r>
            <w:r>
              <w:rPr>
                <w:rFonts w:ascii="Arial" w:hAnsi="Arial" w:cs="Arial"/>
                <w:noProof/>
                <w:sz w:val="18"/>
                <w:szCs w:val="18"/>
              </w:rPr>
              <w:t xml:space="preserve"> o en observación</w:t>
            </w:r>
            <w:r w:rsidRPr="00D92AD6">
              <w:rPr>
                <w:rFonts w:ascii="Arial" w:hAnsi="Arial" w:cs="Arial"/>
                <w:noProof/>
                <w:sz w:val="18"/>
                <w:szCs w:val="18"/>
              </w:rPr>
              <w:t>, de acuerdo al reglamento del Sistema de Alertas</w:t>
            </w:r>
            <w:r>
              <w:rPr>
                <w:rFonts w:ascii="Arial" w:hAnsi="Arial" w:cs="Arial"/>
                <w:noProof/>
                <w:sz w:val="18"/>
                <w:szCs w:val="18"/>
              </w:rPr>
              <w:t xml:space="preserve"> (SdA)</w:t>
            </w:r>
            <w:r w:rsidR="004F3AF4">
              <w:rPr>
                <w:rFonts w:ascii="Arial" w:hAnsi="Arial" w:cs="Arial"/>
                <w:noProof/>
                <w:sz w:val="18"/>
                <w:szCs w:val="18"/>
              </w:rPr>
              <w:t>.</w:t>
            </w:r>
          </w:p>
        </w:tc>
        <w:tc>
          <w:tcPr>
            <w:tcW w:w="1170" w:type="dxa"/>
            <w:tcBorders>
              <w:top w:val="single" w:sz="4" w:space="0" w:color="000000"/>
              <w:left w:val="single" w:sz="4" w:space="0" w:color="000000"/>
              <w:bottom w:val="single" w:sz="4" w:space="0" w:color="000000"/>
              <w:right w:val="single" w:sz="4" w:space="0" w:color="000000"/>
            </w:tcBorders>
            <w:vAlign w:val="center"/>
          </w:tcPr>
          <w:p w14:paraId="30E3010F" w14:textId="652B7BC9" w:rsidR="00A578FB" w:rsidRPr="00D92AD6" w:rsidRDefault="00B35D2D" w:rsidP="005A1D03">
            <w:pPr>
              <w:spacing w:before="60" w:after="60"/>
              <w:jc w:val="center"/>
              <w:rPr>
                <w:rFonts w:ascii="Arial" w:hAnsi="Arial" w:cs="Arial"/>
                <w:noProof/>
                <w:sz w:val="18"/>
                <w:szCs w:val="18"/>
              </w:rPr>
            </w:pPr>
            <w:r>
              <w:rPr>
                <w:rFonts w:ascii="Arial" w:hAnsi="Arial" w:cs="Arial"/>
                <w:noProof/>
                <w:sz w:val="18"/>
                <w:szCs w:val="18"/>
              </w:rPr>
              <w:t>Entidades Federativas</w:t>
            </w:r>
          </w:p>
        </w:tc>
        <w:tc>
          <w:tcPr>
            <w:tcW w:w="1170" w:type="dxa"/>
            <w:tcBorders>
              <w:top w:val="single" w:sz="4" w:space="0" w:color="000000"/>
              <w:left w:val="single" w:sz="4" w:space="0" w:color="000000"/>
              <w:bottom w:val="single" w:sz="4" w:space="0" w:color="000000"/>
              <w:right w:val="single" w:sz="4" w:space="0" w:color="000000"/>
            </w:tcBorders>
            <w:vAlign w:val="center"/>
          </w:tcPr>
          <w:p w14:paraId="0FAC6163" w14:textId="77777777" w:rsidR="00A578FB" w:rsidRPr="00D92AD6" w:rsidRDefault="00A578FB" w:rsidP="005A1D03">
            <w:pPr>
              <w:spacing w:before="60" w:after="60"/>
              <w:jc w:val="center"/>
              <w:rPr>
                <w:rFonts w:ascii="Arial" w:hAnsi="Arial" w:cs="Arial"/>
                <w:noProof/>
                <w:sz w:val="18"/>
                <w:szCs w:val="18"/>
              </w:rPr>
            </w:pPr>
            <w:r>
              <w:rPr>
                <w:rFonts w:ascii="Arial" w:hAnsi="Arial" w:cs="Arial"/>
                <w:noProof/>
                <w:sz w:val="18"/>
                <w:szCs w:val="18"/>
              </w:rPr>
              <w:t>11</w:t>
            </w:r>
          </w:p>
        </w:tc>
        <w:tc>
          <w:tcPr>
            <w:tcW w:w="900" w:type="dxa"/>
            <w:tcBorders>
              <w:top w:val="single" w:sz="4" w:space="0" w:color="000000"/>
              <w:left w:val="single" w:sz="4" w:space="0" w:color="000000"/>
              <w:bottom w:val="single" w:sz="4" w:space="0" w:color="000000"/>
              <w:right w:val="single" w:sz="4" w:space="0" w:color="000000"/>
            </w:tcBorders>
            <w:vAlign w:val="center"/>
          </w:tcPr>
          <w:p w14:paraId="6320CAA2" w14:textId="77777777" w:rsidR="00A578FB" w:rsidRPr="00D92AD6" w:rsidRDefault="00A578FB" w:rsidP="005A1D03">
            <w:pPr>
              <w:spacing w:before="60" w:after="60"/>
              <w:jc w:val="center"/>
              <w:rPr>
                <w:rFonts w:ascii="Arial" w:hAnsi="Arial" w:cs="Arial"/>
                <w:noProof/>
                <w:sz w:val="18"/>
                <w:szCs w:val="18"/>
              </w:rPr>
            </w:pPr>
            <w:r w:rsidRPr="00D92AD6">
              <w:rPr>
                <w:rFonts w:ascii="Arial" w:hAnsi="Arial" w:cs="Arial"/>
                <w:noProof/>
                <w:sz w:val="18"/>
                <w:szCs w:val="18"/>
              </w:rPr>
              <w:t>2016</w:t>
            </w:r>
          </w:p>
        </w:tc>
        <w:tc>
          <w:tcPr>
            <w:tcW w:w="900" w:type="dxa"/>
            <w:tcBorders>
              <w:top w:val="single" w:sz="4" w:space="0" w:color="000000"/>
              <w:left w:val="single" w:sz="4" w:space="0" w:color="000000"/>
              <w:bottom w:val="single" w:sz="4" w:space="0" w:color="000000"/>
              <w:right w:val="single" w:sz="4" w:space="0" w:color="000000"/>
            </w:tcBorders>
            <w:vAlign w:val="center"/>
          </w:tcPr>
          <w:p w14:paraId="7C0AA77A" w14:textId="77777777" w:rsidR="00A578FB" w:rsidRPr="00D92AD6" w:rsidRDefault="00A578FB" w:rsidP="005A1D03">
            <w:pPr>
              <w:spacing w:before="60" w:after="60"/>
              <w:jc w:val="center"/>
              <w:rPr>
                <w:rFonts w:ascii="Arial" w:hAnsi="Arial" w:cs="Arial"/>
                <w:noProof/>
                <w:sz w:val="20"/>
                <w:lang w:eastAsia="zh-CN"/>
              </w:rPr>
            </w:pPr>
            <w:r>
              <w:rPr>
                <w:rFonts w:ascii="Arial" w:hAnsi="Arial" w:cs="Arial"/>
                <w:noProof/>
                <w:sz w:val="20"/>
                <w:lang w:eastAsia="zh-CN"/>
              </w:rPr>
              <w:t>11</w:t>
            </w:r>
          </w:p>
        </w:tc>
        <w:tc>
          <w:tcPr>
            <w:tcW w:w="810" w:type="dxa"/>
            <w:tcBorders>
              <w:top w:val="single" w:sz="4" w:space="0" w:color="000000"/>
              <w:left w:val="single" w:sz="4" w:space="0" w:color="000000"/>
              <w:bottom w:val="single" w:sz="4" w:space="0" w:color="000000"/>
              <w:right w:val="single" w:sz="4" w:space="0" w:color="000000"/>
            </w:tcBorders>
            <w:vAlign w:val="center"/>
          </w:tcPr>
          <w:p w14:paraId="3FC7F279" w14:textId="77777777" w:rsidR="00A578FB" w:rsidRPr="00D92AD6" w:rsidRDefault="00A578FB" w:rsidP="005A1D03">
            <w:pPr>
              <w:spacing w:before="60" w:after="60"/>
              <w:jc w:val="center"/>
              <w:rPr>
                <w:rFonts w:ascii="Arial" w:hAnsi="Arial" w:cs="Arial"/>
                <w:noProof/>
                <w:sz w:val="18"/>
                <w:szCs w:val="18"/>
              </w:rPr>
            </w:pPr>
            <w:r>
              <w:rPr>
                <w:rFonts w:ascii="Arial" w:hAnsi="Arial" w:cs="Arial"/>
                <w:noProof/>
                <w:sz w:val="18"/>
                <w:szCs w:val="18"/>
              </w:rPr>
              <w:t>9</w:t>
            </w:r>
          </w:p>
        </w:tc>
        <w:tc>
          <w:tcPr>
            <w:tcW w:w="810" w:type="dxa"/>
            <w:tcBorders>
              <w:top w:val="single" w:sz="4" w:space="0" w:color="000000"/>
              <w:left w:val="single" w:sz="4" w:space="0" w:color="000000"/>
              <w:bottom w:val="single" w:sz="4" w:space="0" w:color="000000"/>
              <w:right w:val="single" w:sz="4" w:space="0" w:color="000000"/>
            </w:tcBorders>
            <w:vAlign w:val="center"/>
          </w:tcPr>
          <w:p w14:paraId="5C6BFEBD" w14:textId="6E6D6B60" w:rsidR="00A578FB" w:rsidRPr="00D92AD6" w:rsidRDefault="007B2EBB" w:rsidP="005A1D03">
            <w:pPr>
              <w:spacing w:before="60" w:after="60"/>
              <w:jc w:val="center"/>
              <w:rPr>
                <w:rFonts w:ascii="Arial" w:hAnsi="Arial" w:cs="Arial"/>
                <w:noProof/>
                <w:sz w:val="18"/>
                <w:szCs w:val="18"/>
              </w:rPr>
            </w:pPr>
            <w:r>
              <w:rPr>
                <w:rFonts w:ascii="Arial" w:hAnsi="Arial" w:cs="Arial"/>
                <w:noProof/>
                <w:sz w:val="18"/>
                <w:szCs w:val="18"/>
              </w:rPr>
              <w:t>8</w:t>
            </w:r>
          </w:p>
        </w:tc>
        <w:tc>
          <w:tcPr>
            <w:tcW w:w="2250" w:type="dxa"/>
            <w:tcBorders>
              <w:top w:val="single" w:sz="4" w:space="0" w:color="000000"/>
              <w:left w:val="single" w:sz="4" w:space="0" w:color="000000"/>
              <w:bottom w:val="single" w:sz="4" w:space="0" w:color="000000"/>
              <w:right w:val="single" w:sz="4" w:space="0" w:color="000000"/>
            </w:tcBorders>
            <w:vAlign w:val="center"/>
          </w:tcPr>
          <w:p w14:paraId="36187114" w14:textId="77777777" w:rsidR="00A578FB" w:rsidRPr="00D92AD6" w:rsidRDefault="00A578FB" w:rsidP="005A1D03">
            <w:pPr>
              <w:spacing w:before="60" w:after="60"/>
              <w:rPr>
                <w:rFonts w:ascii="Arial" w:hAnsi="Arial" w:cs="Arial"/>
                <w:noProof/>
                <w:sz w:val="18"/>
                <w:szCs w:val="18"/>
              </w:rPr>
            </w:pPr>
            <w:r w:rsidRPr="00D92AD6">
              <w:rPr>
                <w:rFonts w:ascii="Arial" w:hAnsi="Arial" w:cs="Arial"/>
                <w:noProof/>
                <w:sz w:val="18"/>
                <w:szCs w:val="18"/>
              </w:rPr>
              <w:t>Publicación de las calificaciones del S</w:t>
            </w:r>
            <w:r>
              <w:rPr>
                <w:rFonts w:ascii="Arial" w:hAnsi="Arial" w:cs="Arial"/>
                <w:noProof/>
                <w:sz w:val="18"/>
                <w:szCs w:val="18"/>
              </w:rPr>
              <w:t>dA</w:t>
            </w:r>
            <w:r w:rsidRPr="00D92AD6">
              <w:rPr>
                <w:rFonts w:ascii="Arial" w:hAnsi="Arial" w:cs="Arial"/>
                <w:noProof/>
                <w:sz w:val="18"/>
                <w:szCs w:val="18"/>
              </w:rPr>
              <w:t xml:space="preserve"> en la página de internet oficial de la SHCP</w:t>
            </w:r>
            <w:r w:rsidRPr="0080138D">
              <w:rPr>
                <w:rStyle w:val="FootnoteReference"/>
                <w:rFonts w:ascii="Arial" w:hAnsi="Arial" w:cs="Arial"/>
                <w:spacing w:val="-4"/>
                <w:lang w:val="es-ES"/>
              </w:rPr>
              <w:footnoteReference w:id="3"/>
            </w:r>
            <w:r w:rsidRPr="00D92AD6">
              <w:rPr>
                <w:rFonts w:ascii="Arial" w:hAnsi="Arial" w:cs="Arial"/>
                <w:noProof/>
                <w:sz w:val="18"/>
                <w:szCs w:val="18"/>
              </w:rPr>
              <w:t>.</w:t>
            </w:r>
          </w:p>
        </w:tc>
        <w:tc>
          <w:tcPr>
            <w:tcW w:w="3074" w:type="dxa"/>
            <w:tcBorders>
              <w:top w:val="single" w:sz="4" w:space="0" w:color="000000"/>
              <w:left w:val="single" w:sz="4" w:space="0" w:color="000000"/>
              <w:bottom w:val="single" w:sz="4" w:space="0" w:color="000000"/>
              <w:right w:val="single" w:sz="4" w:space="0" w:color="000000"/>
            </w:tcBorders>
          </w:tcPr>
          <w:p w14:paraId="62B6CCA1" w14:textId="727621F8" w:rsidR="00A578FB" w:rsidRPr="00D92AD6" w:rsidRDefault="00A578FB" w:rsidP="005A1D03">
            <w:pPr>
              <w:spacing w:before="60" w:after="60"/>
              <w:rPr>
                <w:rFonts w:ascii="Arial" w:hAnsi="Arial" w:cs="Arial"/>
                <w:noProof/>
                <w:sz w:val="18"/>
                <w:szCs w:val="18"/>
              </w:rPr>
            </w:pPr>
            <w:r>
              <w:rPr>
                <w:rFonts w:ascii="Arial" w:hAnsi="Arial" w:cs="Arial"/>
                <w:noProof/>
                <w:sz w:val="18"/>
                <w:szCs w:val="18"/>
              </w:rPr>
              <w:t>E</w:t>
            </w:r>
            <w:r w:rsidRPr="00D92AD6">
              <w:rPr>
                <w:rFonts w:ascii="Arial" w:hAnsi="Arial" w:cs="Arial"/>
                <w:noProof/>
                <w:sz w:val="18"/>
                <w:szCs w:val="18"/>
              </w:rPr>
              <w:t xml:space="preserve">l Reglamento del </w:t>
            </w:r>
            <w:r>
              <w:rPr>
                <w:rFonts w:ascii="Arial" w:hAnsi="Arial" w:cs="Arial"/>
                <w:noProof/>
                <w:sz w:val="18"/>
                <w:szCs w:val="18"/>
              </w:rPr>
              <w:t xml:space="preserve">SdA establece la metodología para la </w:t>
            </w:r>
            <w:r w:rsidR="00FB42A7">
              <w:rPr>
                <w:rFonts w:ascii="Arial" w:hAnsi="Arial" w:cs="Arial"/>
                <w:noProof/>
                <w:sz w:val="18"/>
                <w:szCs w:val="18"/>
              </w:rPr>
              <w:t>calificación</w:t>
            </w:r>
            <w:r>
              <w:rPr>
                <w:rFonts w:ascii="Arial" w:hAnsi="Arial" w:cs="Arial"/>
                <w:noProof/>
                <w:sz w:val="18"/>
                <w:szCs w:val="18"/>
              </w:rPr>
              <w:t xml:space="preserve"> de </w:t>
            </w:r>
            <w:r w:rsidR="00FB42A7">
              <w:rPr>
                <w:rFonts w:ascii="Arial" w:hAnsi="Arial" w:cs="Arial"/>
                <w:noProof/>
                <w:sz w:val="18"/>
                <w:szCs w:val="18"/>
              </w:rPr>
              <w:t>los estados</w:t>
            </w:r>
            <w:r>
              <w:rPr>
                <w:rFonts w:ascii="Arial" w:hAnsi="Arial" w:cs="Arial"/>
                <w:noProof/>
                <w:sz w:val="18"/>
                <w:szCs w:val="18"/>
              </w:rPr>
              <w:t xml:space="preserve"> de acuerdo a su nivel de endeudamiento. Existen tres </w:t>
            </w:r>
            <w:r w:rsidR="00FB42A7">
              <w:rPr>
                <w:rFonts w:ascii="Arial" w:hAnsi="Arial" w:cs="Arial"/>
                <w:noProof/>
                <w:sz w:val="18"/>
                <w:szCs w:val="18"/>
              </w:rPr>
              <w:t>calificaciones</w:t>
            </w:r>
            <w:r>
              <w:rPr>
                <w:rFonts w:ascii="Arial" w:hAnsi="Arial" w:cs="Arial"/>
                <w:noProof/>
                <w:sz w:val="18"/>
                <w:szCs w:val="18"/>
              </w:rPr>
              <w:t xml:space="preserve"> de endeudamiento</w:t>
            </w:r>
            <w:r w:rsidRPr="00D92AD6">
              <w:rPr>
                <w:rFonts w:ascii="Arial" w:hAnsi="Arial" w:cs="Arial"/>
                <w:noProof/>
                <w:sz w:val="18"/>
                <w:szCs w:val="18"/>
              </w:rPr>
              <w:t>: sostenible, en observación</w:t>
            </w:r>
            <w:r>
              <w:rPr>
                <w:rFonts w:ascii="Arial" w:hAnsi="Arial" w:cs="Arial"/>
                <w:noProof/>
                <w:sz w:val="18"/>
                <w:szCs w:val="18"/>
              </w:rPr>
              <w:t xml:space="preserve"> y</w:t>
            </w:r>
            <w:r w:rsidRPr="00D92AD6">
              <w:rPr>
                <w:rFonts w:ascii="Arial" w:hAnsi="Arial" w:cs="Arial"/>
                <w:noProof/>
                <w:sz w:val="18"/>
                <w:szCs w:val="18"/>
              </w:rPr>
              <w:t xml:space="preserve"> elevado.</w:t>
            </w:r>
            <w:r>
              <w:rPr>
                <w:rFonts w:ascii="Arial" w:hAnsi="Arial" w:cs="Arial"/>
                <w:noProof/>
                <w:sz w:val="18"/>
                <w:szCs w:val="18"/>
              </w:rPr>
              <w:t xml:space="preserve"> L</w:t>
            </w:r>
            <w:r w:rsidRPr="00D92AD6">
              <w:rPr>
                <w:rFonts w:ascii="Arial" w:hAnsi="Arial" w:cs="Arial"/>
                <w:noProof/>
                <w:sz w:val="18"/>
                <w:szCs w:val="18"/>
              </w:rPr>
              <w:t>a</w:t>
            </w:r>
            <w:r>
              <w:rPr>
                <w:rFonts w:ascii="Arial" w:hAnsi="Arial" w:cs="Arial"/>
                <w:noProof/>
                <w:sz w:val="18"/>
                <w:szCs w:val="18"/>
              </w:rPr>
              <w:t xml:space="preserve"> medición del SdA para </w:t>
            </w:r>
            <w:r w:rsidR="00FB42A7">
              <w:rPr>
                <w:rFonts w:ascii="Arial" w:hAnsi="Arial" w:cs="Arial"/>
                <w:noProof/>
                <w:sz w:val="18"/>
                <w:szCs w:val="18"/>
              </w:rPr>
              <w:t>estados</w:t>
            </w:r>
            <w:r>
              <w:rPr>
                <w:rFonts w:ascii="Arial" w:hAnsi="Arial" w:cs="Arial"/>
                <w:noProof/>
                <w:sz w:val="18"/>
                <w:szCs w:val="18"/>
              </w:rPr>
              <w:t xml:space="preserve"> se realiza trimestralmente y se basa en tres indicadores. </w:t>
            </w:r>
            <w:r w:rsidRPr="00D92AD6">
              <w:rPr>
                <w:rFonts w:ascii="Arial" w:hAnsi="Arial" w:cs="Arial"/>
                <w:noProof/>
                <w:color w:val="000000"/>
                <w:sz w:val="18"/>
                <w:szCs w:val="18"/>
              </w:rPr>
              <w:t xml:space="preserve"> Línea de base y metas </w:t>
            </w:r>
            <w:r>
              <w:rPr>
                <w:rFonts w:ascii="Arial" w:hAnsi="Arial" w:cs="Arial"/>
                <w:noProof/>
                <w:color w:val="000000"/>
                <w:sz w:val="18"/>
                <w:szCs w:val="18"/>
              </w:rPr>
              <w:t xml:space="preserve">hacen referencia a </w:t>
            </w:r>
            <w:r w:rsidR="00FB42A7">
              <w:rPr>
                <w:rFonts w:ascii="Arial" w:hAnsi="Arial" w:cs="Arial"/>
                <w:noProof/>
                <w:color w:val="000000"/>
                <w:sz w:val="18"/>
                <w:szCs w:val="18"/>
              </w:rPr>
              <w:t>mediciones basadas en Cuenta Pública.</w:t>
            </w:r>
            <w:r w:rsidR="00A12BBE">
              <w:rPr>
                <w:rFonts w:ascii="Arial" w:hAnsi="Arial" w:cs="Arial"/>
                <w:noProof/>
                <w:color w:val="000000"/>
                <w:sz w:val="18"/>
                <w:szCs w:val="18"/>
              </w:rPr>
              <w:t xml:space="preserve"> La meta final se refiere a 2018 dado que existe la posibilidad de que la información sobre 2019 no se encuentre disponible al momento de producir el Informe de Terminación de Proyecto (PCR, por sus siglas en inglés). De estar la información para 2019 disponible, la meta es 8.</w:t>
            </w:r>
          </w:p>
        </w:tc>
      </w:tr>
      <w:tr w:rsidR="00757466" w:rsidRPr="00360374" w14:paraId="0C32F399" w14:textId="77777777" w:rsidTr="00903AE2">
        <w:trPr>
          <w:trHeight w:val="547"/>
          <w:jc w:val="center"/>
        </w:trPr>
        <w:tc>
          <w:tcPr>
            <w:tcW w:w="2065" w:type="dxa"/>
            <w:tcBorders>
              <w:top w:val="single" w:sz="4" w:space="0" w:color="000000"/>
              <w:left w:val="single" w:sz="4" w:space="0" w:color="000000"/>
              <w:bottom w:val="single" w:sz="4" w:space="0" w:color="000000"/>
              <w:right w:val="single" w:sz="4" w:space="0" w:color="000000"/>
            </w:tcBorders>
            <w:vAlign w:val="center"/>
          </w:tcPr>
          <w:p w14:paraId="1EF18440" w14:textId="4BB77980" w:rsidR="00A578FB" w:rsidRPr="00D92AD6" w:rsidRDefault="00A578FB" w:rsidP="005A1D03">
            <w:pPr>
              <w:pStyle w:val="ListParagraph"/>
              <w:spacing w:before="60" w:after="60"/>
              <w:ind w:left="0"/>
              <w:rPr>
                <w:rFonts w:ascii="Arial" w:hAnsi="Arial" w:cs="Arial"/>
                <w:noProof/>
                <w:sz w:val="18"/>
                <w:szCs w:val="18"/>
              </w:rPr>
            </w:pPr>
            <w:r>
              <w:rPr>
                <w:rFonts w:ascii="Arial" w:hAnsi="Arial" w:cs="Arial"/>
                <w:noProof/>
                <w:sz w:val="18"/>
                <w:szCs w:val="18"/>
              </w:rPr>
              <w:t>N</w:t>
            </w:r>
            <w:r w:rsidRPr="00D92AD6">
              <w:rPr>
                <w:rFonts w:ascii="Arial" w:hAnsi="Arial" w:cs="Arial"/>
                <w:noProof/>
                <w:sz w:val="18"/>
                <w:szCs w:val="18"/>
              </w:rPr>
              <w:t>úmero de municipios calificados en el nivel de endeudamiento elevado</w:t>
            </w:r>
            <w:r>
              <w:rPr>
                <w:rFonts w:ascii="Arial" w:hAnsi="Arial" w:cs="Arial"/>
                <w:noProof/>
                <w:sz w:val="18"/>
                <w:szCs w:val="18"/>
              </w:rPr>
              <w:t xml:space="preserve"> o en observación</w:t>
            </w:r>
            <w:r w:rsidRPr="00D92AD6">
              <w:rPr>
                <w:rFonts w:ascii="Arial" w:hAnsi="Arial" w:cs="Arial"/>
                <w:noProof/>
                <w:sz w:val="18"/>
                <w:szCs w:val="18"/>
              </w:rPr>
              <w:t xml:space="preserve">, de acuerdo </w:t>
            </w:r>
            <w:r>
              <w:rPr>
                <w:rFonts w:ascii="Arial" w:hAnsi="Arial" w:cs="Arial"/>
                <w:noProof/>
                <w:sz w:val="18"/>
                <w:szCs w:val="18"/>
              </w:rPr>
              <w:t>al</w:t>
            </w:r>
            <w:r w:rsidRPr="00D92AD6">
              <w:rPr>
                <w:rFonts w:ascii="Arial" w:hAnsi="Arial" w:cs="Arial"/>
                <w:noProof/>
                <w:sz w:val="18"/>
                <w:szCs w:val="18"/>
              </w:rPr>
              <w:t xml:space="preserve"> reglamento del S</w:t>
            </w:r>
            <w:r>
              <w:rPr>
                <w:rFonts w:ascii="Arial" w:hAnsi="Arial" w:cs="Arial"/>
                <w:noProof/>
                <w:sz w:val="18"/>
                <w:szCs w:val="18"/>
              </w:rPr>
              <w:t>dA</w:t>
            </w:r>
            <w:r w:rsidR="004F3AF4">
              <w:rPr>
                <w:rFonts w:ascii="Arial" w:hAnsi="Arial" w:cs="Arial"/>
                <w:noProof/>
                <w:sz w:val="18"/>
                <w:szCs w:val="18"/>
              </w:rPr>
              <w:t>.</w:t>
            </w:r>
          </w:p>
        </w:tc>
        <w:tc>
          <w:tcPr>
            <w:tcW w:w="1170" w:type="dxa"/>
            <w:tcBorders>
              <w:top w:val="single" w:sz="4" w:space="0" w:color="000000"/>
              <w:left w:val="single" w:sz="4" w:space="0" w:color="000000"/>
              <w:bottom w:val="single" w:sz="4" w:space="0" w:color="000000"/>
              <w:right w:val="single" w:sz="4" w:space="0" w:color="000000"/>
            </w:tcBorders>
            <w:vAlign w:val="center"/>
          </w:tcPr>
          <w:p w14:paraId="326B4D30" w14:textId="77777777" w:rsidR="00A578FB" w:rsidRPr="00D92AD6" w:rsidDel="000059BE" w:rsidRDefault="00A578FB" w:rsidP="005A1D03">
            <w:pPr>
              <w:spacing w:before="60" w:after="60"/>
              <w:jc w:val="center"/>
              <w:rPr>
                <w:rFonts w:ascii="Arial" w:hAnsi="Arial" w:cs="Arial"/>
                <w:noProof/>
                <w:sz w:val="18"/>
                <w:szCs w:val="18"/>
              </w:rPr>
            </w:pPr>
            <w:r>
              <w:rPr>
                <w:rFonts w:ascii="Arial" w:hAnsi="Arial" w:cs="Arial"/>
                <w:noProof/>
                <w:sz w:val="18"/>
                <w:szCs w:val="18"/>
              </w:rPr>
              <w:t>Municipios</w:t>
            </w:r>
          </w:p>
        </w:tc>
        <w:tc>
          <w:tcPr>
            <w:tcW w:w="1170" w:type="dxa"/>
            <w:tcBorders>
              <w:top w:val="single" w:sz="4" w:space="0" w:color="000000"/>
              <w:left w:val="single" w:sz="4" w:space="0" w:color="000000"/>
              <w:bottom w:val="single" w:sz="4" w:space="0" w:color="000000"/>
              <w:right w:val="single" w:sz="4" w:space="0" w:color="000000"/>
            </w:tcBorders>
            <w:vAlign w:val="center"/>
          </w:tcPr>
          <w:p w14:paraId="597CFE48" w14:textId="77777777" w:rsidR="00A578FB" w:rsidRPr="00D92AD6" w:rsidDel="000059BE" w:rsidRDefault="00A578FB" w:rsidP="005A1D03">
            <w:pPr>
              <w:spacing w:before="60" w:after="60"/>
              <w:jc w:val="center"/>
              <w:rPr>
                <w:rFonts w:ascii="Arial" w:hAnsi="Arial" w:cs="Arial"/>
                <w:noProof/>
                <w:sz w:val="18"/>
                <w:szCs w:val="18"/>
              </w:rPr>
            </w:pPr>
            <w:r>
              <w:rPr>
                <w:rFonts w:ascii="Arial" w:hAnsi="Arial" w:cs="Arial"/>
                <w:noProof/>
                <w:sz w:val="18"/>
                <w:szCs w:val="18"/>
              </w:rPr>
              <w:t>105</w:t>
            </w:r>
          </w:p>
        </w:tc>
        <w:tc>
          <w:tcPr>
            <w:tcW w:w="900" w:type="dxa"/>
            <w:tcBorders>
              <w:top w:val="single" w:sz="4" w:space="0" w:color="000000"/>
              <w:left w:val="single" w:sz="4" w:space="0" w:color="000000"/>
              <w:bottom w:val="single" w:sz="4" w:space="0" w:color="000000"/>
              <w:right w:val="single" w:sz="4" w:space="0" w:color="000000"/>
            </w:tcBorders>
            <w:vAlign w:val="center"/>
          </w:tcPr>
          <w:p w14:paraId="2B33F3D0" w14:textId="77777777" w:rsidR="00A578FB" w:rsidRPr="00D92AD6" w:rsidRDefault="00A578FB" w:rsidP="005A1D03">
            <w:pPr>
              <w:spacing w:before="60" w:after="60"/>
              <w:jc w:val="center"/>
              <w:rPr>
                <w:rFonts w:ascii="Arial" w:hAnsi="Arial" w:cs="Arial"/>
                <w:noProof/>
                <w:sz w:val="18"/>
                <w:szCs w:val="18"/>
              </w:rPr>
            </w:pPr>
            <w:r>
              <w:rPr>
                <w:rFonts w:ascii="Arial" w:hAnsi="Arial" w:cs="Arial"/>
                <w:noProof/>
                <w:sz w:val="18"/>
                <w:szCs w:val="18"/>
              </w:rPr>
              <w:t>2017</w:t>
            </w:r>
          </w:p>
        </w:tc>
        <w:tc>
          <w:tcPr>
            <w:tcW w:w="900" w:type="dxa"/>
            <w:tcBorders>
              <w:top w:val="single" w:sz="4" w:space="0" w:color="000000"/>
              <w:left w:val="single" w:sz="4" w:space="0" w:color="000000"/>
              <w:bottom w:val="single" w:sz="4" w:space="0" w:color="000000"/>
              <w:right w:val="single" w:sz="4" w:space="0" w:color="000000"/>
            </w:tcBorders>
            <w:vAlign w:val="center"/>
          </w:tcPr>
          <w:p w14:paraId="031D3C5F" w14:textId="77777777" w:rsidR="00A578FB" w:rsidRDefault="00A578FB" w:rsidP="005A1D03">
            <w:pPr>
              <w:spacing w:before="60" w:after="60"/>
              <w:jc w:val="center"/>
              <w:rPr>
                <w:rFonts w:ascii="Arial" w:hAnsi="Arial" w:cs="Arial"/>
                <w:noProof/>
                <w:sz w:val="20"/>
                <w:lang w:eastAsia="zh-CN"/>
              </w:rPr>
            </w:pPr>
            <w:r>
              <w:rPr>
                <w:rFonts w:ascii="Arial" w:hAnsi="Arial" w:cs="Arial"/>
                <w:noProof/>
                <w:sz w:val="20"/>
                <w:lang w:eastAsia="zh-CN"/>
              </w:rPr>
              <w:t>-</w:t>
            </w:r>
          </w:p>
        </w:tc>
        <w:tc>
          <w:tcPr>
            <w:tcW w:w="810" w:type="dxa"/>
            <w:tcBorders>
              <w:top w:val="single" w:sz="4" w:space="0" w:color="000000"/>
              <w:left w:val="single" w:sz="4" w:space="0" w:color="000000"/>
              <w:bottom w:val="single" w:sz="4" w:space="0" w:color="000000"/>
              <w:right w:val="single" w:sz="4" w:space="0" w:color="000000"/>
            </w:tcBorders>
            <w:vAlign w:val="center"/>
          </w:tcPr>
          <w:p w14:paraId="13A1B8C5" w14:textId="77777777" w:rsidR="00A578FB" w:rsidRDefault="00A578FB" w:rsidP="005A1D03">
            <w:pPr>
              <w:spacing w:before="60" w:after="60"/>
              <w:jc w:val="center"/>
              <w:rPr>
                <w:rFonts w:ascii="Arial" w:hAnsi="Arial" w:cs="Arial"/>
                <w:noProof/>
                <w:sz w:val="18"/>
                <w:szCs w:val="18"/>
              </w:rPr>
            </w:pPr>
            <w:r>
              <w:rPr>
                <w:rFonts w:ascii="Arial" w:hAnsi="Arial" w:cs="Arial"/>
                <w:noProof/>
                <w:sz w:val="18"/>
                <w:szCs w:val="18"/>
              </w:rPr>
              <w:t>105</w:t>
            </w:r>
          </w:p>
        </w:tc>
        <w:tc>
          <w:tcPr>
            <w:tcW w:w="810" w:type="dxa"/>
            <w:tcBorders>
              <w:top w:val="single" w:sz="4" w:space="0" w:color="000000"/>
              <w:left w:val="single" w:sz="4" w:space="0" w:color="000000"/>
              <w:bottom w:val="single" w:sz="4" w:space="0" w:color="000000"/>
              <w:right w:val="single" w:sz="4" w:space="0" w:color="000000"/>
            </w:tcBorders>
            <w:vAlign w:val="center"/>
          </w:tcPr>
          <w:p w14:paraId="3E3A1025" w14:textId="77777777" w:rsidR="00A578FB" w:rsidRDefault="00A578FB" w:rsidP="005A1D03">
            <w:pPr>
              <w:spacing w:before="60" w:after="60"/>
              <w:jc w:val="center"/>
              <w:rPr>
                <w:rFonts w:ascii="Arial" w:hAnsi="Arial" w:cs="Arial"/>
                <w:noProof/>
                <w:sz w:val="18"/>
                <w:szCs w:val="18"/>
              </w:rPr>
            </w:pPr>
          </w:p>
          <w:p w14:paraId="548A3D39" w14:textId="5391A28D" w:rsidR="00A578FB" w:rsidRDefault="00EA6251" w:rsidP="005A1D03">
            <w:pPr>
              <w:spacing w:before="60" w:after="60"/>
              <w:jc w:val="center"/>
              <w:rPr>
                <w:rFonts w:ascii="Arial" w:hAnsi="Arial" w:cs="Arial"/>
                <w:noProof/>
                <w:sz w:val="18"/>
                <w:szCs w:val="18"/>
              </w:rPr>
            </w:pPr>
            <w:r w:rsidRPr="00D92AD6">
              <w:rPr>
                <w:rFonts w:ascii="Arial" w:hAnsi="Arial" w:cs="Arial"/>
                <w:noProof/>
                <w:sz w:val="18"/>
                <w:szCs w:val="18"/>
              </w:rPr>
              <w:t>≤</w:t>
            </w:r>
            <w:r>
              <w:rPr>
                <w:rFonts w:ascii="Arial" w:hAnsi="Arial" w:cs="Arial"/>
                <w:noProof/>
                <w:sz w:val="18"/>
                <w:szCs w:val="18"/>
              </w:rPr>
              <w:t xml:space="preserve">105 </w:t>
            </w:r>
          </w:p>
          <w:p w14:paraId="565B8F1E" w14:textId="77777777" w:rsidR="00A578FB" w:rsidRPr="00D92AD6" w:rsidRDefault="00A578FB" w:rsidP="005A1D03">
            <w:pPr>
              <w:spacing w:before="60" w:after="60"/>
              <w:jc w:val="center"/>
              <w:rPr>
                <w:rFonts w:ascii="Arial" w:hAnsi="Arial" w:cs="Arial"/>
                <w:noProof/>
                <w:sz w:val="18"/>
                <w:szCs w:val="18"/>
              </w:rPr>
            </w:pPr>
            <w:r>
              <w:rPr>
                <w:rFonts w:ascii="Arial" w:hAnsi="Arial" w:cs="Arial"/>
                <w:noProof/>
                <w:sz w:val="18"/>
                <w:szCs w:val="18"/>
              </w:rPr>
              <w:t>(2018)</w:t>
            </w:r>
          </w:p>
        </w:tc>
        <w:tc>
          <w:tcPr>
            <w:tcW w:w="2250" w:type="dxa"/>
            <w:tcBorders>
              <w:top w:val="single" w:sz="4" w:space="0" w:color="000000"/>
              <w:left w:val="single" w:sz="4" w:space="0" w:color="000000"/>
              <w:bottom w:val="single" w:sz="4" w:space="0" w:color="000000"/>
              <w:right w:val="single" w:sz="4" w:space="0" w:color="000000"/>
            </w:tcBorders>
            <w:vAlign w:val="center"/>
          </w:tcPr>
          <w:p w14:paraId="118E62D2" w14:textId="77777777" w:rsidR="00A578FB" w:rsidRPr="00D92AD6" w:rsidRDefault="00A578FB" w:rsidP="005A1D03">
            <w:pPr>
              <w:spacing w:before="60" w:after="60"/>
              <w:rPr>
                <w:rFonts w:ascii="Arial" w:hAnsi="Arial" w:cs="Arial"/>
                <w:noProof/>
                <w:sz w:val="18"/>
                <w:szCs w:val="18"/>
              </w:rPr>
            </w:pPr>
            <w:r w:rsidRPr="00D92AD6">
              <w:rPr>
                <w:rFonts w:ascii="Arial" w:hAnsi="Arial" w:cs="Arial"/>
                <w:noProof/>
                <w:sz w:val="18"/>
                <w:szCs w:val="18"/>
              </w:rPr>
              <w:t>Publicación de las calificaciones del Sistema de Alertas en la página de internet oficial de la SHCP</w:t>
            </w:r>
            <w:r w:rsidRPr="0080138D">
              <w:rPr>
                <w:rStyle w:val="FootnoteReference"/>
                <w:rFonts w:ascii="Arial" w:hAnsi="Arial" w:cs="Arial"/>
                <w:spacing w:val="-4"/>
                <w:lang w:val="es-ES"/>
              </w:rPr>
              <w:footnoteReference w:id="4"/>
            </w:r>
            <w:r w:rsidRPr="00D92AD6">
              <w:rPr>
                <w:rFonts w:ascii="Arial" w:hAnsi="Arial" w:cs="Arial"/>
                <w:noProof/>
                <w:sz w:val="18"/>
                <w:szCs w:val="18"/>
              </w:rPr>
              <w:t>.</w:t>
            </w:r>
          </w:p>
        </w:tc>
        <w:tc>
          <w:tcPr>
            <w:tcW w:w="3074" w:type="dxa"/>
            <w:tcBorders>
              <w:top w:val="single" w:sz="4" w:space="0" w:color="000000"/>
              <w:left w:val="single" w:sz="4" w:space="0" w:color="000000"/>
              <w:bottom w:val="single" w:sz="4" w:space="0" w:color="000000"/>
              <w:right w:val="single" w:sz="4" w:space="0" w:color="000000"/>
            </w:tcBorders>
          </w:tcPr>
          <w:p w14:paraId="1E71BB81" w14:textId="294B3C1A" w:rsidR="00A578FB" w:rsidRPr="00D92AD6" w:rsidRDefault="00A578FB" w:rsidP="005A1D03">
            <w:pPr>
              <w:spacing w:before="60" w:after="60"/>
              <w:rPr>
                <w:rFonts w:ascii="Arial" w:hAnsi="Arial" w:cs="Arial"/>
                <w:noProof/>
                <w:sz w:val="18"/>
                <w:szCs w:val="18"/>
              </w:rPr>
            </w:pPr>
            <w:r>
              <w:rPr>
                <w:rFonts w:ascii="Arial" w:hAnsi="Arial" w:cs="Arial"/>
                <w:noProof/>
                <w:sz w:val="18"/>
                <w:szCs w:val="18"/>
              </w:rPr>
              <w:t>L</w:t>
            </w:r>
            <w:r w:rsidRPr="00D92AD6">
              <w:rPr>
                <w:rFonts w:ascii="Arial" w:hAnsi="Arial" w:cs="Arial"/>
                <w:noProof/>
                <w:sz w:val="18"/>
                <w:szCs w:val="18"/>
              </w:rPr>
              <w:t>a</w:t>
            </w:r>
            <w:r>
              <w:rPr>
                <w:rFonts w:ascii="Arial" w:hAnsi="Arial" w:cs="Arial"/>
                <w:noProof/>
                <w:sz w:val="18"/>
                <w:szCs w:val="18"/>
              </w:rPr>
              <w:t xml:space="preserve"> </w:t>
            </w:r>
            <w:r w:rsidR="00087192">
              <w:rPr>
                <w:rFonts w:ascii="Arial" w:hAnsi="Arial" w:cs="Arial"/>
                <w:noProof/>
                <w:sz w:val="18"/>
                <w:szCs w:val="18"/>
              </w:rPr>
              <w:t xml:space="preserve">medición </w:t>
            </w:r>
            <w:r>
              <w:rPr>
                <w:rFonts w:ascii="Arial" w:hAnsi="Arial" w:cs="Arial"/>
                <w:noProof/>
                <w:sz w:val="18"/>
                <w:szCs w:val="18"/>
              </w:rPr>
              <w:t xml:space="preserve">del SdA para municipios se realiza </w:t>
            </w:r>
            <w:r w:rsidR="00FB42A7">
              <w:rPr>
                <w:rFonts w:ascii="Arial" w:hAnsi="Arial" w:cs="Arial"/>
                <w:noProof/>
                <w:sz w:val="18"/>
                <w:szCs w:val="18"/>
              </w:rPr>
              <w:t>trimestralmente.</w:t>
            </w:r>
            <w:r>
              <w:rPr>
                <w:rFonts w:ascii="Arial" w:hAnsi="Arial" w:cs="Arial"/>
                <w:noProof/>
                <w:sz w:val="18"/>
                <w:szCs w:val="18"/>
              </w:rPr>
              <w:t xml:space="preserve"> </w:t>
            </w:r>
            <w:r w:rsidR="00087192">
              <w:rPr>
                <w:rFonts w:ascii="Arial" w:hAnsi="Arial" w:cs="Arial"/>
                <w:noProof/>
                <w:sz w:val="18"/>
                <w:szCs w:val="18"/>
              </w:rPr>
              <w:t xml:space="preserve"> La información utilizada se relaciona con los datos de las Cuentas Públicas municipales. Para la meta final sólo se considerarán los municipios que pudieron ser evaluados en 2017. En 2017 no se pudo evaluar a </w:t>
            </w:r>
            <w:r w:rsidR="00FB42A7">
              <w:rPr>
                <w:rFonts w:ascii="Arial" w:hAnsi="Arial" w:cs="Arial"/>
                <w:noProof/>
                <w:sz w:val="18"/>
                <w:szCs w:val="18"/>
              </w:rPr>
              <w:t>241</w:t>
            </w:r>
            <w:r w:rsidR="00087192">
              <w:rPr>
                <w:rFonts w:ascii="Arial" w:hAnsi="Arial" w:cs="Arial"/>
                <w:noProof/>
                <w:sz w:val="18"/>
                <w:szCs w:val="18"/>
              </w:rPr>
              <w:t xml:space="preserve"> </w:t>
            </w:r>
            <w:r w:rsidR="00087192">
              <w:rPr>
                <w:rFonts w:ascii="Arial" w:hAnsi="Arial" w:cs="Arial"/>
                <w:noProof/>
                <w:sz w:val="18"/>
                <w:szCs w:val="18"/>
              </w:rPr>
              <w:lastRenderedPageBreak/>
              <w:t xml:space="preserve">municipios, ya que </w:t>
            </w:r>
            <w:r w:rsidR="00FB42A7">
              <w:rPr>
                <w:rFonts w:ascii="Arial" w:hAnsi="Arial" w:cs="Arial"/>
                <w:noProof/>
                <w:sz w:val="18"/>
                <w:szCs w:val="18"/>
              </w:rPr>
              <w:t>estos</w:t>
            </w:r>
            <w:r w:rsidR="00087192">
              <w:rPr>
                <w:rFonts w:ascii="Arial" w:hAnsi="Arial" w:cs="Arial"/>
                <w:noProof/>
                <w:sz w:val="18"/>
                <w:szCs w:val="18"/>
              </w:rPr>
              <w:t xml:space="preserve"> no entregaron </w:t>
            </w:r>
            <w:r w:rsidR="00087192" w:rsidRPr="00D726DE">
              <w:rPr>
                <w:rFonts w:ascii="Arial" w:hAnsi="Arial" w:cs="Arial"/>
                <w:noProof/>
                <w:sz w:val="18"/>
                <w:szCs w:val="18"/>
              </w:rPr>
              <w:t>información suficiente para llevar a cabo la medición.</w:t>
            </w:r>
            <w:r w:rsidR="00087192">
              <w:rPr>
                <w:rFonts w:ascii="Arial" w:hAnsi="Arial" w:cs="Arial"/>
                <w:noProof/>
                <w:sz w:val="18"/>
                <w:szCs w:val="18"/>
              </w:rPr>
              <w:t xml:space="preserve"> </w:t>
            </w:r>
            <w:r w:rsidR="00087192">
              <w:rPr>
                <w:rFonts w:ascii="Arial" w:hAnsi="Arial" w:cs="Arial"/>
                <w:noProof/>
                <w:color w:val="000000"/>
                <w:sz w:val="18"/>
                <w:szCs w:val="18"/>
              </w:rPr>
              <w:t xml:space="preserve">La meta final se refiere a 2018 dado que existe la posibilidad de que la información sobre 2019 no se encuentre disponible al momento de producir el PCR. De estar la información para 2019 disponible, la meta es </w:t>
            </w:r>
            <w:r w:rsidR="00087192" w:rsidRPr="00D92AD6">
              <w:rPr>
                <w:rFonts w:ascii="Arial" w:hAnsi="Arial" w:cs="Arial"/>
                <w:noProof/>
                <w:sz w:val="18"/>
                <w:szCs w:val="18"/>
              </w:rPr>
              <w:t xml:space="preserve">≤ </w:t>
            </w:r>
            <w:r w:rsidR="00087192">
              <w:rPr>
                <w:rFonts w:ascii="Arial" w:hAnsi="Arial" w:cs="Arial"/>
                <w:noProof/>
                <w:sz w:val="18"/>
                <w:szCs w:val="18"/>
              </w:rPr>
              <w:t>105</w:t>
            </w:r>
            <w:r w:rsidR="00087192">
              <w:rPr>
                <w:rFonts w:ascii="Arial" w:hAnsi="Arial" w:cs="Arial"/>
                <w:noProof/>
                <w:color w:val="000000"/>
                <w:sz w:val="18"/>
                <w:szCs w:val="18"/>
              </w:rPr>
              <w:t>.</w:t>
            </w:r>
          </w:p>
        </w:tc>
      </w:tr>
      <w:tr w:rsidR="00A578FB" w:rsidRPr="005542A4" w14:paraId="3D9C4CA6" w14:textId="77777777" w:rsidTr="005A1D03">
        <w:trPr>
          <w:trHeight w:val="71"/>
          <w:jc w:val="center"/>
        </w:trPr>
        <w:tc>
          <w:tcPr>
            <w:tcW w:w="13149" w:type="dxa"/>
            <w:gridSpan w:val="9"/>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9B7DCBF" w14:textId="77777777" w:rsidR="00A578FB" w:rsidRPr="00D92AD6" w:rsidRDefault="00A578FB" w:rsidP="005A1D03">
            <w:pPr>
              <w:spacing w:before="60" w:after="60"/>
              <w:rPr>
                <w:rFonts w:ascii="Arial" w:hAnsi="Arial" w:cs="Arial"/>
                <w:b/>
                <w:noProof/>
                <w:sz w:val="18"/>
                <w:szCs w:val="18"/>
              </w:rPr>
            </w:pPr>
            <w:r w:rsidRPr="00D92AD6">
              <w:rPr>
                <w:rFonts w:ascii="Arial" w:hAnsi="Arial" w:cs="Arial"/>
                <w:b/>
                <w:noProof/>
                <w:sz w:val="18"/>
                <w:szCs w:val="18"/>
              </w:rPr>
              <w:lastRenderedPageBreak/>
              <w:t>RESULTADO #2</w:t>
            </w:r>
            <w:r>
              <w:rPr>
                <w:rFonts w:ascii="Arial" w:hAnsi="Arial" w:cs="Arial"/>
                <w:b/>
                <w:noProof/>
                <w:sz w:val="18"/>
                <w:szCs w:val="18"/>
              </w:rPr>
              <w:t xml:space="preserve"> – CONTROL DEL GASTO PÚBLICO</w:t>
            </w:r>
          </w:p>
        </w:tc>
      </w:tr>
      <w:tr w:rsidR="00757466" w:rsidRPr="005542A4" w14:paraId="662AB997" w14:textId="77777777" w:rsidTr="00903AE2">
        <w:trPr>
          <w:trHeight w:val="547"/>
          <w:jc w:val="center"/>
        </w:trPr>
        <w:tc>
          <w:tcPr>
            <w:tcW w:w="2065" w:type="dxa"/>
            <w:tcBorders>
              <w:top w:val="single" w:sz="4" w:space="0" w:color="000000"/>
              <w:left w:val="single" w:sz="4" w:space="0" w:color="000000"/>
              <w:bottom w:val="single" w:sz="4" w:space="0" w:color="000000"/>
              <w:right w:val="single" w:sz="4" w:space="0" w:color="000000"/>
            </w:tcBorders>
            <w:vAlign w:val="center"/>
          </w:tcPr>
          <w:p w14:paraId="30355E2A" w14:textId="58BD0D86" w:rsidR="00A578FB" w:rsidRPr="00D92AD6" w:rsidRDefault="00A578FB" w:rsidP="005A1D03">
            <w:pPr>
              <w:pStyle w:val="ListParagraph"/>
              <w:spacing w:before="60" w:after="60"/>
              <w:ind w:left="0"/>
              <w:rPr>
                <w:rFonts w:ascii="Arial" w:hAnsi="Arial" w:cs="Arial"/>
                <w:noProof/>
                <w:sz w:val="18"/>
                <w:szCs w:val="18"/>
              </w:rPr>
            </w:pPr>
            <w:r w:rsidRPr="00D92AD6">
              <w:rPr>
                <w:rFonts w:ascii="Arial" w:hAnsi="Arial" w:cs="Arial"/>
                <w:noProof/>
                <w:sz w:val="18"/>
                <w:szCs w:val="18"/>
              </w:rPr>
              <w:t>Promedio a nivel estatal de la tasa de crecimiento real del gasto en servicios personales</w:t>
            </w:r>
            <w:r w:rsidR="004F3AF4">
              <w:rPr>
                <w:rFonts w:ascii="Arial" w:hAnsi="Arial" w:cs="Arial"/>
                <w:noProof/>
                <w:sz w:val="18"/>
                <w:szCs w:val="18"/>
              </w:rPr>
              <w:t>.</w:t>
            </w:r>
          </w:p>
        </w:tc>
        <w:tc>
          <w:tcPr>
            <w:tcW w:w="1170" w:type="dxa"/>
            <w:tcBorders>
              <w:top w:val="single" w:sz="4" w:space="0" w:color="000000"/>
              <w:left w:val="single" w:sz="4" w:space="0" w:color="000000"/>
              <w:bottom w:val="single" w:sz="4" w:space="0" w:color="000000"/>
              <w:right w:val="single" w:sz="4" w:space="0" w:color="000000"/>
            </w:tcBorders>
            <w:vAlign w:val="center"/>
          </w:tcPr>
          <w:p w14:paraId="0A6A2D47" w14:textId="77777777" w:rsidR="00A578FB" w:rsidRPr="00D92AD6" w:rsidRDefault="00A578FB" w:rsidP="005A1D03">
            <w:pPr>
              <w:spacing w:before="60" w:after="60"/>
              <w:jc w:val="center"/>
              <w:rPr>
                <w:rFonts w:ascii="Arial" w:hAnsi="Arial" w:cs="Arial"/>
                <w:noProof/>
                <w:sz w:val="18"/>
                <w:szCs w:val="18"/>
              </w:rPr>
            </w:pPr>
            <w:r w:rsidRPr="00D92AD6">
              <w:rPr>
                <w:rFonts w:ascii="Arial" w:hAnsi="Arial" w:cs="Arial"/>
                <w:noProof/>
                <w:sz w:val="18"/>
                <w:szCs w:val="18"/>
              </w:rPr>
              <w:t>% de crecimiento</w:t>
            </w:r>
          </w:p>
        </w:tc>
        <w:tc>
          <w:tcPr>
            <w:tcW w:w="1170" w:type="dxa"/>
            <w:tcBorders>
              <w:top w:val="single" w:sz="4" w:space="0" w:color="000000"/>
              <w:left w:val="single" w:sz="4" w:space="0" w:color="000000"/>
              <w:bottom w:val="single" w:sz="4" w:space="0" w:color="000000"/>
              <w:right w:val="single" w:sz="4" w:space="0" w:color="000000"/>
            </w:tcBorders>
            <w:vAlign w:val="center"/>
          </w:tcPr>
          <w:p w14:paraId="2657C33A" w14:textId="6CE83383" w:rsidR="00A578FB" w:rsidRPr="00D92AD6" w:rsidRDefault="00F62FEE" w:rsidP="005A1D03">
            <w:pPr>
              <w:spacing w:before="60" w:after="60"/>
              <w:jc w:val="center"/>
              <w:rPr>
                <w:rFonts w:ascii="Arial" w:hAnsi="Arial" w:cs="Arial"/>
                <w:noProof/>
                <w:sz w:val="18"/>
                <w:szCs w:val="18"/>
              </w:rPr>
            </w:pPr>
            <w:r>
              <w:rPr>
                <w:rFonts w:ascii="Arial" w:hAnsi="Arial" w:cs="Arial"/>
                <w:noProof/>
                <w:sz w:val="18"/>
                <w:szCs w:val="18"/>
              </w:rPr>
              <w:t>4,5</w:t>
            </w:r>
          </w:p>
        </w:tc>
        <w:tc>
          <w:tcPr>
            <w:tcW w:w="900" w:type="dxa"/>
            <w:tcBorders>
              <w:top w:val="single" w:sz="4" w:space="0" w:color="000000"/>
              <w:left w:val="single" w:sz="4" w:space="0" w:color="000000"/>
              <w:bottom w:val="single" w:sz="4" w:space="0" w:color="000000"/>
              <w:right w:val="single" w:sz="4" w:space="0" w:color="000000"/>
            </w:tcBorders>
            <w:vAlign w:val="center"/>
          </w:tcPr>
          <w:p w14:paraId="0FE95806" w14:textId="77777777" w:rsidR="00A578FB" w:rsidRPr="00D92AD6" w:rsidRDefault="00A578FB" w:rsidP="005A1D03">
            <w:pPr>
              <w:spacing w:before="60" w:after="60"/>
              <w:jc w:val="center"/>
              <w:rPr>
                <w:rFonts w:ascii="Arial" w:hAnsi="Arial" w:cs="Arial"/>
                <w:noProof/>
                <w:sz w:val="18"/>
                <w:szCs w:val="18"/>
              </w:rPr>
            </w:pPr>
            <w:r w:rsidRPr="00D92AD6">
              <w:rPr>
                <w:rFonts w:ascii="Arial" w:hAnsi="Arial" w:cs="Arial"/>
                <w:noProof/>
                <w:sz w:val="18"/>
                <w:szCs w:val="18"/>
              </w:rPr>
              <w:t>2015</w:t>
            </w:r>
          </w:p>
        </w:tc>
        <w:tc>
          <w:tcPr>
            <w:tcW w:w="900" w:type="dxa"/>
            <w:tcBorders>
              <w:top w:val="single" w:sz="4" w:space="0" w:color="000000"/>
              <w:left w:val="single" w:sz="4" w:space="0" w:color="000000"/>
              <w:bottom w:val="single" w:sz="4" w:space="0" w:color="000000"/>
              <w:right w:val="single" w:sz="4" w:space="0" w:color="000000"/>
            </w:tcBorders>
            <w:vAlign w:val="center"/>
          </w:tcPr>
          <w:p w14:paraId="05E28A64" w14:textId="77777777" w:rsidR="00A578FB" w:rsidRPr="00CF1E75" w:rsidRDefault="00A578FB" w:rsidP="005A1D03">
            <w:pPr>
              <w:spacing w:before="60" w:after="60"/>
              <w:jc w:val="center"/>
              <w:rPr>
                <w:rFonts w:ascii="Arial" w:hAnsi="Arial" w:cs="Arial"/>
                <w:noProof/>
                <w:sz w:val="18"/>
                <w:szCs w:val="18"/>
                <w:highlight w:val="yellow"/>
                <w:lang w:eastAsia="zh-CN"/>
              </w:rPr>
            </w:pPr>
            <w:r w:rsidRPr="00CF1E75">
              <w:rPr>
                <w:rFonts w:ascii="Arial" w:hAnsi="Arial" w:cs="Arial"/>
                <w:noProof/>
                <w:sz w:val="18"/>
                <w:szCs w:val="18"/>
                <w:lang w:eastAsia="zh-CN"/>
              </w:rPr>
              <w:t>5,8</w:t>
            </w:r>
          </w:p>
        </w:tc>
        <w:tc>
          <w:tcPr>
            <w:tcW w:w="810" w:type="dxa"/>
            <w:tcBorders>
              <w:top w:val="single" w:sz="4" w:space="0" w:color="000000"/>
              <w:left w:val="single" w:sz="4" w:space="0" w:color="000000"/>
              <w:bottom w:val="single" w:sz="4" w:space="0" w:color="000000"/>
              <w:right w:val="single" w:sz="4" w:space="0" w:color="000000"/>
            </w:tcBorders>
            <w:vAlign w:val="center"/>
          </w:tcPr>
          <w:p w14:paraId="5EE3D83F" w14:textId="77777777" w:rsidR="00A578FB" w:rsidRPr="007030C8" w:rsidRDefault="00A578FB" w:rsidP="005A1D03">
            <w:pPr>
              <w:spacing w:before="60" w:after="60"/>
              <w:jc w:val="center"/>
              <w:rPr>
                <w:rFonts w:ascii="Arial" w:hAnsi="Arial" w:cs="Arial"/>
                <w:noProof/>
                <w:sz w:val="18"/>
                <w:szCs w:val="18"/>
                <w:highlight w:val="yellow"/>
              </w:rPr>
            </w:pPr>
            <w:r>
              <w:rPr>
                <w:rFonts w:ascii="Arial" w:hAnsi="Arial" w:cs="Arial"/>
                <w:noProof/>
                <w:sz w:val="18"/>
                <w:szCs w:val="18"/>
              </w:rPr>
              <w:t>-</w:t>
            </w:r>
            <w:r w:rsidRPr="00411774">
              <w:rPr>
                <w:rFonts w:ascii="Arial" w:hAnsi="Arial" w:cs="Arial"/>
                <w:noProof/>
                <w:sz w:val="18"/>
                <w:szCs w:val="18"/>
              </w:rPr>
              <w:t>3,7</w:t>
            </w:r>
          </w:p>
        </w:tc>
        <w:tc>
          <w:tcPr>
            <w:tcW w:w="810" w:type="dxa"/>
            <w:tcBorders>
              <w:top w:val="single" w:sz="4" w:space="0" w:color="000000"/>
              <w:left w:val="single" w:sz="4" w:space="0" w:color="000000"/>
              <w:bottom w:val="single" w:sz="4" w:space="0" w:color="000000"/>
              <w:right w:val="single" w:sz="4" w:space="0" w:color="000000"/>
            </w:tcBorders>
            <w:vAlign w:val="center"/>
          </w:tcPr>
          <w:p w14:paraId="65EBD262" w14:textId="77777777" w:rsidR="00A578FB" w:rsidRDefault="00A578FB" w:rsidP="005A1D03">
            <w:pPr>
              <w:spacing w:before="60" w:after="60"/>
              <w:jc w:val="center"/>
              <w:rPr>
                <w:rFonts w:ascii="Arial" w:hAnsi="Arial" w:cs="Arial"/>
                <w:noProof/>
                <w:sz w:val="18"/>
                <w:szCs w:val="18"/>
              </w:rPr>
            </w:pPr>
          </w:p>
          <w:p w14:paraId="22F2F037" w14:textId="77777777" w:rsidR="00A578FB" w:rsidRDefault="00A578FB" w:rsidP="005A1D03">
            <w:pPr>
              <w:spacing w:before="60" w:after="60"/>
              <w:jc w:val="center"/>
              <w:rPr>
                <w:rFonts w:ascii="Arial" w:hAnsi="Arial" w:cs="Arial"/>
                <w:noProof/>
                <w:sz w:val="18"/>
                <w:szCs w:val="18"/>
              </w:rPr>
            </w:pPr>
          </w:p>
          <w:p w14:paraId="5CF6360F" w14:textId="77777777" w:rsidR="00A578FB" w:rsidRPr="00D92AD6" w:rsidRDefault="00A578FB" w:rsidP="005A1D03">
            <w:pPr>
              <w:spacing w:before="60" w:after="60"/>
              <w:jc w:val="center"/>
              <w:rPr>
                <w:rFonts w:ascii="Arial" w:hAnsi="Arial" w:cs="Arial"/>
                <w:noProof/>
                <w:sz w:val="18"/>
                <w:szCs w:val="18"/>
              </w:rPr>
            </w:pPr>
            <w:r w:rsidRPr="00D92AD6">
              <w:rPr>
                <w:rFonts w:ascii="Arial" w:hAnsi="Arial" w:cs="Arial"/>
                <w:noProof/>
                <w:sz w:val="18"/>
                <w:szCs w:val="18"/>
              </w:rPr>
              <w:t>≤ 3</w:t>
            </w:r>
          </w:p>
          <w:p w14:paraId="6C84D39C" w14:textId="77777777" w:rsidR="00A578FB" w:rsidRPr="00D92AD6" w:rsidRDefault="00A578FB" w:rsidP="005A1D03">
            <w:pPr>
              <w:spacing w:before="60" w:after="60"/>
              <w:jc w:val="center"/>
              <w:rPr>
                <w:rFonts w:ascii="Arial" w:hAnsi="Arial" w:cs="Arial"/>
                <w:noProof/>
                <w:sz w:val="18"/>
                <w:szCs w:val="18"/>
              </w:rPr>
            </w:pPr>
            <w:r w:rsidRPr="00D92AD6">
              <w:rPr>
                <w:rFonts w:ascii="Arial" w:hAnsi="Arial" w:cs="Arial"/>
                <w:noProof/>
                <w:sz w:val="18"/>
                <w:szCs w:val="18"/>
              </w:rPr>
              <w:t>(201</w:t>
            </w:r>
            <w:r>
              <w:rPr>
                <w:rFonts w:ascii="Arial" w:hAnsi="Arial" w:cs="Arial"/>
                <w:noProof/>
                <w:sz w:val="18"/>
                <w:szCs w:val="18"/>
              </w:rPr>
              <w:t>8</w:t>
            </w:r>
            <w:r w:rsidRPr="00D92AD6">
              <w:rPr>
                <w:rFonts w:ascii="Arial" w:hAnsi="Arial" w:cs="Arial"/>
                <w:noProof/>
                <w:sz w:val="18"/>
                <w:szCs w:val="18"/>
              </w:rPr>
              <w:t>)</w:t>
            </w:r>
          </w:p>
          <w:p w14:paraId="3EB6F2AB" w14:textId="77777777" w:rsidR="00A578FB" w:rsidRPr="00D92AD6" w:rsidRDefault="00A578FB" w:rsidP="005A1D03">
            <w:pPr>
              <w:spacing w:before="60" w:after="60"/>
              <w:jc w:val="center"/>
              <w:rPr>
                <w:rFonts w:ascii="Arial" w:hAnsi="Arial" w:cs="Arial"/>
                <w:noProof/>
                <w:sz w:val="18"/>
                <w:szCs w:val="18"/>
              </w:rPr>
            </w:pPr>
          </w:p>
        </w:tc>
        <w:tc>
          <w:tcPr>
            <w:tcW w:w="2250" w:type="dxa"/>
            <w:tcBorders>
              <w:top w:val="single" w:sz="4" w:space="0" w:color="000000"/>
              <w:left w:val="single" w:sz="4" w:space="0" w:color="000000"/>
              <w:bottom w:val="single" w:sz="4" w:space="0" w:color="000000"/>
              <w:right w:val="single" w:sz="4" w:space="0" w:color="000000"/>
            </w:tcBorders>
            <w:vAlign w:val="center"/>
          </w:tcPr>
          <w:p w14:paraId="0B8872A6" w14:textId="77777777" w:rsidR="00A578FB" w:rsidRPr="00D92AD6" w:rsidRDefault="00A578FB" w:rsidP="005A1D03">
            <w:pPr>
              <w:spacing w:before="60" w:after="60"/>
              <w:rPr>
                <w:rFonts w:ascii="Arial" w:hAnsi="Arial" w:cs="Arial"/>
                <w:noProof/>
                <w:sz w:val="18"/>
                <w:szCs w:val="18"/>
              </w:rPr>
            </w:pPr>
            <w:r>
              <w:rPr>
                <w:rFonts w:ascii="Arial" w:hAnsi="Arial" w:cs="Arial"/>
                <w:sz w:val="18"/>
                <w:szCs w:val="18"/>
                <w:lang w:val="es-ES"/>
              </w:rPr>
              <w:t>Instituto Nacional de Estadísticas y Geografía</w:t>
            </w:r>
            <w:r w:rsidRPr="0080138D">
              <w:rPr>
                <w:rStyle w:val="FootnoteReference"/>
                <w:rFonts w:ascii="Arial" w:hAnsi="Arial" w:cs="Arial"/>
                <w:spacing w:val="-4"/>
                <w:lang w:val="es-ES"/>
              </w:rPr>
              <w:footnoteReference w:id="5"/>
            </w:r>
            <w:r>
              <w:rPr>
                <w:rFonts w:ascii="Arial" w:hAnsi="Arial" w:cs="Arial"/>
                <w:sz w:val="18"/>
                <w:szCs w:val="18"/>
                <w:lang w:val="es-ES"/>
              </w:rPr>
              <w:t xml:space="preserve"> o </w:t>
            </w:r>
            <w:r>
              <w:rPr>
                <w:rFonts w:ascii="Arial" w:hAnsi="Arial" w:cs="Arial"/>
                <w:noProof/>
                <w:sz w:val="18"/>
                <w:szCs w:val="18"/>
              </w:rPr>
              <w:t>c</w:t>
            </w:r>
            <w:r w:rsidRPr="00D92AD6">
              <w:rPr>
                <w:rFonts w:ascii="Arial" w:hAnsi="Arial" w:cs="Arial"/>
                <w:noProof/>
                <w:sz w:val="18"/>
                <w:szCs w:val="18"/>
              </w:rPr>
              <w:t>uentas públicas estatales publicadas en las páginas de internet oficiales de las secretarías de finanzas estatales.</w:t>
            </w:r>
          </w:p>
        </w:tc>
        <w:tc>
          <w:tcPr>
            <w:tcW w:w="3074" w:type="dxa"/>
            <w:tcBorders>
              <w:top w:val="single" w:sz="4" w:space="0" w:color="000000"/>
              <w:left w:val="single" w:sz="4" w:space="0" w:color="000000"/>
              <w:bottom w:val="single" w:sz="4" w:space="0" w:color="000000"/>
              <w:right w:val="single" w:sz="4" w:space="0" w:color="000000"/>
            </w:tcBorders>
          </w:tcPr>
          <w:p w14:paraId="0CA30CB2" w14:textId="0E36CE5F" w:rsidR="00A578FB" w:rsidRPr="00D92AD6" w:rsidRDefault="00A578FB" w:rsidP="005A1D03">
            <w:pPr>
              <w:spacing w:before="60" w:after="60"/>
              <w:rPr>
                <w:rFonts w:ascii="Arial" w:hAnsi="Arial" w:cs="Arial"/>
                <w:noProof/>
                <w:sz w:val="18"/>
                <w:szCs w:val="18"/>
              </w:rPr>
            </w:pPr>
            <w:r w:rsidRPr="008E49F4">
              <w:rPr>
                <w:rFonts w:ascii="Arial" w:hAnsi="Arial" w:cs="Arial"/>
                <w:sz w:val="18"/>
                <w:szCs w:val="18"/>
                <w:lang w:val="es-GT"/>
              </w:rPr>
              <w:t xml:space="preserve">La </w:t>
            </w:r>
            <w:r w:rsidR="00165C1B">
              <w:rPr>
                <w:rFonts w:ascii="Arial" w:hAnsi="Arial" w:cs="Arial"/>
                <w:sz w:val="18"/>
                <w:szCs w:val="18"/>
                <w:lang w:val="es-GT"/>
              </w:rPr>
              <w:t>LDF</w:t>
            </w:r>
            <w:r w:rsidRPr="008E49F4">
              <w:rPr>
                <w:rFonts w:ascii="Arial" w:hAnsi="Arial" w:cs="Arial"/>
                <w:sz w:val="18"/>
                <w:szCs w:val="18"/>
                <w:lang w:val="es-GT"/>
              </w:rPr>
              <w:t xml:space="preserve"> establece </w:t>
            </w:r>
            <w:r>
              <w:rPr>
                <w:rFonts w:ascii="Arial" w:hAnsi="Arial" w:cs="Arial"/>
                <w:sz w:val="18"/>
                <w:szCs w:val="18"/>
                <w:lang w:val="es-GT"/>
              </w:rPr>
              <w:t xml:space="preserve">que el </w:t>
            </w:r>
            <w:r w:rsidRPr="007B208D">
              <w:rPr>
                <w:rFonts w:ascii="Arial" w:eastAsiaTheme="minorHAnsi" w:hAnsi="Arial" w:cs="Arial"/>
                <w:sz w:val="18"/>
                <w:szCs w:val="18"/>
                <w:lang w:val="es-MX"/>
              </w:rPr>
              <w:t xml:space="preserve">crecimiento real de los gastos en servicios personales no podrá ser superior al valor que resulte menor entre 3% y el crecimiento real del PIB </w:t>
            </w:r>
            <w:r w:rsidRPr="004C4B11">
              <w:rPr>
                <w:rFonts w:ascii="Arial" w:eastAsiaTheme="minorHAnsi" w:hAnsi="Arial" w:cs="Arial"/>
                <w:sz w:val="18"/>
                <w:szCs w:val="18"/>
                <w:lang w:val="es-MX"/>
              </w:rPr>
              <w:t>señalado</w:t>
            </w:r>
            <w:r w:rsidRPr="007B208D">
              <w:rPr>
                <w:rFonts w:ascii="Arial" w:eastAsiaTheme="minorHAnsi" w:hAnsi="Arial" w:cs="Arial"/>
                <w:sz w:val="18"/>
                <w:szCs w:val="18"/>
                <w:lang w:val="es-MX"/>
              </w:rPr>
              <w:t xml:space="preserve"> en los Criterios Generales de Política Económica para el ejercicio fiscal que se está presupuestando.</w:t>
            </w:r>
            <w:r>
              <w:rPr>
                <w:rFonts w:ascii="Arial" w:eastAsiaTheme="minorHAnsi" w:hAnsi="Arial" w:cs="Arial"/>
                <w:sz w:val="18"/>
                <w:szCs w:val="18"/>
                <w:lang w:val="es-MX"/>
              </w:rPr>
              <w:t xml:space="preserve"> </w:t>
            </w:r>
            <w:r w:rsidRPr="00D92AD6">
              <w:rPr>
                <w:rFonts w:ascii="Arial" w:hAnsi="Arial" w:cs="Arial"/>
                <w:bCs/>
                <w:noProof/>
                <w:color w:val="000000"/>
                <w:sz w:val="18"/>
                <w:szCs w:val="18"/>
              </w:rPr>
              <w:t>Se utilizarán los valores nominales de</w:t>
            </w:r>
            <w:r>
              <w:rPr>
                <w:rFonts w:ascii="Arial" w:hAnsi="Arial" w:cs="Arial"/>
                <w:bCs/>
                <w:noProof/>
                <w:color w:val="000000"/>
                <w:sz w:val="18"/>
                <w:szCs w:val="18"/>
              </w:rPr>
              <w:t>l rubro 1.000 de</w:t>
            </w:r>
            <w:r w:rsidRPr="00D92AD6">
              <w:rPr>
                <w:rFonts w:ascii="Arial" w:hAnsi="Arial" w:cs="Arial"/>
                <w:bCs/>
                <w:noProof/>
                <w:color w:val="000000"/>
                <w:sz w:val="18"/>
                <w:szCs w:val="18"/>
              </w:rPr>
              <w:t xml:space="preserve"> las </w:t>
            </w:r>
            <w:r w:rsidR="0074418D">
              <w:rPr>
                <w:rFonts w:ascii="Arial" w:hAnsi="Arial" w:cs="Arial"/>
                <w:bCs/>
                <w:noProof/>
                <w:color w:val="000000"/>
                <w:sz w:val="18"/>
                <w:szCs w:val="18"/>
              </w:rPr>
              <w:t>CP</w:t>
            </w:r>
            <w:r w:rsidRPr="00D92AD6">
              <w:rPr>
                <w:rFonts w:ascii="Arial" w:hAnsi="Arial" w:cs="Arial"/>
                <w:bCs/>
                <w:noProof/>
                <w:color w:val="000000"/>
                <w:sz w:val="18"/>
                <w:szCs w:val="18"/>
              </w:rPr>
              <w:t xml:space="preserve"> estatales y se transformarán en cifras reales utilizando el índice nacional de precios al consumidor, publicado por el Banco de México</w:t>
            </w:r>
            <w:r w:rsidR="00BB34AC">
              <w:rPr>
                <w:rFonts w:ascii="Arial" w:hAnsi="Arial" w:cs="Arial"/>
                <w:bCs/>
                <w:noProof/>
                <w:color w:val="000000"/>
                <w:sz w:val="18"/>
                <w:szCs w:val="18"/>
              </w:rPr>
              <w:t xml:space="preserve"> (BM)</w:t>
            </w:r>
            <w:r w:rsidRPr="00D92AD6">
              <w:rPr>
                <w:rFonts w:ascii="Arial" w:hAnsi="Arial" w:cs="Arial"/>
                <w:bCs/>
                <w:noProof/>
                <w:color w:val="000000"/>
                <w:sz w:val="18"/>
                <w:szCs w:val="18"/>
              </w:rPr>
              <w:t>.</w:t>
            </w:r>
            <w:r w:rsidRPr="00D92AD6">
              <w:rPr>
                <w:rFonts w:ascii="Arial" w:hAnsi="Arial" w:cs="Arial"/>
                <w:noProof/>
                <w:color w:val="000000"/>
                <w:sz w:val="18"/>
                <w:szCs w:val="18"/>
              </w:rPr>
              <w:t xml:space="preserve"> Línea de base y metas a diciembre de cada año</w:t>
            </w:r>
            <w:r>
              <w:rPr>
                <w:rFonts w:ascii="Arial" w:hAnsi="Arial" w:cs="Arial"/>
                <w:noProof/>
                <w:color w:val="000000"/>
                <w:sz w:val="18"/>
                <w:szCs w:val="18"/>
              </w:rPr>
              <w:t xml:space="preserve"> y se basan en </w:t>
            </w:r>
            <w:r w:rsidR="00E60408">
              <w:rPr>
                <w:rFonts w:ascii="Arial" w:hAnsi="Arial" w:cs="Arial"/>
                <w:noProof/>
                <w:color w:val="000000"/>
                <w:sz w:val="18"/>
                <w:szCs w:val="18"/>
              </w:rPr>
              <w:t>CP</w:t>
            </w:r>
            <w:r w:rsidRPr="00D92AD6">
              <w:rPr>
                <w:rFonts w:ascii="Arial" w:hAnsi="Arial" w:cs="Arial"/>
                <w:noProof/>
                <w:color w:val="000000"/>
                <w:sz w:val="18"/>
                <w:szCs w:val="18"/>
              </w:rPr>
              <w:t>.</w:t>
            </w:r>
            <w:r w:rsidR="00D03676">
              <w:rPr>
                <w:rFonts w:ascii="Arial" w:hAnsi="Arial" w:cs="Arial"/>
                <w:noProof/>
                <w:color w:val="000000"/>
                <w:sz w:val="18"/>
                <w:szCs w:val="18"/>
              </w:rPr>
              <w:t xml:space="preserve">  La meta final se refiere a 2018 dado que existe la posibilidad de que la información sobre 2019 no se encuentre disponible al momento </w:t>
            </w:r>
            <w:r w:rsidR="00D03676">
              <w:rPr>
                <w:rFonts w:ascii="Arial" w:hAnsi="Arial" w:cs="Arial"/>
                <w:noProof/>
                <w:color w:val="000000"/>
                <w:sz w:val="18"/>
                <w:szCs w:val="18"/>
              </w:rPr>
              <w:lastRenderedPageBreak/>
              <w:t xml:space="preserve">de producir el PCR. De estar la información para 2019 disponible, la meta es </w:t>
            </w:r>
            <w:r w:rsidR="00D03676" w:rsidRPr="00D92AD6">
              <w:rPr>
                <w:rFonts w:ascii="Arial" w:hAnsi="Arial" w:cs="Arial"/>
                <w:noProof/>
                <w:sz w:val="18"/>
                <w:szCs w:val="18"/>
              </w:rPr>
              <w:t xml:space="preserve">≤ </w:t>
            </w:r>
            <w:r w:rsidR="00D03676">
              <w:rPr>
                <w:rFonts w:ascii="Arial" w:hAnsi="Arial" w:cs="Arial"/>
                <w:noProof/>
                <w:sz w:val="18"/>
                <w:szCs w:val="18"/>
              </w:rPr>
              <w:t>3</w:t>
            </w:r>
            <w:r w:rsidR="00D03676">
              <w:rPr>
                <w:rFonts w:ascii="Arial" w:hAnsi="Arial" w:cs="Arial"/>
                <w:noProof/>
                <w:color w:val="000000"/>
                <w:sz w:val="18"/>
                <w:szCs w:val="18"/>
              </w:rPr>
              <w:t>.</w:t>
            </w:r>
          </w:p>
        </w:tc>
      </w:tr>
      <w:tr w:rsidR="00FB4DC9" w:rsidRPr="00D92AD6" w14:paraId="3DC48C9F" w14:textId="77777777" w:rsidTr="005A1D03">
        <w:trPr>
          <w:trHeight w:val="170"/>
          <w:jc w:val="center"/>
        </w:trPr>
        <w:tc>
          <w:tcPr>
            <w:tcW w:w="13149" w:type="dxa"/>
            <w:gridSpan w:val="9"/>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4229541" w14:textId="7DFD40E5" w:rsidR="00FB4DC9" w:rsidRPr="00D92AD6" w:rsidRDefault="00FB4DC9" w:rsidP="005A1D03">
            <w:pPr>
              <w:spacing w:before="60" w:after="60"/>
              <w:rPr>
                <w:rFonts w:ascii="Arial" w:hAnsi="Arial" w:cs="Arial"/>
                <w:b/>
                <w:noProof/>
                <w:sz w:val="18"/>
                <w:szCs w:val="18"/>
              </w:rPr>
            </w:pPr>
            <w:r w:rsidRPr="00D92AD6">
              <w:rPr>
                <w:rFonts w:ascii="Arial" w:hAnsi="Arial" w:cs="Arial"/>
                <w:b/>
                <w:noProof/>
                <w:sz w:val="18"/>
                <w:szCs w:val="18"/>
              </w:rPr>
              <w:lastRenderedPageBreak/>
              <w:t>RESULTADO #</w:t>
            </w:r>
            <w:r>
              <w:rPr>
                <w:rFonts w:ascii="Arial" w:hAnsi="Arial" w:cs="Arial"/>
                <w:b/>
                <w:noProof/>
                <w:sz w:val="18"/>
                <w:szCs w:val="18"/>
              </w:rPr>
              <w:t>3 – COSTO DEL FINANCIAMIENTO</w:t>
            </w:r>
          </w:p>
        </w:tc>
      </w:tr>
      <w:tr w:rsidR="00757466" w:rsidRPr="005542A4" w14:paraId="6617B9BB" w14:textId="77777777" w:rsidTr="00903AE2">
        <w:trPr>
          <w:trHeight w:val="547"/>
          <w:jc w:val="center"/>
        </w:trPr>
        <w:tc>
          <w:tcPr>
            <w:tcW w:w="2065" w:type="dxa"/>
            <w:tcBorders>
              <w:top w:val="single" w:sz="4" w:space="0" w:color="000000"/>
              <w:left w:val="single" w:sz="4" w:space="0" w:color="000000"/>
              <w:bottom w:val="single" w:sz="4" w:space="0" w:color="000000"/>
              <w:right w:val="single" w:sz="4" w:space="0" w:color="000000"/>
            </w:tcBorders>
            <w:vAlign w:val="center"/>
          </w:tcPr>
          <w:p w14:paraId="0988616A" w14:textId="3DDBA36B" w:rsidR="00A578FB" w:rsidRPr="00D92AD6" w:rsidRDefault="00A578FB" w:rsidP="005A1D03">
            <w:pPr>
              <w:pStyle w:val="ListParagraph"/>
              <w:spacing w:before="60" w:after="60"/>
              <w:ind w:left="0"/>
              <w:rPr>
                <w:rFonts w:ascii="Arial" w:hAnsi="Arial" w:cs="Arial"/>
                <w:noProof/>
                <w:sz w:val="18"/>
                <w:szCs w:val="18"/>
              </w:rPr>
            </w:pPr>
            <w:r w:rsidRPr="00D92AD6">
              <w:rPr>
                <w:rFonts w:ascii="Arial" w:hAnsi="Arial" w:cs="Arial"/>
                <w:noProof/>
                <w:sz w:val="18"/>
                <w:szCs w:val="18"/>
              </w:rPr>
              <w:t>Promedio a nivel estatal del diferencial entre la tasa de interés promedio ponderada pagada por l</w:t>
            </w:r>
            <w:r w:rsidR="00D817DA">
              <w:rPr>
                <w:rFonts w:ascii="Arial" w:hAnsi="Arial" w:cs="Arial"/>
                <w:noProof/>
                <w:sz w:val="18"/>
                <w:szCs w:val="18"/>
              </w:rPr>
              <w:t>a</w:t>
            </w:r>
            <w:r w:rsidRPr="00D92AD6">
              <w:rPr>
                <w:rFonts w:ascii="Arial" w:hAnsi="Arial" w:cs="Arial"/>
                <w:noProof/>
                <w:sz w:val="18"/>
                <w:szCs w:val="18"/>
              </w:rPr>
              <w:t>s e</w:t>
            </w:r>
            <w:r w:rsidR="00D817DA">
              <w:rPr>
                <w:rFonts w:ascii="Arial" w:hAnsi="Arial" w:cs="Arial"/>
                <w:noProof/>
                <w:sz w:val="18"/>
                <w:szCs w:val="18"/>
              </w:rPr>
              <w:t>ntidades federativas</w:t>
            </w:r>
            <w:r w:rsidRPr="00D92AD6">
              <w:rPr>
                <w:rFonts w:ascii="Arial" w:hAnsi="Arial" w:cs="Arial"/>
                <w:noProof/>
                <w:sz w:val="18"/>
                <w:szCs w:val="18"/>
              </w:rPr>
              <w:t xml:space="preserve"> por sus obligaciones y la tasa de interés interbancaria de equilibrio </w:t>
            </w:r>
            <w:r>
              <w:rPr>
                <w:rFonts w:ascii="Arial" w:hAnsi="Arial" w:cs="Arial"/>
                <w:noProof/>
                <w:sz w:val="18"/>
                <w:szCs w:val="18"/>
              </w:rPr>
              <w:t>(TIIE)</w:t>
            </w:r>
            <w:r w:rsidR="004F3AF4">
              <w:rPr>
                <w:rFonts w:ascii="Arial" w:hAnsi="Arial" w:cs="Arial"/>
                <w:noProof/>
                <w:sz w:val="18"/>
                <w:szCs w:val="18"/>
              </w:rPr>
              <w:t>.</w:t>
            </w:r>
          </w:p>
        </w:tc>
        <w:tc>
          <w:tcPr>
            <w:tcW w:w="1170" w:type="dxa"/>
            <w:tcBorders>
              <w:top w:val="single" w:sz="4" w:space="0" w:color="000000"/>
              <w:left w:val="single" w:sz="4" w:space="0" w:color="000000"/>
              <w:bottom w:val="single" w:sz="4" w:space="0" w:color="000000"/>
              <w:right w:val="single" w:sz="4" w:space="0" w:color="000000"/>
            </w:tcBorders>
            <w:vAlign w:val="center"/>
          </w:tcPr>
          <w:p w14:paraId="500DC98B" w14:textId="77777777" w:rsidR="00A578FB" w:rsidRPr="00D92AD6" w:rsidRDefault="00A578FB" w:rsidP="005A1D03">
            <w:pPr>
              <w:spacing w:before="60" w:after="60"/>
              <w:jc w:val="center"/>
              <w:rPr>
                <w:rFonts w:ascii="Arial" w:hAnsi="Arial" w:cs="Arial"/>
                <w:noProof/>
                <w:sz w:val="18"/>
                <w:szCs w:val="18"/>
              </w:rPr>
            </w:pPr>
            <w:r>
              <w:rPr>
                <w:rFonts w:ascii="Arial" w:hAnsi="Arial" w:cs="Arial"/>
                <w:noProof/>
                <w:sz w:val="18"/>
                <w:szCs w:val="18"/>
              </w:rPr>
              <w:t>Puntos base</w:t>
            </w:r>
          </w:p>
        </w:tc>
        <w:tc>
          <w:tcPr>
            <w:tcW w:w="1170" w:type="dxa"/>
            <w:tcBorders>
              <w:top w:val="single" w:sz="4" w:space="0" w:color="000000"/>
              <w:left w:val="single" w:sz="4" w:space="0" w:color="000000"/>
              <w:bottom w:val="single" w:sz="4" w:space="0" w:color="000000"/>
              <w:right w:val="single" w:sz="4" w:space="0" w:color="000000"/>
            </w:tcBorders>
            <w:vAlign w:val="center"/>
          </w:tcPr>
          <w:p w14:paraId="3BF9AF84" w14:textId="230D0B6C" w:rsidR="00A578FB" w:rsidRDefault="00F62FEE" w:rsidP="005A1D03">
            <w:pPr>
              <w:spacing w:before="60" w:after="60"/>
              <w:jc w:val="center"/>
              <w:rPr>
                <w:rFonts w:ascii="Arial" w:hAnsi="Arial" w:cs="Arial"/>
                <w:noProof/>
                <w:sz w:val="18"/>
                <w:szCs w:val="18"/>
              </w:rPr>
            </w:pPr>
            <w:r>
              <w:rPr>
                <w:rFonts w:ascii="Arial" w:hAnsi="Arial" w:cs="Arial"/>
                <w:noProof/>
                <w:sz w:val="18"/>
                <w:szCs w:val="18"/>
              </w:rPr>
              <w:t>154</w:t>
            </w:r>
          </w:p>
        </w:tc>
        <w:tc>
          <w:tcPr>
            <w:tcW w:w="900" w:type="dxa"/>
            <w:tcBorders>
              <w:top w:val="single" w:sz="4" w:space="0" w:color="000000"/>
              <w:left w:val="single" w:sz="4" w:space="0" w:color="000000"/>
              <w:bottom w:val="single" w:sz="4" w:space="0" w:color="000000"/>
              <w:right w:val="single" w:sz="4" w:space="0" w:color="000000"/>
            </w:tcBorders>
            <w:vAlign w:val="center"/>
          </w:tcPr>
          <w:p w14:paraId="74CF2282" w14:textId="77777777" w:rsidR="00A578FB" w:rsidRPr="00D92AD6" w:rsidRDefault="00A578FB" w:rsidP="005A1D03">
            <w:pPr>
              <w:spacing w:before="60" w:after="60"/>
              <w:jc w:val="center"/>
              <w:rPr>
                <w:rFonts w:ascii="Arial" w:hAnsi="Arial" w:cs="Arial"/>
                <w:noProof/>
                <w:sz w:val="18"/>
                <w:szCs w:val="18"/>
              </w:rPr>
            </w:pPr>
            <w:r>
              <w:rPr>
                <w:rFonts w:ascii="Arial" w:hAnsi="Arial" w:cs="Arial"/>
                <w:noProof/>
                <w:sz w:val="18"/>
                <w:szCs w:val="18"/>
              </w:rPr>
              <w:t>2016</w:t>
            </w:r>
          </w:p>
        </w:tc>
        <w:tc>
          <w:tcPr>
            <w:tcW w:w="900" w:type="dxa"/>
            <w:tcBorders>
              <w:top w:val="single" w:sz="4" w:space="0" w:color="000000"/>
              <w:left w:val="single" w:sz="4" w:space="0" w:color="000000"/>
              <w:bottom w:val="single" w:sz="4" w:space="0" w:color="000000"/>
              <w:right w:val="single" w:sz="4" w:space="0" w:color="000000"/>
            </w:tcBorders>
            <w:vAlign w:val="center"/>
          </w:tcPr>
          <w:p w14:paraId="496BC0F9" w14:textId="77777777" w:rsidR="00A578FB" w:rsidRPr="004D4F72" w:rsidRDefault="00A578FB" w:rsidP="005A1D03">
            <w:pPr>
              <w:spacing w:before="60" w:after="60"/>
              <w:jc w:val="center"/>
              <w:rPr>
                <w:rFonts w:ascii="Arial" w:hAnsi="Arial" w:cs="Arial"/>
                <w:noProof/>
                <w:sz w:val="18"/>
                <w:szCs w:val="18"/>
                <w:lang w:eastAsia="zh-CN"/>
              </w:rPr>
            </w:pPr>
            <w:r w:rsidRPr="004D4F72">
              <w:rPr>
                <w:rFonts w:ascii="Arial" w:hAnsi="Arial" w:cs="Arial"/>
                <w:noProof/>
                <w:sz w:val="18"/>
                <w:szCs w:val="18"/>
                <w:lang w:eastAsia="zh-CN"/>
              </w:rPr>
              <w:t>14</w:t>
            </w:r>
            <w:r>
              <w:rPr>
                <w:rFonts w:ascii="Arial" w:hAnsi="Arial" w:cs="Arial"/>
                <w:noProof/>
                <w:sz w:val="18"/>
                <w:szCs w:val="18"/>
                <w:lang w:eastAsia="zh-CN"/>
              </w:rPr>
              <w:t>5</w:t>
            </w:r>
          </w:p>
        </w:tc>
        <w:tc>
          <w:tcPr>
            <w:tcW w:w="810" w:type="dxa"/>
            <w:tcBorders>
              <w:top w:val="single" w:sz="4" w:space="0" w:color="000000"/>
              <w:left w:val="single" w:sz="4" w:space="0" w:color="000000"/>
              <w:bottom w:val="single" w:sz="4" w:space="0" w:color="000000"/>
              <w:right w:val="single" w:sz="4" w:space="0" w:color="000000"/>
            </w:tcBorders>
            <w:vAlign w:val="center"/>
          </w:tcPr>
          <w:p w14:paraId="45D6F217" w14:textId="77777777" w:rsidR="00A578FB" w:rsidRPr="004D4F72" w:rsidRDefault="00A578FB" w:rsidP="005A1D03">
            <w:pPr>
              <w:spacing w:before="60" w:after="60"/>
              <w:jc w:val="center"/>
              <w:rPr>
                <w:rFonts w:ascii="Arial" w:hAnsi="Arial" w:cs="Arial"/>
                <w:noProof/>
                <w:sz w:val="18"/>
                <w:szCs w:val="18"/>
              </w:rPr>
            </w:pPr>
            <w:r>
              <w:rPr>
                <w:rFonts w:ascii="Arial" w:hAnsi="Arial" w:cs="Arial"/>
                <w:noProof/>
                <w:sz w:val="18"/>
                <w:szCs w:val="18"/>
              </w:rPr>
              <w:t>48</w:t>
            </w:r>
          </w:p>
        </w:tc>
        <w:tc>
          <w:tcPr>
            <w:tcW w:w="810" w:type="dxa"/>
            <w:tcBorders>
              <w:top w:val="single" w:sz="4" w:space="0" w:color="000000"/>
              <w:left w:val="single" w:sz="4" w:space="0" w:color="000000"/>
              <w:bottom w:val="single" w:sz="4" w:space="0" w:color="000000"/>
              <w:right w:val="single" w:sz="4" w:space="0" w:color="000000"/>
            </w:tcBorders>
            <w:vAlign w:val="center"/>
          </w:tcPr>
          <w:p w14:paraId="621229D4" w14:textId="77777777" w:rsidR="00A578FB" w:rsidRPr="004D4F72" w:rsidRDefault="00A578FB" w:rsidP="005A1D03">
            <w:pPr>
              <w:spacing w:before="60" w:after="60"/>
              <w:jc w:val="center"/>
              <w:rPr>
                <w:rFonts w:ascii="Arial" w:hAnsi="Arial" w:cs="Arial"/>
                <w:noProof/>
                <w:sz w:val="18"/>
                <w:szCs w:val="18"/>
              </w:rPr>
            </w:pPr>
          </w:p>
          <w:p w14:paraId="6DDBA32C" w14:textId="77777777" w:rsidR="00A578FB" w:rsidRPr="004D4F72" w:rsidRDefault="00A578FB" w:rsidP="005A1D03">
            <w:pPr>
              <w:spacing w:before="60" w:after="60"/>
              <w:jc w:val="center"/>
              <w:rPr>
                <w:rFonts w:ascii="Arial" w:hAnsi="Arial" w:cs="Arial"/>
                <w:noProof/>
                <w:sz w:val="18"/>
                <w:szCs w:val="18"/>
              </w:rPr>
            </w:pPr>
            <w:r>
              <w:rPr>
                <w:rFonts w:ascii="Arial" w:hAnsi="Arial" w:cs="Arial"/>
                <w:noProof/>
                <w:sz w:val="18"/>
                <w:szCs w:val="18"/>
              </w:rPr>
              <w:t>40</w:t>
            </w:r>
          </w:p>
          <w:p w14:paraId="1E0FC42D" w14:textId="20D8DBAD" w:rsidR="00A578FB" w:rsidRPr="004D4F72" w:rsidRDefault="00A578FB" w:rsidP="005A1D03">
            <w:pPr>
              <w:spacing w:before="60" w:after="60"/>
              <w:jc w:val="center"/>
              <w:rPr>
                <w:rFonts w:ascii="Arial" w:hAnsi="Arial" w:cs="Arial"/>
                <w:noProof/>
                <w:sz w:val="18"/>
                <w:szCs w:val="18"/>
              </w:rPr>
            </w:pPr>
            <w:r w:rsidRPr="004D4F72">
              <w:rPr>
                <w:rFonts w:ascii="Arial" w:hAnsi="Arial" w:cs="Arial"/>
                <w:noProof/>
                <w:sz w:val="18"/>
                <w:szCs w:val="18"/>
              </w:rPr>
              <w:t>(</w:t>
            </w:r>
            <w:r w:rsidR="00452F52" w:rsidRPr="004D4F72">
              <w:rPr>
                <w:rFonts w:ascii="Arial" w:hAnsi="Arial" w:cs="Arial"/>
                <w:noProof/>
                <w:sz w:val="18"/>
                <w:szCs w:val="18"/>
              </w:rPr>
              <w:t>201</w:t>
            </w:r>
            <w:r w:rsidR="00452F52">
              <w:rPr>
                <w:rFonts w:ascii="Arial" w:hAnsi="Arial" w:cs="Arial"/>
                <w:noProof/>
                <w:sz w:val="18"/>
                <w:szCs w:val="18"/>
              </w:rPr>
              <w:t>9</w:t>
            </w:r>
            <w:r w:rsidRPr="004D4F72">
              <w:rPr>
                <w:rFonts w:ascii="Arial" w:hAnsi="Arial" w:cs="Arial"/>
                <w:noProof/>
                <w:sz w:val="18"/>
                <w:szCs w:val="18"/>
              </w:rPr>
              <w:t>)</w:t>
            </w:r>
          </w:p>
        </w:tc>
        <w:tc>
          <w:tcPr>
            <w:tcW w:w="2250" w:type="dxa"/>
            <w:tcBorders>
              <w:top w:val="single" w:sz="4" w:space="0" w:color="000000"/>
              <w:left w:val="single" w:sz="4" w:space="0" w:color="000000"/>
              <w:bottom w:val="single" w:sz="4" w:space="0" w:color="000000"/>
              <w:right w:val="single" w:sz="4" w:space="0" w:color="000000"/>
            </w:tcBorders>
            <w:vAlign w:val="center"/>
          </w:tcPr>
          <w:p w14:paraId="5DE5A91E" w14:textId="07751EDB" w:rsidR="00A578FB" w:rsidRDefault="00A578FB" w:rsidP="005A1D03">
            <w:pPr>
              <w:spacing w:before="60" w:after="60"/>
              <w:rPr>
                <w:rFonts w:ascii="Arial" w:hAnsi="Arial" w:cs="Arial"/>
                <w:sz w:val="18"/>
                <w:szCs w:val="18"/>
                <w:lang w:val="es-ES"/>
              </w:rPr>
            </w:pPr>
            <w:r>
              <w:rPr>
                <w:rFonts w:ascii="Arial" w:hAnsi="Arial" w:cs="Arial"/>
                <w:noProof/>
                <w:sz w:val="18"/>
                <w:szCs w:val="18"/>
              </w:rPr>
              <w:t xml:space="preserve">Informe sobre financiamientos y obligaciones de </w:t>
            </w:r>
            <w:r w:rsidR="001A5B4A">
              <w:rPr>
                <w:rFonts w:ascii="Arial" w:hAnsi="Arial" w:cs="Arial"/>
                <w:noProof/>
                <w:sz w:val="18"/>
                <w:szCs w:val="18"/>
              </w:rPr>
              <w:t>EyM</w:t>
            </w:r>
            <w:r>
              <w:rPr>
                <w:rFonts w:ascii="Arial" w:hAnsi="Arial" w:cs="Arial"/>
                <w:noProof/>
                <w:sz w:val="18"/>
                <w:szCs w:val="18"/>
              </w:rPr>
              <w:t>, publicado en la página de internet de</w:t>
            </w:r>
            <w:r w:rsidR="00BB34AC">
              <w:rPr>
                <w:rFonts w:ascii="Arial" w:hAnsi="Arial" w:cs="Arial"/>
                <w:noProof/>
                <w:sz w:val="18"/>
                <w:szCs w:val="18"/>
              </w:rPr>
              <w:t xml:space="preserve"> </w:t>
            </w:r>
            <w:r>
              <w:rPr>
                <w:rFonts w:ascii="Arial" w:hAnsi="Arial" w:cs="Arial"/>
                <w:noProof/>
                <w:sz w:val="18"/>
                <w:szCs w:val="18"/>
              </w:rPr>
              <w:t>l</w:t>
            </w:r>
            <w:r w:rsidR="00BB34AC">
              <w:rPr>
                <w:rFonts w:ascii="Arial" w:hAnsi="Arial" w:cs="Arial"/>
                <w:noProof/>
                <w:sz w:val="18"/>
                <w:szCs w:val="18"/>
              </w:rPr>
              <w:t>a</w:t>
            </w:r>
            <w:r>
              <w:rPr>
                <w:rFonts w:ascii="Arial" w:hAnsi="Arial" w:cs="Arial"/>
                <w:noProof/>
                <w:sz w:val="18"/>
                <w:szCs w:val="18"/>
              </w:rPr>
              <w:t xml:space="preserve"> SHCP y serie de la TIIE publicada en la página de internet del B</w:t>
            </w:r>
            <w:r w:rsidR="00BB34AC">
              <w:rPr>
                <w:rFonts w:ascii="Arial" w:hAnsi="Arial" w:cs="Arial"/>
                <w:noProof/>
                <w:sz w:val="18"/>
                <w:szCs w:val="18"/>
              </w:rPr>
              <w:t>M</w:t>
            </w:r>
            <w:r w:rsidRPr="0080138D">
              <w:rPr>
                <w:rStyle w:val="FootnoteReference"/>
                <w:rFonts w:ascii="Arial" w:hAnsi="Arial" w:cs="Arial"/>
                <w:spacing w:val="-4"/>
                <w:lang w:val="es-ES"/>
              </w:rPr>
              <w:footnoteReference w:id="6"/>
            </w:r>
            <w:r>
              <w:rPr>
                <w:rFonts w:ascii="Arial" w:hAnsi="Arial" w:cs="Arial"/>
                <w:noProof/>
                <w:sz w:val="18"/>
                <w:szCs w:val="18"/>
              </w:rPr>
              <w:t>.</w:t>
            </w:r>
          </w:p>
        </w:tc>
        <w:tc>
          <w:tcPr>
            <w:tcW w:w="3074" w:type="dxa"/>
            <w:tcBorders>
              <w:top w:val="single" w:sz="4" w:space="0" w:color="000000"/>
              <w:left w:val="single" w:sz="4" w:space="0" w:color="000000"/>
              <w:bottom w:val="single" w:sz="4" w:space="0" w:color="000000"/>
              <w:right w:val="single" w:sz="4" w:space="0" w:color="000000"/>
            </w:tcBorders>
          </w:tcPr>
          <w:p w14:paraId="4E95DBA2" w14:textId="77777777" w:rsidR="00A578FB" w:rsidRPr="008E49F4" w:rsidRDefault="00A578FB" w:rsidP="005A1D03">
            <w:pPr>
              <w:spacing w:before="60" w:after="60"/>
              <w:rPr>
                <w:rFonts w:ascii="Arial" w:hAnsi="Arial" w:cs="Arial"/>
                <w:sz w:val="18"/>
                <w:szCs w:val="18"/>
                <w:lang w:val="es-GT"/>
              </w:rPr>
            </w:pPr>
            <w:r w:rsidRPr="00C3172A">
              <w:rPr>
                <w:rStyle w:val="Strong"/>
                <w:rFonts w:ascii="Arial" w:hAnsi="Arial" w:cs="Arial"/>
                <w:b w:val="0"/>
                <w:noProof/>
                <w:color w:val="000000"/>
                <w:sz w:val="18"/>
                <w:szCs w:val="18"/>
                <w:bdr w:val="none" w:sz="0" w:space="0" w:color="auto" w:frame="1"/>
              </w:rPr>
              <w:t xml:space="preserve">La TIIE </w:t>
            </w:r>
            <w:r w:rsidRPr="00C3172A">
              <w:rPr>
                <w:rFonts w:ascii="Arial" w:hAnsi="Arial" w:cs="Arial"/>
                <w:noProof/>
                <w:color w:val="000000"/>
                <w:sz w:val="18"/>
                <w:szCs w:val="18"/>
              </w:rPr>
              <w:t>es una tasa que</w:t>
            </w:r>
            <w:r w:rsidRPr="00C3172A">
              <w:rPr>
                <w:rStyle w:val="apple-converted-space"/>
                <w:rFonts w:ascii="Arial" w:hAnsi="Arial" w:cs="Arial"/>
                <w:noProof/>
                <w:color w:val="000000"/>
                <w:sz w:val="18"/>
                <w:szCs w:val="18"/>
              </w:rPr>
              <w:t> </w:t>
            </w:r>
            <w:r w:rsidRPr="00C3172A">
              <w:rPr>
                <w:rStyle w:val="Strong"/>
                <w:rFonts w:ascii="Arial" w:hAnsi="Arial" w:cs="Arial"/>
                <w:b w:val="0"/>
                <w:noProof/>
                <w:color w:val="000000"/>
                <w:sz w:val="18"/>
                <w:szCs w:val="18"/>
                <w:bdr w:val="none" w:sz="0" w:space="0" w:color="auto" w:frame="1"/>
              </w:rPr>
              <w:t xml:space="preserve">representa las tasas de interés pactadas entre los distintos bancos y es determinada por el Banco de México con base en cotizaciones presentadas por las instituciones de crédito. La diferencia se tomará respecto a la TIIE a 28 días. </w:t>
            </w:r>
            <w:r w:rsidRPr="00C3172A">
              <w:rPr>
                <w:rFonts w:ascii="Arial" w:hAnsi="Arial" w:cs="Arial"/>
                <w:b/>
                <w:noProof/>
                <w:color w:val="000000"/>
                <w:sz w:val="18"/>
                <w:szCs w:val="18"/>
              </w:rPr>
              <w:t xml:space="preserve"> </w:t>
            </w:r>
            <w:r w:rsidRPr="00C3172A">
              <w:rPr>
                <w:rFonts w:ascii="Arial" w:hAnsi="Arial" w:cs="Arial"/>
                <w:noProof/>
                <w:color w:val="000000"/>
                <w:sz w:val="18"/>
                <w:szCs w:val="18"/>
              </w:rPr>
              <w:t xml:space="preserve">Línea </w:t>
            </w:r>
            <w:r w:rsidRPr="00D92AD6">
              <w:rPr>
                <w:rFonts w:ascii="Arial" w:hAnsi="Arial" w:cs="Arial"/>
                <w:noProof/>
                <w:color w:val="000000"/>
                <w:sz w:val="18"/>
                <w:szCs w:val="18"/>
              </w:rPr>
              <w:t>de base y metas a diciembre de cada año.</w:t>
            </w:r>
          </w:p>
        </w:tc>
      </w:tr>
      <w:tr w:rsidR="00A578FB" w:rsidRPr="005542A4" w14:paraId="3E0D9932" w14:textId="77777777" w:rsidTr="005A1D03">
        <w:trPr>
          <w:trHeight w:val="62"/>
          <w:jc w:val="center"/>
        </w:trPr>
        <w:tc>
          <w:tcPr>
            <w:tcW w:w="13149" w:type="dxa"/>
            <w:gridSpan w:val="9"/>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73D19A5" w14:textId="77777777" w:rsidR="00A578FB" w:rsidRPr="00D92AD6" w:rsidRDefault="00A578FB" w:rsidP="005A1D03">
            <w:pPr>
              <w:spacing w:before="60" w:after="60"/>
              <w:rPr>
                <w:rFonts w:ascii="Arial" w:hAnsi="Arial" w:cs="Arial"/>
                <w:b/>
                <w:noProof/>
                <w:sz w:val="18"/>
                <w:szCs w:val="18"/>
              </w:rPr>
            </w:pPr>
            <w:r w:rsidRPr="00D92AD6">
              <w:rPr>
                <w:rFonts w:ascii="Arial" w:hAnsi="Arial" w:cs="Arial"/>
                <w:b/>
                <w:noProof/>
                <w:sz w:val="18"/>
                <w:szCs w:val="18"/>
              </w:rPr>
              <w:t>RESULTADO #</w:t>
            </w:r>
            <w:r>
              <w:rPr>
                <w:rFonts w:ascii="Arial" w:hAnsi="Arial" w:cs="Arial"/>
                <w:b/>
                <w:noProof/>
                <w:sz w:val="18"/>
                <w:szCs w:val="18"/>
              </w:rPr>
              <w:t>4 – TRANSPARENCIA SOBRE EL ENDEUDAMIENTO DE LOS ESTADOS Y MUNICIPIOS</w:t>
            </w:r>
          </w:p>
        </w:tc>
      </w:tr>
      <w:tr w:rsidR="00757466" w:rsidRPr="005542A4" w14:paraId="2490CB73" w14:textId="77777777" w:rsidTr="00903AE2">
        <w:trPr>
          <w:trHeight w:val="64"/>
          <w:jc w:val="center"/>
        </w:trPr>
        <w:tc>
          <w:tcPr>
            <w:tcW w:w="2065" w:type="dxa"/>
            <w:tcBorders>
              <w:top w:val="single" w:sz="4" w:space="0" w:color="000000"/>
              <w:left w:val="single" w:sz="4" w:space="0" w:color="000000"/>
              <w:bottom w:val="single" w:sz="4" w:space="0" w:color="000000"/>
              <w:right w:val="single" w:sz="4" w:space="0" w:color="000000"/>
            </w:tcBorders>
            <w:vAlign w:val="center"/>
            <w:hideMark/>
          </w:tcPr>
          <w:p w14:paraId="2ABAED3B" w14:textId="4B930991" w:rsidR="00A578FB" w:rsidRPr="00D92AD6" w:rsidRDefault="00A578FB" w:rsidP="005A1D03">
            <w:pPr>
              <w:pStyle w:val="ListParagraph"/>
              <w:spacing w:before="60" w:after="60"/>
              <w:ind w:left="0"/>
              <w:rPr>
                <w:rFonts w:ascii="Arial" w:hAnsi="Arial" w:cs="Arial"/>
                <w:noProof/>
                <w:sz w:val="20"/>
                <w:lang w:eastAsia="zh-CN"/>
              </w:rPr>
            </w:pPr>
            <w:bookmarkStart w:id="8" w:name="_GoBack" w:colFirst="8" w:colLast="8"/>
            <w:r>
              <w:rPr>
                <w:rFonts w:ascii="Arial" w:hAnsi="Arial" w:cs="Arial"/>
                <w:noProof/>
                <w:sz w:val="18"/>
                <w:szCs w:val="18"/>
              </w:rPr>
              <w:t>Monto de la deuda registrada en la Comisión Nacional Bancaria y de Valores que no se encuentra registrada en la SHCP</w:t>
            </w:r>
            <w:r w:rsidR="004F3AF4">
              <w:rPr>
                <w:rFonts w:ascii="Arial" w:hAnsi="Arial" w:cs="Arial"/>
                <w:noProof/>
                <w:sz w:val="18"/>
                <w:szCs w:val="18"/>
              </w:rPr>
              <w:t>.</w:t>
            </w:r>
            <w:r w:rsidRPr="00D92AD6">
              <w:rPr>
                <w:rFonts w:ascii="Arial" w:hAnsi="Arial" w:cs="Arial"/>
                <w:noProof/>
                <w:sz w:val="18"/>
                <w:szCs w:val="18"/>
              </w:rPr>
              <w:t xml:space="preserve"> </w:t>
            </w:r>
          </w:p>
        </w:tc>
        <w:tc>
          <w:tcPr>
            <w:tcW w:w="1170" w:type="dxa"/>
            <w:tcBorders>
              <w:top w:val="single" w:sz="4" w:space="0" w:color="000000"/>
              <w:left w:val="single" w:sz="4" w:space="0" w:color="000000"/>
              <w:bottom w:val="single" w:sz="4" w:space="0" w:color="000000"/>
              <w:right w:val="single" w:sz="4" w:space="0" w:color="000000"/>
            </w:tcBorders>
            <w:vAlign w:val="center"/>
          </w:tcPr>
          <w:p w14:paraId="602BB0A5" w14:textId="77777777" w:rsidR="00A578FB" w:rsidRPr="00D92AD6" w:rsidRDefault="00A578FB" w:rsidP="005A1D03">
            <w:pPr>
              <w:spacing w:before="60" w:after="60"/>
              <w:jc w:val="center"/>
              <w:rPr>
                <w:rFonts w:ascii="Arial" w:hAnsi="Arial" w:cs="Arial"/>
                <w:noProof/>
                <w:sz w:val="20"/>
                <w:lang w:eastAsia="zh-CN"/>
              </w:rPr>
            </w:pPr>
            <w:r w:rsidRPr="00D92AD6">
              <w:rPr>
                <w:rFonts w:ascii="Arial" w:hAnsi="Arial" w:cs="Arial"/>
                <w:noProof/>
                <w:sz w:val="18"/>
                <w:szCs w:val="18"/>
              </w:rPr>
              <w:t>%</w:t>
            </w:r>
            <w:r>
              <w:rPr>
                <w:rFonts w:ascii="Arial" w:hAnsi="Arial" w:cs="Arial"/>
                <w:noProof/>
                <w:sz w:val="18"/>
                <w:szCs w:val="18"/>
              </w:rPr>
              <w:t xml:space="preserve"> de la deuda registrada</w:t>
            </w:r>
          </w:p>
        </w:tc>
        <w:tc>
          <w:tcPr>
            <w:tcW w:w="1170" w:type="dxa"/>
            <w:tcBorders>
              <w:top w:val="single" w:sz="4" w:space="0" w:color="000000"/>
              <w:left w:val="single" w:sz="4" w:space="0" w:color="000000"/>
              <w:bottom w:val="single" w:sz="4" w:space="0" w:color="000000"/>
              <w:right w:val="single" w:sz="4" w:space="0" w:color="000000"/>
            </w:tcBorders>
            <w:vAlign w:val="center"/>
          </w:tcPr>
          <w:p w14:paraId="07249D56" w14:textId="467BF830" w:rsidR="00A578FB" w:rsidRPr="00D92AD6" w:rsidRDefault="00F62FEE" w:rsidP="005A1D03">
            <w:pPr>
              <w:spacing w:before="60" w:after="60"/>
              <w:jc w:val="center"/>
              <w:rPr>
                <w:rFonts w:ascii="Arial" w:hAnsi="Arial" w:cs="Arial"/>
                <w:noProof/>
                <w:sz w:val="20"/>
                <w:lang w:eastAsia="zh-CN"/>
              </w:rPr>
            </w:pPr>
            <w:r>
              <w:rPr>
                <w:rFonts w:ascii="Arial" w:hAnsi="Arial" w:cs="Arial"/>
                <w:noProof/>
                <w:sz w:val="18"/>
                <w:szCs w:val="18"/>
              </w:rPr>
              <w:t>5,4</w:t>
            </w:r>
          </w:p>
        </w:tc>
        <w:tc>
          <w:tcPr>
            <w:tcW w:w="900" w:type="dxa"/>
            <w:tcBorders>
              <w:top w:val="single" w:sz="4" w:space="0" w:color="000000"/>
              <w:left w:val="single" w:sz="4" w:space="0" w:color="000000"/>
              <w:bottom w:val="single" w:sz="4" w:space="0" w:color="000000"/>
              <w:right w:val="single" w:sz="4" w:space="0" w:color="000000"/>
            </w:tcBorders>
            <w:vAlign w:val="center"/>
          </w:tcPr>
          <w:p w14:paraId="22B4953B" w14:textId="77777777" w:rsidR="00A578FB" w:rsidRPr="00D92AD6" w:rsidRDefault="00A578FB" w:rsidP="005A1D03">
            <w:pPr>
              <w:spacing w:before="60" w:after="60"/>
              <w:jc w:val="center"/>
              <w:rPr>
                <w:rFonts w:ascii="Arial" w:hAnsi="Arial" w:cs="Arial"/>
                <w:noProof/>
                <w:sz w:val="20"/>
                <w:lang w:eastAsia="zh-CN"/>
              </w:rPr>
            </w:pPr>
            <w:r w:rsidRPr="00D92AD6">
              <w:rPr>
                <w:rFonts w:ascii="Arial" w:hAnsi="Arial" w:cs="Arial"/>
                <w:noProof/>
                <w:sz w:val="18"/>
                <w:szCs w:val="18"/>
              </w:rPr>
              <w:t>201</w:t>
            </w:r>
            <w:r>
              <w:rPr>
                <w:rFonts w:ascii="Arial" w:hAnsi="Arial" w:cs="Arial"/>
                <w:noProof/>
                <w:sz w:val="18"/>
                <w:szCs w:val="18"/>
              </w:rPr>
              <w:t>5</w:t>
            </w:r>
          </w:p>
        </w:tc>
        <w:tc>
          <w:tcPr>
            <w:tcW w:w="900" w:type="dxa"/>
            <w:tcBorders>
              <w:top w:val="single" w:sz="4" w:space="0" w:color="000000"/>
              <w:left w:val="single" w:sz="4" w:space="0" w:color="000000"/>
              <w:bottom w:val="single" w:sz="4" w:space="0" w:color="000000"/>
              <w:right w:val="single" w:sz="4" w:space="0" w:color="000000"/>
            </w:tcBorders>
            <w:vAlign w:val="center"/>
          </w:tcPr>
          <w:p w14:paraId="04CDB9A0" w14:textId="77777777" w:rsidR="00A578FB" w:rsidRPr="00D92AD6" w:rsidRDefault="00A578FB" w:rsidP="005A1D03">
            <w:pPr>
              <w:spacing w:before="60" w:after="60"/>
              <w:jc w:val="center"/>
              <w:rPr>
                <w:rFonts w:ascii="Arial" w:hAnsi="Arial" w:cs="Arial"/>
                <w:noProof/>
                <w:sz w:val="18"/>
                <w:szCs w:val="18"/>
              </w:rPr>
            </w:pPr>
            <w:r>
              <w:rPr>
                <w:rFonts w:ascii="Arial" w:hAnsi="Arial" w:cs="Arial"/>
                <w:noProof/>
                <w:sz w:val="18"/>
                <w:szCs w:val="18"/>
              </w:rPr>
              <w:t>3,6</w:t>
            </w:r>
          </w:p>
        </w:tc>
        <w:tc>
          <w:tcPr>
            <w:tcW w:w="810" w:type="dxa"/>
            <w:tcBorders>
              <w:top w:val="single" w:sz="4" w:space="0" w:color="000000"/>
              <w:left w:val="single" w:sz="4" w:space="0" w:color="000000"/>
              <w:bottom w:val="single" w:sz="4" w:space="0" w:color="000000"/>
              <w:right w:val="single" w:sz="4" w:space="0" w:color="000000"/>
            </w:tcBorders>
            <w:vAlign w:val="center"/>
          </w:tcPr>
          <w:p w14:paraId="6356E3A6" w14:textId="77777777" w:rsidR="00A578FB" w:rsidRPr="007030C8" w:rsidRDefault="00A578FB" w:rsidP="005A1D03">
            <w:pPr>
              <w:spacing w:before="60" w:after="60"/>
              <w:jc w:val="center"/>
              <w:rPr>
                <w:rFonts w:ascii="Arial" w:hAnsi="Arial" w:cs="Arial"/>
                <w:noProof/>
                <w:sz w:val="18"/>
                <w:szCs w:val="18"/>
                <w:highlight w:val="yellow"/>
              </w:rPr>
            </w:pPr>
            <w:r>
              <w:rPr>
                <w:rFonts w:ascii="Arial" w:hAnsi="Arial" w:cs="Arial"/>
                <w:noProof/>
                <w:sz w:val="18"/>
                <w:szCs w:val="18"/>
              </w:rPr>
              <w:t>3,0</w:t>
            </w:r>
          </w:p>
        </w:tc>
        <w:tc>
          <w:tcPr>
            <w:tcW w:w="810" w:type="dxa"/>
            <w:tcBorders>
              <w:top w:val="single" w:sz="4" w:space="0" w:color="000000"/>
              <w:left w:val="single" w:sz="4" w:space="0" w:color="000000"/>
              <w:bottom w:val="single" w:sz="4" w:space="0" w:color="000000"/>
              <w:right w:val="single" w:sz="4" w:space="0" w:color="000000"/>
            </w:tcBorders>
            <w:vAlign w:val="center"/>
          </w:tcPr>
          <w:p w14:paraId="17683DCF" w14:textId="77777777" w:rsidR="00A578FB" w:rsidRPr="007030C8" w:rsidRDefault="00A578FB" w:rsidP="005A1D03">
            <w:pPr>
              <w:spacing w:before="60" w:after="60"/>
              <w:jc w:val="center"/>
              <w:rPr>
                <w:rFonts w:ascii="Arial" w:hAnsi="Arial" w:cs="Arial"/>
                <w:noProof/>
                <w:sz w:val="18"/>
                <w:szCs w:val="18"/>
                <w:highlight w:val="yellow"/>
              </w:rPr>
            </w:pPr>
          </w:p>
          <w:p w14:paraId="1517F443" w14:textId="77777777" w:rsidR="00A578FB" w:rsidRPr="009B2994" w:rsidRDefault="00A578FB" w:rsidP="005A1D03">
            <w:pPr>
              <w:spacing w:before="60" w:after="60"/>
              <w:jc w:val="center"/>
              <w:rPr>
                <w:rFonts w:ascii="Arial" w:hAnsi="Arial" w:cs="Arial"/>
                <w:noProof/>
                <w:sz w:val="18"/>
                <w:szCs w:val="18"/>
              </w:rPr>
            </w:pPr>
            <w:r>
              <w:rPr>
                <w:rFonts w:ascii="Arial" w:hAnsi="Arial" w:cs="Arial"/>
                <w:noProof/>
                <w:sz w:val="18"/>
                <w:szCs w:val="18"/>
              </w:rPr>
              <w:t>3</w:t>
            </w:r>
            <w:r w:rsidRPr="009B2994">
              <w:rPr>
                <w:rFonts w:ascii="Arial" w:hAnsi="Arial" w:cs="Arial"/>
                <w:noProof/>
                <w:sz w:val="18"/>
                <w:szCs w:val="18"/>
              </w:rPr>
              <w:t>,</w:t>
            </w:r>
            <w:r>
              <w:rPr>
                <w:rFonts w:ascii="Arial" w:hAnsi="Arial" w:cs="Arial"/>
                <w:noProof/>
                <w:sz w:val="18"/>
                <w:szCs w:val="18"/>
              </w:rPr>
              <w:t>0</w:t>
            </w:r>
          </w:p>
          <w:p w14:paraId="53025B72" w14:textId="3A703E89" w:rsidR="00A578FB" w:rsidRPr="007030C8" w:rsidRDefault="00A578FB" w:rsidP="005A1D03">
            <w:pPr>
              <w:spacing w:before="60" w:after="60"/>
              <w:jc w:val="center"/>
              <w:rPr>
                <w:rFonts w:ascii="Arial" w:hAnsi="Arial" w:cs="Arial"/>
                <w:noProof/>
                <w:sz w:val="18"/>
                <w:szCs w:val="18"/>
                <w:highlight w:val="yellow"/>
              </w:rPr>
            </w:pPr>
            <w:r w:rsidRPr="009B2994">
              <w:rPr>
                <w:rFonts w:ascii="Arial" w:hAnsi="Arial" w:cs="Arial"/>
                <w:noProof/>
                <w:sz w:val="18"/>
                <w:szCs w:val="18"/>
              </w:rPr>
              <w:t>(</w:t>
            </w:r>
            <w:r w:rsidR="00452F52" w:rsidRPr="009B2994">
              <w:rPr>
                <w:rFonts w:ascii="Arial" w:hAnsi="Arial" w:cs="Arial"/>
                <w:noProof/>
                <w:sz w:val="18"/>
                <w:szCs w:val="18"/>
              </w:rPr>
              <w:t>201</w:t>
            </w:r>
            <w:r w:rsidR="00452F52">
              <w:rPr>
                <w:rFonts w:ascii="Arial" w:hAnsi="Arial" w:cs="Arial"/>
                <w:noProof/>
                <w:sz w:val="18"/>
                <w:szCs w:val="18"/>
              </w:rPr>
              <w:t>9</w:t>
            </w:r>
            <w:r w:rsidRPr="009B2994">
              <w:rPr>
                <w:rFonts w:ascii="Arial" w:hAnsi="Arial" w:cs="Arial"/>
                <w:noProof/>
                <w:sz w:val="18"/>
                <w:szCs w:val="18"/>
              </w:rPr>
              <w:t>)</w:t>
            </w:r>
          </w:p>
        </w:tc>
        <w:tc>
          <w:tcPr>
            <w:tcW w:w="2250" w:type="dxa"/>
            <w:tcBorders>
              <w:top w:val="single" w:sz="4" w:space="0" w:color="000000"/>
              <w:left w:val="single" w:sz="4" w:space="0" w:color="000000"/>
              <w:bottom w:val="single" w:sz="4" w:space="0" w:color="000000"/>
              <w:right w:val="single" w:sz="4" w:space="0" w:color="000000"/>
            </w:tcBorders>
          </w:tcPr>
          <w:p w14:paraId="1C7B0B98" w14:textId="613E016A" w:rsidR="00A578FB" w:rsidRPr="00D92AD6" w:rsidRDefault="00A578FB" w:rsidP="005A1D03">
            <w:pPr>
              <w:spacing w:before="60" w:after="60"/>
              <w:rPr>
                <w:rFonts w:ascii="Arial" w:hAnsi="Arial" w:cs="Arial"/>
                <w:noProof/>
                <w:sz w:val="20"/>
                <w:lang w:eastAsia="zh-CN"/>
              </w:rPr>
            </w:pPr>
            <w:r w:rsidRPr="00D92AD6">
              <w:rPr>
                <w:rFonts w:ascii="Arial" w:hAnsi="Arial" w:cs="Arial"/>
                <w:noProof/>
                <w:sz w:val="18"/>
                <w:szCs w:val="18"/>
              </w:rPr>
              <w:t xml:space="preserve">Informe sobre </w:t>
            </w:r>
            <w:r w:rsidRPr="00D92AD6">
              <w:rPr>
                <w:rFonts w:ascii="Arial" w:hAnsi="Arial" w:cs="Arial"/>
                <w:noProof/>
                <w:sz w:val="18"/>
                <w:szCs w:val="18"/>
                <w:shd w:val="clear" w:color="auto" w:fill="FFFFFF"/>
              </w:rPr>
              <w:t xml:space="preserve">financiamientos y obligaciones de </w:t>
            </w:r>
            <w:r w:rsidR="001A5B4A">
              <w:rPr>
                <w:rFonts w:ascii="Arial" w:hAnsi="Arial" w:cs="Arial"/>
                <w:noProof/>
                <w:sz w:val="18"/>
                <w:szCs w:val="18"/>
                <w:shd w:val="clear" w:color="auto" w:fill="FFFFFF"/>
              </w:rPr>
              <w:t>EyM</w:t>
            </w:r>
            <w:r w:rsidRPr="00D92AD6">
              <w:rPr>
                <w:rFonts w:ascii="Arial" w:hAnsi="Arial" w:cs="Arial"/>
                <w:noProof/>
                <w:sz w:val="18"/>
                <w:szCs w:val="18"/>
                <w:shd w:val="clear" w:color="auto" w:fill="FFFFFF"/>
              </w:rPr>
              <w:t xml:space="preserve">, publicado </w:t>
            </w:r>
            <w:r w:rsidRPr="00D92AD6">
              <w:rPr>
                <w:rFonts w:ascii="Arial" w:hAnsi="Arial" w:cs="Arial"/>
                <w:noProof/>
                <w:sz w:val="18"/>
                <w:szCs w:val="18"/>
              </w:rPr>
              <w:t>en la página de internet</w:t>
            </w:r>
            <w:r w:rsidRPr="00D92AD6">
              <w:rPr>
                <w:rStyle w:val="apple-converted-space"/>
                <w:rFonts w:ascii="Arial" w:hAnsi="Arial" w:cs="Arial"/>
                <w:noProof/>
                <w:sz w:val="18"/>
                <w:szCs w:val="18"/>
                <w:shd w:val="clear" w:color="auto" w:fill="FFFFFF"/>
              </w:rPr>
              <w:t xml:space="preserve"> de la </w:t>
            </w:r>
            <w:r>
              <w:rPr>
                <w:rFonts w:ascii="Arial" w:hAnsi="Arial" w:cs="Arial"/>
                <w:noProof/>
                <w:sz w:val="18"/>
                <w:szCs w:val="18"/>
              </w:rPr>
              <w:t>SHCP</w:t>
            </w:r>
            <w:r w:rsidRPr="0080138D">
              <w:rPr>
                <w:rStyle w:val="FootnoteReference"/>
                <w:rFonts w:ascii="Arial" w:hAnsi="Arial" w:cs="Arial"/>
                <w:spacing w:val="-4"/>
                <w:lang w:val="es-ES"/>
              </w:rPr>
              <w:footnoteReference w:id="7"/>
            </w:r>
            <w:r>
              <w:rPr>
                <w:rFonts w:ascii="Arial" w:hAnsi="Arial" w:cs="Arial"/>
                <w:noProof/>
                <w:sz w:val="18"/>
                <w:szCs w:val="18"/>
              </w:rPr>
              <w:t>.</w:t>
            </w:r>
          </w:p>
        </w:tc>
        <w:tc>
          <w:tcPr>
            <w:tcW w:w="3074" w:type="dxa"/>
            <w:tcBorders>
              <w:top w:val="single" w:sz="4" w:space="0" w:color="000000"/>
              <w:left w:val="single" w:sz="4" w:space="0" w:color="000000"/>
              <w:bottom w:val="single" w:sz="4" w:space="0" w:color="000000"/>
              <w:right w:val="single" w:sz="4" w:space="0" w:color="000000"/>
            </w:tcBorders>
            <w:vAlign w:val="center"/>
          </w:tcPr>
          <w:p w14:paraId="37787E44" w14:textId="77777777" w:rsidR="00A578FB" w:rsidRPr="00D92AD6" w:rsidRDefault="00A578FB" w:rsidP="005A1D03">
            <w:pPr>
              <w:spacing w:before="60" w:after="60"/>
              <w:rPr>
                <w:rFonts w:ascii="Arial" w:hAnsi="Arial" w:cs="Arial"/>
                <w:noProof/>
                <w:sz w:val="20"/>
                <w:lang w:eastAsia="zh-CN"/>
              </w:rPr>
            </w:pPr>
            <w:r w:rsidRPr="00D92AD6">
              <w:rPr>
                <w:rFonts w:ascii="Arial" w:hAnsi="Arial" w:cs="Arial"/>
                <w:noProof/>
                <w:color w:val="000000"/>
                <w:sz w:val="18"/>
                <w:szCs w:val="18"/>
              </w:rPr>
              <w:t>Línea de base y metas a diciembre de cada año.</w:t>
            </w:r>
          </w:p>
        </w:tc>
      </w:tr>
      <w:bookmarkEnd w:id="8"/>
    </w:tbl>
    <w:p w14:paraId="61D9BEF6" w14:textId="77777777" w:rsidR="00A578FB" w:rsidRDefault="00A578FB" w:rsidP="00A578FB">
      <w:pPr>
        <w:rPr>
          <w:lang w:val="es-ES"/>
        </w:rPr>
        <w:sectPr w:rsidR="00A578FB" w:rsidSect="005A0ED4">
          <w:pgSz w:w="15840" w:h="12240" w:orient="landscape" w:code="1"/>
          <w:pgMar w:top="1800" w:right="1440" w:bottom="1800" w:left="1440" w:header="706" w:footer="706" w:gutter="0"/>
          <w:cols w:space="720"/>
          <w:formProt w:val="0"/>
          <w:docGrid w:linePitch="326"/>
        </w:sectPr>
      </w:pPr>
    </w:p>
    <w:p w14:paraId="6CC90D02" w14:textId="53C99B61" w:rsidR="00ED751C" w:rsidRPr="00EB0154" w:rsidRDefault="00EB0154" w:rsidP="00EB0154">
      <w:pPr>
        <w:pStyle w:val="FirstHeading"/>
        <w:rPr>
          <w:rFonts w:ascii="Arial" w:hAnsi="Arial" w:cs="Arial"/>
          <w:noProof/>
          <w:sz w:val="22"/>
          <w:szCs w:val="22"/>
        </w:rPr>
      </w:pPr>
      <w:bookmarkStart w:id="9" w:name="_Toc468199041"/>
      <w:r w:rsidRPr="00EB0154">
        <w:rPr>
          <w:rFonts w:ascii="Arial" w:hAnsi="Arial" w:cs="Arial"/>
          <w:sz w:val="22"/>
          <w:szCs w:val="22"/>
        </w:rPr>
        <w:lastRenderedPageBreak/>
        <w:t>B.</w:t>
      </w:r>
      <w:r w:rsidRPr="00EB0154">
        <w:rPr>
          <w:rFonts w:ascii="Arial" w:hAnsi="Arial" w:cs="Arial"/>
          <w:sz w:val="22"/>
          <w:szCs w:val="22"/>
        </w:rPr>
        <w:tab/>
      </w:r>
      <w:r w:rsidR="007C1307" w:rsidRPr="00D97056">
        <w:rPr>
          <w:rFonts w:ascii="Arial" w:hAnsi="Arial" w:cs="Arial"/>
          <w:sz w:val="22"/>
          <w:szCs w:val="22"/>
        </w:rPr>
        <w:t xml:space="preserve">Conocimiento </w:t>
      </w:r>
      <w:r w:rsidR="004B2F1D">
        <w:rPr>
          <w:rFonts w:ascii="Arial" w:hAnsi="Arial" w:cs="Arial"/>
          <w:sz w:val="22"/>
          <w:szCs w:val="22"/>
        </w:rPr>
        <w:t>e</w:t>
      </w:r>
      <w:r w:rsidR="007C1307" w:rsidRPr="00D97056">
        <w:rPr>
          <w:rFonts w:ascii="Arial" w:hAnsi="Arial" w:cs="Arial"/>
          <w:sz w:val="22"/>
          <w:szCs w:val="22"/>
        </w:rPr>
        <w:t>xistente (evaluaciones previas, análisis financiero ex</w:t>
      </w:r>
      <w:r w:rsidR="004B2F1D">
        <w:rPr>
          <w:rFonts w:ascii="Arial" w:hAnsi="Arial" w:cs="Arial"/>
          <w:sz w:val="22"/>
          <w:szCs w:val="22"/>
        </w:rPr>
        <w:t xml:space="preserve"> </w:t>
      </w:r>
      <w:r w:rsidR="007C1307" w:rsidRPr="00D97056">
        <w:rPr>
          <w:rFonts w:ascii="Arial" w:hAnsi="Arial" w:cs="Arial"/>
          <w:sz w:val="22"/>
          <w:szCs w:val="22"/>
        </w:rPr>
        <w:t>ante)</w:t>
      </w:r>
      <w:bookmarkEnd w:id="9"/>
    </w:p>
    <w:p w14:paraId="224D6C77" w14:textId="1B162481" w:rsidR="00E82DC8" w:rsidRPr="00807393" w:rsidRDefault="00E82DC8" w:rsidP="007C1307">
      <w:pPr>
        <w:pStyle w:val="Paragraph"/>
        <w:rPr>
          <w:rFonts w:ascii="Arial" w:hAnsi="Arial" w:cs="Arial"/>
          <w:sz w:val="22"/>
          <w:szCs w:val="22"/>
        </w:rPr>
      </w:pPr>
      <w:r>
        <w:rPr>
          <w:rFonts w:ascii="Arial" w:hAnsi="Arial" w:cs="Arial"/>
          <w:sz w:val="22"/>
          <w:szCs w:val="22"/>
          <w:lang w:val="es-AR"/>
        </w:rPr>
        <w:t xml:space="preserve">Estimar el impacto </w:t>
      </w:r>
      <w:r w:rsidRPr="00E82DC8">
        <w:rPr>
          <w:rFonts w:ascii="Arial" w:hAnsi="Arial" w:cs="Arial"/>
          <w:sz w:val="22"/>
          <w:szCs w:val="22"/>
          <w:lang w:val="es-AR"/>
        </w:rPr>
        <w:t>sobre el desempeño fiscal de las diferentes características de un marco regulatorio para el endeudamiento subnacional</w:t>
      </w:r>
      <w:r>
        <w:rPr>
          <w:rFonts w:ascii="Arial" w:hAnsi="Arial" w:cs="Arial"/>
          <w:sz w:val="22"/>
          <w:szCs w:val="22"/>
          <w:lang w:val="es-AR"/>
        </w:rPr>
        <w:t xml:space="preserve"> es complejo, ya que </w:t>
      </w:r>
      <w:r w:rsidRPr="00E82DC8">
        <w:rPr>
          <w:rFonts w:ascii="Arial" w:hAnsi="Arial" w:cs="Arial"/>
          <w:sz w:val="22"/>
          <w:szCs w:val="22"/>
          <w:lang w:val="es-AR"/>
        </w:rPr>
        <w:t>los resultados fiscales no dependen exclusivamente de l</w:t>
      </w:r>
      <w:r w:rsidR="00DB4BC1">
        <w:rPr>
          <w:rFonts w:ascii="Arial" w:hAnsi="Arial" w:cs="Arial"/>
          <w:sz w:val="22"/>
          <w:szCs w:val="22"/>
          <w:lang w:val="es-AR"/>
        </w:rPr>
        <w:t>a</w:t>
      </w:r>
      <w:r w:rsidRPr="00E82DC8">
        <w:rPr>
          <w:rFonts w:ascii="Arial" w:hAnsi="Arial" w:cs="Arial"/>
          <w:sz w:val="22"/>
          <w:szCs w:val="22"/>
          <w:lang w:val="es-AR"/>
        </w:rPr>
        <w:t xml:space="preserve">s </w:t>
      </w:r>
      <w:r w:rsidR="00DB4BC1">
        <w:rPr>
          <w:rFonts w:ascii="Arial" w:hAnsi="Arial" w:cs="Arial"/>
          <w:sz w:val="22"/>
          <w:szCs w:val="22"/>
          <w:lang w:val="es-AR"/>
        </w:rPr>
        <w:t>medidas regulatorias utilizadas, sino que además</w:t>
      </w:r>
      <w:r w:rsidRPr="00E82DC8">
        <w:rPr>
          <w:rFonts w:ascii="Arial" w:hAnsi="Arial" w:cs="Arial"/>
          <w:sz w:val="22"/>
          <w:szCs w:val="22"/>
          <w:lang w:val="es-AR"/>
        </w:rPr>
        <w:t xml:space="preserve"> son</w:t>
      </w:r>
      <w:r w:rsidR="00DB4BC1">
        <w:rPr>
          <w:rFonts w:ascii="Arial" w:hAnsi="Arial" w:cs="Arial"/>
          <w:sz w:val="22"/>
          <w:szCs w:val="22"/>
          <w:lang w:val="es-AR"/>
        </w:rPr>
        <w:t xml:space="preserve"> resultados de otr</w:t>
      </w:r>
      <w:r w:rsidRPr="00E82DC8">
        <w:rPr>
          <w:rFonts w:ascii="Arial" w:hAnsi="Arial" w:cs="Arial"/>
          <w:sz w:val="22"/>
          <w:szCs w:val="22"/>
          <w:lang w:val="es-AR"/>
        </w:rPr>
        <w:t xml:space="preserve">as idiosincrasias del país en el cual se están </w:t>
      </w:r>
      <w:r w:rsidRPr="0080138D">
        <w:rPr>
          <w:rFonts w:ascii="Arial" w:hAnsi="Arial" w:cs="Arial"/>
          <w:sz w:val="22"/>
          <w:szCs w:val="22"/>
          <w:lang w:val="es-AR"/>
        </w:rPr>
        <w:t xml:space="preserve">implementado </w:t>
      </w:r>
      <w:r w:rsidRPr="0080138D">
        <w:rPr>
          <w:rFonts w:ascii="Arial" w:hAnsi="Arial" w:cs="Arial"/>
          <w:color w:val="000000"/>
          <w:sz w:val="22"/>
          <w:szCs w:val="22"/>
          <w:lang w:val="es-AR"/>
        </w:rPr>
        <w:t xml:space="preserve">(Singh y </w:t>
      </w:r>
      <w:proofErr w:type="spellStart"/>
      <w:r w:rsidRPr="0080138D">
        <w:rPr>
          <w:rFonts w:ascii="Arial" w:hAnsi="Arial" w:cs="Arial"/>
          <w:sz w:val="22"/>
          <w:szCs w:val="22"/>
          <w:lang w:val="es-AR"/>
        </w:rPr>
        <w:t>Plekhanov</w:t>
      </w:r>
      <w:proofErr w:type="spellEnd"/>
      <w:r w:rsidRPr="0080138D">
        <w:rPr>
          <w:rFonts w:ascii="Arial" w:hAnsi="Arial" w:cs="Arial"/>
          <w:sz w:val="22"/>
          <w:szCs w:val="22"/>
          <w:lang w:val="es-AR"/>
        </w:rPr>
        <w:t>, 20</w:t>
      </w:r>
      <w:r w:rsidRPr="0080138D">
        <w:rPr>
          <w:rFonts w:ascii="Arial" w:hAnsi="Arial" w:cs="Arial"/>
          <w:spacing w:val="-4"/>
          <w:sz w:val="22"/>
          <w:szCs w:val="22"/>
        </w:rPr>
        <w:t>05</w:t>
      </w:r>
      <w:r w:rsidRPr="0080138D">
        <w:rPr>
          <w:rStyle w:val="FootnoteReference"/>
          <w:rFonts w:ascii="Arial" w:hAnsi="Arial" w:cs="Arial"/>
          <w:spacing w:val="-4"/>
          <w:sz w:val="22"/>
          <w:szCs w:val="22"/>
        </w:rPr>
        <w:footnoteReference w:id="8"/>
      </w:r>
      <w:r w:rsidRPr="0080138D">
        <w:rPr>
          <w:rFonts w:ascii="Arial" w:hAnsi="Arial" w:cs="Arial"/>
          <w:sz w:val="22"/>
          <w:szCs w:val="22"/>
          <w:lang w:val="es-AR"/>
        </w:rPr>
        <w:t>). A pesar de esto, del análisis de la literatura se desprenden algunos consensos a priori</w:t>
      </w:r>
      <w:r w:rsidR="0080138D" w:rsidRPr="0080138D">
        <w:rPr>
          <w:rFonts w:ascii="Arial" w:hAnsi="Arial" w:cs="Arial"/>
          <w:sz w:val="22"/>
          <w:szCs w:val="22"/>
          <w:lang w:val="es-AR"/>
        </w:rPr>
        <w:t xml:space="preserve"> que se describen a </w:t>
      </w:r>
      <w:r w:rsidR="0080138D" w:rsidRPr="00807393">
        <w:rPr>
          <w:rFonts w:ascii="Arial" w:hAnsi="Arial" w:cs="Arial"/>
          <w:sz w:val="22"/>
          <w:szCs w:val="22"/>
          <w:lang w:val="es-AR"/>
        </w:rPr>
        <w:t>continuación</w:t>
      </w:r>
      <w:r w:rsidR="00807393" w:rsidRPr="00807393">
        <w:rPr>
          <w:rFonts w:ascii="Arial" w:hAnsi="Arial" w:cs="Arial"/>
          <w:sz w:val="22"/>
          <w:szCs w:val="22"/>
          <w:lang w:val="es-AR"/>
        </w:rPr>
        <w:t>:</w:t>
      </w:r>
      <w:r w:rsidR="0080138D" w:rsidRPr="00807393">
        <w:rPr>
          <w:rFonts w:ascii="Arial" w:hAnsi="Arial" w:cs="Arial"/>
          <w:sz w:val="22"/>
          <w:szCs w:val="22"/>
          <w:lang w:val="es-AR"/>
        </w:rPr>
        <w:t xml:space="preserve"> </w:t>
      </w:r>
    </w:p>
    <w:p w14:paraId="39A37D6F" w14:textId="71EFA634" w:rsidR="00807393" w:rsidRPr="00807393" w:rsidRDefault="0080138D" w:rsidP="00807393">
      <w:pPr>
        <w:pStyle w:val="ListParagraph"/>
        <w:numPr>
          <w:ilvl w:val="0"/>
          <w:numId w:val="26"/>
        </w:numPr>
        <w:spacing w:before="120" w:after="120"/>
        <w:ind w:left="1080" w:hanging="360"/>
        <w:contextualSpacing w:val="0"/>
        <w:jc w:val="both"/>
        <w:rPr>
          <w:rFonts w:ascii="Arial" w:hAnsi="Arial" w:cs="Arial"/>
          <w:sz w:val="22"/>
          <w:szCs w:val="22"/>
          <w:lang w:val="es-ES"/>
        </w:rPr>
      </w:pPr>
      <w:r w:rsidRPr="00807393">
        <w:rPr>
          <w:rFonts w:ascii="Arial" w:hAnsi="Arial" w:cs="Arial"/>
          <w:sz w:val="22"/>
          <w:szCs w:val="22"/>
          <w:lang w:val="es-AR"/>
        </w:rPr>
        <w:t xml:space="preserve">La efectividad de los controles al endeudamiento subnacional parece verse incrementada en contextos de fuerte monitoreo por parte del </w:t>
      </w:r>
      <w:r w:rsidR="00B47CEB">
        <w:rPr>
          <w:rFonts w:ascii="Arial" w:hAnsi="Arial" w:cs="Arial"/>
          <w:sz w:val="22"/>
          <w:szCs w:val="22"/>
          <w:lang w:val="es-AR"/>
        </w:rPr>
        <w:t>G</w:t>
      </w:r>
      <w:r w:rsidRPr="00807393">
        <w:rPr>
          <w:rFonts w:ascii="Arial" w:hAnsi="Arial" w:cs="Arial"/>
          <w:sz w:val="22"/>
          <w:szCs w:val="22"/>
          <w:lang w:val="es-AR"/>
        </w:rPr>
        <w:t xml:space="preserve">obierno </w:t>
      </w:r>
      <w:r w:rsidR="00B47CEB">
        <w:rPr>
          <w:rFonts w:ascii="Arial" w:hAnsi="Arial" w:cs="Arial"/>
          <w:sz w:val="22"/>
          <w:szCs w:val="22"/>
          <w:lang w:val="es-AR"/>
        </w:rPr>
        <w:t>C</w:t>
      </w:r>
      <w:r w:rsidRPr="00807393">
        <w:rPr>
          <w:rFonts w:ascii="Arial" w:hAnsi="Arial" w:cs="Arial"/>
          <w:sz w:val="22"/>
          <w:szCs w:val="22"/>
          <w:lang w:val="es-AR"/>
        </w:rPr>
        <w:t>entral (GC) o del mercado (</w:t>
      </w:r>
      <w:proofErr w:type="spellStart"/>
      <w:r w:rsidR="00A47B53" w:rsidRPr="00807393">
        <w:rPr>
          <w:rFonts w:ascii="Arial" w:hAnsi="Arial" w:cs="Arial"/>
          <w:sz w:val="22"/>
          <w:szCs w:val="22"/>
          <w:lang w:val="es-AR"/>
        </w:rPr>
        <w:t>Rodden</w:t>
      </w:r>
      <w:proofErr w:type="spellEnd"/>
      <w:r w:rsidR="00A47B53" w:rsidRPr="00807393">
        <w:rPr>
          <w:rFonts w:ascii="Arial" w:hAnsi="Arial" w:cs="Arial"/>
          <w:sz w:val="22"/>
          <w:szCs w:val="22"/>
          <w:lang w:val="es-AR"/>
        </w:rPr>
        <w:t xml:space="preserve"> y </w:t>
      </w:r>
      <w:proofErr w:type="spellStart"/>
      <w:r w:rsidR="00A47B53" w:rsidRPr="00807393">
        <w:rPr>
          <w:rFonts w:ascii="Arial" w:hAnsi="Arial" w:cs="Arial"/>
          <w:sz w:val="22"/>
          <w:szCs w:val="22"/>
          <w:lang w:val="es-AR"/>
        </w:rPr>
        <w:t>Eskeland</w:t>
      </w:r>
      <w:proofErr w:type="spellEnd"/>
      <w:r w:rsidR="00A47B53" w:rsidRPr="00807393">
        <w:rPr>
          <w:rFonts w:ascii="Arial" w:hAnsi="Arial" w:cs="Arial"/>
          <w:sz w:val="22"/>
          <w:szCs w:val="22"/>
          <w:lang w:val="es-AR"/>
        </w:rPr>
        <w:t xml:space="preserve">, </w:t>
      </w:r>
      <w:r w:rsidRPr="00807393">
        <w:rPr>
          <w:rFonts w:ascii="Arial" w:hAnsi="Arial" w:cs="Arial"/>
          <w:sz w:val="22"/>
          <w:szCs w:val="22"/>
          <w:lang w:val="es-AR"/>
        </w:rPr>
        <w:t>2003</w:t>
      </w:r>
      <w:r w:rsidR="00B47CEB">
        <w:rPr>
          <w:rFonts w:ascii="Arial" w:hAnsi="Arial" w:cs="Arial"/>
          <w:sz w:val="22"/>
          <w:szCs w:val="22"/>
          <w:lang w:val="es-AR"/>
        </w:rPr>
        <w:t>)</w:t>
      </w:r>
      <w:r w:rsidR="00A47B53" w:rsidRPr="00807393">
        <w:rPr>
          <w:rStyle w:val="FootnoteReference"/>
          <w:rFonts w:ascii="Arial" w:hAnsi="Arial" w:cs="Arial"/>
          <w:spacing w:val="-4"/>
          <w:sz w:val="22"/>
          <w:szCs w:val="22"/>
          <w:lang w:val="es-ES"/>
        </w:rPr>
        <w:footnoteReference w:id="9"/>
      </w:r>
      <w:r w:rsidR="00A47B53" w:rsidRPr="00807393">
        <w:rPr>
          <w:rFonts w:ascii="Arial" w:hAnsi="Arial" w:cs="Arial"/>
          <w:sz w:val="22"/>
          <w:szCs w:val="22"/>
          <w:lang w:val="es-AR"/>
        </w:rPr>
        <w:t xml:space="preserve">. </w:t>
      </w:r>
      <w:r w:rsidR="00B14014" w:rsidRPr="00807393">
        <w:rPr>
          <w:rFonts w:ascii="Arial" w:hAnsi="Arial" w:cs="Arial"/>
          <w:sz w:val="22"/>
          <w:szCs w:val="22"/>
          <w:lang w:val="es-AR"/>
        </w:rPr>
        <w:t>V</w:t>
      </w:r>
      <w:r w:rsidRPr="00807393">
        <w:rPr>
          <w:rFonts w:ascii="Arial" w:hAnsi="Arial" w:cs="Arial"/>
          <w:sz w:val="22"/>
          <w:szCs w:val="22"/>
          <w:lang w:val="es-AR"/>
        </w:rPr>
        <w:t>arios estudios de casos</w:t>
      </w:r>
      <w:r w:rsidR="00B14014" w:rsidRPr="00807393">
        <w:rPr>
          <w:rFonts w:ascii="Arial" w:hAnsi="Arial" w:cs="Arial"/>
          <w:sz w:val="22"/>
          <w:szCs w:val="22"/>
          <w:lang w:val="es-AR"/>
        </w:rPr>
        <w:t xml:space="preserve"> confirman esta conclusión. En Estados Unidos, donde existe un fuerte control del mercado, </w:t>
      </w:r>
      <w:proofErr w:type="spellStart"/>
      <w:r w:rsidR="00B14014" w:rsidRPr="00807393">
        <w:rPr>
          <w:rFonts w:ascii="Arial" w:hAnsi="Arial" w:cs="Arial"/>
          <w:sz w:val="22"/>
          <w:szCs w:val="22"/>
          <w:lang w:val="es-AR"/>
        </w:rPr>
        <w:t>Poterba</w:t>
      </w:r>
      <w:proofErr w:type="spellEnd"/>
      <w:r w:rsidR="00B14014" w:rsidRPr="00807393">
        <w:rPr>
          <w:rFonts w:ascii="Arial" w:hAnsi="Arial" w:cs="Arial"/>
          <w:sz w:val="22"/>
          <w:szCs w:val="22"/>
          <w:lang w:val="es-AR"/>
        </w:rPr>
        <w:t xml:space="preserve"> (1994</w:t>
      </w:r>
      <w:r w:rsidR="00B14014" w:rsidRPr="0080138D">
        <w:rPr>
          <w:rStyle w:val="FootnoteReference"/>
          <w:rFonts w:ascii="Arial" w:hAnsi="Arial" w:cs="Arial"/>
          <w:spacing w:val="-4"/>
          <w:sz w:val="22"/>
          <w:szCs w:val="22"/>
          <w:lang w:val="es-ES"/>
        </w:rPr>
        <w:footnoteReference w:id="10"/>
      </w:r>
      <w:r w:rsidR="00D23F67">
        <w:rPr>
          <w:rFonts w:ascii="Arial" w:hAnsi="Arial" w:cs="Arial"/>
          <w:sz w:val="22"/>
          <w:szCs w:val="22"/>
          <w:lang w:val="es-AR"/>
        </w:rPr>
        <w:t>)</w:t>
      </w:r>
      <w:r w:rsidR="00B14014" w:rsidRPr="00807393">
        <w:rPr>
          <w:rFonts w:ascii="Arial" w:hAnsi="Arial" w:cs="Arial"/>
          <w:sz w:val="22"/>
          <w:szCs w:val="22"/>
          <w:lang w:val="es-AR"/>
        </w:rPr>
        <w:t xml:space="preserve"> encuentra evidencia que estados con reglas fiscales más fuertes presentan mayores balances fiscales. En Brasil e India, donde existe un importante control del GC, Martell (2008</w:t>
      </w:r>
      <w:r w:rsidR="00B47CEB">
        <w:rPr>
          <w:rFonts w:ascii="Arial" w:hAnsi="Arial" w:cs="Arial"/>
          <w:sz w:val="22"/>
          <w:szCs w:val="22"/>
          <w:lang w:val="es-AR"/>
        </w:rPr>
        <w:t>)</w:t>
      </w:r>
      <w:r w:rsidR="00B14014" w:rsidRPr="0080138D">
        <w:rPr>
          <w:rStyle w:val="FootnoteReference"/>
          <w:rFonts w:ascii="Arial" w:hAnsi="Arial" w:cs="Arial"/>
          <w:spacing w:val="-4"/>
          <w:sz w:val="22"/>
          <w:szCs w:val="22"/>
          <w:lang w:val="es-ES"/>
        </w:rPr>
        <w:footnoteReference w:id="11"/>
      </w:r>
      <w:r w:rsidR="00B14014" w:rsidRPr="00807393">
        <w:rPr>
          <w:rFonts w:ascii="Arial" w:hAnsi="Arial" w:cs="Arial"/>
          <w:sz w:val="22"/>
          <w:szCs w:val="22"/>
          <w:lang w:val="es-AR"/>
        </w:rPr>
        <w:t xml:space="preserve"> y </w:t>
      </w:r>
      <w:proofErr w:type="spellStart"/>
      <w:r w:rsidR="00B14014" w:rsidRPr="00807393">
        <w:rPr>
          <w:rFonts w:ascii="Arial" w:hAnsi="Arial" w:cs="Arial"/>
          <w:sz w:val="22"/>
          <w:szCs w:val="22"/>
          <w:lang w:val="es-AR"/>
        </w:rPr>
        <w:t>Kishore</w:t>
      </w:r>
      <w:proofErr w:type="spellEnd"/>
      <w:r w:rsidR="00B14014" w:rsidRPr="00807393">
        <w:rPr>
          <w:rFonts w:ascii="Arial" w:hAnsi="Arial" w:cs="Arial"/>
          <w:sz w:val="22"/>
          <w:szCs w:val="22"/>
          <w:lang w:val="es-AR"/>
        </w:rPr>
        <w:t xml:space="preserve"> y </w:t>
      </w:r>
      <w:proofErr w:type="spellStart"/>
      <w:r w:rsidR="00B14014" w:rsidRPr="00807393">
        <w:rPr>
          <w:rFonts w:ascii="Arial" w:hAnsi="Arial" w:cs="Arial"/>
          <w:sz w:val="22"/>
          <w:szCs w:val="22"/>
          <w:lang w:val="es-AR"/>
        </w:rPr>
        <w:t>Prasad</w:t>
      </w:r>
      <w:proofErr w:type="spellEnd"/>
      <w:r w:rsidR="00B14014" w:rsidRPr="00807393">
        <w:rPr>
          <w:rFonts w:ascii="Arial" w:hAnsi="Arial" w:cs="Arial"/>
          <w:sz w:val="22"/>
          <w:szCs w:val="22"/>
          <w:lang w:val="es-AR"/>
        </w:rPr>
        <w:t xml:space="preserve"> (2007</w:t>
      </w:r>
      <w:r w:rsidR="00B47CEB">
        <w:rPr>
          <w:rFonts w:ascii="Arial" w:hAnsi="Arial" w:cs="Arial"/>
          <w:sz w:val="22"/>
          <w:szCs w:val="22"/>
          <w:lang w:val="es-AR"/>
        </w:rPr>
        <w:t>)</w:t>
      </w:r>
      <w:r w:rsidR="00B14014" w:rsidRPr="0080138D">
        <w:rPr>
          <w:rStyle w:val="FootnoteReference"/>
          <w:rFonts w:ascii="Arial" w:hAnsi="Arial" w:cs="Arial"/>
          <w:spacing w:val="-4"/>
          <w:sz w:val="22"/>
          <w:szCs w:val="22"/>
          <w:lang w:val="es-ES"/>
        </w:rPr>
        <w:footnoteReference w:id="12"/>
      </w:r>
      <w:r w:rsidR="00B14014" w:rsidRPr="00807393">
        <w:rPr>
          <w:rFonts w:ascii="Arial" w:hAnsi="Arial" w:cs="Arial"/>
          <w:sz w:val="22"/>
          <w:szCs w:val="22"/>
          <w:lang w:val="es-AR"/>
        </w:rPr>
        <w:t xml:space="preserve">, respectivamente, encuentran que las restricciones impuestas en los arreglos fueron efectivas en alterar la disciplina fiscal. En España, </w:t>
      </w:r>
      <w:proofErr w:type="spellStart"/>
      <w:r w:rsidR="00B14014" w:rsidRPr="00807393">
        <w:rPr>
          <w:rFonts w:ascii="Arial" w:hAnsi="Arial" w:cs="Arial"/>
          <w:color w:val="000000"/>
          <w:sz w:val="22"/>
          <w:szCs w:val="22"/>
          <w:lang w:val="es-AR"/>
        </w:rPr>
        <w:t>Cabasés</w:t>
      </w:r>
      <w:proofErr w:type="spellEnd"/>
      <w:r w:rsidR="00B14014" w:rsidRPr="00807393">
        <w:rPr>
          <w:rFonts w:ascii="Arial" w:hAnsi="Arial" w:cs="Arial"/>
          <w:color w:val="000000"/>
          <w:sz w:val="22"/>
          <w:szCs w:val="22"/>
          <w:lang w:val="es-AR"/>
        </w:rPr>
        <w:t>, Pascual y Vallés (2007</w:t>
      </w:r>
      <w:r w:rsidR="00B47CEB">
        <w:rPr>
          <w:rFonts w:ascii="Arial" w:hAnsi="Arial" w:cs="Arial"/>
          <w:color w:val="000000"/>
          <w:sz w:val="22"/>
          <w:szCs w:val="22"/>
          <w:lang w:val="es-AR"/>
        </w:rPr>
        <w:t>)</w:t>
      </w:r>
      <w:r w:rsidR="00B14014" w:rsidRPr="0080138D">
        <w:rPr>
          <w:rStyle w:val="FootnoteReference"/>
          <w:rFonts w:ascii="Arial" w:hAnsi="Arial" w:cs="Arial"/>
          <w:spacing w:val="-4"/>
          <w:sz w:val="22"/>
          <w:szCs w:val="22"/>
          <w:lang w:val="es-ES"/>
        </w:rPr>
        <w:footnoteReference w:id="13"/>
      </w:r>
      <w:r w:rsidR="00B14014" w:rsidRPr="00807393">
        <w:rPr>
          <w:rFonts w:ascii="Arial" w:hAnsi="Arial" w:cs="Arial"/>
          <w:color w:val="000000"/>
          <w:sz w:val="22"/>
          <w:szCs w:val="22"/>
          <w:lang w:val="es-AR"/>
        </w:rPr>
        <w:t xml:space="preserve"> encuentran que las restricciones institucionales al endeudamiento ocasionaron una mayor disciplina financiera en las políticas de endeudamiento adoptadas por los gobiernos locales.</w:t>
      </w:r>
    </w:p>
    <w:p w14:paraId="1D883872" w14:textId="4218FAAE" w:rsidR="00807393" w:rsidRPr="00807393" w:rsidRDefault="00B14014" w:rsidP="00807393">
      <w:pPr>
        <w:pStyle w:val="ListParagraph"/>
        <w:numPr>
          <w:ilvl w:val="0"/>
          <w:numId w:val="26"/>
        </w:numPr>
        <w:spacing w:before="120" w:after="120"/>
        <w:ind w:left="1080" w:hanging="360"/>
        <w:contextualSpacing w:val="0"/>
        <w:jc w:val="both"/>
        <w:rPr>
          <w:rFonts w:ascii="Arial" w:hAnsi="Arial" w:cs="Arial"/>
          <w:sz w:val="22"/>
          <w:szCs w:val="22"/>
          <w:lang w:val="es-ES"/>
        </w:rPr>
      </w:pPr>
      <w:r w:rsidRPr="00807393">
        <w:rPr>
          <w:rFonts w:ascii="Arial" w:hAnsi="Arial" w:cs="Arial"/>
          <w:sz w:val="22"/>
          <w:szCs w:val="22"/>
          <w:lang w:val="es-AR"/>
        </w:rPr>
        <w:t>La efectividad de los controles al endeudamiento subnacional también parece verse incrementada</w:t>
      </w:r>
      <w:r w:rsidR="0080138D" w:rsidRPr="00807393">
        <w:rPr>
          <w:rFonts w:ascii="Arial" w:hAnsi="Arial" w:cs="Arial"/>
          <w:sz w:val="22"/>
          <w:szCs w:val="22"/>
          <w:lang w:val="es-AR"/>
        </w:rPr>
        <w:t xml:space="preserve"> cuando existe un compromiso por parte del GC en hacer cumplir dichos controles, implementando las sanciones correspondientes (</w:t>
      </w:r>
      <w:proofErr w:type="spellStart"/>
      <w:r w:rsidR="0080138D" w:rsidRPr="00807393">
        <w:rPr>
          <w:rFonts w:ascii="Arial" w:hAnsi="Arial" w:cs="Arial"/>
          <w:sz w:val="22"/>
          <w:szCs w:val="22"/>
          <w:lang w:val="es-MX"/>
        </w:rPr>
        <w:t>Rodden</w:t>
      </w:r>
      <w:proofErr w:type="spellEnd"/>
      <w:r w:rsidR="0080138D" w:rsidRPr="00807393">
        <w:rPr>
          <w:rFonts w:ascii="Arial" w:hAnsi="Arial" w:cs="Arial"/>
          <w:sz w:val="22"/>
          <w:szCs w:val="22"/>
          <w:lang w:val="es-MX"/>
        </w:rPr>
        <w:t xml:space="preserve">, </w:t>
      </w:r>
      <w:proofErr w:type="spellStart"/>
      <w:r w:rsidR="0080138D" w:rsidRPr="00807393">
        <w:rPr>
          <w:rFonts w:ascii="Arial" w:hAnsi="Arial" w:cs="Arial"/>
          <w:sz w:val="22"/>
          <w:szCs w:val="22"/>
          <w:lang w:val="es-MX"/>
        </w:rPr>
        <w:t>Eskeland</w:t>
      </w:r>
      <w:proofErr w:type="spellEnd"/>
      <w:r w:rsidR="0080138D" w:rsidRPr="00807393">
        <w:rPr>
          <w:rFonts w:ascii="Arial" w:hAnsi="Arial" w:cs="Arial"/>
          <w:sz w:val="22"/>
          <w:szCs w:val="22"/>
          <w:lang w:val="es-MX"/>
        </w:rPr>
        <w:t xml:space="preserve">, y </w:t>
      </w:r>
      <w:proofErr w:type="spellStart"/>
      <w:r w:rsidR="0080138D" w:rsidRPr="00807393">
        <w:rPr>
          <w:rFonts w:ascii="Arial" w:hAnsi="Arial" w:cs="Arial"/>
          <w:sz w:val="22"/>
          <w:szCs w:val="22"/>
          <w:lang w:val="es-MX"/>
        </w:rPr>
        <w:t>Litvack</w:t>
      </w:r>
      <w:proofErr w:type="spellEnd"/>
      <w:r w:rsidR="0080138D" w:rsidRPr="00807393">
        <w:rPr>
          <w:rFonts w:ascii="Arial" w:hAnsi="Arial" w:cs="Arial"/>
          <w:sz w:val="22"/>
          <w:szCs w:val="22"/>
          <w:lang w:val="es-MX"/>
        </w:rPr>
        <w:t>, 2003</w:t>
      </w:r>
      <w:r w:rsidR="00B47CEB">
        <w:rPr>
          <w:rFonts w:ascii="Arial" w:hAnsi="Arial" w:cs="Arial"/>
          <w:sz w:val="22"/>
          <w:szCs w:val="22"/>
          <w:lang w:val="es-MX"/>
        </w:rPr>
        <w:t>)</w:t>
      </w:r>
      <w:r w:rsidRPr="00B14014">
        <w:rPr>
          <w:rStyle w:val="FootnoteReference"/>
          <w:rFonts w:ascii="Arial" w:hAnsi="Arial" w:cs="Arial"/>
          <w:spacing w:val="-4"/>
          <w:sz w:val="22"/>
          <w:szCs w:val="22"/>
          <w:lang w:val="es-ES"/>
        </w:rPr>
        <w:footnoteReference w:id="14"/>
      </w:r>
      <w:r w:rsidR="0080138D" w:rsidRPr="00807393">
        <w:rPr>
          <w:rFonts w:ascii="Arial" w:hAnsi="Arial" w:cs="Arial"/>
          <w:sz w:val="22"/>
          <w:szCs w:val="22"/>
          <w:lang w:val="es-AR"/>
        </w:rPr>
        <w:t>.</w:t>
      </w:r>
    </w:p>
    <w:p w14:paraId="5451A42F" w14:textId="19925E4A" w:rsidR="00807393" w:rsidRPr="00807393" w:rsidRDefault="00B14014" w:rsidP="00807393">
      <w:pPr>
        <w:pStyle w:val="ListParagraph"/>
        <w:numPr>
          <w:ilvl w:val="0"/>
          <w:numId w:val="26"/>
        </w:numPr>
        <w:spacing w:before="120" w:after="120"/>
        <w:ind w:left="1080" w:hanging="360"/>
        <w:contextualSpacing w:val="0"/>
        <w:jc w:val="both"/>
        <w:rPr>
          <w:rFonts w:ascii="Arial" w:hAnsi="Arial" w:cs="Arial"/>
          <w:sz w:val="22"/>
          <w:szCs w:val="22"/>
          <w:lang w:val="es-ES"/>
        </w:rPr>
      </w:pPr>
      <w:r w:rsidRPr="00807393">
        <w:rPr>
          <w:rFonts w:ascii="Arial" w:hAnsi="Arial" w:cs="Arial"/>
          <w:sz w:val="22"/>
          <w:szCs w:val="22"/>
          <w:lang w:val="es-MX"/>
        </w:rPr>
        <w:t xml:space="preserve">En aquellos casos donde los mercados financieros no están desarrollados y donde la información financiera de los GSN es fragmentada y deficiente, el enfoque de mercado puede no ser efectivo por sí solo en contener el endeudamiento subnacional (Ter- </w:t>
      </w:r>
      <w:proofErr w:type="spellStart"/>
      <w:r w:rsidRPr="00807393">
        <w:rPr>
          <w:rFonts w:ascii="Arial" w:hAnsi="Arial" w:cs="Arial"/>
          <w:sz w:val="22"/>
          <w:szCs w:val="22"/>
          <w:lang w:val="es-MX"/>
        </w:rPr>
        <w:t>Minassian</w:t>
      </w:r>
      <w:proofErr w:type="spellEnd"/>
      <w:r w:rsidRPr="00807393">
        <w:rPr>
          <w:rFonts w:ascii="Arial" w:hAnsi="Arial" w:cs="Arial"/>
          <w:sz w:val="22"/>
          <w:szCs w:val="22"/>
          <w:lang w:val="es-MX"/>
        </w:rPr>
        <w:t xml:space="preserve"> y Craig, 1997</w:t>
      </w:r>
      <w:r w:rsidR="00B47CEB">
        <w:rPr>
          <w:rFonts w:ascii="Arial" w:hAnsi="Arial" w:cs="Arial"/>
          <w:sz w:val="22"/>
          <w:szCs w:val="22"/>
          <w:lang w:val="es-MX"/>
        </w:rPr>
        <w:t>)</w:t>
      </w:r>
      <w:r w:rsidRPr="00B14014">
        <w:rPr>
          <w:rStyle w:val="FootnoteReference"/>
          <w:rFonts w:ascii="Arial" w:hAnsi="Arial" w:cs="Arial"/>
          <w:spacing w:val="-4"/>
          <w:sz w:val="22"/>
          <w:szCs w:val="22"/>
          <w:lang w:val="es-ES"/>
        </w:rPr>
        <w:footnoteReference w:id="15"/>
      </w:r>
      <w:r w:rsidR="00215781">
        <w:rPr>
          <w:rFonts w:ascii="Arial" w:hAnsi="Arial" w:cs="Arial"/>
          <w:sz w:val="22"/>
          <w:szCs w:val="22"/>
          <w:lang w:val="es-MX"/>
        </w:rPr>
        <w:t>.</w:t>
      </w:r>
    </w:p>
    <w:p w14:paraId="21C02D0F" w14:textId="400FAAF7" w:rsidR="00B14014" w:rsidRPr="002D12D8" w:rsidRDefault="00B14014" w:rsidP="00807393">
      <w:pPr>
        <w:pStyle w:val="ListParagraph"/>
        <w:numPr>
          <w:ilvl w:val="0"/>
          <w:numId w:val="26"/>
        </w:numPr>
        <w:spacing w:before="120" w:after="120"/>
        <w:ind w:left="1080" w:hanging="360"/>
        <w:contextualSpacing w:val="0"/>
        <w:jc w:val="both"/>
        <w:rPr>
          <w:rFonts w:ascii="Arial" w:hAnsi="Arial" w:cs="Arial"/>
          <w:sz w:val="22"/>
          <w:szCs w:val="22"/>
          <w:lang w:val="es-ES"/>
        </w:rPr>
      </w:pPr>
      <w:r w:rsidRPr="00807393">
        <w:rPr>
          <w:rFonts w:ascii="Arial" w:hAnsi="Arial" w:cs="Arial"/>
          <w:sz w:val="22"/>
          <w:szCs w:val="22"/>
          <w:lang w:val="es-MX"/>
        </w:rPr>
        <w:lastRenderedPageBreak/>
        <w:t xml:space="preserve">En contextos donde los </w:t>
      </w:r>
      <w:r w:rsidR="00357D08">
        <w:rPr>
          <w:rFonts w:ascii="Arial" w:hAnsi="Arial" w:cs="Arial"/>
          <w:sz w:val="22"/>
          <w:szCs w:val="22"/>
          <w:lang w:val="es-MX"/>
        </w:rPr>
        <w:t>gobiernos subnacionales (</w:t>
      </w:r>
      <w:r w:rsidRPr="00807393">
        <w:rPr>
          <w:rFonts w:ascii="Arial" w:hAnsi="Arial" w:cs="Arial"/>
          <w:sz w:val="22"/>
          <w:szCs w:val="22"/>
          <w:lang w:val="es-MX"/>
        </w:rPr>
        <w:t>GSN</w:t>
      </w:r>
      <w:r w:rsidR="00357D08">
        <w:rPr>
          <w:rFonts w:ascii="Arial" w:hAnsi="Arial" w:cs="Arial"/>
          <w:sz w:val="22"/>
          <w:szCs w:val="22"/>
          <w:lang w:val="es-MX"/>
        </w:rPr>
        <w:t>)</w:t>
      </w:r>
      <w:r w:rsidRPr="00807393">
        <w:rPr>
          <w:rFonts w:ascii="Arial" w:hAnsi="Arial" w:cs="Arial"/>
          <w:sz w:val="22"/>
          <w:szCs w:val="22"/>
          <w:lang w:val="es-MX"/>
        </w:rPr>
        <w:t xml:space="preserve"> dependen fuertemente de transferencias federales, el enfoque de mercado suele ser menos efectivo, consecuencia de </w:t>
      </w:r>
      <w:r w:rsidRPr="002D12D8">
        <w:rPr>
          <w:rFonts w:ascii="Arial" w:hAnsi="Arial" w:cs="Arial"/>
          <w:sz w:val="22"/>
          <w:szCs w:val="22"/>
          <w:lang w:val="es-MX"/>
        </w:rPr>
        <w:t>la presunción que el GC hará salvatajes de GSN en casos de insolvencia (</w:t>
      </w:r>
      <w:proofErr w:type="spellStart"/>
      <w:r w:rsidRPr="002D12D8">
        <w:rPr>
          <w:rFonts w:ascii="Arial" w:hAnsi="Arial" w:cs="Arial"/>
          <w:sz w:val="22"/>
          <w:szCs w:val="22"/>
          <w:lang w:val="es-MX"/>
        </w:rPr>
        <w:t>Rodden</w:t>
      </w:r>
      <w:proofErr w:type="spellEnd"/>
      <w:r w:rsidRPr="002D12D8">
        <w:rPr>
          <w:rFonts w:ascii="Arial" w:hAnsi="Arial" w:cs="Arial"/>
          <w:sz w:val="22"/>
          <w:szCs w:val="22"/>
          <w:lang w:val="es-MX"/>
        </w:rPr>
        <w:t>, 2002</w:t>
      </w:r>
      <w:r w:rsidR="00B47CEB">
        <w:rPr>
          <w:rFonts w:ascii="Arial" w:hAnsi="Arial" w:cs="Arial"/>
          <w:sz w:val="22"/>
          <w:szCs w:val="22"/>
          <w:lang w:val="es-MX"/>
        </w:rPr>
        <w:t>)</w:t>
      </w:r>
      <w:r w:rsidRPr="002D12D8">
        <w:rPr>
          <w:rStyle w:val="FootnoteReference"/>
          <w:rFonts w:ascii="Arial" w:hAnsi="Arial" w:cs="Arial"/>
          <w:spacing w:val="-4"/>
          <w:sz w:val="22"/>
          <w:szCs w:val="22"/>
          <w:lang w:val="es-ES"/>
        </w:rPr>
        <w:footnoteReference w:id="16"/>
      </w:r>
      <w:r w:rsidR="002D12D8" w:rsidRPr="002D12D8">
        <w:rPr>
          <w:rFonts w:ascii="Arial" w:hAnsi="Arial" w:cs="Arial"/>
          <w:sz w:val="22"/>
          <w:szCs w:val="22"/>
          <w:lang w:val="es-MX"/>
        </w:rPr>
        <w:t>.</w:t>
      </w:r>
    </w:p>
    <w:p w14:paraId="3FDCC273" w14:textId="77777777" w:rsidR="00342FDB" w:rsidRDefault="002D12D8" w:rsidP="002D12D8">
      <w:pPr>
        <w:pStyle w:val="Paragraph"/>
        <w:rPr>
          <w:rFonts w:ascii="Arial" w:hAnsi="Arial" w:cs="Arial"/>
          <w:sz w:val="22"/>
          <w:szCs w:val="22"/>
        </w:rPr>
      </w:pPr>
      <w:r w:rsidRPr="002D12D8">
        <w:rPr>
          <w:rFonts w:ascii="Arial" w:hAnsi="Arial" w:cs="Arial"/>
          <w:sz w:val="22"/>
          <w:szCs w:val="22"/>
        </w:rPr>
        <w:t xml:space="preserve">En lo que respecta al estado de las finanzas públicas de los </w:t>
      </w:r>
      <w:proofErr w:type="spellStart"/>
      <w:r w:rsidR="006713B0">
        <w:rPr>
          <w:rFonts w:ascii="Arial" w:hAnsi="Arial" w:cs="Arial"/>
          <w:sz w:val="22"/>
          <w:szCs w:val="22"/>
        </w:rPr>
        <w:t>EyM</w:t>
      </w:r>
      <w:proofErr w:type="spellEnd"/>
      <w:r w:rsidRPr="002D12D8">
        <w:rPr>
          <w:rFonts w:ascii="Arial" w:hAnsi="Arial" w:cs="Arial"/>
          <w:sz w:val="22"/>
          <w:szCs w:val="22"/>
        </w:rPr>
        <w:t xml:space="preserve"> en </w:t>
      </w:r>
      <w:r w:rsidR="00114C2E" w:rsidRPr="002D12D8">
        <w:rPr>
          <w:rFonts w:ascii="Arial" w:hAnsi="Arial" w:cs="Arial"/>
          <w:sz w:val="22"/>
          <w:szCs w:val="22"/>
        </w:rPr>
        <w:t xml:space="preserve">México, </w:t>
      </w:r>
      <w:r w:rsidRPr="002D12D8">
        <w:rPr>
          <w:rFonts w:ascii="Arial" w:hAnsi="Arial" w:cs="Arial"/>
          <w:sz w:val="22"/>
          <w:szCs w:val="22"/>
        </w:rPr>
        <w:t>e</w:t>
      </w:r>
      <w:r w:rsidR="007C1307" w:rsidRPr="002D12D8">
        <w:rPr>
          <w:rFonts w:ascii="Arial" w:hAnsi="Arial" w:cs="Arial"/>
          <w:sz w:val="22"/>
          <w:szCs w:val="22"/>
        </w:rPr>
        <w:t xml:space="preserve">xisten diversos </w:t>
      </w:r>
      <w:r w:rsidRPr="002D12D8">
        <w:rPr>
          <w:rFonts w:ascii="Arial" w:hAnsi="Arial" w:cs="Arial"/>
          <w:sz w:val="22"/>
          <w:szCs w:val="22"/>
        </w:rPr>
        <w:t xml:space="preserve">estudios y documentos </w:t>
      </w:r>
      <w:r w:rsidR="007C1307" w:rsidRPr="002D12D8">
        <w:rPr>
          <w:rFonts w:ascii="Arial" w:hAnsi="Arial" w:cs="Arial"/>
          <w:sz w:val="22"/>
          <w:szCs w:val="22"/>
        </w:rPr>
        <w:t xml:space="preserve">que dan cuenta de la situación </w:t>
      </w:r>
      <w:r w:rsidR="00CE455C" w:rsidRPr="002D12D8">
        <w:rPr>
          <w:rFonts w:ascii="Arial" w:hAnsi="Arial" w:cs="Arial"/>
          <w:sz w:val="22"/>
          <w:szCs w:val="22"/>
        </w:rPr>
        <w:t xml:space="preserve">de la gestión hacendaria en </w:t>
      </w:r>
      <w:r w:rsidR="006713B0">
        <w:rPr>
          <w:rFonts w:ascii="Arial" w:hAnsi="Arial" w:cs="Arial"/>
          <w:sz w:val="22"/>
          <w:szCs w:val="22"/>
        </w:rPr>
        <w:t>los mismos</w:t>
      </w:r>
      <w:r w:rsidR="007C1307" w:rsidRPr="002D12D8">
        <w:rPr>
          <w:rFonts w:ascii="Arial" w:hAnsi="Arial" w:cs="Arial"/>
          <w:sz w:val="22"/>
          <w:szCs w:val="22"/>
        </w:rPr>
        <w:t xml:space="preserve">. La propia </w:t>
      </w:r>
      <w:r w:rsidR="00CE455C" w:rsidRPr="002D12D8">
        <w:rPr>
          <w:rFonts w:ascii="Arial" w:hAnsi="Arial" w:cs="Arial"/>
          <w:sz w:val="22"/>
          <w:szCs w:val="22"/>
        </w:rPr>
        <w:t xml:space="preserve">SHCP </w:t>
      </w:r>
      <w:r w:rsidR="007C1307" w:rsidRPr="002D12D8">
        <w:rPr>
          <w:rFonts w:ascii="Arial" w:hAnsi="Arial" w:cs="Arial"/>
          <w:sz w:val="22"/>
          <w:szCs w:val="22"/>
        </w:rPr>
        <w:t>publica periódicamente los principales indicadores de</w:t>
      </w:r>
      <w:r w:rsidR="00CE455C" w:rsidRPr="002D12D8">
        <w:rPr>
          <w:rFonts w:ascii="Arial" w:hAnsi="Arial" w:cs="Arial"/>
          <w:sz w:val="22"/>
          <w:szCs w:val="22"/>
        </w:rPr>
        <w:t xml:space="preserve"> deuda de los estados</w:t>
      </w:r>
      <w:r w:rsidR="006713B0">
        <w:rPr>
          <w:rFonts w:ascii="Arial" w:hAnsi="Arial" w:cs="Arial"/>
          <w:sz w:val="22"/>
          <w:szCs w:val="22"/>
        </w:rPr>
        <w:t>,</w:t>
      </w:r>
      <w:r w:rsidR="00916022" w:rsidRPr="002D12D8">
        <w:rPr>
          <w:rFonts w:ascii="Arial" w:hAnsi="Arial" w:cs="Arial"/>
          <w:sz w:val="22"/>
          <w:szCs w:val="22"/>
        </w:rPr>
        <w:t xml:space="preserve"> municipios</w:t>
      </w:r>
      <w:r w:rsidR="006713B0">
        <w:rPr>
          <w:rFonts w:ascii="Arial" w:hAnsi="Arial" w:cs="Arial"/>
          <w:sz w:val="22"/>
          <w:szCs w:val="22"/>
        </w:rPr>
        <w:t xml:space="preserve"> y sus EP</w:t>
      </w:r>
      <w:r w:rsidR="00916022" w:rsidRPr="002D12D8">
        <w:rPr>
          <w:rFonts w:ascii="Arial" w:hAnsi="Arial" w:cs="Arial"/>
          <w:sz w:val="22"/>
          <w:szCs w:val="22"/>
        </w:rPr>
        <w:t>. Los propios estados</w:t>
      </w:r>
      <w:r w:rsidR="00CE455C" w:rsidRPr="002D12D8">
        <w:rPr>
          <w:rFonts w:ascii="Arial" w:hAnsi="Arial" w:cs="Arial"/>
          <w:sz w:val="22"/>
          <w:szCs w:val="22"/>
        </w:rPr>
        <w:t xml:space="preserve"> y los principales municipios también publican</w:t>
      </w:r>
      <w:r w:rsidR="007C1307" w:rsidRPr="002D12D8">
        <w:rPr>
          <w:rFonts w:ascii="Arial" w:hAnsi="Arial" w:cs="Arial"/>
          <w:sz w:val="22"/>
          <w:szCs w:val="22"/>
        </w:rPr>
        <w:t xml:space="preserve"> </w:t>
      </w:r>
      <w:r w:rsidR="00CE455C" w:rsidRPr="002D12D8">
        <w:rPr>
          <w:rFonts w:ascii="Arial" w:hAnsi="Arial" w:cs="Arial"/>
          <w:sz w:val="22"/>
          <w:szCs w:val="22"/>
        </w:rPr>
        <w:t xml:space="preserve">periódicamente </w:t>
      </w:r>
      <w:r w:rsidR="006713B0">
        <w:rPr>
          <w:rFonts w:ascii="Arial" w:hAnsi="Arial" w:cs="Arial"/>
          <w:sz w:val="22"/>
          <w:szCs w:val="22"/>
        </w:rPr>
        <w:t xml:space="preserve">informes sobre </w:t>
      </w:r>
      <w:r w:rsidR="00CE455C" w:rsidRPr="002D12D8">
        <w:rPr>
          <w:rFonts w:ascii="Arial" w:hAnsi="Arial" w:cs="Arial"/>
          <w:sz w:val="22"/>
          <w:szCs w:val="22"/>
        </w:rPr>
        <w:t xml:space="preserve">la </w:t>
      </w:r>
      <w:r w:rsidR="007C1307" w:rsidRPr="002D12D8">
        <w:rPr>
          <w:rFonts w:ascii="Arial" w:hAnsi="Arial" w:cs="Arial"/>
          <w:sz w:val="22"/>
          <w:szCs w:val="22"/>
        </w:rPr>
        <w:t xml:space="preserve">situación </w:t>
      </w:r>
      <w:r w:rsidR="00CE455C" w:rsidRPr="002D12D8">
        <w:rPr>
          <w:rFonts w:ascii="Arial" w:hAnsi="Arial" w:cs="Arial"/>
          <w:sz w:val="22"/>
          <w:szCs w:val="22"/>
        </w:rPr>
        <w:t xml:space="preserve">de sus finanzas, en </w:t>
      </w:r>
      <w:r w:rsidR="00916022" w:rsidRPr="002D12D8">
        <w:rPr>
          <w:rFonts w:ascii="Arial" w:hAnsi="Arial" w:cs="Arial"/>
          <w:sz w:val="22"/>
          <w:szCs w:val="22"/>
        </w:rPr>
        <w:t>término</w:t>
      </w:r>
      <w:r w:rsidR="00CE455C" w:rsidRPr="002D12D8">
        <w:rPr>
          <w:rFonts w:ascii="Arial" w:hAnsi="Arial" w:cs="Arial"/>
          <w:sz w:val="22"/>
          <w:szCs w:val="22"/>
        </w:rPr>
        <w:t xml:space="preserve"> de </w:t>
      </w:r>
      <w:r w:rsidR="007C1307" w:rsidRPr="002D12D8">
        <w:rPr>
          <w:rFonts w:ascii="Arial" w:hAnsi="Arial" w:cs="Arial"/>
          <w:sz w:val="22"/>
          <w:szCs w:val="22"/>
        </w:rPr>
        <w:t xml:space="preserve">déficits presupuestarios incurridos, así como los niveles de recaudación fiscal, gasto público, inversión pública y pagos de intereses. En </w:t>
      </w:r>
      <w:r w:rsidR="007C1307" w:rsidRPr="00057617">
        <w:rPr>
          <w:rFonts w:ascii="Arial" w:hAnsi="Arial" w:cs="Arial"/>
          <w:sz w:val="22"/>
          <w:szCs w:val="22"/>
        </w:rPr>
        <w:t xml:space="preserve">el </w:t>
      </w:r>
      <w:r w:rsidR="004A22E0" w:rsidRPr="00057617">
        <w:rPr>
          <w:rFonts w:ascii="Arial" w:hAnsi="Arial" w:cs="Arial"/>
          <w:sz w:val="22"/>
          <w:szCs w:val="22"/>
        </w:rPr>
        <w:t xml:space="preserve">Enlace </w:t>
      </w:r>
      <w:r w:rsidR="00187BA5" w:rsidRPr="00057617">
        <w:rPr>
          <w:rFonts w:ascii="Arial" w:hAnsi="Arial" w:cs="Arial"/>
          <w:sz w:val="22"/>
          <w:szCs w:val="22"/>
        </w:rPr>
        <w:t>Electrónico</w:t>
      </w:r>
      <w:r w:rsidR="004A22E0" w:rsidRPr="00057617">
        <w:rPr>
          <w:rFonts w:ascii="Arial" w:hAnsi="Arial" w:cs="Arial"/>
          <w:sz w:val="22"/>
          <w:szCs w:val="22"/>
        </w:rPr>
        <w:t xml:space="preserve"> </w:t>
      </w:r>
      <w:r w:rsidR="00187BA5" w:rsidRPr="00057617">
        <w:rPr>
          <w:rFonts w:ascii="Arial" w:hAnsi="Arial" w:cs="Arial"/>
          <w:sz w:val="22"/>
          <w:szCs w:val="22"/>
        </w:rPr>
        <w:t>Opcional</w:t>
      </w:r>
      <w:r w:rsidR="004A22E0" w:rsidRPr="00057617">
        <w:rPr>
          <w:rFonts w:ascii="Arial" w:hAnsi="Arial" w:cs="Arial"/>
          <w:sz w:val="22"/>
          <w:szCs w:val="22"/>
        </w:rPr>
        <w:t xml:space="preserve"> </w:t>
      </w:r>
      <w:r w:rsidR="00840F9F" w:rsidRPr="00057617">
        <w:rPr>
          <w:rFonts w:ascii="Arial" w:hAnsi="Arial" w:cs="Arial"/>
          <w:sz w:val="22"/>
          <w:szCs w:val="22"/>
        </w:rPr>
        <w:t>2</w:t>
      </w:r>
      <w:r w:rsidR="007C1307" w:rsidRPr="00057617">
        <w:rPr>
          <w:rFonts w:ascii="Arial" w:hAnsi="Arial" w:cs="Arial"/>
          <w:sz w:val="22"/>
          <w:szCs w:val="22"/>
        </w:rPr>
        <w:t xml:space="preserve"> de</w:t>
      </w:r>
      <w:r w:rsidR="00CE455C" w:rsidRPr="00057617">
        <w:rPr>
          <w:rFonts w:ascii="Arial" w:hAnsi="Arial" w:cs="Arial"/>
          <w:sz w:val="22"/>
          <w:szCs w:val="22"/>
        </w:rPr>
        <w:t>l</w:t>
      </w:r>
      <w:r w:rsidR="00CE455C" w:rsidRPr="002D12D8">
        <w:rPr>
          <w:rFonts w:ascii="Arial" w:hAnsi="Arial" w:cs="Arial"/>
          <w:sz w:val="22"/>
          <w:szCs w:val="22"/>
        </w:rPr>
        <w:t xml:space="preserve"> </w:t>
      </w:r>
      <w:r w:rsidR="00916022" w:rsidRPr="002D12D8">
        <w:rPr>
          <w:rFonts w:ascii="Arial" w:hAnsi="Arial" w:cs="Arial"/>
          <w:sz w:val="22"/>
          <w:szCs w:val="22"/>
        </w:rPr>
        <w:t>POD</w:t>
      </w:r>
      <w:r w:rsidR="007C1307" w:rsidRPr="002D12D8">
        <w:rPr>
          <w:rFonts w:ascii="Arial" w:hAnsi="Arial" w:cs="Arial"/>
          <w:sz w:val="22"/>
          <w:szCs w:val="22"/>
        </w:rPr>
        <w:t xml:space="preserve"> se detallan los trabajos sectoriales realizados de manera previa y que han servido de insumo para la preparación de esta operación</w:t>
      </w:r>
      <w:r w:rsidR="00E523EA">
        <w:rPr>
          <w:rFonts w:ascii="Arial" w:hAnsi="Arial" w:cs="Arial"/>
          <w:sz w:val="22"/>
          <w:szCs w:val="22"/>
        </w:rPr>
        <w:t>.</w:t>
      </w:r>
      <w:r w:rsidR="00916022" w:rsidRPr="002D12D8">
        <w:rPr>
          <w:rFonts w:ascii="Arial" w:hAnsi="Arial" w:cs="Arial"/>
          <w:sz w:val="22"/>
          <w:szCs w:val="22"/>
        </w:rPr>
        <w:t xml:space="preserve"> </w:t>
      </w:r>
      <w:r w:rsidR="00E523EA">
        <w:rPr>
          <w:rFonts w:ascii="Arial" w:hAnsi="Arial" w:cs="Arial"/>
          <w:sz w:val="22"/>
          <w:szCs w:val="22"/>
        </w:rPr>
        <w:t>E</w:t>
      </w:r>
      <w:r w:rsidR="00916022" w:rsidRPr="002D12D8">
        <w:rPr>
          <w:rFonts w:ascii="Arial" w:hAnsi="Arial" w:cs="Arial"/>
          <w:sz w:val="22"/>
          <w:szCs w:val="22"/>
        </w:rPr>
        <w:t xml:space="preserve">n la sección de antecedentes, problemática y justificación del POD </w:t>
      </w:r>
      <w:r w:rsidR="00E918F7">
        <w:rPr>
          <w:rFonts w:ascii="Arial" w:hAnsi="Arial" w:cs="Arial"/>
          <w:sz w:val="22"/>
          <w:szCs w:val="22"/>
        </w:rPr>
        <w:t xml:space="preserve">de la primera operación </w:t>
      </w:r>
      <w:r w:rsidR="00916022" w:rsidRPr="002D12D8">
        <w:rPr>
          <w:rFonts w:ascii="Arial" w:hAnsi="Arial" w:cs="Arial"/>
          <w:sz w:val="22"/>
          <w:szCs w:val="22"/>
        </w:rPr>
        <w:t>se presenta un resumen del diagnóstico de la situación de las finanzas públicas en los estados y municipios mexicanos</w:t>
      </w:r>
      <w:r w:rsidR="003638B8">
        <w:rPr>
          <w:rFonts w:ascii="Arial" w:hAnsi="Arial" w:cs="Arial"/>
          <w:sz w:val="22"/>
          <w:szCs w:val="22"/>
        </w:rPr>
        <w:t xml:space="preserve"> al momento de comenzar con la serie programática</w:t>
      </w:r>
      <w:r w:rsidR="00916022" w:rsidRPr="002D12D8">
        <w:rPr>
          <w:rFonts w:ascii="Arial" w:hAnsi="Arial" w:cs="Arial"/>
          <w:sz w:val="22"/>
          <w:szCs w:val="22"/>
        </w:rPr>
        <w:t>.</w:t>
      </w:r>
    </w:p>
    <w:p w14:paraId="6CC90D03" w14:textId="131C95D7" w:rsidR="007C1307" w:rsidRPr="002D12D8" w:rsidRDefault="00342FDB" w:rsidP="002D12D8">
      <w:pPr>
        <w:pStyle w:val="Paragraph"/>
        <w:rPr>
          <w:rFonts w:ascii="Arial" w:hAnsi="Arial" w:cs="Arial"/>
          <w:sz w:val="22"/>
          <w:szCs w:val="22"/>
        </w:rPr>
      </w:pPr>
      <w:r>
        <w:rPr>
          <w:rFonts w:ascii="Arial" w:hAnsi="Arial" w:cs="Arial"/>
          <w:sz w:val="22"/>
          <w:szCs w:val="22"/>
        </w:rPr>
        <w:t xml:space="preserve">Adicionalmente, existe amplia evidencia en la literatura económica sobre la efectividad de las principales medidas incluidas en la serie programática. </w:t>
      </w:r>
      <w:r w:rsidRPr="000204F7">
        <w:rPr>
          <w:rFonts w:ascii="Arial" w:hAnsi="Arial" w:cs="Arial"/>
          <w:sz w:val="22"/>
          <w:szCs w:val="22"/>
          <w:lang w:val="es-AR"/>
        </w:rPr>
        <w:t xml:space="preserve">En Estados Unidos, </w:t>
      </w:r>
      <w:proofErr w:type="spellStart"/>
      <w:r w:rsidRPr="000204F7">
        <w:rPr>
          <w:rFonts w:ascii="Arial" w:hAnsi="Arial" w:cs="Arial"/>
          <w:sz w:val="22"/>
          <w:szCs w:val="22"/>
          <w:lang w:val="es-AR"/>
        </w:rPr>
        <w:t>Poterba</w:t>
      </w:r>
      <w:proofErr w:type="spellEnd"/>
      <w:r w:rsidRPr="000204F7">
        <w:rPr>
          <w:rFonts w:ascii="Arial" w:hAnsi="Arial" w:cs="Arial"/>
          <w:sz w:val="22"/>
          <w:szCs w:val="22"/>
          <w:lang w:val="es-AR"/>
        </w:rPr>
        <w:t xml:space="preserve"> (1994</w:t>
      </w:r>
      <w:r>
        <w:rPr>
          <w:rFonts w:ascii="Arial" w:hAnsi="Arial" w:cs="Arial"/>
          <w:sz w:val="22"/>
          <w:szCs w:val="22"/>
          <w:lang w:val="es-AR"/>
        </w:rPr>
        <w:t>)</w:t>
      </w:r>
      <w:r w:rsidRPr="0080138D">
        <w:rPr>
          <w:rStyle w:val="FootnoteReference"/>
          <w:rFonts w:ascii="Arial" w:hAnsi="Arial" w:cs="Arial"/>
          <w:spacing w:val="-4"/>
          <w:sz w:val="22"/>
          <w:szCs w:val="22"/>
        </w:rPr>
        <w:footnoteReference w:id="17"/>
      </w:r>
      <w:r w:rsidRPr="000204F7">
        <w:rPr>
          <w:rFonts w:ascii="Arial" w:hAnsi="Arial" w:cs="Arial"/>
          <w:sz w:val="22"/>
          <w:szCs w:val="22"/>
          <w:lang w:val="es-AR"/>
        </w:rPr>
        <w:t xml:space="preserve"> encuentra evidencia que </w:t>
      </w:r>
      <w:r>
        <w:rPr>
          <w:rFonts w:ascii="Arial" w:hAnsi="Arial" w:cs="Arial"/>
          <w:sz w:val="22"/>
          <w:szCs w:val="22"/>
          <w:lang w:val="es-AR"/>
        </w:rPr>
        <w:t xml:space="preserve">los </w:t>
      </w:r>
      <w:r w:rsidRPr="000204F7">
        <w:rPr>
          <w:rFonts w:ascii="Arial" w:hAnsi="Arial" w:cs="Arial"/>
          <w:sz w:val="22"/>
          <w:szCs w:val="22"/>
          <w:lang w:val="es-AR"/>
        </w:rPr>
        <w:t>estados con reglas fiscales más fuertes presentan mayores balances fiscales. En Brasil e India,</w:t>
      </w:r>
      <w:r>
        <w:rPr>
          <w:rFonts w:ascii="Arial" w:hAnsi="Arial" w:cs="Arial"/>
          <w:sz w:val="22"/>
          <w:szCs w:val="22"/>
          <w:lang w:val="es-AR"/>
        </w:rPr>
        <w:t xml:space="preserve"> países </w:t>
      </w:r>
      <w:r w:rsidRPr="000204F7">
        <w:rPr>
          <w:rFonts w:ascii="Arial" w:hAnsi="Arial" w:cs="Arial"/>
          <w:sz w:val="22"/>
          <w:szCs w:val="22"/>
          <w:lang w:val="es-AR"/>
        </w:rPr>
        <w:t>donde existe un importante control del G</w:t>
      </w:r>
      <w:r>
        <w:rPr>
          <w:rFonts w:ascii="Arial" w:hAnsi="Arial" w:cs="Arial"/>
          <w:sz w:val="22"/>
          <w:szCs w:val="22"/>
          <w:lang w:val="es-AR"/>
        </w:rPr>
        <w:t>F al igual que en México</w:t>
      </w:r>
      <w:r w:rsidRPr="000204F7">
        <w:rPr>
          <w:rFonts w:ascii="Arial" w:hAnsi="Arial" w:cs="Arial"/>
          <w:sz w:val="22"/>
          <w:szCs w:val="22"/>
          <w:lang w:val="es-AR"/>
        </w:rPr>
        <w:t>, Martell (2008</w:t>
      </w:r>
      <w:r>
        <w:rPr>
          <w:rFonts w:ascii="Arial" w:hAnsi="Arial" w:cs="Arial"/>
          <w:sz w:val="22"/>
          <w:szCs w:val="22"/>
          <w:lang w:val="es-AR"/>
        </w:rPr>
        <w:t>)</w:t>
      </w:r>
      <w:r w:rsidRPr="0080138D">
        <w:rPr>
          <w:rStyle w:val="FootnoteReference"/>
          <w:rFonts w:ascii="Arial" w:hAnsi="Arial" w:cs="Arial"/>
          <w:spacing w:val="-4"/>
          <w:sz w:val="22"/>
          <w:szCs w:val="22"/>
        </w:rPr>
        <w:footnoteReference w:id="18"/>
      </w:r>
      <w:r w:rsidRPr="000204F7">
        <w:rPr>
          <w:rFonts w:ascii="Arial" w:hAnsi="Arial" w:cs="Arial"/>
          <w:sz w:val="22"/>
          <w:szCs w:val="22"/>
          <w:lang w:val="es-AR"/>
        </w:rPr>
        <w:t xml:space="preserve"> y </w:t>
      </w:r>
      <w:proofErr w:type="spellStart"/>
      <w:r w:rsidRPr="000204F7">
        <w:rPr>
          <w:rFonts w:ascii="Arial" w:hAnsi="Arial" w:cs="Arial"/>
          <w:sz w:val="22"/>
          <w:szCs w:val="22"/>
          <w:lang w:val="es-AR"/>
        </w:rPr>
        <w:t>Kishore</w:t>
      </w:r>
      <w:proofErr w:type="spellEnd"/>
      <w:r w:rsidRPr="000204F7">
        <w:rPr>
          <w:rFonts w:ascii="Arial" w:hAnsi="Arial" w:cs="Arial"/>
          <w:sz w:val="22"/>
          <w:szCs w:val="22"/>
          <w:lang w:val="es-AR"/>
        </w:rPr>
        <w:t xml:space="preserve"> y </w:t>
      </w:r>
      <w:proofErr w:type="spellStart"/>
      <w:r w:rsidRPr="000204F7">
        <w:rPr>
          <w:rFonts w:ascii="Arial" w:hAnsi="Arial" w:cs="Arial"/>
          <w:sz w:val="22"/>
          <w:szCs w:val="22"/>
          <w:lang w:val="es-AR"/>
        </w:rPr>
        <w:t>Prasad</w:t>
      </w:r>
      <w:proofErr w:type="spellEnd"/>
      <w:r w:rsidRPr="000204F7">
        <w:rPr>
          <w:rFonts w:ascii="Arial" w:hAnsi="Arial" w:cs="Arial"/>
          <w:sz w:val="22"/>
          <w:szCs w:val="22"/>
          <w:lang w:val="es-AR"/>
        </w:rPr>
        <w:t xml:space="preserve"> (2007</w:t>
      </w:r>
      <w:r>
        <w:rPr>
          <w:rFonts w:ascii="Arial" w:hAnsi="Arial" w:cs="Arial"/>
          <w:sz w:val="22"/>
          <w:szCs w:val="22"/>
          <w:lang w:val="es-AR"/>
        </w:rPr>
        <w:t>)</w:t>
      </w:r>
      <w:r w:rsidRPr="0080138D">
        <w:rPr>
          <w:rStyle w:val="FootnoteReference"/>
          <w:rFonts w:ascii="Arial" w:hAnsi="Arial" w:cs="Arial"/>
          <w:spacing w:val="-4"/>
          <w:sz w:val="22"/>
          <w:szCs w:val="22"/>
        </w:rPr>
        <w:footnoteReference w:id="19"/>
      </w:r>
      <w:r w:rsidRPr="000204F7">
        <w:rPr>
          <w:rFonts w:ascii="Arial" w:hAnsi="Arial" w:cs="Arial"/>
          <w:sz w:val="22"/>
          <w:szCs w:val="22"/>
          <w:lang w:val="es-AR"/>
        </w:rPr>
        <w:t xml:space="preserve"> respectivamente, encuentran que las restricciones impuestas en los arreglos</w:t>
      </w:r>
      <w:r>
        <w:rPr>
          <w:rFonts w:ascii="Arial" w:hAnsi="Arial" w:cs="Arial"/>
          <w:sz w:val="22"/>
          <w:szCs w:val="22"/>
          <w:lang w:val="es-AR"/>
        </w:rPr>
        <w:t xml:space="preserve"> de coordinación </w:t>
      </w:r>
      <w:r w:rsidRPr="000204F7">
        <w:rPr>
          <w:rFonts w:ascii="Arial" w:hAnsi="Arial" w:cs="Arial"/>
          <w:sz w:val="22"/>
          <w:szCs w:val="22"/>
          <w:lang w:val="es-AR"/>
        </w:rPr>
        <w:t xml:space="preserve">fueron efectivas </w:t>
      </w:r>
      <w:r>
        <w:rPr>
          <w:rFonts w:ascii="Arial" w:hAnsi="Arial" w:cs="Arial"/>
          <w:sz w:val="22"/>
          <w:szCs w:val="22"/>
          <w:lang w:val="es-AR"/>
        </w:rPr>
        <w:t>al</w:t>
      </w:r>
      <w:r w:rsidRPr="000204F7">
        <w:rPr>
          <w:rFonts w:ascii="Arial" w:hAnsi="Arial" w:cs="Arial"/>
          <w:sz w:val="22"/>
          <w:szCs w:val="22"/>
          <w:lang w:val="es-AR"/>
        </w:rPr>
        <w:t xml:space="preserve"> </w:t>
      </w:r>
      <w:r>
        <w:rPr>
          <w:rFonts w:ascii="Arial" w:hAnsi="Arial" w:cs="Arial"/>
          <w:sz w:val="22"/>
          <w:szCs w:val="22"/>
          <w:lang w:val="es-AR"/>
        </w:rPr>
        <w:t>incrementar</w:t>
      </w:r>
      <w:r w:rsidRPr="000204F7">
        <w:rPr>
          <w:rFonts w:ascii="Arial" w:hAnsi="Arial" w:cs="Arial"/>
          <w:sz w:val="22"/>
          <w:szCs w:val="22"/>
          <w:lang w:val="es-AR"/>
        </w:rPr>
        <w:t xml:space="preserve"> la disciplina fiscal. En España, </w:t>
      </w:r>
      <w:proofErr w:type="spellStart"/>
      <w:r w:rsidRPr="000204F7">
        <w:rPr>
          <w:rFonts w:ascii="Arial" w:hAnsi="Arial" w:cs="Arial"/>
          <w:color w:val="000000"/>
          <w:sz w:val="22"/>
          <w:szCs w:val="22"/>
          <w:lang w:val="es-AR"/>
        </w:rPr>
        <w:t>Cabasés</w:t>
      </w:r>
      <w:proofErr w:type="spellEnd"/>
      <w:r w:rsidRPr="000204F7">
        <w:rPr>
          <w:rFonts w:ascii="Arial" w:hAnsi="Arial" w:cs="Arial"/>
          <w:color w:val="000000"/>
          <w:sz w:val="22"/>
          <w:szCs w:val="22"/>
          <w:lang w:val="es-AR"/>
        </w:rPr>
        <w:t>, Pascual y Vallés (2007</w:t>
      </w:r>
      <w:r>
        <w:rPr>
          <w:rFonts w:ascii="Arial" w:hAnsi="Arial" w:cs="Arial"/>
          <w:color w:val="000000"/>
          <w:sz w:val="22"/>
          <w:szCs w:val="22"/>
          <w:lang w:val="es-AR"/>
        </w:rPr>
        <w:t>)</w:t>
      </w:r>
      <w:r w:rsidRPr="0080138D">
        <w:rPr>
          <w:rStyle w:val="FootnoteReference"/>
          <w:rFonts w:ascii="Arial" w:hAnsi="Arial" w:cs="Arial"/>
          <w:spacing w:val="-4"/>
          <w:sz w:val="22"/>
          <w:szCs w:val="22"/>
        </w:rPr>
        <w:footnoteReference w:id="20"/>
      </w:r>
      <w:r w:rsidRPr="000204F7">
        <w:rPr>
          <w:rFonts w:ascii="Arial" w:hAnsi="Arial" w:cs="Arial"/>
          <w:color w:val="000000"/>
          <w:sz w:val="22"/>
          <w:szCs w:val="22"/>
          <w:lang w:val="es-AR"/>
        </w:rPr>
        <w:t xml:space="preserve"> encuentran que las restricciones institucionales al endeudamiento </w:t>
      </w:r>
      <w:r>
        <w:rPr>
          <w:rFonts w:ascii="Arial" w:hAnsi="Arial" w:cs="Arial"/>
          <w:color w:val="000000"/>
          <w:sz w:val="22"/>
          <w:szCs w:val="22"/>
          <w:lang w:val="es-AR"/>
        </w:rPr>
        <w:t>incrementaron</w:t>
      </w:r>
      <w:r w:rsidRPr="000204F7">
        <w:rPr>
          <w:rFonts w:ascii="Arial" w:hAnsi="Arial" w:cs="Arial"/>
          <w:color w:val="000000"/>
          <w:sz w:val="22"/>
          <w:szCs w:val="22"/>
          <w:lang w:val="es-AR"/>
        </w:rPr>
        <w:t xml:space="preserve"> </w:t>
      </w:r>
      <w:r>
        <w:rPr>
          <w:rFonts w:ascii="Arial" w:hAnsi="Arial" w:cs="Arial"/>
          <w:color w:val="000000"/>
          <w:sz w:val="22"/>
          <w:szCs w:val="22"/>
          <w:lang w:val="es-AR"/>
        </w:rPr>
        <w:t xml:space="preserve">la </w:t>
      </w:r>
      <w:r w:rsidRPr="000204F7">
        <w:rPr>
          <w:rFonts w:ascii="Arial" w:hAnsi="Arial" w:cs="Arial"/>
          <w:color w:val="000000"/>
          <w:sz w:val="22"/>
          <w:szCs w:val="22"/>
          <w:lang w:val="es-AR"/>
        </w:rPr>
        <w:t>disciplina financiera en las políticas de endeudamiento adoptadas por los gobiernos locales.</w:t>
      </w:r>
      <w:r>
        <w:rPr>
          <w:rFonts w:ascii="Arial" w:hAnsi="Arial" w:cs="Arial"/>
          <w:sz w:val="22"/>
          <w:szCs w:val="22"/>
        </w:rPr>
        <w:t xml:space="preserve"> </w:t>
      </w:r>
      <w:r>
        <w:rPr>
          <w:rFonts w:ascii="Arial" w:hAnsi="Arial" w:cs="Arial"/>
          <w:color w:val="000000"/>
          <w:sz w:val="22"/>
          <w:szCs w:val="22"/>
          <w:lang w:val="es-AR"/>
        </w:rPr>
        <w:t>En Colombia, Chamorro Narváez y Urrea Bermúdez (2016)</w:t>
      </w:r>
      <w:r w:rsidRPr="0080138D">
        <w:rPr>
          <w:rStyle w:val="FootnoteReference"/>
          <w:rFonts w:ascii="Arial" w:hAnsi="Arial" w:cs="Arial"/>
          <w:spacing w:val="-4"/>
          <w:sz w:val="22"/>
          <w:szCs w:val="22"/>
        </w:rPr>
        <w:footnoteReference w:id="21"/>
      </w:r>
      <w:r>
        <w:rPr>
          <w:rFonts w:ascii="Arial" w:hAnsi="Arial" w:cs="Arial"/>
          <w:color w:val="000000"/>
          <w:sz w:val="22"/>
          <w:szCs w:val="22"/>
          <w:lang w:val="es-AR"/>
        </w:rPr>
        <w:t xml:space="preserve"> encuentran que la implementación de un sistema de alertas y el control del endeudamiento fortaleció la sostenibilidad fiscal de las entidades territoriales.</w:t>
      </w:r>
      <w:r>
        <w:rPr>
          <w:rFonts w:ascii="Arial" w:hAnsi="Arial" w:cs="Arial"/>
          <w:sz w:val="22"/>
          <w:szCs w:val="22"/>
        </w:rPr>
        <w:t xml:space="preserve"> En México, el aval del GF ha sido muy efectivo en reducir el costo de financiamiento de la Ciudad de México</w:t>
      </w:r>
      <w:r w:rsidRPr="0080138D">
        <w:rPr>
          <w:rStyle w:val="FootnoteReference"/>
          <w:rFonts w:ascii="Arial" w:hAnsi="Arial" w:cs="Arial"/>
          <w:spacing w:val="-4"/>
          <w:sz w:val="22"/>
          <w:szCs w:val="22"/>
        </w:rPr>
        <w:footnoteReference w:id="22"/>
      </w:r>
      <w:r>
        <w:rPr>
          <w:rFonts w:ascii="Arial" w:hAnsi="Arial" w:cs="Arial"/>
          <w:sz w:val="22"/>
          <w:szCs w:val="22"/>
        </w:rPr>
        <w:t>. También hay experiencias exitosas de coordinación del GF y un estado, en el marco de procesos de consolidación fiscal. Tal fue el caso, por ejemplo, del Estado de México en 2009, donde la deuda se redujo en más de un 25% de las participaciones entre dicho año y el tercer trimestre de 2016.</w:t>
      </w:r>
      <w:r w:rsidR="00916022" w:rsidRPr="002D12D8">
        <w:rPr>
          <w:rFonts w:ascii="Arial" w:hAnsi="Arial" w:cs="Arial"/>
          <w:sz w:val="22"/>
          <w:szCs w:val="22"/>
        </w:rPr>
        <w:t xml:space="preserve"> </w:t>
      </w:r>
    </w:p>
    <w:p w14:paraId="6CC90D25" w14:textId="29D7ECAA" w:rsidR="007C1307" w:rsidRPr="00CB2FC2" w:rsidRDefault="00C51FBF" w:rsidP="00EB2886">
      <w:pPr>
        <w:pStyle w:val="FirstHeading"/>
        <w:spacing w:before="360"/>
        <w:rPr>
          <w:rFonts w:ascii="Arial" w:hAnsi="Arial" w:cs="Arial"/>
          <w:noProof/>
          <w:sz w:val="22"/>
          <w:szCs w:val="22"/>
        </w:rPr>
      </w:pPr>
      <w:bookmarkStart w:id="10" w:name="_Toc468199042"/>
      <w:r>
        <w:rPr>
          <w:rFonts w:ascii="Arial" w:hAnsi="Arial" w:cs="Arial"/>
          <w:sz w:val="22"/>
          <w:szCs w:val="22"/>
        </w:rPr>
        <w:lastRenderedPageBreak/>
        <w:t>C</w:t>
      </w:r>
      <w:r w:rsidR="007C1307" w:rsidRPr="00EB0154">
        <w:rPr>
          <w:rFonts w:ascii="Arial" w:hAnsi="Arial" w:cs="Arial"/>
          <w:sz w:val="22"/>
          <w:szCs w:val="22"/>
        </w:rPr>
        <w:t>.</w:t>
      </w:r>
      <w:r w:rsidR="007C1307" w:rsidRPr="00EB0154">
        <w:rPr>
          <w:rFonts w:ascii="Arial" w:hAnsi="Arial" w:cs="Arial"/>
          <w:sz w:val="22"/>
          <w:szCs w:val="22"/>
        </w:rPr>
        <w:tab/>
      </w:r>
      <w:r w:rsidR="00022BE3" w:rsidRPr="00CB2FC2">
        <w:rPr>
          <w:rFonts w:ascii="Arial" w:hAnsi="Arial" w:cs="Arial"/>
          <w:sz w:val="22"/>
          <w:szCs w:val="22"/>
        </w:rPr>
        <w:t xml:space="preserve">Metodología </w:t>
      </w:r>
      <w:r w:rsidR="00AC730B" w:rsidRPr="00CB2FC2">
        <w:rPr>
          <w:rFonts w:ascii="Arial" w:hAnsi="Arial" w:cs="Arial"/>
          <w:sz w:val="22"/>
          <w:szCs w:val="22"/>
        </w:rPr>
        <w:t xml:space="preserve">de la </w:t>
      </w:r>
      <w:r w:rsidR="00483743">
        <w:rPr>
          <w:rFonts w:ascii="Arial" w:hAnsi="Arial" w:cs="Arial"/>
          <w:sz w:val="22"/>
          <w:szCs w:val="22"/>
        </w:rPr>
        <w:t>e</w:t>
      </w:r>
      <w:r w:rsidR="00AC730B" w:rsidRPr="00CB2FC2">
        <w:rPr>
          <w:rFonts w:ascii="Arial" w:hAnsi="Arial" w:cs="Arial"/>
          <w:sz w:val="22"/>
          <w:szCs w:val="22"/>
        </w:rPr>
        <w:t xml:space="preserve">valuación </w:t>
      </w:r>
      <w:r w:rsidR="00483743">
        <w:rPr>
          <w:rFonts w:ascii="Arial" w:hAnsi="Arial" w:cs="Arial"/>
          <w:sz w:val="22"/>
          <w:szCs w:val="22"/>
        </w:rPr>
        <w:t>e</w:t>
      </w:r>
      <w:r w:rsidR="00AB04E5">
        <w:rPr>
          <w:rFonts w:ascii="Arial" w:hAnsi="Arial" w:cs="Arial"/>
          <w:sz w:val="22"/>
          <w:szCs w:val="22"/>
        </w:rPr>
        <w:t>x</w:t>
      </w:r>
      <w:r w:rsidR="00483743">
        <w:rPr>
          <w:rFonts w:ascii="Arial" w:hAnsi="Arial" w:cs="Arial"/>
          <w:sz w:val="22"/>
          <w:szCs w:val="22"/>
        </w:rPr>
        <w:t xml:space="preserve"> p</w:t>
      </w:r>
      <w:r w:rsidR="00AC730B" w:rsidRPr="00CB2FC2">
        <w:rPr>
          <w:rFonts w:ascii="Arial" w:hAnsi="Arial" w:cs="Arial"/>
          <w:sz w:val="22"/>
          <w:szCs w:val="22"/>
        </w:rPr>
        <w:t>ost</w:t>
      </w:r>
      <w:bookmarkEnd w:id="10"/>
      <w:r w:rsidR="00022BE3" w:rsidRPr="00CB2FC2">
        <w:rPr>
          <w:rFonts w:ascii="Arial" w:hAnsi="Arial" w:cs="Arial"/>
          <w:sz w:val="22"/>
          <w:szCs w:val="22"/>
        </w:rPr>
        <w:t xml:space="preserve"> </w:t>
      </w:r>
    </w:p>
    <w:p w14:paraId="2EB7C923" w14:textId="7F517BD2" w:rsidR="00CB2FC2" w:rsidRDefault="00B33324" w:rsidP="00CB2FC2">
      <w:pPr>
        <w:pStyle w:val="Paragraph"/>
        <w:rPr>
          <w:rFonts w:ascii="Arial" w:hAnsi="Arial" w:cs="Arial"/>
          <w:b/>
          <w:sz w:val="22"/>
          <w:szCs w:val="22"/>
        </w:rPr>
      </w:pPr>
      <w:r w:rsidRPr="00CB2FC2">
        <w:rPr>
          <w:rFonts w:ascii="Arial" w:hAnsi="Arial" w:cs="Arial"/>
          <w:sz w:val="22"/>
          <w:szCs w:val="22"/>
        </w:rPr>
        <w:t>L</w:t>
      </w:r>
      <w:r w:rsidR="004327ED" w:rsidRPr="00CB2FC2">
        <w:rPr>
          <w:rFonts w:ascii="Arial" w:hAnsi="Arial" w:cs="Arial"/>
          <w:sz w:val="22"/>
          <w:szCs w:val="22"/>
        </w:rPr>
        <w:t xml:space="preserve">a </w:t>
      </w:r>
      <w:r w:rsidR="004327ED" w:rsidRPr="00CB2FC2">
        <w:rPr>
          <w:rFonts w:ascii="Arial" w:hAnsi="Arial" w:cs="Arial"/>
          <w:b/>
          <w:sz w:val="22"/>
          <w:szCs w:val="22"/>
        </w:rPr>
        <w:t>evaluación ex post</w:t>
      </w:r>
      <w:r w:rsidR="004327ED" w:rsidRPr="00CB2FC2">
        <w:rPr>
          <w:rFonts w:ascii="Arial" w:hAnsi="Arial" w:cs="Arial"/>
          <w:sz w:val="22"/>
          <w:szCs w:val="22"/>
        </w:rPr>
        <w:t xml:space="preserve"> de</w:t>
      </w:r>
      <w:r w:rsidR="00CB2FC2">
        <w:rPr>
          <w:rFonts w:ascii="Arial" w:hAnsi="Arial" w:cs="Arial"/>
          <w:sz w:val="22"/>
          <w:szCs w:val="22"/>
        </w:rPr>
        <w:t xml:space="preserve">l </w:t>
      </w:r>
      <w:r w:rsidR="00483743">
        <w:rPr>
          <w:rFonts w:ascii="Arial" w:hAnsi="Arial" w:cs="Arial"/>
          <w:sz w:val="22"/>
          <w:szCs w:val="22"/>
        </w:rPr>
        <w:t>p</w:t>
      </w:r>
      <w:r w:rsidR="00CB2FC2">
        <w:rPr>
          <w:rFonts w:ascii="Arial" w:hAnsi="Arial" w:cs="Arial"/>
          <w:sz w:val="22"/>
          <w:szCs w:val="22"/>
        </w:rPr>
        <w:t>rograma</w:t>
      </w:r>
      <w:r w:rsidR="004327ED" w:rsidRPr="00CB2FC2">
        <w:rPr>
          <w:rFonts w:ascii="Arial" w:hAnsi="Arial" w:cs="Arial"/>
          <w:sz w:val="22"/>
          <w:szCs w:val="22"/>
        </w:rPr>
        <w:t xml:space="preserve"> </w:t>
      </w:r>
      <w:r w:rsidRPr="00CB2FC2">
        <w:rPr>
          <w:rFonts w:ascii="Arial" w:hAnsi="Arial" w:cs="Arial"/>
          <w:sz w:val="22"/>
          <w:szCs w:val="22"/>
        </w:rPr>
        <w:t xml:space="preserve">constará de dos partes. Por un lado, se realizará un análisis de cómo evolucionaron las finanzas públicas de los estados y municipios tras la implementación de las reformas incluidas en el programa. </w:t>
      </w:r>
      <w:r w:rsidR="00CB2FC2" w:rsidRPr="00783EFA">
        <w:rPr>
          <w:rFonts w:ascii="Arial" w:hAnsi="Arial" w:cs="Arial"/>
          <w:sz w:val="22"/>
          <w:szCs w:val="22"/>
        </w:rPr>
        <w:t xml:space="preserve">Por otro lado, </w:t>
      </w:r>
      <w:r w:rsidR="00CB2FC2" w:rsidRPr="00861BF9">
        <w:rPr>
          <w:rFonts w:ascii="Arial" w:hAnsi="Arial" w:cs="Arial"/>
          <w:sz w:val="22"/>
          <w:szCs w:val="22"/>
        </w:rPr>
        <w:t>se analizará el impacto de ciertas medidas específicas</w:t>
      </w:r>
      <w:r w:rsidR="00CB2FC2">
        <w:rPr>
          <w:rFonts w:ascii="Arial" w:hAnsi="Arial" w:cs="Arial"/>
          <w:sz w:val="22"/>
          <w:szCs w:val="22"/>
        </w:rPr>
        <w:t xml:space="preserve"> que forman parte del </w:t>
      </w:r>
      <w:r w:rsidR="00483743">
        <w:rPr>
          <w:rFonts w:ascii="Arial" w:hAnsi="Arial" w:cs="Arial"/>
          <w:sz w:val="22"/>
          <w:szCs w:val="22"/>
        </w:rPr>
        <w:t>p</w:t>
      </w:r>
      <w:r w:rsidR="00CB2FC2">
        <w:rPr>
          <w:rFonts w:ascii="Arial" w:hAnsi="Arial" w:cs="Arial"/>
          <w:sz w:val="22"/>
          <w:szCs w:val="22"/>
        </w:rPr>
        <w:t>rograma</w:t>
      </w:r>
      <w:r w:rsidR="00CB2FC2" w:rsidRPr="00861BF9">
        <w:rPr>
          <w:rFonts w:ascii="Arial" w:hAnsi="Arial" w:cs="Arial"/>
          <w:sz w:val="22"/>
          <w:szCs w:val="22"/>
        </w:rPr>
        <w:t>.</w:t>
      </w:r>
    </w:p>
    <w:p w14:paraId="3670314C" w14:textId="15882C86" w:rsidR="005C7850" w:rsidRPr="00CB2FC2" w:rsidRDefault="005C7850" w:rsidP="00CB2FC2">
      <w:pPr>
        <w:pStyle w:val="Paragraph"/>
        <w:rPr>
          <w:rFonts w:ascii="Arial" w:hAnsi="Arial" w:cs="Arial"/>
          <w:b/>
          <w:sz w:val="22"/>
          <w:szCs w:val="22"/>
        </w:rPr>
      </w:pPr>
      <w:r w:rsidRPr="00CB2FC2">
        <w:rPr>
          <w:rFonts w:ascii="Arial" w:hAnsi="Arial" w:cs="Arial"/>
          <w:sz w:val="22"/>
          <w:szCs w:val="22"/>
        </w:rPr>
        <w:t>E</w:t>
      </w:r>
      <w:r w:rsidR="00CB2FC2">
        <w:rPr>
          <w:rFonts w:ascii="Arial" w:hAnsi="Arial" w:cs="Arial"/>
          <w:sz w:val="22"/>
          <w:szCs w:val="22"/>
        </w:rPr>
        <w:t>l</w:t>
      </w:r>
      <w:r w:rsidRPr="00CB2FC2">
        <w:rPr>
          <w:rFonts w:ascii="Arial" w:hAnsi="Arial" w:cs="Arial"/>
          <w:sz w:val="22"/>
          <w:szCs w:val="22"/>
        </w:rPr>
        <w:t xml:space="preserve"> análisis </w:t>
      </w:r>
      <w:r w:rsidR="00CB2FC2" w:rsidRPr="00CB2FC2">
        <w:rPr>
          <w:rFonts w:ascii="Arial" w:hAnsi="Arial" w:cs="Arial"/>
          <w:sz w:val="22"/>
          <w:szCs w:val="22"/>
        </w:rPr>
        <w:t xml:space="preserve">de cómo evolucionaron las finanzas públicas de </w:t>
      </w:r>
      <w:r w:rsidR="00214DAB">
        <w:rPr>
          <w:rFonts w:ascii="Arial" w:hAnsi="Arial" w:cs="Arial"/>
          <w:sz w:val="22"/>
          <w:szCs w:val="22"/>
        </w:rPr>
        <w:t xml:space="preserve">las </w:t>
      </w:r>
      <w:proofErr w:type="spellStart"/>
      <w:r w:rsidR="00214DAB">
        <w:rPr>
          <w:rFonts w:ascii="Arial" w:hAnsi="Arial" w:cs="Arial"/>
          <w:sz w:val="22"/>
          <w:szCs w:val="22"/>
        </w:rPr>
        <w:t>EyM</w:t>
      </w:r>
      <w:proofErr w:type="spellEnd"/>
      <w:r w:rsidR="00CB2FC2" w:rsidRPr="00CB2FC2">
        <w:rPr>
          <w:rFonts w:ascii="Arial" w:hAnsi="Arial" w:cs="Arial"/>
          <w:sz w:val="22"/>
          <w:szCs w:val="22"/>
        </w:rPr>
        <w:t xml:space="preserve"> tras la implementación de las reformas incluidas en el programa </w:t>
      </w:r>
      <w:r w:rsidRPr="00CB2FC2">
        <w:rPr>
          <w:rFonts w:ascii="Arial" w:hAnsi="Arial" w:cs="Arial"/>
          <w:sz w:val="22"/>
          <w:szCs w:val="22"/>
        </w:rPr>
        <w:t>consistirá en un análisis antes y después, sin atribución de resultados.</w:t>
      </w:r>
      <w:r w:rsidR="005B35BA">
        <w:rPr>
          <w:rFonts w:ascii="Arial" w:hAnsi="Arial" w:cs="Arial"/>
          <w:sz w:val="22"/>
          <w:szCs w:val="22"/>
        </w:rPr>
        <w:t xml:space="preserve"> En lo referente al crecimiento en el gasto en servicios personales, se realizará una proyección de </w:t>
      </w:r>
      <w:r w:rsidR="00034043">
        <w:rPr>
          <w:rFonts w:ascii="Arial" w:hAnsi="Arial" w:cs="Arial"/>
          <w:sz w:val="22"/>
          <w:szCs w:val="22"/>
        </w:rPr>
        <w:t>cuál</w:t>
      </w:r>
      <w:r w:rsidR="005B35BA">
        <w:rPr>
          <w:rFonts w:ascii="Arial" w:hAnsi="Arial" w:cs="Arial"/>
          <w:sz w:val="22"/>
          <w:szCs w:val="22"/>
        </w:rPr>
        <w:t xml:space="preserve"> hubiera sido el gasto esperado en este rubro sin </w:t>
      </w:r>
      <w:r w:rsidR="00034043">
        <w:rPr>
          <w:rFonts w:ascii="Arial" w:hAnsi="Arial" w:cs="Arial"/>
          <w:sz w:val="22"/>
          <w:szCs w:val="22"/>
        </w:rPr>
        <w:t>la introducción de la medida de política</w:t>
      </w:r>
      <w:r w:rsidR="005B35BA">
        <w:rPr>
          <w:rFonts w:ascii="Arial" w:hAnsi="Arial" w:cs="Arial"/>
          <w:sz w:val="22"/>
          <w:szCs w:val="22"/>
        </w:rPr>
        <w:t>,</w:t>
      </w:r>
      <w:r w:rsidR="00034043">
        <w:rPr>
          <w:rFonts w:ascii="Arial" w:hAnsi="Arial" w:cs="Arial"/>
          <w:sz w:val="22"/>
          <w:szCs w:val="22"/>
        </w:rPr>
        <w:t xml:space="preserve"> para compararlo </w:t>
      </w:r>
      <w:proofErr w:type="gramStart"/>
      <w:r w:rsidR="00034043">
        <w:rPr>
          <w:rFonts w:ascii="Arial" w:hAnsi="Arial" w:cs="Arial"/>
          <w:sz w:val="22"/>
          <w:szCs w:val="22"/>
        </w:rPr>
        <w:t>posteriormente</w:t>
      </w:r>
      <w:proofErr w:type="gramEnd"/>
      <w:r w:rsidR="00034043">
        <w:rPr>
          <w:rFonts w:ascii="Arial" w:hAnsi="Arial" w:cs="Arial"/>
          <w:sz w:val="22"/>
          <w:szCs w:val="22"/>
        </w:rPr>
        <w:t xml:space="preserve"> con el gasto efectivamente ejercido. El mismo enfoque se utilizará para analizar la evolución de la deuda registrada en </w:t>
      </w:r>
      <w:r w:rsidR="00C918F8">
        <w:rPr>
          <w:rFonts w:ascii="Arial" w:hAnsi="Arial" w:cs="Arial"/>
          <w:sz w:val="22"/>
          <w:szCs w:val="22"/>
        </w:rPr>
        <w:t>el Registro Público Único</w:t>
      </w:r>
      <w:r w:rsidR="004F2CDC">
        <w:rPr>
          <w:rFonts w:ascii="Arial" w:hAnsi="Arial" w:cs="Arial"/>
          <w:sz w:val="22"/>
          <w:szCs w:val="22"/>
        </w:rPr>
        <w:t xml:space="preserve"> (RPU)</w:t>
      </w:r>
      <w:r w:rsidR="00034043">
        <w:rPr>
          <w:rFonts w:ascii="Arial" w:hAnsi="Arial" w:cs="Arial"/>
          <w:sz w:val="22"/>
          <w:szCs w:val="22"/>
        </w:rPr>
        <w:t>.</w:t>
      </w:r>
      <w:r w:rsidRPr="00CB2FC2">
        <w:rPr>
          <w:rFonts w:ascii="Arial" w:hAnsi="Arial" w:cs="Arial"/>
          <w:sz w:val="22"/>
          <w:szCs w:val="22"/>
        </w:rPr>
        <w:t xml:space="preserve"> El objetivo de este análisis será </w:t>
      </w:r>
      <w:r w:rsidR="00861BF9" w:rsidRPr="00CB2FC2">
        <w:rPr>
          <w:rFonts w:ascii="Arial" w:hAnsi="Arial" w:cs="Arial"/>
          <w:sz w:val="22"/>
          <w:szCs w:val="22"/>
        </w:rPr>
        <w:t xml:space="preserve">no solo </w:t>
      </w:r>
      <w:r w:rsidRPr="00CB2FC2">
        <w:rPr>
          <w:rFonts w:ascii="Arial" w:hAnsi="Arial" w:cs="Arial"/>
          <w:sz w:val="22"/>
          <w:szCs w:val="22"/>
        </w:rPr>
        <w:t xml:space="preserve">documentar los principales </w:t>
      </w:r>
      <w:r w:rsidR="00AC730B" w:rsidRPr="00CB2FC2">
        <w:rPr>
          <w:rFonts w:ascii="Arial" w:hAnsi="Arial" w:cs="Arial"/>
          <w:sz w:val="22"/>
          <w:szCs w:val="22"/>
        </w:rPr>
        <w:t>resultados</w:t>
      </w:r>
      <w:r w:rsidRPr="00CB2FC2">
        <w:rPr>
          <w:rFonts w:ascii="Arial" w:hAnsi="Arial" w:cs="Arial"/>
          <w:sz w:val="22"/>
          <w:szCs w:val="22"/>
        </w:rPr>
        <w:t xml:space="preserve"> observados tras la implementación de la </w:t>
      </w:r>
      <w:r w:rsidR="00AC730B" w:rsidRPr="00CB2FC2">
        <w:rPr>
          <w:rFonts w:ascii="Arial" w:hAnsi="Arial" w:cs="Arial"/>
          <w:sz w:val="22"/>
          <w:szCs w:val="22"/>
        </w:rPr>
        <w:t xml:space="preserve">nueva </w:t>
      </w:r>
      <w:r w:rsidRPr="00CB2FC2">
        <w:rPr>
          <w:rFonts w:ascii="Arial" w:hAnsi="Arial" w:cs="Arial"/>
          <w:sz w:val="22"/>
          <w:szCs w:val="22"/>
        </w:rPr>
        <w:t>reglamentación</w:t>
      </w:r>
      <w:r w:rsidR="00AC730B" w:rsidRPr="00CB2FC2">
        <w:rPr>
          <w:rFonts w:ascii="Arial" w:hAnsi="Arial" w:cs="Arial"/>
          <w:sz w:val="22"/>
          <w:szCs w:val="22"/>
        </w:rPr>
        <w:t>,</w:t>
      </w:r>
      <w:r w:rsidRPr="00CB2FC2">
        <w:rPr>
          <w:rFonts w:ascii="Arial" w:hAnsi="Arial" w:cs="Arial"/>
          <w:sz w:val="22"/>
          <w:szCs w:val="22"/>
        </w:rPr>
        <w:t xml:space="preserve"> </w:t>
      </w:r>
      <w:r w:rsidR="00861BF9" w:rsidRPr="00CB2FC2">
        <w:rPr>
          <w:rFonts w:ascii="Arial" w:hAnsi="Arial" w:cs="Arial"/>
          <w:sz w:val="22"/>
          <w:szCs w:val="22"/>
        </w:rPr>
        <w:t>sino</w:t>
      </w:r>
      <w:r w:rsidR="00AC730B" w:rsidRPr="00CB2FC2">
        <w:rPr>
          <w:rFonts w:ascii="Arial" w:hAnsi="Arial" w:cs="Arial"/>
          <w:sz w:val="22"/>
          <w:szCs w:val="22"/>
        </w:rPr>
        <w:t xml:space="preserve"> que además </w:t>
      </w:r>
      <w:r w:rsidR="00CB2FC2" w:rsidRPr="00CB2FC2">
        <w:rPr>
          <w:rFonts w:ascii="Arial" w:hAnsi="Arial" w:cs="Arial"/>
          <w:sz w:val="22"/>
          <w:szCs w:val="22"/>
        </w:rPr>
        <w:t>buscará</w:t>
      </w:r>
      <w:r w:rsidR="00AC730B" w:rsidRPr="00CB2FC2">
        <w:rPr>
          <w:rFonts w:ascii="Arial" w:hAnsi="Arial" w:cs="Arial"/>
          <w:sz w:val="22"/>
          <w:szCs w:val="22"/>
        </w:rPr>
        <w:t xml:space="preserve"> identificar leccio</w:t>
      </w:r>
      <w:r w:rsidR="00861BF9" w:rsidRPr="00CB2FC2">
        <w:rPr>
          <w:rFonts w:ascii="Arial" w:hAnsi="Arial" w:cs="Arial"/>
          <w:sz w:val="22"/>
          <w:szCs w:val="22"/>
        </w:rPr>
        <w:t>n</w:t>
      </w:r>
      <w:r w:rsidR="00AC730B" w:rsidRPr="00CB2FC2">
        <w:rPr>
          <w:rFonts w:ascii="Arial" w:hAnsi="Arial" w:cs="Arial"/>
          <w:sz w:val="22"/>
          <w:szCs w:val="22"/>
        </w:rPr>
        <w:t>es</w:t>
      </w:r>
      <w:r w:rsidR="00861BF9" w:rsidRPr="00CB2FC2">
        <w:rPr>
          <w:rFonts w:ascii="Arial" w:hAnsi="Arial" w:cs="Arial"/>
          <w:sz w:val="22"/>
          <w:szCs w:val="22"/>
        </w:rPr>
        <w:t xml:space="preserve"> aprendidas en la implementación del programa. Es decir, la evaluación prestará atención a los problemas enfrentado</w:t>
      </w:r>
      <w:r w:rsidR="00F9580E">
        <w:rPr>
          <w:rFonts w:ascii="Arial" w:hAnsi="Arial" w:cs="Arial"/>
          <w:sz w:val="22"/>
          <w:szCs w:val="22"/>
        </w:rPr>
        <w:t>s</w:t>
      </w:r>
      <w:r w:rsidR="00861BF9" w:rsidRPr="00CB2FC2">
        <w:rPr>
          <w:rFonts w:ascii="Arial" w:hAnsi="Arial" w:cs="Arial"/>
          <w:sz w:val="22"/>
          <w:szCs w:val="22"/>
        </w:rPr>
        <w:t xml:space="preserve"> al momento de implementar las medidas incluidas en la LDF y </w:t>
      </w:r>
      <w:r w:rsidR="00F9580E">
        <w:rPr>
          <w:rFonts w:ascii="Arial" w:hAnsi="Arial" w:cs="Arial"/>
          <w:sz w:val="22"/>
          <w:szCs w:val="22"/>
        </w:rPr>
        <w:t xml:space="preserve">buscará identificar </w:t>
      </w:r>
      <w:r w:rsidR="00861BF9" w:rsidRPr="00CB2FC2">
        <w:rPr>
          <w:rFonts w:ascii="Arial" w:hAnsi="Arial" w:cs="Arial"/>
          <w:sz w:val="22"/>
          <w:szCs w:val="22"/>
        </w:rPr>
        <w:t xml:space="preserve">mejores prácticas implementadas por los </w:t>
      </w:r>
      <w:proofErr w:type="spellStart"/>
      <w:r w:rsidR="00861BF9" w:rsidRPr="00CB2FC2">
        <w:rPr>
          <w:rFonts w:ascii="Arial" w:hAnsi="Arial" w:cs="Arial"/>
          <w:sz w:val="22"/>
          <w:szCs w:val="22"/>
        </w:rPr>
        <w:t>EyM</w:t>
      </w:r>
      <w:proofErr w:type="spellEnd"/>
      <w:r w:rsidR="00861BF9" w:rsidRPr="00CB2FC2">
        <w:rPr>
          <w:rFonts w:ascii="Arial" w:hAnsi="Arial" w:cs="Arial"/>
          <w:sz w:val="22"/>
          <w:szCs w:val="22"/>
        </w:rPr>
        <w:t xml:space="preserve">, para que puedan ser replicadas por otros gobiernos subnacionales. </w:t>
      </w:r>
      <w:r w:rsidRPr="00CB2FC2">
        <w:rPr>
          <w:rFonts w:ascii="Arial" w:hAnsi="Arial" w:cs="Arial"/>
          <w:sz w:val="22"/>
          <w:szCs w:val="22"/>
        </w:rPr>
        <w:t xml:space="preserve">Para la realización de este análisis se considerará la información a generarse a través de los nuevos sistemas del </w:t>
      </w:r>
      <w:r w:rsidR="00A85CD2">
        <w:rPr>
          <w:rFonts w:ascii="Arial" w:hAnsi="Arial" w:cs="Arial"/>
          <w:sz w:val="22"/>
          <w:szCs w:val="22"/>
        </w:rPr>
        <w:t>RPU</w:t>
      </w:r>
      <w:r w:rsidRPr="00CB2FC2">
        <w:rPr>
          <w:rFonts w:ascii="Arial" w:hAnsi="Arial" w:cs="Arial"/>
          <w:sz w:val="22"/>
          <w:szCs w:val="22"/>
        </w:rPr>
        <w:t xml:space="preserve"> y del S</w:t>
      </w:r>
      <w:r w:rsidR="00F9580E">
        <w:rPr>
          <w:rFonts w:ascii="Arial" w:hAnsi="Arial" w:cs="Arial"/>
          <w:sz w:val="22"/>
          <w:szCs w:val="22"/>
        </w:rPr>
        <w:t xml:space="preserve">istema de </w:t>
      </w:r>
      <w:r w:rsidRPr="00CB2FC2">
        <w:rPr>
          <w:rFonts w:ascii="Arial" w:hAnsi="Arial" w:cs="Arial"/>
          <w:sz w:val="22"/>
          <w:szCs w:val="22"/>
        </w:rPr>
        <w:t>A</w:t>
      </w:r>
      <w:r w:rsidR="00F9580E">
        <w:rPr>
          <w:rFonts w:ascii="Arial" w:hAnsi="Arial" w:cs="Arial"/>
          <w:sz w:val="22"/>
          <w:szCs w:val="22"/>
        </w:rPr>
        <w:t>lertas</w:t>
      </w:r>
      <w:r w:rsidRPr="00CB2FC2">
        <w:rPr>
          <w:rFonts w:ascii="Arial" w:hAnsi="Arial" w:cs="Arial"/>
          <w:sz w:val="22"/>
          <w:szCs w:val="22"/>
        </w:rPr>
        <w:t>,</w:t>
      </w:r>
      <w:r w:rsidR="00034043">
        <w:rPr>
          <w:rFonts w:ascii="Arial" w:hAnsi="Arial" w:cs="Arial"/>
          <w:sz w:val="22"/>
          <w:szCs w:val="22"/>
        </w:rPr>
        <w:t xml:space="preserve"> datos compilados por la SHCP</w:t>
      </w:r>
      <w:r w:rsidRPr="00CB2FC2">
        <w:rPr>
          <w:rFonts w:ascii="Arial" w:hAnsi="Arial" w:cs="Arial"/>
          <w:sz w:val="22"/>
          <w:szCs w:val="22"/>
        </w:rPr>
        <w:t xml:space="preserve"> </w:t>
      </w:r>
      <w:r w:rsidR="009C620C" w:rsidRPr="00CB2FC2">
        <w:rPr>
          <w:rFonts w:ascii="Arial" w:hAnsi="Arial" w:cs="Arial"/>
          <w:sz w:val="22"/>
          <w:szCs w:val="22"/>
        </w:rPr>
        <w:t>así</w:t>
      </w:r>
      <w:r w:rsidRPr="00CB2FC2">
        <w:rPr>
          <w:rFonts w:ascii="Arial" w:hAnsi="Arial" w:cs="Arial"/>
          <w:sz w:val="22"/>
          <w:szCs w:val="22"/>
        </w:rPr>
        <w:t xml:space="preserve"> también como los datos históricos de las </w:t>
      </w:r>
      <w:r w:rsidR="005808CB" w:rsidRPr="00CB2FC2">
        <w:rPr>
          <w:rFonts w:ascii="Arial" w:hAnsi="Arial" w:cs="Arial"/>
          <w:sz w:val="22"/>
          <w:szCs w:val="22"/>
        </w:rPr>
        <w:t>fi</w:t>
      </w:r>
      <w:r w:rsidR="009C620C" w:rsidRPr="00CB2FC2">
        <w:rPr>
          <w:rFonts w:ascii="Arial" w:hAnsi="Arial" w:cs="Arial"/>
          <w:sz w:val="22"/>
          <w:szCs w:val="22"/>
        </w:rPr>
        <w:t>n</w:t>
      </w:r>
      <w:r w:rsidR="005808CB" w:rsidRPr="00CB2FC2">
        <w:rPr>
          <w:rFonts w:ascii="Arial" w:hAnsi="Arial" w:cs="Arial"/>
          <w:sz w:val="22"/>
          <w:szCs w:val="22"/>
        </w:rPr>
        <w:t>anzas</w:t>
      </w:r>
      <w:r w:rsidRPr="00CB2FC2">
        <w:rPr>
          <w:rFonts w:ascii="Arial" w:hAnsi="Arial" w:cs="Arial"/>
          <w:sz w:val="22"/>
          <w:szCs w:val="22"/>
        </w:rPr>
        <w:t xml:space="preserve"> </w:t>
      </w:r>
      <w:r w:rsidR="005808CB" w:rsidRPr="00CB2FC2">
        <w:rPr>
          <w:rFonts w:ascii="Arial" w:hAnsi="Arial" w:cs="Arial"/>
          <w:sz w:val="22"/>
          <w:szCs w:val="22"/>
        </w:rPr>
        <w:t>públicas</w:t>
      </w:r>
      <w:r w:rsidRPr="00CB2FC2">
        <w:rPr>
          <w:rFonts w:ascii="Arial" w:hAnsi="Arial" w:cs="Arial"/>
          <w:sz w:val="22"/>
          <w:szCs w:val="22"/>
        </w:rPr>
        <w:t xml:space="preserve"> de los gobiernos estatales y</w:t>
      </w:r>
      <w:r w:rsidR="009C620C" w:rsidRPr="00CB2FC2">
        <w:rPr>
          <w:rFonts w:ascii="Arial" w:hAnsi="Arial" w:cs="Arial"/>
          <w:sz w:val="22"/>
          <w:szCs w:val="22"/>
        </w:rPr>
        <w:t xml:space="preserve"> municipales, compilados por el</w:t>
      </w:r>
      <w:r w:rsidR="004F2CDC">
        <w:rPr>
          <w:rFonts w:ascii="Arial" w:hAnsi="Arial" w:cs="Arial"/>
          <w:sz w:val="22"/>
          <w:szCs w:val="22"/>
        </w:rPr>
        <w:t xml:space="preserve"> </w:t>
      </w:r>
      <w:r w:rsidRPr="00CB2FC2">
        <w:rPr>
          <w:rFonts w:ascii="Arial" w:hAnsi="Arial" w:cs="Arial"/>
          <w:sz w:val="22"/>
          <w:szCs w:val="22"/>
        </w:rPr>
        <w:t>INEGI.</w:t>
      </w:r>
      <w:r w:rsidR="00CB2FC2" w:rsidRPr="00CB2FC2">
        <w:rPr>
          <w:rFonts w:ascii="Arial" w:hAnsi="Arial" w:cs="Arial"/>
          <w:sz w:val="22"/>
          <w:szCs w:val="22"/>
        </w:rPr>
        <w:t xml:space="preserve"> </w:t>
      </w:r>
      <w:r w:rsidR="00B21E97">
        <w:rPr>
          <w:rFonts w:ascii="Arial" w:hAnsi="Arial" w:cs="Arial"/>
          <w:sz w:val="22"/>
          <w:szCs w:val="22"/>
        </w:rPr>
        <w:t>Se utilizarán datos anuales históricos y los datos a generarse durante 2019</w:t>
      </w:r>
      <w:r w:rsidR="000B50C4">
        <w:rPr>
          <w:rFonts w:ascii="Arial" w:hAnsi="Arial" w:cs="Arial"/>
          <w:sz w:val="22"/>
          <w:szCs w:val="22"/>
        </w:rPr>
        <w:t xml:space="preserve"> y 2020</w:t>
      </w:r>
      <w:r w:rsidR="00B21E97">
        <w:rPr>
          <w:rFonts w:ascii="Arial" w:hAnsi="Arial" w:cs="Arial"/>
          <w:sz w:val="22"/>
          <w:szCs w:val="22"/>
        </w:rPr>
        <w:t>.</w:t>
      </w:r>
    </w:p>
    <w:p w14:paraId="42D6615D" w14:textId="7783E2A8" w:rsidR="00783EFA" w:rsidRPr="00861BF9" w:rsidRDefault="00B33324" w:rsidP="00783EFA">
      <w:pPr>
        <w:pStyle w:val="Paragraph"/>
        <w:rPr>
          <w:rFonts w:ascii="Arial" w:hAnsi="Arial" w:cs="Arial"/>
          <w:sz w:val="22"/>
          <w:szCs w:val="22"/>
        </w:rPr>
      </w:pPr>
      <w:r w:rsidRPr="00783EFA">
        <w:rPr>
          <w:rFonts w:ascii="Arial" w:hAnsi="Arial" w:cs="Arial"/>
          <w:sz w:val="22"/>
          <w:szCs w:val="22"/>
        </w:rPr>
        <w:t>Por otro lado,</w:t>
      </w:r>
      <w:r w:rsidR="005C7850" w:rsidRPr="00783EFA">
        <w:rPr>
          <w:rFonts w:ascii="Arial" w:hAnsi="Arial" w:cs="Arial"/>
          <w:sz w:val="22"/>
          <w:szCs w:val="22"/>
        </w:rPr>
        <w:t xml:space="preserve"> </w:t>
      </w:r>
      <w:r w:rsidR="005C7850" w:rsidRPr="00861BF9">
        <w:rPr>
          <w:rFonts w:ascii="Arial" w:hAnsi="Arial" w:cs="Arial"/>
          <w:sz w:val="22"/>
          <w:szCs w:val="22"/>
        </w:rPr>
        <w:t>como parte de la evaluación ex</w:t>
      </w:r>
      <w:r w:rsidR="00483743">
        <w:rPr>
          <w:rFonts w:ascii="Arial" w:hAnsi="Arial" w:cs="Arial"/>
          <w:sz w:val="22"/>
          <w:szCs w:val="22"/>
        </w:rPr>
        <w:t xml:space="preserve"> </w:t>
      </w:r>
      <w:r w:rsidR="005C7850" w:rsidRPr="00861BF9">
        <w:rPr>
          <w:rFonts w:ascii="Arial" w:hAnsi="Arial" w:cs="Arial"/>
          <w:sz w:val="22"/>
          <w:szCs w:val="22"/>
        </w:rPr>
        <w:t xml:space="preserve">post del </w:t>
      </w:r>
      <w:r w:rsidR="00293D3B">
        <w:rPr>
          <w:rFonts w:ascii="Arial" w:hAnsi="Arial" w:cs="Arial"/>
          <w:sz w:val="22"/>
          <w:szCs w:val="22"/>
        </w:rPr>
        <w:t>p</w:t>
      </w:r>
      <w:r w:rsidR="005C7850" w:rsidRPr="00861BF9">
        <w:rPr>
          <w:rFonts w:ascii="Arial" w:hAnsi="Arial" w:cs="Arial"/>
          <w:sz w:val="22"/>
          <w:szCs w:val="22"/>
        </w:rPr>
        <w:t xml:space="preserve">rograma se </w:t>
      </w:r>
      <w:r w:rsidR="004327ED" w:rsidRPr="00861BF9">
        <w:rPr>
          <w:rFonts w:ascii="Arial" w:hAnsi="Arial" w:cs="Arial"/>
          <w:sz w:val="22"/>
          <w:szCs w:val="22"/>
        </w:rPr>
        <w:t xml:space="preserve">analizará el impacto de </w:t>
      </w:r>
      <w:r w:rsidR="00783EFA" w:rsidRPr="00861BF9">
        <w:rPr>
          <w:rFonts w:ascii="Arial" w:hAnsi="Arial" w:cs="Arial"/>
          <w:sz w:val="22"/>
          <w:szCs w:val="22"/>
        </w:rPr>
        <w:t xml:space="preserve">ciertas medidas </w:t>
      </w:r>
      <w:r w:rsidR="004327ED" w:rsidRPr="00861BF9">
        <w:rPr>
          <w:rFonts w:ascii="Arial" w:hAnsi="Arial" w:cs="Arial"/>
          <w:sz w:val="22"/>
          <w:szCs w:val="22"/>
        </w:rPr>
        <w:t>específicas</w:t>
      </w:r>
      <w:r w:rsidR="00A85CD2">
        <w:rPr>
          <w:rFonts w:ascii="Arial" w:hAnsi="Arial" w:cs="Arial"/>
          <w:sz w:val="22"/>
          <w:szCs w:val="22"/>
        </w:rPr>
        <w:t xml:space="preserve"> introducidas</w:t>
      </w:r>
      <w:r w:rsidR="00F9580E">
        <w:rPr>
          <w:rFonts w:ascii="Arial" w:hAnsi="Arial" w:cs="Arial"/>
          <w:sz w:val="22"/>
          <w:szCs w:val="22"/>
        </w:rPr>
        <w:t xml:space="preserve"> dentro del nuevo marco regulatorio</w:t>
      </w:r>
      <w:r w:rsidR="004327ED" w:rsidRPr="00861BF9">
        <w:rPr>
          <w:rFonts w:ascii="Arial" w:hAnsi="Arial" w:cs="Arial"/>
          <w:sz w:val="22"/>
          <w:szCs w:val="22"/>
        </w:rPr>
        <w:t>. Se proponen los siguientes</w:t>
      </w:r>
      <w:r w:rsidR="00783EFA" w:rsidRPr="00861BF9">
        <w:rPr>
          <w:rFonts w:ascii="Arial" w:hAnsi="Arial" w:cs="Arial"/>
          <w:sz w:val="22"/>
          <w:szCs w:val="22"/>
        </w:rPr>
        <w:t xml:space="preserve"> dos</w:t>
      </w:r>
      <w:r w:rsidR="004327ED" w:rsidRPr="00861BF9">
        <w:rPr>
          <w:rFonts w:ascii="Arial" w:hAnsi="Arial" w:cs="Arial"/>
          <w:sz w:val="22"/>
          <w:szCs w:val="22"/>
        </w:rPr>
        <w:t xml:space="preserve"> estudios:</w:t>
      </w:r>
    </w:p>
    <w:p w14:paraId="6CC90D29" w14:textId="6D5ED0FB" w:rsidR="004327ED" w:rsidRPr="00861BF9" w:rsidRDefault="00861BF9" w:rsidP="00783EFA">
      <w:pPr>
        <w:pStyle w:val="ListParagraph"/>
        <w:numPr>
          <w:ilvl w:val="0"/>
          <w:numId w:val="30"/>
        </w:numPr>
        <w:spacing w:before="120" w:after="120"/>
        <w:ind w:left="1080" w:hanging="360"/>
        <w:contextualSpacing w:val="0"/>
        <w:jc w:val="both"/>
        <w:rPr>
          <w:rFonts w:ascii="Arial" w:hAnsi="Arial" w:cs="Arial"/>
          <w:sz w:val="22"/>
          <w:szCs w:val="22"/>
          <w:lang w:val="es-ES"/>
        </w:rPr>
      </w:pPr>
      <w:r w:rsidRPr="003B167D">
        <w:rPr>
          <w:rFonts w:ascii="Arial" w:hAnsi="Arial" w:cs="Arial"/>
          <w:b/>
          <w:sz w:val="22"/>
          <w:szCs w:val="22"/>
          <w:lang w:val="es-ES"/>
        </w:rPr>
        <w:t>Efecto de</w:t>
      </w:r>
      <w:r w:rsidR="00F01608">
        <w:rPr>
          <w:rFonts w:ascii="Arial" w:hAnsi="Arial" w:cs="Arial"/>
          <w:b/>
          <w:sz w:val="22"/>
          <w:szCs w:val="22"/>
          <w:lang w:val="es-ES"/>
        </w:rPr>
        <w:t xml:space="preserve"> </w:t>
      </w:r>
      <w:r w:rsidRPr="003B167D">
        <w:rPr>
          <w:rFonts w:ascii="Arial" w:hAnsi="Arial" w:cs="Arial"/>
          <w:b/>
          <w:sz w:val="22"/>
          <w:szCs w:val="22"/>
          <w:lang w:val="es-ES"/>
        </w:rPr>
        <w:t>l</w:t>
      </w:r>
      <w:r w:rsidR="00F01608">
        <w:rPr>
          <w:rFonts w:ascii="Arial" w:hAnsi="Arial" w:cs="Arial"/>
          <w:b/>
          <w:sz w:val="22"/>
          <w:szCs w:val="22"/>
          <w:lang w:val="es-ES"/>
        </w:rPr>
        <w:t>a</w:t>
      </w:r>
      <w:r w:rsidR="00293D3B">
        <w:rPr>
          <w:rFonts w:ascii="Arial" w:hAnsi="Arial" w:cs="Arial"/>
          <w:b/>
          <w:sz w:val="22"/>
          <w:szCs w:val="22"/>
          <w:lang w:val="es-ES"/>
        </w:rPr>
        <w:t xml:space="preserve"> c</w:t>
      </w:r>
      <w:r w:rsidR="00F01608">
        <w:rPr>
          <w:rFonts w:ascii="Arial" w:hAnsi="Arial" w:cs="Arial"/>
          <w:b/>
          <w:sz w:val="22"/>
          <w:szCs w:val="22"/>
          <w:lang w:val="es-ES"/>
        </w:rPr>
        <w:t xml:space="preserve">ompetencia </w:t>
      </w:r>
      <w:r w:rsidR="00A85CD2" w:rsidRPr="003B167D">
        <w:rPr>
          <w:rFonts w:ascii="Arial" w:hAnsi="Arial" w:cs="Arial"/>
          <w:b/>
          <w:sz w:val="22"/>
          <w:szCs w:val="22"/>
          <w:lang w:val="es-ES"/>
        </w:rPr>
        <w:t xml:space="preserve">sobre el </w:t>
      </w:r>
      <w:r w:rsidR="00293D3B">
        <w:rPr>
          <w:rFonts w:ascii="Arial" w:hAnsi="Arial" w:cs="Arial"/>
          <w:b/>
          <w:sz w:val="22"/>
          <w:szCs w:val="22"/>
          <w:lang w:val="es-ES"/>
        </w:rPr>
        <w:t>c</w:t>
      </w:r>
      <w:r w:rsidR="00A85CD2" w:rsidRPr="003B167D">
        <w:rPr>
          <w:rFonts w:ascii="Arial" w:hAnsi="Arial" w:cs="Arial"/>
          <w:b/>
          <w:sz w:val="22"/>
          <w:szCs w:val="22"/>
          <w:lang w:val="es-ES"/>
        </w:rPr>
        <w:t xml:space="preserve">osto de </w:t>
      </w:r>
      <w:r w:rsidR="00293D3B">
        <w:rPr>
          <w:rFonts w:ascii="Arial" w:hAnsi="Arial" w:cs="Arial"/>
          <w:b/>
          <w:sz w:val="22"/>
          <w:szCs w:val="22"/>
          <w:lang w:val="es-ES"/>
        </w:rPr>
        <w:t>f</w:t>
      </w:r>
      <w:r w:rsidR="00A85CD2" w:rsidRPr="003B167D">
        <w:rPr>
          <w:rFonts w:ascii="Arial" w:hAnsi="Arial" w:cs="Arial"/>
          <w:b/>
          <w:sz w:val="22"/>
          <w:szCs w:val="22"/>
          <w:lang w:val="es-ES"/>
        </w:rPr>
        <w:t xml:space="preserve">inanciamiento de </w:t>
      </w:r>
      <w:proofErr w:type="spellStart"/>
      <w:r w:rsidR="00293D3B">
        <w:rPr>
          <w:rFonts w:ascii="Arial" w:hAnsi="Arial" w:cs="Arial"/>
          <w:b/>
          <w:sz w:val="22"/>
          <w:szCs w:val="22"/>
          <w:lang w:val="es-ES"/>
        </w:rPr>
        <w:t>EyM</w:t>
      </w:r>
      <w:proofErr w:type="spellEnd"/>
      <w:r w:rsidR="004327ED" w:rsidRPr="003B167D">
        <w:rPr>
          <w:rFonts w:ascii="Arial" w:hAnsi="Arial" w:cs="Arial"/>
          <w:b/>
          <w:sz w:val="22"/>
          <w:szCs w:val="22"/>
          <w:lang w:val="es-ES"/>
        </w:rPr>
        <w:t>.</w:t>
      </w:r>
      <w:r w:rsidR="00F25E70">
        <w:rPr>
          <w:rFonts w:ascii="Arial" w:hAnsi="Arial" w:cs="Arial"/>
          <w:sz w:val="22"/>
          <w:szCs w:val="22"/>
          <w:lang w:val="es-ES"/>
        </w:rPr>
        <w:t xml:space="preserve"> </w:t>
      </w:r>
      <w:r w:rsidR="00AB1F5D">
        <w:rPr>
          <w:rFonts w:ascii="Arial" w:hAnsi="Arial" w:cs="Arial"/>
          <w:color w:val="000000"/>
          <w:sz w:val="22"/>
          <w:szCs w:val="22"/>
        </w:rPr>
        <w:t xml:space="preserve">Entre las medidas de políticas incluidas en el programa se incluye </w:t>
      </w:r>
      <w:r w:rsidR="00554DB9">
        <w:rPr>
          <w:rFonts w:ascii="Arial" w:hAnsi="Arial" w:cs="Arial"/>
          <w:color w:val="000000"/>
          <w:sz w:val="22"/>
          <w:szCs w:val="22"/>
        </w:rPr>
        <w:t xml:space="preserve">el requerimiento de realizar procesos competitivos para la </w:t>
      </w:r>
      <w:r w:rsidR="007D2BC5">
        <w:rPr>
          <w:rFonts w:ascii="Arial" w:hAnsi="Arial" w:cs="Arial"/>
          <w:color w:val="000000"/>
          <w:sz w:val="22"/>
          <w:szCs w:val="22"/>
        </w:rPr>
        <w:t>contratación</w:t>
      </w:r>
      <w:r w:rsidR="00554DB9">
        <w:rPr>
          <w:rFonts w:ascii="Arial" w:hAnsi="Arial" w:cs="Arial"/>
          <w:color w:val="000000"/>
          <w:sz w:val="22"/>
          <w:szCs w:val="22"/>
        </w:rPr>
        <w:t xml:space="preserve"> de endeudamiento</w:t>
      </w:r>
      <w:r w:rsidR="00F25E70" w:rsidRPr="007636E9">
        <w:rPr>
          <w:rFonts w:ascii="Arial" w:hAnsi="Arial" w:cs="Arial"/>
          <w:sz w:val="22"/>
          <w:szCs w:val="22"/>
          <w:lang w:val="es-MX"/>
        </w:rPr>
        <w:t>.</w:t>
      </w:r>
      <w:r w:rsidR="007D2BC5">
        <w:rPr>
          <w:rFonts w:ascii="Arial" w:hAnsi="Arial" w:cs="Arial"/>
          <w:sz w:val="22"/>
          <w:szCs w:val="22"/>
          <w:lang w:val="es-MX"/>
        </w:rPr>
        <w:t xml:space="preserve"> La</w:t>
      </w:r>
      <w:r w:rsidR="000472FE">
        <w:rPr>
          <w:rFonts w:ascii="Arial" w:hAnsi="Arial" w:cs="Arial"/>
          <w:sz w:val="22"/>
          <w:szCs w:val="22"/>
          <w:lang w:val="es-MX"/>
        </w:rPr>
        <w:t>s</w:t>
      </w:r>
      <w:r w:rsidR="007D2BC5">
        <w:rPr>
          <w:rFonts w:ascii="Arial" w:hAnsi="Arial" w:cs="Arial"/>
          <w:sz w:val="22"/>
          <w:szCs w:val="22"/>
          <w:lang w:val="es-MX"/>
        </w:rPr>
        <w:t xml:space="preserve"> características del proceso competitivo dependen del monto del financiamiento a contratar y </w:t>
      </w:r>
      <w:r w:rsidR="000472FE">
        <w:rPr>
          <w:rFonts w:ascii="Arial" w:hAnsi="Arial" w:cs="Arial"/>
          <w:sz w:val="22"/>
          <w:szCs w:val="22"/>
          <w:lang w:val="es-MX"/>
        </w:rPr>
        <w:t xml:space="preserve">si el agente contratante es una </w:t>
      </w:r>
      <w:r w:rsidR="007677AC">
        <w:rPr>
          <w:rFonts w:ascii="Arial" w:hAnsi="Arial" w:cs="Arial"/>
          <w:sz w:val="22"/>
          <w:szCs w:val="22"/>
          <w:lang w:val="es-MX"/>
        </w:rPr>
        <w:t>E</w:t>
      </w:r>
      <w:r w:rsidR="000472FE">
        <w:rPr>
          <w:rFonts w:ascii="Arial" w:hAnsi="Arial" w:cs="Arial"/>
          <w:sz w:val="22"/>
          <w:szCs w:val="22"/>
          <w:lang w:val="es-MX"/>
        </w:rPr>
        <w:t xml:space="preserve">ntidad </w:t>
      </w:r>
      <w:r w:rsidR="007677AC">
        <w:rPr>
          <w:rFonts w:ascii="Arial" w:hAnsi="Arial" w:cs="Arial"/>
          <w:sz w:val="22"/>
          <w:szCs w:val="22"/>
          <w:lang w:val="es-MX"/>
        </w:rPr>
        <w:t>Federativa</w:t>
      </w:r>
      <w:r w:rsidR="000472FE">
        <w:rPr>
          <w:rFonts w:ascii="Arial" w:hAnsi="Arial" w:cs="Arial"/>
          <w:sz w:val="22"/>
          <w:szCs w:val="22"/>
          <w:lang w:val="es-MX"/>
        </w:rPr>
        <w:t xml:space="preserve"> o </w:t>
      </w:r>
      <w:r w:rsidR="007677AC">
        <w:rPr>
          <w:rFonts w:ascii="Arial" w:hAnsi="Arial" w:cs="Arial"/>
          <w:sz w:val="22"/>
          <w:szCs w:val="22"/>
          <w:lang w:val="es-MX"/>
        </w:rPr>
        <w:t>Municipio</w:t>
      </w:r>
      <w:r w:rsidR="00F25E70" w:rsidRPr="007636E9">
        <w:rPr>
          <w:rFonts w:ascii="Arial" w:hAnsi="Arial" w:cs="Arial"/>
          <w:sz w:val="22"/>
          <w:szCs w:val="22"/>
        </w:rPr>
        <w:t xml:space="preserve">. </w:t>
      </w:r>
      <w:r w:rsidR="00F24D91">
        <w:rPr>
          <w:rFonts w:ascii="Arial" w:hAnsi="Arial" w:cs="Arial"/>
          <w:sz w:val="22"/>
          <w:szCs w:val="22"/>
        </w:rPr>
        <w:t xml:space="preserve">Si bien se espera que </w:t>
      </w:r>
      <w:r w:rsidR="000472FE">
        <w:rPr>
          <w:rFonts w:ascii="Arial" w:hAnsi="Arial" w:cs="Arial"/>
          <w:sz w:val="22"/>
          <w:szCs w:val="22"/>
        </w:rPr>
        <w:t>una mayor competencia</w:t>
      </w:r>
      <w:r w:rsidR="00F24D91">
        <w:rPr>
          <w:rFonts w:ascii="Arial" w:hAnsi="Arial" w:cs="Arial"/>
          <w:sz w:val="22"/>
          <w:szCs w:val="22"/>
        </w:rPr>
        <w:t xml:space="preserve"> permita a </w:t>
      </w:r>
      <w:r w:rsidR="007677AC">
        <w:rPr>
          <w:rFonts w:ascii="Arial" w:hAnsi="Arial" w:cs="Arial"/>
          <w:sz w:val="22"/>
          <w:szCs w:val="22"/>
        </w:rPr>
        <w:t>éstos</w:t>
      </w:r>
      <w:r w:rsidR="00F24D91">
        <w:rPr>
          <w:rFonts w:ascii="Arial" w:hAnsi="Arial" w:cs="Arial"/>
          <w:sz w:val="22"/>
          <w:szCs w:val="22"/>
        </w:rPr>
        <w:t xml:space="preserve"> </w:t>
      </w:r>
      <w:r w:rsidR="00AF099D">
        <w:rPr>
          <w:rFonts w:ascii="Arial" w:hAnsi="Arial" w:cs="Arial"/>
          <w:sz w:val="22"/>
          <w:szCs w:val="22"/>
        </w:rPr>
        <w:t xml:space="preserve">acceder </w:t>
      </w:r>
      <w:r w:rsidR="00F24D91">
        <w:rPr>
          <w:rFonts w:ascii="Arial" w:hAnsi="Arial" w:cs="Arial"/>
          <w:sz w:val="22"/>
          <w:szCs w:val="22"/>
        </w:rPr>
        <w:t xml:space="preserve">a mejores condiciones de financiamiento, el efecto </w:t>
      </w:r>
      <w:r w:rsidR="000472FE">
        <w:rPr>
          <w:rFonts w:ascii="Arial" w:hAnsi="Arial" w:cs="Arial"/>
          <w:sz w:val="22"/>
          <w:szCs w:val="22"/>
        </w:rPr>
        <w:t>de la competencia sobre el costo de financiamiento</w:t>
      </w:r>
      <w:r w:rsidR="00F24D91">
        <w:rPr>
          <w:rFonts w:ascii="Arial" w:hAnsi="Arial" w:cs="Arial"/>
          <w:sz w:val="22"/>
          <w:szCs w:val="22"/>
        </w:rPr>
        <w:t xml:space="preserve"> no se conoce actual</w:t>
      </w:r>
      <w:r w:rsidR="0036268E">
        <w:rPr>
          <w:rFonts w:ascii="Arial" w:hAnsi="Arial" w:cs="Arial"/>
          <w:sz w:val="22"/>
          <w:szCs w:val="22"/>
        </w:rPr>
        <w:t>mente</w:t>
      </w:r>
      <w:r w:rsidR="00F25E70">
        <w:rPr>
          <w:rFonts w:ascii="Arial" w:hAnsi="Arial" w:cs="Arial"/>
          <w:sz w:val="22"/>
          <w:szCs w:val="22"/>
        </w:rPr>
        <w:t>.</w:t>
      </w:r>
    </w:p>
    <w:p w14:paraId="6CC90D2D" w14:textId="0F57FA82" w:rsidR="004327ED" w:rsidRPr="00861BF9" w:rsidRDefault="00861BF9" w:rsidP="00861BF9">
      <w:pPr>
        <w:pStyle w:val="ListParagraph"/>
        <w:numPr>
          <w:ilvl w:val="0"/>
          <w:numId w:val="30"/>
        </w:numPr>
        <w:spacing w:before="120" w:after="120"/>
        <w:ind w:left="1080" w:hanging="360"/>
        <w:contextualSpacing w:val="0"/>
        <w:jc w:val="both"/>
        <w:rPr>
          <w:rFonts w:ascii="Arial" w:hAnsi="Arial" w:cs="Arial"/>
          <w:sz w:val="22"/>
          <w:szCs w:val="22"/>
          <w:lang w:val="es-ES"/>
        </w:rPr>
      </w:pPr>
      <w:r w:rsidRPr="003B167D">
        <w:rPr>
          <w:rFonts w:ascii="Arial" w:hAnsi="Arial" w:cs="Arial"/>
          <w:b/>
          <w:sz w:val="22"/>
          <w:szCs w:val="22"/>
          <w:lang w:val="es-ES"/>
        </w:rPr>
        <w:t>Efecto de</w:t>
      </w:r>
      <w:r w:rsidR="00ED6587" w:rsidRPr="003B167D">
        <w:rPr>
          <w:rFonts w:ascii="Arial" w:hAnsi="Arial" w:cs="Arial"/>
          <w:b/>
          <w:sz w:val="22"/>
          <w:szCs w:val="22"/>
          <w:lang w:val="es-ES"/>
        </w:rPr>
        <w:t xml:space="preserve"> </w:t>
      </w:r>
      <w:r w:rsidRPr="003B167D">
        <w:rPr>
          <w:rFonts w:ascii="Arial" w:hAnsi="Arial" w:cs="Arial"/>
          <w:b/>
          <w:sz w:val="22"/>
          <w:szCs w:val="22"/>
          <w:lang w:val="es-ES"/>
        </w:rPr>
        <w:t>l</w:t>
      </w:r>
      <w:r w:rsidR="00FA3AAF" w:rsidRPr="003B167D">
        <w:rPr>
          <w:rFonts w:ascii="Arial" w:hAnsi="Arial" w:cs="Arial"/>
          <w:b/>
          <w:sz w:val="22"/>
          <w:szCs w:val="22"/>
          <w:lang w:val="es-ES"/>
        </w:rPr>
        <w:t xml:space="preserve">a </w:t>
      </w:r>
      <w:r w:rsidR="00293D3B">
        <w:rPr>
          <w:rFonts w:ascii="Arial" w:hAnsi="Arial" w:cs="Arial"/>
          <w:b/>
          <w:sz w:val="22"/>
          <w:szCs w:val="22"/>
          <w:lang w:val="es-ES"/>
        </w:rPr>
        <w:t>p</w:t>
      </w:r>
      <w:r w:rsidR="008A2C2A" w:rsidRPr="003B167D">
        <w:rPr>
          <w:rFonts w:ascii="Arial" w:hAnsi="Arial" w:cs="Arial"/>
          <w:b/>
          <w:sz w:val="22"/>
          <w:szCs w:val="22"/>
          <w:lang w:val="es-ES"/>
        </w:rPr>
        <w:t xml:space="preserve">lanificación </w:t>
      </w:r>
      <w:r w:rsidR="00293D3B">
        <w:rPr>
          <w:rFonts w:ascii="Arial" w:hAnsi="Arial" w:cs="Arial"/>
          <w:b/>
          <w:sz w:val="22"/>
          <w:szCs w:val="22"/>
          <w:lang w:val="es-ES"/>
        </w:rPr>
        <w:t>f</w:t>
      </w:r>
      <w:r w:rsidR="008A2C2A" w:rsidRPr="003B167D">
        <w:rPr>
          <w:rFonts w:ascii="Arial" w:hAnsi="Arial" w:cs="Arial"/>
          <w:b/>
          <w:sz w:val="22"/>
          <w:szCs w:val="22"/>
          <w:lang w:val="es-ES"/>
        </w:rPr>
        <w:t>inanciera</w:t>
      </w:r>
      <w:r w:rsidR="00FA3AAF" w:rsidRPr="003B167D">
        <w:rPr>
          <w:rFonts w:ascii="Arial" w:hAnsi="Arial" w:cs="Arial"/>
          <w:b/>
          <w:sz w:val="22"/>
          <w:szCs w:val="22"/>
          <w:lang w:val="es-ES"/>
        </w:rPr>
        <w:t xml:space="preserve"> sobre las </w:t>
      </w:r>
      <w:r w:rsidR="00293D3B">
        <w:rPr>
          <w:rFonts w:ascii="Arial" w:hAnsi="Arial" w:cs="Arial"/>
          <w:b/>
          <w:sz w:val="22"/>
          <w:szCs w:val="22"/>
          <w:lang w:val="es-ES"/>
        </w:rPr>
        <w:t>f</w:t>
      </w:r>
      <w:r w:rsidR="00FA3AAF" w:rsidRPr="003B167D">
        <w:rPr>
          <w:rFonts w:ascii="Arial" w:hAnsi="Arial" w:cs="Arial"/>
          <w:b/>
          <w:sz w:val="22"/>
          <w:szCs w:val="22"/>
          <w:lang w:val="es-ES"/>
        </w:rPr>
        <w:t xml:space="preserve">inanzas </w:t>
      </w:r>
      <w:r w:rsidR="00293D3B">
        <w:rPr>
          <w:rFonts w:ascii="Arial" w:hAnsi="Arial" w:cs="Arial"/>
          <w:b/>
          <w:sz w:val="22"/>
          <w:szCs w:val="22"/>
          <w:lang w:val="es-ES"/>
        </w:rPr>
        <w:t>p</w:t>
      </w:r>
      <w:r w:rsidR="00FA3AAF" w:rsidRPr="003B167D">
        <w:rPr>
          <w:rFonts w:ascii="Arial" w:hAnsi="Arial" w:cs="Arial"/>
          <w:b/>
          <w:sz w:val="22"/>
          <w:szCs w:val="22"/>
          <w:lang w:val="es-ES"/>
        </w:rPr>
        <w:t xml:space="preserve">úblicas </w:t>
      </w:r>
      <w:r w:rsidR="00293D3B">
        <w:rPr>
          <w:rFonts w:ascii="Arial" w:hAnsi="Arial" w:cs="Arial"/>
          <w:b/>
          <w:sz w:val="22"/>
          <w:szCs w:val="22"/>
          <w:lang w:val="es-ES"/>
        </w:rPr>
        <w:t>m</w:t>
      </w:r>
      <w:r w:rsidR="00FA3AAF" w:rsidRPr="003B167D">
        <w:rPr>
          <w:rFonts w:ascii="Arial" w:hAnsi="Arial" w:cs="Arial"/>
          <w:b/>
          <w:sz w:val="22"/>
          <w:szCs w:val="22"/>
          <w:lang w:val="es-ES"/>
        </w:rPr>
        <w:t>unicipales</w:t>
      </w:r>
      <w:r w:rsidR="00722C54" w:rsidRPr="003B167D">
        <w:rPr>
          <w:rFonts w:ascii="Arial" w:hAnsi="Arial" w:cs="Arial"/>
          <w:b/>
          <w:sz w:val="22"/>
          <w:szCs w:val="22"/>
          <w:lang w:val="es-ES"/>
        </w:rPr>
        <w:t>.</w:t>
      </w:r>
      <w:r w:rsidR="00E86770">
        <w:rPr>
          <w:rFonts w:ascii="Arial" w:hAnsi="Arial" w:cs="Arial"/>
          <w:sz w:val="22"/>
          <w:szCs w:val="22"/>
          <w:lang w:val="es-ES"/>
        </w:rPr>
        <w:t xml:space="preserve"> </w:t>
      </w:r>
      <w:r w:rsidR="00AF099D">
        <w:rPr>
          <w:rFonts w:ascii="Arial" w:hAnsi="Arial" w:cs="Arial"/>
          <w:color w:val="000000"/>
          <w:sz w:val="22"/>
          <w:szCs w:val="22"/>
        </w:rPr>
        <w:t>Entre las medidas de política</w:t>
      </w:r>
      <w:r w:rsidR="00E86770">
        <w:rPr>
          <w:rFonts w:ascii="Arial" w:hAnsi="Arial" w:cs="Arial"/>
          <w:color w:val="000000"/>
          <w:sz w:val="22"/>
          <w:szCs w:val="22"/>
        </w:rPr>
        <w:t xml:space="preserve"> incluidas en el programa se incluye una </w:t>
      </w:r>
      <w:r w:rsidR="00AF099D">
        <w:rPr>
          <w:rFonts w:ascii="Arial" w:hAnsi="Arial" w:cs="Arial"/>
          <w:color w:val="000000"/>
          <w:sz w:val="22"/>
          <w:szCs w:val="22"/>
        </w:rPr>
        <w:t xml:space="preserve">estipulación </w:t>
      </w:r>
      <w:r w:rsidR="00E86770">
        <w:rPr>
          <w:rFonts w:ascii="Arial" w:hAnsi="Arial" w:cs="Arial"/>
          <w:color w:val="000000"/>
          <w:sz w:val="22"/>
          <w:szCs w:val="22"/>
        </w:rPr>
        <w:t xml:space="preserve">que obliga a </w:t>
      </w:r>
      <w:r w:rsidR="009D3F3B">
        <w:rPr>
          <w:rFonts w:ascii="Arial" w:hAnsi="Arial" w:cs="Arial"/>
          <w:color w:val="000000"/>
          <w:sz w:val="22"/>
          <w:szCs w:val="22"/>
        </w:rPr>
        <w:t xml:space="preserve">las </w:t>
      </w:r>
      <w:proofErr w:type="spellStart"/>
      <w:r w:rsidR="009D3F3B">
        <w:rPr>
          <w:rFonts w:ascii="Arial" w:hAnsi="Arial" w:cs="Arial"/>
          <w:color w:val="000000"/>
          <w:sz w:val="22"/>
          <w:szCs w:val="22"/>
        </w:rPr>
        <w:t>EyM</w:t>
      </w:r>
      <w:proofErr w:type="spellEnd"/>
      <w:r w:rsidR="00E86770">
        <w:rPr>
          <w:rFonts w:ascii="Arial" w:hAnsi="Arial" w:cs="Arial"/>
          <w:color w:val="000000"/>
          <w:sz w:val="22"/>
          <w:szCs w:val="22"/>
        </w:rPr>
        <w:t xml:space="preserve"> a realizar proyecciones de finanzas públicas. </w:t>
      </w:r>
      <w:r w:rsidR="00765249">
        <w:rPr>
          <w:rFonts w:ascii="Arial" w:hAnsi="Arial" w:cs="Arial"/>
          <w:sz w:val="22"/>
          <w:szCs w:val="22"/>
        </w:rPr>
        <w:t xml:space="preserve">Un </w:t>
      </w:r>
      <w:r w:rsidR="00E86770">
        <w:rPr>
          <w:rFonts w:ascii="Arial" w:hAnsi="Arial" w:cs="Arial"/>
          <w:sz w:val="22"/>
          <w:szCs w:val="22"/>
        </w:rPr>
        <w:t>estudio</w:t>
      </w:r>
      <w:r w:rsidR="00765249">
        <w:rPr>
          <w:rFonts w:ascii="Arial" w:hAnsi="Arial" w:cs="Arial"/>
          <w:sz w:val="22"/>
          <w:szCs w:val="22"/>
        </w:rPr>
        <w:t xml:space="preserve"> reciente</w:t>
      </w:r>
      <w:r w:rsidR="00E86770">
        <w:rPr>
          <w:rFonts w:ascii="Arial" w:hAnsi="Arial" w:cs="Arial"/>
          <w:sz w:val="22"/>
          <w:szCs w:val="22"/>
        </w:rPr>
        <w:t xml:space="preserve"> </w:t>
      </w:r>
      <w:r w:rsidR="007677AC">
        <w:rPr>
          <w:rFonts w:ascii="Arial" w:hAnsi="Arial" w:cs="Arial"/>
          <w:sz w:val="22"/>
          <w:szCs w:val="22"/>
        </w:rPr>
        <w:t>muestra</w:t>
      </w:r>
      <w:r w:rsidR="00E86770">
        <w:rPr>
          <w:rFonts w:ascii="Arial" w:hAnsi="Arial" w:cs="Arial"/>
          <w:sz w:val="22"/>
          <w:szCs w:val="22"/>
        </w:rPr>
        <w:t xml:space="preserve"> que contar con contar plurianuales mejora </w:t>
      </w:r>
      <w:r w:rsidR="007677AC">
        <w:rPr>
          <w:rFonts w:ascii="Arial" w:hAnsi="Arial" w:cs="Arial"/>
          <w:sz w:val="22"/>
          <w:szCs w:val="22"/>
        </w:rPr>
        <w:t>la</w:t>
      </w:r>
      <w:r w:rsidR="00E86770">
        <w:rPr>
          <w:rFonts w:ascii="Arial" w:hAnsi="Arial" w:cs="Arial"/>
          <w:sz w:val="22"/>
          <w:szCs w:val="22"/>
        </w:rPr>
        <w:t xml:space="preserve"> </w:t>
      </w:r>
      <w:r w:rsidR="00765249">
        <w:rPr>
          <w:rFonts w:ascii="Arial" w:hAnsi="Arial" w:cs="Arial"/>
          <w:sz w:val="22"/>
          <w:szCs w:val="22"/>
        </w:rPr>
        <w:t>planificación financiera</w:t>
      </w:r>
      <w:r w:rsidR="00F9580E">
        <w:rPr>
          <w:rFonts w:ascii="Arial" w:hAnsi="Arial" w:cs="Arial"/>
          <w:sz w:val="22"/>
          <w:szCs w:val="22"/>
        </w:rPr>
        <w:t>,</w:t>
      </w:r>
      <w:r w:rsidR="00765249">
        <w:rPr>
          <w:rFonts w:ascii="Arial" w:hAnsi="Arial" w:cs="Arial"/>
          <w:sz w:val="22"/>
          <w:szCs w:val="22"/>
        </w:rPr>
        <w:t xml:space="preserve"> </w:t>
      </w:r>
      <w:r w:rsidR="00F9580E">
        <w:rPr>
          <w:rFonts w:ascii="Arial" w:hAnsi="Arial" w:cs="Arial"/>
          <w:sz w:val="22"/>
          <w:szCs w:val="22"/>
        </w:rPr>
        <w:t xml:space="preserve">lo </w:t>
      </w:r>
      <w:r w:rsidR="00765249">
        <w:rPr>
          <w:rFonts w:ascii="Arial" w:hAnsi="Arial" w:cs="Arial"/>
          <w:sz w:val="22"/>
          <w:szCs w:val="22"/>
        </w:rPr>
        <w:t xml:space="preserve">que lleva a una mejora promedio en el balance fiscal de </w:t>
      </w:r>
      <w:r w:rsidR="00215781">
        <w:rPr>
          <w:rFonts w:ascii="Arial" w:hAnsi="Arial" w:cs="Arial"/>
          <w:sz w:val="22"/>
          <w:szCs w:val="22"/>
        </w:rPr>
        <w:t>dos</w:t>
      </w:r>
      <w:r w:rsidR="00765249">
        <w:rPr>
          <w:rFonts w:ascii="Arial" w:hAnsi="Arial" w:cs="Arial"/>
          <w:sz w:val="22"/>
          <w:szCs w:val="22"/>
        </w:rPr>
        <w:t xml:space="preserve"> puntos porcentuales del PIB</w:t>
      </w:r>
      <w:r w:rsidR="00765249" w:rsidRPr="00B14014">
        <w:rPr>
          <w:rStyle w:val="FootnoteReference"/>
          <w:rFonts w:ascii="Arial" w:hAnsi="Arial" w:cs="Arial"/>
          <w:spacing w:val="-4"/>
          <w:sz w:val="22"/>
          <w:szCs w:val="22"/>
          <w:lang w:val="es-ES"/>
        </w:rPr>
        <w:footnoteReference w:id="23"/>
      </w:r>
      <w:r w:rsidR="00E86770">
        <w:rPr>
          <w:rFonts w:ascii="Arial" w:hAnsi="Arial" w:cs="Arial"/>
          <w:sz w:val="22"/>
          <w:szCs w:val="22"/>
        </w:rPr>
        <w:t>. Este trabajo buscará</w:t>
      </w:r>
      <w:r w:rsidR="00765249">
        <w:rPr>
          <w:rFonts w:ascii="Arial" w:hAnsi="Arial" w:cs="Arial"/>
          <w:sz w:val="22"/>
          <w:szCs w:val="22"/>
        </w:rPr>
        <w:t xml:space="preserve"> </w:t>
      </w:r>
      <w:r w:rsidR="00765249">
        <w:rPr>
          <w:rFonts w:ascii="Arial" w:hAnsi="Arial" w:cs="Arial"/>
          <w:sz w:val="22"/>
          <w:szCs w:val="22"/>
        </w:rPr>
        <w:lastRenderedPageBreak/>
        <w:t xml:space="preserve">identificar si este efecto positivo </w:t>
      </w:r>
      <w:r w:rsidR="00F9580E">
        <w:rPr>
          <w:rFonts w:ascii="Arial" w:hAnsi="Arial" w:cs="Arial"/>
          <w:sz w:val="22"/>
          <w:szCs w:val="22"/>
        </w:rPr>
        <w:t>t</w:t>
      </w:r>
      <w:r w:rsidR="00AF099D">
        <w:rPr>
          <w:rFonts w:ascii="Arial" w:hAnsi="Arial" w:cs="Arial"/>
          <w:sz w:val="22"/>
          <w:szCs w:val="22"/>
        </w:rPr>
        <w:t xml:space="preserve">ambién </w:t>
      </w:r>
      <w:r w:rsidR="00F9580E">
        <w:rPr>
          <w:rFonts w:ascii="Arial" w:hAnsi="Arial" w:cs="Arial"/>
          <w:sz w:val="22"/>
          <w:szCs w:val="22"/>
        </w:rPr>
        <w:t xml:space="preserve">se encuentra </w:t>
      </w:r>
      <w:r w:rsidR="00765249">
        <w:rPr>
          <w:rFonts w:ascii="Arial" w:hAnsi="Arial" w:cs="Arial"/>
          <w:sz w:val="22"/>
          <w:szCs w:val="22"/>
        </w:rPr>
        <w:t xml:space="preserve">presente en los </w:t>
      </w:r>
      <w:r w:rsidR="00E86770">
        <w:rPr>
          <w:rFonts w:ascii="Arial" w:hAnsi="Arial" w:cs="Arial"/>
          <w:sz w:val="22"/>
          <w:szCs w:val="22"/>
        </w:rPr>
        <w:t>municipios mexicanos</w:t>
      </w:r>
      <w:r w:rsidR="00765249">
        <w:rPr>
          <w:rFonts w:ascii="Arial" w:hAnsi="Arial" w:cs="Arial"/>
          <w:sz w:val="22"/>
          <w:szCs w:val="22"/>
        </w:rPr>
        <w:t xml:space="preserve"> y, de ser así, cual es el tamaño de dicho efecto</w:t>
      </w:r>
      <w:r w:rsidR="00E86770">
        <w:rPr>
          <w:rFonts w:ascii="Arial" w:hAnsi="Arial" w:cs="Arial"/>
          <w:sz w:val="22"/>
          <w:szCs w:val="22"/>
        </w:rPr>
        <w:t>.</w:t>
      </w:r>
    </w:p>
    <w:p w14:paraId="6CC90D2E" w14:textId="4A261A69" w:rsidR="004327ED" w:rsidRPr="00112314" w:rsidRDefault="00676DFA" w:rsidP="004327ED">
      <w:pPr>
        <w:pStyle w:val="FirstHeading"/>
        <w:rPr>
          <w:rFonts w:ascii="Arial" w:hAnsi="Arial" w:cs="Arial"/>
          <w:noProof/>
          <w:sz w:val="22"/>
          <w:szCs w:val="22"/>
        </w:rPr>
      </w:pPr>
      <w:bookmarkStart w:id="11" w:name="_Toc468199043"/>
      <w:r>
        <w:rPr>
          <w:rFonts w:ascii="Arial" w:hAnsi="Arial" w:cs="Arial"/>
          <w:sz w:val="22"/>
          <w:szCs w:val="22"/>
        </w:rPr>
        <w:t>D</w:t>
      </w:r>
      <w:r w:rsidR="004327ED" w:rsidRPr="00112314">
        <w:rPr>
          <w:rFonts w:ascii="Arial" w:hAnsi="Arial" w:cs="Arial"/>
          <w:sz w:val="22"/>
          <w:szCs w:val="22"/>
        </w:rPr>
        <w:t>.</w:t>
      </w:r>
      <w:r w:rsidR="004327ED" w:rsidRPr="00112314">
        <w:rPr>
          <w:rFonts w:ascii="Arial" w:hAnsi="Arial" w:cs="Arial"/>
          <w:sz w:val="22"/>
          <w:szCs w:val="22"/>
        </w:rPr>
        <w:tab/>
      </w:r>
      <w:r w:rsidR="00022BE3" w:rsidRPr="00112314">
        <w:rPr>
          <w:rFonts w:ascii="Arial" w:hAnsi="Arial" w:cs="Arial"/>
          <w:sz w:val="22"/>
          <w:szCs w:val="22"/>
        </w:rPr>
        <w:t xml:space="preserve">Aspectos </w:t>
      </w:r>
      <w:r w:rsidR="00293D3B">
        <w:rPr>
          <w:rFonts w:ascii="Arial" w:hAnsi="Arial" w:cs="Arial"/>
          <w:sz w:val="22"/>
          <w:szCs w:val="22"/>
        </w:rPr>
        <w:t>t</w:t>
      </w:r>
      <w:r w:rsidR="00022BE3" w:rsidRPr="00112314">
        <w:rPr>
          <w:rFonts w:ascii="Arial" w:hAnsi="Arial" w:cs="Arial"/>
          <w:sz w:val="22"/>
          <w:szCs w:val="22"/>
        </w:rPr>
        <w:t xml:space="preserve">écnicos de la </w:t>
      </w:r>
      <w:r w:rsidR="00293D3B">
        <w:rPr>
          <w:rFonts w:ascii="Arial" w:hAnsi="Arial" w:cs="Arial"/>
          <w:sz w:val="22"/>
          <w:szCs w:val="22"/>
        </w:rPr>
        <w:t>e</w:t>
      </w:r>
      <w:r w:rsidR="00022BE3" w:rsidRPr="00112314">
        <w:rPr>
          <w:rFonts w:ascii="Arial" w:hAnsi="Arial" w:cs="Arial"/>
          <w:sz w:val="22"/>
          <w:szCs w:val="22"/>
        </w:rPr>
        <w:t xml:space="preserve">valuación </w:t>
      </w:r>
      <w:r w:rsidR="00293D3B">
        <w:rPr>
          <w:rFonts w:ascii="Arial" w:hAnsi="Arial" w:cs="Arial"/>
          <w:sz w:val="22"/>
          <w:szCs w:val="22"/>
        </w:rPr>
        <w:t>e</w:t>
      </w:r>
      <w:r w:rsidR="00022BE3" w:rsidRPr="00112314">
        <w:rPr>
          <w:rFonts w:ascii="Arial" w:hAnsi="Arial" w:cs="Arial"/>
          <w:sz w:val="22"/>
          <w:szCs w:val="22"/>
        </w:rPr>
        <w:t>x</w:t>
      </w:r>
      <w:r w:rsidR="00293D3B">
        <w:rPr>
          <w:rFonts w:ascii="Arial" w:hAnsi="Arial" w:cs="Arial"/>
          <w:sz w:val="22"/>
          <w:szCs w:val="22"/>
        </w:rPr>
        <w:t xml:space="preserve"> p</w:t>
      </w:r>
      <w:r w:rsidR="00022BE3" w:rsidRPr="00112314">
        <w:rPr>
          <w:rFonts w:ascii="Arial" w:hAnsi="Arial" w:cs="Arial"/>
          <w:sz w:val="22"/>
          <w:szCs w:val="22"/>
        </w:rPr>
        <w:t>ost</w:t>
      </w:r>
      <w:bookmarkEnd w:id="11"/>
    </w:p>
    <w:p w14:paraId="58D5F958" w14:textId="14306F5E" w:rsidR="005C5A58" w:rsidRDefault="00F24D91" w:rsidP="005C5A58">
      <w:pPr>
        <w:pStyle w:val="Paragraph"/>
        <w:rPr>
          <w:rFonts w:ascii="Arial" w:hAnsi="Arial" w:cs="Arial"/>
          <w:sz w:val="22"/>
          <w:szCs w:val="22"/>
        </w:rPr>
      </w:pPr>
      <w:r w:rsidRPr="00F24D91">
        <w:rPr>
          <w:rFonts w:ascii="Arial" w:hAnsi="Arial" w:cs="Arial"/>
          <w:sz w:val="22"/>
          <w:szCs w:val="22"/>
        </w:rPr>
        <w:t>E</w:t>
      </w:r>
      <w:r>
        <w:rPr>
          <w:rFonts w:ascii="Arial" w:hAnsi="Arial" w:cs="Arial"/>
          <w:sz w:val="22"/>
          <w:szCs w:val="22"/>
        </w:rPr>
        <w:t xml:space="preserve">n lo referente </w:t>
      </w:r>
      <w:r w:rsidRPr="003B167D">
        <w:rPr>
          <w:rFonts w:ascii="Arial" w:hAnsi="Arial" w:cs="Arial"/>
          <w:b/>
          <w:sz w:val="22"/>
          <w:szCs w:val="22"/>
        </w:rPr>
        <w:t>al estudio del efecto de</w:t>
      </w:r>
      <w:r w:rsidR="006F71F9">
        <w:rPr>
          <w:rFonts w:ascii="Arial" w:hAnsi="Arial" w:cs="Arial"/>
          <w:b/>
          <w:sz w:val="22"/>
          <w:szCs w:val="22"/>
        </w:rPr>
        <w:t xml:space="preserve"> </w:t>
      </w:r>
      <w:r w:rsidRPr="003B167D">
        <w:rPr>
          <w:rFonts w:ascii="Arial" w:hAnsi="Arial" w:cs="Arial"/>
          <w:b/>
          <w:sz w:val="22"/>
          <w:szCs w:val="22"/>
        </w:rPr>
        <w:t>l</w:t>
      </w:r>
      <w:r w:rsidR="006F71F9">
        <w:rPr>
          <w:rFonts w:ascii="Arial" w:hAnsi="Arial" w:cs="Arial"/>
          <w:b/>
          <w:sz w:val="22"/>
          <w:szCs w:val="22"/>
        </w:rPr>
        <w:t xml:space="preserve">a competencia </w:t>
      </w:r>
      <w:r w:rsidRPr="003B167D">
        <w:rPr>
          <w:rFonts w:ascii="Arial" w:hAnsi="Arial" w:cs="Arial"/>
          <w:b/>
          <w:sz w:val="22"/>
          <w:szCs w:val="22"/>
        </w:rPr>
        <w:t xml:space="preserve">sobre el costo de financiamiento de </w:t>
      </w:r>
      <w:proofErr w:type="spellStart"/>
      <w:r w:rsidRPr="003B167D">
        <w:rPr>
          <w:rFonts w:ascii="Arial" w:hAnsi="Arial" w:cs="Arial"/>
          <w:b/>
          <w:sz w:val="22"/>
          <w:szCs w:val="22"/>
        </w:rPr>
        <w:t>EyM</w:t>
      </w:r>
      <w:proofErr w:type="spellEnd"/>
      <w:r>
        <w:rPr>
          <w:rFonts w:ascii="Arial" w:hAnsi="Arial" w:cs="Arial"/>
          <w:sz w:val="22"/>
          <w:szCs w:val="22"/>
        </w:rPr>
        <w:t>,</w:t>
      </w:r>
      <w:r w:rsidR="00E86770">
        <w:rPr>
          <w:rFonts w:ascii="Arial" w:hAnsi="Arial" w:cs="Arial"/>
          <w:sz w:val="22"/>
          <w:szCs w:val="22"/>
        </w:rPr>
        <w:t xml:space="preserve"> </w:t>
      </w:r>
      <w:r w:rsidR="005C5A58">
        <w:rPr>
          <w:rFonts w:ascii="Arial" w:hAnsi="Arial" w:cs="Arial"/>
          <w:sz w:val="22"/>
          <w:szCs w:val="22"/>
        </w:rPr>
        <w:t>p</w:t>
      </w:r>
      <w:r w:rsidR="005C5A58" w:rsidRPr="005C5A58">
        <w:rPr>
          <w:rFonts w:ascii="Arial" w:hAnsi="Arial" w:cs="Arial"/>
          <w:sz w:val="22"/>
          <w:szCs w:val="22"/>
        </w:rPr>
        <w:t xml:space="preserve">ara identificar el efecto causal de la competencia en </w:t>
      </w:r>
      <w:r w:rsidR="00DD0B01">
        <w:rPr>
          <w:rFonts w:ascii="Arial" w:hAnsi="Arial" w:cs="Arial"/>
          <w:sz w:val="22"/>
          <w:szCs w:val="22"/>
        </w:rPr>
        <w:t xml:space="preserve">el costo del </w:t>
      </w:r>
      <w:r w:rsidR="005D592F">
        <w:rPr>
          <w:rFonts w:ascii="Arial" w:hAnsi="Arial" w:cs="Arial"/>
          <w:sz w:val="22"/>
          <w:szCs w:val="22"/>
        </w:rPr>
        <w:t>financiamiento</w:t>
      </w:r>
      <w:r w:rsidR="005C5A58" w:rsidRPr="005C5A58">
        <w:rPr>
          <w:rFonts w:ascii="Arial" w:hAnsi="Arial" w:cs="Arial"/>
          <w:sz w:val="22"/>
          <w:szCs w:val="22"/>
        </w:rPr>
        <w:t xml:space="preserve"> </w:t>
      </w:r>
      <w:r w:rsidR="005D592F">
        <w:rPr>
          <w:rFonts w:ascii="Arial" w:hAnsi="Arial" w:cs="Arial"/>
          <w:sz w:val="22"/>
          <w:szCs w:val="22"/>
        </w:rPr>
        <w:t>se</w:t>
      </w:r>
      <w:r w:rsidR="005C5A58" w:rsidRPr="005C5A58">
        <w:rPr>
          <w:rFonts w:ascii="Arial" w:hAnsi="Arial" w:cs="Arial"/>
          <w:sz w:val="22"/>
          <w:szCs w:val="22"/>
        </w:rPr>
        <w:t xml:space="preserve"> seguirá una estrategia de regresión de variables instrumentales</w:t>
      </w:r>
      <w:r w:rsidR="005D592F">
        <w:rPr>
          <w:rFonts w:ascii="Arial" w:hAnsi="Arial" w:cs="Arial"/>
          <w:sz w:val="22"/>
          <w:szCs w:val="22"/>
        </w:rPr>
        <w:t>.</w:t>
      </w:r>
      <w:r w:rsidR="00595471">
        <w:rPr>
          <w:rFonts w:ascii="Arial" w:hAnsi="Arial" w:cs="Arial"/>
          <w:sz w:val="22"/>
          <w:szCs w:val="22"/>
        </w:rPr>
        <w:t xml:space="preserve"> S</w:t>
      </w:r>
      <w:r w:rsidR="005C5A58" w:rsidRPr="005C5A58">
        <w:rPr>
          <w:rFonts w:ascii="Arial" w:hAnsi="Arial" w:cs="Arial"/>
          <w:sz w:val="22"/>
          <w:szCs w:val="22"/>
        </w:rPr>
        <w:t xml:space="preserve">e desarrollará un modelo </w:t>
      </w:r>
      <w:r w:rsidR="007A06B8">
        <w:rPr>
          <w:rFonts w:ascii="Arial" w:hAnsi="Arial" w:cs="Arial"/>
          <w:sz w:val="22"/>
          <w:szCs w:val="22"/>
        </w:rPr>
        <w:t xml:space="preserve">de dos ecuaciones, una </w:t>
      </w:r>
      <w:r w:rsidR="00595471">
        <w:rPr>
          <w:rFonts w:ascii="Arial" w:hAnsi="Arial" w:cs="Arial"/>
          <w:sz w:val="22"/>
          <w:szCs w:val="22"/>
        </w:rPr>
        <w:t>para predecir la</w:t>
      </w:r>
      <w:r w:rsidR="005C5A58" w:rsidRPr="005C5A58">
        <w:rPr>
          <w:rFonts w:ascii="Arial" w:hAnsi="Arial" w:cs="Arial"/>
          <w:sz w:val="22"/>
          <w:szCs w:val="22"/>
        </w:rPr>
        <w:t xml:space="preserve"> participación</w:t>
      </w:r>
      <w:r w:rsidR="00595471">
        <w:rPr>
          <w:rFonts w:ascii="Arial" w:hAnsi="Arial" w:cs="Arial"/>
          <w:sz w:val="22"/>
          <w:szCs w:val="22"/>
        </w:rPr>
        <w:t xml:space="preserve"> de bancos</w:t>
      </w:r>
      <w:r w:rsidR="005C5A58" w:rsidRPr="005C5A58">
        <w:rPr>
          <w:rFonts w:ascii="Arial" w:hAnsi="Arial" w:cs="Arial"/>
          <w:sz w:val="22"/>
          <w:szCs w:val="22"/>
        </w:rPr>
        <w:t xml:space="preserve"> en </w:t>
      </w:r>
      <w:r w:rsidR="00595471">
        <w:rPr>
          <w:rFonts w:ascii="Arial" w:hAnsi="Arial" w:cs="Arial"/>
          <w:sz w:val="22"/>
          <w:szCs w:val="22"/>
        </w:rPr>
        <w:t>un proceso competitivo específico</w:t>
      </w:r>
      <w:r w:rsidR="009848EE">
        <w:rPr>
          <w:rFonts w:ascii="Arial" w:hAnsi="Arial" w:cs="Arial"/>
          <w:sz w:val="22"/>
          <w:szCs w:val="22"/>
        </w:rPr>
        <w:t xml:space="preserve"> y otra para predecir el costo efectivo del financiamiento ofertado</w:t>
      </w:r>
      <w:r w:rsidR="005C5A58" w:rsidRPr="005C5A58">
        <w:rPr>
          <w:rFonts w:ascii="Arial" w:hAnsi="Arial" w:cs="Arial"/>
          <w:sz w:val="22"/>
          <w:szCs w:val="22"/>
        </w:rPr>
        <w:t xml:space="preserve"> (condicional a la participación). En esencia, el proceso de toma de decisiones de una institución financiera se estudiará primero, si participar o no en una subasta y, en caso afirmativo, </w:t>
      </w:r>
      <w:r w:rsidR="009E2B9A">
        <w:rPr>
          <w:rFonts w:ascii="Arial" w:hAnsi="Arial" w:cs="Arial"/>
          <w:sz w:val="22"/>
          <w:szCs w:val="22"/>
        </w:rPr>
        <w:t>qué costo</w:t>
      </w:r>
      <w:r w:rsidR="005C5A58" w:rsidRPr="005C5A58">
        <w:rPr>
          <w:rFonts w:ascii="Arial" w:hAnsi="Arial" w:cs="Arial"/>
          <w:sz w:val="22"/>
          <w:szCs w:val="22"/>
        </w:rPr>
        <w:t xml:space="preserve"> </w:t>
      </w:r>
      <w:r w:rsidR="009E2B9A">
        <w:rPr>
          <w:rFonts w:ascii="Arial" w:hAnsi="Arial" w:cs="Arial"/>
          <w:sz w:val="22"/>
          <w:szCs w:val="22"/>
        </w:rPr>
        <w:t>ofrecer</w:t>
      </w:r>
      <w:r w:rsidR="005C5A58" w:rsidRPr="005C5A58">
        <w:rPr>
          <w:rFonts w:ascii="Arial" w:hAnsi="Arial" w:cs="Arial"/>
          <w:sz w:val="22"/>
          <w:szCs w:val="22"/>
        </w:rPr>
        <w:t>.</w:t>
      </w:r>
    </w:p>
    <w:p w14:paraId="0422FDDF" w14:textId="0C727C48" w:rsidR="00AE7E84" w:rsidRPr="005C5A58" w:rsidRDefault="004E0F06" w:rsidP="005C5A58">
      <w:pPr>
        <w:pStyle w:val="Paragraph"/>
        <w:rPr>
          <w:rFonts w:ascii="Arial" w:hAnsi="Arial" w:cs="Arial"/>
          <w:sz w:val="22"/>
          <w:szCs w:val="22"/>
        </w:rPr>
      </w:pPr>
      <w:r>
        <w:rPr>
          <w:rFonts w:ascii="Arial" w:hAnsi="Arial" w:cs="Arial"/>
          <w:sz w:val="22"/>
          <w:szCs w:val="22"/>
        </w:rPr>
        <w:t>Esta estrategia de</w:t>
      </w:r>
      <w:r w:rsidR="00AE7E84" w:rsidRPr="00AE7E84">
        <w:rPr>
          <w:rFonts w:ascii="Arial" w:hAnsi="Arial" w:cs="Arial"/>
          <w:sz w:val="22"/>
          <w:szCs w:val="22"/>
        </w:rPr>
        <w:t xml:space="preserve"> identificación del efecto de la competencia sobre los costos de los préstamos que enfrentan l</w:t>
      </w:r>
      <w:r>
        <w:rPr>
          <w:rFonts w:ascii="Arial" w:hAnsi="Arial" w:cs="Arial"/>
          <w:sz w:val="22"/>
          <w:szCs w:val="22"/>
        </w:rPr>
        <w:t xml:space="preserve">as </w:t>
      </w:r>
      <w:proofErr w:type="spellStart"/>
      <w:r>
        <w:rPr>
          <w:rFonts w:ascii="Arial" w:hAnsi="Arial" w:cs="Arial"/>
          <w:sz w:val="22"/>
          <w:szCs w:val="22"/>
        </w:rPr>
        <w:t>EyM</w:t>
      </w:r>
      <w:proofErr w:type="spellEnd"/>
      <w:r>
        <w:rPr>
          <w:rFonts w:ascii="Arial" w:hAnsi="Arial" w:cs="Arial"/>
          <w:sz w:val="22"/>
          <w:szCs w:val="22"/>
        </w:rPr>
        <w:t xml:space="preserve"> se seguirá ya que </w:t>
      </w:r>
      <w:r w:rsidR="00AE7E84" w:rsidRPr="00AE7E84">
        <w:rPr>
          <w:rFonts w:ascii="Arial" w:hAnsi="Arial" w:cs="Arial"/>
          <w:sz w:val="22"/>
          <w:szCs w:val="22"/>
        </w:rPr>
        <w:t xml:space="preserve">requiere que se utilice una variación exógena en la competencia para estimar el efecto de la competencia en los resultados. No se puede encontrar una variación exógena simplemente comparando </w:t>
      </w:r>
      <w:r w:rsidR="00D64696">
        <w:rPr>
          <w:rFonts w:ascii="Arial" w:hAnsi="Arial" w:cs="Arial"/>
          <w:sz w:val="22"/>
          <w:szCs w:val="22"/>
        </w:rPr>
        <w:t>los procesos competitivos</w:t>
      </w:r>
      <w:r w:rsidR="00AE7E84" w:rsidRPr="00AE7E84">
        <w:rPr>
          <w:rFonts w:ascii="Arial" w:hAnsi="Arial" w:cs="Arial"/>
          <w:sz w:val="22"/>
          <w:szCs w:val="22"/>
        </w:rPr>
        <w:t xml:space="preserve"> con un número mayor de oferentes con las subastas con un número menor de oferentes. El problema es que la cantidad de oferentes que atrae un</w:t>
      </w:r>
      <w:r w:rsidR="00D64696">
        <w:rPr>
          <w:rFonts w:ascii="Arial" w:hAnsi="Arial" w:cs="Arial"/>
          <w:sz w:val="22"/>
          <w:szCs w:val="22"/>
        </w:rPr>
        <w:t xml:space="preserve"> proceso competitivo</w:t>
      </w:r>
      <w:r w:rsidR="00AE7E84" w:rsidRPr="00AE7E84">
        <w:rPr>
          <w:rFonts w:ascii="Arial" w:hAnsi="Arial" w:cs="Arial"/>
          <w:sz w:val="22"/>
          <w:szCs w:val="22"/>
        </w:rPr>
        <w:t xml:space="preserve"> probablemente esté </w:t>
      </w:r>
      <w:r w:rsidR="00D64696" w:rsidRPr="00AE7E84">
        <w:rPr>
          <w:rFonts w:ascii="Arial" w:hAnsi="Arial" w:cs="Arial"/>
          <w:sz w:val="22"/>
          <w:szCs w:val="22"/>
        </w:rPr>
        <w:t>relacionad</w:t>
      </w:r>
      <w:r w:rsidR="00D64696">
        <w:rPr>
          <w:rFonts w:ascii="Arial" w:hAnsi="Arial" w:cs="Arial"/>
          <w:sz w:val="22"/>
          <w:szCs w:val="22"/>
        </w:rPr>
        <w:t>a</w:t>
      </w:r>
      <w:r w:rsidR="00AE7E84" w:rsidRPr="00AE7E84">
        <w:rPr>
          <w:rFonts w:ascii="Arial" w:hAnsi="Arial" w:cs="Arial"/>
          <w:sz w:val="22"/>
          <w:szCs w:val="22"/>
        </w:rPr>
        <w:t xml:space="preserve"> con una serie de factores observados y no observados. Si un subconjunto de los factores no observados que determinan el número de oferentes también determina parcialmente los resultados del proceso </w:t>
      </w:r>
      <w:r w:rsidR="0082097C">
        <w:rPr>
          <w:rFonts w:ascii="Arial" w:hAnsi="Arial" w:cs="Arial"/>
          <w:sz w:val="22"/>
          <w:szCs w:val="22"/>
        </w:rPr>
        <w:t>competitivo</w:t>
      </w:r>
      <w:r w:rsidR="00AE7E84" w:rsidRPr="00AE7E84">
        <w:rPr>
          <w:rFonts w:ascii="Arial" w:hAnsi="Arial" w:cs="Arial"/>
          <w:sz w:val="22"/>
          <w:szCs w:val="22"/>
        </w:rPr>
        <w:t>, entonces la variación en el número de postores es endógena, lo que excluye la identificación sin más modelos econométricos. En este caso, el número de oferentes se tratará como un resultado a modelar. La decisión de participación de cada licitante se modelará para identificar los factores observados relevantes que afectan la presencia de un licitante como licitador en una subasta determinada. Por separado, los resultados de cada subasta se modelarán para identificar qué aspectos son importantes para determinar los resultados de interés.</w:t>
      </w:r>
    </w:p>
    <w:p w14:paraId="0D825852" w14:textId="162DF226" w:rsidR="008A2C2A" w:rsidRPr="00E86770" w:rsidRDefault="008A2C2A" w:rsidP="00ED6587">
      <w:pPr>
        <w:pStyle w:val="Paragraph"/>
        <w:rPr>
          <w:rFonts w:ascii="Arial" w:hAnsi="Arial" w:cs="Arial"/>
          <w:sz w:val="22"/>
          <w:szCs w:val="22"/>
        </w:rPr>
      </w:pPr>
      <w:r w:rsidRPr="00E86770">
        <w:rPr>
          <w:rFonts w:ascii="Arial" w:hAnsi="Arial" w:cs="Arial"/>
          <w:sz w:val="22"/>
          <w:szCs w:val="22"/>
        </w:rPr>
        <w:t>Para la realización de los análisis propuestos se considerará la información a genera</w:t>
      </w:r>
      <w:r w:rsidR="000E614E">
        <w:rPr>
          <w:rFonts w:ascii="Arial" w:hAnsi="Arial" w:cs="Arial"/>
          <w:sz w:val="22"/>
          <w:szCs w:val="22"/>
        </w:rPr>
        <w:t>da</w:t>
      </w:r>
      <w:r w:rsidRPr="00E86770">
        <w:rPr>
          <w:rFonts w:ascii="Arial" w:hAnsi="Arial" w:cs="Arial"/>
          <w:sz w:val="22"/>
          <w:szCs w:val="22"/>
        </w:rPr>
        <w:t xml:space="preserve"> a través del Registro Público Único (RPU)</w:t>
      </w:r>
      <w:r w:rsidR="00B21E97">
        <w:rPr>
          <w:rFonts w:ascii="Arial" w:hAnsi="Arial" w:cs="Arial"/>
          <w:sz w:val="22"/>
          <w:szCs w:val="22"/>
        </w:rPr>
        <w:t>. Esta base de batos se actualiza de manera continua</w:t>
      </w:r>
      <w:r w:rsidR="0025684F">
        <w:rPr>
          <w:rFonts w:ascii="Arial" w:hAnsi="Arial" w:cs="Arial"/>
          <w:sz w:val="22"/>
          <w:szCs w:val="22"/>
        </w:rPr>
        <w:t xml:space="preserve"> y en la misma </w:t>
      </w:r>
      <w:r w:rsidR="00B21E97">
        <w:rPr>
          <w:rFonts w:ascii="Arial" w:hAnsi="Arial" w:cs="Arial"/>
          <w:sz w:val="22"/>
          <w:szCs w:val="22"/>
        </w:rPr>
        <w:t>cada financiamiento se considera como una observación.</w:t>
      </w:r>
      <w:r w:rsidR="0025684F">
        <w:rPr>
          <w:rFonts w:ascii="Arial" w:hAnsi="Arial" w:cs="Arial"/>
          <w:sz w:val="22"/>
          <w:szCs w:val="22"/>
        </w:rPr>
        <w:t xml:space="preserve"> Las variables de control provendrán de la base de datos de finanzas públicas de datos y municipios que produce el INEGI.</w:t>
      </w:r>
    </w:p>
    <w:p w14:paraId="17A922B7" w14:textId="5F416E46" w:rsidR="005B6EA3" w:rsidRDefault="008A2C2A" w:rsidP="005B6EA3">
      <w:pPr>
        <w:pStyle w:val="Paragraph"/>
        <w:rPr>
          <w:rFonts w:ascii="Arial" w:hAnsi="Arial" w:cs="Arial"/>
          <w:sz w:val="22"/>
          <w:szCs w:val="22"/>
        </w:rPr>
      </w:pPr>
      <w:r w:rsidRPr="008A2C2A">
        <w:rPr>
          <w:rFonts w:ascii="Arial" w:hAnsi="Arial" w:cs="Arial"/>
          <w:sz w:val="22"/>
          <w:szCs w:val="22"/>
        </w:rPr>
        <w:t xml:space="preserve">En lo referente </w:t>
      </w:r>
      <w:r w:rsidRPr="008A2C2A">
        <w:rPr>
          <w:rFonts w:ascii="Arial" w:hAnsi="Arial" w:cs="Arial"/>
          <w:i/>
          <w:sz w:val="22"/>
          <w:szCs w:val="22"/>
        </w:rPr>
        <w:t xml:space="preserve">al estudio </w:t>
      </w:r>
      <w:r w:rsidRPr="00E86770">
        <w:rPr>
          <w:rFonts w:ascii="Arial" w:hAnsi="Arial" w:cs="Arial"/>
          <w:i/>
          <w:sz w:val="22"/>
          <w:szCs w:val="22"/>
        </w:rPr>
        <w:t xml:space="preserve">del </w:t>
      </w:r>
      <w:r w:rsidRPr="003B167D">
        <w:rPr>
          <w:rFonts w:ascii="Arial" w:hAnsi="Arial" w:cs="Arial"/>
          <w:b/>
          <w:sz w:val="22"/>
          <w:szCs w:val="22"/>
        </w:rPr>
        <w:t>efecto de la planificación financiera sobre las finanzas públicas municipales</w:t>
      </w:r>
      <w:r w:rsidRPr="00E86770">
        <w:rPr>
          <w:rFonts w:ascii="Arial" w:hAnsi="Arial" w:cs="Arial"/>
          <w:sz w:val="22"/>
          <w:szCs w:val="22"/>
        </w:rPr>
        <w:t xml:space="preserve">, </w:t>
      </w:r>
      <w:r w:rsidR="00E86770" w:rsidRPr="00E86770">
        <w:rPr>
          <w:rFonts w:ascii="Arial" w:hAnsi="Arial" w:cs="Arial"/>
          <w:sz w:val="22"/>
          <w:szCs w:val="22"/>
        </w:rPr>
        <w:t xml:space="preserve">también se espera poder utilizar </w:t>
      </w:r>
      <w:r w:rsidRPr="00E86770">
        <w:rPr>
          <w:rFonts w:ascii="Arial" w:hAnsi="Arial" w:cs="Arial"/>
          <w:sz w:val="22"/>
          <w:szCs w:val="22"/>
        </w:rPr>
        <w:t>un diseño de regresión discontinua (</w:t>
      </w:r>
      <w:proofErr w:type="spellStart"/>
      <w:r w:rsidRPr="00E86770">
        <w:rPr>
          <w:rFonts w:ascii="Arial" w:hAnsi="Arial" w:cs="Arial"/>
          <w:i/>
          <w:sz w:val="22"/>
          <w:szCs w:val="22"/>
          <w:lang w:val="es-MX"/>
        </w:rPr>
        <w:t>regression</w:t>
      </w:r>
      <w:proofErr w:type="spellEnd"/>
      <w:r w:rsidRPr="00E86770">
        <w:rPr>
          <w:rFonts w:ascii="Arial" w:hAnsi="Arial" w:cs="Arial"/>
          <w:i/>
          <w:sz w:val="22"/>
          <w:szCs w:val="22"/>
          <w:lang w:val="es-MX"/>
        </w:rPr>
        <w:t xml:space="preserve"> </w:t>
      </w:r>
      <w:proofErr w:type="spellStart"/>
      <w:r w:rsidRPr="00E86770">
        <w:rPr>
          <w:rFonts w:ascii="Arial" w:hAnsi="Arial" w:cs="Arial"/>
          <w:i/>
          <w:sz w:val="22"/>
          <w:szCs w:val="22"/>
          <w:lang w:val="es-MX"/>
        </w:rPr>
        <w:t>discontinuity</w:t>
      </w:r>
      <w:proofErr w:type="spellEnd"/>
      <w:r w:rsidRPr="00E86770">
        <w:rPr>
          <w:rFonts w:ascii="Arial" w:hAnsi="Arial" w:cs="Arial"/>
          <w:i/>
          <w:sz w:val="22"/>
          <w:szCs w:val="22"/>
          <w:lang w:val="es-MX"/>
        </w:rPr>
        <w:t xml:space="preserve"> </w:t>
      </w:r>
      <w:proofErr w:type="spellStart"/>
      <w:r w:rsidRPr="00E86770">
        <w:rPr>
          <w:rFonts w:ascii="Arial" w:hAnsi="Arial" w:cs="Arial"/>
          <w:i/>
          <w:sz w:val="22"/>
          <w:szCs w:val="22"/>
          <w:lang w:val="es-MX"/>
        </w:rPr>
        <w:t>design</w:t>
      </w:r>
      <w:proofErr w:type="spellEnd"/>
      <w:r w:rsidRPr="00E86770">
        <w:rPr>
          <w:rFonts w:ascii="Arial" w:hAnsi="Arial" w:cs="Arial"/>
          <w:sz w:val="22"/>
          <w:szCs w:val="22"/>
        </w:rPr>
        <w:t>)</w:t>
      </w:r>
      <w:r w:rsidR="00E86770" w:rsidRPr="00E86770">
        <w:rPr>
          <w:rFonts w:ascii="Arial" w:hAnsi="Arial" w:cs="Arial"/>
          <w:sz w:val="22"/>
          <w:szCs w:val="22"/>
        </w:rPr>
        <w:t xml:space="preserve">. La LDF establece distintos requerimientos para municipios con población </w:t>
      </w:r>
      <w:r w:rsidR="00AF099D">
        <w:rPr>
          <w:rFonts w:ascii="Arial" w:hAnsi="Arial" w:cs="Arial"/>
          <w:sz w:val="22"/>
          <w:szCs w:val="22"/>
        </w:rPr>
        <w:t xml:space="preserve">hasta </w:t>
      </w:r>
      <w:r w:rsidR="00E86770" w:rsidRPr="00E86770">
        <w:rPr>
          <w:rFonts w:ascii="Arial" w:hAnsi="Arial" w:cs="Arial"/>
          <w:sz w:val="22"/>
          <w:szCs w:val="22"/>
        </w:rPr>
        <w:t>200.000 habitantes</w:t>
      </w:r>
      <w:r w:rsidR="0089766C">
        <w:rPr>
          <w:rFonts w:ascii="Arial" w:hAnsi="Arial" w:cs="Arial"/>
          <w:sz w:val="22"/>
          <w:szCs w:val="22"/>
        </w:rPr>
        <w:t xml:space="preserve"> y municipios con población superior a los 200.000 habitantes.</w:t>
      </w:r>
      <w:r w:rsidR="00E86770" w:rsidRPr="00E86770">
        <w:rPr>
          <w:rFonts w:ascii="Arial" w:hAnsi="Arial" w:cs="Arial"/>
          <w:sz w:val="22"/>
          <w:szCs w:val="22"/>
        </w:rPr>
        <w:t xml:space="preserve"> A los municipios con población superior a los 200.000 habitantes se les requiere presentar proyecciones de finanzas públicas que abarquen </w:t>
      </w:r>
      <w:r w:rsidR="00E86770" w:rsidRPr="00E86770">
        <w:rPr>
          <w:rFonts w:ascii="Arial" w:eastAsiaTheme="minorHAnsi" w:hAnsi="Arial" w:cs="Arial"/>
          <w:sz w:val="22"/>
          <w:szCs w:val="22"/>
          <w:lang w:val="es-MX"/>
        </w:rPr>
        <w:t>un periodo de tres años en adición al ejercicio fiscal en cuestión</w:t>
      </w:r>
      <w:r w:rsidR="00AF099D">
        <w:rPr>
          <w:rFonts w:ascii="Arial" w:eastAsiaTheme="minorHAnsi" w:hAnsi="Arial" w:cs="Arial"/>
          <w:sz w:val="22"/>
          <w:szCs w:val="22"/>
          <w:lang w:val="es-MX"/>
        </w:rPr>
        <w:t>. A</w:t>
      </w:r>
      <w:r w:rsidR="00AF099D" w:rsidRPr="00E86770">
        <w:rPr>
          <w:rFonts w:ascii="Arial" w:eastAsiaTheme="minorHAnsi" w:hAnsi="Arial" w:cs="Arial"/>
          <w:sz w:val="22"/>
          <w:szCs w:val="22"/>
          <w:lang w:val="es-MX"/>
        </w:rPr>
        <w:t>demás,</w:t>
      </w:r>
      <w:r w:rsidR="00E86770" w:rsidRPr="00E86770">
        <w:rPr>
          <w:rFonts w:ascii="Arial" w:eastAsiaTheme="minorHAnsi" w:hAnsi="Arial" w:cs="Arial"/>
          <w:sz w:val="22"/>
          <w:szCs w:val="22"/>
          <w:lang w:val="es-MX"/>
        </w:rPr>
        <w:t xml:space="preserve"> </w:t>
      </w:r>
      <w:r w:rsidR="00AF099D">
        <w:rPr>
          <w:rFonts w:ascii="Arial" w:eastAsiaTheme="minorHAnsi" w:hAnsi="Arial" w:cs="Arial"/>
          <w:sz w:val="22"/>
          <w:szCs w:val="22"/>
          <w:lang w:val="es-MX"/>
        </w:rPr>
        <w:t xml:space="preserve">se les obliga a </w:t>
      </w:r>
      <w:r w:rsidR="00E86770" w:rsidRPr="00E86770">
        <w:rPr>
          <w:rFonts w:ascii="Arial" w:eastAsiaTheme="minorHAnsi" w:hAnsi="Arial" w:cs="Arial"/>
          <w:sz w:val="22"/>
          <w:szCs w:val="22"/>
          <w:lang w:val="es-MX"/>
        </w:rPr>
        <w:t xml:space="preserve">presentar </w:t>
      </w:r>
      <w:r w:rsidR="00AF099D">
        <w:rPr>
          <w:rFonts w:ascii="Arial" w:eastAsiaTheme="minorHAnsi" w:hAnsi="Arial" w:cs="Arial"/>
          <w:sz w:val="22"/>
          <w:szCs w:val="22"/>
          <w:lang w:val="es-MX"/>
        </w:rPr>
        <w:t>resultados de su</w:t>
      </w:r>
      <w:r w:rsidR="00E86770" w:rsidRPr="00E86770">
        <w:rPr>
          <w:rFonts w:ascii="Arial" w:eastAsiaTheme="minorHAnsi" w:hAnsi="Arial" w:cs="Arial"/>
          <w:sz w:val="22"/>
          <w:szCs w:val="22"/>
          <w:lang w:val="es-MX"/>
        </w:rPr>
        <w:t>s f</w:t>
      </w:r>
      <w:r w:rsidR="00AF099D">
        <w:rPr>
          <w:rFonts w:ascii="Arial" w:eastAsiaTheme="minorHAnsi" w:hAnsi="Arial" w:cs="Arial"/>
          <w:sz w:val="22"/>
          <w:szCs w:val="22"/>
          <w:lang w:val="es-MX"/>
        </w:rPr>
        <w:t>inanzas públicas que abarquen el</w:t>
      </w:r>
      <w:r w:rsidR="00E86770" w:rsidRPr="00E86770">
        <w:rPr>
          <w:rFonts w:ascii="Arial" w:eastAsiaTheme="minorHAnsi" w:hAnsi="Arial" w:cs="Arial"/>
          <w:sz w:val="22"/>
          <w:szCs w:val="22"/>
          <w:lang w:val="es-MX"/>
        </w:rPr>
        <w:t xml:space="preserve"> periodo de </w:t>
      </w:r>
      <w:r w:rsidR="00AF099D">
        <w:rPr>
          <w:rFonts w:ascii="Arial" w:eastAsiaTheme="minorHAnsi" w:hAnsi="Arial" w:cs="Arial"/>
          <w:sz w:val="22"/>
          <w:szCs w:val="22"/>
          <w:lang w:val="es-MX"/>
        </w:rPr>
        <w:t>lo</w:t>
      </w:r>
      <w:r w:rsidR="00E86770" w:rsidRPr="00E86770">
        <w:rPr>
          <w:rFonts w:ascii="Arial" w:eastAsiaTheme="minorHAnsi" w:hAnsi="Arial" w:cs="Arial"/>
          <w:sz w:val="22"/>
          <w:szCs w:val="22"/>
          <w:lang w:val="es-MX"/>
        </w:rPr>
        <w:t xml:space="preserve">s tres últimos años </w:t>
      </w:r>
      <w:r w:rsidR="00E86770">
        <w:rPr>
          <w:rFonts w:ascii="Arial" w:eastAsiaTheme="minorHAnsi" w:hAnsi="Arial" w:cs="Arial"/>
          <w:sz w:val="22"/>
          <w:szCs w:val="22"/>
          <w:lang w:val="es-MX"/>
        </w:rPr>
        <w:t xml:space="preserve">anterior al periodo fiscal en cuestión. </w:t>
      </w:r>
      <w:r w:rsidR="005B6EA3">
        <w:rPr>
          <w:rFonts w:ascii="Arial" w:eastAsiaTheme="minorHAnsi" w:hAnsi="Arial" w:cs="Arial"/>
          <w:sz w:val="22"/>
          <w:szCs w:val="22"/>
          <w:lang w:val="es-MX"/>
        </w:rPr>
        <w:t xml:space="preserve">En el caso de los municipios con </w:t>
      </w:r>
      <w:r w:rsidR="0089766C">
        <w:rPr>
          <w:rFonts w:ascii="Arial" w:eastAsiaTheme="minorHAnsi" w:hAnsi="Arial" w:cs="Arial"/>
          <w:sz w:val="22"/>
          <w:szCs w:val="22"/>
          <w:lang w:val="es-MX"/>
        </w:rPr>
        <w:t xml:space="preserve">población </w:t>
      </w:r>
      <w:r w:rsidR="005B6EA3">
        <w:rPr>
          <w:rFonts w:ascii="Arial" w:eastAsiaTheme="minorHAnsi" w:hAnsi="Arial" w:cs="Arial"/>
          <w:sz w:val="22"/>
          <w:szCs w:val="22"/>
          <w:lang w:val="es-MX"/>
        </w:rPr>
        <w:t xml:space="preserve">hasta 200.000 habitantes, los periodos de tres años se ven reducidos a periodos de un año, pudiendo llevar a una menor planificación financiera. El estudio comparará </w:t>
      </w:r>
      <w:r w:rsidR="005B6EA3">
        <w:rPr>
          <w:rFonts w:ascii="Arial" w:eastAsiaTheme="minorHAnsi" w:hAnsi="Arial" w:cs="Arial"/>
          <w:sz w:val="22"/>
          <w:szCs w:val="22"/>
          <w:lang w:val="es-MX"/>
        </w:rPr>
        <w:lastRenderedPageBreak/>
        <w:t xml:space="preserve">entonces </w:t>
      </w:r>
      <w:r w:rsidR="005B6EA3">
        <w:rPr>
          <w:rFonts w:ascii="Arial" w:hAnsi="Arial" w:cs="Arial"/>
          <w:sz w:val="22"/>
          <w:szCs w:val="22"/>
        </w:rPr>
        <w:t xml:space="preserve">la evolución de los resultados fiscales en </w:t>
      </w:r>
      <w:r w:rsidR="005B6EA3" w:rsidRPr="00F8563E">
        <w:rPr>
          <w:rFonts w:ascii="Arial" w:hAnsi="Arial" w:cs="Arial"/>
          <w:sz w:val="22"/>
          <w:szCs w:val="22"/>
        </w:rPr>
        <w:t xml:space="preserve">los municipios </w:t>
      </w:r>
      <w:r w:rsidR="001A5A3B">
        <w:rPr>
          <w:rFonts w:ascii="Arial" w:hAnsi="Arial" w:cs="Arial"/>
          <w:sz w:val="22"/>
          <w:szCs w:val="22"/>
        </w:rPr>
        <w:t xml:space="preserve">con más y menos de 200.000 habitantes, para ver si </w:t>
      </w:r>
      <w:r w:rsidR="00203793">
        <w:rPr>
          <w:rFonts w:ascii="Arial" w:hAnsi="Arial" w:cs="Arial"/>
          <w:sz w:val="22"/>
          <w:szCs w:val="22"/>
        </w:rPr>
        <w:t>hubo</w:t>
      </w:r>
      <w:r w:rsidR="001A5A3B">
        <w:rPr>
          <w:rFonts w:ascii="Arial" w:hAnsi="Arial" w:cs="Arial"/>
          <w:sz w:val="22"/>
          <w:szCs w:val="22"/>
        </w:rPr>
        <w:t xml:space="preserve"> cambios significativos en la dinámica de la deuda en estos dos tipos de municipios.</w:t>
      </w:r>
      <w:r w:rsidR="00DB3BBA">
        <w:rPr>
          <w:rFonts w:ascii="Arial" w:hAnsi="Arial" w:cs="Arial"/>
          <w:sz w:val="22"/>
          <w:szCs w:val="22"/>
        </w:rPr>
        <w:t xml:space="preserve"> Existen en México </w:t>
      </w:r>
      <w:r w:rsidR="009D0539">
        <w:rPr>
          <w:rFonts w:ascii="Arial" w:hAnsi="Arial" w:cs="Arial"/>
          <w:sz w:val="22"/>
          <w:szCs w:val="22"/>
        </w:rPr>
        <w:t>2.344 municipios con población menor a 200</w:t>
      </w:r>
      <w:r w:rsidR="00293D3B">
        <w:rPr>
          <w:rFonts w:ascii="Arial" w:hAnsi="Arial" w:cs="Arial"/>
          <w:sz w:val="22"/>
          <w:szCs w:val="22"/>
        </w:rPr>
        <w:t>.000</w:t>
      </w:r>
      <w:r w:rsidR="009D0539">
        <w:rPr>
          <w:rFonts w:ascii="Arial" w:hAnsi="Arial" w:cs="Arial"/>
          <w:sz w:val="22"/>
          <w:szCs w:val="22"/>
        </w:rPr>
        <w:t xml:space="preserve"> habitantes y otros 99 con población por encima se dicho umbral. Adicionalmente, 112 municipios cuentan con una población entre 100</w:t>
      </w:r>
      <w:r w:rsidR="00293D3B">
        <w:rPr>
          <w:rFonts w:ascii="Arial" w:hAnsi="Arial" w:cs="Arial"/>
          <w:sz w:val="22"/>
          <w:szCs w:val="22"/>
        </w:rPr>
        <w:t>.000</w:t>
      </w:r>
      <w:r w:rsidR="009D0539">
        <w:rPr>
          <w:rFonts w:ascii="Arial" w:hAnsi="Arial" w:cs="Arial"/>
          <w:sz w:val="22"/>
          <w:szCs w:val="22"/>
        </w:rPr>
        <w:t xml:space="preserve"> y 200</w:t>
      </w:r>
      <w:r w:rsidR="00293D3B">
        <w:rPr>
          <w:rFonts w:ascii="Arial" w:hAnsi="Arial" w:cs="Arial"/>
          <w:sz w:val="22"/>
          <w:szCs w:val="22"/>
        </w:rPr>
        <w:t>.000</w:t>
      </w:r>
      <w:r w:rsidR="009D0539">
        <w:rPr>
          <w:rFonts w:ascii="Arial" w:hAnsi="Arial" w:cs="Arial"/>
          <w:sz w:val="22"/>
          <w:szCs w:val="22"/>
        </w:rPr>
        <w:t xml:space="preserve"> habitantes y 31 municipios con población entre </w:t>
      </w:r>
      <w:r w:rsidR="00B47CEB">
        <w:rPr>
          <w:rFonts w:ascii="Arial" w:hAnsi="Arial" w:cs="Arial"/>
          <w:sz w:val="22"/>
          <w:szCs w:val="22"/>
        </w:rPr>
        <w:t>200.000 y</w:t>
      </w:r>
      <w:r w:rsidR="009D0539">
        <w:rPr>
          <w:rFonts w:ascii="Arial" w:hAnsi="Arial" w:cs="Arial"/>
          <w:sz w:val="22"/>
          <w:szCs w:val="22"/>
        </w:rPr>
        <w:t xml:space="preserve"> 300</w:t>
      </w:r>
      <w:r w:rsidR="00293D3B">
        <w:rPr>
          <w:rFonts w:ascii="Arial" w:hAnsi="Arial" w:cs="Arial"/>
          <w:sz w:val="22"/>
          <w:szCs w:val="22"/>
        </w:rPr>
        <w:t>.000</w:t>
      </w:r>
      <w:r w:rsidR="009D0539">
        <w:rPr>
          <w:rFonts w:ascii="Arial" w:hAnsi="Arial" w:cs="Arial"/>
          <w:sz w:val="22"/>
          <w:szCs w:val="22"/>
        </w:rPr>
        <w:t xml:space="preserve"> habitantes.</w:t>
      </w:r>
      <w:r w:rsidR="00DB3BBA">
        <w:rPr>
          <w:rFonts w:ascii="Arial" w:hAnsi="Arial" w:cs="Arial"/>
          <w:sz w:val="22"/>
          <w:szCs w:val="22"/>
        </w:rPr>
        <w:t xml:space="preserve"> </w:t>
      </w:r>
      <w:r w:rsidR="00464277">
        <w:rPr>
          <w:rFonts w:ascii="Arial" w:hAnsi="Arial" w:cs="Arial"/>
          <w:sz w:val="22"/>
          <w:szCs w:val="22"/>
        </w:rPr>
        <w:t>El estudio incluirá pruebas de hipótesis, a fin de determinar si los efectos encontrados son estadísticamente significativos.</w:t>
      </w:r>
    </w:p>
    <w:p w14:paraId="4B25B169" w14:textId="0ED89FAF" w:rsidR="00FE7761" w:rsidRPr="00FE7761" w:rsidRDefault="008A2C2A" w:rsidP="00FE7761">
      <w:pPr>
        <w:pStyle w:val="Paragraph"/>
      </w:pPr>
      <w:r w:rsidRPr="005F6EF3">
        <w:rPr>
          <w:rFonts w:ascii="Arial" w:hAnsi="Arial" w:cs="Arial"/>
          <w:sz w:val="22"/>
          <w:szCs w:val="22"/>
        </w:rPr>
        <w:t xml:space="preserve">Para la realización de este análisis se considerará la información </w:t>
      </w:r>
      <w:r w:rsidR="00ED1851" w:rsidRPr="005F6EF3">
        <w:rPr>
          <w:rFonts w:ascii="Arial" w:hAnsi="Arial" w:cs="Arial"/>
          <w:sz w:val="22"/>
          <w:szCs w:val="22"/>
        </w:rPr>
        <w:t>generada y a</w:t>
      </w:r>
      <w:r w:rsidRPr="005F6EF3">
        <w:rPr>
          <w:rFonts w:ascii="Arial" w:hAnsi="Arial" w:cs="Arial"/>
          <w:sz w:val="22"/>
          <w:szCs w:val="22"/>
        </w:rPr>
        <w:t xml:space="preserve"> generarse a través </w:t>
      </w:r>
      <w:r w:rsidR="00AF099D" w:rsidRPr="005F6EF3">
        <w:rPr>
          <w:rFonts w:ascii="Arial" w:hAnsi="Arial" w:cs="Arial"/>
          <w:sz w:val="22"/>
          <w:szCs w:val="22"/>
        </w:rPr>
        <w:t xml:space="preserve">del </w:t>
      </w:r>
      <w:r w:rsidRPr="005F6EF3">
        <w:rPr>
          <w:rFonts w:ascii="Arial" w:hAnsi="Arial" w:cs="Arial"/>
          <w:sz w:val="22"/>
          <w:szCs w:val="22"/>
        </w:rPr>
        <w:t xml:space="preserve">nuevo </w:t>
      </w:r>
      <w:proofErr w:type="spellStart"/>
      <w:r w:rsidRPr="005F6EF3">
        <w:rPr>
          <w:rFonts w:ascii="Arial" w:hAnsi="Arial" w:cs="Arial"/>
          <w:sz w:val="22"/>
          <w:szCs w:val="22"/>
        </w:rPr>
        <w:t>SdA</w:t>
      </w:r>
      <w:proofErr w:type="spellEnd"/>
      <w:r w:rsidRPr="005F6EF3">
        <w:rPr>
          <w:rFonts w:ascii="Arial" w:hAnsi="Arial" w:cs="Arial"/>
          <w:sz w:val="22"/>
          <w:szCs w:val="22"/>
        </w:rPr>
        <w:t>, así también como los datos históricos de las finanzas públicas de los gobiernos estatales y municipales, compilados por el Instituto Nacional de Estadísticas y Geografía (INEGI).</w:t>
      </w:r>
    </w:p>
    <w:p w14:paraId="0013DCFE" w14:textId="04406570" w:rsidR="00FE7761" w:rsidRDefault="00FE7761" w:rsidP="00FE7761">
      <w:pPr>
        <w:pStyle w:val="FirstHeading"/>
        <w:rPr>
          <w:rFonts w:ascii="Arial" w:hAnsi="Arial" w:cs="Arial"/>
          <w:noProof/>
          <w:sz w:val="22"/>
          <w:szCs w:val="22"/>
        </w:rPr>
      </w:pPr>
      <w:r>
        <w:rPr>
          <w:rFonts w:ascii="Arial" w:hAnsi="Arial" w:cs="Arial"/>
          <w:sz w:val="22"/>
          <w:szCs w:val="22"/>
        </w:rPr>
        <w:t>E.</w:t>
      </w:r>
      <w:r>
        <w:rPr>
          <w:rFonts w:ascii="Arial" w:hAnsi="Arial" w:cs="Arial"/>
          <w:sz w:val="22"/>
          <w:szCs w:val="22"/>
        </w:rPr>
        <w:tab/>
        <w:t xml:space="preserve">Coordinación, </w:t>
      </w:r>
      <w:r w:rsidR="00293D3B">
        <w:rPr>
          <w:rFonts w:ascii="Arial" w:hAnsi="Arial" w:cs="Arial"/>
          <w:sz w:val="22"/>
          <w:szCs w:val="22"/>
        </w:rPr>
        <w:t>p</w:t>
      </w:r>
      <w:r>
        <w:rPr>
          <w:rFonts w:ascii="Arial" w:hAnsi="Arial" w:cs="Arial"/>
          <w:sz w:val="22"/>
          <w:szCs w:val="22"/>
        </w:rPr>
        <w:t xml:space="preserve">lan de </w:t>
      </w:r>
      <w:r w:rsidR="00293D3B">
        <w:rPr>
          <w:rFonts w:ascii="Arial" w:hAnsi="Arial" w:cs="Arial"/>
          <w:sz w:val="22"/>
          <w:szCs w:val="22"/>
        </w:rPr>
        <w:t>t</w:t>
      </w:r>
      <w:r>
        <w:rPr>
          <w:rFonts w:ascii="Arial" w:hAnsi="Arial" w:cs="Arial"/>
          <w:sz w:val="22"/>
          <w:szCs w:val="22"/>
        </w:rPr>
        <w:t xml:space="preserve">rabajo y </w:t>
      </w:r>
      <w:r w:rsidR="00293D3B">
        <w:rPr>
          <w:rFonts w:ascii="Arial" w:hAnsi="Arial" w:cs="Arial"/>
          <w:sz w:val="22"/>
          <w:szCs w:val="22"/>
        </w:rPr>
        <w:t>p</w:t>
      </w:r>
      <w:r>
        <w:rPr>
          <w:rFonts w:ascii="Arial" w:hAnsi="Arial" w:cs="Arial"/>
          <w:sz w:val="22"/>
          <w:szCs w:val="22"/>
        </w:rPr>
        <w:t xml:space="preserve">resupuesto de la </w:t>
      </w:r>
      <w:r w:rsidR="00293D3B">
        <w:rPr>
          <w:rFonts w:ascii="Arial" w:hAnsi="Arial" w:cs="Arial"/>
          <w:sz w:val="22"/>
          <w:szCs w:val="22"/>
        </w:rPr>
        <w:t>e</w:t>
      </w:r>
      <w:r>
        <w:rPr>
          <w:rFonts w:ascii="Arial" w:hAnsi="Arial" w:cs="Arial"/>
          <w:sz w:val="22"/>
          <w:szCs w:val="22"/>
        </w:rPr>
        <w:t>valuación</w:t>
      </w:r>
    </w:p>
    <w:p w14:paraId="1511B991" w14:textId="6BCD8D57" w:rsidR="00FE7761" w:rsidRPr="006F27E9" w:rsidRDefault="00FE7761" w:rsidP="00FE7761">
      <w:pPr>
        <w:pStyle w:val="Paragraph"/>
        <w:tabs>
          <w:tab w:val="clear" w:pos="720"/>
        </w:tabs>
        <w:ind w:hanging="756"/>
        <w:rPr>
          <w:rFonts w:ascii="Arial" w:hAnsi="Arial" w:cs="Arial"/>
          <w:sz w:val="22"/>
          <w:szCs w:val="22"/>
        </w:rPr>
      </w:pPr>
      <w:r>
        <w:rPr>
          <w:rFonts w:ascii="Arial" w:hAnsi="Arial" w:cs="Arial"/>
          <w:b/>
          <w:sz w:val="22"/>
          <w:szCs w:val="22"/>
        </w:rPr>
        <w:t>Recolección de datos</w:t>
      </w:r>
      <w:r>
        <w:rPr>
          <w:rFonts w:ascii="Arial" w:hAnsi="Arial" w:cs="Arial"/>
          <w:sz w:val="22"/>
          <w:szCs w:val="22"/>
        </w:rPr>
        <w:t>. El plan de evaluación será ejecutado por el BID en estrecha coordinación con el equipo de la S</w:t>
      </w:r>
      <w:r w:rsidR="00C1402F">
        <w:rPr>
          <w:rFonts w:ascii="Arial" w:hAnsi="Arial" w:cs="Arial"/>
          <w:sz w:val="22"/>
          <w:szCs w:val="22"/>
        </w:rPr>
        <w:t>HCP</w:t>
      </w:r>
      <w:r>
        <w:rPr>
          <w:rFonts w:ascii="Arial" w:hAnsi="Arial" w:cs="Arial"/>
          <w:sz w:val="22"/>
          <w:szCs w:val="22"/>
        </w:rPr>
        <w:t>. Los plazos y el presupuesto asignado a cada una de las evaluaciones de impacto y su fuente de financiamiento se detallan en el Cuadro 5.</w:t>
      </w:r>
    </w:p>
    <w:p w14:paraId="6408B97B" w14:textId="77777777" w:rsidR="00FE7761" w:rsidRPr="006930D9" w:rsidRDefault="00FE7761" w:rsidP="006F2E02">
      <w:pPr>
        <w:keepNext/>
        <w:spacing w:before="120" w:after="120"/>
        <w:jc w:val="center"/>
        <w:rPr>
          <w:rFonts w:ascii="Arial" w:hAnsi="Arial" w:cs="Arial"/>
          <w:b/>
          <w:sz w:val="20"/>
          <w:lang w:val="es-ES"/>
        </w:rPr>
      </w:pPr>
      <w:r w:rsidRPr="006930D9">
        <w:rPr>
          <w:rFonts w:ascii="Arial" w:hAnsi="Arial" w:cs="Arial"/>
          <w:b/>
          <w:sz w:val="20"/>
          <w:lang w:val="es-ES"/>
        </w:rPr>
        <w:t xml:space="preserve">Cuadro 5: </w:t>
      </w:r>
      <w:r w:rsidRPr="006930D9">
        <w:rPr>
          <w:rFonts w:ascii="Arial" w:hAnsi="Arial" w:cs="Arial"/>
          <w:b/>
          <w:bCs/>
          <w:color w:val="000000"/>
          <w:sz w:val="20"/>
          <w:lang w:val="es-ES"/>
        </w:rPr>
        <w:t>Principales actividades de evaluación</w:t>
      </w:r>
    </w:p>
    <w:tbl>
      <w:tblPr>
        <w:tblW w:w="8100" w:type="dxa"/>
        <w:tblInd w:w="529" w:type="dxa"/>
        <w:tblLayout w:type="fixed"/>
        <w:tblLook w:val="04A0" w:firstRow="1" w:lastRow="0" w:firstColumn="1" w:lastColumn="0" w:noHBand="0" w:noVBand="1"/>
      </w:tblPr>
      <w:tblGrid>
        <w:gridCol w:w="2520"/>
        <w:gridCol w:w="720"/>
        <w:gridCol w:w="720"/>
        <w:gridCol w:w="1531"/>
        <w:gridCol w:w="899"/>
        <w:gridCol w:w="1710"/>
      </w:tblGrid>
      <w:tr w:rsidR="009D3F3B" w14:paraId="1CA92A05" w14:textId="77777777" w:rsidTr="003E3750">
        <w:trPr>
          <w:trHeight w:val="772"/>
          <w:tblHeader/>
        </w:trPr>
        <w:tc>
          <w:tcPr>
            <w:tcW w:w="2520"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1E2C9554" w14:textId="435A9BD9" w:rsidR="009D3F3B" w:rsidRDefault="009D3F3B" w:rsidP="00633121">
            <w:pPr>
              <w:jc w:val="center"/>
              <w:rPr>
                <w:rFonts w:ascii="Arial" w:hAnsi="Arial" w:cs="Arial"/>
                <w:b/>
                <w:bCs/>
                <w:color w:val="000000"/>
                <w:sz w:val="20"/>
                <w:lang w:val="en-US"/>
              </w:rPr>
            </w:pPr>
            <w:r>
              <w:rPr>
                <w:rFonts w:ascii="Arial" w:hAnsi="Arial" w:cs="Arial"/>
                <w:b/>
                <w:bCs/>
                <w:color w:val="000000"/>
                <w:sz w:val="20"/>
                <w:lang w:val="es-ES"/>
              </w:rPr>
              <w:t>Actividades y Productos</w:t>
            </w:r>
          </w:p>
        </w:tc>
        <w:tc>
          <w:tcPr>
            <w:tcW w:w="720" w:type="dxa"/>
            <w:tcBorders>
              <w:top w:val="single" w:sz="8" w:space="0" w:color="000000"/>
              <w:left w:val="single" w:sz="8" w:space="0" w:color="000000"/>
              <w:bottom w:val="single" w:sz="8" w:space="0" w:color="000000"/>
              <w:right w:val="single" w:sz="8" w:space="0" w:color="000000"/>
            </w:tcBorders>
            <w:shd w:val="clear" w:color="000000" w:fill="8DB3E2"/>
            <w:vAlign w:val="center"/>
          </w:tcPr>
          <w:p w14:paraId="2F696A65" w14:textId="77777777" w:rsidR="009D3F3B" w:rsidRDefault="009D3F3B" w:rsidP="00633121">
            <w:pPr>
              <w:jc w:val="center"/>
              <w:rPr>
                <w:rFonts w:ascii="Arial" w:hAnsi="Arial" w:cs="Arial"/>
                <w:b/>
                <w:bCs/>
                <w:color w:val="000000"/>
                <w:sz w:val="20"/>
                <w:lang w:val="es-ES"/>
              </w:rPr>
            </w:pPr>
            <w:r>
              <w:rPr>
                <w:rFonts w:ascii="Arial" w:hAnsi="Arial" w:cs="Arial"/>
                <w:b/>
                <w:bCs/>
                <w:color w:val="000000"/>
                <w:sz w:val="20"/>
                <w:lang w:val="es-ES"/>
              </w:rPr>
              <w:t>2019</w:t>
            </w:r>
          </w:p>
        </w:tc>
        <w:tc>
          <w:tcPr>
            <w:tcW w:w="720" w:type="dxa"/>
            <w:tcBorders>
              <w:top w:val="single" w:sz="8" w:space="0" w:color="000000"/>
              <w:left w:val="single" w:sz="8" w:space="0" w:color="000000"/>
              <w:bottom w:val="single" w:sz="8" w:space="0" w:color="000000"/>
              <w:right w:val="single" w:sz="8" w:space="0" w:color="000000"/>
            </w:tcBorders>
            <w:shd w:val="clear" w:color="000000" w:fill="8DB3E2"/>
            <w:vAlign w:val="center"/>
          </w:tcPr>
          <w:p w14:paraId="7A2364FA" w14:textId="77777777" w:rsidR="009D3F3B" w:rsidRDefault="009D3F3B" w:rsidP="00633121">
            <w:pPr>
              <w:jc w:val="center"/>
              <w:rPr>
                <w:rFonts w:ascii="Arial" w:hAnsi="Arial" w:cs="Arial"/>
                <w:b/>
                <w:bCs/>
                <w:color w:val="000000"/>
                <w:sz w:val="20"/>
                <w:lang w:val="es-ES"/>
              </w:rPr>
            </w:pPr>
            <w:r>
              <w:rPr>
                <w:rFonts w:ascii="Arial" w:hAnsi="Arial" w:cs="Arial"/>
                <w:b/>
                <w:bCs/>
                <w:color w:val="000000"/>
                <w:sz w:val="20"/>
                <w:lang w:val="es-ES"/>
              </w:rPr>
              <w:t>2020</w:t>
            </w:r>
          </w:p>
        </w:tc>
        <w:tc>
          <w:tcPr>
            <w:tcW w:w="1531"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3AE5C52E" w14:textId="77777777" w:rsidR="009D3F3B" w:rsidRDefault="009D3F3B" w:rsidP="00633121">
            <w:pPr>
              <w:jc w:val="center"/>
              <w:rPr>
                <w:rFonts w:ascii="Arial" w:hAnsi="Arial" w:cs="Arial"/>
                <w:b/>
                <w:bCs/>
                <w:color w:val="000000"/>
                <w:sz w:val="20"/>
                <w:lang w:val="en-US"/>
              </w:rPr>
            </w:pPr>
            <w:r>
              <w:rPr>
                <w:rFonts w:ascii="Arial" w:hAnsi="Arial" w:cs="Arial"/>
                <w:b/>
                <w:bCs/>
                <w:color w:val="000000"/>
                <w:sz w:val="20"/>
                <w:lang w:val="es-ES"/>
              </w:rPr>
              <w:t>Responsable</w:t>
            </w:r>
          </w:p>
        </w:tc>
        <w:tc>
          <w:tcPr>
            <w:tcW w:w="899" w:type="dxa"/>
            <w:tcBorders>
              <w:top w:val="single" w:sz="8" w:space="0" w:color="000000"/>
              <w:left w:val="nil"/>
              <w:bottom w:val="single" w:sz="8" w:space="0" w:color="000000"/>
              <w:right w:val="single" w:sz="8" w:space="0" w:color="000000"/>
            </w:tcBorders>
            <w:shd w:val="clear" w:color="000000" w:fill="8DB3E2"/>
            <w:vAlign w:val="center"/>
            <w:hideMark/>
          </w:tcPr>
          <w:p w14:paraId="1BCA4104" w14:textId="77777777" w:rsidR="009D3F3B" w:rsidRDefault="009D3F3B" w:rsidP="00633121">
            <w:pPr>
              <w:jc w:val="center"/>
              <w:rPr>
                <w:rFonts w:ascii="Arial" w:hAnsi="Arial" w:cs="Arial"/>
                <w:b/>
                <w:bCs/>
                <w:color w:val="000000"/>
                <w:sz w:val="20"/>
                <w:lang w:val="en-US"/>
              </w:rPr>
            </w:pPr>
            <w:r>
              <w:rPr>
                <w:rFonts w:ascii="Arial" w:hAnsi="Arial" w:cs="Arial"/>
                <w:b/>
                <w:bCs/>
                <w:color w:val="000000"/>
                <w:sz w:val="20"/>
                <w:lang w:val="es-ES"/>
              </w:rPr>
              <w:t>Costo</w:t>
            </w:r>
          </w:p>
          <w:p w14:paraId="392CFEFC" w14:textId="77777777" w:rsidR="009D3F3B" w:rsidRDefault="009D3F3B" w:rsidP="00633121">
            <w:pPr>
              <w:jc w:val="center"/>
              <w:rPr>
                <w:rFonts w:ascii="Arial" w:hAnsi="Arial" w:cs="Arial"/>
                <w:b/>
                <w:bCs/>
                <w:color w:val="000000"/>
                <w:sz w:val="20"/>
                <w:lang w:val="en-US"/>
              </w:rPr>
            </w:pPr>
            <w:r>
              <w:rPr>
                <w:rFonts w:ascii="Arial" w:hAnsi="Arial" w:cs="Arial"/>
                <w:b/>
                <w:bCs/>
                <w:color w:val="000000"/>
                <w:sz w:val="20"/>
                <w:lang w:val="es-ES"/>
              </w:rPr>
              <w:t>US$</w:t>
            </w:r>
          </w:p>
        </w:tc>
        <w:tc>
          <w:tcPr>
            <w:tcW w:w="1710"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0E3EDCCC" w14:textId="77777777" w:rsidR="009D3F3B" w:rsidRDefault="009D3F3B" w:rsidP="00633121">
            <w:pPr>
              <w:jc w:val="center"/>
              <w:rPr>
                <w:rFonts w:ascii="Arial" w:hAnsi="Arial" w:cs="Arial"/>
                <w:b/>
                <w:bCs/>
                <w:color w:val="000000"/>
                <w:sz w:val="20"/>
                <w:lang w:val="en-US"/>
              </w:rPr>
            </w:pPr>
            <w:r>
              <w:rPr>
                <w:rFonts w:ascii="Arial" w:hAnsi="Arial" w:cs="Arial"/>
                <w:b/>
                <w:bCs/>
                <w:color w:val="000000"/>
                <w:sz w:val="20"/>
                <w:lang w:val="es-ES"/>
              </w:rPr>
              <w:t>Financiamiento</w:t>
            </w:r>
          </w:p>
        </w:tc>
      </w:tr>
      <w:tr w:rsidR="009D3F3B" w14:paraId="00C8DA2F" w14:textId="77777777" w:rsidTr="003E3750">
        <w:trPr>
          <w:trHeight w:val="525"/>
        </w:trPr>
        <w:tc>
          <w:tcPr>
            <w:tcW w:w="252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B6A72B1" w14:textId="3E470819" w:rsidR="009D3F3B" w:rsidRDefault="009D3F3B" w:rsidP="009D3F3B">
            <w:pPr>
              <w:jc w:val="both"/>
              <w:rPr>
                <w:rFonts w:ascii="Arial" w:hAnsi="Arial" w:cs="Arial"/>
                <w:color w:val="000000"/>
                <w:sz w:val="20"/>
                <w:lang w:val="es-ES"/>
              </w:rPr>
            </w:pPr>
            <w:r>
              <w:rPr>
                <w:rFonts w:ascii="Arial" w:hAnsi="Arial" w:cs="Arial"/>
                <w:color w:val="000000"/>
                <w:sz w:val="20"/>
                <w:lang w:val="es-ES"/>
              </w:rPr>
              <w:t xml:space="preserve">Evaluación ex post del Programa </w:t>
            </w:r>
          </w:p>
        </w:tc>
        <w:tc>
          <w:tcPr>
            <w:tcW w:w="720" w:type="dxa"/>
            <w:tcBorders>
              <w:top w:val="single" w:sz="8" w:space="0" w:color="000000"/>
              <w:left w:val="single" w:sz="8" w:space="0" w:color="000000"/>
              <w:bottom w:val="single" w:sz="8" w:space="0" w:color="000000"/>
              <w:right w:val="single" w:sz="8" w:space="0" w:color="000000"/>
            </w:tcBorders>
          </w:tcPr>
          <w:p w14:paraId="2DBEBF0D" w14:textId="77777777" w:rsidR="009D3F3B" w:rsidRDefault="009D3F3B" w:rsidP="00633121">
            <w:pPr>
              <w:jc w:val="center"/>
              <w:rPr>
                <w:rFonts w:ascii="Arial" w:hAnsi="Arial" w:cs="Arial"/>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09B42BE5" w14:textId="77777777" w:rsidR="009D3F3B" w:rsidRDefault="009D3F3B" w:rsidP="00633121">
            <w:pPr>
              <w:ind w:left="-648" w:right="256"/>
              <w:jc w:val="right"/>
              <w:rPr>
                <w:rFonts w:ascii="Arial" w:hAnsi="Arial" w:cs="Arial"/>
                <w:color w:val="000000"/>
                <w:sz w:val="20"/>
                <w:lang w:val="es-ES"/>
              </w:rPr>
            </w:pPr>
            <w:r>
              <w:rPr>
                <w:rFonts w:ascii="Arial" w:hAnsi="Arial" w:cs="Arial"/>
                <w:color w:val="000000"/>
                <w:sz w:val="20"/>
                <w:lang w:val="es-ES"/>
              </w:rPr>
              <w:t>1</w:t>
            </w:r>
          </w:p>
        </w:tc>
        <w:tc>
          <w:tcPr>
            <w:tcW w:w="15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0049F52" w14:textId="77777777" w:rsidR="009D3F3B" w:rsidRDefault="009D3F3B" w:rsidP="00633121">
            <w:pPr>
              <w:jc w:val="center"/>
              <w:rPr>
                <w:rFonts w:ascii="Arial" w:hAnsi="Arial" w:cs="Arial"/>
                <w:color w:val="000000"/>
                <w:sz w:val="20"/>
                <w:lang w:val="en-US"/>
              </w:rPr>
            </w:pPr>
            <w:r>
              <w:rPr>
                <w:rFonts w:ascii="Arial" w:hAnsi="Arial" w:cs="Arial"/>
                <w:color w:val="000000"/>
                <w:sz w:val="20"/>
                <w:lang w:val="es-ES"/>
              </w:rPr>
              <w:t>BID</w:t>
            </w:r>
          </w:p>
        </w:tc>
        <w:tc>
          <w:tcPr>
            <w:tcW w:w="899" w:type="dxa"/>
            <w:tcBorders>
              <w:top w:val="single" w:sz="8" w:space="0" w:color="000000"/>
              <w:left w:val="nil"/>
              <w:bottom w:val="single" w:sz="8" w:space="0" w:color="000000"/>
              <w:right w:val="single" w:sz="8" w:space="0" w:color="000000"/>
            </w:tcBorders>
            <w:shd w:val="clear" w:color="auto" w:fill="auto"/>
            <w:vAlign w:val="center"/>
            <w:hideMark/>
          </w:tcPr>
          <w:p w14:paraId="2C60F04C" w14:textId="77777777" w:rsidR="009D3F3B" w:rsidRDefault="009D3F3B" w:rsidP="00633121">
            <w:pPr>
              <w:ind w:left="-291" w:right="73"/>
              <w:jc w:val="right"/>
              <w:rPr>
                <w:rFonts w:ascii="Arial" w:hAnsi="Arial" w:cs="Arial"/>
                <w:color w:val="000000"/>
                <w:sz w:val="20"/>
                <w:lang w:val="en-US"/>
              </w:rPr>
            </w:pPr>
            <w:r>
              <w:rPr>
                <w:rFonts w:ascii="Arial" w:hAnsi="Arial" w:cs="Arial"/>
                <w:color w:val="000000"/>
                <w:sz w:val="20"/>
                <w:lang w:val="en-US"/>
              </w:rPr>
              <w:t>10.000</w:t>
            </w:r>
          </w:p>
        </w:tc>
        <w:tc>
          <w:tcPr>
            <w:tcW w:w="1710" w:type="dxa"/>
            <w:tcBorders>
              <w:top w:val="single" w:sz="8" w:space="0" w:color="000000"/>
              <w:left w:val="nil"/>
              <w:bottom w:val="single" w:sz="8" w:space="0" w:color="000000"/>
              <w:right w:val="single" w:sz="8" w:space="0" w:color="000000"/>
            </w:tcBorders>
            <w:shd w:val="clear" w:color="auto" w:fill="auto"/>
            <w:vAlign w:val="center"/>
            <w:hideMark/>
          </w:tcPr>
          <w:p w14:paraId="1DEF4F7B" w14:textId="77777777" w:rsidR="009D3F3B" w:rsidRDefault="009D3F3B" w:rsidP="00633121">
            <w:pPr>
              <w:jc w:val="center"/>
              <w:rPr>
                <w:rFonts w:ascii="Arial" w:hAnsi="Arial" w:cs="Arial"/>
                <w:color w:val="000000"/>
                <w:sz w:val="20"/>
                <w:lang w:val="en-US"/>
              </w:rPr>
            </w:pPr>
            <w:r>
              <w:rPr>
                <w:rFonts w:ascii="Arial" w:hAnsi="Arial" w:cs="Arial"/>
                <w:color w:val="000000"/>
                <w:sz w:val="20"/>
                <w:lang w:val="en-US"/>
              </w:rPr>
              <w:t>BID</w:t>
            </w:r>
          </w:p>
        </w:tc>
      </w:tr>
      <w:tr w:rsidR="009D3F3B" w14:paraId="4609D0CD" w14:textId="77777777" w:rsidTr="003E3750">
        <w:trPr>
          <w:trHeight w:val="525"/>
        </w:trPr>
        <w:tc>
          <w:tcPr>
            <w:tcW w:w="2520" w:type="dxa"/>
            <w:tcBorders>
              <w:top w:val="nil"/>
              <w:left w:val="single" w:sz="8" w:space="0" w:color="000000"/>
              <w:bottom w:val="single" w:sz="8" w:space="0" w:color="000000"/>
              <w:right w:val="single" w:sz="8" w:space="0" w:color="000000"/>
            </w:tcBorders>
            <w:shd w:val="clear" w:color="auto" w:fill="auto"/>
            <w:vAlign w:val="center"/>
            <w:hideMark/>
          </w:tcPr>
          <w:p w14:paraId="6BE7E5BD" w14:textId="35803C73" w:rsidR="009D3F3B" w:rsidRDefault="009D3F3B" w:rsidP="009D3F3B">
            <w:pPr>
              <w:jc w:val="both"/>
              <w:rPr>
                <w:rFonts w:ascii="Arial" w:hAnsi="Arial" w:cs="Arial"/>
                <w:color w:val="000000"/>
                <w:sz w:val="20"/>
                <w:lang w:val="es-ES"/>
              </w:rPr>
            </w:pPr>
            <w:r>
              <w:rPr>
                <w:rFonts w:ascii="Arial" w:hAnsi="Arial" w:cs="Arial"/>
                <w:color w:val="000000"/>
                <w:sz w:val="20"/>
                <w:lang w:val="es-ES"/>
              </w:rPr>
              <w:t xml:space="preserve">Evaluaciones de medidas específica del </w:t>
            </w:r>
            <w:r w:rsidR="00293D3B">
              <w:rPr>
                <w:rFonts w:ascii="Arial" w:hAnsi="Arial" w:cs="Arial"/>
                <w:color w:val="000000"/>
                <w:sz w:val="20"/>
                <w:lang w:val="es-ES"/>
              </w:rPr>
              <w:t>p</w:t>
            </w:r>
            <w:r>
              <w:rPr>
                <w:rFonts w:ascii="Arial" w:hAnsi="Arial" w:cs="Arial"/>
                <w:color w:val="000000"/>
                <w:sz w:val="20"/>
                <w:lang w:val="es-ES"/>
              </w:rPr>
              <w:t xml:space="preserve">rograma </w:t>
            </w:r>
          </w:p>
        </w:tc>
        <w:tc>
          <w:tcPr>
            <w:tcW w:w="720" w:type="dxa"/>
            <w:tcBorders>
              <w:top w:val="nil"/>
              <w:left w:val="single" w:sz="8" w:space="0" w:color="000000"/>
              <w:bottom w:val="single" w:sz="8" w:space="0" w:color="000000"/>
              <w:right w:val="single" w:sz="8" w:space="0" w:color="000000"/>
            </w:tcBorders>
          </w:tcPr>
          <w:p w14:paraId="3A65767D" w14:textId="77777777" w:rsidR="009D3F3B" w:rsidRDefault="009D3F3B" w:rsidP="00633121">
            <w:pPr>
              <w:jc w:val="center"/>
              <w:rPr>
                <w:rFonts w:ascii="Arial" w:hAnsi="Arial" w:cs="Arial"/>
                <w:color w:val="000000"/>
                <w:sz w:val="20"/>
                <w:lang w:val="es-ES"/>
              </w:rPr>
            </w:pPr>
          </w:p>
        </w:tc>
        <w:tc>
          <w:tcPr>
            <w:tcW w:w="720" w:type="dxa"/>
            <w:tcBorders>
              <w:top w:val="nil"/>
              <w:left w:val="single" w:sz="8" w:space="0" w:color="000000"/>
              <w:bottom w:val="single" w:sz="8" w:space="0" w:color="000000"/>
              <w:right w:val="single" w:sz="8" w:space="0" w:color="000000"/>
            </w:tcBorders>
            <w:vAlign w:val="center"/>
          </w:tcPr>
          <w:p w14:paraId="617F6E27" w14:textId="77777777" w:rsidR="009D3F3B" w:rsidRDefault="009D3F3B" w:rsidP="00633121">
            <w:pPr>
              <w:ind w:left="-648" w:right="256"/>
              <w:jc w:val="right"/>
              <w:rPr>
                <w:rFonts w:ascii="Arial" w:hAnsi="Arial" w:cs="Arial"/>
                <w:color w:val="000000"/>
                <w:sz w:val="20"/>
                <w:lang w:val="es-ES"/>
              </w:rPr>
            </w:pPr>
            <w:r>
              <w:rPr>
                <w:rFonts w:ascii="Arial" w:hAnsi="Arial" w:cs="Arial"/>
                <w:color w:val="000000"/>
                <w:sz w:val="20"/>
                <w:lang w:val="es-ES"/>
              </w:rPr>
              <w:t>1</w:t>
            </w:r>
          </w:p>
        </w:tc>
        <w:tc>
          <w:tcPr>
            <w:tcW w:w="1531" w:type="dxa"/>
            <w:tcBorders>
              <w:top w:val="nil"/>
              <w:left w:val="single" w:sz="8" w:space="0" w:color="000000"/>
              <w:bottom w:val="single" w:sz="8" w:space="0" w:color="000000"/>
              <w:right w:val="single" w:sz="8" w:space="0" w:color="000000"/>
            </w:tcBorders>
            <w:shd w:val="clear" w:color="auto" w:fill="auto"/>
            <w:vAlign w:val="center"/>
            <w:hideMark/>
          </w:tcPr>
          <w:p w14:paraId="70B1B8B7" w14:textId="77777777" w:rsidR="009D3F3B" w:rsidRDefault="009D3F3B" w:rsidP="00633121">
            <w:pPr>
              <w:jc w:val="center"/>
              <w:rPr>
                <w:rFonts w:ascii="Arial" w:hAnsi="Arial" w:cs="Arial"/>
                <w:color w:val="000000"/>
                <w:sz w:val="20"/>
                <w:lang w:val="en-US"/>
              </w:rPr>
            </w:pPr>
            <w:r>
              <w:rPr>
                <w:rFonts w:ascii="Arial" w:hAnsi="Arial" w:cs="Arial"/>
                <w:color w:val="000000"/>
                <w:sz w:val="20"/>
                <w:lang w:val="es-ES"/>
              </w:rPr>
              <w:t>BID</w:t>
            </w:r>
          </w:p>
        </w:tc>
        <w:tc>
          <w:tcPr>
            <w:tcW w:w="899" w:type="dxa"/>
            <w:tcBorders>
              <w:top w:val="nil"/>
              <w:left w:val="nil"/>
              <w:bottom w:val="single" w:sz="8" w:space="0" w:color="000000"/>
              <w:right w:val="single" w:sz="8" w:space="0" w:color="000000"/>
            </w:tcBorders>
            <w:shd w:val="clear" w:color="auto" w:fill="auto"/>
            <w:vAlign w:val="center"/>
            <w:hideMark/>
          </w:tcPr>
          <w:p w14:paraId="6D08298E" w14:textId="77777777" w:rsidR="009D3F3B" w:rsidRDefault="009D3F3B" w:rsidP="00633121">
            <w:pPr>
              <w:ind w:left="-291" w:right="73"/>
              <w:jc w:val="right"/>
              <w:rPr>
                <w:rFonts w:ascii="Arial" w:hAnsi="Arial" w:cs="Arial"/>
                <w:color w:val="000000"/>
                <w:sz w:val="20"/>
                <w:lang w:val="en-US"/>
              </w:rPr>
            </w:pPr>
            <w:r>
              <w:rPr>
                <w:rFonts w:ascii="Arial" w:hAnsi="Arial" w:cs="Arial"/>
                <w:color w:val="000000"/>
                <w:sz w:val="20"/>
                <w:lang w:val="en-US"/>
              </w:rPr>
              <w:t>30.000</w:t>
            </w:r>
          </w:p>
        </w:tc>
        <w:tc>
          <w:tcPr>
            <w:tcW w:w="1710" w:type="dxa"/>
            <w:tcBorders>
              <w:top w:val="nil"/>
              <w:left w:val="nil"/>
              <w:bottom w:val="single" w:sz="8" w:space="0" w:color="000000"/>
              <w:right w:val="single" w:sz="8" w:space="0" w:color="000000"/>
            </w:tcBorders>
            <w:shd w:val="clear" w:color="auto" w:fill="auto"/>
            <w:vAlign w:val="center"/>
            <w:hideMark/>
          </w:tcPr>
          <w:p w14:paraId="6D2F2E22" w14:textId="77777777" w:rsidR="009D3F3B" w:rsidRDefault="009D3F3B" w:rsidP="00633121">
            <w:pPr>
              <w:jc w:val="center"/>
              <w:rPr>
                <w:rFonts w:ascii="Arial" w:hAnsi="Arial" w:cs="Arial"/>
                <w:color w:val="000000"/>
                <w:sz w:val="20"/>
                <w:lang w:val="en-US"/>
              </w:rPr>
            </w:pPr>
            <w:r>
              <w:rPr>
                <w:rFonts w:ascii="Arial" w:hAnsi="Arial" w:cs="Arial"/>
                <w:color w:val="000000"/>
                <w:sz w:val="20"/>
                <w:lang w:val="en-US"/>
              </w:rPr>
              <w:t>BID</w:t>
            </w:r>
          </w:p>
        </w:tc>
      </w:tr>
      <w:tr w:rsidR="009D3F3B" w14:paraId="3A7BA1D3" w14:textId="77777777" w:rsidTr="003E3750">
        <w:trPr>
          <w:trHeight w:val="525"/>
        </w:trPr>
        <w:tc>
          <w:tcPr>
            <w:tcW w:w="25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3BD8F4" w14:textId="0EA63D9D" w:rsidR="009D3F3B" w:rsidRDefault="009D3F3B" w:rsidP="009D3F3B">
            <w:pPr>
              <w:jc w:val="both"/>
              <w:rPr>
                <w:rFonts w:ascii="Arial" w:hAnsi="Arial" w:cs="Arial"/>
                <w:b/>
                <w:color w:val="000000"/>
                <w:sz w:val="20"/>
                <w:lang w:val="es-ES"/>
              </w:rPr>
            </w:pPr>
            <w:r>
              <w:rPr>
                <w:rFonts w:ascii="Arial" w:hAnsi="Arial" w:cs="Arial"/>
                <w:b/>
                <w:color w:val="000000"/>
                <w:sz w:val="20"/>
                <w:lang w:val="es-ES"/>
              </w:rPr>
              <w:t>Total</w:t>
            </w:r>
          </w:p>
        </w:tc>
        <w:tc>
          <w:tcPr>
            <w:tcW w:w="720" w:type="dxa"/>
            <w:tcBorders>
              <w:top w:val="single" w:sz="8" w:space="0" w:color="000000"/>
              <w:left w:val="single" w:sz="8" w:space="0" w:color="000000"/>
              <w:bottom w:val="single" w:sz="8" w:space="0" w:color="000000"/>
              <w:right w:val="single" w:sz="8" w:space="0" w:color="000000"/>
            </w:tcBorders>
          </w:tcPr>
          <w:p w14:paraId="15FF045A" w14:textId="77777777" w:rsidR="009D3F3B" w:rsidRDefault="009D3F3B" w:rsidP="00633121">
            <w:pPr>
              <w:rPr>
                <w:rFonts w:ascii="Arial" w:hAnsi="Arial" w:cs="Arial"/>
                <w:b/>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7356AB5D" w14:textId="77777777" w:rsidR="009D3F3B" w:rsidRDefault="009D3F3B" w:rsidP="00633121">
            <w:pPr>
              <w:rPr>
                <w:rFonts w:ascii="Arial" w:hAnsi="Arial" w:cs="Arial"/>
                <w:b/>
                <w:color w:val="000000"/>
                <w:sz w:val="20"/>
                <w:lang w:val="es-ES"/>
              </w:rPr>
            </w:pPr>
          </w:p>
        </w:tc>
        <w:tc>
          <w:tcPr>
            <w:tcW w:w="153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F8F13D" w14:textId="77777777" w:rsidR="009D3F3B" w:rsidRDefault="009D3F3B" w:rsidP="00633121">
            <w:pPr>
              <w:jc w:val="center"/>
              <w:rPr>
                <w:rFonts w:ascii="Arial" w:hAnsi="Arial" w:cs="Arial"/>
                <w:b/>
                <w:color w:val="000000"/>
                <w:sz w:val="20"/>
                <w:lang w:val="es-ES"/>
              </w:rPr>
            </w:pPr>
          </w:p>
        </w:tc>
        <w:tc>
          <w:tcPr>
            <w:tcW w:w="89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4BA514" w14:textId="77777777" w:rsidR="009D3F3B" w:rsidRDefault="009D3F3B" w:rsidP="00633121">
            <w:pPr>
              <w:ind w:left="-291" w:right="73"/>
              <w:jc w:val="right"/>
              <w:rPr>
                <w:rFonts w:ascii="Arial" w:hAnsi="Arial" w:cs="Arial"/>
                <w:b/>
                <w:color w:val="000000"/>
                <w:sz w:val="20"/>
                <w:lang w:val="en-US"/>
              </w:rPr>
            </w:pPr>
            <w:r>
              <w:rPr>
                <w:rFonts w:ascii="Arial" w:hAnsi="Arial" w:cs="Arial"/>
                <w:b/>
                <w:color w:val="000000"/>
                <w:sz w:val="20"/>
                <w:lang w:val="en-US"/>
              </w:rPr>
              <w:t>40.000</w:t>
            </w:r>
          </w:p>
        </w:tc>
        <w:tc>
          <w:tcPr>
            <w:tcW w:w="17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08A3AA" w14:textId="77777777" w:rsidR="009D3F3B" w:rsidRDefault="009D3F3B" w:rsidP="00633121">
            <w:pPr>
              <w:jc w:val="center"/>
              <w:rPr>
                <w:rFonts w:ascii="Arial" w:hAnsi="Arial" w:cs="Arial"/>
                <w:color w:val="000000"/>
                <w:sz w:val="20"/>
                <w:lang w:val="en-US"/>
              </w:rPr>
            </w:pPr>
            <w:r>
              <w:rPr>
                <w:rFonts w:ascii="Arial" w:hAnsi="Arial" w:cs="Arial"/>
                <w:color w:val="000000"/>
                <w:sz w:val="20"/>
                <w:lang w:val="en-US"/>
              </w:rPr>
              <w:t>BID</w:t>
            </w:r>
          </w:p>
        </w:tc>
      </w:tr>
    </w:tbl>
    <w:p w14:paraId="2492FE57" w14:textId="77777777" w:rsidR="004235BC" w:rsidRDefault="004235BC">
      <w:pPr>
        <w:spacing w:after="200" w:line="276" w:lineRule="auto"/>
        <w:rPr>
          <w:rFonts w:ascii="Arial" w:hAnsi="Arial" w:cs="Arial"/>
          <w:b/>
          <w:sz w:val="22"/>
          <w:szCs w:val="22"/>
          <w:lang w:val="es-ES"/>
        </w:rPr>
      </w:pPr>
      <w:r>
        <w:rPr>
          <w:rFonts w:ascii="Arial" w:hAnsi="Arial" w:cs="Arial"/>
          <w:b/>
          <w:sz w:val="22"/>
          <w:szCs w:val="22"/>
          <w:lang w:val="es-ES"/>
        </w:rPr>
        <w:br w:type="page"/>
      </w:r>
    </w:p>
    <w:p w14:paraId="6CC90D36" w14:textId="3231338A" w:rsidR="004327ED" w:rsidRPr="00D97056" w:rsidRDefault="004327ED" w:rsidP="005F6EF3">
      <w:pPr>
        <w:spacing w:after="200" w:line="276" w:lineRule="auto"/>
        <w:jc w:val="center"/>
        <w:rPr>
          <w:rFonts w:ascii="Arial" w:hAnsi="Arial" w:cs="Arial"/>
          <w:b/>
          <w:sz w:val="22"/>
          <w:szCs w:val="22"/>
          <w:lang w:val="es-ES"/>
        </w:rPr>
      </w:pPr>
      <w:r w:rsidRPr="00D97056">
        <w:rPr>
          <w:rFonts w:ascii="Arial" w:hAnsi="Arial" w:cs="Arial"/>
          <w:b/>
          <w:sz w:val="22"/>
          <w:szCs w:val="22"/>
          <w:lang w:val="es-ES"/>
        </w:rPr>
        <w:lastRenderedPageBreak/>
        <w:t>ANEXO 1</w:t>
      </w:r>
    </w:p>
    <w:p w14:paraId="6CC90D37" w14:textId="77777777" w:rsidR="004327ED" w:rsidRPr="00D97056" w:rsidRDefault="004327ED" w:rsidP="004327ED">
      <w:pPr>
        <w:spacing w:line="360" w:lineRule="auto"/>
        <w:jc w:val="center"/>
        <w:rPr>
          <w:rFonts w:ascii="Arial" w:hAnsi="Arial" w:cs="Arial"/>
          <w:b/>
          <w:caps/>
          <w:sz w:val="22"/>
          <w:szCs w:val="22"/>
          <w:lang w:val="es-ES"/>
        </w:rPr>
      </w:pPr>
    </w:p>
    <w:p w14:paraId="6CC90D38" w14:textId="791B60E2" w:rsidR="004327ED" w:rsidRPr="00D97056" w:rsidRDefault="004327ED" w:rsidP="005A0ED4">
      <w:pPr>
        <w:spacing w:line="276" w:lineRule="auto"/>
        <w:jc w:val="center"/>
        <w:rPr>
          <w:rFonts w:ascii="Arial" w:hAnsi="Arial" w:cs="Arial"/>
          <w:b/>
          <w:caps/>
          <w:sz w:val="22"/>
          <w:szCs w:val="22"/>
          <w:lang w:val="es-ES"/>
        </w:rPr>
      </w:pPr>
      <w:r w:rsidRPr="00D97056">
        <w:rPr>
          <w:rFonts w:ascii="Arial" w:hAnsi="Arial" w:cs="Arial"/>
          <w:b/>
          <w:caps/>
          <w:sz w:val="22"/>
          <w:szCs w:val="22"/>
          <w:lang w:val="es-ES"/>
        </w:rPr>
        <w:t>Consultoria para la evaluacion de</w:t>
      </w:r>
      <w:r w:rsidR="00C57563">
        <w:rPr>
          <w:rFonts w:ascii="Arial" w:hAnsi="Arial" w:cs="Arial"/>
          <w:b/>
          <w:caps/>
          <w:sz w:val="22"/>
          <w:szCs w:val="22"/>
          <w:lang w:val="es-ES"/>
        </w:rPr>
        <w:t xml:space="preserve"> </w:t>
      </w:r>
      <w:r w:rsidRPr="00D97056">
        <w:rPr>
          <w:rFonts w:ascii="Arial" w:hAnsi="Arial" w:cs="Arial"/>
          <w:b/>
          <w:caps/>
          <w:sz w:val="22"/>
          <w:szCs w:val="22"/>
          <w:lang w:val="es-ES"/>
        </w:rPr>
        <w:t>l</w:t>
      </w:r>
      <w:r w:rsidR="00C57563">
        <w:rPr>
          <w:rFonts w:ascii="Arial" w:hAnsi="Arial" w:cs="Arial"/>
          <w:b/>
          <w:caps/>
          <w:sz w:val="22"/>
          <w:szCs w:val="22"/>
          <w:lang w:val="es-ES"/>
        </w:rPr>
        <w:t>A LEY DE DISCIPLINA FINANCIERA PARA ENTIDADES FEDERATIVAS Y MUNICIPIOS</w:t>
      </w:r>
    </w:p>
    <w:p w14:paraId="6CC90D39" w14:textId="77777777" w:rsidR="006D2995" w:rsidRDefault="006D2995" w:rsidP="004327ED">
      <w:pPr>
        <w:spacing w:line="360" w:lineRule="auto"/>
        <w:jc w:val="center"/>
        <w:rPr>
          <w:rFonts w:ascii="Arial" w:hAnsi="Arial" w:cs="Arial"/>
          <w:b/>
          <w:caps/>
          <w:sz w:val="22"/>
          <w:szCs w:val="22"/>
          <w:lang w:val="es-ES"/>
        </w:rPr>
      </w:pPr>
    </w:p>
    <w:p w14:paraId="6CC90D3A" w14:textId="77777777" w:rsidR="004327ED" w:rsidRPr="00D97056" w:rsidRDefault="004327ED" w:rsidP="004327ED">
      <w:pPr>
        <w:spacing w:line="360" w:lineRule="auto"/>
        <w:jc w:val="center"/>
        <w:rPr>
          <w:rFonts w:ascii="Arial" w:hAnsi="Arial" w:cs="Arial"/>
          <w:b/>
          <w:caps/>
          <w:sz w:val="22"/>
          <w:szCs w:val="22"/>
          <w:lang w:val="es-ES"/>
        </w:rPr>
      </w:pPr>
      <w:r w:rsidRPr="00D97056">
        <w:rPr>
          <w:rFonts w:ascii="Arial" w:hAnsi="Arial" w:cs="Arial"/>
          <w:b/>
          <w:caps/>
          <w:sz w:val="22"/>
          <w:szCs w:val="22"/>
          <w:lang w:val="es-ES"/>
        </w:rPr>
        <w:t>Borrador de TéRminos de referencia</w:t>
      </w:r>
    </w:p>
    <w:p w14:paraId="6CC90D3B" w14:textId="77777777" w:rsidR="004327ED" w:rsidRPr="00D97056" w:rsidRDefault="004327ED" w:rsidP="004327ED">
      <w:pPr>
        <w:spacing w:line="360" w:lineRule="auto"/>
        <w:jc w:val="center"/>
        <w:rPr>
          <w:rFonts w:ascii="Arial" w:hAnsi="Arial" w:cs="Arial"/>
          <w:b/>
          <w:sz w:val="22"/>
          <w:szCs w:val="22"/>
          <w:lang w:val="es-ES"/>
        </w:rPr>
      </w:pPr>
    </w:p>
    <w:p w14:paraId="6CC90D3C" w14:textId="77777777" w:rsidR="004327ED" w:rsidRPr="00D97056" w:rsidRDefault="004327ED" w:rsidP="004327ED">
      <w:pPr>
        <w:spacing w:line="360" w:lineRule="auto"/>
        <w:jc w:val="center"/>
        <w:rPr>
          <w:rFonts w:ascii="Arial" w:hAnsi="Arial" w:cs="Arial"/>
          <w:b/>
          <w:sz w:val="22"/>
          <w:szCs w:val="22"/>
          <w:lang w:val="es-ES"/>
        </w:rPr>
      </w:pPr>
    </w:p>
    <w:p w14:paraId="6CC90D3D" w14:textId="77777777" w:rsidR="004327ED" w:rsidRPr="000E7FE5" w:rsidRDefault="004327ED" w:rsidP="008D551D">
      <w:pPr>
        <w:pStyle w:val="heading-b24"/>
        <w:spacing w:after="0"/>
        <w:jc w:val="left"/>
        <w:rPr>
          <w:rFonts w:ascii="Arial" w:eastAsia="Arial Unicode MS" w:hAnsi="Arial" w:cs="Arial"/>
          <w:sz w:val="22"/>
          <w:szCs w:val="22"/>
          <w:lang w:val="es-ES"/>
        </w:rPr>
      </w:pPr>
      <w:r w:rsidRPr="000E7FE5">
        <w:rPr>
          <w:rFonts w:ascii="Arial" w:eastAsia="Arial Unicode MS" w:hAnsi="Arial" w:cs="Arial"/>
          <w:sz w:val="22"/>
          <w:szCs w:val="22"/>
          <w:lang w:val="es-ES"/>
        </w:rPr>
        <w:t>Objetivos</w:t>
      </w:r>
    </w:p>
    <w:p w14:paraId="6CC90D3E" w14:textId="22B74032" w:rsidR="004327ED" w:rsidRPr="000E7FE5" w:rsidRDefault="004327ED" w:rsidP="008D551D">
      <w:pPr>
        <w:pStyle w:val="Paragraph"/>
        <w:numPr>
          <w:ilvl w:val="0"/>
          <w:numId w:val="0"/>
        </w:numPr>
        <w:rPr>
          <w:rFonts w:ascii="Arial" w:hAnsi="Arial" w:cs="Arial"/>
          <w:spacing w:val="-3"/>
          <w:sz w:val="22"/>
          <w:szCs w:val="22"/>
        </w:rPr>
      </w:pPr>
      <w:r w:rsidRPr="000E7FE5">
        <w:rPr>
          <w:rFonts w:ascii="Arial" w:hAnsi="Arial" w:cs="Arial"/>
          <w:spacing w:val="-3"/>
          <w:sz w:val="22"/>
          <w:szCs w:val="22"/>
        </w:rPr>
        <w:t xml:space="preserve">El objetivo de la consultoría es realizar </w:t>
      </w:r>
      <w:r w:rsidR="000E7FE5">
        <w:rPr>
          <w:rFonts w:ascii="Arial" w:hAnsi="Arial" w:cs="Arial"/>
          <w:spacing w:val="-3"/>
          <w:sz w:val="22"/>
          <w:szCs w:val="22"/>
        </w:rPr>
        <w:t xml:space="preserve">un </w:t>
      </w:r>
      <w:r w:rsidRPr="000E7FE5">
        <w:rPr>
          <w:rFonts w:ascii="Arial" w:hAnsi="Arial" w:cs="Arial"/>
          <w:spacing w:val="-3"/>
          <w:sz w:val="22"/>
          <w:szCs w:val="22"/>
        </w:rPr>
        <w:t>análisis de</w:t>
      </w:r>
      <w:r w:rsidR="000E7FE5">
        <w:rPr>
          <w:rFonts w:ascii="Arial" w:hAnsi="Arial" w:cs="Arial"/>
          <w:spacing w:val="-3"/>
          <w:sz w:val="22"/>
          <w:szCs w:val="22"/>
        </w:rPr>
        <w:t xml:space="preserve">l efecto que tuvieron las medidas de disciplina financiera en </w:t>
      </w:r>
      <w:r w:rsidR="000E7FE5" w:rsidRPr="00CB2FC2">
        <w:rPr>
          <w:rFonts w:ascii="Arial" w:hAnsi="Arial" w:cs="Arial"/>
          <w:sz w:val="22"/>
          <w:szCs w:val="22"/>
        </w:rPr>
        <w:t>cómo evolucionaron las finanzas públicas de los estados y municipios</w:t>
      </w:r>
      <w:r w:rsidRPr="000E7FE5">
        <w:rPr>
          <w:rFonts w:ascii="Arial" w:hAnsi="Arial" w:cs="Arial"/>
          <w:spacing w:val="-3"/>
          <w:sz w:val="22"/>
          <w:szCs w:val="22"/>
        </w:rPr>
        <w:t>.</w:t>
      </w:r>
      <w:r w:rsidR="000E7FE5">
        <w:rPr>
          <w:rFonts w:ascii="Arial" w:hAnsi="Arial" w:cs="Arial"/>
          <w:spacing w:val="-3"/>
          <w:sz w:val="22"/>
          <w:szCs w:val="22"/>
        </w:rPr>
        <w:t xml:space="preserve"> </w:t>
      </w:r>
      <w:r w:rsidR="000E7FE5">
        <w:rPr>
          <w:rFonts w:ascii="Arial" w:hAnsi="Arial" w:cs="Arial"/>
          <w:sz w:val="22"/>
          <w:szCs w:val="22"/>
        </w:rPr>
        <w:t>También se</w:t>
      </w:r>
      <w:r w:rsidR="000E7FE5" w:rsidRPr="00CB2FC2">
        <w:rPr>
          <w:rFonts w:ascii="Arial" w:hAnsi="Arial" w:cs="Arial"/>
          <w:sz w:val="22"/>
          <w:szCs w:val="22"/>
        </w:rPr>
        <w:t xml:space="preserve"> buscará identificar lecciones aprendidas en la implementación del programa.</w:t>
      </w:r>
    </w:p>
    <w:p w14:paraId="6CC90D40" w14:textId="62DBEF1D" w:rsidR="004327ED" w:rsidRPr="00181EA5" w:rsidRDefault="004327ED" w:rsidP="008D551D">
      <w:pPr>
        <w:pStyle w:val="Paragraph"/>
        <w:numPr>
          <w:ilvl w:val="0"/>
          <w:numId w:val="0"/>
        </w:numPr>
        <w:rPr>
          <w:rFonts w:ascii="Arial" w:hAnsi="Arial" w:cs="Arial"/>
          <w:spacing w:val="-3"/>
          <w:sz w:val="22"/>
          <w:szCs w:val="22"/>
        </w:rPr>
      </w:pPr>
      <w:r w:rsidRPr="000E7FE5">
        <w:rPr>
          <w:rFonts w:ascii="Arial" w:hAnsi="Arial" w:cs="Arial"/>
          <w:spacing w:val="-3"/>
          <w:sz w:val="22"/>
          <w:szCs w:val="22"/>
        </w:rPr>
        <w:t xml:space="preserve">Este reporte servirá de insumo para la preparación del </w:t>
      </w:r>
      <w:r w:rsidR="000E7FE5">
        <w:rPr>
          <w:rFonts w:ascii="Arial" w:hAnsi="Arial" w:cs="Arial"/>
          <w:spacing w:val="-3"/>
          <w:sz w:val="22"/>
          <w:szCs w:val="22"/>
        </w:rPr>
        <w:t>Informe</w:t>
      </w:r>
      <w:r w:rsidRPr="000E7FE5">
        <w:rPr>
          <w:rFonts w:ascii="Arial" w:hAnsi="Arial" w:cs="Arial"/>
          <w:spacing w:val="-3"/>
          <w:sz w:val="22"/>
          <w:szCs w:val="22"/>
        </w:rPr>
        <w:t xml:space="preserve"> de </w:t>
      </w:r>
      <w:r w:rsidR="000E7FE5">
        <w:rPr>
          <w:rFonts w:ascii="Arial" w:hAnsi="Arial" w:cs="Arial"/>
          <w:spacing w:val="-3"/>
          <w:sz w:val="22"/>
          <w:szCs w:val="22"/>
        </w:rPr>
        <w:t xml:space="preserve">Terminación de </w:t>
      </w:r>
      <w:r w:rsidR="000E7FE5" w:rsidRPr="00181EA5">
        <w:rPr>
          <w:rFonts w:ascii="Arial" w:hAnsi="Arial" w:cs="Arial"/>
          <w:spacing w:val="-3"/>
          <w:sz w:val="22"/>
          <w:szCs w:val="22"/>
        </w:rPr>
        <w:t xml:space="preserve">Proyecto </w:t>
      </w:r>
      <w:r w:rsidRPr="00181EA5">
        <w:rPr>
          <w:rFonts w:ascii="Arial" w:hAnsi="Arial" w:cs="Arial"/>
          <w:spacing w:val="-3"/>
          <w:sz w:val="22"/>
          <w:szCs w:val="22"/>
        </w:rPr>
        <w:t xml:space="preserve">(PCR). </w:t>
      </w:r>
    </w:p>
    <w:p w14:paraId="1ECDCAB0" w14:textId="77777777" w:rsidR="00181EA5" w:rsidRPr="00181EA5" w:rsidRDefault="00181EA5" w:rsidP="00181EA5">
      <w:pPr>
        <w:ind w:left="360"/>
        <w:jc w:val="both"/>
        <w:rPr>
          <w:rFonts w:ascii="Arial" w:hAnsi="Arial" w:cs="Arial"/>
          <w:sz w:val="22"/>
          <w:szCs w:val="22"/>
          <w:lang w:val="es-ES"/>
        </w:rPr>
      </w:pPr>
    </w:p>
    <w:p w14:paraId="57E58B84" w14:textId="77777777" w:rsidR="00181EA5" w:rsidRPr="00181EA5" w:rsidRDefault="00181EA5" w:rsidP="00181EA5">
      <w:pPr>
        <w:pStyle w:val="heading-b24"/>
        <w:spacing w:after="0"/>
        <w:jc w:val="left"/>
        <w:rPr>
          <w:rFonts w:ascii="Arial" w:eastAsia="Arial Unicode MS" w:hAnsi="Arial" w:cs="Arial"/>
          <w:sz w:val="22"/>
          <w:szCs w:val="22"/>
          <w:lang w:val="es-ES"/>
        </w:rPr>
      </w:pPr>
      <w:r w:rsidRPr="00181EA5">
        <w:rPr>
          <w:rFonts w:ascii="Arial" w:eastAsia="Arial Unicode MS" w:hAnsi="Arial" w:cs="Arial"/>
          <w:sz w:val="22"/>
          <w:szCs w:val="22"/>
          <w:lang w:val="es-ES"/>
        </w:rPr>
        <w:t>Actividades</w:t>
      </w:r>
    </w:p>
    <w:p w14:paraId="2C6E542E" w14:textId="41D519C2" w:rsidR="00181EA5" w:rsidRDefault="00181EA5" w:rsidP="00181EA5">
      <w:pPr>
        <w:pStyle w:val="Paragraph"/>
        <w:numPr>
          <w:ilvl w:val="0"/>
          <w:numId w:val="29"/>
        </w:numPr>
        <w:ind w:left="360"/>
        <w:rPr>
          <w:rFonts w:ascii="Arial" w:hAnsi="Arial" w:cs="Arial"/>
          <w:spacing w:val="-3"/>
          <w:sz w:val="22"/>
          <w:szCs w:val="22"/>
        </w:rPr>
      </w:pPr>
      <w:r w:rsidRPr="00181EA5">
        <w:rPr>
          <w:rFonts w:ascii="Arial" w:hAnsi="Arial" w:cs="Arial"/>
          <w:spacing w:val="-3"/>
          <w:sz w:val="22"/>
          <w:szCs w:val="22"/>
        </w:rPr>
        <w:t xml:space="preserve">Revisar la documentación referida a la ejecución del programa en materia de </w:t>
      </w:r>
      <w:r>
        <w:rPr>
          <w:rFonts w:ascii="Arial" w:hAnsi="Arial" w:cs="Arial"/>
          <w:spacing w:val="-3"/>
          <w:sz w:val="22"/>
          <w:szCs w:val="22"/>
        </w:rPr>
        <w:t>disciplina financiera de entidades federativas y municipios</w:t>
      </w:r>
      <w:r w:rsidR="00801EC0">
        <w:rPr>
          <w:rFonts w:ascii="Arial" w:hAnsi="Arial" w:cs="Arial"/>
          <w:spacing w:val="-3"/>
          <w:sz w:val="22"/>
          <w:szCs w:val="22"/>
        </w:rPr>
        <w:t>.</w:t>
      </w:r>
    </w:p>
    <w:p w14:paraId="54174347" w14:textId="3C8B1C63" w:rsidR="00181EA5" w:rsidRDefault="00181EA5" w:rsidP="00181EA5">
      <w:pPr>
        <w:pStyle w:val="Paragraph"/>
        <w:numPr>
          <w:ilvl w:val="0"/>
          <w:numId w:val="29"/>
        </w:numPr>
        <w:ind w:left="360"/>
        <w:rPr>
          <w:rFonts w:ascii="Arial" w:hAnsi="Arial" w:cs="Arial"/>
          <w:spacing w:val="-3"/>
          <w:sz w:val="22"/>
          <w:szCs w:val="22"/>
        </w:rPr>
      </w:pPr>
      <w:r>
        <w:rPr>
          <w:rFonts w:ascii="Arial" w:hAnsi="Arial" w:cs="Arial"/>
          <w:spacing w:val="-3"/>
          <w:sz w:val="22"/>
          <w:szCs w:val="22"/>
        </w:rPr>
        <w:t xml:space="preserve">Recopilar información sobre los indicadores de resultados del </w:t>
      </w:r>
      <w:r w:rsidR="002117F5">
        <w:rPr>
          <w:rFonts w:ascii="Arial" w:hAnsi="Arial" w:cs="Arial"/>
          <w:spacing w:val="-3"/>
          <w:sz w:val="22"/>
          <w:szCs w:val="22"/>
        </w:rPr>
        <w:t>Programa.</w:t>
      </w:r>
    </w:p>
    <w:p w14:paraId="1C262F08" w14:textId="700D94ED" w:rsidR="00181EA5" w:rsidRPr="00181EA5" w:rsidRDefault="00181EA5" w:rsidP="00181EA5">
      <w:pPr>
        <w:pStyle w:val="Paragraph"/>
        <w:numPr>
          <w:ilvl w:val="0"/>
          <w:numId w:val="29"/>
        </w:numPr>
        <w:ind w:left="360"/>
        <w:rPr>
          <w:rFonts w:ascii="Arial" w:hAnsi="Arial" w:cs="Arial"/>
          <w:spacing w:val="-3"/>
          <w:sz w:val="22"/>
          <w:szCs w:val="22"/>
        </w:rPr>
      </w:pPr>
      <w:r>
        <w:rPr>
          <w:rFonts w:ascii="Arial" w:hAnsi="Arial" w:cs="Arial"/>
          <w:spacing w:val="-3"/>
          <w:sz w:val="22"/>
          <w:szCs w:val="22"/>
        </w:rPr>
        <w:t>E</w:t>
      </w:r>
      <w:r w:rsidRPr="00181EA5">
        <w:rPr>
          <w:rFonts w:ascii="Arial" w:hAnsi="Arial" w:cs="Arial"/>
          <w:spacing w:val="-3"/>
          <w:sz w:val="22"/>
          <w:szCs w:val="22"/>
        </w:rPr>
        <w:t xml:space="preserve">valuar el alcance y el impacto logrado </w:t>
      </w:r>
      <w:proofErr w:type="gramStart"/>
      <w:r w:rsidRPr="00181EA5">
        <w:rPr>
          <w:rFonts w:ascii="Arial" w:hAnsi="Arial" w:cs="Arial"/>
          <w:spacing w:val="-3"/>
          <w:sz w:val="22"/>
          <w:szCs w:val="22"/>
        </w:rPr>
        <w:t>de acuerdo a</w:t>
      </w:r>
      <w:proofErr w:type="gramEnd"/>
      <w:r w:rsidRPr="00181EA5">
        <w:rPr>
          <w:rFonts w:ascii="Arial" w:hAnsi="Arial" w:cs="Arial"/>
          <w:spacing w:val="-3"/>
          <w:sz w:val="22"/>
          <w:szCs w:val="22"/>
        </w:rPr>
        <w:t xml:space="preserve"> los objetivos e indicadores de las matrices de políticas y de resultados.</w:t>
      </w:r>
    </w:p>
    <w:p w14:paraId="7FE704D8" w14:textId="479A3FAE" w:rsidR="00181EA5" w:rsidRPr="00181EA5" w:rsidRDefault="00181EA5" w:rsidP="00181EA5">
      <w:pPr>
        <w:pStyle w:val="Paragraph"/>
        <w:numPr>
          <w:ilvl w:val="0"/>
          <w:numId w:val="29"/>
        </w:numPr>
        <w:ind w:left="360"/>
        <w:rPr>
          <w:rFonts w:ascii="Arial" w:hAnsi="Arial" w:cs="Arial"/>
          <w:spacing w:val="-3"/>
          <w:sz w:val="22"/>
          <w:szCs w:val="22"/>
        </w:rPr>
      </w:pPr>
      <w:r>
        <w:rPr>
          <w:rFonts w:ascii="Arial" w:hAnsi="Arial" w:cs="Arial"/>
          <w:spacing w:val="-3"/>
          <w:sz w:val="22"/>
          <w:szCs w:val="22"/>
        </w:rPr>
        <w:t>Recopilar información sobre las finanzas públicas de estados y municipios en México</w:t>
      </w:r>
      <w:r w:rsidRPr="00181EA5">
        <w:rPr>
          <w:rFonts w:ascii="Arial" w:hAnsi="Arial" w:cs="Arial"/>
          <w:spacing w:val="-3"/>
          <w:sz w:val="22"/>
          <w:szCs w:val="22"/>
        </w:rPr>
        <w:t xml:space="preserve">. </w:t>
      </w:r>
    </w:p>
    <w:p w14:paraId="5CB1C27C" w14:textId="43CA4FFA" w:rsidR="00181EA5" w:rsidRPr="00181EA5" w:rsidRDefault="00181EA5" w:rsidP="00181EA5">
      <w:pPr>
        <w:pStyle w:val="Paragraph"/>
        <w:numPr>
          <w:ilvl w:val="0"/>
          <w:numId w:val="29"/>
        </w:numPr>
        <w:ind w:left="360"/>
        <w:rPr>
          <w:rFonts w:ascii="Arial" w:hAnsi="Arial" w:cs="Arial"/>
          <w:sz w:val="22"/>
          <w:szCs w:val="22"/>
        </w:rPr>
      </w:pPr>
      <w:r w:rsidRPr="00181EA5">
        <w:rPr>
          <w:rFonts w:ascii="Arial" w:hAnsi="Arial" w:cs="Arial"/>
          <w:spacing w:val="-3"/>
          <w:sz w:val="22"/>
          <w:szCs w:val="22"/>
        </w:rPr>
        <w:t xml:space="preserve">Evaluar </w:t>
      </w:r>
      <w:r>
        <w:rPr>
          <w:rFonts w:ascii="Arial" w:hAnsi="Arial" w:cs="Arial"/>
          <w:spacing w:val="-3"/>
          <w:sz w:val="22"/>
          <w:szCs w:val="22"/>
        </w:rPr>
        <w:t>el cambio en la dinámica de las finanzas públicas tras la implementación de la Ley</w:t>
      </w:r>
      <w:r w:rsidRPr="00181EA5">
        <w:rPr>
          <w:rFonts w:ascii="Arial" w:hAnsi="Arial" w:cs="Arial"/>
          <w:spacing w:val="-3"/>
          <w:sz w:val="22"/>
          <w:szCs w:val="22"/>
        </w:rPr>
        <w:t>.</w:t>
      </w:r>
    </w:p>
    <w:p w14:paraId="25D75E81" w14:textId="77777777" w:rsidR="002E4547" w:rsidRDefault="002E4547" w:rsidP="002E4547">
      <w:pPr>
        <w:pStyle w:val="Paragraph"/>
        <w:numPr>
          <w:ilvl w:val="0"/>
          <w:numId w:val="29"/>
        </w:numPr>
        <w:ind w:left="360"/>
        <w:rPr>
          <w:rFonts w:ascii="Arial" w:hAnsi="Arial" w:cs="Arial"/>
          <w:spacing w:val="-3"/>
          <w:sz w:val="22"/>
          <w:szCs w:val="22"/>
        </w:rPr>
      </w:pPr>
      <w:r>
        <w:rPr>
          <w:rFonts w:ascii="Arial" w:hAnsi="Arial" w:cs="Arial"/>
          <w:spacing w:val="-3"/>
          <w:sz w:val="22"/>
          <w:szCs w:val="22"/>
        </w:rPr>
        <w:t>Entrevistar a actores relevantes, de manera de poder identificar lecciones aprendidas en la implementación de la nueva reglamentación introducida</w:t>
      </w:r>
      <w:r w:rsidR="00181EA5" w:rsidRPr="00181EA5">
        <w:rPr>
          <w:rFonts w:ascii="Arial" w:hAnsi="Arial" w:cs="Arial"/>
          <w:spacing w:val="-3"/>
          <w:sz w:val="22"/>
          <w:szCs w:val="22"/>
        </w:rPr>
        <w:t>.</w:t>
      </w:r>
    </w:p>
    <w:p w14:paraId="6CC90D42" w14:textId="59334A51" w:rsidR="004327ED" w:rsidRPr="002E4547" w:rsidRDefault="002E4547" w:rsidP="002E4547">
      <w:pPr>
        <w:pStyle w:val="Paragraph"/>
        <w:numPr>
          <w:ilvl w:val="0"/>
          <w:numId w:val="29"/>
        </w:numPr>
        <w:ind w:left="360"/>
        <w:rPr>
          <w:rFonts w:ascii="Arial" w:hAnsi="Arial" w:cs="Arial"/>
          <w:spacing w:val="-3"/>
          <w:sz w:val="22"/>
          <w:szCs w:val="22"/>
        </w:rPr>
      </w:pPr>
      <w:r w:rsidRPr="002E4547">
        <w:rPr>
          <w:rFonts w:ascii="Arial" w:hAnsi="Arial" w:cs="Arial"/>
          <w:sz w:val="22"/>
          <w:szCs w:val="22"/>
        </w:rPr>
        <w:t>Producir un informe resumiendo los principales resultados de los diferentes análisis realizados</w:t>
      </w:r>
      <w:r w:rsidR="00181EA5" w:rsidRPr="002E4547">
        <w:rPr>
          <w:rFonts w:ascii="Arial" w:hAnsi="Arial" w:cs="Arial"/>
          <w:sz w:val="22"/>
          <w:szCs w:val="22"/>
        </w:rPr>
        <w:t>.</w:t>
      </w:r>
      <w:r w:rsidRPr="002E4547">
        <w:rPr>
          <w:rFonts w:ascii="Arial" w:hAnsi="Arial" w:cs="Arial"/>
          <w:sz w:val="22"/>
          <w:szCs w:val="22"/>
        </w:rPr>
        <w:t xml:space="preserve"> El informe deberá prestar particular atención a los </w:t>
      </w:r>
      <w:r w:rsidR="00181EA5" w:rsidRPr="002E4547">
        <w:rPr>
          <w:rFonts w:ascii="Arial" w:hAnsi="Arial" w:cs="Arial"/>
          <w:spacing w:val="-3"/>
          <w:sz w:val="22"/>
          <w:szCs w:val="22"/>
        </w:rPr>
        <w:t>siguientes ejes de disciplina financiera</w:t>
      </w:r>
      <w:r w:rsidR="004327ED" w:rsidRPr="002E4547">
        <w:rPr>
          <w:rFonts w:ascii="Arial" w:hAnsi="Arial" w:cs="Arial"/>
          <w:spacing w:val="-3"/>
          <w:sz w:val="22"/>
          <w:szCs w:val="22"/>
        </w:rPr>
        <w:t>:</w:t>
      </w:r>
    </w:p>
    <w:p w14:paraId="6CC90D43" w14:textId="748DB8A7" w:rsidR="004327ED" w:rsidRPr="00181EA5" w:rsidRDefault="00181EA5" w:rsidP="002E4547">
      <w:pPr>
        <w:pStyle w:val="Paragraph"/>
        <w:numPr>
          <w:ilvl w:val="1"/>
          <w:numId w:val="29"/>
        </w:numPr>
        <w:spacing w:after="0"/>
        <w:rPr>
          <w:rFonts w:ascii="Arial" w:hAnsi="Arial" w:cs="Arial"/>
          <w:spacing w:val="-3"/>
          <w:sz w:val="22"/>
          <w:szCs w:val="22"/>
        </w:rPr>
      </w:pPr>
      <w:r w:rsidRPr="00181EA5">
        <w:rPr>
          <w:rFonts w:ascii="Arial" w:eastAsiaTheme="minorHAnsi" w:hAnsi="Arial" w:cs="Arial"/>
          <w:color w:val="000000"/>
          <w:sz w:val="22"/>
          <w:szCs w:val="22"/>
          <w:lang w:val="es-MX"/>
        </w:rPr>
        <w:t>Reglas de Disciplina Financiera</w:t>
      </w:r>
      <w:r w:rsidR="004327ED" w:rsidRPr="00181EA5">
        <w:rPr>
          <w:rFonts w:ascii="Arial" w:hAnsi="Arial" w:cs="Arial"/>
          <w:spacing w:val="-3"/>
          <w:sz w:val="22"/>
          <w:szCs w:val="22"/>
        </w:rPr>
        <w:t>.</w:t>
      </w:r>
    </w:p>
    <w:p w14:paraId="6CC90D44" w14:textId="3693CCF8" w:rsidR="004327ED" w:rsidRPr="00181EA5" w:rsidRDefault="00181EA5" w:rsidP="002E4547">
      <w:pPr>
        <w:pStyle w:val="Paragraph"/>
        <w:numPr>
          <w:ilvl w:val="1"/>
          <w:numId w:val="29"/>
        </w:numPr>
        <w:spacing w:after="0"/>
        <w:rPr>
          <w:rFonts w:ascii="Arial" w:hAnsi="Arial" w:cs="Arial"/>
          <w:spacing w:val="-3"/>
          <w:sz w:val="22"/>
          <w:szCs w:val="22"/>
        </w:rPr>
      </w:pPr>
      <w:r w:rsidRPr="00181EA5">
        <w:rPr>
          <w:rFonts w:ascii="Arial" w:eastAsiaTheme="minorHAnsi" w:hAnsi="Arial" w:cs="Arial"/>
          <w:color w:val="000000"/>
          <w:sz w:val="22"/>
          <w:szCs w:val="22"/>
          <w:lang w:val="es-MX"/>
        </w:rPr>
        <w:t>Sistema de Alertas</w:t>
      </w:r>
      <w:r w:rsidR="004327ED" w:rsidRPr="00181EA5">
        <w:rPr>
          <w:rFonts w:ascii="Arial" w:hAnsi="Arial" w:cs="Arial"/>
          <w:spacing w:val="-3"/>
          <w:sz w:val="22"/>
          <w:szCs w:val="22"/>
        </w:rPr>
        <w:t>.</w:t>
      </w:r>
    </w:p>
    <w:p w14:paraId="6CC90D45" w14:textId="7E2BEC0B" w:rsidR="004327ED" w:rsidRPr="00181EA5" w:rsidRDefault="00181EA5" w:rsidP="002E4547">
      <w:pPr>
        <w:pStyle w:val="Paragraph"/>
        <w:numPr>
          <w:ilvl w:val="1"/>
          <w:numId w:val="29"/>
        </w:numPr>
        <w:spacing w:after="0"/>
        <w:rPr>
          <w:rFonts w:ascii="Arial" w:hAnsi="Arial" w:cs="Arial"/>
          <w:spacing w:val="-3"/>
          <w:sz w:val="22"/>
          <w:szCs w:val="22"/>
        </w:rPr>
      </w:pPr>
      <w:r w:rsidRPr="00181EA5">
        <w:rPr>
          <w:rFonts w:ascii="Arial" w:eastAsiaTheme="minorHAnsi" w:hAnsi="Arial" w:cs="Arial"/>
          <w:color w:val="000000"/>
          <w:sz w:val="22"/>
          <w:szCs w:val="22"/>
          <w:lang w:val="es-MX"/>
        </w:rPr>
        <w:t>Contratación de Deuda</w:t>
      </w:r>
      <w:r w:rsidR="004327ED" w:rsidRPr="00181EA5">
        <w:rPr>
          <w:rFonts w:ascii="Arial" w:hAnsi="Arial" w:cs="Arial"/>
          <w:spacing w:val="-3"/>
          <w:sz w:val="22"/>
          <w:szCs w:val="22"/>
        </w:rPr>
        <w:t>.</w:t>
      </w:r>
    </w:p>
    <w:p w14:paraId="6CC90D46" w14:textId="4C5D36C6" w:rsidR="004327ED" w:rsidRPr="00181EA5" w:rsidRDefault="00181EA5" w:rsidP="002E4547">
      <w:pPr>
        <w:pStyle w:val="Paragraph"/>
        <w:numPr>
          <w:ilvl w:val="1"/>
          <w:numId w:val="29"/>
        </w:numPr>
        <w:spacing w:after="0"/>
        <w:rPr>
          <w:rFonts w:ascii="Arial" w:hAnsi="Arial" w:cs="Arial"/>
          <w:spacing w:val="-3"/>
          <w:sz w:val="22"/>
          <w:szCs w:val="22"/>
        </w:rPr>
      </w:pPr>
      <w:r w:rsidRPr="00181EA5">
        <w:rPr>
          <w:rFonts w:ascii="Arial" w:eastAsiaTheme="minorHAnsi" w:hAnsi="Arial" w:cs="Arial"/>
          <w:color w:val="000000"/>
          <w:sz w:val="22"/>
          <w:szCs w:val="22"/>
          <w:lang w:val="es-MX"/>
        </w:rPr>
        <w:t>Deuda Estatal Garantizada</w:t>
      </w:r>
      <w:r w:rsidR="004327ED" w:rsidRPr="00181EA5">
        <w:rPr>
          <w:rFonts w:ascii="Arial" w:hAnsi="Arial" w:cs="Arial"/>
          <w:spacing w:val="-3"/>
          <w:sz w:val="22"/>
          <w:szCs w:val="22"/>
        </w:rPr>
        <w:t>.</w:t>
      </w:r>
    </w:p>
    <w:p w14:paraId="6CC90D47" w14:textId="5F9679D6" w:rsidR="004327ED" w:rsidRPr="00181EA5" w:rsidRDefault="00181EA5" w:rsidP="002E4547">
      <w:pPr>
        <w:pStyle w:val="Paragraph"/>
        <w:numPr>
          <w:ilvl w:val="1"/>
          <w:numId w:val="29"/>
        </w:numPr>
        <w:spacing w:after="0"/>
        <w:rPr>
          <w:rFonts w:ascii="Arial" w:hAnsi="Arial" w:cs="Arial"/>
          <w:spacing w:val="-3"/>
          <w:sz w:val="22"/>
          <w:szCs w:val="22"/>
        </w:rPr>
      </w:pPr>
      <w:r w:rsidRPr="00181EA5">
        <w:rPr>
          <w:rFonts w:ascii="Arial" w:eastAsiaTheme="minorHAnsi" w:hAnsi="Arial" w:cs="Arial"/>
          <w:color w:val="000000"/>
          <w:sz w:val="22"/>
          <w:szCs w:val="22"/>
          <w:lang w:val="es-MX"/>
        </w:rPr>
        <w:t>Registro Público Único</w:t>
      </w:r>
      <w:r w:rsidR="004327ED" w:rsidRPr="00181EA5">
        <w:rPr>
          <w:rFonts w:ascii="Arial" w:hAnsi="Arial" w:cs="Arial"/>
          <w:spacing w:val="-3"/>
          <w:sz w:val="22"/>
          <w:szCs w:val="22"/>
        </w:rPr>
        <w:t>.</w:t>
      </w:r>
    </w:p>
    <w:p w14:paraId="6CC90D49" w14:textId="23D24E39" w:rsidR="004327ED" w:rsidRPr="00181EA5" w:rsidRDefault="004327ED" w:rsidP="00181EA5">
      <w:pPr>
        <w:rPr>
          <w:rFonts w:ascii="Arial" w:hAnsi="Arial" w:cs="Arial"/>
          <w:b/>
          <w:sz w:val="22"/>
          <w:szCs w:val="22"/>
          <w:lang w:val="es-ES"/>
        </w:rPr>
      </w:pPr>
    </w:p>
    <w:p w14:paraId="6CC90D4A" w14:textId="5D42668B" w:rsidR="004327ED" w:rsidRPr="000E7FE5" w:rsidRDefault="004327ED" w:rsidP="008D551D">
      <w:pPr>
        <w:pStyle w:val="Paragraph"/>
        <w:numPr>
          <w:ilvl w:val="0"/>
          <w:numId w:val="0"/>
        </w:numPr>
        <w:spacing w:after="0"/>
        <w:ind w:left="720" w:hanging="720"/>
        <w:jc w:val="left"/>
        <w:rPr>
          <w:rFonts w:ascii="Arial" w:eastAsia="Arial Unicode MS" w:hAnsi="Arial" w:cs="Arial"/>
          <w:b/>
          <w:smallCaps/>
          <w:spacing w:val="-3"/>
          <w:sz w:val="22"/>
          <w:szCs w:val="22"/>
        </w:rPr>
      </w:pPr>
      <w:r w:rsidRPr="000E7FE5">
        <w:rPr>
          <w:rFonts w:ascii="Arial" w:eastAsia="Arial Unicode MS" w:hAnsi="Arial" w:cs="Arial"/>
          <w:b/>
          <w:smallCaps/>
          <w:spacing w:val="-3"/>
          <w:sz w:val="22"/>
          <w:szCs w:val="22"/>
        </w:rPr>
        <w:lastRenderedPageBreak/>
        <w:t xml:space="preserve">Productos y </w:t>
      </w:r>
      <w:r w:rsidR="00293D3B">
        <w:rPr>
          <w:rFonts w:ascii="Arial" w:eastAsia="Arial Unicode MS" w:hAnsi="Arial" w:cs="Arial"/>
          <w:b/>
          <w:smallCaps/>
          <w:spacing w:val="-3"/>
          <w:sz w:val="22"/>
          <w:szCs w:val="22"/>
        </w:rPr>
        <w:t>f</w:t>
      </w:r>
      <w:r w:rsidRPr="000E7FE5">
        <w:rPr>
          <w:rFonts w:ascii="Arial" w:eastAsia="Arial Unicode MS" w:hAnsi="Arial" w:cs="Arial"/>
          <w:b/>
          <w:smallCaps/>
          <w:spacing w:val="-3"/>
          <w:sz w:val="22"/>
          <w:szCs w:val="22"/>
        </w:rPr>
        <w:t xml:space="preserve">orma de </w:t>
      </w:r>
      <w:r w:rsidR="00293D3B">
        <w:rPr>
          <w:rFonts w:ascii="Arial" w:eastAsia="Arial Unicode MS" w:hAnsi="Arial" w:cs="Arial"/>
          <w:b/>
          <w:smallCaps/>
          <w:spacing w:val="-3"/>
          <w:sz w:val="22"/>
          <w:szCs w:val="22"/>
        </w:rPr>
        <w:t>p</w:t>
      </w:r>
      <w:r w:rsidRPr="000E7FE5">
        <w:rPr>
          <w:rFonts w:ascii="Arial" w:eastAsia="Arial Unicode MS" w:hAnsi="Arial" w:cs="Arial"/>
          <w:b/>
          <w:smallCaps/>
          <w:spacing w:val="-3"/>
          <w:sz w:val="22"/>
          <w:szCs w:val="22"/>
        </w:rPr>
        <w:t>ago</w:t>
      </w:r>
    </w:p>
    <w:p w14:paraId="6CC90D4B" w14:textId="67188C07" w:rsidR="004327ED" w:rsidRPr="000E7FE5" w:rsidRDefault="004327ED" w:rsidP="008D551D">
      <w:pPr>
        <w:pStyle w:val="Paragraph"/>
        <w:numPr>
          <w:ilvl w:val="0"/>
          <w:numId w:val="0"/>
        </w:numPr>
        <w:rPr>
          <w:rFonts w:ascii="Arial" w:hAnsi="Arial" w:cs="Arial"/>
          <w:spacing w:val="-3"/>
          <w:sz w:val="22"/>
          <w:szCs w:val="22"/>
        </w:rPr>
      </w:pPr>
      <w:r w:rsidRPr="000E7FE5">
        <w:rPr>
          <w:rFonts w:ascii="Arial" w:hAnsi="Arial" w:cs="Arial"/>
          <w:spacing w:val="-3"/>
          <w:sz w:val="22"/>
          <w:szCs w:val="22"/>
        </w:rPr>
        <w:t xml:space="preserve">El contractual presentará un producto final, conteniendo el </w:t>
      </w:r>
      <w:r w:rsidR="003C191D">
        <w:rPr>
          <w:rFonts w:ascii="Arial" w:hAnsi="Arial" w:cs="Arial"/>
          <w:spacing w:val="-3"/>
          <w:sz w:val="22"/>
          <w:szCs w:val="22"/>
        </w:rPr>
        <w:t>informe</w:t>
      </w:r>
      <w:r w:rsidRPr="000E7FE5">
        <w:rPr>
          <w:rFonts w:ascii="Arial" w:hAnsi="Arial" w:cs="Arial"/>
          <w:spacing w:val="-3"/>
          <w:sz w:val="22"/>
          <w:szCs w:val="22"/>
        </w:rPr>
        <w:t xml:space="preserve"> mencionado en la sección “Actividades”. </w:t>
      </w:r>
    </w:p>
    <w:p w14:paraId="6CC90D4C" w14:textId="6AB32540" w:rsidR="004327ED" w:rsidRDefault="004327ED" w:rsidP="008D551D">
      <w:pPr>
        <w:pStyle w:val="Paragraph"/>
        <w:numPr>
          <w:ilvl w:val="0"/>
          <w:numId w:val="0"/>
        </w:numPr>
        <w:rPr>
          <w:rFonts w:ascii="Arial" w:hAnsi="Arial" w:cs="Arial"/>
          <w:spacing w:val="-3"/>
          <w:sz w:val="22"/>
          <w:szCs w:val="22"/>
        </w:rPr>
      </w:pPr>
      <w:r w:rsidRPr="000E7FE5">
        <w:rPr>
          <w:rFonts w:ascii="Arial" w:hAnsi="Arial" w:cs="Arial"/>
          <w:sz w:val="22"/>
          <w:szCs w:val="22"/>
        </w:rPr>
        <w:t>El pago total se realizará contra la entrega y aprobación por parte del BID del producto final. E</w:t>
      </w:r>
      <w:r w:rsidRPr="000E7FE5">
        <w:rPr>
          <w:rFonts w:ascii="Arial" w:hAnsi="Arial" w:cs="Arial"/>
          <w:spacing w:val="-3"/>
          <w:sz w:val="22"/>
          <w:szCs w:val="22"/>
        </w:rPr>
        <w:t>l costo de la consultoría se estima en US</w:t>
      </w:r>
      <w:r w:rsidR="002E4547">
        <w:rPr>
          <w:rFonts w:ascii="Arial" w:hAnsi="Arial" w:cs="Arial"/>
          <w:spacing w:val="-3"/>
          <w:sz w:val="22"/>
          <w:szCs w:val="22"/>
        </w:rPr>
        <w:t>D</w:t>
      </w:r>
      <w:r w:rsidRPr="000E7FE5">
        <w:rPr>
          <w:rFonts w:ascii="Arial" w:hAnsi="Arial" w:cs="Arial"/>
          <w:spacing w:val="-3"/>
          <w:sz w:val="22"/>
          <w:szCs w:val="22"/>
        </w:rPr>
        <w:t xml:space="preserve"> 1</w:t>
      </w:r>
      <w:r w:rsidR="00A73630" w:rsidRPr="000E7FE5">
        <w:rPr>
          <w:rFonts w:ascii="Arial" w:hAnsi="Arial" w:cs="Arial"/>
          <w:spacing w:val="-3"/>
          <w:sz w:val="22"/>
          <w:szCs w:val="22"/>
        </w:rPr>
        <w:t>0</w:t>
      </w:r>
      <w:r w:rsidRPr="000E7FE5">
        <w:rPr>
          <w:rFonts w:ascii="Arial" w:hAnsi="Arial" w:cs="Arial"/>
          <w:spacing w:val="-3"/>
          <w:sz w:val="22"/>
          <w:szCs w:val="22"/>
        </w:rPr>
        <w:t>.000.</w:t>
      </w:r>
    </w:p>
    <w:p w14:paraId="6CC90D4D" w14:textId="77777777" w:rsidR="008D551D" w:rsidRPr="000E7FE5" w:rsidRDefault="008D551D" w:rsidP="008D551D">
      <w:pPr>
        <w:pStyle w:val="heading-b24"/>
        <w:spacing w:after="0"/>
        <w:jc w:val="left"/>
        <w:rPr>
          <w:rFonts w:ascii="Arial" w:eastAsia="Arial Unicode MS" w:hAnsi="Arial" w:cs="Arial"/>
          <w:sz w:val="22"/>
          <w:szCs w:val="22"/>
          <w:lang w:val="es-ES"/>
        </w:rPr>
      </w:pPr>
    </w:p>
    <w:p w14:paraId="6CC90D4E" w14:textId="77777777" w:rsidR="004327ED" w:rsidRPr="000E7FE5" w:rsidRDefault="004327ED" w:rsidP="008D551D">
      <w:pPr>
        <w:pStyle w:val="heading-b24"/>
        <w:spacing w:after="0"/>
        <w:jc w:val="left"/>
        <w:rPr>
          <w:rFonts w:ascii="Arial" w:eastAsia="Arial Unicode MS" w:hAnsi="Arial" w:cs="Arial"/>
          <w:sz w:val="22"/>
          <w:szCs w:val="22"/>
          <w:lang w:val="es-ES"/>
        </w:rPr>
      </w:pPr>
      <w:r w:rsidRPr="000E7FE5">
        <w:rPr>
          <w:rFonts w:ascii="Arial" w:eastAsia="Arial Unicode MS" w:hAnsi="Arial" w:cs="Arial"/>
          <w:sz w:val="22"/>
          <w:szCs w:val="22"/>
          <w:lang w:val="es-ES"/>
        </w:rPr>
        <w:t>Calificaciones</w:t>
      </w:r>
    </w:p>
    <w:p w14:paraId="6CC90D4F" w14:textId="77777777" w:rsidR="004327ED" w:rsidRPr="000E7FE5" w:rsidRDefault="004327ED" w:rsidP="008D551D">
      <w:pPr>
        <w:pStyle w:val="Paragraph"/>
        <w:numPr>
          <w:ilvl w:val="0"/>
          <w:numId w:val="0"/>
        </w:numPr>
        <w:rPr>
          <w:rFonts w:ascii="Arial" w:hAnsi="Arial" w:cs="Arial"/>
          <w:sz w:val="22"/>
          <w:szCs w:val="22"/>
        </w:rPr>
      </w:pPr>
      <w:r w:rsidRPr="000E7FE5">
        <w:rPr>
          <w:rFonts w:ascii="Arial" w:hAnsi="Arial" w:cs="Arial"/>
          <w:sz w:val="22"/>
          <w:szCs w:val="22"/>
        </w:rPr>
        <w:t>El contractual debe ser experto con formación profesional de maestría o doctorado y con experiencia en el área de economía y finanzas, siendo por lo menos de diez años en el tema de finanzas públicas en países de América Latina y el Caribe.</w:t>
      </w:r>
    </w:p>
    <w:p w14:paraId="6CC90D50" w14:textId="77777777" w:rsidR="004327ED" w:rsidRPr="00A73630" w:rsidRDefault="004327ED" w:rsidP="00C57563">
      <w:pPr>
        <w:ind w:left="360"/>
        <w:jc w:val="both"/>
        <w:rPr>
          <w:rFonts w:ascii="Arial" w:hAnsi="Arial" w:cs="Arial"/>
          <w:sz w:val="22"/>
          <w:szCs w:val="22"/>
          <w:highlight w:val="yellow"/>
          <w:lang w:val="es-ES"/>
        </w:rPr>
      </w:pPr>
    </w:p>
    <w:p w14:paraId="6CC90D52" w14:textId="77777777" w:rsidR="004327ED" w:rsidRPr="001A5A3B" w:rsidRDefault="004327ED" w:rsidP="00C57563">
      <w:pPr>
        <w:pStyle w:val="heading-b24"/>
        <w:spacing w:after="0"/>
        <w:jc w:val="both"/>
        <w:rPr>
          <w:rFonts w:ascii="Arial" w:eastAsia="Arial Unicode MS" w:hAnsi="Arial" w:cs="Arial"/>
          <w:sz w:val="22"/>
          <w:szCs w:val="22"/>
          <w:lang w:val="es-ES"/>
        </w:rPr>
      </w:pPr>
      <w:r w:rsidRPr="001A5A3B">
        <w:rPr>
          <w:rFonts w:ascii="Arial" w:eastAsia="Arial Unicode MS" w:hAnsi="Arial" w:cs="Arial"/>
          <w:sz w:val="22"/>
          <w:szCs w:val="22"/>
          <w:lang w:val="es-ES"/>
        </w:rPr>
        <w:t>Características</w:t>
      </w:r>
    </w:p>
    <w:p w14:paraId="6CC90D53" w14:textId="77777777" w:rsidR="004327ED" w:rsidRPr="001A5A3B" w:rsidRDefault="004327ED" w:rsidP="00C57563">
      <w:pPr>
        <w:pStyle w:val="NoSpacing"/>
        <w:spacing w:before="120" w:after="120"/>
        <w:jc w:val="both"/>
        <w:rPr>
          <w:rFonts w:ascii="Arial" w:hAnsi="Arial" w:cs="Arial"/>
          <w:sz w:val="22"/>
          <w:szCs w:val="22"/>
          <w:lang w:val="es-ES"/>
        </w:rPr>
      </w:pPr>
      <w:r w:rsidRPr="001A5A3B">
        <w:rPr>
          <w:rFonts w:ascii="Arial" w:hAnsi="Arial" w:cs="Arial"/>
          <w:b/>
          <w:sz w:val="22"/>
          <w:szCs w:val="22"/>
          <w:lang w:val="es-ES"/>
        </w:rPr>
        <w:t>Categoría y Modalidad de la Consultoría:</w:t>
      </w:r>
      <w:r w:rsidRPr="001A5A3B">
        <w:rPr>
          <w:rFonts w:ascii="Arial" w:hAnsi="Arial" w:cs="Arial"/>
          <w:sz w:val="22"/>
          <w:szCs w:val="22"/>
          <w:lang w:val="es-ES"/>
        </w:rPr>
        <w:t xml:space="preserve"> Contractual de Productos y Servicios Externos, Suma Alzada.</w:t>
      </w:r>
    </w:p>
    <w:p w14:paraId="6CC90D54" w14:textId="77777777" w:rsidR="004327ED" w:rsidRPr="001A5A3B" w:rsidRDefault="004327ED" w:rsidP="00C57563">
      <w:pPr>
        <w:pStyle w:val="NoSpacing"/>
        <w:spacing w:before="120" w:after="120"/>
        <w:jc w:val="both"/>
        <w:rPr>
          <w:rFonts w:ascii="Arial" w:hAnsi="Arial" w:cs="Arial"/>
          <w:spacing w:val="-3"/>
          <w:sz w:val="22"/>
          <w:szCs w:val="22"/>
          <w:lang w:val="es-ES"/>
        </w:rPr>
      </w:pPr>
      <w:r w:rsidRPr="001A5A3B">
        <w:rPr>
          <w:rFonts w:ascii="Arial" w:hAnsi="Arial" w:cs="Arial"/>
          <w:b/>
          <w:sz w:val="22"/>
          <w:szCs w:val="22"/>
          <w:lang w:val="es-ES"/>
        </w:rPr>
        <w:t>Duración del Contrato</w:t>
      </w:r>
      <w:r w:rsidRPr="001A5A3B">
        <w:rPr>
          <w:rFonts w:ascii="Arial" w:hAnsi="Arial" w:cs="Arial"/>
          <w:sz w:val="22"/>
          <w:szCs w:val="22"/>
          <w:lang w:val="es-ES"/>
        </w:rPr>
        <w:t xml:space="preserve">: </w:t>
      </w:r>
      <w:r w:rsidRPr="001A5A3B">
        <w:rPr>
          <w:rFonts w:ascii="Arial" w:hAnsi="Arial" w:cs="Arial"/>
          <w:spacing w:val="-3"/>
          <w:sz w:val="22"/>
          <w:szCs w:val="22"/>
          <w:lang w:val="es-ES"/>
        </w:rPr>
        <w:t xml:space="preserve">30 días de trabajo en un plazo de seis meses desde la firma del contrato. </w:t>
      </w:r>
    </w:p>
    <w:p w14:paraId="6CC90D55" w14:textId="0B3B76DA" w:rsidR="004327ED" w:rsidRPr="001A5A3B" w:rsidRDefault="004327ED" w:rsidP="00C57563">
      <w:pPr>
        <w:pStyle w:val="Paragraph"/>
        <w:numPr>
          <w:ilvl w:val="0"/>
          <w:numId w:val="0"/>
        </w:numPr>
        <w:rPr>
          <w:rFonts w:ascii="Arial" w:hAnsi="Arial" w:cs="Arial"/>
          <w:spacing w:val="-3"/>
          <w:sz w:val="22"/>
          <w:szCs w:val="22"/>
        </w:rPr>
      </w:pPr>
      <w:r w:rsidRPr="001A5A3B">
        <w:rPr>
          <w:rFonts w:ascii="Arial" w:hAnsi="Arial" w:cs="Arial"/>
          <w:b/>
          <w:spacing w:val="-3"/>
          <w:sz w:val="22"/>
          <w:szCs w:val="22"/>
        </w:rPr>
        <w:t>Lugar de trabajo</w:t>
      </w:r>
      <w:r w:rsidRPr="001A5A3B">
        <w:rPr>
          <w:rFonts w:ascii="Arial" w:hAnsi="Arial" w:cs="Arial"/>
          <w:spacing w:val="-3"/>
          <w:sz w:val="22"/>
          <w:szCs w:val="22"/>
        </w:rPr>
        <w:t xml:space="preserve">: </w:t>
      </w:r>
      <w:r w:rsidR="00C57563" w:rsidRPr="001A5A3B">
        <w:rPr>
          <w:rFonts w:ascii="Arial" w:hAnsi="Arial" w:cs="Arial"/>
          <w:spacing w:val="-3"/>
          <w:sz w:val="22"/>
          <w:szCs w:val="22"/>
        </w:rPr>
        <w:t>L</w:t>
      </w:r>
      <w:r w:rsidRPr="001A5A3B">
        <w:rPr>
          <w:rFonts w:ascii="Arial" w:hAnsi="Arial" w:cs="Arial"/>
          <w:spacing w:val="-3"/>
          <w:sz w:val="22"/>
          <w:szCs w:val="22"/>
        </w:rPr>
        <w:t>ugar de residencia del contractual.</w:t>
      </w:r>
    </w:p>
    <w:p w14:paraId="6CC90D56" w14:textId="0CA84720" w:rsidR="004327ED" w:rsidRPr="00D97056" w:rsidRDefault="004327ED" w:rsidP="00C57563">
      <w:pPr>
        <w:pStyle w:val="NoSpacing"/>
        <w:spacing w:before="120" w:after="120"/>
        <w:jc w:val="both"/>
        <w:rPr>
          <w:rFonts w:ascii="Arial" w:hAnsi="Arial" w:cs="Arial"/>
          <w:sz w:val="22"/>
          <w:szCs w:val="22"/>
          <w:lang w:val="es-ES"/>
        </w:rPr>
      </w:pPr>
      <w:r w:rsidRPr="001A5A3B">
        <w:rPr>
          <w:rFonts w:ascii="Arial" w:hAnsi="Arial" w:cs="Arial"/>
          <w:b/>
          <w:sz w:val="22"/>
          <w:szCs w:val="22"/>
          <w:lang w:val="es-ES_tradnl"/>
        </w:rPr>
        <w:t>Coordinación</w:t>
      </w:r>
      <w:r w:rsidRPr="001A5A3B">
        <w:rPr>
          <w:rFonts w:ascii="Arial" w:hAnsi="Arial" w:cs="Arial"/>
          <w:sz w:val="22"/>
          <w:szCs w:val="22"/>
          <w:lang w:val="es-ES_tradnl"/>
        </w:rPr>
        <w:t xml:space="preserve">: Sr. </w:t>
      </w:r>
      <w:r w:rsidR="00C57563" w:rsidRPr="001A5A3B">
        <w:rPr>
          <w:rFonts w:ascii="Arial" w:hAnsi="Arial" w:cs="Arial"/>
          <w:sz w:val="22"/>
          <w:szCs w:val="22"/>
          <w:lang w:val="es-ES_tradnl"/>
        </w:rPr>
        <w:t>Alejandro Rasteletti</w:t>
      </w:r>
      <w:r w:rsidRPr="001A5A3B">
        <w:rPr>
          <w:rFonts w:ascii="Arial" w:hAnsi="Arial" w:cs="Arial"/>
          <w:sz w:val="22"/>
          <w:szCs w:val="22"/>
          <w:lang w:val="es-ES_tradnl"/>
        </w:rPr>
        <w:t xml:space="preserve"> (</w:t>
      </w:r>
      <w:hyperlink r:id="rId13" w:history="1">
        <w:r w:rsidR="00C57563" w:rsidRPr="001A5A3B">
          <w:rPr>
            <w:rStyle w:val="Hyperlink"/>
            <w:rFonts w:ascii="Arial" w:eastAsiaTheme="majorEastAsia" w:hAnsi="Arial" w:cs="Arial"/>
            <w:sz w:val="22"/>
            <w:szCs w:val="22"/>
            <w:lang w:val="es-ES"/>
          </w:rPr>
          <w:t>arasteletti@iadb.org</w:t>
        </w:r>
      </w:hyperlink>
      <w:r w:rsidRPr="001A5A3B">
        <w:rPr>
          <w:rFonts w:ascii="Arial" w:hAnsi="Arial" w:cs="Arial"/>
          <w:sz w:val="22"/>
          <w:szCs w:val="22"/>
          <w:lang w:val="es-ES_tradnl"/>
        </w:rPr>
        <w:t xml:space="preserve">), </w:t>
      </w:r>
      <w:r w:rsidRPr="001A5A3B">
        <w:rPr>
          <w:rFonts w:ascii="Arial" w:hAnsi="Arial" w:cs="Arial"/>
          <w:sz w:val="22"/>
          <w:szCs w:val="22"/>
          <w:lang w:val="es-ES"/>
        </w:rPr>
        <w:t>División de Gestión Fiscal y Municipal (FMM).</w:t>
      </w:r>
    </w:p>
    <w:p w14:paraId="6CC90D57" w14:textId="77777777" w:rsidR="004327ED" w:rsidRDefault="004327ED" w:rsidP="00C57563">
      <w:pPr>
        <w:spacing w:line="360" w:lineRule="auto"/>
        <w:ind w:left="1260"/>
        <w:jc w:val="both"/>
        <w:rPr>
          <w:rFonts w:ascii="Arial" w:hAnsi="Arial" w:cs="Arial"/>
          <w:b/>
          <w:sz w:val="22"/>
          <w:szCs w:val="22"/>
          <w:lang w:val="es-ES"/>
        </w:rPr>
      </w:pPr>
    </w:p>
    <w:p w14:paraId="6CC90D58" w14:textId="77777777" w:rsidR="004327ED" w:rsidRDefault="004327ED" w:rsidP="00C57563">
      <w:pPr>
        <w:spacing w:line="360" w:lineRule="auto"/>
        <w:ind w:left="1260"/>
        <w:jc w:val="both"/>
        <w:rPr>
          <w:rFonts w:ascii="Arial" w:hAnsi="Arial" w:cs="Arial"/>
          <w:b/>
          <w:sz w:val="22"/>
          <w:szCs w:val="22"/>
          <w:lang w:val="es-ES"/>
        </w:rPr>
      </w:pPr>
    </w:p>
    <w:p w14:paraId="6CC90D59" w14:textId="77777777" w:rsidR="004327ED" w:rsidRDefault="004327ED" w:rsidP="00C57563">
      <w:pPr>
        <w:spacing w:after="200" w:line="276" w:lineRule="auto"/>
        <w:jc w:val="both"/>
        <w:rPr>
          <w:rFonts w:ascii="Arial" w:hAnsi="Arial" w:cs="Arial"/>
          <w:b/>
          <w:sz w:val="22"/>
          <w:szCs w:val="22"/>
          <w:lang w:val="es-ES"/>
        </w:rPr>
      </w:pPr>
      <w:r>
        <w:rPr>
          <w:rFonts w:ascii="Arial" w:hAnsi="Arial" w:cs="Arial"/>
          <w:b/>
          <w:sz w:val="22"/>
          <w:szCs w:val="22"/>
          <w:lang w:val="es-ES"/>
        </w:rPr>
        <w:br w:type="page"/>
      </w:r>
    </w:p>
    <w:p w14:paraId="6CC90D5A" w14:textId="77777777" w:rsidR="004327ED" w:rsidRPr="001A025E" w:rsidRDefault="004327ED" w:rsidP="004327ED">
      <w:pPr>
        <w:spacing w:line="360" w:lineRule="auto"/>
        <w:jc w:val="center"/>
        <w:rPr>
          <w:rFonts w:ascii="Arial" w:hAnsi="Arial" w:cs="Arial"/>
          <w:b/>
          <w:sz w:val="22"/>
          <w:szCs w:val="22"/>
          <w:lang w:val="es-ES"/>
        </w:rPr>
      </w:pPr>
      <w:r w:rsidRPr="001A025E">
        <w:rPr>
          <w:rFonts w:ascii="Arial" w:hAnsi="Arial" w:cs="Arial"/>
          <w:b/>
          <w:sz w:val="22"/>
          <w:szCs w:val="22"/>
          <w:lang w:val="es-ES"/>
        </w:rPr>
        <w:lastRenderedPageBreak/>
        <w:t>ANEXO 2</w:t>
      </w:r>
    </w:p>
    <w:p w14:paraId="6CC90D5B" w14:textId="77777777" w:rsidR="004327ED" w:rsidRPr="001A025E" w:rsidRDefault="004327ED" w:rsidP="004327ED">
      <w:pPr>
        <w:spacing w:line="360" w:lineRule="auto"/>
        <w:jc w:val="center"/>
        <w:rPr>
          <w:rFonts w:ascii="Arial" w:hAnsi="Arial" w:cs="Arial"/>
          <w:b/>
          <w:caps/>
          <w:sz w:val="22"/>
          <w:szCs w:val="22"/>
          <w:lang w:val="es-ES"/>
        </w:rPr>
      </w:pPr>
    </w:p>
    <w:p w14:paraId="6CC90D5C" w14:textId="7BE6BD4A" w:rsidR="004327ED" w:rsidRPr="001A025E" w:rsidRDefault="004327ED" w:rsidP="004327ED">
      <w:pPr>
        <w:spacing w:line="360" w:lineRule="auto"/>
        <w:jc w:val="center"/>
        <w:rPr>
          <w:rFonts w:ascii="Arial" w:hAnsi="Arial" w:cs="Arial"/>
          <w:b/>
          <w:caps/>
          <w:sz w:val="22"/>
          <w:szCs w:val="22"/>
          <w:lang w:val="es-ES"/>
        </w:rPr>
      </w:pPr>
      <w:r w:rsidRPr="001A025E">
        <w:rPr>
          <w:rFonts w:ascii="Arial" w:hAnsi="Arial" w:cs="Arial"/>
          <w:b/>
          <w:caps/>
          <w:sz w:val="22"/>
          <w:szCs w:val="22"/>
          <w:lang w:val="es-ES"/>
        </w:rPr>
        <w:t xml:space="preserve">Consultoría de evaluación </w:t>
      </w:r>
      <w:r w:rsidR="001A025E" w:rsidRPr="001A025E">
        <w:rPr>
          <w:rFonts w:ascii="Arial" w:hAnsi="Arial" w:cs="Arial"/>
          <w:b/>
          <w:caps/>
          <w:sz w:val="22"/>
          <w:szCs w:val="22"/>
          <w:lang w:val="es-ES"/>
        </w:rPr>
        <w:t>De medidas de disciplina financiera</w:t>
      </w:r>
    </w:p>
    <w:p w14:paraId="6CC90D5D" w14:textId="77777777" w:rsidR="008D551D" w:rsidRPr="001A025E" w:rsidRDefault="008D551D" w:rsidP="004327ED">
      <w:pPr>
        <w:spacing w:line="360" w:lineRule="auto"/>
        <w:jc w:val="center"/>
        <w:rPr>
          <w:rFonts w:ascii="Arial" w:hAnsi="Arial" w:cs="Arial"/>
          <w:b/>
          <w:caps/>
          <w:sz w:val="22"/>
          <w:szCs w:val="22"/>
          <w:lang w:val="es-ES"/>
        </w:rPr>
      </w:pPr>
    </w:p>
    <w:p w14:paraId="6CC90D5E" w14:textId="77777777" w:rsidR="004327ED" w:rsidRPr="001A025E" w:rsidRDefault="004327ED" w:rsidP="004327ED">
      <w:pPr>
        <w:spacing w:line="360" w:lineRule="auto"/>
        <w:jc w:val="center"/>
        <w:rPr>
          <w:rFonts w:ascii="Arial" w:hAnsi="Arial" w:cs="Arial"/>
          <w:b/>
          <w:caps/>
          <w:sz w:val="22"/>
          <w:szCs w:val="22"/>
          <w:lang w:val="es-ES"/>
        </w:rPr>
      </w:pPr>
      <w:r w:rsidRPr="001A025E">
        <w:rPr>
          <w:rFonts w:ascii="Arial" w:hAnsi="Arial" w:cs="Arial"/>
          <w:b/>
          <w:caps/>
          <w:sz w:val="22"/>
          <w:szCs w:val="22"/>
          <w:lang w:val="es-ES"/>
        </w:rPr>
        <w:t>Borrador de TéRminos de referencia</w:t>
      </w:r>
    </w:p>
    <w:p w14:paraId="6CC90D5F" w14:textId="77777777" w:rsidR="004327ED" w:rsidRPr="001A025E" w:rsidRDefault="004327ED" w:rsidP="004327ED">
      <w:pPr>
        <w:spacing w:line="360" w:lineRule="auto"/>
        <w:jc w:val="both"/>
        <w:rPr>
          <w:rFonts w:ascii="Arial" w:hAnsi="Arial" w:cs="Arial"/>
          <w:b/>
          <w:caps/>
          <w:sz w:val="22"/>
          <w:szCs w:val="22"/>
          <w:lang w:val="es-ES"/>
        </w:rPr>
      </w:pPr>
    </w:p>
    <w:p w14:paraId="6CC90D60" w14:textId="77777777" w:rsidR="004327ED" w:rsidRPr="001A025E" w:rsidRDefault="004327ED" w:rsidP="008D551D">
      <w:pPr>
        <w:pStyle w:val="heading-b24"/>
        <w:spacing w:after="0"/>
        <w:jc w:val="left"/>
        <w:rPr>
          <w:rFonts w:ascii="Arial" w:eastAsia="Arial Unicode MS" w:hAnsi="Arial" w:cs="Arial"/>
          <w:sz w:val="22"/>
          <w:szCs w:val="22"/>
          <w:lang w:val="es-ES"/>
        </w:rPr>
      </w:pPr>
      <w:r w:rsidRPr="001A025E">
        <w:rPr>
          <w:rFonts w:ascii="Arial" w:eastAsia="Arial Unicode MS" w:hAnsi="Arial" w:cs="Arial"/>
          <w:sz w:val="22"/>
          <w:szCs w:val="22"/>
          <w:lang w:val="es-ES"/>
        </w:rPr>
        <w:t>Objetivos</w:t>
      </w:r>
    </w:p>
    <w:p w14:paraId="6CC90D61" w14:textId="34261089" w:rsidR="004327ED" w:rsidRPr="001A025E" w:rsidRDefault="004327ED" w:rsidP="008D551D">
      <w:pPr>
        <w:pStyle w:val="Paragraph"/>
        <w:numPr>
          <w:ilvl w:val="0"/>
          <w:numId w:val="0"/>
        </w:numPr>
        <w:rPr>
          <w:rFonts w:ascii="Arial" w:hAnsi="Arial" w:cs="Arial"/>
          <w:spacing w:val="-3"/>
          <w:sz w:val="22"/>
          <w:szCs w:val="22"/>
        </w:rPr>
      </w:pPr>
      <w:r w:rsidRPr="001A025E">
        <w:rPr>
          <w:rFonts w:ascii="Arial" w:hAnsi="Arial" w:cs="Arial"/>
          <w:spacing w:val="-3"/>
          <w:sz w:val="22"/>
          <w:szCs w:val="22"/>
        </w:rPr>
        <w:t xml:space="preserve">El objetivo de la consultoría es realizar la evaluación </w:t>
      </w:r>
      <w:r w:rsidRPr="00F7315F">
        <w:rPr>
          <w:rFonts w:ascii="Arial" w:hAnsi="Arial" w:cs="Arial"/>
          <w:spacing w:val="-3"/>
          <w:sz w:val="22"/>
          <w:szCs w:val="22"/>
        </w:rPr>
        <w:t xml:space="preserve">de: i) </w:t>
      </w:r>
      <w:r w:rsidR="00F7315F" w:rsidRPr="00F7315F">
        <w:rPr>
          <w:rFonts w:ascii="Arial" w:hAnsi="Arial" w:cs="Arial"/>
          <w:sz w:val="22"/>
          <w:szCs w:val="22"/>
        </w:rPr>
        <w:t xml:space="preserve">efecto </w:t>
      </w:r>
      <w:r w:rsidR="00CC1DD2">
        <w:rPr>
          <w:rFonts w:ascii="Arial" w:hAnsi="Arial" w:cs="Arial"/>
          <w:sz w:val="22"/>
          <w:szCs w:val="22"/>
        </w:rPr>
        <w:t>de la compet</w:t>
      </w:r>
      <w:r w:rsidR="00FA07B1">
        <w:rPr>
          <w:rFonts w:ascii="Arial" w:hAnsi="Arial" w:cs="Arial"/>
          <w:sz w:val="22"/>
          <w:szCs w:val="22"/>
        </w:rPr>
        <w:t>encia</w:t>
      </w:r>
      <w:r w:rsidR="00F7315F" w:rsidRPr="00F7315F">
        <w:rPr>
          <w:rFonts w:ascii="Arial" w:hAnsi="Arial" w:cs="Arial"/>
          <w:sz w:val="22"/>
          <w:szCs w:val="22"/>
        </w:rPr>
        <w:t xml:space="preserve"> sobre el costo de financiamiento de</w:t>
      </w:r>
      <w:r w:rsidR="00D71E69">
        <w:rPr>
          <w:rFonts w:ascii="Arial" w:hAnsi="Arial" w:cs="Arial"/>
          <w:sz w:val="22"/>
          <w:szCs w:val="22"/>
        </w:rPr>
        <w:t xml:space="preserve"> </w:t>
      </w:r>
      <w:r w:rsidR="007677AC">
        <w:rPr>
          <w:rFonts w:ascii="Arial" w:hAnsi="Arial" w:cs="Arial"/>
          <w:sz w:val="22"/>
          <w:szCs w:val="22"/>
        </w:rPr>
        <w:t>Entidades Federativas y Municipios (</w:t>
      </w:r>
      <w:proofErr w:type="spellStart"/>
      <w:r w:rsidR="007677AC">
        <w:rPr>
          <w:rFonts w:ascii="Arial" w:hAnsi="Arial" w:cs="Arial"/>
          <w:sz w:val="22"/>
          <w:szCs w:val="22"/>
        </w:rPr>
        <w:t>EyM</w:t>
      </w:r>
      <w:proofErr w:type="spellEnd"/>
      <w:r w:rsidR="007677AC">
        <w:rPr>
          <w:rFonts w:ascii="Arial" w:hAnsi="Arial" w:cs="Arial"/>
          <w:sz w:val="22"/>
          <w:szCs w:val="22"/>
        </w:rPr>
        <w:t>)</w:t>
      </w:r>
      <w:r w:rsidR="00F7315F" w:rsidRPr="00F7315F">
        <w:rPr>
          <w:rFonts w:ascii="Arial" w:hAnsi="Arial" w:cs="Arial"/>
          <w:sz w:val="22"/>
          <w:szCs w:val="22"/>
        </w:rPr>
        <w:t>,</w:t>
      </w:r>
      <w:r w:rsidRPr="00F7315F">
        <w:rPr>
          <w:rFonts w:ascii="Arial" w:hAnsi="Arial" w:cs="Arial"/>
          <w:spacing w:val="-3"/>
          <w:sz w:val="22"/>
          <w:szCs w:val="22"/>
        </w:rPr>
        <w:t xml:space="preserve"> y de </w:t>
      </w:r>
      <w:proofErr w:type="spellStart"/>
      <w:r w:rsidRPr="00F7315F">
        <w:rPr>
          <w:rFonts w:ascii="Arial" w:hAnsi="Arial" w:cs="Arial"/>
          <w:spacing w:val="-3"/>
          <w:sz w:val="22"/>
          <w:szCs w:val="22"/>
        </w:rPr>
        <w:t>ii</w:t>
      </w:r>
      <w:proofErr w:type="spellEnd"/>
      <w:r w:rsidRPr="00F7315F">
        <w:rPr>
          <w:rFonts w:ascii="Arial" w:hAnsi="Arial" w:cs="Arial"/>
          <w:spacing w:val="-3"/>
          <w:sz w:val="22"/>
          <w:szCs w:val="22"/>
        </w:rPr>
        <w:t xml:space="preserve">) </w:t>
      </w:r>
      <w:r w:rsidR="00F7315F" w:rsidRPr="00F7315F">
        <w:rPr>
          <w:rFonts w:ascii="Arial" w:hAnsi="Arial" w:cs="Arial"/>
          <w:sz w:val="22"/>
          <w:szCs w:val="22"/>
        </w:rPr>
        <w:t>efecto de la planificación financiera sobre las finanzas públicas municipales</w:t>
      </w:r>
      <w:r w:rsidRPr="001A025E">
        <w:rPr>
          <w:rFonts w:ascii="Arial" w:hAnsi="Arial" w:cs="Arial"/>
          <w:spacing w:val="-3"/>
          <w:sz w:val="22"/>
          <w:szCs w:val="22"/>
        </w:rPr>
        <w:t xml:space="preserve">. </w:t>
      </w:r>
    </w:p>
    <w:p w14:paraId="6CC90D62" w14:textId="5BD38AEC" w:rsidR="004327ED" w:rsidRPr="001A025E" w:rsidRDefault="001A025E" w:rsidP="008D551D">
      <w:pPr>
        <w:pStyle w:val="Paragraph"/>
        <w:numPr>
          <w:ilvl w:val="0"/>
          <w:numId w:val="0"/>
        </w:numPr>
        <w:rPr>
          <w:rFonts w:ascii="Arial" w:hAnsi="Arial" w:cs="Arial"/>
          <w:spacing w:val="-3"/>
          <w:sz w:val="22"/>
          <w:szCs w:val="22"/>
        </w:rPr>
      </w:pPr>
      <w:r w:rsidRPr="000E7FE5">
        <w:rPr>
          <w:rFonts w:ascii="Arial" w:hAnsi="Arial" w:cs="Arial"/>
          <w:spacing w:val="-3"/>
          <w:sz w:val="22"/>
          <w:szCs w:val="22"/>
        </w:rPr>
        <w:t xml:space="preserve">Este reporte servirá de insumo para la preparación del </w:t>
      </w:r>
      <w:r>
        <w:rPr>
          <w:rFonts w:ascii="Arial" w:hAnsi="Arial" w:cs="Arial"/>
          <w:spacing w:val="-3"/>
          <w:sz w:val="22"/>
          <w:szCs w:val="22"/>
        </w:rPr>
        <w:t>Informe</w:t>
      </w:r>
      <w:r w:rsidRPr="000E7FE5">
        <w:rPr>
          <w:rFonts w:ascii="Arial" w:hAnsi="Arial" w:cs="Arial"/>
          <w:spacing w:val="-3"/>
          <w:sz w:val="22"/>
          <w:szCs w:val="22"/>
        </w:rPr>
        <w:t xml:space="preserve"> de </w:t>
      </w:r>
      <w:r>
        <w:rPr>
          <w:rFonts w:ascii="Arial" w:hAnsi="Arial" w:cs="Arial"/>
          <w:spacing w:val="-3"/>
          <w:sz w:val="22"/>
          <w:szCs w:val="22"/>
        </w:rPr>
        <w:t xml:space="preserve">Terminación de </w:t>
      </w:r>
      <w:r w:rsidRPr="00181EA5">
        <w:rPr>
          <w:rFonts w:ascii="Arial" w:hAnsi="Arial" w:cs="Arial"/>
          <w:spacing w:val="-3"/>
          <w:sz w:val="22"/>
          <w:szCs w:val="22"/>
        </w:rPr>
        <w:t>Proyecto (PCR)</w:t>
      </w:r>
      <w:r w:rsidR="004327ED" w:rsidRPr="001A025E">
        <w:rPr>
          <w:rFonts w:ascii="Arial" w:hAnsi="Arial" w:cs="Arial"/>
          <w:spacing w:val="-3"/>
          <w:sz w:val="22"/>
          <w:szCs w:val="22"/>
        </w:rPr>
        <w:t xml:space="preserve">. </w:t>
      </w:r>
    </w:p>
    <w:p w14:paraId="6CC90D63" w14:textId="77777777" w:rsidR="004327ED" w:rsidRPr="001A025E" w:rsidRDefault="004327ED" w:rsidP="008D551D">
      <w:pPr>
        <w:ind w:left="360"/>
        <w:jc w:val="both"/>
        <w:rPr>
          <w:rFonts w:ascii="Arial" w:hAnsi="Arial" w:cs="Arial"/>
          <w:sz w:val="22"/>
          <w:szCs w:val="22"/>
          <w:lang w:val="es-ES"/>
        </w:rPr>
      </w:pPr>
    </w:p>
    <w:p w14:paraId="743BECF6" w14:textId="77777777" w:rsidR="00801EC0" w:rsidRPr="00181EA5" w:rsidRDefault="00801EC0" w:rsidP="00801EC0">
      <w:pPr>
        <w:pStyle w:val="heading-b24"/>
        <w:spacing w:after="0"/>
        <w:jc w:val="left"/>
        <w:rPr>
          <w:rFonts w:ascii="Arial" w:eastAsia="Arial Unicode MS" w:hAnsi="Arial" w:cs="Arial"/>
          <w:sz w:val="22"/>
          <w:szCs w:val="22"/>
          <w:lang w:val="es-ES"/>
        </w:rPr>
      </w:pPr>
      <w:r w:rsidRPr="00181EA5">
        <w:rPr>
          <w:rFonts w:ascii="Arial" w:eastAsia="Arial Unicode MS" w:hAnsi="Arial" w:cs="Arial"/>
          <w:sz w:val="22"/>
          <w:szCs w:val="22"/>
          <w:lang w:val="es-ES"/>
        </w:rPr>
        <w:t>Actividades</w:t>
      </w:r>
    </w:p>
    <w:p w14:paraId="39FE86B0" w14:textId="3355313C" w:rsidR="00801EC0" w:rsidRDefault="00801EC0" w:rsidP="00801EC0">
      <w:pPr>
        <w:pStyle w:val="Paragraph"/>
        <w:numPr>
          <w:ilvl w:val="0"/>
          <w:numId w:val="29"/>
        </w:numPr>
        <w:ind w:left="360"/>
        <w:rPr>
          <w:rFonts w:ascii="Arial" w:hAnsi="Arial" w:cs="Arial"/>
          <w:spacing w:val="-3"/>
          <w:sz w:val="22"/>
          <w:szCs w:val="22"/>
        </w:rPr>
      </w:pPr>
      <w:r w:rsidRPr="00181EA5">
        <w:rPr>
          <w:rFonts w:ascii="Arial" w:hAnsi="Arial" w:cs="Arial"/>
          <w:spacing w:val="-3"/>
          <w:sz w:val="22"/>
          <w:szCs w:val="22"/>
        </w:rPr>
        <w:t xml:space="preserve">Revisar la </w:t>
      </w:r>
      <w:r>
        <w:rPr>
          <w:rFonts w:ascii="Arial" w:hAnsi="Arial" w:cs="Arial"/>
          <w:spacing w:val="-3"/>
          <w:sz w:val="22"/>
          <w:szCs w:val="22"/>
        </w:rPr>
        <w:t xml:space="preserve">legislación </w:t>
      </w:r>
      <w:r w:rsidRPr="00181EA5">
        <w:rPr>
          <w:rFonts w:ascii="Arial" w:hAnsi="Arial" w:cs="Arial"/>
          <w:spacing w:val="-3"/>
          <w:sz w:val="22"/>
          <w:szCs w:val="22"/>
        </w:rPr>
        <w:t xml:space="preserve">en materia de </w:t>
      </w:r>
      <w:r>
        <w:rPr>
          <w:rFonts w:ascii="Arial" w:hAnsi="Arial" w:cs="Arial"/>
          <w:spacing w:val="-3"/>
          <w:sz w:val="22"/>
          <w:szCs w:val="22"/>
        </w:rPr>
        <w:t xml:space="preserve">disciplina financiera de </w:t>
      </w:r>
      <w:proofErr w:type="spellStart"/>
      <w:r w:rsidR="007677AC">
        <w:rPr>
          <w:rFonts w:ascii="Arial" w:hAnsi="Arial" w:cs="Arial"/>
          <w:sz w:val="22"/>
          <w:szCs w:val="22"/>
        </w:rPr>
        <w:t>EyM</w:t>
      </w:r>
      <w:proofErr w:type="spellEnd"/>
      <w:r>
        <w:rPr>
          <w:rFonts w:ascii="Arial" w:hAnsi="Arial" w:cs="Arial"/>
          <w:spacing w:val="-3"/>
          <w:sz w:val="22"/>
          <w:szCs w:val="22"/>
        </w:rPr>
        <w:t>.</w:t>
      </w:r>
    </w:p>
    <w:p w14:paraId="7481E860" w14:textId="66C401C9" w:rsidR="00801EC0" w:rsidRDefault="00801EC0" w:rsidP="00801EC0">
      <w:pPr>
        <w:pStyle w:val="Paragraph"/>
        <w:numPr>
          <w:ilvl w:val="0"/>
          <w:numId w:val="29"/>
        </w:numPr>
        <w:ind w:left="360"/>
        <w:rPr>
          <w:rFonts w:ascii="Arial" w:hAnsi="Arial" w:cs="Arial"/>
          <w:spacing w:val="-3"/>
          <w:sz w:val="22"/>
          <w:szCs w:val="22"/>
        </w:rPr>
      </w:pPr>
      <w:r>
        <w:rPr>
          <w:rFonts w:ascii="Arial" w:hAnsi="Arial" w:cs="Arial"/>
          <w:spacing w:val="-3"/>
          <w:sz w:val="22"/>
          <w:szCs w:val="22"/>
        </w:rPr>
        <w:t xml:space="preserve">Elaboración de una base </w:t>
      </w:r>
      <w:r w:rsidR="00D71E69">
        <w:rPr>
          <w:rFonts w:ascii="Arial" w:hAnsi="Arial" w:cs="Arial"/>
          <w:spacing w:val="-3"/>
          <w:sz w:val="22"/>
          <w:szCs w:val="22"/>
        </w:rPr>
        <w:t>de datos en panel estatal y otra</w:t>
      </w:r>
      <w:r>
        <w:rPr>
          <w:rFonts w:ascii="Arial" w:hAnsi="Arial" w:cs="Arial"/>
          <w:spacing w:val="-3"/>
          <w:sz w:val="22"/>
          <w:szCs w:val="22"/>
        </w:rPr>
        <w:t xml:space="preserve"> municipal, </w:t>
      </w:r>
      <w:r w:rsidR="00D71E69">
        <w:rPr>
          <w:rFonts w:ascii="Arial" w:hAnsi="Arial" w:cs="Arial"/>
          <w:spacing w:val="-3"/>
          <w:sz w:val="22"/>
          <w:szCs w:val="22"/>
        </w:rPr>
        <w:t>que incluya l</w:t>
      </w:r>
      <w:r>
        <w:rPr>
          <w:rFonts w:ascii="Arial" w:hAnsi="Arial" w:cs="Arial"/>
          <w:spacing w:val="-3"/>
          <w:sz w:val="22"/>
          <w:szCs w:val="22"/>
        </w:rPr>
        <w:t xml:space="preserve">as principales variables fiscales. </w:t>
      </w:r>
    </w:p>
    <w:p w14:paraId="36BC8DEE" w14:textId="664E9FFD" w:rsidR="00801EC0" w:rsidRPr="00181EA5" w:rsidRDefault="00801EC0" w:rsidP="00801EC0">
      <w:pPr>
        <w:pStyle w:val="Paragraph"/>
        <w:numPr>
          <w:ilvl w:val="0"/>
          <w:numId w:val="29"/>
        </w:numPr>
        <w:ind w:left="360"/>
        <w:rPr>
          <w:rFonts w:ascii="Arial" w:hAnsi="Arial" w:cs="Arial"/>
          <w:spacing w:val="-3"/>
          <w:sz w:val="22"/>
          <w:szCs w:val="22"/>
        </w:rPr>
      </w:pPr>
      <w:r>
        <w:rPr>
          <w:rFonts w:ascii="Arial" w:hAnsi="Arial" w:cs="Arial"/>
          <w:spacing w:val="-3"/>
          <w:sz w:val="22"/>
          <w:szCs w:val="22"/>
        </w:rPr>
        <w:t xml:space="preserve">Recolectar información sobre contratación de financiamiento por parte de </w:t>
      </w:r>
      <w:proofErr w:type="spellStart"/>
      <w:r w:rsidR="007677AC">
        <w:rPr>
          <w:rFonts w:ascii="Arial" w:hAnsi="Arial" w:cs="Arial"/>
          <w:sz w:val="22"/>
          <w:szCs w:val="22"/>
        </w:rPr>
        <w:t>EyM</w:t>
      </w:r>
      <w:proofErr w:type="spellEnd"/>
      <w:r>
        <w:rPr>
          <w:rFonts w:ascii="Arial" w:hAnsi="Arial" w:cs="Arial"/>
          <w:spacing w:val="-3"/>
          <w:sz w:val="22"/>
          <w:szCs w:val="22"/>
        </w:rPr>
        <w:t xml:space="preserve"> y los costos de dichos financiamientos</w:t>
      </w:r>
      <w:r w:rsidRPr="00181EA5">
        <w:rPr>
          <w:rFonts w:ascii="Arial" w:hAnsi="Arial" w:cs="Arial"/>
          <w:spacing w:val="-3"/>
          <w:sz w:val="22"/>
          <w:szCs w:val="22"/>
        </w:rPr>
        <w:t>.</w:t>
      </w:r>
    </w:p>
    <w:p w14:paraId="7A9DC264" w14:textId="715C9AE7" w:rsidR="00801EC0" w:rsidRPr="00181EA5" w:rsidRDefault="00801EC0" w:rsidP="00801EC0">
      <w:pPr>
        <w:pStyle w:val="Paragraph"/>
        <w:numPr>
          <w:ilvl w:val="0"/>
          <w:numId w:val="29"/>
        </w:numPr>
        <w:ind w:left="360"/>
        <w:rPr>
          <w:rFonts w:ascii="Arial" w:hAnsi="Arial" w:cs="Arial"/>
          <w:spacing w:val="-3"/>
          <w:sz w:val="22"/>
          <w:szCs w:val="22"/>
        </w:rPr>
      </w:pPr>
      <w:r>
        <w:rPr>
          <w:rFonts w:ascii="Arial" w:hAnsi="Arial" w:cs="Arial"/>
          <w:spacing w:val="-3"/>
          <w:sz w:val="22"/>
          <w:szCs w:val="22"/>
        </w:rPr>
        <w:t xml:space="preserve">Recopilar información sobre las finanzas públicas de </w:t>
      </w:r>
      <w:proofErr w:type="spellStart"/>
      <w:r w:rsidR="007677AC">
        <w:rPr>
          <w:rFonts w:ascii="Arial" w:hAnsi="Arial" w:cs="Arial"/>
          <w:sz w:val="22"/>
          <w:szCs w:val="22"/>
        </w:rPr>
        <w:t>EyM</w:t>
      </w:r>
      <w:proofErr w:type="spellEnd"/>
      <w:r>
        <w:rPr>
          <w:rFonts w:ascii="Arial" w:hAnsi="Arial" w:cs="Arial"/>
          <w:spacing w:val="-3"/>
          <w:sz w:val="22"/>
          <w:szCs w:val="22"/>
        </w:rPr>
        <w:t xml:space="preserve"> en México</w:t>
      </w:r>
      <w:r w:rsidRPr="00181EA5">
        <w:rPr>
          <w:rFonts w:ascii="Arial" w:hAnsi="Arial" w:cs="Arial"/>
          <w:spacing w:val="-3"/>
          <w:sz w:val="22"/>
          <w:szCs w:val="22"/>
        </w:rPr>
        <w:t xml:space="preserve">. </w:t>
      </w:r>
    </w:p>
    <w:p w14:paraId="11377BDB" w14:textId="50335E49" w:rsidR="00801EC0" w:rsidRPr="00181EA5" w:rsidRDefault="00801EC0" w:rsidP="00801EC0">
      <w:pPr>
        <w:pStyle w:val="Paragraph"/>
        <w:numPr>
          <w:ilvl w:val="0"/>
          <w:numId w:val="29"/>
        </w:numPr>
        <w:ind w:left="360"/>
        <w:rPr>
          <w:rFonts w:ascii="Arial" w:hAnsi="Arial" w:cs="Arial"/>
          <w:sz w:val="22"/>
          <w:szCs w:val="22"/>
        </w:rPr>
      </w:pPr>
      <w:r>
        <w:rPr>
          <w:rFonts w:ascii="Arial" w:hAnsi="Arial" w:cs="Arial"/>
          <w:spacing w:val="-3"/>
          <w:sz w:val="22"/>
          <w:szCs w:val="22"/>
        </w:rPr>
        <w:t xml:space="preserve">Desarrollar un modelo econométrico para evaluar </w:t>
      </w:r>
      <w:r w:rsidRPr="00F7315F">
        <w:rPr>
          <w:rFonts w:ascii="Arial" w:hAnsi="Arial" w:cs="Arial"/>
          <w:sz w:val="22"/>
          <w:szCs w:val="22"/>
        </w:rPr>
        <w:t xml:space="preserve">el efecto del aval del GF sobre el costo de financiamiento de </w:t>
      </w:r>
      <w:proofErr w:type="spellStart"/>
      <w:r w:rsidR="007677AC">
        <w:rPr>
          <w:rFonts w:ascii="Arial" w:hAnsi="Arial" w:cs="Arial"/>
          <w:sz w:val="22"/>
          <w:szCs w:val="22"/>
        </w:rPr>
        <w:t>EyM</w:t>
      </w:r>
      <w:proofErr w:type="spellEnd"/>
      <w:r w:rsidRPr="00181EA5">
        <w:rPr>
          <w:rFonts w:ascii="Arial" w:hAnsi="Arial" w:cs="Arial"/>
          <w:spacing w:val="-3"/>
          <w:sz w:val="22"/>
          <w:szCs w:val="22"/>
        </w:rPr>
        <w:t>.</w:t>
      </w:r>
    </w:p>
    <w:p w14:paraId="3F8ED7FC" w14:textId="583224AF" w:rsidR="00801EC0" w:rsidRDefault="00801EC0" w:rsidP="00801EC0">
      <w:pPr>
        <w:pStyle w:val="Paragraph"/>
        <w:numPr>
          <w:ilvl w:val="0"/>
          <w:numId w:val="29"/>
        </w:numPr>
        <w:ind w:left="360"/>
        <w:rPr>
          <w:rFonts w:ascii="Arial" w:hAnsi="Arial" w:cs="Arial"/>
          <w:spacing w:val="-3"/>
          <w:sz w:val="22"/>
          <w:szCs w:val="22"/>
        </w:rPr>
      </w:pPr>
      <w:r>
        <w:rPr>
          <w:rFonts w:ascii="Arial" w:hAnsi="Arial" w:cs="Arial"/>
          <w:sz w:val="22"/>
          <w:szCs w:val="22"/>
        </w:rPr>
        <w:t xml:space="preserve">Elaborar un documento de trabajo </w:t>
      </w:r>
      <w:r w:rsidRPr="002E4547">
        <w:rPr>
          <w:rFonts w:ascii="Arial" w:hAnsi="Arial" w:cs="Arial"/>
          <w:sz w:val="22"/>
          <w:szCs w:val="22"/>
        </w:rPr>
        <w:t xml:space="preserve">resumiendo los principales resultados </w:t>
      </w:r>
      <w:r>
        <w:rPr>
          <w:rFonts w:ascii="Arial" w:hAnsi="Arial" w:cs="Arial"/>
          <w:sz w:val="22"/>
          <w:szCs w:val="22"/>
        </w:rPr>
        <w:t>obtenidos con el modelo econométrico desarrollado</w:t>
      </w:r>
      <w:r w:rsidRPr="002E4547">
        <w:rPr>
          <w:rFonts w:ascii="Arial" w:hAnsi="Arial" w:cs="Arial"/>
          <w:sz w:val="22"/>
          <w:szCs w:val="22"/>
        </w:rPr>
        <w:t>.</w:t>
      </w:r>
    </w:p>
    <w:p w14:paraId="1897280C" w14:textId="27F365A3" w:rsidR="00801EC0" w:rsidRDefault="00801EC0" w:rsidP="00801EC0">
      <w:pPr>
        <w:pStyle w:val="Paragraph"/>
        <w:numPr>
          <w:ilvl w:val="0"/>
          <w:numId w:val="29"/>
        </w:numPr>
        <w:ind w:left="360"/>
        <w:rPr>
          <w:rFonts w:ascii="Arial" w:hAnsi="Arial" w:cs="Arial"/>
          <w:spacing w:val="-3"/>
          <w:sz w:val="22"/>
          <w:szCs w:val="22"/>
        </w:rPr>
      </w:pPr>
      <w:r>
        <w:rPr>
          <w:rFonts w:ascii="Arial" w:hAnsi="Arial" w:cs="Arial"/>
          <w:spacing w:val="-3"/>
          <w:sz w:val="22"/>
          <w:szCs w:val="22"/>
        </w:rPr>
        <w:t xml:space="preserve">Desarrollar un modelo econométrico para evaluar </w:t>
      </w:r>
      <w:r w:rsidRPr="00F7315F">
        <w:rPr>
          <w:rFonts w:ascii="Arial" w:hAnsi="Arial" w:cs="Arial"/>
          <w:sz w:val="22"/>
          <w:szCs w:val="22"/>
        </w:rPr>
        <w:t>el efecto de la planificación financiera sobre las finanzas públicas municipales</w:t>
      </w:r>
      <w:r w:rsidRPr="00181EA5">
        <w:rPr>
          <w:rFonts w:ascii="Arial" w:hAnsi="Arial" w:cs="Arial"/>
          <w:spacing w:val="-3"/>
          <w:sz w:val="22"/>
          <w:szCs w:val="22"/>
        </w:rPr>
        <w:t>.</w:t>
      </w:r>
    </w:p>
    <w:p w14:paraId="3EB0E9CC" w14:textId="6BA05CCA" w:rsidR="00801EC0" w:rsidRPr="00801EC0" w:rsidRDefault="00801EC0" w:rsidP="00801EC0">
      <w:pPr>
        <w:pStyle w:val="Paragraph"/>
        <w:numPr>
          <w:ilvl w:val="0"/>
          <w:numId w:val="29"/>
        </w:numPr>
        <w:ind w:left="360"/>
        <w:rPr>
          <w:rFonts w:ascii="Arial" w:hAnsi="Arial" w:cs="Arial"/>
          <w:spacing w:val="-3"/>
          <w:sz w:val="22"/>
          <w:szCs w:val="22"/>
        </w:rPr>
      </w:pPr>
      <w:r>
        <w:rPr>
          <w:rFonts w:ascii="Arial" w:hAnsi="Arial" w:cs="Arial"/>
          <w:sz w:val="22"/>
          <w:szCs w:val="22"/>
        </w:rPr>
        <w:t xml:space="preserve">Elaborar un documento de trabajo </w:t>
      </w:r>
      <w:r w:rsidRPr="002E4547">
        <w:rPr>
          <w:rFonts w:ascii="Arial" w:hAnsi="Arial" w:cs="Arial"/>
          <w:sz w:val="22"/>
          <w:szCs w:val="22"/>
        </w:rPr>
        <w:t xml:space="preserve">resumiendo los principales resultados </w:t>
      </w:r>
      <w:r>
        <w:rPr>
          <w:rFonts w:ascii="Arial" w:hAnsi="Arial" w:cs="Arial"/>
          <w:sz w:val="22"/>
          <w:szCs w:val="22"/>
        </w:rPr>
        <w:t>obtenidos con el modelo econométrico desarrollado</w:t>
      </w:r>
      <w:r w:rsidRPr="002E4547">
        <w:rPr>
          <w:rFonts w:ascii="Arial" w:hAnsi="Arial" w:cs="Arial"/>
          <w:sz w:val="22"/>
          <w:szCs w:val="22"/>
        </w:rPr>
        <w:t>.</w:t>
      </w:r>
    </w:p>
    <w:p w14:paraId="5AABFA2B" w14:textId="69008451" w:rsidR="00801EC0" w:rsidRDefault="00801EC0" w:rsidP="00801EC0">
      <w:pPr>
        <w:pStyle w:val="heading-b24"/>
        <w:spacing w:after="0"/>
        <w:jc w:val="left"/>
        <w:rPr>
          <w:rFonts w:ascii="Arial" w:eastAsia="Arial Unicode MS" w:hAnsi="Arial" w:cs="Arial"/>
          <w:sz w:val="22"/>
          <w:szCs w:val="22"/>
          <w:lang w:val="es-ES"/>
        </w:rPr>
      </w:pPr>
    </w:p>
    <w:p w14:paraId="6CC90D6D" w14:textId="5290B343" w:rsidR="004327ED" w:rsidRPr="00801EC0" w:rsidRDefault="004327ED" w:rsidP="00801EC0">
      <w:pPr>
        <w:pStyle w:val="heading-b24"/>
        <w:spacing w:after="0"/>
        <w:jc w:val="left"/>
        <w:rPr>
          <w:rFonts w:ascii="Arial" w:eastAsia="Arial Unicode MS" w:hAnsi="Arial" w:cs="Arial"/>
          <w:sz w:val="22"/>
          <w:szCs w:val="22"/>
          <w:lang w:val="es-ES"/>
        </w:rPr>
      </w:pPr>
      <w:r w:rsidRPr="00801EC0">
        <w:rPr>
          <w:rFonts w:ascii="Arial" w:eastAsia="Arial Unicode MS" w:hAnsi="Arial" w:cs="Arial"/>
          <w:sz w:val="22"/>
          <w:szCs w:val="22"/>
          <w:lang w:val="es-ES"/>
        </w:rPr>
        <w:t xml:space="preserve">Productos y </w:t>
      </w:r>
      <w:r w:rsidR="00293D3B">
        <w:rPr>
          <w:rFonts w:ascii="Arial" w:eastAsia="Arial Unicode MS" w:hAnsi="Arial" w:cs="Arial"/>
          <w:sz w:val="22"/>
          <w:szCs w:val="22"/>
          <w:lang w:val="es-ES"/>
        </w:rPr>
        <w:t>f</w:t>
      </w:r>
      <w:r w:rsidRPr="00801EC0">
        <w:rPr>
          <w:rFonts w:ascii="Arial" w:eastAsia="Arial Unicode MS" w:hAnsi="Arial" w:cs="Arial"/>
          <w:sz w:val="22"/>
          <w:szCs w:val="22"/>
          <w:lang w:val="es-ES"/>
        </w:rPr>
        <w:t xml:space="preserve">orma de </w:t>
      </w:r>
      <w:r w:rsidR="00293D3B">
        <w:rPr>
          <w:rFonts w:ascii="Arial" w:eastAsia="Arial Unicode MS" w:hAnsi="Arial" w:cs="Arial"/>
          <w:sz w:val="22"/>
          <w:szCs w:val="22"/>
          <w:lang w:val="es-ES"/>
        </w:rPr>
        <w:t>p</w:t>
      </w:r>
      <w:r w:rsidRPr="00801EC0">
        <w:rPr>
          <w:rFonts w:ascii="Arial" w:eastAsia="Arial Unicode MS" w:hAnsi="Arial" w:cs="Arial"/>
          <w:sz w:val="22"/>
          <w:szCs w:val="22"/>
          <w:lang w:val="es-ES"/>
        </w:rPr>
        <w:t>ago</w:t>
      </w:r>
    </w:p>
    <w:p w14:paraId="02191B58" w14:textId="32E0D2C4" w:rsidR="00801EC0" w:rsidRPr="000E7FE5" w:rsidRDefault="00801EC0" w:rsidP="00801EC0">
      <w:pPr>
        <w:pStyle w:val="Paragraph"/>
        <w:numPr>
          <w:ilvl w:val="0"/>
          <w:numId w:val="0"/>
        </w:numPr>
        <w:rPr>
          <w:rFonts w:ascii="Arial" w:hAnsi="Arial" w:cs="Arial"/>
          <w:spacing w:val="-3"/>
          <w:sz w:val="22"/>
          <w:szCs w:val="22"/>
        </w:rPr>
      </w:pPr>
      <w:r w:rsidRPr="000E7FE5">
        <w:rPr>
          <w:rFonts w:ascii="Arial" w:hAnsi="Arial" w:cs="Arial"/>
          <w:spacing w:val="-3"/>
          <w:sz w:val="22"/>
          <w:szCs w:val="22"/>
        </w:rPr>
        <w:t xml:space="preserve">El contractual presentará </w:t>
      </w:r>
      <w:r w:rsidR="00BD5983">
        <w:rPr>
          <w:rFonts w:ascii="Arial" w:hAnsi="Arial" w:cs="Arial"/>
          <w:spacing w:val="-3"/>
          <w:sz w:val="22"/>
          <w:szCs w:val="22"/>
        </w:rPr>
        <w:t>un reporte intermedio, presentando los principales resultados de las estimaciones de los model</w:t>
      </w:r>
      <w:r>
        <w:rPr>
          <w:rFonts w:ascii="Arial" w:hAnsi="Arial" w:cs="Arial"/>
          <w:spacing w:val="-3"/>
          <w:sz w:val="22"/>
          <w:szCs w:val="22"/>
        </w:rPr>
        <w:t>os</w:t>
      </w:r>
      <w:r w:rsidR="00BD5983">
        <w:rPr>
          <w:rFonts w:ascii="Arial" w:hAnsi="Arial" w:cs="Arial"/>
          <w:spacing w:val="-3"/>
          <w:sz w:val="22"/>
          <w:szCs w:val="22"/>
        </w:rPr>
        <w:t xml:space="preserve"> econométricos </w:t>
      </w:r>
      <w:r w:rsidRPr="000E7FE5">
        <w:rPr>
          <w:rFonts w:ascii="Arial" w:hAnsi="Arial" w:cs="Arial"/>
          <w:spacing w:val="-3"/>
          <w:sz w:val="22"/>
          <w:szCs w:val="22"/>
        </w:rPr>
        <w:t>mencionado</w:t>
      </w:r>
      <w:r w:rsidR="00BD5983">
        <w:rPr>
          <w:rFonts w:ascii="Arial" w:hAnsi="Arial" w:cs="Arial"/>
          <w:spacing w:val="-3"/>
          <w:sz w:val="22"/>
          <w:szCs w:val="22"/>
        </w:rPr>
        <w:t>s</w:t>
      </w:r>
      <w:r w:rsidRPr="000E7FE5">
        <w:rPr>
          <w:rFonts w:ascii="Arial" w:hAnsi="Arial" w:cs="Arial"/>
          <w:spacing w:val="-3"/>
          <w:sz w:val="22"/>
          <w:szCs w:val="22"/>
        </w:rPr>
        <w:t xml:space="preserve"> en la sección “Actividades”. </w:t>
      </w:r>
      <w:r w:rsidR="00BD5983" w:rsidRPr="000E7FE5">
        <w:rPr>
          <w:rFonts w:ascii="Arial" w:hAnsi="Arial" w:cs="Arial"/>
          <w:spacing w:val="-3"/>
          <w:sz w:val="22"/>
          <w:szCs w:val="22"/>
        </w:rPr>
        <w:t xml:space="preserve">El contractual </w:t>
      </w:r>
      <w:r w:rsidR="00BD5983">
        <w:rPr>
          <w:rFonts w:ascii="Arial" w:hAnsi="Arial" w:cs="Arial"/>
          <w:spacing w:val="-3"/>
          <w:sz w:val="22"/>
          <w:szCs w:val="22"/>
        </w:rPr>
        <w:t xml:space="preserve">deberá adicionalmente </w:t>
      </w:r>
      <w:r w:rsidR="00BD5983" w:rsidRPr="000E7FE5">
        <w:rPr>
          <w:rFonts w:ascii="Arial" w:hAnsi="Arial" w:cs="Arial"/>
          <w:spacing w:val="-3"/>
          <w:sz w:val="22"/>
          <w:szCs w:val="22"/>
        </w:rPr>
        <w:t xml:space="preserve">presentar </w:t>
      </w:r>
      <w:r w:rsidR="00BD5983">
        <w:rPr>
          <w:rFonts w:ascii="Arial" w:hAnsi="Arial" w:cs="Arial"/>
          <w:spacing w:val="-3"/>
          <w:sz w:val="22"/>
          <w:szCs w:val="22"/>
        </w:rPr>
        <w:t xml:space="preserve">los dos documentos de trabajo </w:t>
      </w:r>
      <w:r w:rsidR="00BD5983" w:rsidRPr="000E7FE5">
        <w:rPr>
          <w:rFonts w:ascii="Arial" w:hAnsi="Arial" w:cs="Arial"/>
          <w:spacing w:val="-3"/>
          <w:sz w:val="22"/>
          <w:szCs w:val="22"/>
        </w:rPr>
        <w:t>mencionado</w:t>
      </w:r>
      <w:r w:rsidR="00BD5983">
        <w:rPr>
          <w:rFonts w:ascii="Arial" w:hAnsi="Arial" w:cs="Arial"/>
          <w:spacing w:val="-3"/>
          <w:sz w:val="22"/>
          <w:szCs w:val="22"/>
        </w:rPr>
        <w:t>s</w:t>
      </w:r>
      <w:r w:rsidR="00BD5983" w:rsidRPr="000E7FE5">
        <w:rPr>
          <w:rFonts w:ascii="Arial" w:hAnsi="Arial" w:cs="Arial"/>
          <w:spacing w:val="-3"/>
          <w:sz w:val="22"/>
          <w:szCs w:val="22"/>
        </w:rPr>
        <w:t xml:space="preserve"> en la sección </w:t>
      </w:r>
      <w:r w:rsidR="00BD5983">
        <w:rPr>
          <w:rFonts w:ascii="Arial" w:hAnsi="Arial" w:cs="Arial"/>
          <w:spacing w:val="-3"/>
          <w:sz w:val="22"/>
          <w:szCs w:val="22"/>
        </w:rPr>
        <w:t>anterior</w:t>
      </w:r>
      <w:r w:rsidR="00BD5983" w:rsidRPr="000E7FE5">
        <w:rPr>
          <w:rFonts w:ascii="Arial" w:hAnsi="Arial" w:cs="Arial"/>
          <w:spacing w:val="-3"/>
          <w:sz w:val="22"/>
          <w:szCs w:val="22"/>
        </w:rPr>
        <w:t>.</w:t>
      </w:r>
    </w:p>
    <w:p w14:paraId="6CC90D72" w14:textId="345C7987" w:rsidR="004327ED" w:rsidRPr="00BD5983" w:rsidRDefault="004327ED" w:rsidP="00801EC0">
      <w:pPr>
        <w:pStyle w:val="Paragraph"/>
        <w:numPr>
          <w:ilvl w:val="0"/>
          <w:numId w:val="0"/>
        </w:numPr>
        <w:rPr>
          <w:rFonts w:ascii="Arial" w:hAnsi="Arial" w:cs="Arial"/>
          <w:spacing w:val="-3"/>
          <w:sz w:val="22"/>
          <w:szCs w:val="22"/>
        </w:rPr>
      </w:pPr>
      <w:r w:rsidRPr="00BD5983">
        <w:rPr>
          <w:rFonts w:ascii="Arial" w:hAnsi="Arial" w:cs="Arial"/>
          <w:spacing w:val="-3"/>
          <w:sz w:val="22"/>
          <w:szCs w:val="22"/>
        </w:rPr>
        <w:t xml:space="preserve">Pago: </w:t>
      </w:r>
      <w:r w:rsidR="00BD5983" w:rsidRPr="00BD5983">
        <w:rPr>
          <w:rFonts w:ascii="Arial" w:hAnsi="Arial" w:cs="Arial"/>
          <w:spacing w:val="-3"/>
          <w:sz w:val="22"/>
          <w:szCs w:val="22"/>
        </w:rPr>
        <w:t>2</w:t>
      </w:r>
      <w:r w:rsidRPr="00BD5983">
        <w:rPr>
          <w:rFonts w:ascii="Arial" w:hAnsi="Arial" w:cs="Arial"/>
          <w:spacing w:val="-3"/>
          <w:sz w:val="22"/>
          <w:szCs w:val="22"/>
        </w:rPr>
        <w:t>0% a la firma del contrato</w:t>
      </w:r>
      <w:r w:rsidR="00BD5983" w:rsidRPr="00BD5983">
        <w:rPr>
          <w:rFonts w:ascii="Arial" w:hAnsi="Arial" w:cs="Arial"/>
          <w:spacing w:val="-3"/>
          <w:sz w:val="22"/>
          <w:szCs w:val="22"/>
        </w:rPr>
        <w:t>, 30% con la presentación del informe intermedio</w:t>
      </w:r>
      <w:r w:rsidRPr="00BD5983">
        <w:rPr>
          <w:rFonts w:ascii="Arial" w:hAnsi="Arial" w:cs="Arial"/>
          <w:spacing w:val="-3"/>
          <w:sz w:val="22"/>
          <w:szCs w:val="22"/>
        </w:rPr>
        <w:t xml:space="preserve"> y el </w:t>
      </w:r>
      <w:r w:rsidR="00BD5983" w:rsidRPr="00BD5983">
        <w:rPr>
          <w:rFonts w:ascii="Arial" w:hAnsi="Arial" w:cs="Arial"/>
          <w:spacing w:val="-3"/>
          <w:sz w:val="22"/>
          <w:szCs w:val="22"/>
        </w:rPr>
        <w:t>5</w:t>
      </w:r>
      <w:r w:rsidRPr="00BD5983">
        <w:rPr>
          <w:rFonts w:ascii="Arial" w:hAnsi="Arial" w:cs="Arial"/>
          <w:spacing w:val="-3"/>
          <w:sz w:val="22"/>
          <w:szCs w:val="22"/>
        </w:rPr>
        <w:t>0% restante en el momento de la presentación y aprobación de</w:t>
      </w:r>
      <w:r w:rsidR="00BD5983" w:rsidRPr="00BD5983">
        <w:rPr>
          <w:rFonts w:ascii="Arial" w:hAnsi="Arial" w:cs="Arial"/>
          <w:spacing w:val="-3"/>
          <w:sz w:val="22"/>
          <w:szCs w:val="22"/>
        </w:rPr>
        <w:t xml:space="preserve"> </w:t>
      </w:r>
      <w:r w:rsidRPr="00BD5983">
        <w:rPr>
          <w:rFonts w:ascii="Arial" w:hAnsi="Arial" w:cs="Arial"/>
          <w:spacing w:val="-3"/>
          <w:sz w:val="22"/>
          <w:szCs w:val="22"/>
        </w:rPr>
        <w:t>l</w:t>
      </w:r>
      <w:r w:rsidR="00BD5983" w:rsidRPr="00BD5983">
        <w:rPr>
          <w:rFonts w:ascii="Arial" w:hAnsi="Arial" w:cs="Arial"/>
          <w:spacing w:val="-3"/>
          <w:sz w:val="22"/>
          <w:szCs w:val="22"/>
        </w:rPr>
        <w:t>os dos</w:t>
      </w:r>
      <w:r w:rsidRPr="00BD5983">
        <w:rPr>
          <w:rFonts w:ascii="Arial" w:hAnsi="Arial" w:cs="Arial"/>
          <w:spacing w:val="-3"/>
          <w:sz w:val="22"/>
          <w:szCs w:val="22"/>
        </w:rPr>
        <w:t xml:space="preserve"> </w:t>
      </w:r>
      <w:r w:rsidR="00BD5983" w:rsidRPr="00BD5983">
        <w:rPr>
          <w:rFonts w:ascii="Arial" w:hAnsi="Arial" w:cs="Arial"/>
          <w:spacing w:val="-3"/>
          <w:sz w:val="22"/>
          <w:szCs w:val="22"/>
        </w:rPr>
        <w:t>documentos de trabajo</w:t>
      </w:r>
      <w:r w:rsidRPr="00BD5983">
        <w:rPr>
          <w:rFonts w:ascii="Arial" w:hAnsi="Arial" w:cs="Arial"/>
          <w:spacing w:val="-3"/>
          <w:sz w:val="22"/>
          <w:szCs w:val="22"/>
        </w:rPr>
        <w:t xml:space="preserve">. Se estima una cantidad de US$ </w:t>
      </w:r>
      <w:r w:rsidR="00BD5983" w:rsidRPr="00BD5983">
        <w:rPr>
          <w:rFonts w:ascii="Arial" w:hAnsi="Arial" w:cs="Arial"/>
          <w:spacing w:val="-3"/>
          <w:sz w:val="22"/>
          <w:szCs w:val="22"/>
        </w:rPr>
        <w:t>4</w:t>
      </w:r>
      <w:r w:rsidRPr="00BD5983">
        <w:rPr>
          <w:rFonts w:ascii="Arial" w:hAnsi="Arial" w:cs="Arial"/>
          <w:spacing w:val="-3"/>
          <w:sz w:val="22"/>
          <w:szCs w:val="22"/>
        </w:rPr>
        <w:t>0.000, incluyendo los costos del viaje a México.</w:t>
      </w:r>
    </w:p>
    <w:p w14:paraId="6CC90D73" w14:textId="77777777" w:rsidR="004327ED" w:rsidRPr="00BD5983" w:rsidRDefault="004327ED" w:rsidP="008D551D">
      <w:pPr>
        <w:pStyle w:val="heading-b24"/>
        <w:spacing w:after="0"/>
        <w:jc w:val="left"/>
        <w:rPr>
          <w:rFonts w:ascii="Arial" w:eastAsia="Arial Unicode MS" w:hAnsi="Arial" w:cs="Arial"/>
          <w:sz w:val="22"/>
          <w:szCs w:val="22"/>
          <w:lang w:val="es-ES"/>
        </w:rPr>
      </w:pPr>
    </w:p>
    <w:p w14:paraId="6CC90D74" w14:textId="77777777" w:rsidR="004327ED" w:rsidRPr="001A025E" w:rsidRDefault="004327ED" w:rsidP="008D551D">
      <w:pPr>
        <w:pStyle w:val="heading-b24"/>
        <w:spacing w:after="0"/>
        <w:jc w:val="left"/>
        <w:rPr>
          <w:rFonts w:ascii="Arial" w:eastAsia="Arial Unicode MS" w:hAnsi="Arial" w:cs="Arial"/>
          <w:sz w:val="22"/>
          <w:szCs w:val="22"/>
          <w:lang w:val="es-ES"/>
        </w:rPr>
      </w:pPr>
      <w:r w:rsidRPr="00BD5983">
        <w:rPr>
          <w:rFonts w:ascii="Arial" w:eastAsia="Arial Unicode MS" w:hAnsi="Arial" w:cs="Arial"/>
          <w:sz w:val="22"/>
          <w:szCs w:val="22"/>
          <w:lang w:val="es-ES"/>
        </w:rPr>
        <w:t>Calificaciones</w:t>
      </w:r>
    </w:p>
    <w:p w14:paraId="6CC90D75" w14:textId="3AB058CC" w:rsidR="004327ED" w:rsidRPr="001A025E" w:rsidRDefault="004327ED" w:rsidP="008D551D">
      <w:pPr>
        <w:pStyle w:val="Paragraph"/>
        <w:numPr>
          <w:ilvl w:val="0"/>
          <w:numId w:val="0"/>
        </w:numPr>
        <w:rPr>
          <w:rFonts w:ascii="Arial" w:hAnsi="Arial" w:cs="Arial"/>
          <w:spacing w:val="-3"/>
          <w:sz w:val="22"/>
          <w:szCs w:val="22"/>
        </w:rPr>
      </w:pPr>
      <w:r w:rsidRPr="001A025E">
        <w:rPr>
          <w:rFonts w:ascii="Arial" w:hAnsi="Arial" w:cs="Arial"/>
          <w:spacing w:val="-3"/>
          <w:sz w:val="22"/>
          <w:szCs w:val="22"/>
        </w:rPr>
        <w:t>El contractual debe tener un título de maestría o doctorado en economía, políticas públicas</w:t>
      </w:r>
      <w:r w:rsidR="00D21597">
        <w:rPr>
          <w:rFonts w:ascii="Arial" w:hAnsi="Arial" w:cs="Arial"/>
          <w:spacing w:val="-3"/>
          <w:sz w:val="22"/>
          <w:szCs w:val="22"/>
        </w:rPr>
        <w:t>, estadística</w:t>
      </w:r>
      <w:r w:rsidRPr="001A025E">
        <w:rPr>
          <w:rFonts w:ascii="Arial" w:hAnsi="Arial" w:cs="Arial"/>
          <w:spacing w:val="-3"/>
          <w:sz w:val="22"/>
          <w:szCs w:val="22"/>
        </w:rPr>
        <w:t xml:space="preserve"> o afines</w:t>
      </w:r>
      <w:r w:rsidR="001A025E">
        <w:rPr>
          <w:rFonts w:ascii="Arial" w:hAnsi="Arial" w:cs="Arial"/>
          <w:spacing w:val="-3"/>
          <w:sz w:val="22"/>
          <w:szCs w:val="22"/>
        </w:rPr>
        <w:t>, c</w:t>
      </w:r>
      <w:r w:rsidRPr="001A025E">
        <w:rPr>
          <w:rFonts w:ascii="Arial" w:hAnsi="Arial" w:cs="Arial"/>
          <w:spacing w:val="-3"/>
          <w:sz w:val="22"/>
          <w:szCs w:val="22"/>
        </w:rPr>
        <w:t>on 10 años de experiencia.</w:t>
      </w:r>
    </w:p>
    <w:p w14:paraId="6CC90D76" w14:textId="77777777" w:rsidR="004327ED" w:rsidRPr="001A025E" w:rsidRDefault="004327ED" w:rsidP="008D551D">
      <w:pPr>
        <w:ind w:left="360"/>
        <w:jc w:val="both"/>
        <w:rPr>
          <w:rFonts w:ascii="Arial" w:hAnsi="Arial" w:cs="Arial"/>
          <w:sz w:val="22"/>
          <w:szCs w:val="22"/>
          <w:lang w:val="es-ES"/>
        </w:rPr>
      </w:pPr>
    </w:p>
    <w:p w14:paraId="6CC90D77" w14:textId="77777777" w:rsidR="004327ED" w:rsidRPr="001A025E" w:rsidRDefault="004327ED" w:rsidP="008D551D">
      <w:pPr>
        <w:pStyle w:val="heading-b24"/>
        <w:spacing w:after="0"/>
        <w:jc w:val="left"/>
        <w:rPr>
          <w:rFonts w:ascii="Arial" w:eastAsia="Arial Unicode MS" w:hAnsi="Arial" w:cs="Arial"/>
          <w:sz w:val="22"/>
          <w:szCs w:val="22"/>
          <w:lang w:val="es-ES"/>
        </w:rPr>
      </w:pPr>
      <w:r w:rsidRPr="001A025E">
        <w:rPr>
          <w:rFonts w:ascii="Arial" w:eastAsia="Arial Unicode MS" w:hAnsi="Arial" w:cs="Arial"/>
          <w:sz w:val="22"/>
          <w:szCs w:val="22"/>
          <w:lang w:val="es-ES"/>
        </w:rPr>
        <w:t>Características</w:t>
      </w:r>
    </w:p>
    <w:p w14:paraId="6CC90D78" w14:textId="77777777" w:rsidR="004327ED" w:rsidRPr="001A025E" w:rsidRDefault="004327ED" w:rsidP="008D551D">
      <w:pPr>
        <w:pStyle w:val="Paragraph"/>
        <w:numPr>
          <w:ilvl w:val="0"/>
          <w:numId w:val="0"/>
        </w:numPr>
        <w:rPr>
          <w:rFonts w:ascii="Arial" w:hAnsi="Arial" w:cs="Arial"/>
          <w:spacing w:val="-3"/>
          <w:sz w:val="22"/>
          <w:szCs w:val="22"/>
        </w:rPr>
      </w:pPr>
      <w:r w:rsidRPr="001A025E">
        <w:rPr>
          <w:rFonts w:ascii="Arial" w:hAnsi="Arial" w:cs="Arial"/>
          <w:b/>
          <w:spacing w:val="-3"/>
          <w:sz w:val="22"/>
          <w:szCs w:val="22"/>
        </w:rPr>
        <w:t xml:space="preserve">Categoría y Modalidad de la Consultoría: </w:t>
      </w:r>
      <w:r w:rsidRPr="001A025E">
        <w:rPr>
          <w:rFonts w:ascii="Arial" w:hAnsi="Arial" w:cs="Arial"/>
          <w:spacing w:val="-3"/>
          <w:sz w:val="22"/>
          <w:szCs w:val="22"/>
        </w:rPr>
        <w:t>Contractual de Productos y Servicios Externos, Suma Alzada</w:t>
      </w:r>
    </w:p>
    <w:p w14:paraId="6CC90D79" w14:textId="5F811D44" w:rsidR="004327ED" w:rsidRPr="001A025E" w:rsidRDefault="004327ED" w:rsidP="008D551D">
      <w:pPr>
        <w:pStyle w:val="Paragraph"/>
        <w:numPr>
          <w:ilvl w:val="0"/>
          <w:numId w:val="0"/>
        </w:numPr>
        <w:rPr>
          <w:rFonts w:ascii="Arial" w:hAnsi="Arial" w:cs="Arial"/>
          <w:spacing w:val="-3"/>
          <w:sz w:val="22"/>
          <w:szCs w:val="22"/>
        </w:rPr>
      </w:pPr>
      <w:r w:rsidRPr="001A025E">
        <w:rPr>
          <w:rFonts w:ascii="Arial" w:hAnsi="Arial" w:cs="Arial"/>
          <w:b/>
          <w:spacing w:val="-3"/>
          <w:sz w:val="22"/>
          <w:szCs w:val="22"/>
        </w:rPr>
        <w:t xml:space="preserve">Duración del Contrato: </w:t>
      </w:r>
      <w:r w:rsidR="001A025E" w:rsidRPr="001A025E">
        <w:rPr>
          <w:rFonts w:ascii="Arial" w:hAnsi="Arial" w:cs="Arial"/>
          <w:spacing w:val="-3"/>
          <w:sz w:val="22"/>
          <w:szCs w:val="22"/>
        </w:rPr>
        <w:t>10</w:t>
      </w:r>
      <w:r w:rsidRPr="001A025E">
        <w:rPr>
          <w:rFonts w:ascii="Arial" w:hAnsi="Arial" w:cs="Arial"/>
          <w:spacing w:val="-3"/>
          <w:sz w:val="22"/>
          <w:szCs w:val="22"/>
        </w:rPr>
        <w:t xml:space="preserve">0 días de trabajo en un plazo de </w:t>
      </w:r>
      <w:r w:rsidR="001A025E" w:rsidRPr="001A025E">
        <w:rPr>
          <w:rFonts w:ascii="Arial" w:hAnsi="Arial" w:cs="Arial"/>
          <w:spacing w:val="-3"/>
          <w:sz w:val="22"/>
          <w:szCs w:val="22"/>
        </w:rPr>
        <w:t>ocho</w:t>
      </w:r>
      <w:r w:rsidRPr="001A025E">
        <w:rPr>
          <w:rFonts w:ascii="Arial" w:hAnsi="Arial" w:cs="Arial"/>
          <w:spacing w:val="-3"/>
          <w:sz w:val="22"/>
          <w:szCs w:val="22"/>
        </w:rPr>
        <w:t xml:space="preserve"> meses desde la firma del contrato. </w:t>
      </w:r>
    </w:p>
    <w:p w14:paraId="6CC90D7A" w14:textId="718DCBAC" w:rsidR="004327ED" w:rsidRPr="001A025E" w:rsidRDefault="004327ED" w:rsidP="008D551D">
      <w:pPr>
        <w:pStyle w:val="Paragraph"/>
        <w:numPr>
          <w:ilvl w:val="0"/>
          <w:numId w:val="0"/>
        </w:numPr>
        <w:rPr>
          <w:rFonts w:ascii="Arial" w:hAnsi="Arial" w:cs="Arial"/>
          <w:spacing w:val="-3"/>
          <w:sz w:val="22"/>
          <w:szCs w:val="22"/>
        </w:rPr>
      </w:pPr>
      <w:r w:rsidRPr="001A025E">
        <w:rPr>
          <w:rFonts w:ascii="Arial" w:hAnsi="Arial" w:cs="Arial"/>
          <w:b/>
          <w:spacing w:val="-3"/>
          <w:sz w:val="22"/>
          <w:szCs w:val="22"/>
        </w:rPr>
        <w:t>Lugar de trabajo</w:t>
      </w:r>
      <w:r w:rsidRPr="001A025E">
        <w:rPr>
          <w:rFonts w:ascii="Arial" w:hAnsi="Arial" w:cs="Arial"/>
          <w:spacing w:val="-3"/>
          <w:sz w:val="22"/>
          <w:szCs w:val="22"/>
        </w:rPr>
        <w:t xml:space="preserve">: </w:t>
      </w:r>
      <w:r w:rsidR="005701AE" w:rsidRPr="001A025E">
        <w:rPr>
          <w:rFonts w:ascii="Arial" w:hAnsi="Arial" w:cs="Arial"/>
          <w:spacing w:val="-3"/>
          <w:sz w:val="22"/>
          <w:szCs w:val="22"/>
        </w:rPr>
        <w:t>L</w:t>
      </w:r>
      <w:r w:rsidRPr="001A025E">
        <w:rPr>
          <w:rFonts w:ascii="Arial" w:hAnsi="Arial" w:cs="Arial"/>
          <w:spacing w:val="-3"/>
          <w:sz w:val="22"/>
          <w:szCs w:val="22"/>
        </w:rPr>
        <w:t>ugar de residencia del contractual y México.</w:t>
      </w:r>
    </w:p>
    <w:p w14:paraId="6CC90D7B" w14:textId="16CD19CA" w:rsidR="004327ED" w:rsidRPr="00D97056" w:rsidRDefault="004327ED" w:rsidP="008D551D">
      <w:pPr>
        <w:pStyle w:val="NoSpacing"/>
        <w:jc w:val="both"/>
        <w:rPr>
          <w:rFonts w:ascii="Arial" w:hAnsi="Arial" w:cs="Arial"/>
          <w:sz w:val="22"/>
          <w:szCs w:val="22"/>
          <w:lang w:val="es-ES"/>
        </w:rPr>
      </w:pPr>
      <w:r w:rsidRPr="001A025E">
        <w:rPr>
          <w:rFonts w:ascii="Arial" w:hAnsi="Arial" w:cs="Arial"/>
          <w:b/>
          <w:sz w:val="22"/>
          <w:szCs w:val="22"/>
          <w:lang w:val="es-ES_tradnl"/>
        </w:rPr>
        <w:t>Coordinación</w:t>
      </w:r>
      <w:r w:rsidRPr="001A025E">
        <w:rPr>
          <w:rFonts w:ascii="Arial" w:hAnsi="Arial" w:cs="Arial"/>
          <w:sz w:val="22"/>
          <w:szCs w:val="22"/>
          <w:lang w:val="es-ES_tradnl"/>
        </w:rPr>
        <w:t xml:space="preserve">: Sr. </w:t>
      </w:r>
      <w:r w:rsidR="005701AE" w:rsidRPr="001A025E">
        <w:rPr>
          <w:rFonts w:ascii="Arial" w:hAnsi="Arial" w:cs="Arial"/>
          <w:sz w:val="22"/>
          <w:szCs w:val="22"/>
          <w:lang w:val="es-ES_tradnl"/>
        </w:rPr>
        <w:t>Alejandro Rasteletti</w:t>
      </w:r>
      <w:r w:rsidRPr="001A025E">
        <w:rPr>
          <w:rFonts w:ascii="Arial" w:hAnsi="Arial" w:cs="Arial"/>
          <w:sz w:val="22"/>
          <w:szCs w:val="22"/>
          <w:lang w:val="es-ES_tradnl"/>
        </w:rPr>
        <w:t xml:space="preserve"> (</w:t>
      </w:r>
      <w:hyperlink r:id="rId14" w:history="1">
        <w:r w:rsidR="005701AE" w:rsidRPr="001A025E">
          <w:rPr>
            <w:rStyle w:val="Hyperlink"/>
            <w:rFonts w:ascii="Arial" w:eastAsiaTheme="majorEastAsia" w:hAnsi="Arial" w:cs="Arial"/>
            <w:sz w:val="22"/>
            <w:szCs w:val="22"/>
            <w:lang w:val="es-ES"/>
          </w:rPr>
          <w:t>arasteletti@iadb.org</w:t>
        </w:r>
      </w:hyperlink>
      <w:r w:rsidRPr="001A025E">
        <w:rPr>
          <w:rFonts w:ascii="Arial" w:hAnsi="Arial" w:cs="Arial"/>
          <w:sz w:val="22"/>
          <w:szCs w:val="22"/>
          <w:lang w:val="es-ES_tradnl"/>
        </w:rPr>
        <w:t xml:space="preserve">), </w:t>
      </w:r>
      <w:r w:rsidRPr="001A025E">
        <w:rPr>
          <w:rFonts w:ascii="Arial" w:hAnsi="Arial" w:cs="Arial"/>
          <w:sz w:val="22"/>
          <w:szCs w:val="22"/>
          <w:lang w:val="es-ES"/>
        </w:rPr>
        <w:t>División de Gestión Fiscal y Municipal (FMM).</w:t>
      </w:r>
    </w:p>
    <w:p w14:paraId="6CC90D7D" w14:textId="2726EED5" w:rsidR="004327ED" w:rsidRDefault="004327ED" w:rsidP="004327ED">
      <w:pPr>
        <w:spacing w:after="200" w:line="276" w:lineRule="auto"/>
        <w:rPr>
          <w:rFonts w:ascii="Arial" w:hAnsi="Arial" w:cs="Arial"/>
          <w:sz w:val="22"/>
          <w:szCs w:val="22"/>
          <w:lang w:val="es-ES"/>
        </w:rPr>
      </w:pPr>
    </w:p>
    <w:sectPr w:rsidR="004327ED" w:rsidSect="005A0ED4">
      <w:headerReference w:type="even" r:id="rId15"/>
      <w:headerReference w:type="default" r:id="rId16"/>
      <w:headerReference w:type="first" r:id="rId17"/>
      <w:type w:val="continuous"/>
      <w:pgSz w:w="12240" w:h="15840" w:code="1"/>
      <w:pgMar w:top="1440" w:right="1800" w:bottom="1440" w:left="1800" w:header="706" w:footer="706"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BDCBD1" w14:textId="77777777" w:rsidR="003F5944" w:rsidRDefault="003F5944" w:rsidP="00ED751C">
      <w:r>
        <w:separator/>
      </w:r>
    </w:p>
  </w:endnote>
  <w:endnote w:type="continuationSeparator" w:id="0">
    <w:p w14:paraId="192AB680" w14:textId="77777777" w:rsidR="003F5944" w:rsidRDefault="003F5944" w:rsidP="00ED751C">
      <w:r>
        <w:continuationSeparator/>
      </w:r>
    </w:p>
  </w:endnote>
  <w:endnote w:type="continuationNotice" w:id="1">
    <w:p w14:paraId="460E2BC0" w14:textId="77777777" w:rsidR="003F5944" w:rsidRDefault="003F59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90DA2" w14:textId="77777777" w:rsidR="00F34B5B" w:rsidRDefault="00F34B5B">
    <w:pPr>
      <w:pStyle w:val="Footer"/>
      <w:framePr w:wrap="around" w:vAnchor="text" w:hAnchor="margin" w:xAlign="right" w:y="1"/>
      <w:rPr>
        <w:rStyle w:val="PageNumber"/>
      </w:rPr>
    </w:pPr>
  </w:p>
  <w:p w14:paraId="6CC90DA3" w14:textId="77777777" w:rsidR="00F34B5B" w:rsidRDefault="00F34B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ADD81" w14:textId="77777777" w:rsidR="00F34B5B" w:rsidRDefault="00F34B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952A25" w14:textId="77777777" w:rsidR="003F5944" w:rsidRDefault="003F5944" w:rsidP="00ED751C">
      <w:r>
        <w:separator/>
      </w:r>
    </w:p>
  </w:footnote>
  <w:footnote w:type="continuationSeparator" w:id="0">
    <w:p w14:paraId="43EFF1D2" w14:textId="77777777" w:rsidR="003F5944" w:rsidRDefault="003F5944" w:rsidP="00ED751C">
      <w:r>
        <w:continuationSeparator/>
      </w:r>
    </w:p>
  </w:footnote>
  <w:footnote w:type="continuationNotice" w:id="1">
    <w:p w14:paraId="5A5AFEA4" w14:textId="77777777" w:rsidR="003F5944" w:rsidRDefault="003F5944"/>
  </w:footnote>
  <w:footnote w:id="2">
    <w:p w14:paraId="797FC871" w14:textId="303A52CB" w:rsidR="00F34B5B" w:rsidRPr="003B167D" w:rsidRDefault="00F34B5B" w:rsidP="00A578FB">
      <w:pPr>
        <w:ind w:left="360" w:hanging="360"/>
        <w:jc w:val="both"/>
        <w:rPr>
          <w:rFonts w:ascii="Arial" w:hAnsi="Arial" w:cs="Arial"/>
          <w:sz w:val="18"/>
          <w:szCs w:val="18"/>
        </w:rPr>
      </w:pPr>
      <w:r w:rsidRPr="003B167D">
        <w:rPr>
          <w:rStyle w:val="FootnoteReference"/>
          <w:rFonts w:ascii="Arial" w:hAnsi="Arial" w:cs="Arial"/>
          <w:sz w:val="18"/>
          <w:szCs w:val="18"/>
        </w:rPr>
        <w:footnoteRef/>
      </w:r>
      <w:r w:rsidRPr="003B167D">
        <w:rPr>
          <w:rFonts w:ascii="Arial" w:hAnsi="Arial" w:cs="Arial"/>
          <w:sz w:val="18"/>
          <w:szCs w:val="18"/>
        </w:rPr>
        <w:tab/>
      </w:r>
      <w:r w:rsidRPr="00234FD8">
        <w:rPr>
          <w:rFonts w:ascii="Arial" w:hAnsi="Arial" w:cs="Arial"/>
          <w:sz w:val="18"/>
          <w:szCs w:val="18"/>
        </w:rPr>
        <w:t>https://www.disciplinafinanciera.hacienda.gob.mx/</w:t>
      </w:r>
      <w:hyperlink w:history="1"/>
      <w:r>
        <w:rPr>
          <w:rFonts w:ascii="Arial" w:eastAsiaTheme="minorHAnsi" w:hAnsi="Arial" w:cs="Arial"/>
          <w:bCs/>
          <w:sz w:val="18"/>
          <w:szCs w:val="18"/>
        </w:rPr>
        <w:t>.</w:t>
      </w:r>
    </w:p>
  </w:footnote>
  <w:footnote w:id="3">
    <w:p w14:paraId="36399887" w14:textId="77777777" w:rsidR="00F34B5B" w:rsidRPr="00FE7D62" w:rsidRDefault="00F34B5B" w:rsidP="00A578FB">
      <w:pPr>
        <w:ind w:left="360" w:hanging="360"/>
        <w:jc w:val="both"/>
        <w:rPr>
          <w:rFonts w:ascii="Arial" w:hAnsi="Arial" w:cs="Arial"/>
          <w:sz w:val="18"/>
          <w:szCs w:val="18"/>
        </w:rPr>
      </w:pPr>
      <w:r w:rsidRPr="003B167D">
        <w:rPr>
          <w:rStyle w:val="FootnoteReference"/>
          <w:rFonts w:ascii="Arial" w:hAnsi="Arial" w:cs="Arial"/>
          <w:sz w:val="18"/>
          <w:szCs w:val="18"/>
        </w:rPr>
        <w:footnoteRef/>
      </w:r>
      <w:r w:rsidRPr="00FE7D62">
        <w:rPr>
          <w:rFonts w:ascii="Arial" w:hAnsi="Arial" w:cs="Arial"/>
          <w:sz w:val="18"/>
          <w:szCs w:val="18"/>
        </w:rPr>
        <w:tab/>
      </w:r>
      <w:hyperlink r:id="rId1" w:history="1">
        <w:r w:rsidRPr="00FE7D62">
          <w:rPr>
            <w:rStyle w:val="Hyperlink"/>
            <w:rFonts w:ascii="Arial" w:eastAsiaTheme="minorHAnsi" w:hAnsi="Arial" w:cs="Arial"/>
            <w:sz w:val="18"/>
            <w:szCs w:val="18"/>
          </w:rPr>
          <w:t>https://www.disciplinafinanciera.hacienda.gob.mx/</w:t>
        </w:r>
      </w:hyperlink>
      <w:r w:rsidRPr="00FE7D62">
        <w:rPr>
          <w:rFonts w:ascii="Arial" w:hAnsi="Arial" w:cs="Arial"/>
          <w:sz w:val="18"/>
          <w:szCs w:val="18"/>
        </w:rPr>
        <w:t>.</w:t>
      </w:r>
    </w:p>
  </w:footnote>
  <w:footnote w:id="4">
    <w:p w14:paraId="5A9D4816" w14:textId="77777777" w:rsidR="00F34B5B" w:rsidRPr="00FE7D62" w:rsidRDefault="00F34B5B" w:rsidP="00A578FB">
      <w:pPr>
        <w:ind w:left="360" w:hanging="360"/>
        <w:jc w:val="both"/>
        <w:rPr>
          <w:rFonts w:ascii="Arial" w:hAnsi="Arial" w:cs="Arial"/>
          <w:sz w:val="18"/>
          <w:szCs w:val="18"/>
        </w:rPr>
      </w:pPr>
      <w:r w:rsidRPr="003B167D">
        <w:rPr>
          <w:rStyle w:val="FootnoteReference"/>
          <w:rFonts w:ascii="Arial" w:hAnsi="Arial" w:cs="Arial"/>
          <w:sz w:val="18"/>
          <w:szCs w:val="18"/>
        </w:rPr>
        <w:footnoteRef/>
      </w:r>
      <w:r w:rsidRPr="00FE7D62">
        <w:rPr>
          <w:rFonts w:ascii="Arial" w:hAnsi="Arial" w:cs="Arial"/>
          <w:sz w:val="18"/>
          <w:szCs w:val="18"/>
        </w:rPr>
        <w:tab/>
      </w:r>
      <w:hyperlink r:id="rId2" w:history="1">
        <w:r w:rsidRPr="00FE7D62">
          <w:rPr>
            <w:rStyle w:val="Hyperlink"/>
            <w:rFonts w:ascii="Arial" w:eastAsiaTheme="minorHAnsi" w:hAnsi="Arial" w:cs="Arial"/>
            <w:sz w:val="18"/>
            <w:szCs w:val="18"/>
          </w:rPr>
          <w:t>https://www.disciplinafinanciera.hacienda.gob.mx/</w:t>
        </w:r>
      </w:hyperlink>
      <w:r w:rsidRPr="00FE7D62">
        <w:rPr>
          <w:rFonts w:ascii="Arial" w:hAnsi="Arial" w:cs="Arial"/>
          <w:sz w:val="18"/>
          <w:szCs w:val="18"/>
        </w:rPr>
        <w:t>.</w:t>
      </w:r>
    </w:p>
  </w:footnote>
  <w:footnote w:id="5">
    <w:p w14:paraId="5EE3540C" w14:textId="4886F1EA" w:rsidR="00F34B5B" w:rsidRDefault="00F34B5B" w:rsidP="00A578FB">
      <w:pPr>
        <w:ind w:left="360" w:hanging="360"/>
        <w:jc w:val="both"/>
        <w:rPr>
          <w:rFonts w:ascii="Arial" w:eastAsiaTheme="minorHAnsi" w:hAnsi="Arial" w:cs="Arial"/>
          <w:bCs/>
          <w:sz w:val="18"/>
          <w:szCs w:val="18"/>
        </w:rPr>
      </w:pPr>
      <w:r w:rsidRPr="003B167D">
        <w:rPr>
          <w:rStyle w:val="FootnoteReference"/>
          <w:rFonts w:ascii="Arial" w:hAnsi="Arial" w:cs="Arial"/>
          <w:sz w:val="18"/>
          <w:szCs w:val="18"/>
        </w:rPr>
        <w:footnoteRef/>
      </w:r>
      <w:r w:rsidRPr="00CF1E75">
        <w:rPr>
          <w:rFonts w:ascii="Arial" w:hAnsi="Arial" w:cs="Arial"/>
          <w:sz w:val="18"/>
          <w:szCs w:val="18"/>
        </w:rPr>
        <w:tab/>
      </w:r>
      <w:hyperlink r:id="rId3" w:history="1">
        <w:r w:rsidRPr="00CF1E75">
          <w:rPr>
            <w:rStyle w:val="Hyperlink"/>
            <w:rFonts w:ascii="Arial" w:eastAsiaTheme="minorHAnsi" w:hAnsi="Arial" w:cs="Arial"/>
            <w:sz w:val="18"/>
            <w:szCs w:val="18"/>
          </w:rPr>
          <w:t>http://www.inegi.org.mx/</w:t>
        </w:r>
        <w:r w:rsidRPr="00CF1E75" w:rsidDel="007677AC">
          <w:rPr>
            <w:rStyle w:val="Hyperlink"/>
            <w:rFonts w:ascii="Arial" w:eastAsiaTheme="minorHAnsi" w:hAnsi="Arial" w:cs="Arial"/>
            <w:sz w:val="18"/>
            <w:szCs w:val="18"/>
          </w:rPr>
          <w:t xml:space="preserve"> </w:t>
        </w:r>
      </w:hyperlink>
      <w:r w:rsidRPr="00CF1E75">
        <w:rPr>
          <w:rFonts w:ascii="Arial" w:eastAsiaTheme="minorHAnsi" w:hAnsi="Arial" w:cs="Arial"/>
          <w:bCs/>
          <w:sz w:val="18"/>
          <w:szCs w:val="18"/>
        </w:rPr>
        <w:t>.</w:t>
      </w:r>
    </w:p>
    <w:p w14:paraId="14FB0A31" w14:textId="77777777" w:rsidR="00F34B5B" w:rsidRPr="00CF1E75" w:rsidRDefault="00F34B5B" w:rsidP="00A578FB">
      <w:pPr>
        <w:ind w:left="360" w:hanging="360"/>
        <w:jc w:val="both"/>
        <w:rPr>
          <w:rFonts w:ascii="Arial" w:hAnsi="Arial" w:cs="Arial"/>
          <w:sz w:val="18"/>
          <w:szCs w:val="18"/>
        </w:rPr>
      </w:pPr>
    </w:p>
  </w:footnote>
  <w:footnote w:id="6">
    <w:p w14:paraId="521C4B51" w14:textId="7BFB7260" w:rsidR="00F34B5B" w:rsidRPr="00CF1E75" w:rsidRDefault="00F34B5B" w:rsidP="00A578FB">
      <w:pPr>
        <w:ind w:left="360" w:hanging="360"/>
        <w:jc w:val="both"/>
        <w:rPr>
          <w:rFonts w:ascii="Arial" w:hAnsi="Arial" w:cs="Arial"/>
          <w:sz w:val="18"/>
          <w:szCs w:val="18"/>
        </w:rPr>
      </w:pPr>
      <w:r w:rsidRPr="003B167D">
        <w:rPr>
          <w:rStyle w:val="FootnoteReference"/>
          <w:rFonts w:ascii="Arial" w:hAnsi="Arial" w:cs="Arial"/>
          <w:sz w:val="18"/>
          <w:szCs w:val="18"/>
        </w:rPr>
        <w:footnoteRef/>
      </w:r>
      <w:r w:rsidRPr="00CF1E75">
        <w:rPr>
          <w:rFonts w:ascii="Arial" w:hAnsi="Arial" w:cs="Arial"/>
          <w:sz w:val="18"/>
          <w:szCs w:val="18"/>
        </w:rPr>
        <w:tab/>
      </w:r>
      <w:hyperlink r:id="rId4" w:history="1">
        <w:r w:rsidRPr="00CF1E75">
          <w:rPr>
            <w:rStyle w:val="Hyperlink"/>
            <w:rFonts w:ascii="Arial" w:eastAsiaTheme="minorHAnsi" w:hAnsi="Arial" w:cs="Arial"/>
            <w:sz w:val="18"/>
            <w:szCs w:val="18"/>
          </w:rPr>
          <w:t>http://www.banxico.org.mx/</w:t>
        </w:r>
        <w:r w:rsidRPr="00CF1E75" w:rsidDel="007677AC">
          <w:rPr>
            <w:rStyle w:val="Hyperlink"/>
            <w:rFonts w:ascii="Arial" w:eastAsiaTheme="minorHAnsi" w:hAnsi="Arial" w:cs="Arial"/>
            <w:sz w:val="18"/>
            <w:szCs w:val="18"/>
          </w:rPr>
          <w:t xml:space="preserve"> </w:t>
        </w:r>
      </w:hyperlink>
      <w:r w:rsidRPr="00CF1E75">
        <w:rPr>
          <w:rFonts w:ascii="Arial" w:eastAsiaTheme="minorHAnsi" w:hAnsi="Arial" w:cs="Arial"/>
          <w:bCs/>
          <w:sz w:val="18"/>
          <w:szCs w:val="18"/>
        </w:rPr>
        <w:t>.</w:t>
      </w:r>
    </w:p>
  </w:footnote>
  <w:footnote w:id="7">
    <w:p w14:paraId="22823F0A" w14:textId="4FE555AF" w:rsidR="00F34B5B" w:rsidRPr="00A2250E" w:rsidRDefault="00F34B5B" w:rsidP="00A578FB">
      <w:pPr>
        <w:ind w:left="360" w:hanging="360"/>
        <w:jc w:val="both"/>
        <w:rPr>
          <w:rFonts w:ascii="Arial" w:hAnsi="Arial" w:cs="Arial"/>
          <w:sz w:val="18"/>
          <w:szCs w:val="18"/>
          <w:lang w:val="es-MX"/>
        </w:rPr>
      </w:pPr>
      <w:r w:rsidRPr="003B167D">
        <w:rPr>
          <w:rStyle w:val="FootnoteReference"/>
          <w:rFonts w:ascii="Arial" w:hAnsi="Arial" w:cs="Arial"/>
          <w:sz w:val="18"/>
          <w:szCs w:val="18"/>
        </w:rPr>
        <w:footnoteRef/>
      </w:r>
      <w:r w:rsidRPr="00A2250E">
        <w:rPr>
          <w:rFonts w:ascii="Arial" w:hAnsi="Arial" w:cs="Arial"/>
          <w:sz w:val="18"/>
          <w:szCs w:val="18"/>
          <w:lang w:val="es-MX"/>
        </w:rPr>
        <w:tab/>
      </w:r>
      <w:hyperlink r:id="rId5" w:history="1">
        <w:r w:rsidRPr="00FE7D62">
          <w:rPr>
            <w:rStyle w:val="Hyperlink"/>
            <w:rFonts w:ascii="Arial" w:eastAsiaTheme="minorHAnsi" w:hAnsi="Arial" w:cs="Arial"/>
            <w:sz w:val="18"/>
            <w:szCs w:val="18"/>
          </w:rPr>
          <w:t>https://www.disciplinafinanciera.hacienda.gob.mx/</w:t>
        </w:r>
      </w:hyperlink>
      <w:r w:rsidRPr="00A2250E">
        <w:rPr>
          <w:rFonts w:ascii="Arial" w:eastAsiaTheme="minorHAnsi" w:hAnsi="Arial" w:cs="Arial"/>
          <w:bCs/>
          <w:sz w:val="18"/>
          <w:szCs w:val="18"/>
          <w:lang w:val="es-MX"/>
        </w:rPr>
        <w:t>.</w:t>
      </w:r>
    </w:p>
  </w:footnote>
  <w:footnote w:id="8">
    <w:p w14:paraId="7CE6A6EE" w14:textId="7AA64063" w:rsidR="00F34B5B" w:rsidRPr="003B167D" w:rsidRDefault="00F34B5B" w:rsidP="003B167D">
      <w:pPr>
        <w:ind w:left="360" w:hanging="360"/>
        <w:jc w:val="both"/>
        <w:rPr>
          <w:rFonts w:ascii="Arial" w:hAnsi="Arial" w:cs="Arial"/>
          <w:sz w:val="18"/>
          <w:szCs w:val="18"/>
          <w:lang w:val="en-US"/>
        </w:rPr>
      </w:pPr>
      <w:r w:rsidRPr="00215781">
        <w:rPr>
          <w:rStyle w:val="FootnoteReference"/>
          <w:rFonts w:ascii="Arial" w:hAnsi="Arial" w:cs="Arial"/>
          <w:sz w:val="18"/>
          <w:szCs w:val="18"/>
        </w:rPr>
        <w:footnoteRef/>
      </w:r>
      <w:r w:rsidRPr="003B167D">
        <w:rPr>
          <w:rFonts w:ascii="Arial" w:hAnsi="Arial" w:cs="Arial"/>
          <w:sz w:val="18"/>
          <w:szCs w:val="18"/>
          <w:lang w:val="en-US"/>
        </w:rPr>
        <w:tab/>
        <w:t xml:space="preserve">Singh, R. y A. </w:t>
      </w:r>
      <w:r w:rsidRPr="00F549BF">
        <w:rPr>
          <w:rFonts w:ascii="Arial" w:hAnsi="Arial" w:cs="Arial"/>
          <w:sz w:val="18"/>
          <w:szCs w:val="18"/>
          <w:lang w:val="en-US"/>
        </w:rPr>
        <w:t>Plekhanov</w:t>
      </w:r>
      <w:r w:rsidRPr="003B167D">
        <w:rPr>
          <w:rFonts w:ascii="Arial" w:hAnsi="Arial" w:cs="Arial"/>
          <w:sz w:val="18"/>
          <w:szCs w:val="18"/>
          <w:lang w:val="en-US"/>
        </w:rPr>
        <w:t xml:space="preserve">. 2005. </w:t>
      </w:r>
      <w:r w:rsidRPr="00482BCC">
        <w:rPr>
          <w:rFonts w:ascii="Arial" w:eastAsiaTheme="minorHAnsi" w:hAnsi="Arial" w:cs="Arial"/>
          <w:i/>
          <w:sz w:val="18"/>
          <w:szCs w:val="18"/>
          <w:lang w:val="en-US"/>
        </w:rPr>
        <w:t>How Should Subnational Government Borrowing Be Regulated? Some Cross-Country Empirical Evidence. International Monetary Fund Working Paper 05/54</w:t>
      </w:r>
      <w:r w:rsidRPr="003B167D">
        <w:rPr>
          <w:rFonts w:ascii="Arial" w:eastAsiaTheme="minorHAnsi" w:hAnsi="Arial" w:cs="Arial"/>
          <w:sz w:val="18"/>
          <w:szCs w:val="18"/>
          <w:lang w:val="en-US"/>
        </w:rPr>
        <w:t>.</w:t>
      </w:r>
    </w:p>
  </w:footnote>
  <w:footnote w:id="9">
    <w:p w14:paraId="72842D56" w14:textId="610112AD" w:rsidR="00F34B5B" w:rsidRPr="00F549BF" w:rsidRDefault="00F34B5B" w:rsidP="003B167D">
      <w:pPr>
        <w:ind w:left="360" w:hanging="360"/>
        <w:jc w:val="both"/>
        <w:rPr>
          <w:rFonts w:ascii="Arial" w:hAnsi="Arial" w:cs="Arial"/>
          <w:sz w:val="18"/>
          <w:szCs w:val="18"/>
          <w:lang w:val="en-US"/>
        </w:rPr>
      </w:pPr>
      <w:r w:rsidRPr="003B167D">
        <w:rPr>
          <w:rStyle w:val="FootnoteReference"/>
          <w:rFonts w:ascii="Arial" w:hAnsi="Arial" w:cs="Arial"/>
          <w:sz w:val="18"/>
          <w:szCs w:val="18"/>
        </w:rPr>
        <w:footnoteRef/>
      </w:r>
      <w:r w:rsidRPr="00F549BF">
        <w:rPr>
          <w:rFonts w:ascii="Arial" w:hAnsi="Arial" w:cs="Arial"/>
          <w:sz w:val="18"/>
          <w:szCs w:val="18"/>
          <w:lang w:val="es-MX"/>
        </w:rPr>
        <w:tab/>
        <w:t xml:space="preserve">Rodden, J., y G. S. Eskeland. </w:t>
      </w:r>
      <w:r w:rsidRPr="003B167D">
        <w:rPr>
          <w:rFonts w:ascii="Arial" w:hAnsi="Arial" w:cs="Arial"/>
          <w:sz w:val="18"/>
          <w:szCs w:val="18"/>
          <w:lang w:val="en-US"/>
        </w:rPr>
        <w:t xml:space="preserve">2003. </w:t>
      </w:r>
      <w:r w:rsidRPr="00482BCC">
        <w:rPr>
          <w:rFonts w:ascii="Arial" w:hAnsi="Arial" w:cs="Arial"/>
          <w:i/>
          <w:sz w:val="18"/>
          <w:szCs w:val="18"/>
          <w:lang w:val="en-US"/>
        </w:rPr>
        <w:t xml:space="preserve">Lessons and Conclusions, en </w:t>
      </w:r>
      <w:r w:rsidRPr="00482BCC">
        <w:rPr>
          <w:rFonts w:ascii="Arial" w:hAnsi="Arial" w:cs="Arial"/>
          <w:i/>
          <w:iCs/>
          <w:sz w:val="18"/>
          <w:szCs w:val="18"/>
          <w:lang w:val="en-US"/>
        </w:rPr>
        <w:t>Fiscal Decentralization and the Challenge of Hard Budget Constraints,</w:t>
      </w:r>
      <w:r w:rsidRPr="003B167D">
        <w:rPr>
          <w:rFonts w:ascii="Arial" w:hAnsi="Arial" w:cs="Arial"/>
          <w:i/>
          <w:iCs/>
          <w:sz w:val="18"/>
          <w:szCs w:val="18"/>
          <w:lang w:val="en-US"/>
        </w:rPr>
        <w:t xml:space="preserve"> </w:t>
      </w:r>
      <w:r w:rsidRPr="003B167D">
        <w:rPr>
          <w:rFonts w:ascii="Arial" w:hAnsi="Arial" w:cs="Arial"/>
          <w:sz w:val="18"/>
          <w:szCs w:val="18"/>
          <w:lang w:val="en-US"/>
        </w:rPr>
        <w:t>editado por Rodden, J, Eskeland, G. y Litvack. J. Cambridge, MA: MIT Press</w:t>
      </w:r>
      <w:r w:rsidRPr="003B167D">
        <w:rPr>
          <w:rFonts w:ascii="Arial" w:eastAsiaTheme="minorHAnsi" w:hAnsi="Arial" w:cs="Arial"/>
          <w:bCs/>
          <w:sz w:val="18"/>
          <w:szCs w:val="18"/>
          <w:lang w:val="en-US"/>
        </w:rPr>
        <w:t>.</w:t>
      </w:r>
    </w:p>
  </w:footnote>
  <w:footnote w:id="10">
    <w:p w14:paraId="120D6BD1" w14:textId="20A4A95B" w:rsidR="00F34B5B" w:rsidRPr="003B167D" w:rsidRDefault="00F34B5B" w:rsidP="003B167D">
      <w:pPr>
        <w:ind w:left="360" w:hanging="360"/>
        <w:jc w:val="both"/>
        <w:rPr>
          <w:rFonts w:ascii="Arial" w:hAnsi="Arial" w:cs="Arial"/>
          <w:sz w:val="18"/>
          <w:szCs w:val="18"/>
          <w:lang w:val="en-US"/>
        </w:rPr>
      </w:pPr>
      <w:r w:rsidRPr="003B167D">
        <w:rPr>
          <w:rStyle w:val="FootnoteReference"/>
          <w:rFonts w:ascii="Arial" w:hAnsi="Arial" w:cs="Arial"/>
          <w:sz w:val="18"/>
          <w:szCs w:val="18"/>
        </w:rPr>
        <w:footnoteRef/>
      </w:r>
      <w:r w:rsidRPr="003B167D">
        <w:rPr>
          <w:rFonts w:ascii="Arial" w:hAnsi="Arial" w:cs="Arial"/>
          <w:sz w:val="18"/>
          <w:szCs w:val="18"/>
          <w:lang w:val="en-US"/>
        </w:rPr>
        <w:tab/>
        <w:t xml:space="preserve">Poterba, J. M. 1994. </w:t>
      </w:r>
      <w:r w:rsidRPr="00482BCC">
        <w:rPr>
          <w:rFonts w:ascii="Arial" w:hAnsi="Arial" w:cs="Arial"/>
          <w:i/>
          <w:sz w:val="18"/>
          <w:szCs w:val="18"/>
          <w:lang w:val="en-US"/>
        </w:rPr>
        <w:t>State Responses to Fiscal Crises: The Effects of Budgetary Institutions and Politics</w:t>
      </w:r>
      <w:r w:rsidRPr="003B167D">
        <w:rPr>
          <w:rFonts w:ascii="Arial" w:hAnsi="Arial" w:cs="Arial"/>
          <w:sz w:val="18"/>
          <w:szCs w:val="18"/>
          <w:lang w:val="en-US"/>
        </w:rPr>
        <w:t xml:space="preserve">. </w:t>
      </w:r>
      <w:r w:rsidRPr="003B167D">
        <w:rPr>
          <w:rFonts w:ascii="Arial" w:hAnsi="Arial" w:cs="Arial"/>
          <w:i/>
          <w:iCs/>
          <w:sz w:val="18"/>
          <w:szCs w:val="18"/>
          <w:lang w:val="en-US"/>
        </w:rPr>
        <w:t xml:space="preserve">Journal of Political Economy </w:t>
      </w:r>
      <w:r w:rsidRPr="003B167D">
        <w:rPr>
          <w:rFonts w:ascii="Arial" w:hAnsi="Arial" w:cs="Arial"/>
          <w:sz w:val="18"/>
          <w:szCs w:val="18"/>
          <w:lang w:val="en-US"/>
        </w:rPr>
        <w:t xml:space="preserve">102(4): </w:t>
      </w:r>
      <w:r w:rsidRPr="00F549BF">
        <w:rPr>
          <w:rFonts w:ascii="Arial" w:hAnsi="Arial" w:cs="Arial"/>
          <w:sz w:val="18"/>
          <w:szCs w:val="18"/>
          <w:lang w:val="en-US"/>
        </w:rPr>
        <w:t>799</w:t>
      </w:r>
      <w:r w:rsidRPr="003B167D">
        <w:rPr>
          <w:rFonts w:ascii="Arial" w:hAnsi="Arial" w:cs="Arial"/>
          <w:sz w:val="18"/>
          <w:szCs w:val="18"/>
          <w:lang w:val="en-US"/>
        </w:rPr>
        <w:t>–821</w:t>
      </w:r>
      <w:r w:rsidRPr="003B167D">
        <w:rPr>
          <w:rFonts w:ascii="Arial" w:eastAsiaTheme="minorHAnsi" w:hAnsi="Arial" w:cs="Arial"/>
          <w:bCs/>
          <w:sz w:val="18"/>
          <w:szCs w:val="18"/>
          <w:lang w:val="en-US"/>
        </w:rPr>
        <w:t>.</w:t>
      </w:r>
    </w:p>
  </w:footnote>
  <w:footnote w:id="11">
    <w:p w14:paraId="18DB49C1" w14:textId="297F3D37" w:rsidR="00F34B5B" w:rsidRPr="003B167D" w:rsidRDefault="00F34B5B" w:rsidP="003B167D">
      <w:pPr>
        <w:ind w:left="360" w:hanging="360"/>
        <w:jc w:val="both"/>
        <w:rPr>
          <w:rFonts w:ascii="Arial" w:hAnsi="Arial" w:cs="Arial"/>
          <w:sz w:val="18"/>
          <w:szCs w:val="18"/>
          <w:lang w:val="en-US"/>
        </w:rPr>
      </w:pPr>
      <w:r w:rsidRPr="003B167D">
        <w:rPr>
          <w:rStyle w:val="FootnoteReference"/>
          <w:rFonts w:ascii="Arial" w:hAnsi="Arial" w:cs="Arial"/>
          <w:sz w:val="18"/>
          <w:szCs w:val="18"/>
        </w:rPr>
        <w:footnoteRef/>
      </w:r>
      <w:r w:rsidRPr="003B167D">
        <w:rPr>
          <w:rFonts w:ascii="Arial" w:hAnsi="Arial" w:cs="Arial"/>
          <w:sz w:val="18"/>
          <w:szCs w:val="18"/>
          <w:lang w:val="en-US"/>
        </w:rPr>
        <w:tab/>
        <w:t xml:space="preserve">Martell, C. R. 2008. </w:t>
      </w:r>
      <w:r w:rsidRPr="00482BCC">
        <w:rPr>
          <w:rFonts w:ascii="Arial" w:hAnsi="Arial" w:cs="Arial"/>
          <w:i/>
          <w:sz w:val="18"/>
          <w:szCs w:val="18"/>
          <w:lang w:val="en-US"/>
        </w:rPr>
        <w:t>Fiscal Institutions of Brazilian Municipal Borrowing.</w:t>
      </w:r>
      <w:r w:rsidRPr="003B167D">
        <w:rPr>
          <w:rFonts w:ascii="Arial" w:hAnsi="Arial" w:cs="Arial"/>
          <w:sz w:val="18"/>
          <w:szCs w:val="18"/>
          <w:lang w:val="en-US"/>
        </w:rPr>
        <w:t xml:space="preserve"> </w:t>
      </w:r>
      <w:r w:rsidRPr="003B167D">
        <w:rPr>
          <w:rFonts w:ascii="Arial" w:hAnsi="Arial" w:cs="Arial"/>
          <w:i/>
          <w:iCs/>
          <w:sz w:val="18"/>
          <w:szCs w:val="18"/>
          <w:lang w:val="en-US"/>
        </w:rPr>
        <w:t xml:space="preserve">Public Administration and Development </w:t>
      </w:r>
      <w:r w:rsidRPr="003B167D">
        <w:rPr>
          <w:rFonts w:ascii="Arial" w:hAnsi="Arial" w:cs="Arial"/>
          <w:sz w:val="18"/>
          <w:szCs w:val="18"/>
          <w:lang w:val="en-US"/>
        </w:rPr>
        <w:t>28(1): 30–41</w:t>
      </w:r>
      <w:r w:rsidRPr="003B167D">
        <w:rPr>
          <w:rFonts w:ascii="Arial" w:eastAsiaTheme="minorHAnsi" w:hAnsi="Arial" w:cs="Arial"/>
          <w:bCs/>
          <w:sz w:val="18"/>
          <w:szCs w:val="18"/>
          <w:lang w:val="en-US"/>
        </w:rPr>
        <w:t>.</w:t>
      </w:r>
    </w:p>
  </w:footnote>
  <w:footnote w:id="12">
    <w:p w14:paraId="497F159B" w14:textId="0CE41141" w:rsidR="00F34B5B" w:rsidRPr="003B167D" w:rsidRDefault="00F34B5B" w:rsidP="003B167D">
      <w:pPr>
        <w:ind w:left="360" w:hanging="360"/>
        <w:jc w:val="both"/>
        <w:rPr>
          <w:rFonts w:ascii="Arial" w:hAnsi="Arial" w:cs="Arial"/>
          <w:sz w:val="18"/>
          <w:szCs w:val="18"/>
          <w:lang w:val="en-US"/>
        </w:rPr>
      </w:pPr>
      <w:r w:rsidRPr="003B167D">
        <w:rPr>
          <w:rStyle w:val="FootnoteReference"/>
          <w:rFonts w:ascii="Arial" w:hAnsi="Arial" w:cs="Arial"/>
          <w:sz w:val="18"/>
          <w:szCs w:val="18"/>
        </w:rPr>
        <w:footnoteRef/>
      </w:r>
      <w:r w:rsidRPr="003B167D">
        <w:rPr>
          <w:rFonts w:ascii="Arial" w:hAnsi="Arial" w:cs="Arial"/>
          <w:sz w:val="18"/>
          <w:szCs w:val="18"/>
          <w:lang w:val="en-US"/>
        </w:rPr>
        <w:tab/>
        <w:t xml:space="preserve">Kishore, A., y A. Prasad. 2007. </w:t>
      </w:r>
      <w:r w:rsidRPr="00482BCC">
        <w:rPr>
          <w:rFonts w:ascii="Arial" w:hAnsi="Arial" w:cs="Arial"/>
          <w:i/>
          <w:sz w:val="18"/>
          <w:szCs w:val="18"/>
          <w:lang w:val="en-US"/>
        </w:rPr>
        <w:t xml:space="preserve">Indian Subnational Finances: Recent Performance, </w:t>
      </w:r>
      <w:r w:rsidRPr="00482BCC">
        <w:rPr>
          <w:rFonts w:ascii="Arial" w:eastAsiaTheme="minorHAnsi" w:hAnsi="Arial" w:cs="Arial"/>
          <w:bCs/>
          <w:i/>
          <w:sz w:val="18"/>
          <w:szCs w:val="18"/>
          <w:lang w:val="en-US"/>
        </w:rPr>
        <w:t>International Monetary Fund Working</w:t>
      </w:r>
      <w:r w:rsidRPr="00482BCC">
        <w:rPr>
          <w:rFonts w:ascii="Arial" w:hAnsi="Arial" w:cs="Arial"/>
          <w:i/>
          <w:sz w:val="18"/>
          <w:szCs w:val="18"/>
          <w:lang w:val="en-US"/>
        </w:rPr>
        <w:t xml:space="preserve"> Working Paper 07/205</w:t>
      </w:r>
      <w:r w:rsidRPr="00482BCC">
        <w:rPr>
          <w:rFonts w:ascii="Arial" w:eastAsiaTheme="minorHAnsi" w:hAnsi="Arial" w:cs="Arial"/>
          <w:bCs/>
          <w:i/>
          <w:sz w:val="18"/>
          <w:szCs w:val="18"/>
          <w:lang w:val="en-US"/>
        </w:rPr>
        <w:t>.</w:t>
      </w:r>
    </w:p>
  </w:footnote>
  <w:footnote w:id="13">
    <w:p w14:paraId="0EDD9EFF" w14:textId="7511B03B" w:rsidR="00F34B5B" w:rsidRPr="003B167D" w:rsidRDefault="00F34B5B" w:rsidP="003B167D">
      <w:pPr>
        <w:ind w:left="360" w:hanging="360"/>
        <w:jc w:val="both"/>
        <w:rPr>
          <w:rFonts w:ascii="Arial" w:hAnsi="Arial" w:cs="Arial"/>
          <w:sz w:val="18"/>
          <w:szCs w:val="18"/>
          <w:lang w:val="en-US"/>
        </w:rPr>
      </w:pPr>
      <w:r w:rsidRPr="003B167D">
        <w:rPr>
          <w:rStyle w:val="FootnoteReference"/>
          <w:rFonts w:ascii="Arial" w:hAnsi="Arial" w:cs="Arial"/>
          <w:sz w:val="18"/>
          <w:szCs w:val="18"/>
        </w:rPr>
        <w:footnoteRef/>
      </w:r>
      <w:r w:rsidRPr="003B167D">
        <w:rPr>
          <w:rFonts w:ascii="Arial" w:hAnsi="Arial" w:cs="Arial"/>
          <w:sz w:val="18"/>
          <w:szCs w:val="18"/>
          <w:lang w:val="es-MX"/>
        </w:rPr>
        <w:tab/>
        <w:t xml:space="preserve">Cabasés, F., P. Pascual, y J. Vallés. </w:t>
      </w:r>
      <w:r w:rsidRPr="003B167D">
        <w:rPr>
          <w:rFonts w:ascii="Arial" w:hAnsi="Arial" w:cs="Arial"/>
          <w:sz w:val="18"/>
          <w:szCs w:val="18"/>
          <w:lang w:val="en-US"/>
        </w:rPr>
        <w:t xml:space="preserve">2007. </w:t>
      </w:r>
      <w:r w:rsidRPr="00482BCC">
        <w:rPr>
          <w:rFonts w:ascii="Arial" w:hAnsi="Arial" w:cs="Arial"/>
          <w:i/>
          <w:sz w:val="18"/>
          <w:szCs w:val="18"/>
          <w:lang w:val="en-US"/>
        </w:rPr>
        <w:t xml:space="preserve">The Effectiveness of Institutional Borrowing Restrictions: Empirical Evidence from Spanish Municipalities. </w:t>
      </w:r>
      <w:r w:rsidRPr="003B167D">
        <w:rPr>
          <w:rFonts w:ascii="Arial" w:hAnsi="Arial" w:cs="Arial"/>
          <w:i/>
          <w:iCs/>
          <w:sz w:val="18"/>
          <w:szCs w:val="18"/>
          <w:lang w:val="en-US"/>
        </w:rPr>
        <w:t xml:space="preserve">Public Choice </w:t>
      </w:r>
      <w:r w:rsidRPr="003B167D">
        <w:rPr>
          <w:rFonts w:ascii="Arial" w:hAnsi="Arial" w:cs="Arial"/>
          <w:sz w:val="18"/>
          <w:szCs w:val="18"/>
          <w:lang w:val="en-US"/>
        </w:rPr>
        <w:t>131(3): 293–313.</w:t>
      </w:r>
    </w:p>
  </w:footnote>
  <w:footnote w:id="14">
    <w:p w14:paraId="149C881B" w14:textId="2702A2BF" w:rsidR="00F34B5B" w:rsidRPr="00482BCC" w:rsidRDefault="00F34B5B" w:rsidP="003B167D">
      <w:pPr>
        <w:ind w:left="360" w:hanging="360"/>
        <w:jc w:val="both"/>
        <w:rPr>
          <w:rFonts w:ascii="Arial" w:hAnsi="Arial" w:cs="Arial"/>
          <w:i/>
          <w:sz w:val="18"/>
          <w:szCs w:val="18"/>
          <w:lang w:val="en-US"/>
        </w:rPr>
      </w:pPr>
      <w:r w:rsidRPr="003B167D">
        <w:rPr>
          <w:rStyle w:val="FootnoteReference"/>
          <w:rFonts w:ascii="Arial" w:hAnsi="Arial" w:cs="Arial"/>
          <w:sz w:val="18"/>
          <w:szCs w:val="18"/>
        </w:rPr>
        <w:footnoteRef/>
      </w:r>
      <w:r w:rsidRPr="003B167D">
        <w:rPr>
          <w:rFonts w:ascii="Arial" w:hAnsi="Arial" w:cs="Arial"/>
          <w:sz w:val="18"/>
          <w:szCs w:val="18"/>
          <w:lang w:val="en-US"/>
        </w:rPr>
        <w:tab/>
        <w:t xml:space="preserve">Rodden, J. Eskeland, G. y Litvack, J. 2003. </w:t>
      </w:r>
      <w:r w:rsidRPr="00482BCC">
        <w:rPr>
          <w:rFonts w:ascii="Arial" w:hAnsi="Arial" w:cs="Arial"/>
          <w:i/>
          <w:iCs/>
          <w:sz w:val="18"/>
          <w:szCs w:val="18"/>
          <w:lang w:val="en-US"/>
        </w:rPr>
        <w:t xml:space="preserve">Fiscal Decentralization and the Challenge of Hard Budget Constraint. </w:t>
      </w:r>
      <w:r w:rsidRPr="00482BCC">
        <w:rPr>
          <w:rFonts w:ascii="Arial" w:hAnsi="Arial" w:cs="Arial"/>
          <w:i/>
          <w:sz w:val="18"/>
          <w:szCs w:val="18"/>
          <w:lang w:val="en-US"/>
        </w:rPr>
        <w:t>Cambridge, MA: The MIT Press.</w:t>
      </w:r>
    </w:p>
  </w:footnote>
  <w:footnote w:id="15">
    <w:p w14:paraId="041CA13D" w14:textId="05053CA4" w:rsidR="00F34B5B" w:rsidRPr="003B167D" w:rsidRDefault="00F34B5B" w:rsidP="003B167D">
      <w:pPr>
        <w:ind w:left="360" w:hanging="360"/>
        <w:jc w:val="both"/>
        <w:rPr>
          <w:rFonts w:ascii="Arial" w:hAnsi="Arial" w:cs="Arial"/>
          <w:sz w:val="18"/>
          <w:szCs w:val="18"/>
          <w:lang w:val="en-US"/>
        </w:rPr>
      </w:pPr>
      <w:r w:rsidRPr="003B167D">
        <w:rPr>
          <w:rStyle w:val="FootnoteReference"/>
          <w:rFonts w:ascii="Arial" w:hAnsi="Arial" w:cs="Arial"/>
          <w:sz w:val="18"/>
          <w:szCs w:val="18"/>
        </w:rPr>
        <w:footnoteRef/>
      </w:r>
      <w:r w:rsidRPr="003B167D">
        <w:rPr>
          <w:rFonts w:ascii="Arial" w:hAnsi="Arial" w:cs="Arial"/>
          <w:sz w:val="18"/>
          <w:szCs w:val="18"/>
          <w:lang w:val="en-US"/>
        </w:rPr>
        <w:tab/>
      </w:r>
      <w:r w:rsidRPr="003B167D">
        <w:rPr>
          <w:rFonts w:ascii="Arial" w:eastAsiaTheme="minorHAnsi" w:hAnsi="Arial" w:cs="Arial"/>
          <w:sz w:val="18"/>
          <w:szCs w:val="18"/>
          <w:lang w:val="en-US"/>
        </w:rPr>
        <w:t xml:space="preserve">Ter-Minassian, T. y </w:t>
      </w:r>
      <w:r w:rsidRPr="00F549BF">
        <w:rPr>
          <w:rFonts w:ascii="Arial" w:eastAsiaTheme="minorHAnsi" w:hAnsi="Arial" w:cs="Arial"/>
          <w:sz w:val="18"/>
          <w:szCs w:val="18"/>
          <w:lang w:val="en-US"/>
        </w:rPr>
        <w:t>Craig</w:t>
      </w:r>
      <w:r w:rsidRPr="003B167D">
        <w:rPr>
          <w:rFonts w:ascii="Arial" w:eastAsiaTheme="minorHAnsi" w:hAnsi="Arial" w:cs="Arial"/>
          <w:sz w:val="18"/>
          <w:szCs w:val="18"/>
          <w:lang w:val="en-US"/>
        </w:rPr>
        <w:t xml:space="preserve">, J. 1997. </w:t>
      </w:r>
      <w:r w:rsidRPr="00482BCC">
        <w:rPr>
          <w:rFonts w:ascii="Arial" w:eastAsiaTheme="minorHAnsi" w:hAnsi="Arial" w:cs="Arial"/>
          <w:i/>
          <w:sz w:val="18"/>
          <w:szCs w:val="18"/>
          <w:lang w:val="en-US"/>
        </w:rPr>
        <w:t>Control of Subnational Government Borrowing, in Fiscal Federalism in Theory and Practice, editado por Ter-Minassian, T. Washington, DC: International Monetary Fund</w:t>
      </w:r>
      <w:r w:rsidRPr="00482BCC">
        <w:rPr>
          <w:rFonts w:ascii="Arial" w:hAnsi="Arial" w:cs="Arial"/>
          <w:i/>
          <w:sz w:val="18"/>
          <w:szCs w:val="18"/>
          <w:lang w:val="en-US"/>
        </w:rPr>
        <w:t>.</w:t>
      </w:r>
    </w:p>
  </w:footnote>
  <w:footnote w:id="16">
    <w:p w14:paraId="107C5B20" w14:textId="152D1D9A" w:rsidR="00F34B5B" w:rsidRPr="0023601A" w:rsidRDefault="00F34B5B" w:rsidP="003B167D">
      <w:pPr>
        <w:ind w:left="360" w:hanging="360"/>
        <w:jc w:val="both"/>
        <w:rPr>
          <w:rFonts w:ascii="Arial" w:hAnsi="Arial" w:cs="Arial"/>
          <w:sz w:val="18"/>
          <w:szCs w:val="18"/>
          <w:lang w:val="en-US"/>
        </w:rPr>
      </w:pPr>
      <w:r w:rsidRPr="003B167D">
        <w:rPr>
          <w:rStyle w:val="FootnoteReference"/>
          <w:rFonts w:ascii="Arial" w:hAnsi="Arial" w:cs="Arial"/>
          <w:sz w:val="18"/>
          <w:szCs w:val="18"/>
        </w:rPr>
        <w:footnoteRef/>
      </w:r>
      <w:r w:rsidRPr="003B167D">
        <w:rPr>
          <w:rFonts w:ascii="Arial" w:hAnsi="Arial" w:cs="Arial"/>
          <w:sz w:val="18"/>
          <w:szCs w:val="18"/>
          <w:lang w:val="en-US"/>
        </w:rPr>
        <w:tab/>
        <w:t xml:space="preserve">Rodden, J. 2002. </w:t>
      </w:r>
      <w:r w:rsidRPr="00B47CEB">
        <w:rPr>
          <w:rFonts w:ascii="Arial" w:hAnsi="Arial" w:cs="Arial"/>
          <w:i/>
          <w:sz w:val="18"/>
          <w:szCs w:val="18"/>
          <w:lang w:val="en-US"/>
        </w:rPr>
        <w:t>The Dilemma of Fiscal Federalism: Grants and Fiscal Performance around the World</w:t>
      </w:r>
      <w:r w:rsidRPr="003B167D">
        <w:rPr>
          <w:rFonts w:ascii="Arial" w:hAnsi="Arial" w:cs="Arial"/>
          <w:sz w:val="18"/>
          <w:szCs w:val="18"/>
          <w:lang w:val="en-US"/>
        </w:rPr>
        <w:t xml:space="preserve">. </w:t>
      </w:r>
      <w:r w:rsidRPr="0023601A">
        <w:rPr>
          <w:rFonts w:ascii="Arial" w:hAnsi="Arial" w:cs="Arial"/>
          <w:i/>
          <w:iCs/>
          <w:sz w:val="18"/>
          <w:szCs w:val="18"/>
          <w:lang w:val="en-US"/>
        </w:rPr>
        <w:t xml:space="preserve">American Journal of Political Science </w:t>
      </w:r>
      <w:r w:rsidRPr="0023601A">
        <w:rPr>
          <w:rFonts w:ascii="Arial" w:hAnsi="Arial" w:cs="Arial"/>
          <w:sz w:val="18"/>
          <w:szCs w:val="18"/>
          <w:lang w:val="en-US"/>
        </w:rPr>
        <w:t>46(3): 670–687.</w:t>
      </w:r>
    </w:p>
  </w:footnote>
  <w:footnote w:id="17">
    <w:p w14:paraId="4AAD0756" w14:textId="77777777" w:rsidR="00F34B5B" w:rsidRPr="007B208D" w:rsidRDefault="00F34B5B" w:rsidP="00342FDB">
      <w:pPr>
        <w:ind w:left="360" w:hanging="360"/>
        <w:jc w:val="both"/>
        <w:rPr>
          <w:rFonts w:ascii="Arial" w:hAnsi="Arial" w:cs="Arial"/>
          <w:sz w:val="18"/>
          <w:szCs w:val="18"/>
          <w:lang w:val="en-US"/>
        </w:rPr>
      </w:pPr>
      <w:r w:rsidRPr="00AC3C48">
        <w:rPr>
          <w:rStyle w:val="FootnoteReference"/>
          <w:rFonts w:ascii="Arial" w:hAnsi="Arial" w:cs="Arial"/>
          <w:sz w:val="18"/>
          <w:szCs w:val="18"/>
        </w:rPr>
        <w:footnoteRef/>
      </w:r>
      <w:r w:rsidRPr="007B208D">
        <w:rPr>
          <w:rFonts w:ascii="Arial" w:hAnsi="Arial" w:cs="Arial"/>
          <w:sz w:val="18"/>
          <w:szCs w:val="18"/>
          <w:lang w:val="en-US"/>
        </w:rPr>
        <w:tab/>
        <w:t xml:space="preserve">Poterba, J. M. 1994. </w:t>
      </w:r>
      <w:r w:rsidRPr="007B208D">
        <w:rPr>
          <w:rFonts w:ascii="Arial" w:hAnsi="Arial" w:cs="Arial"/>
          <w:i/>
          <w:sz w:val="18"/>
          <w:szCs w:val="18"/>
          <w:lang w:val="en-US"/>
        </w:rPr>
        <w:t>State Responses to Fiscal Crises: The Effects of Budgetary Institutions and Politics</w:t>
      </w:r>
      <w:r w:rsidRPr="007B208D">
        <w:rPr>
          <w:rFonts w:ascii="Arial" w:hAnsi="Arial" w:cs="Arial"/>
          <w:sz w:val="18"/>
          <w:szCs w:val="18"/>
          <w:lang w:val="en-US"/>
        </w:rPr>
        <w:t xml:space="preserve">. </w:t>
      </w:r>
      <w:r w:rsidRPr="007B208D">
        <w:rPr>
          <w:rFonts w:ascii="Arial" w:hAnsi="Arial" w:cs="Arial"/>
          <w:i/>
          <w:iCs/>
          <w:sz w:val="18"/>
          <w:szCs w:val="18"/>
          <w:lang w:val="en-US"/>
        </w:rPr>
        <w:t xml:space="preserve">Journal of Political Economy </w:t>
      </w:r>
      <w:r w:rsidRPr="007B208D">
        <w:rPr>
          <w:rFonts w:ascii="Arial" w:hAnsi="Arial" w:cs="Arial"/>
          <w:sz w:val="18"/>
          <w:szCs w:val="18"/>
          <w:lang w:val="en-US"/>
        </w:rPr>
        <w:t>102(4): 799–821</w:t>
      </w:r>
      <w:r w:rsidRPr="007B208D">
        <w:rPr>
          <w:rFonts w:ascii="Arial" w:eastAsiaTheme="minorHAnsi" w:hAnsi="Arial" w:cs="Arial"/>
          <w:bCs/>
          <w:sz w:val="18"/>
          <w:szCs w:val="18"/>
          <w:lang w:val="en-US"/>
        </w:rPr>
        <w:t>.</w:t>
      </w:r>
    </w:p>
  </w:footnote>
  <w:footnote w:id="18">
    <w:p w14:paraId="6AFF4ADA" w14:textId="77777777" w:rsidR="00F34B5B" w:rsidRPr="007B208D" w:rsidRDefault="00F34B5B" w:rsidP="00342FDB">
      <w:pPr>
        <w:ind w:left="360" w:hanging="360"/>
        <w:jc w:val="both"/>
        <w:rPr>
          <w:rFonts w:ascii="Arial" w:hAnsi="Arial" w:cs="Arial"/>
          <w:sz w:val="18"/>
          <w:szCs w:val="18"/>
          <w:lang w:val="en-US"/>
        </w:rPr>
      </w:pPr>
      <w:r w:rsidRPr="00AC3C48">
        <w:rPr>
          <w:rStyle w:val="FootnoteReference"/>
          <w:rFonts w:ascii="Arial" w:hAnsi="Arial" w:cs="Arial"/>
          <w:sz w:val="18"/>
          <w:szCs w:val="18"/>
        </w:rPr>
        <w:footnoteRef/>
      </w:r>
      <w:r w:rsidRPr="007B208D">
        <w:rPr>
          <w:rFonts w:ascii="Arial" w:hAnsi="Arial" w:cs="Arial"/>
          <w:sz w:val="18"/>
          <w:szCs w:val="18"/>
          <w:lang w:val="en-US"/>
        </w:rPr>
        <w:tab/>
        <w:t xml:space="preserve">Martell, C. R. 2008. </w:t>
      </w:r>
      <w:r w:rsidRPr="007B208D">
        <w:rPr>
          <w:rFonts w:ascii="Arial" w:hAnsi="Arial" w:cs="Arial"/>
          <w:i/>
          <w:sz w:val="18"/>
          <w:szCs w:val="18"/>
          <w:lang w:val="en-US"/>
        </w:rPr>
        <w:t xml:space="preserve">Fiscal Institutions of Brazilian Municipal Borrowing. </w:t>
      </w:r>
      <w:r w:rsidRPr="007B208D">
        <w:rPr>
          <w:rFonts w:ascii="Arial" w:hAnsi="Arial" w:cs="Arial"/>
          <w:i/>
          <w:iCs/>
          <w:sz w:val="18"/>
          <w:szCs w:val="18"/>
          <w:lang w:val="en-US"/>
        </w:rPr>
        <w:t>Public Administration and Development</w:t>
      </w:r>
      <w:r w:rsidRPr="007B208D">
        <w:rPr>
          <w:rFonts w:ascii="Arial" w:hAnsi="Arial" w:cs="Arial"/>
          <w:iCs/>
          <w:sz w:val="18"/>
          <w:szCs w:val="18"/>
          <w:lang w:val="en-US"/>
        </w:rPr>
        <w:t xml:space="preserve"> </w:t>
      </w:r>
      <w:r w:rsidRPr="007B208D">
        <w:rPr>
          <w:rFonts w:ascii="Arial" w:hAnsi="Arial" w:cs="Arial"/>
          <w:sz w:val="18"/>
          <w:szCs w:val="18"/>
          <w:lang w:val="en-US"/>
        </w:rPr>
        <w:t>28(1): 30–41</w:t>
      </w:r>
      <w:r w:rsidRPr="007B208D">
        <w:rPr>
          <w:rFonts w:ascii="Arial" w:eastAsiaTheme="minorHAnsi" w:hAnsi="Arial" w:cs="Arial"/>
          <w:bCs/>
          <w:sz w:val="18"/>
          <w:szCs w:val="18"/>
          <w:lang w:val="en-US"/>
        </w:rPr>
        <w:t>.</w:t>
      </w:r>
    </w:p>
  </w:footnote>
  <w:footnote w:id="19">
    <w:p w14:paraId="5EE77A84" w14:textId="77777777" w:rsidR="00F34B5B" w:rsidRPr="007B208D" w:rsidRDefault="00F34B5B" w:rsidP="00342FDB">
      <w:pPr>
        <w:ind w:left="360" w:hanging="360"/>
        <w:jc w:val="both"/>
        <w:rPr>
          <w:rFonts w:ascii="Arial" w:hAnsi="Arial" w:cs="Arial"/>
          <w:sz w:val="18"/>
          <w:szCs w:val="18"/>
          <w:lang w:val="en-US"/>
        </w:rPr>
      </w:pPr>
      <w:r w:rsidRPr="00AC3C48">
        <w:rPr>
          <w:rStyle w:val="FootnoteReference"/>
          <w:rFonts w:ascii="Arial" w:hAnsi="Arial" w:cs="Arial"/>
          <w:sz w:val="18"/>
          <w:szCs w:val="18"/>
        </w:rPr>
        <w:footnoteRef/>
      </w:r>
      <w:r w:rsidRPr="00AA406A">
        <w:rPr>
          <w:rFonts w:ascii="Arial" w:hAnsi="Arial" w:cs="Arial"/>
          <w:sz w:val="18"/>
          <w:szCs w:val="18"/>
          <w:lang w:val="en-US"/>
        </w:rPr>
        <w:tab/>
        <w:t xml:space="preserve">Kishore, A., y A. Prasad. </w:t>
      </w:r>
      <w:r w:rsidRPr="007B208D">
        <w:rPr>
          <w:rFonts w:ascii="Arial" w:hAnsi="Arial" w:cs="Arial"/>
          <w:sz w:val="18"/>
          <w:szCs w:val="18"/>
          <w:lang w:val="en-US"/>
        </w:rPr>
        <w:t xml:space="preserve">2007. </w:t>
      </w:r>
      <w:r w:rsidRPr="007B208D">
        <w:rPr>
          <w:rFonts w:ascii="Arial" w:hAnsi="Arial" w:cs="Arial"/>
          <w:i/>
          <w:sz w:val="18"/>
          <w:szCs w:val="18"/>
          <w:lang w:val="en-US"/>
        </w:rPr>
        <w:t xml:space="preserve">Indian Subnational Finances: Recent Performance. </w:t>
      </w:r>
      <w:r w:rsidRPr="007B208D">
        <w:rPr>
          <w:rFonts w:ascii="Arial" w:eastAsiaTheme="minorHAnsi" w:hAnsi="Arial" w:cs="Arial"/>
          <w:bCs/>
          <w:i/>
          <w:sz w:val="18"/>
          <w:szCs w:val="18"/>
          <w:lang w:val="en-US"/>
        </w:rPr>
        <w:t>International Monetary Fund Working</w:t>
      </w:r>
      <w:r w:rsidRPr="007B208D">
        <w:rPr>
          <w:rFonts w:ascii="Arial" w:hAnsi="Arial" w:cs="Arial"/>
          <w:i/>
          <w:sz w:val="18"/>
          <w:szCs w:val="18"/>
          <w:lang w:val="en-US"/>
        </w:rPr>
        <w:t xml:space="preserve"> Paper</w:t>
      </w:r>
      <w:r w:rsidRPr="007B208D">
        <w:rPr>
          <w:rFonts w:ascii="Arial" w:hAnsi="Arial" w:cs="Arial"/>
          <w:sz w:val="18"/>
          <w:szCs w:val="18"/>
          <w:lang w:val="en-US"/>
        </w:rPr>
        <w:t xml:space="preserve"> 07/205</w:t>
      </w:r>
      <w:r w:rsidRPr="007B208D">
        <w:rPr>
          <w:rFonts w:ascii="Arial" w:eastAsiaTheme="minorHAnsi" w:hAnsi="Arial" w:cs="Arial"/>
          <w:bCs/>
          <w:sz w:val="18"/>
          <w:szCs w:val="18"/>
          <w:lang w:val="en-US"/>
        </w:rPr>
        <w:t>.</w:t>
      </w:r>
    </w:p>
  </w:footnote>
  <w:footnote w:id="20">
    <w:p w14:paraId="7153F464" w14:textId="77777777" w:rsidR="00F34B5B" w:rsidRPr="00026C6D" w:rsidRDefault="00F34B5B" w:rsidP="00342FDB">
      <w:pPr>
        <w:ind w:left="360" w:hanging="360"/>
        <w:jc w:val="both"/>
        <w:rPr>
          <w:rFonts w:ascii="Arial" w:hAnsi="Arial" w:cs="Arial"/>
          <w:sz w:val="18"/>
          <w:szCs w:val="18"/>
          <w:lang w:val="es-MX"/>
        </w:rPr>
      </w:pPr>
      <w:r w:rsidRPr="00AC3C48">
        <w:rPr>
          <w:rStyle w:val="FootnoteReference"/>
          <w:rFonts w:ascii="Arial" w:hAnsi="Arial" w:cs="Arial"/>
          <w:sz w:val="18"/>
          <w:szCs w:val="18"/>
        </w:rPr>
        <w:footnoteRef/>
      </w:r>
      <w:r w:rsidRPr="0079503B">
        <w:rPr>
          <w:rFonts w:ascii="Arial" w:hAnsi="Arial" w:cs="Arial"/>
          <w:sz w:val="18"/>
          <w:szCs w:val="18"/>
          <w:lang w:val="en-US"/>
        </w:rPr>
        <w:tab/>
        <w:t xml:space="preserve">Cabasés, F., P. Pascual, y J. Vallés. </w:t>
      </w:r>
      <w:r w:rsidRPr="007B208D">
        <w:rPr>
          <w:rFonts w:ascii="Arial" w:hAnsi="Arial" w:cs="Arial"/>
          <w:sz w:val="18"/>
          <w:szCs w:val="18"/>
          <w:lang w:val="en-US"/>
        </w:rPr>
        <w:t xml:space="preserve">2007. </w:t>
      </w:r>
      <w:r w:rsidRPr="007B208D">
        <w:rPr>
          <w:rFonts w:ascii="Arial" w:hAnsi="Arial" w:cs="Arial"/>
          <w:i/>
          <w:sz w:val="18"/>
          <w:szCs w:val="18"/>
          <w:lang w:val="en-US"/>
        </w:rPr>
        <w:t xml:space="preserve">The Effectiveness of Institutional Borrowing Restrictions: Empirical Evidence from Spanish Municipalities. </w:t>
      </w:r>
      <w:r w:rsidRPr="00026C6D">
        <w:rPr>
          <w:rFonts w:ascii="Arial" w:hAnsi="Arial" w:cs="Arial"/>
          <w:i/>
          <w:iCs/>
          <w:sz w:val="18"/>
          <w:szCs w:val="18"/>
          <w:lang w:val="es-MX"/>
        </w:rPr>
        <w:t xml:space="preserve">Public Choice </w:t>
      </w:r>
      <w:r w:rsidRPr="00026C6D">
        <w:rPr>
          <w:rFonts w:ascii="Arial" w:hAnsi="Arial" w:cs="Arial"/>
          <w:sz w:val="18"/>
          <w:szCs w:val="18"/>
          <w:lang w:val="es-MX"/>
        </w:rPr>
        <w:t>131(3): 293–313.</w:t>
      </w:r>
    </w:p>
  </w:footnote>
  <w:footnote w:id="21">
    <w:p w14:paraId="3CD38362" w14:textId="77777777" w:rsidR="00F34B5B" w:rsidRPr="00A73BC0" w:rsidRDefault="00F34B5B" w:rsidP="00342FDB">
      <w:pPr>
        <w:ind w:left="360" w:hanging="360"/>
        <w:jc w:val="both"/>
        <w:rPr>
          <w:rFonts w:ascii="Arial" w:hAnsi="Arial" w:cs="Arial"/>
          <w:sz w:val="18"/>
          <w:szCs w:val="18"/>
          <w:lang w:val="es-MX"/>
        </w:rPr>
      </w:pPr>
      <w:r w:rsidRPr="00A73BC0">
        <w:rPr>
          <w:rStyle w:val="FootnoteReference"/>
          <w:rFonts w:ascii="Arial" w:hAnsi="Arial" w:cs="Arial"/>
          <w:sz w:val="18"/>
          <w:szCs w:val="18"/>
        </w:rPr>
        <w:footnoteRef/>
      </w:r>
      <w:r w:rsidRPr="006A4A18">
        <w:rPr>
          <w:rFonts w:ascii="Arial" w:hAnsi="Arial" w:cs="Arial"/>
          <w:sz w:val="18"/>
          <w:szCs w:val="18"/>
          <w:lang w:val="es-MX"/>
        </w:rPr>
        <w:tab/>
        <w:t>Chamorro Narváez, R. A., y A. F. Urrea Bermúdez, A. F</w:t>
      </w:r>
      <w:r w:rsidRPr="008F2611">
        <w:rPr>
          <w:rFonts w:ascii="Arial" w:hAnsi="Arial" w:cs="Arial"/>
          <w:sz w:val="18"/>
          <w:szCs w:val="18"/>
          <w:lang w:val="es-MX"/>
        </w:rPr>
        <w:t xml:space="preserve">. </w:t>
      </w:r>
      <w:r w:rsidRPr="005E2AF0">
        <w:rPr>
          <w:rFonts w:ascii="Arial" w:hAnsi="Arial" w:cs="Arial"/>
          <w:sz w:val="18"/>
          <w:szCs w:val="18"/>
        </w:rPr>
        <w:t>Incidencia de las reglas fiscales en la sostenibilidad de la deuda pública territorial en Colombia. Cuadernos de Economía</w:t>
      </w:r>
      <w:r w:rsidRPr="006A4A18">
        <w:rPr>
          <w:rFonts w:ascii="Arial" w:hAnsi="Arial" w:cs="Arial"/>
          <w:sz w:val="18"/>
          <w:szCs w:val="18"/>
        </w:rPr>
        <w:t>, 35(67), 207-</w:t>
      </w:r>
      <w:r w:rsidRPr="00A73BC0">
        <w:rPr>
          <w:rFonts w:ascii="Arial" w:hAnsi="Arial" w:cs="Arial"/>
          <w:sz w:val="18"/>
          <w:szCs w:val="18"/>
        </w:rPr>
        <w:t>251.</w:t>
      </w:r>
    </w:p>
  </w:footnote>
  <w:footnote w:id="22">
    <w:p w14:paraId="1964258A" w14:textId="77777777" w:rsidR="00F34B5B" w:rsidRPr="0048324F" w:rsidRDefault="00F34B5B" w:rsidP="00342FDB">
      <w:pPr>
        <w:ind w:left="360" w:hanging="360"/>
        <w:jc w:val="both"/>
        <w:rPr>
          <w:rFonts w:ascii="Arial" w:hAnsi="Arial" w:cs="Arial"/>
          <w:sz w:val="18"/>
          <w:szCs w:val="18"/>
          <w:lang w:val="es-MX"/>
        </w:rPr>
      </w:pPr>
      <w:r w:rsidRPr="00AC3C48">
        <w:rPr>
          <w:rStyle w:val="FootnoteReference"/>
          <w:rFonts w:ascii="Arial" w:hAnsi="Arial" w:cs="Arial"/>
          <w:sz w:val="18"/>
          <w:szCs w:val="18"/>
        </w:rPr>
        <w:footnoteRef/>
      </w:r>
      <w:r w:rsidRPr="0048324F">
        <w:rPr>
          <w:rFonts w:ascii="Arial" w:hAnsi="Arial" w:cs="Arial"/>
          <w:sz w:val="18"/>
          <w:szCs w:val="18"/>
          <w:lang w:val="es-MX"/>
        </w:rPr>
        <w:tab/>
      </w:r>
      <w:r>
        <w:rPr>
          <w:rFonts w:ascii="Arial" w:hAnsi="Arial" w:cs="Arial"/>
          <w:sz w:val="18"/>
          <w:szCs w:val="18"/>
          <w:lang w:val="es-MX"/>
        </w:rPr>
        <w:t>Ver análisis económico de la primera operación de la serie programática</w:t>
      </w:r>
      <w:r w:rsidRPr="0048324F">
        <w:rPr>
          <w:rFonts w:ascii="Arial" w:eastAsiaTheme="minorHAnsi" w:hAnsi="Arial" w:cs="Arial"/>
          <w:bCs/>
          <w:sz w:val="18"/>
          <w:szCs w:val="18"/>
          <w:lang w:val="es-MX"/>
        </w:rPr>
        <w:t>.</w:t>
      </w:r>
    </w:p>
  </w:footnote>
  <w:footnote w:id="23">
    <w:p w14:paraId="3C5667C7" w14:textId="5B974D15" w:rsidR="00F34B5B" w:rsidRPr="00B47CEB" w:rsidRDefault="00F34B5B" w:rsidP="003B167D">
      <w:pPr>
        <w:ind w:left="360" w:hanging="360"/>
        <w:jc w:val="both"/>
        <w:rPr>
          <w:rFonts w:ascii="Arial" w:hAnsi="Arial" w:cs="Arial"/>
          <w:sz w:val="18"/>
          <w:szCs w:val="18"/>
          <w:lang w:val="en-US"/>
        </w:rPr>
      </w:pPr>
      <w:r w:rsidRPr="003B167D">
        <w:rPr>
          <w:rStyle w:val="FootnoteReference"/>
          <w:rFonts w:ascii="Arial" w:hAnsi="Arial" w:cs="Arial"/>
          <w:sz w:val="18"/>
          <w:szCs w:val="18"/>
        </w:rPr>
        <w:footnoteRef/>
      </w:r>
      <w:r w:rsidRPr="00D21D95">
        <w:rPr>
          <w:rFonts w:ascii="Arial" w:hAnsi="Arial" w:cs="Arial"/>
          <w:sz w:val="18"/>
          <w:szCs w:val="18"/>
          <w:lang w:val="es-419"/>
        </w:rPr>
        <w:tab/>
      </w:r>
      <w:r w:rsidRPr="00D21D95">
        <w:rPr>
          <w:rFonts w:ascii="Arial" w:hAnsi="Arial" w:cs="Arial"/>
          <w:iCs/>
          <w:color w:val="000000"/>
          <w:sz w:val="18"/>
          <w:szCs w:val="18"/>
          <w:shd w:val="clear" w:color="auto" w:fill="FFFFFF"/>
          <w:lang w:val="es-419"/>
        </w:rPr>
        <w:t>Vlaicu</w:t>
      </w:r>
      <w:r w:rsidRPr="00D21D95">
        <w:rPr>
          <w:rFonts w:ascii="Arial" w:hAnsi="Arial" w:cs="Arial"/>
          <w:color w:val="000000"/>
          <w:sz w:val="18"/>
          <w:szCs w:val="18"/>
          <w:shd w:val="clear" w:color="auto" w:fill="FFFFFF"/>
          <w:lang w:val="es-419"/>
        </w:rPr>
        <w:t>, V.;</w:t>
      </w:r>
      <w:r w:rsidRPr="00D21D95">
        <w:rPr>
          <w:rStyle w:val="apple-converted-space"/>
          <w:rFonts w:ascii="Arial" w:hAnsi="Arial" w:cs="Arial"/>
          <w:color w:val="000000"/>
          <w:sz w:val="18"/>
          <w:szCs w:val="18"/>
          <w:shd w:val="clear" w:color="auto" w:fill="FFFFFF"/>
          <w:lang w:val="es-419"/>
        </w:rPr>
        <w:t> </w:t>
      </w:r>
      <w:r w:rsidRPr="00D21D95">
        <w:rPr>
          <w:rFonts w:ascii="Arial" w:hAnsi="Arial" w:cs="Arial"/>
          <w:iCs/>
          <w:color w:val="000000"/>
          <w:sz w:val="18"/>
          <w:szCs w:val="18"/>
          <w:shd w:val="clear" w:color="auto" w:fill="FFFFFF"/>
          <w:lang w:val="es-419"/>
        </w:rPr>
        <w:t>Verhoeven</w:t>
      </w:r>
      <w:r w:rsidRPr="00D21D95">
        <w:rPr>
          <w:rFonts w:ascii="Arial" w:hAnsi="Arial" w:cs="Arial"/>
          <w:color w:val="000000"/>
          <w:sz w:val="18"/>
          <w:szCs w:val="18"/>
          <w:shd w:val="clear" w:color="auto" w:fill="FFFFFF"/>
          <w:lang w:val="es-419"/>
        </w:rPr>
        <w:t xml:space="preserve">,M. y F. </w:t>
      </w:r>
      <w:r w:rsidRPr="00D21D95">
        <w:rPr>
          <w:rFonts w:ascii="Arial" w:hAnsi="Arial" w:cs="Arial"/>
          <w:sz w:val="18"/>
          <w:szCs w:val="18"/>
          <w:lang w:val="es-419"/>
        </w:rPr>
        <w:t xml:space="preserve">Grigoli. </w:t>
      </w:r>
      <w:r w:rsidRPr="003B167D">
        <w:rPr>
          <w:rFonts w:ascii="Arial" w:hAnsi="Arial" w:cs="Arial"/>
          <w:sz w:val="18"/>
          <w:szCs w:val="18"/>
          <w:lang w:val="en-US"/>
        </w:rPr>
        <w:t xml:space="preserve">2014. </w:t>
      </w:r>
      <w:r w:rsidRPr="00B47CEB">
        <w:rPr>
          <w:rStyle w:val="Emphasis"/>
          <w:rFonts w:ascii="Arial" w:hAnsi="Arial" w:cs="Arial"/>
          <w:bCs/>
          <w:iCs w:val="0"/>
          <w:sz w:val="18"/>
          <w:szCs w:val="18"/>
          <w:shd w:val="clear" w:color="auto" w:fill="FFFFFF"/>
          <w:lang w:val="en-US"/>
        </w:rPr>
        <w:t>Multiyear budgets and fiscal performance</w:t>
      </w:r>
      <w:r w:rsidRPr="00B47CEB">
        <w:rPr>
          <w:rFonts w:ascii="Arial" w:hAnsi="Arial" w:cs="Arial"/>
          <w:sz w:val="18"/>
          <w:szCs w:val="18"/>
          <w:shd w:val="clear" w:color="auto" w:fill="FFFFFF"/>
          <w:lang w:val="en-US"/>
        </w:rPr>
        <w:t>: Panel data evidence</w:t>
      </w:r>
      <w:r w:rsidRPr="00B47CEB">
        <w:rPr>
          <w:rFonts w:ascii="Arial" w:hAnsi="Arial" w:cs="Arial"/>
          <w:sz w:val="18"/>
          <w:szCs w:val="18"/>
          <w:lang w:val="en-US"/>
        </w:rPr>
        <w:t>.</w:t>
      </w:r>
      <w:r w:rsidRPr="003B167D">
        <w:rPr>
          <w:rFonts w:ascii="Arial" w:hAnsi="Arial" w:cs="Arial"/>
          <w:sz w:val="18"/>
          <w:szCs w:val="18"/>
          <w:lang w:val="en-US"/>
        </w:rPr>
        <w:t xml:space="preserve"> </w:t>
      </w:r>
      <w:r w:rsidRPr="00B47CEB">
        <w:rPr>
          <w:rFonts w:ascii="Arial" w:hAnsi="Arial" w:cs="Arial"/>
          <w:i/>
          <w:iCs/>
          <w:sz w:val="18"/>
          <w:szCs w:val="18"/>
          <w:lang w:val="en-US"/>
        </w:rPr>
        <w:t xml:space="preserve">Journal of Public Economics </w:t>
      </w:r>
      <w:r w:rsidRPr="00B47CEB">
        <w:rPr>
          <w:rFonts w:ascii="Arial" w:hAnsi="Arial" w:cs="Arial"/>
          <w:sz w:val="18"/>
          <w:szCs w:val="18"/>
          <w:lang w:val="en-US"/>
        </w:rPr>
        <w:t>11: 79–95.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90D9C" w14:textId="77777777" w:rsidR="00F34B5B" w:rsidRDefault="00F34B5B">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14:paraId="6CC90D9D" w14:textId="77777777" w:rsidR="00F34B5B" w:rsidRDefault="00F34B5B">
    <w:pPr>
      <w:pStyle w:val="Header"/>
      <w:ind w:right="360"/>
      <w:jc w:val="both"/>
      <w:rPr>
        <w:rStyle w:val="PageNumber"/>
        <w:snapToGrid w:val="0"/>
      </w:rPr>
    </w:pPr>
    <w:r>
      <w:rPr>
        <w:rStyle w:val="PageNumber"/>
        <w:snapToGrid w:val="0"/>
      </w:rPr>
      <w:tab/>
    </w:r>
  </w:p>
  <w:p w14:paraId="6CC90D9E" w14:textId="77777777" w:rsidR="00F34B5B" w:rsidRDefault="00F34B5B">
    <w:pPr>
      <w:pStyle w:val="Header"/>
      <w:ind w:right="360"/>
      <w:jc w:val="both"/>
    </w:pPr>
    <w:r>
      <w:rPr>
        <w:snapToGrid w:val="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90D9F" w14:textId="44994B6E" w:rsidR="00F34B5B" w:rsidRPr="00706FA8" w:rsidRDefault="00F34B5B">
    <w:pPr>
      <w:pStyle w:val="Header"/>
      <w:jc w:val="center"/>
      <w:rPr>
        <w:rFonts w:ascii="Arial" w:hAnsi="Arial" w:cs="Arial"/>
        <w:snapToGrid w:val="0"/>
        <w:sz w:val="18"/>
      </w:rPr>
    </w:pPr>
    <w:r w:rsidRPr="00706FA8">
      <w:rPr>
        <w:rFonts w:ascii="Arial" w:hAnsi="Arial" w:cs="Arial"/>
        <w:snapToGrid w:val="0"/>
        <w:sz w:val="18"/>
      </w:rPr>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Pr>
        <w:rFonts w:ascii="Arial" w:hAnsi="Arial" w:cs="Arial"/>
        <w:noProof/>
        <w:snapToGrid w:val="0"/>
        <w:sz w:val="18"/>
      </w:rPr>
      <w:t>ii</w:t>
    </w:r>
    <w:r w:rsidRPr="00706FA8">
      <w:rPr>
        <w:rFonts w:ascii="Arial" w:hAnsi="Arial" w:cs="Arial"/>
        <w:snapToGrid w:val="0"/>
        <w:sz w:val="18"/>
      </w:rPr>
      <w:fldChar w:fldCharType="end"/>
    </w:r>
    <w:r w:rsidRPr="00706FA8">
      <w:rPr>
        <w:rFonts w:ascii="Arial" w:hAnsi="Arial" w:cs="Arial"/>
        <w:snapToGrid w:val="0"/>
        <w:sz w:val="18"/>
      </w:rPr>
      <w:t xml:space="preserve"> - </w:t>
    </w:r>
  </w:p>
  <w:p w14:paraId="6CC90DA0" w14:textId="77777777" w:rsidR="00F34B5B" w:rsidRDefault="00F34B5B">
    <w:pPr>
      <w:pStyle w:val="Header"/>
      <w:jc w:val="center"/>
    </w:pPr>
  </w:p>
  <w:p w14:paraId="6CC90DA1" w14:textId="77777777" w:rsidR="00F34B5B" w:rsidRDefault="00F34B5B">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90DA4" w14:textId="77777777" w:rsidR="00F34B5B" w:rsidRPr="008175A8" w:rsidRDefault="00F34B5B" w:rsidP="008175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90DA5" w14:textId="77777777" w:rsidR="00F34B5B" w:rsidRDefault="00F34B5B">
    <w:pPr>
      <w:pStyle w:val="Header"/>
      <w:ind w:right="360"/>
      <w:jc w:val="both"/>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90DA6" w14:textId="368C02B5" w:rsidR="00F34B5B" w:rsidRPr="00EB0154" w:rsidRDefault="00F34B5B" w:rsidP="00EB0154">
    <w:pPr>
      <w:pStyle w:val="Header"/>
      <w:tabs>
        <w:tab w:val="left" w:pos="3840"/>
        <w:tab w:val="center" w:pos="4140"/>
      </w:tabs>
      <w:ind w:right="360"/>
      <w:rPr>
        <w:rFonts w:ascii="Arial" w:hAnsi="Arial" w:cs="Arial"/>
        <w:snapToGrid w:val="0"/>
      </w:rPr>
    </w:pPr>
    <w:r>
      <w:rPr>
        <w:snapToGrid w:val="0"/>
      </w:rPr>
      <w:tab/>
    </w:r>
    <w:r w:rsidRPr="00706FA8">
      <w:rPr>
        <w:rFonts w:ascii="Arial" w:hAnsi="Arial" w:cs="Arial"/>
        <w:snapToGrid w:val="0"/>
        <w:sz w:val="18"/>
      </w:rPr>
      <w:tab/>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Pr>
        <w:rFonts w:ascii="Arial" w:hAnsi="Arial" w:cs="Arial"/>
        <w:noProof/>
        <w:snapToGrid w:val="0"/>
        <w:sz w:val="18"/>
      </w:rPr>
      <w:t>12</w:t>
    </w:r>
    <w:r w:rsidRPr="00706FA8">
      <w:rPr>
        <w:rFonts w:ascii="Arial" w:hAnsi="Arial" w:cs="Arial"/>
        <w:snapToGrid w:val="0"/>
        <w:sz w:val="18"/>
      </w:rPr>
      <w:fldChar w:fldCharType="end"/>
    </w:r>
    <w:r w:rsidRPr="00706FA8">
      <w:rPr>
        <w:rFonts w:ascii="Arial" w:hAnsi="Arial" w:cs="Arial"/>
        <w:snapToGrid w:val="0"/>
        <w:sz w:val="18"/>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90DA7" w14:textId="77777777" w:rsidR="00F34B5B" w:rsidRDefault="00F34B5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33A28"/>
    <w:multiLevelType w:val="hybridMultilevel"/>
    <w:tmpl w:val="8CBEDB84"/>
    <w:lvl w:ilvl="0" w:tplc="76E0E6E6">
      <w:start w:val="1"/>
      <w:numFmt w:val="lowerRoman"/>
      <w:lvlText w:val="(%1)"/>
      <w:lvlJc w:val="left"/>
      <w:pPr>
        <w:ind w:left="1440" w:hanging="72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553AE0"/>
    <w:multiLevelType w:val="hybridMultilevel"/>
    <w:tmpl w:val="DB96A0C6"/>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15:restartNumberingAfterBreak="0">
    <w:nsid w:val="019E4AAF"/>
    <w:multiLevelType w:val="multilevel"/>
    <w:tmpl w:val="653C4848"/>
    <w:lvl w:ilvl="0">
      <w:start w:val="1"/>
      <w:numFmt w:val="upperRoman"/>
      <w:lvlText w:val="%1."/>
      <w:lvlJc w:val="right"/>
      <w:pPr>
        <w:ind w:left="720" w:hanging="360"/>
      </w:pPr>
    </w:lvl>
    <w:lvl w:ilvl="1">
      <w:start w:val="1"/>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79164DD"/>
    <w:multiLevelType w:val="hybridMultilevel"/>
    <w:tmpl w:val="FF7E3EB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56681"/>
    <w:multiLevelType w:val="hybridMultilevel"/>
    <w:tmpl w:val="75F0EDF8"/>
    <w:lvl w:ilvl="0" w:tplc="0409000F">
      <w:start w:val="1"/>
      <w:numFmt w:val="decimal"/>
      <w:lvlText w:val="%1."/>
      <w:lvlJc w:val="left"/>
      <w:pPr>
        <w:ind w:left="850" w:hanging="360"/>
      </w:p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5" w15:restartNumberingAfterBreak="0">
    <w:nsid w:val="0DAB7FC9"/>
    <w:multiLevelType w:val="multilevel"/>
    <w:tmpl w:val="66C2BAEE"/>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6" w15:restartNumberingAfterBreak="0">
    <w:nsid w:val="146634EF"/>
    <w:multiLevelType w:val="hybridMultilevel"/>
    <w:tmpl w:val="75B8B5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79533A"/>
    <w:multiLevelType w:val="multilevel"/>
    <w:tmpl w:val="6AE423CE"/>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F8B599D"/>
    <w:multiLevelType w:val="hybridMultilevel"/>
    <w:tmpl w:val="153E4A32"/>
    <w:lvl w:ilvl="0" w:tplc="BE58B3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7650E46"/>
    <w:multiLevelType w:val="hybridMultilevel"/>
    <w:tmpl w:val="3B0C8A2E"/>
    <w:lvl w:ilvl="0" w:tplc="B3B0E2E0">
      <w:start w:val="1"/>
      <w:numFmt w:val="decimal"/>
      <w:lvlText w:val="%1."/>
      <w:lvlJc w:val="left"/>
      <w:pPr>
        <w:ind w:left="627" w:hanging="360"/>
      </w:pPr>
      <w:rPr>
        <w:rFonts w:hint="default"/>
      </w:rPr>
    </w:lvl>
    <w:lvl w:ilvl="1" w:tplc="04090019" w:tentative="1">
      <w:start w:val="1"/>
      <w:numFmt w:val="lowerLetter"/>
      <w:lvlText w:val="%2."/>
      <w:lvlJc w:val="left"/>
      <w:pPr>
        <w:ind w:left="1577" w:hanging="360"/>
      </w:pPr>
    </w:lvl>
    <w:lvl w:ilvl="2" w:tplc="0409001B" w:tentative="1">
      <w:start w:val="1"/>
      <w:numFmt w:val="lowerRoman"/>
      <w:lvlText w:val="%3."/>
      <w:lvlJc w:val="right"/>
      <w:pPr>
        <w:ind w:left="2297" w:hanging="180"/>
      </w:pPr>
    </w:lvl>
    <w:lvl w:ilvl="3" w:tplc="0409000F" w:tentative="1">
      <w:start w:val="1"/>
      <w:numFmt w:val="decimal"/>
      <w:lvlText w:val="%4."/>
      <w:lvlJc w:val="left"/>
      <w:pPr>
        <w:ind w:left="3017" w:hanging="360"/>
      </w:pPr>
    </w:lvl>
    <w:lvl w:ilvl="4" w:tplc="04090019" w:tentative="1">
      <w:start w:val="1"/>
      <w:numFmt w:val="lowerLetter"/>
      <w:lvlText w:val="%5."/>
      <w:lvlJc w:val="left"/>
      <w:pPr>
        <w:ind w:left="3737" w:hanging="360"/>
      </w:pPr>
    </w:lvl>
    <w:lvl w:ilvl="5" w:tplc="0409001B" w:tentative="1">
      <w:start w:val="1"/>
      <w:numFmt w:val="lowerRoman"/>
      <w:lvlText w:val="%6."/>
      <w:lvlJc w:val="right"/>
      <w:pPr>
        <w:ind w:left="4457" w:hanging="180"/>
      </w:pPr>
    </w:lvl>
    <w:lvl w:ilvl="6" w:tplc="0409000F" w:tentative="1">
      <w:start w:val="1"/>
      <w:numFmt w:val="decimal"/>
      <w:lvlText w:val="%7."/>
      <w:lvlJc w:val="left"/>
      <w:pPr>
        <w:ind w:left="5177" w:hanging="360"/>
      </w:pPr>
    </w:lvl>
    <w:lvl w:ilvl="7" w:tplc="04090019" w:tentative="1">
      <w:start w:val="1"/>
      <w:numFmt w:val="lowerLetter"/>
      <w:lvlText w:val="%8."/>
      <w:lvlJc w:val="left"/>
      <w:pPr>
        <w:ind w:left="5897" w:hanging="360"/>
      </w:pPr>
    </w:lvl>
    <w:lvl w:ilvl="8" w:tplc="0409001B" w:tentative="1">
      <w:start w:val="1"/>
      <w:numFmt w:val="lowerRoman"/>
      <w:lvlText w:val="%9."/>
      <w:lvlJc w:val="right"/>
      <w:pPr>
        <w:ind w:left="6617" w:hanging="180"/>
      </w:pPr>
    </w:lvl>
  </w:abstractNum>
  <w:abstractNum w:abstractNumId="10" w15:restartNumberingAfterBreak="0">
    <w:nsid w:val="2B661968"/>
    <w:multiLevelType w:val="hybridMultilevel"/>
    <w:tmpl w:val="ECD8E0DC"/>
    <w:lvl w:ilvl="0" w:tplc="B3B0E2E0">
      <w:start w:val="1"/>
      <w:numFmt w:val="decimal"/>
      <w:lvlText w:val="%1."/>
      <w:lvlJc w:val="left"/>
      <w:pPr>
        <w:ind w:left="620" w:hanging="360"/>
      </w:pPr>
      <w:rPr>
        <w:rFonts w:hint="default"/>
      </w:r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11" w15:restartNumberingAfterBreak="0">
    <w:nsid w:val="2E621C9D"/>
    <w:multiLevelType w:val="hybridMultilevel"/>
    <w:tmpl w:val="B308D3A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EA76D65"/>
    <w:multiLevelType w:val="multilevel"/>
    <w:tmpl w:val="3AAC52C4"/>
    <w:lvl w:ilvl="0">
      <w:start w:val="1"/>
      <w:numFmt w:val="decimal"/>
      <w:lvlText w:val="%1."/>
      <w:lvlJc w:val="left"/>
      <w:pPr>
        <w:ind w:left="360" w:hanging="360"/>
      </w:pPr>
      <w:rPr>
        <w:rFonts w:hint="default"/>
      </w:rPr>
    </w:lvl>
    <w:lvl w:ilvl="1">
      <w:start w:val="1"/>
      <w:numFmt w:val="decimal"/>
      <w:lvlText w:val="%1.%2."/>
      <w:lvlJc w:val="left"/>
      <w:pPr>
        <w:ind w:left="209" w:hanging="360"/>
      </w:pPr>
      <w:rPr>
        <w:rFonts w:hint="default"/>
      </w:rPr>
    </w:lvl>
    <w:lvl w:ilvl="2">
      <w:start w:val="1"/>
      <w:numFmt w:val="decimal"/>
      <w:lvlText w:val="%1.%2.%3."/>
      <w:lvlJc w:val="left"/>
      <w:pPr>
        <w:ind w:left="418" w:hanging="720"/>
      </w:pPr>
      <w:rPr>
        <w:rFonts w:hint="default"/>
      </w:rPr>
    </w:lvl>
    <w:lvl w:ilvl="3">
      <w:start w:val="1"/>
      <w:numFmt w:val="decimal"/>
      <w:lvlText w:val="%1.%2.%3.%4."/>
      <w:lvlJc w:val="left"/>
      <w:pPr>
        <w:ind w:left="267" w:hanging="720"/>
      </w:pPr>
      <w:rPr>
        <w:rFonts w:hint="default"/>
      </w:rPr>
    </w:lvl>
    <w:lvl w:ilvl="4">
      <w:start w:val="1"/>
      <w:numFmt w:val="decimal"/>
      <w:lvlText w:val="%1.%2.%3.%4.%5."/>
      <w:lvlJc w:val="left"/>
      <w:pPr>
        <w:ind w:left="116" w:hanging="720"/>
      </w:pPr>
      <w:rPr>
        <w:rFonts w:hint="default"/>
      </w:rPr>
    </w:lvl>
    <w:lvl w:ilvl="5">
      <w:start w:val="1"/>
      <w:numFmt w:val="decimal"/>
      <w:lvlText w:val="%1.%2.%3.%4.%5.%6."/>
      <w:lvlJc w:val="left"/>
      <w:pPr>
        <w:ind w:left="325" w:hanging="1080"/>
      </w:pPr>
      <w:rPr>
        <w:rFonts w:hint="default"/>
      </w:rPr>
    </w:lvl>
    <w:lvl w:ilvl="6">
      <w:start w:val="1"/>
      <w:numFmt w:val="decimal"/>
      <w:lvlText w:val="%1.%2.%3.%4.%5.%6.%7."/>
      <w:lvlJc w:val="left"/>
      <w:pPr>
        <w:ind w:left="174" w:hanging="1080"/>
      </w:pPr>
      <w:rPr>
        <w:rFonts w:hint="default"/>
      </w:rPr>
    </w:lvl>
    <w:lvl w:ilvl="7">
      <w:start w:val="1"/>
      <w:numFmt w:val="decimal"/>
      <w:lvlText w:val="%1.%2.%3.%4.%5.%6.%7.%8."/>
      <w:lvlJc w:val="left"/>
      <w:pPr>
        <w:ind w:left="383" w:hanging="1440"/>
      </w:pPr>
      <w:rPr>
        <w:rFonts w:hint="default"/>
      </w:rPr>
    </w:lvl>
    <w:lvl w:ilvl="8">
      <w:start w:val="1"/>
      <w:numFmt w:val="decimal"/>
      <w:lvlText w:val="%1.%2.%3.%4.%5.%6.%7.%8.%9."/>
      <w:lvlJc w:val="left"/>
      <w:pPr>
        <w:ind w:left="232" w:hanging="1440"/>
      </w:pPr>
      <w:rPr>
        <w:rFonts w:hint="default"/>
      </w:rPr>
    </w:lvl>
  </w:abstractNum>
  <w:abstractNum w:abstractNumId="13" w15:restartNumberingAfterBreak="0">
    <w:nsid w:val="316370BB"/>
    <w:multiLevelType w:val="multilevel"/>
    <w:tmpl w:val="1C786B9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4" w15:restartNumberingAfterBreak="0">
    <w:nsid w:val="359B4991"/>
    <w:multiLevelType w:val="multilevel"/>
    <w:tmpl w:val="3FFE7FA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b w:val="0"/>
        <w:sz w:val="22"/>
        <w:szCs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5" w15:restartNumberingAfterBreak="0">
    <w:nsid w:val="394D6E90"/>
    <w:multiLevelType w:val="hybridMultilevel"/>
    <w:tmpl w:val="3160A3FC"/>
    <w:lvl w:ilvl="0" w:tplc="76E0E6E6">
      <w:start w:val="1"/>
      <w:numFmt w:val="lowerRoman"/>
      <w:lvlText w:val="(%1)"/>
      <w:lvlJc w:val="left"/>
      <w:pPr>
        <w:ind w:left="1440" w:hanging="72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37E0BCA"/>
    <w:multiLevelType w:val="hybridMultilevel"/>
    <w:tmpl w:val="C4B4D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575A9A"/>
    <w:multiLevelType w:val="hybridMultilevel"/>
    <w:tmpl w:val="4E8E30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BB05CE7"/>
    <w:multiLevelType w:val="hybridMultilevel"/>
    <w:tmpl w:val="AF7E038C"/>
    <w:lvl w:ilvl="0" w:tplc="206C30F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C011754"/>
    <w:multiLevelType w:val="multilevel"/>
    <w:tmpl w:val="B5564552"/>
    <w:lvl w:ilvl="0">
      <w:start w:val="1"/>
      <w:numFmt w:val="upperRoman"/>
      <w:lvlText w:val="%1."/>
      <w:lvlJc w:val="right"/>
      <w:pPr>
        <w:ind w:left="720" w:hanging="360"/>
      </w:pPr>
    </w:lvl>
    <w:lvl w:ilvl="1">
      <w:start w:val="1"/>
      <w:numFmt w:val="decimal"/>
      <w:isLgl/>
      <w:lvlText w:val="%1.%2"/>
      <w:lvlJc w:val="left"/>
      <w:pPr>
        <w:ind w:left="990" w:hanging="630"/>
      </w:pPr>
      <w:rPr>
        <w:rFonts w:ascii="Arial" w:hAnsi="Arial" w:cs="Arial"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D7C5A7D"/>
    <w:multiLevelType w:val="hybridMultilevel"/>
    <w:tmpl w:val="88500038"/>
    <w:lvl w:ilvl="0" w:tplc="414421E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D479CA"/>
    <w:multiLevelType w:val="multilevel"/>
    <w:tmpl w:val="E480A39E"/>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566"/>
        </w:tabs>
        <w:ind w:left="156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2" w15:restartNumberingAfterBreak="0">
    <w:nsid w:val="5DC22FFC"/>
    <w:multiLevelType w:val="hybridMultilevel"/>
    <w:tmpl w:val="01C2DD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03F0FAA"/>
    <w:multiLevelType w:val="multilevel"/>
    <w:tmpl w:val="DF369612"/>
    <w:lvl w:ilvl="0">
      <w:start w:val="1"/>
      <w:numFmt w:val="none"/>
      <w:lvlRestart w:val="0"/>
      <w:suff w:val="nothing"/>
      <w:lvlText w:val=""/>
      <w:lvlJc w:val="left"/>
      <w:pPr>
        <w:ind w:left="2160" w:hanging="720"/>
      </w:pPr>
    </w:lvl>
    <w:lvl w:ilvl="1">
      <w:start w:val="1"/>
      <w:numFmt w:val="decimal"/>
      <w:lvlText w:val="%2."/>
      <w:lvlJc w:val="left"/>
      <w:pPr>
        <w:tabs>
          <w:tab w:val="num" w:pos="2736"/>
        </w:tabs>
        <w:ind w:left="2736" w:hanging="576"/>
      </w:pPr>
      <w:rPr>
        <w:b/>
      </w:rPr>
    </w:lvl>
    <w:lvl w:ilvl="2">
      <w:start w:val="1"/>
      <w:numFmt w:val="lowerLetter"/>
      <w:lvlText w:val="(%3)"/>
      <w:lvlJc w:val="left"/>
      <w:pPr>
        <w:ind w:left="2160" w:hanging="432"/>
      </w:pPr>
    </w:lvl>
    <w:lvl w:ilvl="3">
      <w:start w:val="1"/>
      <w:numFmt w:val="lowerRoman"/>
      <w:lvlText w:val="(%4)"/>
      <w:lvlJc w:val="right"/>
      <w:pPr>
        <w:ind w:left="2304" w:hanging="144"/>
      </w:pPr>
    </w:lvl>
    <w:lvl w:ilvl="4">
      <w:start w:val="1"/>
      <w:numFmt w:val="decimal"/>
      <w:lvlText w:val="%5)"/>
      <w:lvlJc w:val="left"/>
      <w:pPr>
        <w:ind w:left="2448" w:hanging="432"/>
      </w:pPr>
    </w:lvl>
    <w:lvl w:ilvl="5">
      <w:start w:val="1"/>
      <w:numFmt w:val="lowerLetter"/>
      <w:lvlText w:val="%6)"/>
      <w:lvlJc w:val="left"/>
      <w:pPr>
        <w:ind w:left="2592" w:hanging="432"/>
      </w:pPr>
    </w:lvl>
    <w:lvl w:ilvl="6">
      <w:start w:val="1"/>
      <w:numFmt w:val="lowerRoman"/>
      <w:lvlText w:val="%7)"/>
      <w:lvlJc w:val="right"/>
      <w:pPr>
        <w:ind w:left="2736" w:hanging="288"/>
      </w:pPr>
    </w:lvl>
    <w:lvl w:ilvl="7">
      <w:start w:val="1"/>
      <w:numFmt w:val="lowerLetter"/>
      <w:lvlText w:val="%8."/>
      <w:lvlJc w:val="left"/>
      <w:pPr>
        <w:ind w:left="2880" w:hanging="432"/>
      </w:pPr>
    </w:lvl>
    <w:lvl w:ilvl="8">
      <w:start w:val="1"/>
      <w:numFmt w:val="lowerRoman"/>
      <w:lvlText w:val="%9."/>
      <w:lvlJc w:val="right"/>
      <w:pPr>
        <w:ind w:left="3024" w:hanging="144"/>
      </w:pPr>
    </w:lvl>
  </w:abstractNum>
  <w:abstractNum w:abstractNumId="24" w15:restartNumberingAfterBreak="0">
    <w:nsid w:val="609923C8"/>
    <w:multiLevelType w:val="multilevel"/>
    <w:tmpl w:val="825C8046"/>
    <w:lvl w:ilvl="0">
      <w:start w:val="1"/>
      <w:numFmt w:val="upperRoman"/>
      <w:lvlText w:val="%1."/>
      <w:lvlJc w:val="center"/>
      <w:pPr>
        <w:tabs>
          <w:tab w:val="num" w:pos="450"/>
        </w:tabs>
        <w:ind w:left="378" w:hanging="288"/>
      </w:pPr>
      <w:rPr>
        <w:rFonts w:ascii="Times New Roman Bold" w:hAnsi="Times New Roman Bold" w:hint="default"/>
        <w:b/>
        <w:i w:val="0"/>
        <w:sz w:val="24"/>
      </w:rPr>
    </w:lvl>
    <w:lvl w:ilvl="1">
      <w:start w:val="1"/>
      <w:numFmt w:val="decimal"/>
      <w:isLgl/>
      <w:lvlText w:val="%1.%2"/>
      <w:lvlJc w:val="left"/>
      <w:pPr>
        <w:tabs>
          <w:tab w:val="num" w:pos="810"/>
        </w:tabs>
        <w:ind w:left="810" w:hanging="720"/>
      </w:pPr>
      <w:rPr>
        <w:rFonts w:hint="default"/>
      </w:rPr>
    </w:lvl>
    <w:lvl w:ilvl="2">
      <w:start w:val="1"/>
      <w:numFmt w:val="lowerLetter"/>
      <w:lvlRestart w:val="0"/>
      <w:lvlText w:val="%3."/>
      <w:lvlJc w:val="left"/>
      <w:pPr>
        <w:tabs>
          <w:tab w:val="num" w:pos="1890"/>
        </w:tabs>
        <w:ind w:left="1890" w:hanging="360"/>
      </w:pPr>
      <w:rPr>
        <w:rFonts w:ascii="Arial" w:hAnsi="Arial" w:cs="Arial" w:hint="default"/>
        <w:b/>
        <w:i w:val="0"/>
        <w:sz w:val="22"/>
        <w:szCs w:val="22"/>
      </w:rPr>
    </w:lvl>
    <w:lvl w:ilvl="3">
      <w:start w:val="1"/>
      <w:numFmt w:val="lowerRoman"/>
      <w:lvlRestart w:val="0"/>
      <w:lvlText w:val="(%4)"/>
      <w:lvlJc w:val="right"/>
      <w:pPr>
        <w:tabs>
          <w:tab w:val="num" w:pos="2178"/>
        </w:tabs>
        <w:ind w:left="2178" w:hanging="288"/>
      </w:pPr>
      <w:rPr>
        <w:rFonts w:ascii="Times New Roman Bold" w:hAnsi="Times New Roman Bold" w:hint="default"/>
        <w:b/>
        <w:i w:val="0"/>
        <w:sz w:val="24"/>
      </w:rPr>
    </w:lvl>
    <w:lvl w:ilvl="4">
      <w:start w:val="1"/>
      <w:numFmt w:val="none"/>
      <w:lvlText w:val=""/>
      <w:lvlJc w:val="left"/>
      <w:pPr>
        <w:tabs>
          <w:tab w:val="num" w:pos="3330"/>
        </w:tabs>
        <w:ind w:left="2970" w:firstLine="0"/>
      </w:pPr>
      <w:rPr>
        <w:rFonts w:hint="default"/>
      </w:rPr>
    </w:lvl>
    <w:lvl w:ilvl="5">
      <w:start w:val="1"/>
      <w:numFmt w:val="none"/>
      <w:lvlText w:val=""/>
      <w:lvlJc w:val="left"/>
      <w:pPr>
        <w:tabs>
          <w:tab w:val="num" w:pos="4050"/>
        </w:tabs>
        <w:ind w:left="3690" w:firstLine="0"/>
      </w:pPr>
      <w:rPr>
        <w:rFonts w:hint="default"/>
      </w:rPr>
    </w:lvl>
    <w:lvl w:ilvl="6">
      <w:start w:val="1"/>
      <w:numFmt w:val="none"/>
      <w:lvlText w:val=""/>
      <w:lvlJc w:val="left"/>
      <w:pPr>
        <w:tabs>
          <w:tab w:val="num" w:pos="4770"/>
        </w:tabs>
        <w:ind w:left="4410" w:firstLine="0"/>
      </w:pPr>
      <w:rPr>
        <w:rFonts w:hint="default"/>
      </w:rPr>
    </w:lvl>
    <w:lvl w:ilvl="7">
      <w:start w:val="1"/>
      <w:numFmt w:val="none"/>
      <w:lvlText w:val=""/>
      <w:lvlJc w:val="left"/>
      <w:pPr>
        <w:tabs>
          <w:tab w:val="num" w:pos="5490"/>
        </w:tabs>
        <w:ind w:left="5130" w:firstLine="0"/>
      </w:pPr>
      <w:rPr>
        <w:rFonts w:hint="default"/>
      </w:rPr>
    </w:lvl>
    <w:lvl w:ilvl="8">
      <w:start w:val="1"/>
      <w:numFmt w:val="none"/>
      <w:lvlText w:val=""/>
      <w:lvlJc w:val="left"/>
      <w:pPr>
        <w:tabs>
          <w:tab w:val="num" w:pos="6210"/>
        </w:tabs>
        <w:ind w:left="5850" w:firstLine="0"/>
      </w:pPr>
      <w:rPr>
        <w:rFonts w:hint="default"/>
      </w:rPr>
    </w:lvl>
  </w:abstractNum>
  <w:abstractNum w:abstractNumId="25" w15:restartNumberingAfterBreak="0">
    <w:nsid w:val="63EC13F7"/>
    <w:multiLevelType w:val="multilevel"/>
    <w:tmpl w:val="DD9AE0BA"/>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26" w15:restartNumberingAfterBreak="0">
    <w:nsid w:val="67840055"/>
    <w:multiLevelType w:val="hybridMultilevel"/>
    <w:tmpl w:val="A56CA848"/>
    <w:lvl w:ilvl="0" w:tplc="B3B0E2E0">
      <w:start w:val="1"/>
      <w:numFmt w:val="decimal"/>
      <w:lvlText w:val="%1."/>
      <w:lvlJc w:val="left"/>
      <w:pPr>
        <w:ind w:left="490" w:hanging="360"/>
      </w:pPr>
      <w:rPr>
        <w:rFonts w:hint="default"/>
      </w:rPr>
    </w:lvl>
    <w:lvl w:ilvl="1" w:tplc="04090019" w:tentative="1">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27" w15:restartNumberingAfterBreak="0">
    <w:nsid w:val="680D0E07"/>
    <w:multiLevelType w:val="multilevel"/>
    <w:tmpl w:val="827C7448"/>
    <w:lvl w:ilvl="0">
      <w:start w:val="1"/>
      <w:numFmt w:val="lowerLetter"/>
      <w:lvlText w:val="%1."/>
      <w:lvlJc w:val="left"/>
      <w:pPr>
        <w:ind w:left="3600" w:hanging="720"/>
      </w:pPr>
      <w:rPr>
        <w:rFonts w:hint="default"/>
      </w:rPr>
    </w:lvl>
    <w:lvl w:ilvl="1">
      <w:start w:val="1"/>
      <w:numFmt w:val="decimal"/>
      <w:isLgl/>
      <w:lvlText w:val="%1.%2"/>
      <w:lvlJc w:val="left"/>
      <w:pPr>
        <w:ind w:left="3240" w:hanging="36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28" w15:restartNumberingAfterBreak="0">
    <w:nsid w:val="69E12274"/>
    <w:multiLevelType w:val="multilevel"/>
    <w:tmpl w:val="997A642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6B992D03"/>
    <w:multiLevelType w:val="multilevel"/>
    <w:tmpl w:val="D68C7A60"/>
    <w:lvl w:ilvl="0">
      <w:start w:val="1"/>
      <w:numFmt w:val="decimal"/>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30" w15:restartNumberingAfterBreak="0">
    <w:nsid w:val="6E34078E"/>
    <w:multiLevelType w:val="hybridMultilevel"/>
    <w:tmpl w:val="52980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441334"/>
    <w:multiLevelType w:val="multilevel"/>
    <w:tmpl w:val="DFEC108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7E13BC6"/>
    <w:multiLevelType w:val="hybridMultilevel"/>
    <w:tmpl w:val="8CF0668C"/>
    <w:lvl w:ilvl="0" w:tplc="74B85BFC">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967483D"/>
    <w:multiLevelType w:val="multilevel"/>
    <w:tmpl w:val="0C161D42"/>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num w:numId="1">
    <w:abstractNumId w:val="5"/>
  </w:num>
  <w:num w:numId="2">
    <w:abstractNumId w:val="7"/>
  </w:num>
  <w:num w:numId="3">
    <w:abstractNumId w:val="12"/>
  </w:num>
  <w:num w:numId="4">
    <w:abstractNumId w:val="16"/>
  </w:num>
  <w:num w:numId="5">
    <w:abstractNumId w:val="30"/>
  </w:num>
  <w:num w:numId="6">
    <w:abstractNumId w:val="8"/>
  </w:num>
  <w:num w:numId="7">
    <w:abstractNumId w:val="3"/>
  </w:num>
  <w:num w:numId="8">
    <w:abstractNumId w:val="26"/>
  </w:num>
  <w:num w:numId="9">
    <w:abstractNumId w:val="17"/>
  </w:num>
  <w:num w:numId="10">
    <w:abstractNumId w:val="4"/>
  </w:num>
  <w:num w:numId="11">
    <w:abstractNumId w:val="9"/>
  </w:num>
  <w:num w:numId="12">
    <w:abstractNumId w:val="10"/>
  </w:num>
  <w:num w:numId="13">
    <w:abstractNumId w:val="31"/>
  </w:num>
  <w:num w:numId="14">
    <w:abstractNumId w:val="28"/>
  </w:num>
  <w:num w:numId="15">
    <w:abstractNumId w:val="33"/>
  </w:num>
  <w:num w:numId="16">
    <w:abstractNumId w:val="13"/>
  </w:num>
  <w:num w:numId="17">
    <w:abstractNumId w:val="23"/>
  </w:num>
  <w:num w:numId="18">
    <w:abstractNumId w:val="25"/>
  </w:num>
  <w:num w:numId="19">
    <w:abstractNumId w:val="14"/>
  </w:num>
  <w:num w:numId="20">
    <w:abstractNumId w:val="21"/>
  </w:num>
  <w:num w:numId="21">
    <w:abstractNumId w:val="24"/>
  </w:num>
  <w:num w:numId="22">
    <w:abstractNumId w:val="19"/>
  </w:num>
  <w:num w:numId="23">
    <w:abstractNumId w:val="2"/>
  </w:num>
  <w:num w:numId="24">
    <w:abstractNumId w:val="11"/>
  </w:num>
  <w:num w:numId="25">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29"/>
  </w:num>
  <w:num w:numId="28">
    <w:abstractNumId w:val="27"/>
  </w:num>
  <w:num w:numId="29">
    <w:abstractNumId w:val="20"/>
  </w:num>
  <w:num w:numId="30">
    <w:abstractNumId w:val="15"/>
  </w:num>
  <w:num w:numId="31">
    <w:abstractNumId w:val="18"/>
  </w:num>
  <w:num w:numId="32">
    <w:abstractNumId w:val="22"/>
  </w:num>
  <w:num w:numId="33">
    <w:abstractNumId w:val="1"/>
  </w:num>
  <w:num w:numId="34">
    <w:abstractNumId w:val="32"/>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51C"/>
    <w:rsid w:val="00000A87"/>
    <w:rsid w:val="00003613"/>
    <w:rsid w:val="00003B36"/>
    <w:rsid w:val="00005BE6"/>
    <w:rsid w:val="000101FB"/>
    <w:rsid w:val="00011722"/>
    <w:rsid w:val="00013E44"/>
    <w:rsid w:val="00014DFE"/>
    <w:rsid w:val="0002020D"/>
    <w:rsid w:val="00022BE3"/>
    <w:rsid w:val="000234EA"/>
    <w:rsid w:val="00025DD9"/>
    <w:rsid w:val="00025F9F"/>
    <w:rsid w:val="00026C6D"/>
    <w:rsid w:val="00031679"/>
    <w:rsid w:val="0003297B"/>
    <w:rsid w:val="00034043"/>
    <w:rsid w:val="00034A37"/>
    <w:rsid w:val="00034B0A"/>
    <w:rsid w:val="00035104"/>
    <w:rsid w:val="00036128"/>
    <w:rsid w:val="000366D5"/>
    <w:rsid w:val="00036843"/>
    <w:rsid w:val="00040043"/>
    <w:rsid w:val="000415F0"/>
    <w:rsid w:val="00041B48"/>
    <w:rsid w:val="000420CC"/>
    <w:rsid w:val="000425C5"/>
    <w:rsid w:val="000437AC"/>
    <w:rsid w:val="00046E14"/>
    <w:rsid w:val="000472FE"/>
    <w:rsid w:val="00047324"/>
    <w:rsid w:val="0004751D"/>
    <w:rsid w:val="00050E5E"/>
    <w:rsid w:val="00052D8D"/>
    <w:rsid w:val="00055E21"/>
    <w:rsid w:val="000565CD"/>
    <w:rsid w:val="00057617"/>
    <w:rsid w:val="00057A4A"/>
    <w:rsid w:val="00057C11"/>
    <w:rsid w:val="00060BE1"/>
    <w:rsid w:val="0006112F"/>
    <w:rsid w:val="000636B9"/>
    <w:rsid w:val="00063838"/>
    <w:rsid w:val="00065094"/>
    <w:rsid w:val="0006585D"/>
    <w:rsid w:val="00067023"/>
    <w:rsid w:val="000705F5"/>
    <w:rsid w:val="00070B8F"/>
    <w:rsid w:val="00071473"/>
    <w:rsid w:val="00073882"/>
    <w:rsid w:val="00075414"/>
    <w:rsid w:val="000765F1"/>
    <w:rsid w:val="000839F7"/>
    <w:rsid w:val="00084006"/>
    <w:rsid w:val="00084081"/>
    <w:rsid w:val="000841EE"/>
    <w:rsid w:val="00084EC7"/>
    <w:rsid w:val="00086B78"/>
    <w:rsid w:val="00087192"/>
    <w:rsid w:val="00090448"/>
    <w:rsid w:val="00090951"/>
    <w:rsid w:val="00090C14"/>
    <w:rsid w:val="0009312F"/>
    <w:rsid w:val="000936C2"/>
    <w:rsid w:val="000A3533"/>
    <w:rsid w:val="000A3685"/>
    <w:rsid w:val="000A3ABD"/>
    <w:rsid w:val="000A5276"/>
    <w:rsid w:val="000A5425"/>
    <w:rsid w:val="000A57EB"/>
    <w:rsid w:val="000B0DFD"/>
    <w:rsid w:val="000B12AD"/>
    <w:rsid w:val="000B1932"/>
    <w:rsid w:val="000B266A"/>
    <w:rsid w:val="000B28E1"/>
    <w:rsid w:val="000B4434"/>
    <w:rsid w:val="000B50C4"/>
    <w:rsid w:val="000B5CBA"/>
    <w:rsid w:val="000B5D29"/>
    <w:rsid w:val="000B7AF4"/>
    <w:rsid w:val="000C02A5"/>
    <w:rsid w:val="000C219C"/>
    <w:rsid w:val="000C3B29"/>
    <w:rsid w:val="000C42F4"/>
    <w:rsid w:val="000C4396"/>
    <w:rsid w:val="000C58FD"/>
    <w:rsid w:val="000C66D7"/>
    <w:rsid w:val="000C6BE2"/>
    <w:rsid w:val="000C6FE1"/>
    <w:rsid w:val="000D0C96"/>
    <w:rsid w:val="000D2ABA"/>
    <w:rsid w:val="000D2C1F"/>
    <w:rsid w:val="000D4844"/>
    <w:rsid w:val="000D7E2A"/>
    <w:rsid w:val="000E05AC"/>
    <w:rsid w:val="000E193B"/>
    <w:rsid w:val="000E26B6"/>
    <w:rsid w:val="000E2AA8"/>
    <w:rsid w:val="000E2AEA"/>
    <w:rsid w:val="000E2F15"/>
    <w:rsid w:val="000E4A38"/>
    <w:rsid w:val="000E578D"/>
    <w:rsid w:val="000E614E"/>
    <w:rsid w:val="000E7FE5"/>
    <w:rsid w:val="000F1C95"/>
    <w:rsid w:val="000F3059"/>
    <w:rsid w:val="000F5472"/>
    <w:rsid w:val="000F5C6C"/>
    <w:rsid w:val="000F6332"/>
    <w:rsid w:val="000F6493"/>
    <w:rsid w:val="000F699A"/>
    <w:rsid w:val="00100D07"/>
    <w:rsid w:val="00102EDC"/>
    <w:rsid w:val="00106D8A"/>
    <w:rsid w:val="001101FD"/>
    <w:rsid w:val="0011167C"/>
    <w:rsid w:val="00112314"/>
    <w:rsid w:val="00113103"/>
    <w:rsid w:val="00114BEC"/>
    <w:rsid w:val="00114C2E"/>
    <w:rsid w:val="001162B9"/>
    <w:rsid w:val="00120128"/>
    <w:rsid w:val="00120A7E"/>
    <w:rsid w:val="00121505"/>
    <w:rsid w:val="001237DA"/>
    <w:rsid w:val="0013061B"/>
    <w:rsid w:val="001313D3"/>
    <w:rsid w:val="00132F17"/>
    <w:rsid w:val="001362B3"/>
    <w:rsid w:val="001452D2"/>
    <w:rsid w:val="00146513"/>
    <w:rsid w:val="001469BA"/>
    <w:rsid w:val="00147025"/>
    <w:rsid w:val="00153752"/>
    <w:rsid w:val="001579D0"/>
    <w:rsid w:val="00157C6C"/>
    <w:rsid w:val="0016178C"/>
    <w:rsid w:val="00163041"/>
    <w:rsid w:val="00165C1B"/>
    <w:rsid w:val="00165C47"/>
    <w:rsid w:val="00175A08"/>
    <w:rsid w:val="00175C6F"/>
    <w:rsid w:val="00177ABA"/>
    <w:rsid w:val="00181729"/>
    <w:rsid w:val="00181EA5"/>
    <w:rsid w:val="00182D05"/>
    <w:rsid w:val="00183139"/>
    <w:rsid w:val="00183E65"/>
    <w:rsid w:val="001870DE"/>
    <w:rsid w:val="00187543"/>
    <w:rsid w:val="00187BA5"/>
    <w:rsid w:val="00190EE3"/>
    <w:rsid w:val="001911F2"/>
    <w:rsid w:val="00192580"/>
    <w:rsid w:val="00196802"/>
    <w:rsid w:val="00196AA0"/>
    <w:rsid w:val="001976CA"/>
    <w:rsid w:val="00197A63"/>
    <w:rsid w:val="001A025E"/>
    <w:rsid w:val="001A1738"/>
    <w:rsid w:val="001A17E9"/>
    <w:rsid w:val="001A46A4"/>
    <w:rsid w:val="001A4D8E"/>
    <w:rsid w:val="001A52B6"/>
    <w:rsid w:val="001A5A3B"/>
    <w:rsid w:val="001A5B4A"/>
    <w:rsid w:val="001A768D"/>
    <w:rsid w:val="001A7ADF"/>
    <w:rsid w:val="001B156D"/>
    <w:rsid w:val="001B30FF"/>
    <w:rsid w:val="001B6CB4"/>
    <w:rsid w:val="001B7554"/>
    <w:rsid w:val="001B7CCB"/>
    <w:rsid w:val="001C125B"/>
    <w:rsid w:val="001C3038"/>
    <w:rsid w:val="001D0CB1"/>
    <w:rsid w:val="001D3475"/>
    <w:rsid w:val="001D55C0"/>
    <w:rsid w:val="001D5969"/>
    <w:rsid w:val="001E024E"/>
    <w:rsid w:val="001E23B7"/>
    <w:rsid w:val="001E3D18"/>
    <w:rsid w:val="001E4782"/>
    <w:rsid w:val="001E78AC"/>
    <w:rsid w:val="001F02C4"/>
    <w:rsid w:val="001F095C"/>
    <w:rsid w:val="001F32C8"/>
    <w:rsid w:val="001F3CC4"/>
    <w:rsid w:val="001F3D46"/>
    <w:rsid w:val="0020028F"/>
    <w:rsid w:val="00200462"/>
    <w:rsid w:val="00200C7F"/>
    <w:rsid w:val="00201038"/>
    <w:rsid w:val="00202FD9"/>
    <w:rsid w:val="00203793"/>
    <w:rsid w:val="002053DC"/>
    <w:rsid w:val="00206478"/>
    <w:rsid w:val="00207AEA"/>
    <w:rsid w:val="002117EF"/>
    <w:rsid w:val="002117F5"/>
    <w:rsid w:val="00211EBD"/>
    <w:rsid w:val="00214DAB"/>
    <w:rsid w:val="00214F10"/>
    <w:rsid w:val="002152C0"/>
    <w:rsid w:val="00215781"/>
    <w:rsid w:val="00216DC8"/>
    <w:rsid w:val="002222B4"/>
    <w:rsid w:val="00222643"/>
    <w:rsid w:val="0022458D"/>
    <w:rsid w:val="00224F5B"/>
    <w:rsid w:val="00227D25"/>
    <w:rsid w:val="00230A54"/>
    <w:rsid w:val="00231A1F"/>
    <w:rsid w:val="0023376A"/>
    <w:rsid w:val="002346DA"/>
    <w:rsid w:val="00234FD8"/>
    <w:rsid w:val="00235356"/>
    <w:rsid w:val="0023601A"/>
    <w:rsid w:val="00240095"/>
    <w:rsid w:val="002407F4"/>
    <w:rsid w:val="002415E7"/>
    <w:rsid w:val="002421A6"/>
    <w:rsid w:val="002440C3"/>
    <w:rsid w:val="00244312"/>
    <w:rsid w:val="00246B1F"/>
    <w:rsid w:val="00247C06"/>
    <w:rsid w:val="00253D3E"/>
    <w:rsid w:val="0025684F"/>
    <w:rsid w:val="00257B3A"/>
    <w:rsid w:val="00257EBA"/>
    <w:rsid w:val="002610FC"/>
    <w:rsid w:val="00262B5D"/>
    <w:rsid w:val="0026386D"/>
    <w:rsid w:val="00266876"/>
    <w:rsid w:val="00266878"/>
    <w:rsid w:val="00270ABF"/>
    <w:rsid w:val="0027257F"/>
    <w:rsid w:val="00274067"/>
    <w:rsid w:val="0027501E"/>
    <w:rsid w:val="002753C5"/>
    <w:rsid w:val="00277AC8"/>
    <w:rsid w:val="00277C59"/>
    <w:rsid w:val="00281509"/>
    <w:rsid w:val="00284F37"/>
    <w:rsid w:val="00285E70"/>
    <w:rsid w:val="0028660C"/>
    <w:rsid w:val="00287710"/>
    <w:rsid w:val="00290AD9"/>
    <w:rsid w:val="00290D32"/>
    <w:rsid w:val="002916B4"/>
    <w:rsid w:val="00293D3B"/>
    <w:rsid w:val="00296191"/>
    <w:rsid w:val="00297501"/>
    <w:rsid w:val="002976A7"/>
    <w:rsid w:val="002A696F"/>
    <w:rsid w:val="002A6F44"/>
    <w:rsid w:val="002B4CF0"/>
    <w:rsid w:val="002B4D63"/>
    <w:rsid w:val="002B50F6"/>
    <w:rsid w:val="002B76CB"/>
    <w:rsid w:val="002C01D2"/>
    <w:rsid w:val="002C05D3"/>
    <w:rsid w:val="002C119D"/>
    <w:rsid w:val="002C3A47"/>
    <w:rsid w:val="002C4B55"/>
    <w:rsid w:val="002C4FF8"/>
    <w:rsid w:val="002D12D8"/>
    <w:rsid w:val="002D1B2E"/>
    <w:rsid w:val="002D5913"/>
    <w:rsid w:val="002D5CB6"/>
    <w:rsid w:val="002D7DCB"/>
    <w:rsid w:val="002E234F"/>
    <w:rsid w:val="002E3603"/>
    <w:rsid w:val="002E4547"/>
    <w:rsid w:val="002E66B7"/>
    <w:rsid w:val="002E6FDE"/>
    <w:rsid w:val="002F0270"/>
    <w:rsid w:val="002F03E5"/>
    <w:rsid w:val="002F078F"/>
    <w:rsid w:val="002F2E55"/>
    <w:rsid w:val="002F33A3"/>
    <w:rsid w:val="002F4D6E"/>
    <w:rsid w:val="002F677E"/>
    <w:rsid w:val="002F69AD"/>
    <w:rsid w:val="00301372"/>
    <w:rsid w:val="00304C63"/>
    <w:rsid w:val="00310C65"/>
    <w:rsid w:val="00311735"/>
    <w:rsid w:val="003146AC"/>
    <w:rsid w:val="003168D8"/>
    <w:rsid w:val="00316DB4"/>
    <w:rsid w:val="00320C3F"/>
    <w:rsid w:val="00321456"/>
    <w:rsid w:val="003224B7"/>
    <w:rsid w:val="00323A70"/>
    <w:rsid w:val="00331A59"/>
    <w:rsid w:val="00334467"/>
    <w:rsid w:val="00334B91"/>
    <w:rsid w:val="003352B2"/>
    <w:rsid w:val="00340747"/>
    <w:rsid w:val="003414E3"/>
    <w:rsid w:val="003418F2"/>
    <w:rsid w:val="00341B66"/>
    <w:rsid w:val="00342094"/>
    <w:rsid w:val="00342FDB"/>
    <w:rsid w:val="0034312B"/>
    <w:rsid w:val="00343219"/>
    <w:rsid w:val="00344301"/>
    <w:rsid w:val="00344457"/>
    <w:rsid w:val="003474DA"/>
    <w:rsid w:val="00347D71"/>
    <w:rsid w:val="00352369"/>
    <w:rsid w:val="00356743"/>
    <w:rsid w:val="003567C6"/>
    <w:rsid w:val="00357D08"/>
    <w:rsid w:val="00357DD5"/>
    <w:rsid w:val="00360CD2"/>
    <w:rsid w:val="0036172D"/>
    <w:rsid w:val="00362220"/>
    <w:rsid w:val="0036268E"/>
    <w:rsid w:val="003638B8"/>
    <w:rsid w:val="00363C51"/>
    <w:rsid w:val="00363F18"/>
    <w:rsid w:val="00365D27"/>
    <w:rsid w:val="00370A7B"/>
    <w:rsid w:val="0037226C"/>
    <w:rsid w:val="003749D5"/>
    <w:rsid w:val="003761F7"/>
    <w:rsid w:val="003779EF"/>
    <w:rsid w:val="00377ECF"/>
    <w:rsid w:val="0038109A"/>
    <w:rsid w:val="00381B93"/>
    <w:rsid w:val="00382BA1"/>
    <w:rsid w:val="00382FEA"/>
    <w:rsid w:val="00385807"/>
    <w:rsid w:val="00387AF7"/>
    <w:rsid w:val="00391302"/>
    <w:rsid w:val="003924AC"/>
    <w:rsid w:val="00394D00"/>
    <w:rsid w:val="003A0C87"/>
    <w:rsid w:val="003A1D8D"/>
    <w:rsid w:val="003A2397"/>
    <w:rsid w:val="003A2FA5"/>
    <w:rsid w:val="003A455C"/>
    <w:rsid w:val="003A5863"/>
    <w:rsid w:val="003B0022"/>
    <w:rsid w:val="003B0B65"/>
    <w:rsid w:val="003B167D"/>
    <w:rsid w:val="003B1B94"/>
    <w:rsid w:val="003B2507"/>
    <w:rsid w:val="003B46AC"/>
    <w:rsid w:val="003B6623"/>
    <w:rsid w:val="003B7CEE"/>
    <w:rsid w:val="003C191D"/>
    <w:rsid w:val="003C6D00"/>
    <w:rsid w:val="003D2300"/>
    <w:rsid w:val="003D5631"/>
    <w:rsid w:val="003D66FF"/>
    <w:rsid w:val="003D6B55"/>
    <w:rsid w:val="003D7A6E"/>
    <w:rsid w:val="003E215F"/>
    <w:rsid w:val="003E3750"/>
    <w:rsid w:val="003E510B"/>
    <w:rsid w:val="003E5C50"/>
    <w:rsid w:val="003E7B27"/>
    <w:rsid w:val="003F0014"/>
    <w:rsid w:val="003F506B"/>
    <w:rsid w:val="003F5944"/>
    <w:rsid w:val="003F69C9"/>
    <w:rsid w:val="00402FF3"/>
    <w:rsid w:val="00403FF0"/>
    <w:rsid w:val="00404425"/>
    <w:rsid w:val="004045EC"/>
    <w:rsid w:val="00404E56"/>
    <w:rsid w:val="00407024"/>
    <w:rsid w:val="004111E4"/>
    <w:rsid w:val="00411AFB"/>
    <w:rsid w:val="0041494D"/>
    <w:rsid w:val="00415BC6"/>
    <w:rsid w:val="004163E2"/>
    <w:rsid w:val="00417A06"/>
    <w:rsid w:val="004216E0"/>
    <w:rsid w:val="004217A8"/>
    <w:rsid w:val="004235BC"/>
    <w:rsid w:val="00424ED7"/>
    <w:rsid w:val="00425ED8"/>
    <w:rsid w:val="004264C7"/>
    <w:rsid w:val="00427B5E"/>
    <w:rsid w:val="004303CC"/>
    <w:rsid w:val="00430F4E"/>
    <w:rsid w:val="0043233A"/>
    <w:rsid w:val="004327ED"/>
    <w:rsid w:val="00432830"/>
    <w:rsid w:val="00434AB4"/>
    <w:rsid w:val="00435015"/>
    <w:rsid w:val="0043742E"/>
    <w:rsid w:val="00441FF0"/>
    <w:rsid w:val="00442AEE"/>
    <w:rsid w:val="004450FA"/>
    <w:rsid w:val="00447AEA"/>
    <w:rsid w:val="00452F52"/>
    <w:rsid w:val="0045438B"/>
    <w:rsid w:val="00454C52"/>
    <w:rsid w:val="00455BD6"/>
    <w:rsid w:val="0046144F"/>
    <w:rsid w:val="004619B0"/>
    <w:rsid w:val="00463E09"/>
    <w:rsid w:val="00464277"/>
    <w:rsid w:val="00465A6A"/>
    <w:rsid w:val="00467365"/>
    <w:rsid w:val="004676E9"/>
    <w:rsid w:val="00472276"/>
    <w:rsid w:val="00472E37"/>
    <w:rsid w:val="00473621"/>
    <w:rsid w:val="0047465D"/>
    <w:rsid w:val="004756C5"/>
    <w:rsid w:val="00476257"/>
    <w:rsid w:val="00477903"/>
    <w:rsid w:val="004800F2"/>
    <w:rsid w:val="00482825"/>
    <w:rsid w:val="00482859"/>
    <w:rsid w:val="00482BCC"/>
    <w:rsid w:val="00482D05"/>
    <w:rsid w:val="00483743"/>
    <w:rsid w:val="00483AC5"/>
    <w:rsid w:val="004867C9"/>
    <w:rsid w:val="00487E8B"/>
    <w:rsid w:val="00490524"/>
    <w:rsid w:val="004920FF"/>
    <w:rsid w:val="0049310A"/>
    <w:rsid w:val="0049596A"/>
    <w:rsid w:val="004974CE"/>
    <w:rsid w:val="004A0574"/>
    <w:rsid w:val="004A0D49"/>
    <w:rsid w:val="004A1274"/>
    <w:rsid w:val="004A22E0"/>
    <w:rsid w:val="004A2D28"/>
    <w:rsid w:val="004A5AAD"/>
    <w:rsid w:val="004A7126"/>
    <w:rsid w:val="004A79E8"/>
    <w:rsid w:val="004A7CCD"/>
    <w:rsid w:val="004B280A"/>
    <w:rsid w:val="004B2F1D"/>
    <w:rsid w:val="004B4BA2"/>
    <w:rsid w:val="004B4E44"/>
    <w:rsid w:val="004B6177"/>
    <w:rsid w:val="004B710A"/>
    <w:rsid w:val="004C10D9"/>
    <w:rsid w:val="004C7EE0"/>
    <w:rsid w:val="004D21CF"/>
    <w:rsid w:val="004D3933"/>
    <w:rsid w:val="004D4EC5"/>
    <w:rsid w:val="004D5B7A"/>
    <w:rsid w:val="004D79D0"/>
    <w:rsid w:val="004E05BC"/>
    <w:rsid w:val="004E0F06"/>
    <w:rsid w:val="004E11FF"/>
    <w:rsid w:val="004E35AD"/>
    <w:rsid w:val="004E36E4"/>
    <w:rsid w:val="004E3EE8"/>
    <w:rsid w:val="004E5268"/>
    <w:rsid w:val="004E59E1"/>
    <w:rsid w:val="004E6200"/>
    <w:rsid w:val="004E7CB5"/>
    <w:rsid w:val="004F0BD1"/>
    <w:rsid w:val="004F2CDC"/>
    <w:rsid w:val="004F3AF4"/>
    <w:rsid w:val="004F3B01"/>
    <w:rsid w:val="00503EC7"/>
    <w:rsid w:val="0050529E"/>
    <w:rsid w:val="0050795C"/>
    <w:rsid w:val="00507AD1"/>
    <w:rsid w:val="00511605"/>
    <w:rsid w:val="00516187"/>
    <w:rsid w:val="00516A51"/>
    <w:rsid w:val="00520674"/>
    <w:rsid w:val="00520AAC"/>
    <w:rsid w:val="0052133D"/>
    <w:rsid w:val="005220B8"/>
    <w:rsid w:val="00524DCC"/>
    <w:rsid w:val="005257EA"/>
    <w:rsid w:val="00525921"/>
    <w:rsid w:val="005265D1"/>
    <w:rsid w:val="00526E4E"/>
    <w:rsid w:val="005302C5"/>
    <w:rsid w:val="005324A3"/>
    <w:rsid w:val="00532A6A"/>
    <w:rsid w:val="00533BA8"/>
    <w:rsid w:val="00535970"/>
    <w:rsid w:val="0053638D"/>
    <w:rsid w:val="005368A6"/>
    <w:rsid w:val="00540432"/>
    <w:rsid w:val="00540ED9"/>
    <w:rsid w:val="005437CD"/>
    <w:rsid w:val="005444AD"/>
    <w:rsid w:val="00544C7D"/>
    <w:rsid w:val="00545A16"/>
    <w:rsid w:val="00545CAA"/>
    <w:rsid w:val="00547157"/>
    <w:rsid w:val="00547CB8"/>
    <w:rsid w:val="00551224"/>
    <w:rsid w:val="005525E9"/>
    <w:rsid w:val="005529E8"/>
    <w:rsid w:val="00554DB9"/>
    <w:rsid w:val="0055657A"/>
    <w:rsid w:val="0055718B"/>
    <w:rsid w:val="005635F5"/>
    <w:rsid w:val="00565230"/>
    <w:rsid w:val="0056711E"/>
    <w:rsid w:val="0056718E"/>
    <w:rsid w:val="0056775B"/>
    <w:rsid w:val="005701AE"/>
    <w:rsid w:val="005722FA"/>
    <w:rsid w:val="00572496"/>
    <w:rsid w:val="0057314E"/>
    <w:rsid w:val="005738B4"/>
    <w:rsid w:val="00574109"/>
    <w:rsid w:val="00576079"/>
    <w:rsid w:val="005771F5"/>
    <w:rsid w:val="00577709"/>
    <w:rsid w:val="005808CB"/>
    <w:rsid w:val="00580A29"/>
    <w:rsid w:val="005811DA"/>
    <w:rsid w:val="00582F49"/>
    <w:rsid w:val="00584118"/>
    <w:rsid w:val="00591F79"/>
    <w:rsid w:val="00592A81"/>
    <w:rsid w:val="00595471"/>
    <w:rsid w:val="005A0ED4"/>
    <w:rsid w:val="005A10C6"/>
    <w:rsid w:val="005A1D03"/>
    <w:rsid w:val="005A1D35"/>
    <w:rsid w:val="005A1DEB"/>
    <w:rsid w:val="005A23FC"/>
    <w:rsid w:val="005A40C1"/>
    <w:rsid w:val="005A4682"/>
    <w:rsid w:val="005A6758"/>
    <w:rsid w:val="005A799F"/>
    <w:rsid w:val="005B0265"/>
    <w:rsid w:val="005B0EE2"/>
    <w:rsid w:val="005B1809"/>
    <w:rsid w:val="005B1D6F"/>
    <w:rsid w:val="005B304E"/>
    <w:rsid w:val="005B34D5"/>
    <w:rsid w:val="005B35BA"/>
    <w:rsid w:val="005B669F"/>
    <w:rsid w:val="005B6EA3"/>
    <w:rsid w:val="005B71AC"/>
    <w:rsid w:val="005C01EA"/>
    <w:rsid w:val="005C2D07"/>
    <w:rsid w:val="005C53E6"/>
    <w:rsid w:val="005C5A58"/>
    <w:rsid w:val="005C688E"/>
    <w:rsid w:val="005C6E69"/>
    <w:rsid w:val="005C720B"/>
    <w:rsid w:val="005C763C"/>
    <w:rsid w:val="005C7725"/>
    <w:rsid w:val="005C7850"/>
    <w:rsid w:val="005D0FC3"/>
    <w:rsid w:val="005D3846"/>
    <w:rsid w:val="005D592F"/>
    <w:rsid w:val="005D6E69"/>
    <w:rsid w:val="005D7533"/>
    <w:rsid w:val="005D78A4"/>
    <w:rsid w:val="005E010F"/>
    <w:rsid w:val="005E043C"/>
    <w:rsid w:val="005E4D3E"/>
    <w:rsid w:val="005E5E9E"/>
    <w:rsid w:val="005E6A4F"/>
    <w:rsid w:val="005F303D"/>
    <w:rsid w:val="005F3F4C"/>
    <w:rsid w:val="005F4CC5"/>
    <w:rsid w:val="005F6288"/>
    <w:rsid w:val="005F6EF3"/>
    <w:rsid w:val="005F71FD"/>
    <w:rsid w:val="006018AB"/>
    <w:rsid w:val="0060383A"/>
    <w:rsid w:val="00603F52"/>
    <w:rsid w:val="00604A6C"/>
    <w:rsid w:val="006059BF"/>
    <w:rsid w:val="00606827"/>
    <w:rsid w:val="00610E7F"/>
    <w:rsid w:val="00611233"/>
    <w:rsid w:val="00613741"/>
    <w:rsid w:val="00614507"/>
    <w:rsid w:val="00615E70"/>
    <w:rsid w:val="006162AF"/>
    <w:rsid w:val="00623467"/>
    <w:rsid w:val="00625FAC"/>
    <w:rsid w:val="0062667F"/>
    <w:rsid w:val="006302B7"/>
    <w:rsid w:val="00632492"/>
    <w:rsid w:val="00633121"/>
    <w:rsid w:val="00636D8A"/>
    <w:rsid w:val="0064158B"/>
    <w:rsid w:val="006419D3"/>
    <w:rsid w:val="00641DE2"/>
    <w:rsid w:val="00643D25"/>
    <w:rsid w:val="00643FD4"/>
    <w:rsid w:val="00644EBD"/>
    <w:rsid w:val="0065362C"/>
    <w:rsid w:val="006551DF"/>
    <w:rsid w:val="00655BC8"/>
    <w:rsid w:val="00660135"/>
    <w:rsid w:val="006604CA"/>
    <w:rsid w:val="006629E2"/>
    <w:rsid w:val="00664BF9"/>
    <w:rsid w:val="00665A66"/>
    <w:rsid w:val="0066692D"/>
    <w:rsid w:val="00667E0D"/>
    <w:rsid w:val="00670017"/>
    <w:rsid w:val="00670986"/>
    <w:rsid w:val="00670EBB"/>
    <w:rsid w:val="006713B0"/>
    <w:rsid w:val="00671F1C"/>
    <w:rsid w:val="00673242"/>
    <w:rsid w:val="00676DFA"/>
    <w:rsid w:val="0068145F"/>
    <w:rsid w:val="00683DA9"/>
    <w:rsid w:val="00690536"/>
    <w:rsid w:val="0069088B"/>
    <w:rsid w:val="00691E3E"/>
    <w:rsid w:val="00695498"/>
    <w:rsid w:val="00695E68"/>
    <w:rsid w:val="0069663A"/>
    <w:rsid w:val="006A0C51"/>
    <w:rsid w:val="006A2497"/>
    <w:rsid w:val="006B24A2"/>
    <w:rsid w:val="006B2979"/>
    <w:rsid w:val="006B5733"/>
    <w:rsid w:val="006B7406"/>
    <w:rsid w:val="006B7D07"/>
    <w:rsid w:val="006C2A1D"/>
    <w:rsid w:val="006D1242"/>
    <w:rsid w:val="006D168A"/>
    <w:rsid w:val="006D2995"/>
    <w:rsid w:val="006D30D8"/>
    <w:rsid w:val="006D337E"/>
    <w:rsid w:val="006D6B7C"/>
    <w:rsid w:val="006E0950"/>
    <w:rsid w:val="006E0C0D"/>
    <w:rsid w:val="006E1CDD"/>
    <w:rsid w:val="006E2B4F"/>
    <w:rsid w:val="006E4812"/>
    <w:rsid w:val="006E5A32"/>
    <w:rsid w:val="006E62F2"/>
    <w:rsid w:val="006E7410"/>
    <w:rsid w:val="006F2E02"/>
    <w:rsid w:val="006F48E2"/>
    <w:rsid w:val="006F51F8"/>
    <w:rsid w:val="006F5DE4"/>
    <w:rsid w:val="006F71C3"/>
    <w:rsid w:val="006F71F9"/>
    <w:rsid w:val="006F7E62"/>
    <w:rsid w:val="006F7E6A"/>
    <w:rsid w:val="007004F6"/>
    <w:rsid w:val="00700F69"/>
    <w:rsid w:val="00701E88"/>
    <w:rsid w:val="00706C47"/>
    <w:rsid w:val="00706FA8"/>
    <w:rsid w:val="0070777A"/>
    <w:rsid w:val="00711E37"/>
    <w:rsid w:val="00711E53"/>
    <w:rsid w:val="0071296D"/>
    <w:rsid w:val="00713A5F"/>
    <w:rsid w:val="00714281"/>
    <w:rsid w:val="007151D8"/>
    <w:rsid w:val="0071522F"/>
    <w:rsid w:val="00715643"/>
    <w:rsid w:val="0072090B"/>
    <w:rsid w:val="00722C54"/>
    <w:rsid w:val="00731F66"/>
    <w:rsid w:val="00735808"/>
    <w:rsid w:val="00735E29"/>
    <w:rsid w:val="00741836"/>
    <w:rsid w:val="00742F5C"/>
    <w:rsid w:val="0074418D"/>
    <w:rsid w:val="00744344"/>
    <w:rsid w:val="0074591E"/>
    <w:rsid w:val="00747CA4"/>
    <w:rsid w:val="00750971"/>
    <w:rsid w:val="007510C3"/>
    <w:rsid w:val="00753F8B"/>
    <w:rsid w:val="0075479F"/>
    <w:rsid w:val="007553E7"/>
    <w:rsid w:val="00755AF3"/>
    <w:rsid w:val="007561DB"/>
    <w:rsid w:val="00757466"/>
    <w:rsid w:val="00762B48"/>
    <w:rsid w:val="007638CA"/>
    <w:rsid w:val="00764E65"/>
    <w:rsid w:val="00765249"/>
    <w:rsid w:val="00765EC7"/>
    <w:rsid w:val="007677AC"/>
    <w:rsid w:val="007678B2"/>
    <w:rsid w:val="00770056"/>
    <w:rsid w:val="00770D36"/>
    <w:rsid w:val="00770F9F"/>
    <w:rsid w:val="00771190"/>
    <w:rsid w:val="00773B8E"/>
    <w:rsid w:val="0077486A"/>
    <w:rsid w:val="00774CC4"/>
    <w:rsid w:val="0077552C"/>
    <w:rsid w:val="0078396F"/>
    <w:rsid w:val="00783EFA"/>
    <w:rsid w:val="00786A82"/>
    <w:rsid w:val="00790231"/>
    <w:rsid w:val="00790C2E"/>
    <w:rsid w:val="00790CF0"/>
    <w:rsid w:val="00792F64"/>
    <w:rsid w:val="00795ACD"/>
    <w:rsid w:val="00797BCF"/>
    <w:rsid w:val="007A00EA"/>
    <w:rsid w:val="007A06B8"/>
    <w:rsid w:val="007A48EF"/>
    <w:rsid w:val="007A5473"/>
    <w:rsid w:val="007A56D3"/>
    <w:rsid w:val="007A7B27"/>
    <w:rsid w:val="007A7CC6"/>
    <w:rsid w:val="007B2953"/>
    <w:rsid w:val="007B2EBB"/>
    <w:rsid w:val="007B40E6"/>
    <w:rsid w:val="007B4B16"/>
    <w:rsid w:val="007B67F5"/>
    <w:rsid w:val="007B740F"/>
    <w:rsid w:val="007B768A"/>
    <w:rsid w:val="007C1307"/>
    <w:rsid w:val="007C25A8"/>
    <w:rsid w:val="007D2BC5"/>
    <w:rsid w:val="007D319E"/>
    <w:rsid w:val="007D51D8"/>
    <w:rsid w:val="007E158F"/>
    <w:rsid w:val="007E1E09"/>
    <w:rsid w:val="007E26FC"/>
    <w:rsid w:val="007E3C7D"/>
    <w:rsid w:val="007E70F8"/>
    <w:rsid w:val="007E7576"/>
    <w:rsid w:val="007F149F"/>
    <w:rsid w:val="007F44C2"/>
    <w:rsid w:val="007F577F"/>
    <w:rsid w:val="007F5F2A"/>
    <w:rsid w:val="007F6DB5"/>
    <w:rsid w:val="007F79D0"/>
    <w:rsid w:val="007F7AB4"/>
    <w:rsid w:val="0080138D"/>
    <w:rsid w:val="00801982"/>
    <w:rsid w:val="00801EC0"/>
    <w:rsid w:val="00803850"/>
    <w:rsid w:val="00805842"/>
    <w:rsid w:val="008058B3"/>
    <w:rsid w:val="00807393"/>
    <w:rsid w:val="00814B55"/>
    <w:rsid w:val="00814BC8"/>
    <w:rsid w:val="008169BE"/>
    <w:rsid w:val="008175A8"/>
    <w:rsid w:val="0081788C"/>
    <w:rsid w:val="00817A41"/>
    <w:rsid w:val="00817B08"/>
    <w:rsid w:val="00820317"/>
    <w:rsid w:val="0082097C"/>
    <w:rsid w:val="00821F8F"/>
    <w:rsid w:val="00824F93"/>
    <w:rsid w:val="00825262"/>
    <w:rsid w:val="00825B36"/>
    <w:rsid w:val="00827CB5"/>
    <w:rsid w:val="008314E3"/>
    <w:rsid w:val="00832240"/>
    <w:rsid w:val="0083371A"/>
    <w:rsid w:val="00833E98"/>
    <w:rsid w:val="008346DD"/>
    <w:rsid w:val="00834772"/>
    <w:rsid w:val="00836EA4"/>
    <w:rsid w:val="00837808"/>
    <w:rsid w:val="008409F2"/>
    <w:rsid w:val="00840F9F"/>
    <w:rsid w:val="008447DF"/>
    <w:rsid w:val="0084627E"/>
    <w:rsid w:val="00846B1F"/>
    <w:rsid w:val="00846C61"/>
    <w:rsid w:val="00853381"/>
    <w:rsid w:val="008558B8"/>
    <w:rsid w:val="0086051E"/>
    <w:rsid w:val="00860AB9"/>
    <w:rsid w:val="00861042"/>
    <w:rsid w:val="00861BF9"/>
    <w:rsid w:val="008637DA"/>
    <w:rsid w:val="00866CC6"/>
    <w:rsid w:val="008674B9"/>
    <w:rsid w:val="00867D55"/>
    <w:rsid w:val="00873C2E"/>
    <w:rsid w:val="00873F19"/>
    <w:rsid w:val="0087680D"/>
    <w:rsid w:val="00877328"/>
    <w:rsid w:val="008778AE"/>
    <w:rsid w:val="008807E6"/>
    <w:rsid w:val="00882F9D"/>
    <w:rsid w:val="008846A7"/>
    <w:rsid w:val="00884953"/>
    <w:rsid w:val="00885229"/>
    <w:rsid w:val="0088560A"/>
    <w:rsid w:val="00886A6B"/>
    <w:rsid w:val="00891978"/>
    <w:rsid w:val="00894D6D"/>
    <w:rsid w:val="00895008"/>
    <w:rsid w:val="0089766C"/>
    <w:rsid w:val="00897803"/>
    <w:rsid w:val="008A0059"/>
    <w:rsid w:val="008A1D05"/>
    <w:rsid w:val="008A231A"/>
    <w:rsid w:val="008A2C2A"/>
    <w:rsid w:val="008A4C74"/>
    <w:rsid w:val="008A5AFA"/>
    <w:rsid w:val="008A5CFC"/>
    <w:rsid w:val="008A5E39"/>
    <w:rsid w:val="008A71B1"/>
    <w:rsid w:val="008B20FD"/>
    <w:rsid w:val="008B37A4"/>
    <w:rsid w:val="008B6629"/>
    <w:rsid w:val="008C17E1"/>
    <w:rsid w:val="008C2C1B"/>
    <w:rsid w:val="008C5125"/>
    <w:rsid w:val="008C7CDE"/>
    <w:rsid w:val="008D35D0"/>
    <w:rsid w:val="008D3C1A"/>
    <w:rsid w:val="008D3DE5"/>
    <w:rsid w:val="008D3F6A"/>
    <w:rsid w:val="008D551D"/>
    <w:rsid w:val="008D665A"/>
    <w:rsid w:val="008D6775"/>
    <w:rsid w:val="008D70BE"/>
    <w:rsid w:val="008D7C6A"/>
    <w:rsid w:val="008E022F"/>
    <w:rsid w:val="008E090D"/>
    <w:rsid w:val="008E2081"/>
    <w:rsid w:val="008E2A0C"/>
    <w:rsid w:val="008F1BAF"/>
    <w:rsid w:val="008F4672"/>
    <w:rsid w:val="008F5268"/>
    <w:rsid w:val="008F6DB8"/>
    <w:rsid w:val="009004F8"/>
    <w:rsid w:val="009013CA"/>
    <w:rsid w:val="00903616"/>
    <w:rsid w:val="00903AE2"/>
    <w:rsid w:val="00904426"/>
    <w:rsid w:val="00912449"/>
    <w:rsid w:val="009128D2"/>
    <w:rsid w:val="0091296F"/>
    <w:rsid w:val="00912F01"/>
    <w:rsid w:val="00913EBE"/>
    <w:rsid w:val="00914273"/>
    <w:rsid w:val="00916022"/>
    <w:rsid w:val="009214F1"/>
    <w:rsid w:val="0092211B"/>
    <w:rsid w:val="009222BF"/>
    <w:rsid w:val="00922AAE"/>
    <w:rsid w:val="00922E34"/>
    <w:rsid w:val="00926010"/>
    <w:rsid w:val="00926EC8"/>
    <w:rsid w:val="00932237"/>
    <w:rsid w:val="00932893"/>
    <w:rsid w:val="009330ED"/>
    <w:rsid w:val="009357C3"/>
    <w:rsid w:val="00936A77"/>
    <w:rsid w:val="00941D89"/>
    <w:rsid w:val="00945111"/>
    <w:rsid w:val="0094556D"/>
    <w:rsid w:val="00945C31"/>
    <w:rsid w:val="009464F6"/>
    <w:rsid w:val="00952E0B"/>
    <w:rsid w:val="0095322F"/>
    <w:rsid w:val="00953661"/>
    <w:rsid w:val="0095579D"/>
    <w:rsid w:val="00960179"/>
    <w:rsid w:val="00961808"/>
    <w:rsid w:val="00961822"/>
    <w:rsid w:val="009648B3"/>
    <w:rsid w:val="00971B64"/>
    <w:rsid w:val="00972402"/>
    <w:rsid w:val="00972CEF"/>
    <w:rsid w:val="009745CB"/>
    <w:rsid w:val="0097747E"/>
    <w:rsid w:val="009777D5"/>
    <w:rsid w:val="009848EE"/>
    <w:rsid w:val="00987102"/>
    <w:rsid w:val="0099221E"/>
    <w:rsid w:val="00994BD3"/>
    <w:rsid w:val="009954D6"/>
    <w:rsid w:val="009959A9"/>
    <w:rsid w:val="00996608"/>
    <w:rsid w:val="00996970"/>
    <w:rsid w:val="00997BAD"/>
    <w:rsid w:val="009A077B"/>
    <w:rsid w:val="009A1212"/>
    <w:rsid w:val="009A5411"/>
    <w:rsid w:val="009A7236"/>
    <w:rsid w:val="009A7984"/>
    <w:rsid w:val="009B2777"/>
    <w:rsid w:val="009B2CB9"/>
    <w:rsid w:val="009B3E59"/>
    <w:rsid w:val="009B5D6F"/>
    <w:rsid w:val="009B6FEB"/>
    <w:rsid w:val="009C063B"/>
    <w:rsid w:val="009C18EA"/>
    <w:rsid w:val="009C2D84"/>
    <w:rsid w:val="009C620C"/>
    <w:rsid w:val="009C779C"/>
    <w:rsid w:val="009D0539"/>
    <w:rsid w:val="009D3F3B"/>
    <w:rsid w:val="009D543F"/>
    <w:rsid w:val="009D578D"/>
    <w:rsid w:val="009D7280"/>
    <w:rsid w:val="009E12DA"/>
    <w:rsid w:val="009E2B7E"/>
    <w:rsid w:val="009E2B9A"/>
    <w:rsid w:val="009E44FC"/>
    <w:rsid w:val="009E4DD5"/>
    <w:rsid w:val="009E5EE7"/>
    <w:rsid w:val="009F4F60"/>
    <w:rsid w:val="009F5F60"/>
    <w:rsid w:val="009F6FC6"/>
    <w:rsid w:val="009F776A"/>
    <w:rsid w:val="00A00BF7"/>
    <w:rsid w:val="00A01648"/>
    <w:rsid w:val="00A03A9E"/>
    <w:rsid w:val="00A069E9"/>
    <w:rsid w:val="00A12228"/>
    <w:rsid w:val="00A12BBE"/>
    <w:rsid w:val="00A1459F"/>
    <w:rsid w:val="00A159C1"/>
    <w:rsid w:val="00A1704E"/>
    <w:rsid w:val="00A201C3"/>
    <w:rsid w:val="00A204A9"/>
    <w:rsid w:val="00A2250E"/>
    <w:rsid w:val="00A24C4F"/>
    <w:rsid w:val="00A25974"/>
    <w:rsid w:val="00A267B8"/>
    <w:rsid w:val="00A26F26"/>
    <w:rsid w:val="00A31FBE"/>
    <w:rsid w:val="00A3238A"/>
    <w:rsid w:val="00A34044"/>
    <w:rsid w:val="00A3688E"/>
    <w:rsid w:val="00A402B4"/>
    <w:rsid w:val="00A40A0B"/>
    <w:rsid w:val="00A42943"/>
    <w:rsid w:val="00A441BE"/>
    <w:rsid w:val="00A445B0"/>
    <w:rsid w:val="00A47B53"/>
    <w:rsid w:val="00A502D9"/>
    <w:rsid w:val="00A51479"/>
    <w:rsid w:val="00A5509A"/>
    <w:rsid w:val="00A554B2"/>
    <w:rsid w:val="00A56E1C"/>
    <w:rsid w:val="00A57109"/>
    <w:rsid w:val="00A578D0"/>
    <w:rsid w:val="00A578FB"/>
    <w:rsid w:val="00A61AB6"/>
    <w:rsid w:val="00A61F56"/>
    <w:rsid w:val="00A645EF"/>
    <w:rsid w:val="00A6599C"/>
    <w:rsid w:val="00A65C4A"/>
    <w:rsid w:val="00A7147D"/>
    <w:rsid w:val="00A73630"/>
    <w:rsid w:val="00A7454D"/>
    <w:rsid w:val="00A80CF7"/>
    <w:rsid w:val="00A818A4"/>
    <w:rsid w:val="00A85CD2"/>
    <w:rsid w:val="00A8696F"/>
    <w:rsid w:val="00A924E9"/>
    <w:rsid w:val="00A9312A"/>
    <w:rsid w:val="00A94E59"/>
    <w:rsid w:val="00A959BE"/>
    <w:rsid w:val="00A97B06"/>
    <w:rsid w:val="00AA1A82"/>
    <w:rsid w:val="00AA2F64"/>
    <w:rsid w:val="00AA3513"/>
    <w:rsid w:val="00AA659B"/>
    <w:rsid w:val="00AB04E5"/>
    <w:rsid w:val="00AB0D6B"/>
    <w:rsid w:val="00AB1836"/>
    <w:rsid w:val="00AB1C99"/>
    <w:rsid w:val="00AB1F5D"/>
    <w:rsid w:val="00AB6801"/>
    <w:rsid w:val="00AB6FBA"/>
    <w:rsid w:val="00AB714F"/>
    <w:rsid w:val="00AC47C3"/>
    <w:rsid w:val="00AC4FB5"/>
    <w:rsid w:val="00AC69D9"/>
    <w:rsid w:val="00AC6D11"/>
    <w:rsid w:val="00AC6F57"/>
    <w:rsid w:val="00AC730B"/>
    <w:rsid w:val="00AC7E01"/>
    <w:rsid w:val="00AD04DB"/>
    <w:rsid w:val="00AD426C"/>
    <w:rsid w:val="00AD5CF3"/>
    <w:rsid w:val="00AD6A96"/>
    <w:rsid w:val="00AE0C44"/>
    <w:rsid w:val="00AE134F"/>
    <w:rsid w:val="00AE1FFA"/>
    <w:rsid w:val="00AE27CD"/>
    <w:rsid w:val="00AE3AA3"/>
    <w:rsid w:val="00AE3CCF"/>
    <w:rsid w:val="00AE5270"/>
    <w:rsid w:val="00AE6137"/>
    <w:rsid w:val="00AE780E"/>
    <w:rsid w:val="00AE7A91"/>
    <w:rsid w:val="00AE7E84"/>
    <w:rsid w:val="00AF012F"/>
    <w:rsid w:val="00AF0228"/>
    <w:rsid w:val="00AF099D"/>
    <w:rsid w:val="00AF0F13"/>
    <w:rsid w:val="00AF166F"/>
    <w:rsid w:val="00AF24CD"/>
    <w:rsid w:val="00AF42DA"/>
    <w:rsid w:val="00AF4457"/>
    <w:rsid w:val="00B00E26"/>
    <w:rsid w:val="00B0360F"/>
    <w:rsid w:val="00B05228"/>
    <w:rsid w:val="00B12AE4"/>
    <w:rsid w:val="00B14014"/>
    <w:rsid w:val="00B1558B"/>
    <w:rsid w:val="00B17B2B"/>
    <w:rsid w:val="00B211A0"/>
    <w:rsid w:val="00B21E97"/>
    <w:rsid w:val="00B238B3"/>
    <w:rsid w:val="00B24185"/>
    <w:rsid w:val="00B27267"/>
    <w:rsid w:val="00B276ED"/>
    <w:rsid w:val="00B31B79"/>
    <w:rsid w:val="00B32BE9"/>
    <w:rsid w:val="00B33324"/>
    <w:rsid w:val="00B33886"/>
    <w:rsid w:val="00B35D2D"/>
    <w:rsid w:val="00B406C2"/>
    <w:rsid w:val="00B421D6"/>
    <w:rsid w:val="00B463F7"/>
    <w:rsid w:val="00B46F34"/>
    <w:rsid w:val="00B47CEB"/>
    <w:rsid w:val="00B51622"/>
    <w:rsid w:val="00B51EB7"/>
    <w:rsid w:val="00B52EB6"/>
    <w:rsid w:val="00B55A40"/>
    <w:rsid w:val="00B57C65"/>
    <w:rsid w:val="00B57C67"/>
    <w:rsid w:val="00B610ED"/>
    <w:rsid w:val="00B61E42"/>
    <w:rsid w:val="00B63471"/>
    <w:rsid w:val="00B6386D"/>
    <w:rsid w:val="00B646D5"/>
    <w:rsid w:val="00B6512D"/>
    <w:rsid w:val="00B671D7"/>
    <w:rsid w:val="00B6767C"/>
    <w:rsid w:val="00B67F61"/>
    <w:rsid w:val="00B700C1"/>
    <w:rsid w:val="00B72534"/>
    <w:rsid w:val="00B72996"/>
    <w:rsid w:val="00B73655"/>
    <w:rsid w:val="00B73AE3"/>
    <w:rsid w:val="00B80D14"/>
    <w:rsid w:val="00B83868"/>
    <w:rsid w:val="00B861A4"/>
    <w:rsid w:val="00B86F82"/>
    <w:rsid w:val="00B904BD"/>
    <w:rsid w:val="00B90CBA"/>
    <w:rsid w:val="00B91384"/>
    <w:rsid w:val="00B92E60"/>
    <w:rsid w:val="00B92F12"/>
    <w:rsid w:val="00B94705"/>
    <w:rsid w:val="00B94E25"/>
    <w:rsid w:val="00B96AAB"/>
    <w:rsid w:val="00B97FB7"/>
    <w:rsid w:val="00BB34AC"/>
    <w:rsid w:val="00BB3799"/>
    <w:rsid w:val="00BB4A51"/>
    <w:rsid w:val="00BB66D4"/>
    <w:rsid w:val="00BC0F9C"/>
    <w:rsid w:val="00BC1545"/>
    <w:rsid w:val="00BC1743"/>
    <w:rsid w:val="00BC1DD1"/>
    <w:rsid w:val="00BC301F"/>
    <w:rsid w:val="00BC48B1"/>
    <w:rsid w:val="00BC4EA7"/>
    <w:rsid w:val="00BC4F31"/>
    <w:rsid w:val="00BC6088"/>
    <w:rsid w:val="00BC7A63"/>
    <w:rsid w:val="00BC7DEE"/>
    <w:rsid w:val="00BC7F02"/>
    <w:rsid w:val="00BD11CC"/>
    <w:rsid w:val="00BD12DF"/>
    <w:rsid w:val="00BD1F63"/>
    <w:rsid w:val="00BD2674"/>
    <w:rsid w:val="00BD3530"/>
    <w:rsid w:val="00BD50FD"/>
    <w:rsid w:val="00BD54A2"/>
    <w:rsid w:val="00BD57CA"/>
    <w:rsid w:val="00BD5983"/>
    <w:rsid w:val="00BE3AE8"/>
    <w:rsid w:val="00BE5F07"/>
    <w:rsid w:val="00BF1275"/>
    <w:rsid w:val="00BF4E02"/>
    <w:rsid w:val="00BF54DC"/>
    <w:rsid w:val="00BF5E46"/>
    <w:rsid w:val="00BF5ED8"/>
    <w:rsid w:val="00BF60F5"/>
    <w:rsid w:val="00BF621E"/>
    <w:rsid w:val="00BF69A1"/>
    <w:rsid w:val="00C0447D"/>
    <w:rsid w:val="00C04ACF"/>
    <w:rsid w:val="00C04C66"/>
    <w:rsid w:val="00C1095D"/>
    <w:rsid w:val="00C113A6"/>
    <w:rsid w:val="00C1154C"/>
    <w:rsid w:val="00C1402F"/>
    <w:rsid w:val="00C16C1C"/>
    <w:rsid w:val="00C17309"/>
    <w:rsid w:val="00C2073D"/>
    <w:rsid w:val="00C21594"/>
    <w:rsid w:val="00C21A26"/>
    <w:rsid w:val="00C23872"/>
    <w:rsid w:val="00C245C6"/>
    <w:rsid w:val="00C252C2"/>
    <w:rsid w:val="00C304B9"/>
    <w:rsid w:val="00C31189"/>
    <w:rsid w:val="00C32FAA"/>
    <w:rsid w:val="00C359B1"/>
    <w:rsid w:val="00C36453"/>
    <w:rsid w:val="00C3690E"/>
    <w:rsid w:val="00C37C27"/>
    <w:rsid w:val="00C4273E"/>
    <w:rsid w:val="00C4686B"/>
    <w:rsid w:val="00C51FBF"/>
    <w:rsid w:val="00C521EE"/>
    <w:rsid w:val="00C562E1"/>
    <w:rsid w:val="00C57563"/>
    <w:rsid w:val="00C578FF"/>
    <w:rsid w:val="00C57BC6"/>
    <w:rsid w:val="00C605C6"/>
    <w:rsid w:val="00C618F6"/>
    <w:rsid w:val="00C62367"/>
    <w:rsid w:val="00C65E0B"/>
    <w:rsid w:val="00C71559"/>
    <w:rsid w:val="00C71FD6"/>
    <w:rsid w:val="00C72EF9"/>
    <w:rsid w:val="00C73D8F"/>
    <w:rsid w:val="00C749BB"/>
    <w:rsid w:val="00C75AB3"/>
    <w:rsid w:val="00C824A4"/>
    <w:rsid w:val="00C84D80"/>
    <w:rsid w:val="00C863EC"/>
    <w:rsid w:val="00C86E76"/>
    <w:rsid w:val="00C871D0"/>
    <w:rsid w:val="00C9183E"/>
    <w:rsid w:val="00C918F8"/>
    <w:rsid w:val="00C92327"/>
    <w:rsid w:val="00C9258C"/>
    <w:rsid w:val="00C94DE7"/>
    <w:rsid w:val="00C94EA0"/>
    <w:rsid w:val="00C9553E"/>
    <w:rsid w:val="00C95573"/>
    <w:rsid w:val="00C95AF1"/>
    <w:rsid w:val="00C97757"/>
    <w:rsid w:val="00C97B5F"/>
    <w:rsid w:val="00CA232D"/>
    <w:rsid w:val="00CA2E68"/>
    <w:rsid w:val="00CA42F9"/>
    <w:rsid w:val="00CA6D7B"/>
    <w:rsid w:val="00CB0E3B"/>
    <w:rsid w:val="00CB1C6F"/>
    <w:rsid w:val="00CB2FC2"/>
    <w:rsid w:val="00CB6210"/>
    <w:rsid w:val="00CB629F"/>
    <w:rsid w:val="00CB7C70"/>
    <w:rsid w:val="00CB7EF0"/>
    <w:rsid w:val="00CC0220"/>
    <w:rsid w:val="00CC124F"/>
    <w:rsid w:val="00CC1DD2"/>
    <w:rsid w:val="00CC5D1D"/>
    <w:rsid w:val="00CC788C"/>
    <w:rsid w:val="00CC7CB7"/>
    <w:rsid w:val="00CD2018"/>
    <w:rsid w:val="00CD2AA3"/>
    <w:rsid w:val="00CD3BBA"/>
    <w:rsid w:val="00CD74C2"/>
    <w:rsid w:val="00CD7B96"/>
    <w:rsid w:val="00CE0EB3"/>
    <w:rsid w:val="00CE233B"/>
    <w:rsid w:val="00CE3992"/>
    <w:rsid w:val="00CE455C"/>
    <w:rsid w:val="00CE4BA4"/>
    <w:rsid w:val="00CE572E"/>
    <w:rsid w:val="00CE63C1"/>
    <w:rsid w:val="00CE74E8"/>
    <w:rsid w:val="00CF2045"/>
    <w:rsid w:val="00CF5AA3"/>
    <w:rsid w:val="00CF6854"/>
    <w:rsid w:val="00CF744C"/>
    <w:rsid w:val="00D03676"/>
    <w:rsid w:val="00D0383A"/>
    <w:rsid w:val="00D06B78"/>
    <w:rsid w:val="00D079F1"/>
    <w:rsid w:val="00D10138"/>
    <w:rsid w:val="00D1041B"/>
    <w:rsid w:val="00D10AB6"/>
    <w:rsid w:val="00D11011"/>
    <w:rsid w:val="00D11512"/>
    <w:rsid w:val="00D11F3C"/>
    <w:rsid w:val="00D150CF"/>
    <w:rsid w:val="00D15965"/>
    <w:rsid w:val="00D168C5"/>
    <w:rsid w:val="00D21597"/>
    <w:rsid w:val="00D21D95"/>
    <w:rsid w:val="00D23576"/>
    <w:rsid w:val="00D239E9"/>
    <w:rsid w:val="00D23F67"/>
    <w:rsid w:val="00D2411E"/>
    <w:rsid w:val="00D24C3E"/>
    <w:rsid w:val="00D27D9D"/>
    <w:rsid w:val="00D31CF9"/>
    <w:rsid w:val="00D32618"/>
    <w:rsid w:val="00D33616"/>
    <w:rsid w:val="00D35D87"/>
    <w:rsid w:val="00D36B56"/>
    <w:rsid w:val="00D3710A"/>
    <w:rsid w:val="00D37A40"/>
    <w:rsid w:val="00D40210"/>
    <w:rsid w:val="00D41336"/>
    <w:rsid w:val="00D42168"/>
    <w:rsid w:val="00D43F4B"/>
    <w:rsid w:val="00D44BC6"/>
    <w:rsid w:val="00D450D6"/>
    <w:rsid w:val="00D45D8B"/>
    <w:rsid w:val="00D50161"/>
    <w:rsid w:val="00D50648"/>
    <w:rsid w:val="00D50942"/>
    <w:rsid w:val="00D50DC1"/>
    <w:rsid w:val="00D50EAA"/>
    <w:rsid w:val="00D51DB2"/>
    <w:rsid w:val="00D56934"/>
    <w:rsid w:val="00D606B9"/>
    <w:rsid w:val="00D61463"/>
    <w:rsid w:val="00D61C06"/>
    <w:rsid w:val="00D62362"/>
    <w:rsid w:val="00D632E0"/>
    <w:rsid w:val="00D636A2"/>
    <w:rsid w:val="00D64696"/>
    <w:rsid w:val="00D661F7"/>
    <w:rsid w:val="00D70351"/>
    <w:rsid w:val="00D710B8"/>
    <w:rsid w:val="00D71CF1"/>
    <w:rsid w:val="00D71E69"/>
    <w:rsid w:val="00D7252E"/>
    <w:rsid w:val="00D73283"/>
    <w:rsid w:val="00D733B3"/>
    <w:rsid w:val="00D76020"/>
    <w:rsid w:val="00D7683B"/>
    <w:rsid w:val="00D76854"/>
    <w:rsid w:val="00D772A3"/>
    <w:rsid w:val="00D80AF0"/>
    <w:rsid w:val="00D80EF1"/>
    <w:rsid w:val="00D817DA"/>
    <w:rsid w:val="00D82490"/>
    <w:rsid w:val="00D866B9"/>
    <w:rsid w:val="00D867BC"/>
    <w:rsid w:val="00D86B64"/>
    <w:rsid w:val="00D90D93"/>
    <w:rsid w:val="00D9109C"/>
    <w:rsid w:val="00D917E4"/>
    <w:rsid w:val="00D918DC"/>
    <w:rsid w:val="00D91BCD"/>
    <w:rsid w:val="00D93182"/>
    <w:rsid w:val="00D9356E"/>
    <w:rsid w:val="00D93913"/>
    <w:rsid w:val="00D954A1"/>
    <w:rsid w:val="00D968D6"/>
    <w:rsid w:val="00D97376"/>
    <w:rsid w:val="00DA1A83"/>
    <w:rsid w:val="00DA237C"/>
    <w:rsid w:val="00DA2E77"/>
    <w:rsid w:val="00DA3C95"/>
    <w:rsid w:val="00DA4C79"/>
    <w:rsid w:val="00DA626D"/>
    <w:rsid w:val="00DB2FD2"/>
    <w:rsid w:val="00DB3BBA"/>
    <w:rsid w:val="00DB4040"/>
    <w:rsid w:val="00DB4BC1"/>
    <w:rsid w:val="00DB67E3"/>
    <w:rsid w:val="00DB784C"/>
    <w:rsid w:val="00DB7888"/>
    <w:rsid w:val="00DC1DDD"/>
    <w:rsid w:val="00DC49EF"/>
    <w:rsid w:val="00DD0B01"/>
    <w:rsid w:val="00DD1506"/>
    <w:rsid w:val="00DD17C3"/>
    <w:rsid w:val="00DD371C"/>
    <w:rsid w:val="00DD3A65"/>
    <w:rsid w:val="00DD40CA"/>
    <w:rsid w:val="00DD4701"/>
    <w:rsid w:val="00DD52E3"/>
    <w:rsid w:val="00DE0E72"/>
    <w:rsid w:val="00DE1B12"/>
    <w:rsid w:val="00DE2E88"/>
    <w:rsid w:val="00DE4DD3"/>
    <w:rsid w:val="00DE506D"/>
    <w:rsid w:val="00DE706F"/>
    <w:rsid w:val="00DF0439"/>
    <w:rsid w:val="00DF102F"/>
    <w:rsid w:val="00DF3E94"/>
    <w:rsid w:val="00DF5753"/>
    <w:rsid w:val="00DF5E82"/>
    <w:rsid w:val="00DF66CC"/>
    <w:rsid w:val="00E007EA"/>
    <w:rsid w:val="00E02C82"/>
    <w:rsid w:val="00E04D9C"/>
    <w:rsid w:val="00E060BB"/>
    <w:rsid w:val="00E063F9"/>
    <w:rsid w:val="00E105EF"/>
    <w:rsid w:val="00E119B4"/>
    <w:rsid w:val="00E12C29"/>
    <w:rsid w:val="00E13C71"/>
    <w:rsid w:val="00E140BD"/>
    <w:rsid w:val="00E153F4"/>
    <w:rsid w:val="00E2258A"/>
    <w:rsid w:val="00E23830"/>
    <w:rsid w:val="00E23C36"/>
    <w:rsid w:val="00E26EDA"/>
    <w:rsid w:val="00E26F00"/>
    <w:rsid w:val="00E3083B"/>
    <w:rsid w:val="00E32639"/>
    <w:rsid w:val="00E328B3"/>
    <w:rsid w:val="00E3347F"/>
    <w:rsid w:val="00E33F93"/>
    <w:rsid w:val="00E35D80"/>
    <w:rsid w:val="00E403F9"/>
    <w:rsid w:val="00E41145"/>
    <w:rsid w:val="00E4478E"/>
    <w:rsid w:val="00E45BDA"/>
    <w:rsid w:val="00E50BE1"/>
    <w:rsid w:val="00E513C1"/>
    <w:rsid w:val="00E5148B"/>
    <w:rsid w:val="00E523EA"/>
    <w:rsid w:val="00E52E3F"/>
    <w:rsid w:val="00E53AD7"/>
    <w:rsid w:val="00E54611"/>
    <w:rsid w:val="00E60408"/>
    <w:rsid w:val="00E61648"/>
    <w:rsid w:val="00E6265E"/>
    <w:rsid w:val="00E63203"/>
    <w:rsid w:val="00E665B8"/>
    <w:rsid w:val="00E665D0"/>
    <w:rsid w:val="00E70552"/>
    <w:rsid w:val="00E705EE"/>
    <w:rsid w:val="00E710BA"/>
    <w:rsid w:val="00E73FD4"/>
    <w:rsid w:val="00E7734D"/>
    <w:rsid w:val="00E82DC8"/>
    <w:rsid w:val="00E86770"/>
    <w:rsid w:val="00E86796"/>
    <w:rsid w:val="00E86E19"/>
    <w:rsid w:val="00E90E4C"/>
    <w:rsid w:val="00E90F09"/>
    <w:rsid w:val="00E918F7"/>
    <w:rsid w:val="00E9251E"/>
    <w:rsid w:val="00E92B28"/>
    <w:rsid w:val="00E94EA2"/>
    <w:rsid w:val="00E95554"/>
    <w:rsid w:val="00E96162"/>
    <w:rsid w:val="00E9638A"/>
    <w:rsid w:val="00EA023D"/>
    <w:rsid w:val="00EA0BC9"/>
    <w:rsid w:val="00EA3AFE"/>
    <w:rsid w:val="00EA581C"/>
    <w:rsid w:val="00EA5A3A"/>
    <w:rsid w:val="00EA6251"/>
    <w:rsid w:val="00EA6A01"/>
    <w:rsid w:val="00EA7864"/>
    <w:rsid w:val="00EA7B4D"/>
    <w:rsid w:val="00EB0154"/>
    <w:rsid w:val="00EB1346"/>
    <w:rsid w:val="00EB1388"/>
    <w:rsid w:val="00EB1868"/>
    <w:rsid w:val="00EB2886"/>
    <w:rsid w:val="00EB3EB1"/>
    <w:rsid w:val="00EB4543"/>
    <w:rsid w:val="00EB4869"/>
    <w:rsid w:val="00EB48BC"/>
    <w:rsid w:val="00EC32AA"/>
    <w:rsid w:val="00EC3409"/>
    <w:rsid w:val="00EC4CA9"/>
    <w:rsid w:val="00EC5ED4"/>
    <w:rsid w:val="00EC7EED"/>
    <w:rsid w:val="00ED1851"/>
    <w:rsid w:val="00ED34E6"/>
    <w:rsid w:val="00ED3BB9"/>
    <w:rsid w:val="00ED3BBF"/>
    <w:rsid w:val="00ED46CD"/>
    <w:rsid w:val="00ED6587"/>
    <w:rsid w:val="00ED738C"/>
    <w:rsid w:val="00ED751C"/>
    <w:rsid w:val="00EE1528"/>
    <w:rsid w:val="00EE6154"/>
    <w:rsid w:val="00EE66F0"/>
    <w:rsid w:val="00EE6D63"/>
    <w:rsid w:val="00EE7012"/>
    <w:rsid w:val="00EE78D6"/>
    <w:rsid w:val="00EF2EC9"/>
    <w:rsid w:val="00EF5E36"/>
    <w:rsid w:val="00EF67CA"/>
    <w:rsid w:val="00EF6CBB"/>
    <w:rsid w:val="00F01608"/>
    <w:rsid w:val="00F04440"/>
    <w:rsid w:val="00F04740"/>
    <w:rsid w:val="00F06809"/>
    <w:rsid w:val="00F07A83"/>
    <w:rsid w:val="00F12F26"/>
    <w:rsid w:val="00F138F1"/>
    <w:rsid w:val="00F16FFC"/>
    <w:rsid w:val="00F24D91"/>
    <w:rsid w:val="00F25A78"/>
    <w:rsid w:val="00F25E70"/>
    <w:rsid w:val="00F26463"/>
    <w:rsid w:val="00F30D0E"/>
    <w:rsid w:val="00F3108E"/>
    <w:rsid w:val="00F31BD1"/>
    <w:rsid w:val="00F321E4"/>
    <w:rsid w:val="00F3301D"/>
    <w:rsid w:val="00F34562"/>
    <w:rsid w:val="00F34B5B"/>
    <w:rsid w:val="00F41C96"/>
    <w:rsid w:val="00F423EA"/>
    <w:rsid w:val="00F4460E"/>
    <w:rsid w:val="00F470FB"/>
    <w:rsid w:val="00F47950"/>
    <w:rsid w:val="00F52951"/>
    <w:rsid w:val="00F54182"/>
    <w:rsid w:val="00F549BF"/>
    <w:rsid w:val="00F54AAD"/>
    <w:rsid w:val="00F56D7C"/>
    <w:rsid w:val="00F61950"/>
    <w:rsid w:val="00F62FEE"/>
    <w:rsid w:val="00F6340B"/>
    <w:rsid w:val="00F63D31"/>
    <w:rsid w:val="00F65447"/>
    <w:rsid w:val="00F65992"/>
    <w:rsid w:val="00F667EC"/>
    <w:rsid w:val="00F66EF3"/>
    <w:rsid w:val="00F70430"/>
    <w:rsid w:val="00F70781"/>
    <w:rsid w:val="00F70B7C"/>
    <w:rsid w:val="00F710A4"/>
    <w:rsid w:val="00F7171D"/>
    <w:rsid w:val="00F7315F"/>
    <w:rsid w:val="00F736EF"/>
    <w:rsid w:val="00F740DC"/>
    <w:rsid w:val="00F74B68"/>
    <w:rsid w:val="00F777ED"/>
    <w:rsid w:val="00F8563E"/>
    <w:rsid w:val="00F90272"/>
    <w:rsid w:val="00F90CF2"/>
    <w:rsid w:val="00F94668"/>
    <w:rsid w:val="00F95245"/>
    <w:rsid w:val="00F9580E"/>
    <w:rsid w:val="00F96132"/>
    <w:rsid w:val="00F97225"/>
    <w:rsid w:val="00FA07B1"/>
    <w:rsid w:val="00FA1E45"/>
    <w:rsid w:val="00FA1F4A"/>
    <w:rsid w:val="00FA2F58"/>
    <w:rsid w:val="00FA3AAF"/>
    <w:rsid w:val="00FA4999"/>
    <w:rsid w:val="00FA4B07"/>
    <w:rsid w:val="00FA4D9F"/>
    <w:rsid w:val="00FB003E"/>
    <w:rsid w:val="00FB1BEE"/>
    <w:rsid w:val="00FB20E5"/>
    <w:rsid w:val="00FB28F2"/>
    <w:rsid w:val="00FB2BDB"/>
    <w:rsid w:val="00FB33B1"/>
    <w:rsid w:val="00FB42A7"/>
    <w:rsid w:val="00FB4DC9"/>
    <w:rsid w:val="00FB59D7"/>
    <w:rsid w:val="00FC0DF7"/>
    <w:rsid w:val="00FC1A3E"/>
    <w:rsid w:val="00FD27E3"/>
    <w:rsid w:val="00FD2B0C"/>
    <w:rsid w:val="00FD334A"/>
    <w:rsid w:val="00FD4096"/>
    <w:rsid w:val="00FD4DC3"/>
    <w:rsid w:val="00FD6D3D"/>
    <w:rsid w:val="00FD71F5"/>
    <w:rsid w:val="00FD7DE0"/>
    <w:rsid w:val="00FE0256"/>
    <w:rsid w:val="00FE0334"/>
    <w:rsid w:val="00FE084E"/>
    <w:rsid w:val="00FE29AB"/>
    <w:rsid w:val="00FE369F"/>
    <w:rsid w:val="00FE4182"/>
    <w:rsid w:val="00FE42C2"/>
    <w:rsid w:val="00FE7761"/>
    <w:rsid w:val="00FF0D4B"/>
    <w:rsid w:val="00FF1ECA"/>
    <w:rsid w:val="00FF3C97"/>
    <w:rsid w:val="00FF6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C9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751C"/>
    <w:pPr>
      <w:spacing w:after="0" w:line="240" w:lineRule="auto"/>
    </w:pPr>
    <w:rPr>
      <w:rFonts w:ascii="Times New Roman" w:eastAsia="Times New Roman" w:hAnsi="Times New Roman" w:cs="Times New Roman"/>
      <w:sz w:val="24"/>
      <w:szCs w:val="20"/>
      <w:lang w:val="es-ES_tradnl"/>
    </w:rPr>
  </w:style>
  <w:style w:type="paragraph" w:styleId="Heading1">
    <w:name w:val="heading 1"/>
    <w:aliases w:val="Heading 1.I"/>
    <w:basedOn w:val="Normal"/>
    <w:next w:val="Normal"/>
    <w:link w:val="Heading1Char"/>
    <w:qFormat/>
    <w:rsid w:val="00DD17C3"/>
    <w:pPr>
      <w:keepNext/>
      <w:tabs>
        <w:tab w:val="num" w:pos="360"/>
      </w:tabs>
      <w:spacing w:before="240" w:after="60"/>
      <w:outlineLvl w:val="0"/>
    </w:pPr>
    <w:rPr>
      <w:rFonts w:ascii="Arial" w:hAnsi="Arial"/>
      <w:b/>
      <w:kern w:val="28"/>
      <w:sz w:val="28"/>
    </w:rPr>
  </w:style>
  <w:style w:type="paragraph" w:styleId="Heading2">
    <w:name w:val="heading 2"/>
    <w:basedOn w:val="Normal"/>
    <w:next w:val="Normal"/>
    <w:link w:val="Heading2Char"/>
    <w:qFormat/>
    <w:rsid w:val="00DD17C3"/>
    <w:pPr>
      <w:keepNext/>
      <w:tabs>
        <w:tab w:val="num" w:pos="1080"/>
      </w:tabs>
      <w:spacing w:before="240" w:after="60"/>
      <w:ind w:left="720"/>
      <w:outlineLvl w:val="1"/>
    </w:pPr>
    <w:rPr>
      <w:rFonts w:ascii="Arial" w:hAnsi="Arial"/>
      <w:b/>
      <w:i/>
    </w:rPr>
  </w:style>
  <w:style w:type="paragraph" w:styleId="Heading3">
    <w:name w:val="heading 3"/>
    <w:basedOn w:val="Normal"/>
    <w:next w:val="Normal"/>
    <w:link w:val="Heading3Char"/>
    <w:qFormat/>
    <w:rsid w:val="003474DA"/>
    <w:pPr>
      <w:keepNext/>
      <w:spacing w:before="240" w:after="60"/>
      <w:outlineLvl w:val="2"/>
    </w:pPr>
    <w:rPr>
      <w:rFonts w:ascii="Arial" w:hAnsi="Arial"/>
    </w:rPr>
  </w:style>
  <w:style w:type="paragraph" w:styleId="Heading4">
    <w:name w:val="heading 4"/>
    <w:aliases w:val="Heading 4.a"/>
    <w:basedOn w:val="Normal"/>
    <w:next w:val="Normal"/>
    <w:link w:val="Heading4Char"/>
    <w:qFormat/>
    <w:rsid w:val="003474DA"/>
    <w:pPr>
      <w:keepNext/>
      <w:spacing w:before="240" w:after="60"/>
      <w:outlineLvl w:val="3"/>
    </w:pPr>
    <w:rPr>
      <w:rFonts w:ascii="Arial" w:hAnsi="Arial"/>
      <w:b/>
    </w:rPr>
  </w:style>
  <w:style w:type="paragraph" w:styleId="Heading5">
    <w:name w:val="heading 5"/>
    <w:aliases w:val="Heading 5.(i)"/>
    <w:basedOn w:val="Normal"/>
    <w:next w:val="Normal"/>
    <w:link w:val="Heading5Char"/>
    <w:unhideWhenUsed/>
    <w:qFormat/>
    <w:rsid w:val="00EB0154"/>
    <w:pPr>
      <w:keepNext/>
      <w:keepLines/>
      <w:numPr>
        <w:ilvl w:val="4"/>
        <w:numId w:val="1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EB0154"/>
    <w:pPr>
      <w:keepNext/>
      <w:keepLines/>
      <w:numPr>
        <w:ilvl w:val="5"/>
        <w:numId w:val="1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EB0154"/>
    <w:pPr>
      <w:keepNext/>
      <w:keepLines/>
      <w:numPr>
        <w:ilvl w:val="6"/>
        <w:numId w:val="1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B0154"/>
    <w:pPr>
      <w:keepNext/>
      <w:keepLines/>
      <w:numPr>
        <w:ilvl w:val="7"/>
        <w:numId w:val="16"/>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nhideWhenUsed/>
    <w:qFormat/>
    <w:rsid w:val="00EB0154"/>
    <w:pPr>
      <w:keepNext/>
      <w:keepLines/>
      <w:numPr>
        <w:ilvl w:val="8"/>
        <w:numId w:val="16"/>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ED751C"/>
    <w:rPr>
      <w:caps/>
    </w:rPr>
  </w:style>
  <w:style w:type="paragraph" w:customStyle="1" w:styleId="ABBR">
    <w:name w:val="ABBR"/>
    <w:basedOn w:val="Annex"/>
    <w:rsid w:val="00ED751C"/>
  </w:style>
  <w:style w:type="paragraph" w:customStyle="1" w:styleId="AbbrDesc">
    <w:name w:val="AbbrDesc"/>
    <w:basedOn w:val="Normal"/>
    <w:rsid w:val="00ED751C"/>
    <w:pPr>
      <w:tabs>
        <w:tab w:val="left" w:pos="3060"/>
      </w:tabs>
      <w:jc w:val="both"/>
    </w:pPr>
  </w:style>
  <w:style w:type="paragraph" w:styleId="BodyText">
    <w:name w:val="Body Text"/>
    <w:basedOn w:val="Normal"/>
    <w:link w:val="BodyTextChar"/>
    <w:rsid w:val="00ED751C"/>
    <w:pPr>
      <w:tabs>
        <w:tab w:val="left" w:pos="3060"/>
      </w:tabs>
      <w:jc w:val="center"/>
    </w:pPr>
  </w:style>
  <w:style w:type="character" w:customStyle="1" w:styleId="BodyTextChar">
    <w:name w:val="Body Text Char"/>
    <w:basedOn w:val="DefaultParagraphFont"/>
    <w:link w:val="BodyText"/>
    <w:rsid w:val="00ED751C"/>
    <w:rPr>
      <w:rFonts w:ascii="Times New Roman" w:eastAsia="Times New Roman" w:hAnsi="Times New Roman" w:cs="Times New Roman"/>
      <w:sz w:val="24"/>
      <w:szCs w:val="20"/>
    </w:rPr>
  </w:style>
  <w:style w:type="paragraph" w:customStyle="1" w:styleId="Chapter">
    <w:name w:val="Chapter"/>
    <w:basedOn w:val="Normal"/>
    <w:next w:val="Normal"/>
    <w:uiPriority w:val="99"/>
    <w:rsid w:val="00EB0154"/>
    <w:pPr>
      <w:keepNext/>
      <w:numPr>
        <w:numId w:val="19"/>
      </w:numPr>
      <w:tabs>
        <w:tab w:val="clear" w:pos="1800"/>
        <w:tab w:val="num" w:pos="648"/>
        <w:tab w:val="left" w:pos="1440"/>
      </w:tabs>
      <w:spacing w:before="240" w:after="240"/>
      <w:ind w:left="0"/>
      <w:jc w:val="center"/>
    </w:pPr>
    <w:rPr>
      <w:b/>
      <w:smallCaps/>
      <w:lang w:val="es-ES"/>
    </w:rPr>
  </w:style>
  <w:style w:type="paragraph" w:customStyle="1" w:styleId="FirstHeading">
    <w:name w:val="FirstHeading"/>
    <w:basedOn w:val="Normal"/>
    <w:next w:val="Normal"/>
    <w:rsid w:val="00EB0154"/>
    <w:pPr>
      <w:keepNext/>
      <w:numPr>
        <w:numId w:val="16"/>
      </w:numPr>
      <w:tabs>
        <w:tab w:val="left" w:pos="0"/>
        <w:tab w:val="left" w:pos="86"/>
      </w:tabs>
      <w:spacing w:before="120" w:after="120"/>
      <w:ind w:left="720"/>
    </w:pPr>
    <w:rPr>
      <w:b/>
      <w:lang w:val="es-ES"/>
    </w:rPr>
  </w:style>
  <w:style w:type="paragraph" w:styleId="Footer">
    <w:name w:val="footer"/>
    <w:basedOn w:val="Normal"/>
    <w:link w:val="FooterChar"/>
    <w:rsid w:val="00ED751C"/>
    <w:pPr>
      <w:tabs>
        <w:tab w:val="center" w:pos="4320"/>
        <w:tab w:val="right" w:pos="8640"/>
      </w:tabs>
    </w:pPr>
  </w:style>
  <w:style w:type="character" w:customStyle="1" w:styleId="FooterChar">
    <w:name w:val="Footer Char"/>
    <w:basedOn w:val="DefaultParagraphFont"/>
    <w:link w:val="Footer"/>
    <w:rsid w:val="00ED751C"/>
    <w:rPr>
      <w:rFonts w:ascii="Times New Roman" w:eastAsia="Times New Roman" w:hAnsi="Times New Roman" w:cs="Times New Roman"/>
      <w:sz w:val="24"/>
      <w:szCs w:val="20"/>
    </w:rPr>
  </w:style>
  <w:style w:type="paragraph" w:styleId="FootnoteText">
    <w:name w:val="footnote text"/>
    <w:aliases w:val="fn,ft,footnote,Texto de rodapé,nota_rodapé,nota de rodapé,single space,FOOTNOTES,Footnote Text Char Char,Texto,nota,pie,Ref.,al,footnote text,foottextfra,F,Texto nota pie Car Car,texto de nota al pie,Texto nota pie Car Car Car,FA Fu,ADB,f"/>
    <w:basedOn w:val="Normal"/>
    <w:link w:val="FootnoteTextChar"/>
    <w:qFormat/>
    <w:rsid w:val="00ED751C"/>
    <w:pPr>
      <w:keepNext/>
      <w:keepLines/>
      <w:spacing w:after="120"/>
      <w:ind w:left="288" w:hanging="288"/>
      <w:jc w:val="both"/>
    </w:pPr>
    <w:rPr>
      <w:spacing w:val="-3"/>
      <w:sz w:val="20"/>
    </w:rPr>
  </w:style>
  <w:style w:type="character" w:customStyle="1" w:styleId="FootnoteTextChar">
    <w:name w:val="Footnote Text Char"/>
    <w:aliases w:val="fn Char,ft Char,footnote Char,Texto de rodapé Char,nota_rodapé Char,nota de rodapé Char,single space Char,FOOTNOTES Char,Footnote Text Char Char Char,Texto Char,nota Char,pie Char,Ref. Char,al Char,footnote text Char,foottextfra Char"/>
    <w:basedOn w:val="DefaultParagraphFont"/>
    <w:link w:val="FootnoteText"/>
    <w:rsid w:val="00ED751C"/>
    <w:rPr>
      <w:rFonts w:ascii="Times New Roman" w:eastAsia="Times New Roman" w:hAnsi="Times New Roman" w:cs="Times New Roman"/>
      <w:spacing w:val="-3"/>
      <w:sz w:val="20"/>
      <w:szCs w:val="20"/>
      <w:lang w:val="es-ES_tradnl"/>
    </w:rPr>
  </w:style>
  <w:style w:type="paragraph" w:styleId="Header">
    <w:name w:val="header"/>
    <w:basedOn w:val="Normal"/>
    <w:link w:val="HeaderChar"/>
    <w:rsid w:val="00ED751C"/>
    <w:pPr>
      <w:tabs>
        <w:tab w:val="center" w:pos="4320"/>
        <w:tab w:val="right" w:pos="8640"/>
      </w:tabs>
    </w:pPr>
  </w:style>
  <w:style w:type="character" w:customStyle="1" w:styleId="HeaderChar">
    <w:name w:val="Header Char"/>
    <w:basedOn w:val="DefaultParagraphFont"/>
    <w:link w:val="Header"/>
    <w:rsid w:val="00ED751C"/>
    <w:rPr>
      <w:rFonts w:ascii="Times New Roman" w:eastAsia="Times New Roman" w:hAnsi="Times New Roman" w:cs="Times New Roman"/>
      <w:sz w:val="24"/>
      <w:szCs w:val="20"/>
    </w:rPr>
  </w:style>
  <w:style w:type="paragraph" w:customStyle="1" w:styleId="Newpage">
    <w:name w:val="Newpage"/>
    <w:basedOn w:val="Chapter"/>
    <w:rsid w:val="00ED751C"/>
    <w:pPr>
      <w:numPr>
        <w:numId w:val="0"/>
      </w:numPr>
      <w:tabs>
        <w:tab w:val="clear" w:pos="1440"/>
        <w:tab w:val="left" w:pos="3060"/>
      </w:tabs>
      <w:spacing w:after="0"/>
    </w:pPr>
  </w:style>
  <w:style w:type="character" w:styleId="PageNumber">
    <w:name w:val="page number"/>
    <w:basedOn w:val="DefaultParagraphFont"/>
    <w:rsid w:val="00ED751C"/>
  </w:style>
  <w:style w:type="paragraph" w:customStyle="1" w:styleId="Paragraph">
    <w:name w:val="Paragraph"/>
    <w:aliases w:val="paragraph,p,PARAGRAPH,PG,pa,at"/>
    <w:basedOn w:val="BodyTextIndent"/>
    <w:link w:val="ParagraphChar"/>
    <w:uiPriority w:val="99"/>
    <w:qFormat/>
    <w:rsid w:val="00EB0154"/>
    <w:pPr>
      <w:numPr>
        <w:ilvl w:val="1"/>
        <w:numId w:val="19"/>
      </w:numPr>
      <w:tabs>
        <w:tab w:val="clear" w:pos="2448"/>
        <w:tab w:val="num" w:pos="720"/>
      </w:tabs>
      <w:spacing w:before="120"/>
      <w:ind w:left="720" w:hanging="720"/>
      <w:jc w:val="both"/>
      <w:outlineLvl w:val="1"/>
    </w:pPr>
    <w:rPr>
      <w:lang w:val="es-ES"/>
    </w:rPr>
  </w:style>
  <w:style w:type="paragraph" w:customStyle="1" w:styleId="RegheadTab">
    <w:name w:val="RegheadTab"/>
    <w:basedOn w:val="FirstHeading"/>
    <w:rsid w:val="00ED751C"/>
    <w:pPr>
      <w:numPr>
        <w:numId w:val="0"/>
      </w:numPr>
      <w:tabs>
        <w:tab w:val="num" w:pos="504"/>
      </w:tabs>
      <w:spacing w:after="0"/>
      <w:ind w:left="504" w:hanging="504"/>
      <w:jc w:val="center"/>
    </w:pPr>
  </w:style>
  <w:style w:type="paragraph" w:customStyle="1" w:styleId="SecHeading">
    <w:name w:val="SecHeading"/>
    <w:basedOn w:val="Normal"/>
    <w:next w:val="Paragraph"/>
    <w:rsid w:val="00EB0154"/>
    <w:pPr>
      <w:keepNext/>
      <w:numPr>
        <w:ilvl w:val="1"/>
        <w:numId w:val="16"/>
      </w:numPr>
      <w:tabs>
        <w:tab w:val="clear" w:pos="5400"/>
        <w:tab w:val="num" w:pos="1296"/>
      </w:tabs>
      <w:spacing w:before="120" w:after="120"/>
      <w:ind w:left="1296"/>
    </w:pPr>
    <w:rPr>
      <w:b/>
    </w:rPr>
  </w:style>
  <w:style w:type="paragraph" w:customStyle="1" w:styleId="SubHeading1">
    <w:name w:val="SubHeading1"/>
    <w:basedOn w:val="SecHeading"/>
    <w:rsid w:val="00EB0154"/>
    <w:pPr>
      <w:numPr>
        <w:ilvl w:val="2"/>
      </w:numPr>
      <w:tabs>
        <w:tab w:val="clear" w:pos="5976"/>
        <w:tab w:val="num" w:pos="1872"/>
      </w:tabs>
      <w:ind w:left="1872"/>
    </w:pPr>
  </w:style>
  <w:style w:type="paragraph" w:customStyle="1" w:styleId="Subheading2">
    <w:name w:val="Subheading2"/>
    <w:basedOn w:val="SecHeading"/>
    <w:rsid w:val="00EB0154"/>
    <w:pPr>
      <w:numPr>
        <w:ilvl w:val="3"/>
      </w:numPr>
      <w:tabs>
        <w:tab w:val="clear" w:pos="6480"/>
        <w:tab w:val="num" w:pos="2376"/>
      </w:tabs>
      <w:ind w:left="2376"/>
    </w:pPr>
  </w:style>
  <w:style w:type="paragraph" w:customStyle="1" w:styleId="subpar">
    <w:name w:val="subpar"/>
    <w:basedOn w:val="BodyTextIndent3"/>
    <w:uiPriority w:val="99"/>
    <w:rsid w:val="00EB0154"/>
    <w:pPr>
      <w:numPr>
        <w:ilvl w:val="2"/>
        <w:numId w:val="19"/>
      </w:numPr>
      <w:tabs>
        <w:tab w:val="clear" w:pos="2304"/>
        <w:tab w:val="num" w:pos="1152"/>
      </w:tabs>
      <w:spacing w:before="120"/>
      <w:ind w:left="1152"/>
      <w:jc w:val="both"/>
      <w:outlineLvl w:val="2"/>
    </w:pPr>
    <w:rPr>
      <w:szCs w:val="20"/>
    </w:rPr>
  </w:style>
  <w:style w:type="paragraph" w:customStyle="1" w:styleId="SubSubPar">
    <w:name w:val="SubSubPar"/>
    <w:basedOn w:val="subpar"/>
    <w:rsid w:val="00EB0154"/>
    <w:pPr>
      <w:numPr>
        <w:ilvl w:val="3"/>
      </w:numPr>
      <w:tabs>
        <w:tab w:val="clear" w:pos="2736"/>
        <w:tab w:val="left" w:pos="0"/>
        <w:tab w:val="num" w:pos="1296"/>
      </w:tabs>
      <w:ind w:left="1296"/>
    </w:pPr>
  </w:style>
  <w:style w:type="paragraph" w:styleId="TOC1">
    <w:name w:val="toc 1"/>
    <w:basedOn w:val="Normal"/>
    <w:next w:val="Normal"/>
    <w:autoRedefine/>
    <w:uiPriority w:val="39"/>
    <w:rsid w:val="00D10AB6"/>
    <w:pPr>
      <w:tabs>
        <w:tab w:val="left" w:pos="540"/>
        <w:tab w:val="right" w:leader="dot" w:pos="8741"/>
      </w:tabs>
      <w:spacing w:before="240" w:after="240"/>
      <w:ind w:left="547" w:hanging="547"/>
    </w:pPr>
    <w:rPr>
      <w:rFonts w:ascii="Arial" w:hAnsi="Arial" w:cs="Arial"/>
      <w:b/>
      <w:smallCaps/>
      <w:noProof/>
      <w:szCs w:val="24"/>
    </w:rPr>
  </w:style>
  <w:style w:type="paragraph" w:styleId="TOC2">
    <w:name w:val="toc 2"/>
    <w:basedOn w:val="Normal"/>
    <w:next w:val="Normal"/>
    <w:autoRedefine/>
    <w:uiPriority w:val="39"/>
    <w:rsid w:val="00ED751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ED751C"/>
    <w:pPr>
      <w:tabs>
        <w:tab w:val="left" w:pos="1728"/>
      </w:tabs>
      <w:ind w:left="1714" w:hanging="562"/>
    </w:pPr>
    <w:rPr>
      <w:lang w:val="es-ES"/>
    </w:rPr>
  </w:style>
  <w:style w:type="character" w:styleId="Hyperlink">
    <w:name w:val="Hyperlink"/>
    <w:basedOn w:val="DefaultParagraphFont"/>
    <w:uiPriority w:val="99"/>
    <w:rsid w:val="00ED751C"/>
    <w:rPr>
      <w:color w:val="0000FF"/>
      <w:u w:val="single"/>
    </w:rPr>
  </w:style>
  <w:style w:type="character" w:styleId="FootnoteReference">
    <w:name w:val="footnote reference"/>
    <w:aliases w:val="FC,referencia nota al pie,Stinking Styles11,Texto de nota al pie,Footnote symbol,Footnote,titulo 2,ftref,Style 24,pie pddes,Fußnotenzeichen DISS,Footnote Reference1,Ref,de nota al pie,16 Point,Superscript 6 Point,Знак сноски 1,SUPERS"/>
    <w:basedOn w:val="DefaultParagraphFont"/>
    <w:link w:val="Char2"/>
    <w:qFormat/>
    <w:rsid w:val="00ED751C"/>
    <w:rPr>
      <w:vertAlign w:val="superscript"/>
    </w:rPr>
  </w:style>
  <w:style w:type="paragraph" w:styleId="BodyTextIndent">
    <w:name w:val="Body Text Indent"/>
    <w:basedOn w:val="Normal"/>
    <w:link w:val="BodyTextIndentChar"/>
    <w:uiPriority w:val="99"/>
    <w:semiHidden/>
    <w:unhideWhenUsed/>
    <w:rsid w:val="00ED751C"/>
    <w:pPr>
      <w:spacing w:after="120"/>
      <w:ind w:left="360"/>
    </w:pPr>
  </w:style>
  <w:style w:type="character" w:customStyle="1" w:styleId="BodyTextIndentChar">
    <w:name w:val="Body Text Indent Char"/>
    <w:basedOn w:val="DefaultParagraphFont"/>
    <w:link w:val="BodyTextIndent"/>
    <w:uiPriority w:val="99"/>
    <w:semiHidden/>
    <w:rsid w:val="00ED751C"/>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ED751C"/>
    <w:pPr>
      <w:spacing w:after="120"/>
      <w:ind w:left="360"/>
    </w:pPr>
    <w:rPr>
      <w:szCs w:val="16"/>
    </w:rPr>
  </w:style>
  <w:style w:type="character" w:customStyle="1" w:styleId="BodyTextIndent3Char">
    <w:name w:val="Body Text Indent 3 Char"/>
    <w:basedOn w:val="DefaultParagraphFont"/>
    <w:link w:val="BodyTextIndent3"/>
    <w:uiPriority w:val="99"/>
    <w:semiHidden/>
    <w:rsid w:val="00ED751C"/>
    <w:rPr>
      <w:rFonts w:ascii="Times New Roman" w:eastAsia="Times New Roman" w:hAnsi="Times New Roman" w:cs="Times New Roman"/>
      <w:sz w:val="24"/>
      <w:szCs w:val="16"/>
      <w:lang w:val="es-ES_tradnl"/>
    </w:rPr>
  </w:style>
  <w:style w:type="paragraph" w:customStyle="1" w:styleId="Regtable">
    <w:name w:val="Regtable"/>
    <w:basedOn w:val="Normal"/>
    <w:link w:val="RegtableChar"/>
    <w:rsid w:val="00EB0154"/>
    <w:pPr>
      <w:keepLines/>
      <w:framePr w:wrap="around" w:vAnchor="text" w:hAnchor="text" w:y="1"/>
      <w:spacing w:before="20" w:after="20"/>
    </w:pPr>
    <w:rPr>
      <w:sz w:val="20"/>
    </w:rPr>
  </w:style>
  <w:style w:type="character" w:customStyle="1" w:styleId="RegtableChar">
    <w:name w:val="Regtable Char"/>
    <w:basedOn w:val="DefaultParagraphFont"/>
    <w:link w:val="Regtable"/>
    <w:rsid w:val="00EB0154"/>
    <w:rPr>
      <w:rFonts w:ascii="Times New Roman" w:eastAsia="Times New Roman" w:hAnsi="Times New Roman" w:cs="Times New Roman"/>
      <w:sz w:val="20"/>
      <w:szCs w:val="20"/>
      <w:lang w:val="es-ES_tradnl"/>
    </w:rPr>
  </w:style>
  <w:style w:type="paragraph" w:customStyle="1" w:styleId="TableTitle">
    <w:name w:val="TableTitle"/>
    <w:basedOn w:val="Normal"/>
    <w:link w:val="TableTitleChar"/>
    <w:rsid w:val="00EB0154"/>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EB0154"/>
    <w:rPr>
      <w:rFonts w:ascii="Times New Roman Bold" w:eastAsia="Times New Roman" w:hAnsi="Times New Roman Bold" w:cs="Times New Roman"/>
      <w:b/>
      <w:spacing w:val="-3"/>
      <w:sz w:val="20"/>
      <w:szCs w:val="20"/>
      <w:lang w:val="es-ES_tradnl"/>
    </w:rPr>
  </w:style>
  <w:style w:type="character" w:customStyle="1" w:styleId="Heading5Char">
    <w:name w:val="Heading 5 Char"/>
    <w:aliases w:val="Heading 5.(i) Char"/>
    <w:basedOn w:val="DefaultParagraphFont"/>
    <w:link w:val="Heading5"/>
    <w:rsid w:val="00EB0154"/>
    <w:rPr>
      <w:rFonts w:asciiTheme="majorHAnsi" w:eastAsiaTheme="majorEastAsia" w:hAnsiTheme="majorHAnsi" w:cstheme="majorBidi"/>
      <w:color w:val="243F60" w:themeColor="accent1" w:themeShade="7F"/>
      <w:sz w:val="24"/>
      <w:szCs w:val="20"/>
      <w:lang w:val="es-ES_tradnl"/>
    </w:rPr>
  </w:style>
  <w:style w:type="character" w:customStyle="1" w:styleId="Heading6Char">
    <w:name w:val="Heading 6 Char"/>
    <w:basedOn w:val="DefaultParagraphFont"/>
    <w:link w:val="Heading6"/>
    <w:rsid w:val="00EB0154"/>
    <w:rPr>
      <w:rFonts w:asciiTheme="majorHAnsi" w:eastAsiaTheme="majorEastAsia" w:hAnsiTheme="majorHAnsi" w:cstheme="majorBidi"/>
      <w:i/>
      <w:iCs/>
      <w:color w:val="243F60" w:themeColor="accent1" w:themeShade="7F"/>
      <w:sz w:val="24"/>
      <w:szCs w:val="20"/>
      <w:lang w:val="es-ES_tradnl"/>
    </w:rPr>
  </w:style>
  <w:style w:type="character" w:customStyle="1" w:styleId="Heading7Char">
    <w:name w:val="Heading 7 Char"/>
    <w:basedOn w:val="DefaultParagraphFont"/>
    <w:link w:val="Heading7"/>
    <w:rsid w:val="00EB0154"/>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sid w:val="00EB0154"/>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EB0154"/>
    <w:rPr>
      <w:rFonts w:asciiTheme="majorHAnsi" w:eastAsiaTheme="majorEastAsia" w:hAnsiTheme="majorHAnsi" w:cstheme="majorBidi"/>
      <w:i/>
      <w:iCs/>
      <w:color w:val="404040" w:themeColor="text1" w:themeTint="BF"/>
      <w:sz w:val="20"/>
      <w:szCs w:val="20"/>
      <w:lang w:val="es-ES_tradnl"/>
    </w:rPr>
  </w:style>
  <w:style w:type="character" w:customStyle="1" w:styleId="Heading1Char">
    <w:name w:val="Heading 1 Char"/>
    <w:aliases w:val="Heading 1.I Char"/>
    <w:basedOn w:val="DefaultParagraphFont"/>
    <w:link w:val="Heading1"/>
    <w:rsid w:val="00DD17C3"/>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DD17C3"/>
    <w:rPr>
      <w:rFonts w:ascii="Arial" w:eastAsia="Times New Roman" w:hAnsi="Arial" w:cs="Times New Roman"/>
      <w:b/>
      <w:i/>
      <w:sz w:val="24"/>
      <w:szCs w:val="20"/>
    </w:rPr>
  </w:style>
  <w:style w:type="character" w:customStyle="1" w:styleId="Heading3Char">
    <w:name w:val="Heading 3 Char"/>
    <w:basedOn w:val="DefaultParagraphFont"/>
    <w:link w:val="Heading3"/>
    <w:rsid w:val="003474DA"/>
    <w:rPr>
      <w:rFonts w:ascii="Arial" w:eastAsia="Times New Roman" w:hAnsi="Arial" w:cs="Times New Roman"/>
      <w:sz w:val="24"/>
      <w:szCs w:val="20"/>
      <w:lang w:val="es-ES_tradnl"/>
    </w:rPr>
  </w:style>
  <w:style w:type="character" w:customStyle="1" w:styleId="Heading4Char">
    <w:name w:val="Heading 4 Char"/>
    <w:aliases w:val="Heading 4.a Char"/>
    <w:basedOn w:val="DefaultParagraphFont"/>
    <w:link w:val="Heading4"/>
    <w:rsid w:val="003474DA"/>
    <w:rPr>
      <w:rFonts w:ascii="Arial" w:eastAsia="Times New Roman" w:hAnsi="Arial" w:cs="Times New Roman"/>
      <w:b/>
      <w:sz w:val="24"/>
      <w:szCs w:val="20"/>
      <w:lang w:val="es-ES_tradnl"/>
    </w:rPr>
  </w:style>
  <w:style w:type="paragraph" w:styleId="ListParagraph">
    <w:name w:val="List Paragraph"/>
    <w:basedOn w:val="Normal"/>
    <w:link w:val="ListParagraphChar"/>
    <w:uiPriority w:val="34"/>
    <w:qFormat/>
    <w:rsid w:val="00F138F1"/>
    <w:pPr>
      <w:ind w:left="720"/>
      <w:contextualSpacing/>
    </w:pPr>
  </w:style>
  <w:style w:type="paragraph" w:customStyle="1" w:styleId="xl29">
    <w:name w:val="xl29"/>
    <w:basedOn w:val="Normal"/>
    <w:rsid w:val="00E50BE1"/>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lang w:val="en-US"/>
    </w:rPr>
  </w:style>
  <w:style w:type="table" w:styleId="TableGrid">
    <w:name w:val="Table Grid"/>
    <w:basedOn w:val="TableNormal"/>
    <w:uiPriority w:val="59"/>
    <w:rsid w:val="00516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414E3"/>
    <w:rPr>
      <w:rFonts w:ascii="Tahoma" w:hAnsi="Tahoma" w:cs="Tahoma"/>
      <w:sz w:val="16"/>
      <w:szCs w:val="16"/>
    </w:rPr>
  </w:style>
  <w:style w:type="character" w:customStyle="1" w:styleId="BalloonTextChar">
    <w:name w:val="Balloon Text Char"/>
    <w:basedOn w:val="DefaultParagraphFont"/>
    <w:link w:val="BalloonText"/>
    <w:uiPriority w:val="99"/>
    <w:semiHidden/>
    <w:rsid w:val="003414E3"/>
    <w:rPr>
      <w:rFonts w:ascii="Tahoma" w:eastAsia="Times New Roman" w:hAnsi="Tahoma" w:cs="Tahoma"/>
      <w:sz w:val="16"/>
      <w:szCs w:val="16"/>
      <w:lang w:val="es-ES_tradnl"/>
    </w:rPr>
  </w:style>
  <w:style w:type="character" w:customStyle="1" w:styleId="FootnoteTextChar1">
    <w:name w:val="Footnote Text Char1"/>
    <w:aliases w:val="fn Char1,ft Char1,footnote Char1,Texto de rodapé Char1,nota_rodapé Char1,nota de rodapé Char1,single space Char1,FOOTNOTES Char1,Footnote Text Char Char Char1,Texto Char1,nota Char1,pie Char1,Ref. Char1,al Char1,footnote text Char1"/>
    <w:basedOn w:val="DefaultParagraphFont"/>
    <w:uiPriority w:val="99"/>
    <w:locked/>
    <w:rsid w:val="00960179"/>
    <w:rPr>
      <w:rFonts w:ascii="Times New Roman" w:eastAsia="Times New Roman" w:hAnsi="Times New Roman"/>
      <w:spacing w:val="-3"/>
    </w:rPr>
  </w:style>
  <w:style w:type="character" w:customStyle="1" w:styleId="ParagraphChar">
    <w:name w:val="Paragraph Char"/>
    <w:aliases w:val="p Char,PARAGRAPH Char,PG Char,pa Char,at Char,paragraph Char"/>
    <w:basedOn w:val="BodyTextIndentChar"/>
    <w:link w:val="Paragraph"/>
    <w:uiPriority w:val="99"/>
    <w:rsid w:val="00960179"/>
    <w:rPr>
      <w:rFonts w:ascii="Times New Roman" w:eastAsia="Times New Roman" w:hAnsi="Times New Roman" w:cs="Times New Roman"/>
      <w:sz w:val="24"/>
      <w:szCs w:val="20"/>
      <w:lang w:val="es-ES"/>
    </w:rPr>
  </w:style>
  <w:style w:type="character" w:customStyle="1" w:styleId="BalloonTextChar1">
    <w:name w:val="Balloon Text Char1"/>
    <w:basedOn w:val="DefaultParagraphFont"/>
    <w:uiPriority w:val="99"/>
    <w:semiHidden/>
    <w:rsid w:val="00960179"/>
    <w:rPr>
      <w:rFonts w:ascii="Tahoma" w:eastAsia="Times New Roman" w:hAnsi="Tahoma" w:cs="Tahoma"/>
      <w:sz w:val="16"/>
      <w:szCs w:val="16"/>
    </w:rPr>
  </w:style>
  <w:style w:type="character" w:styleId="CommentReference">
    <w:name w:val="annotation reference"/>
    <w:basedOn w:val="DefaultParagraphFont"/>
    <w:semiHidden/>
    <w:rsid w:val="001E4782"/>
    <w:rPr>
      <w:rFonts w:cs="Times New Roman"/>
      <w:sz w:val="16"/>
      <w:szCs w:val="16"/>
    </w:rPr>
  </w:style>
  <w:style w:type="character" w:customStyle="1" w:styleId="apple-converted-space">
    <w:name w:val="apple-converted-space"/>
    <w:basedOn w:val="DefaultParagraphFont"/>
    <w:rsid w:val="004D4EC5"/>
  </w:style>
  <w:style w:type="paragraph" w:customStyle="1" w:styleId="Default">
    <w:name w:val="Default"/>
    <w:rsid w:val="009A541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uerpo2">
    <w:name w:val="cuerpo2"/>
    <w:basedOn w:val="Normal"/>
    <w:rsid w:val="00B91384"/>
    <w:pPr>
      <w:spacing w:before="100" w:beforeAutospacing="1" w:after="100" w:afterAutospacing="1"/>
    </w:pPr>
    <w:rPr>
      <w:szCs w:val="24"/>
      <w:lang w:val="en-US"/>
    </w:rPr>
  </w:style>
  <w:style w:type="paragraph" w:styleId="CommentText">
    <w:name w:val="annotation text"/>
    <w:basedOn w:val="Normal"/>
    <w:link w:val="CommentTextChar"/>
    <w:uiPriority w:val="99"/>
    <w:semiHidden/>
    <w:unhideWhenUsed/>
    <w:rsid w:val="009E4DD5"/>
    <w:rPr>
      <w:sz w:val="20"/>
    </w:rPr>
  </w:style>
  <w:style w:type="character" w:customStyle="1" w:styleId="CommentTextChar">
    <w:name w:val="Comment Text Char"/>
    <w:basedOn w:val="DefaultParagraphFont"/>
    <w:link w:val="CommentText"/>
    <w:uiPriority w:val="99"/>
    <w:semiHidden/>
    <w:rsid w:val="009E4DD5"/>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9E4DD5"/>
    <w:rPr>
      <w:b/>
      <w:bCs/>
    </w:rPr>
  </w:style>
  <w:style w:type="character" w:customStyle="1" w:styleId="CommentSubjectChar">
    <w:name w:val="Comment Subject Char"/>
    <w:basedOn w:val="CommentTextChar"/>
    <w:link w:val="CommentSubject"/>
    <w:uiPriority w:val="99"/>
    <w:semiHidden/>
    <w:rsid w:val="009E4DD5"/>
    <w:rPr>
      <w:rFonts w:ascii="Times New Roman" w:eastAsia="Times New Roman" w:hAnsi="Times New Roman" w:cs="Times New Roman"/>
      <w:b/>
      <w:bCs/>
      <w:sz w:val="20"/>
      <w:szCs w:val="20"/>
      <w:lang w:val="es-ES_tradnl"/>
    </w:rPr>
  </w:style>
  <w:style w:type="character" w:styleId="Emphasis">
    <w:name w:val="Emphasis"/>
    <w:basedOn w:val="DefaultParagraphFont"/>
    <w:uiPriority w:val="20"/>
    <w:qFormat/>
    <w:rsid w:val="00301372"/>
    <w:rPr>
      <w:i/>
      <w:iCs/>
    </w:rPr>
  </w:style>
  <w:style w:type="paragraph" w:customStyle="1" w:styleId="AutoNumpara">
    <w:name w:val="AutoNumpara"/>
    <w:basedOn w:val="BodyTextIndent"/>
    <w:rsid w:val="007C1307"/>
    <w:pPr>
      <w:tabs>
        <w:tab w:val="num" w:pos="360"/>
      </w:tabs>
      <w:spacing w:before="120"/>
      <w:jc w:val="both"/>
    </w:pPr>
    <w:rPr>
      <w:noProof/>
      <w:spacing w:val="-2"/>
    </w:rPr>
  </w:style>
  <w:style w:type="paragraph" w:customStyle="1" w:styleId="bullets">
    <w:name w:val="bullets"/>
    <w:rsid w:val="007C1307"/>
    <w:pPr>
      <w:tabs>
        <w:tab w:val="num" w:pos="810"/>
      </w:tabs>
      <w:spacing w:before="120" w:after="120" w:line="240" w:lineRule="auto"/>
      <w:ind w:left="810" w:hanging="720"/>
      <w:jc w:val="both"/>
    </w:pPr>
    <w:rPr>
      <w:rFonts w:ascii="Times New Roman" w:eastAsia="Times New Roman" w:hAnsi="Times New Roman" w:cs="Times New Roman"/>
      <w:spacing w:val="-2"/>
      <w:sz w:val="24"/>
      <w:szCs w:val="20"/>
    </w:rPr>
  </w:style>
  <w:style w:type="paragraph" w:customStyle="1" w:styleId="ColorfulList-Accent11">
    <w:name w:val="Colorful List - Accent 11"/>
    <w:basedOn w:val="Normal"/>
    <w:link w:val="ColorfulList-Accent1Char"/>
    <w:uiPriority w:val="34"/>
    <w:qFormat/>
    <w:rsid w:val="007C1307"/>
    <w:pPr>
      <w:ind w:left="720"/>
      <w:contextualSpacing/>
    </w:pPr>
    <w:rPr>
      <w:rFonts w:ascii="Calibri" w:eastAsia="Calibri" w:hAnsi="Calibri"/>
      <w:sz w:val="22"/>
      <w:szCs w:val="22"/>
    </w:rPr>
  </w:style>
  <w:style w:type="character" w:customStyle="1" w:styleId="ColorfulList-Accent1Char">
    <w:name w:val="Colorful List - Accent 1 Char"/>
    <w:link w:val="ColorfulList-Accent11"/>
    <w:uiPriority w:val="34"/>
    <w:rsid w:val="007C1307"/>
    <w:rPr>
      <w:rFonts w:ascii="Calibri" w:eastAsia="Calibri" w:hAnsi="Calibri" w:cs="Times New Roman"/>
      <w:lang w:val="es-ES_tradnl"/>
    </w:rPr>
  </w:style>
  <w:style w:type="paragraph" w:customStyle="1" w:styleId="heading-b24">
    <w:name w:val="heading-b24"/>
    <w:basedOn w:val="Normal"/>
    <w:next w:val="Normal"/>
    <w:rsid w:val="007C1307"/>
    <w:pPr>
      <w:spacing w:after="600"/>
      <w:jc w:val="center"/>
    </w:pPr>
    <w:rPr>
      <w:rFonts w:ascii="Times New Roman Bold" w:hAnsi="Times New Roman Bold"/>
      <w:b/>
      <w:smallCaps/>
      <w:spacing w:val="-3"/>
    </w:rPr>
  </w:style>
  <w:style w:type="paragraph" w:styleId="NoSpacing">
    <w:name w:val="No Spacing"/>
    <w:uiPriority w:val="1"/>
    <w:qFormat/>
    <w:rsid w:val="004327ED"/>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050E5E"/>
    <w:rPr>
      <w:color w:val="605E5C"/>
      <w:shd w:val="clear" w:color="auto" w:fill="E1DFDD"/>
    </w:rPr>
  </w:style>
  <w:style w:type="character" w:customStyle="1" w:styleId="ListParagraphChar">
    <w:name w:val="List Paragraph Char"/>
    <w:link w:val="ListParagraph"/>
    <w:uiPriority w:val="34"/>
    <w:locked/>
    <w:rsid w:val="009F6FC6"/>
    <w:rPr>
      <w:rFonts w:ascii="Times New Roman" w:eastAsia="Times New Roman" w:hAnsi="Times New Roman" w:cs="Times New Roman"/>
      <w:sz w:val="24"/>
      <w:szCs w:val="20"/>
      <w:lang w:val="es-ES_tradnl"/>
    </w:rPr>
  </w:style>
  <w:style w:type="paragraph" w:customStyle="1" w:styleId="Char2">
    <w:name w:val="Char2"/>
    <w:basedOn w:val="Normal"/>
    <w:link w:val="FootnoteReference"/>
    <w:uiPriority w:val="99"/>
    <w:rsid w:val="009F6FC6"/>
    <w:pPr>
      <w:spacing w:after="160" w:line="240" w:lineRule="exact"/>
    </w:pPr>
    <w:rPr>
      <w:rFonts w:asciiTheme="minorHAnsi" w:eastAsiaTheme="minorHAnsi" w:hAnsiTheme="minorHAnsi" w:cstheme="minorBidi"/>
      <w:sz w:val="22"/>
      <w:szCs w:val="22"/>
      <w:vertAlign w:val="superscript"/>
      <w:lang w:val="en-US"/>
    </w:rPr>
  </w:style>
  <w:style w:type="character" w:styleId="Strong">
    <w:name w:val="Strong"/>
    <w:basedOn w:val="DefaultParagraphFont"/>
    <w:uiPriority w:val="22"/>
    <w:qFormat/>
    <w:rsid w:val="00A578FB"/>
    <w:rPr>
      <w:b/>
      <w:bCs/>
    </w:rPr>
  </w:style>
  <w:style w:type="paragraph" w:styleId="Revision">
    <w:name w:val="Revision"/>
    <w:hidden/>
    <w:uiPriority w:val="99"/>
    <w:semiHidden/>
    <w:rsid w:val="00A80CF7"/>
    <w:pPr>
      <w:spacing w:after="0" w:line="240" w:lineRule="auto"/>
    </w:pPr>
    <w:rPr>
      <w:rFonts w:ascii="Times New Roman" w:eastAsia="Times New Roman" w:hAnsi="Times New Roman" w:cs="Times New Roman"/>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476636">
      <w:bodyDiv w:val="1"/>
      <w:marLeft w:val="0"/>
      <w:marRight w:val="0"/>
      <w:marTop w:val="0"/>
      <w:marBottom w:val="0"/>
      <w:divBdr>
        <w:top w:val="none" w:sz="0" w:space="0" w:color="auto"/>
        <w:left w:val="none" w:sz="0" w:space="0" w:color="auto"/>
        <w:bottom w:val="none" w:sz="0" w:space="0" w:color="auto"/>
        <w:right w:val="none" w:sz="0" w:space="0" w:color="auto"/>
      </w:divBdr>
      <w:divsChild>
        <w:div w:id="1007443655">
          <w:marLeft w:val="0"/>
          <w:marRight w:val="0"/>
          <w:marTop w:val="0"/>
          <w:marBottom w:val="0"/>
          <w:divBdr>
            <w:top w:val="none" w:sz="0" w:space="0" w:color="auto"/>
            <w:left w:val="none" w:sz="0" w:space="0" w:color="auto"/>
            <w:bottom w:val="none" w:sz="0" w:space="0" w:color="auto"/>
            <w:right w:val="none" w:sz="0" w:space="0" w:color="auto"/>
          </w:divBdr>
          <w:divsChild>
            <w:div w:id="1574924501">
              <w:marLeft w:val="0"/>
              <w:marRight w:val="0"/>
              <w:marTop w:val="0"/>
              <w:marBottom w:val="0"/>
              <w:divBdr>
                <w:top w:val="none" w:sz="0" w:space="0" w:color="auto"/>
                <w:left w:val="none" w:sz="0" w:space="0" w:color="auto"/>
                <w:bottom w:val="none" w:sz="0" w:space="0" w:color="auto"/>
                <w:right w:val="none" w:sz="0" w:space="0" w:color="auto"/>
              </w:divBdr>
              <w:divsChild>
                <w:div w:id="1262101699">
                  <w:marLeft w:val="0"/>
                  <w:marRight w:val="0"/>
                  <w:marTop w:val="0"/>
                  <w:marBottom w:val="0"/>
                  <w:divBdr>
                    <w:top w:val="none" w:sz="0" w:space="0" w:color="auto"/>
                    <w:left w:val="none" w:sz="0" w:space="0" w:color="auto"/>
                    <w:bottom w:val="none" w:sz="0" w:space="0" w:color="auto"/>
                    <w:right w:val="none" w:sz="0" w:space="0" w:color="auto"/>
                  </w:divBdr>
                  <w:divsChild>
                    <w:div w:id="1493527978">
                      <w:marLeft w:val="0"/>
                      <w:marRight w:val="0"/>
                      <w:marTop w:val="0"/>
                      <w:marBottom w:val="0"/>
                      <w:divBdr>
                        <w:top w:val="none" w:sz="0" w:space="0" w:color="auto"/>
                        <w:left w:val="none" w:sz="0" w:space="0" w:color="auto"/>
                        <w:bottom w:val="none" w:sz="0" w:space="0" w:color="auto"/>
                        <w:right w:val="none" w:sz="0" w:space="0" w:color="auto"/>
                      </w:divBdr>
                      <w:divsChild>
                        <w:div w:id="1974559853">
                          <w:marLeft w:val="0"/>
                          <w:marRight w:val="0"/>
                          <w:marTop w:val="0"/>
                          <w:marBottom w:val="0"/>
                          <w:divBdr>
                            <w:top w:val="none" w:sz="0" w:space="0" w:color="auto"/>
                            <w:left w:val="none" w:sz="0" w:space="0" w:color="auto"/>
                            <w:bottom w:val="none" w:sz="0" w:space="0" w:color="auto"/>
                            <w:right w:val="none" w:sz="0" w:space="0" w:color="auto"/>
                          </w:divBdr>
                          <w:divsChild>
                            <w:div w:id="2123302892">
                              <w:marLeft w:val="0"/>
                              <w:marRight w:val="0"/>
                              <w:marTop w:val="0"/>
                              <w:marBottom w:val="0"/>
                              <w:divBdr>
                                <w:top w:val="none" w:sz="0" w:space="0" w:color="auto"/>
                                <w:left w:val="none" w:sz="0" w:space="0" w:color="auto"/>
                                <w:bottom w:val="none" w:sz="0" w:space="0" w:color="auto"/>
                                <w:right w:val="none" w:sz="0" w:space="0" w:color="auto"/>
                              </w:divBdr>
                              <w:divsChild>
                                <w:div w:id="853540870">
                                  <w:marLeft w:val="0"/>
                                  <w:marRight w:val="0"/>
                                  <w:marTop w:val="0"/>
                                  <w:marBottom w:val="0"/>
                                  <w:divBdr>
                                    <w:top w:val="none" w:sz="0" w:space="0" w:color="auto"/>
                                    <w:left w:val="none" w:sz="0" w:space="0" w:color="auto"/>
                                    <w:bottom w:val="none" w:sz="0" w:space="0" w:color="auto"/>
                                    <w:right w:val="none" w:sz="0" w:space="0" w:color="auto"/>
                                  </w:divBdr>
                                  <w:divsChild>
                                    <w:div w:id="4826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348603">
      <w:bodyDiv w:val="1"/>
      <w:marLeft w:val="0"/>
      <w:marRight w:val="0"/>
      <w:marTop w:val="0"/>
      <w:marBottom w:val="0"/>
      <w:divBdr>
        <w:top w:val="none" w:sz="0" w:space="0" w:color="auto"/>
        <w:left w:val="none" w:sz="0" w:space="0" w:color="auto"/>
        <w:bottom w:val="none" w:sz="0" w:space="0" w:color="auto"/>
        <w:right w:val="none" w:sz="0" w:space="0" w:color="auto"/>
      </w:divBdr>
      <w:divsChild>
        <w:div w:id="1315065391">
          <w:marLeft w:val="0"/>
          <w:marRight w:val="0"/>
          <w:marTop w:val="0"/>
          <w:marBottom w:val="0"/>
          <w:divBdr>
            <w:top w:val="none" w:sz="0" w:space="0" w:color="auto"/>
            <w:left w:val="none" w:sz="0" w:space="0" w:color="auto"/>
            <w:bottom w:val="none" w:sz="0" w:space="0" w:color="auto"/>
            <w:right w:val="none" w:sz="0" w:space="0" w:color="auto"/>
          </w:divBdr>
        </w:div>
      </w:divsChild>
    </w:div>
    <w:div w:id="1394160924">
      <w:bodyDiv w:val="1"/>
      <w:marLeft w:val="0"/>
      <w:marRight w:val="0"/>
      <w:marTop w:val="0"/>
      <w:marBottom w:val="0"/>
      <w:divBdr>
        <w:top w:val="none" w:sz="0" w:space="0" w:color="auto"/>
        <w:left w:val="none" w:sz="0" w:space="0" w:color="auto"/>
        <w:bottom w:val="none" w:sz="0" w:space="0" w:color="auto"/>
        <w:right w:val="none" w:sz="0" w:space="0" w:color="auto"/>
      </w:divBdr>
      <w:divsChild>
        <w:div w:id="474951286">
          <w:marLeft w:val="0"/>
          <w:marRight w:val="0"/>
          <w:marTop w:val="0"/>
          <w:marBottom w:val="0"/>
          <w:divBdr>
            <w:top w:val="none" w:sz="0" w:space="0" w:color="auto"/>
            <w:left w:val="none" w:sz="0" w:space="0" w:color="auto"/>
            <w:bottom w:val="none" w:sz="0" w:space="0" w:color="auto"/>
            <w:right w:val="none" w:sz="0" w:space="0" w:color="auto"/>
          </w:divBdr>
        </w:div>
      </w:divsChild>
    </w:div>
    <w:div w:id="1495298052">
      <w:bodyDiv w:val="1"/>
      <w:marLeft w:val="0"/>
      <w:marRight w:val="0"/>
      <w:marTop w:val="0"/>
      <w:marBottom w:val="0"/>
      <w:divBdr>
        <w:top w:val="none" w:sz="0" w:space="0" w:color="auto"/>
        <w:left w:val="none" w:sz="0" w:space="0" w:color="auto"/>
        <w:bottom w:val="none" w:sz="0" w:space="0" w:color="auto"/>
        <w:right w:val="none" w:sz="0" w:space="0" w:color="auto"/>
      </w:divBdr>
      <w:divsChild>
        <w:div w:id="3777767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rasteletti@iadb.org" TargetMode="External"/><Relationship Id="rId18" Type="http://schemas.openxmlformats.org/officeDocument/2006/relationships/fontTable" Target="fontTable.xml"/><Relationship Id="rId26" Type="http://schemas.openxmlformats.org/officeDocument/2006/relationships/customXml" Target="../customXml/item8.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customXml" Target="../customXml/item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arasteletti@iadb.org" TargetMode="External"/><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www.inegi.org.mx/est/lista_cubos/consulta.aspx?p=adm&amp;c=2" TargetMode="External"/><Relationship Id="rId2" Type="http://schemas.openxmlformats.org/officeDocument/2006/relationships/hyperlink" Target="https://www.disciplinafinanciera.hacienda.gob.mx/" TargetMode="External"/><Relationship Id="rId1" Type="http://schemas.openxmlformats.org/officeDocument/2006/relationships/hyperlink" Target="https://www.disciplinafinanciera.hacienda.gob.mx/" TargetMode="External"/><Relationship Id="rId5" Type="http://schemas.openxmlformats.org/officeDocument/2006/relationships/hyperlink" Target="https://www.disciplinafinanciera.hacienda.gob.mx/" TargetMode="External"/><Relationship Id="rId4" Type="http://schemas.openxmlformats.org/officeDocument/2006/relationships/hyperlink" Target="http://www.banxico.org.mx/SieInternet/consultarDirectorioInternetAction.do?accion=consultarCuadro&amp;idCuadro=CF1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8D0D9A390199A44EBDB1B06BDCD8A979" ma:contentTypeVersion="1037" ma:contentTypeDescription="The base project type from which other project content types inherit their information." ma:contentTypeScope="" ma:versionID="950356282d943baad823ad958f6b76f3">
  <xsd:schema xmlns:xsd="http://www.w3.org/2001/XMLSchema" xmlns:xs="http://www.w3.org/2001/XMLSchema" xmlns:p="http://schemas.microsoft.com/office/2006/metadata/properties" xmlns:ns2="cdc7663a-08f0-4737-9e8c-148ce897a09c" targetNamespace="http://schemas.microsoft.com/office/2006/metadata/properties" ma:root="true" ma:fieldsID="9befaca324cd554cf181823e8b0fdee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IFD/FMM</Division_x0020_or_x0020_Unit>
    <Document_x0020_Author xmlns="cdc7663a-08f0-4737-9e8c-148ce897a09c">Rasteletti, Alejandro Gabriel</Document_x0020_Author>
    <_dlc_DocId xmlns="cdc7663a-08f0-4737-9e8c-148ce897a09c">EZSHARE-2108768840-18</_dlc_DocId>
    <Operation_x0020_Type xmlns="cdc7663a-08f0-4737-9e8c-148ce897a09c">LON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TaxCatchAll xmlns="cdc7663a-08f0-4737-9e8c-148ce897a09c">
      <Value>40</Value>
      <Value>19</Value>
      <Value>24</Value>
      <Value>2</Value>
      <Value>100</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ME-L1276</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RM</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RM-DES</TermName>
          <TermId xmlns="http://schemas.microsoft.com/office/infopath/2007/PartnerControls">175f00f6-cbe9-4743-a188-bfed370207da</TermId>
        </TermInfo>
      </Terms>
    </b2ec7cfb18674cb8803df6b262e8b107>
    <Document_x0020_Language_x0020_IDB xmlns="cdc7663a-08f0-4737-9e8c-148ce897a09c">Spanish</Document_x0020_Language_x0020_IDB>
    <_dlc_DocIdUrl xmlns="cdc7663a-08f0-4737-9e8c-148ce897a09c">
      <Url>https://idbg.sharepoint.com/teams/EZ-ME-LON/ME-L1276/_layouts/15/DocIdRedir.aspx?ID=EZSHARE-2108768840-18</Url>
      <Description>EZSHARE-2108768840-18</Description>
    </_dlc_DocIdUrl>
    <Phase xmlns="cdc7663a-08f0-4737-9e8c-148ce897a09c">ACTIVE</Phase>
    <Other_x0020_Author xmlns="cdc7663a-08f0-4737-9e8c-148ce897a09c">Susana Roman</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EF73CDEB40EAE45ABEAC02702D6072A" ma:contentTypeVersion="1037" ma:contentTypeDescription="A content type to manage public (operations) IDB documents" ma:contentTypeScope="" ma:versionID="5f838a01044f2effc6543f9bfb5cf317">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27D12B-D14F-4422-8AEC-A3744611A697}">
  <ds:schemaRefs>
    <ds:schemaRef ds:uri="http://schemas.openxmlformats.org/officeDocument/2006/bibliography"/>
  </ds:schemaRefs>
</ds:datastoreItem>
</file>

<file path=customXml/itemProps2.xml><?xml version="1.0" encoding="utf-8"?>
<ds:datastoreItem xmlns:ds="http://schemas.openxmlformats.org/officeDocument/2006/customXml" ds:itemID="{1894BED1-42DE-4998-A471-7CFBC220FA16}"/>
</file>

<file path=customXml/itemProps3.xml><?xml version="1.0" encoding="utf-8"?>
<ds:datastoreItem xmlns:ds="http://schemas.openxmlformats.org/officeDocument/2006/customXml" ds:itemID="{7FAF099E-582E-4F83-AB25-D0D4B83F31E8}"/>
</file>

<file path=customXml/itemProps4.xml><?xml version="1.0" encoding="utf-8"?>
<ds:datastoreItem xmlns:ds="http://schemas.openxmlformats.org/officeDocument/2006/customXml" ds:itemID="{CD121757-B085-401D-88AC-9C00E87A9D28}"/>
</file>

<file path=customXml/itemProps5.xml><?xml version="1.0" encoding="utf-8"?>
<ds:datastoreItem xmlns:ds="http://schemas.openxmlformats.org/officeDocument/2006/customXml" ds:itemID="{CCD97598-C0AF-4DE7-A152-F274FF012F15}"/>
</file>

<file path=customXml/itemProps6.xml><?xml version="1.0" encoding="utf-8"?>
<ds:datastoreItem xmlns:ds="http://schemas.openxmlformats.org/officeDocument/2006/customXml" ds:itemID="{138D510F-9ABC-4320-8163-A72B3BEA555B}"/>
</file>

<file path=customXml/itemProps7.xml><?xml version="1.0" encoding="utf-8"?>
<ds:datastoreItem xmlns:ds="http://schemas.openxmlformats.org/officeDocument/2006/customXml" ds:itemID="{097EF63B-EE43-40A2-BB78-AD68C926C85E}"/>
</file>

<file path=customXml/itemProps8.xml><?xml version="1.0" encoding="utf-8"?>
<ds:datastoreItem xmlns:ds="http://schemas.openxmlformats.org/officeDocument/2006/customXml" ds:itemID="{81F65E98-EDA5-4028-85BB-F9098C999CEA}"/>
</file>

<file path=docProps/app.xml><?xml version="1.0" encoding="utf-8"?>
<Properties xmlns="http://schemas.openxmlformats.org/officeDocument/2006/extended-properties" xmlns:vt="http://schemas.openxmlformats.org/officeDocument/2006/docPropsVTypes">
  <Template>Normal.dotm</Template>
  <TotalTime>0</TotalTime>
  <Pages>25</Pages>
  <Words>5820</Words>
  <Characters>33177</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2019-03-25T19:41:00Z</dcterms:created>
  <dcterms:modified xsi:type="dcterms:W3CDTF">2019-03-26T16:14:00Z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100;#RM-DES|175f00f6-cbe9-4743-a188-bfed370207da</vt:lpwstr>
  </property>
  <property fmtid="{D5CDD505-2E9C-101B-9397-08002B2CF9AE}" pid="7" name="Country">
    <vt:lpwstr>19;#Mexico|0eba6470-e7ea-46fd-a959-d4c243acaf26</vt:lpwstr>
  </property>
  <property fmtid="{D5CDD505-2E9C-101B-9397-08002B2CF9AE}" pid="8" name="Fund IDB">
    <vt:lpwstr>24;#ORC|c028a4b2-ad8b-4cf4-9cac-a2ae6a778e23</vt:lpwstr>
  </property>
  <property fmtid="{D5CDD505-2E9C-101B-9397-08002B2CF9AE}" pid="9" name="_dlc_DocIdItemGuid">
    <vt:lpwstr>0b058553-c3f1-435a-a1cf-571e2236bf62</vt:lpwstr>
  </property>
  <property fmtid="{D5CDD505-2E9C-101B-9397-08002B2CF9AE}" pid="10" name="Sector IDB">
    <vt:lpwstr>40;#RM|c8fda4a7-691a-4c65-b227-9825197b5cd2</vt:lpwstr>
  </property>
  <property fmtid="{D5CDD505-2E9C-101B-9397-08002B2CF9AE}" pid="11" name="Function Operations IDB">
    <vt:lpwstr>2;#Monitoring and Reporting|df3c2aa1-d63e-41aa-b1f5-bb15dee691ca</vt:lpwstr>
  </property>
  <property fmtid="{D5CDD505-2E9C-101B-9397-08002B2CF9AE}" pid="13" name="Disclosure Activity">
    <vt:lpwstr>Electronic Links</vt:lpwstr>
  </property>
  <property fmtid="{D5CDD505-2E9C-101B-9397-08002B2CF9AE}" pid="14" name="ContentTypeId">
    <vt:lpwstr>0x0101001A458A224826124E8B45B1D613300CFC00FEF73CDEB40EAE45ABEAC02702D6072A</vt:lpwstr>
  </property>
</Properties>
</file>