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B87" w:rsidRDefault="00EB5338" w14:paraId="69A2EDFA" w14:textId="77777777">
      <w:pPr>
        <w:tabs>
          <w:tab w:val="left" w:pos="2340"/>
          <w:tab w:val="left" w:pos="2880"/>
        </w:tabs>
        <w:spacing w:after="240"/>
        <w:jc w:val="center"/>
        <w:rPr>
          <w:rFonts w:ascii="Arial" w:hAnsi="Arial" w:cs="Arial"/>
          <w:b/>
          <w:smallCaps/>
          <w:sz w:val="22"/>
          <w:lang w:val="es-ES"/>
        </w:rPr>
      </w:pPr>
      <w:r>
        <w:rPr>
          <w:rFonts w:ascii="Arial" w:hAnsi="Arial" w:cs="Arial"/>
          <w:b/>
          <w:smallCaps/>
          <w:sz w:val="22"/>
          <w:lang w:val="es-ES"/>
        </w:rPr>
        <w:t>Matriz de Políticas Comparativa</w:t>
      </w:r>
    </w:p>
    <w:p w:rsidR="00791B87" w:rsidRDefault="00EB5338" w14:paraId="2A90743A" w14:textId="77777777">
      <w:pPr>
        <w:tabs>
          <w:tab w:val="left" w:pos="2340"/>
          <w:tab w:val="left" w:pos="2880"/>
        </w:tabs>
        <w:spacing w:after="240"/>
        <w:jc w:val="center"/>
        <w:rPr>
          <w:rFonts w:ascii="Arial" w:hAnsi="Arial" w:cs="Arial"/>
          <w:b/>
          <w:smallCaps/>
          <w:sz w:val="22"/>
          <w:lang w:val="es-ES"/>
        </w:rPr>
      </w:pPr>
      <w:r>
        <w:rPr>
          <w:rFonts w:ascii="Arial" w:hAnsi="Arial" w:cs="Arial"/>
          <w:b/>
          <w:smallCaps/>
          <w:sz w:val="22"/>
          <w:lang w:val="es-ES"/>
        </w:rPr>
        <w:t>Cambios en las condiciones acordadas para la segunda operación frente a las condiciones acordadas en la Propuesta de Préstamo de la primera operación</w:t>
      </w:r>
    </w:p>
    <w:tbl>
      <w:tblPr>
        <w:tblStyle w:val="TableGrid"/>
        <w:tblpPr w:leftFromText="180" w:rightFromText="180" w:vertAnchor="text" w:tblpY="1"/>
        <w:tblOverlap w:val="never"/>
        <w:tblW w:w="0" w:type="auto"/>
        <w:tblLook w:val="04A0" w:firstRow="1" w:lastRow="0" w:firstColumn="1" w:lastColumn="0" w:noHBand="0" w:noVBand="1"/>
      </w:tblPr>
      <w:tblGrid>
        <w:gridCol w:w="2078"/>
        <w:gridCol w:w="3587"/>
        <w:gridCol w:w="3600"/>
        <w:gridCol w:w="2965"/>
      </w:tblGrid>
      <w:tr w:rsidRPr="0095010D" w:rsidR="00791B87" w:rsidTr="5062BC62" w14:paraId="70493490" w14:textId="77777777">
        <w:trPr>
          <w:trHeight w:val="20"/>
          <w:tblHeader/>
        </w:trPr>
        <w:tc>
          <w:tcPr>
            <w:tcW w:w="0" w:type="auto"/>
            <w:shd w:val="clear" w:color="auto" w:fill="D9D9D9" w:themeFill="background1" w:themeFillShade="D9"/>
            <w:tcMar/>
            <w:vAlign w:val="center"/>
          </w:tcPr>
          <w:p w:rsidRPr="0095010D" w:rsidR="00791B87" w:rsidRDefault="00EB5338" w14:paraId="02C797D6" w14:textId="77777777">
            <w:pPr>
              <w:spacing w:before="40" w:after="40"/>
              <w:jc w:val="center"/>
              <w:rPr>
                <w:rFonts w:ascii="Arial" w:hAnsi="Arial" w:cs="Arial"/>
                <w:b/>
                <w:sz w:val="18"/>
                <w:szCs w:val="18"/>
                <w:lang w:val="es-ES_tradnl"/>
              </w:rPr>
            </w:pPr>
            <w:r w:rsidRPr="0095010D">
              <w:rPr>
                <w:rFonts w:ascii="Arial" w:hAnsi="Arial" w:cs="Arial"/>
                <w:b/>
                <w:sz w:val="18"/>
                <w:szCs w:val="18"/>
                <w:lang w:val="es-ES_tradnl"/>
              </w:rPr>
              <w:t>Objetivo</w:t>
            </w:r>
          </w:p>
        </w:tc>
        <w:tc>
          <w:tcPr>
            <w:tcW w:w="3587" w:type="dxa"/>
            <w:shd w:val="clear" w:color="auto" w:fill="D9D9D9" w:themeFill="background1" w:themeFillShade="D9"/>
            <w:tcMar/>
            <w:vAlign w:val="center"/>
          </w:tcPr>
          <w:p w:rsidRPr="0095010D" w:rsidR="00791B87" w:rsidRDefault="00EB5338" w14:paraId="3E189A26" w14:textId="77777777">
            <w:pPr>
              <w:spacing w:before="40" w:after="40"/>
              <w:jc w:val="center"/>
              <w:rPr>
                <w:rFonts w:ascii="Arial" w:hAnsi="Arial" w:cs="Arial"/>
                <w:b/>
                <w:sz w:val="18"/>
                <w:szCs w:val="18"/>
                <w:lang w:val="es-CO"/>
              </w:rPr>
            </w:pPr>
            <w:r w:rsidRPr="0095010D">
              <w:rPr>
                <w:rFonts w:ascii="Arial" w:hAnsi="Arial" w:cs="Arial"/>
                <w:b/>
                <w:sz w:val="18"/>
                <w:szCs w:val="18"/>
                <w:lang w:val="es-ES_tradnl"/>
              </w:rPr>
              <w:t>Condiciones de política indicativas para la segunda operación, acordadas en la primera operación</w:t>
            </w:r>
          </w:p>
        </w:tc>
        <w:tc>
          <w:tcPr>
            <w:tcW w:w="3600" w:type="dxa"/>
            <w:shd w:val="clear" w:color="auto" w:fill="D9D9D9" w:themeFill="background1" w:themeFillShade="D9"/>
            <w:tcMar/>
            <w:vAlign w:val="center"/>
          </w:tcPr>
          <w:p w:rsidRPr="0095010D" w:rsidR="00791B87" w:rsidRDefault="00EB5338" w14:paraId="50DE807E" w14:textId="77777777">
            <w:pPr>
              <w:spacing w:before="40" w:after="40"/>
              <w:jc w:val="center"/>
              <w:rPr>
                <w:rFonts w:ascii="Arial" w:hAnsi="Arial" w:cs="Arial"/>
                <w:b/>
                <w:sz w:val="18"/>
                <w:szCs w:val="18"/>
                <w:lang w:val="es-ES_tradnl"/>
              </w:rPr>
            </w:pPr>
            <w:r w:rsidRPr="0095010D">
              <w:rPr>
                <w:rFonts w:ascii="Arial" w:hAnsi="Arial" w:cs="Arial"/>
                <w:b/>
                <w:sz w:val="18"/>
                <w:szCs w:val="18"/>
                <w:lang w:val="es-ES_tradnl"/>
              </w:rPr>
              <w:t>Condiciones de política de la segunda operación programática revisadas</w:t>
            </w:r>
          </w:p>
        </w:tc>
        <w:tc>
          <w:tcPr>
            <w:tcW w:w="2965" w:type="dxa"/>
            <w:shd w:val="clear" w:color="auto" w:fill="D9D9D9" w:themeFill="background1" w:themeFillShade="D9"/>
            <w:tcMar/>
            <w:vAlign w:val="center"/>
          </w:tcPr>
          <w:p w:rsidRPr="0095010D" w:rsidR="00791B87" w:rsidRDefault="00EB5338" w14:paraId="02F446B5" w14:textId="77777777">
            <w:pPr>
              <w:spacing w:before="40" w:after="40"/>
              <w:jc w:val="center"/>
              <w:rPr>
                <w:rFonts w:ascii="Arial" w:hAnsi="Arial" w:cs="Arial"/>
                <w:b/>
                <w:sz w:val="18"/>
                <w:szCs w:val="18"/>
                <w:lang w:val="es-ES_tradnl"/>
              </w:rPr>
            </w:pPr>
            <w:r w:rsidRPr="0095010D">
              <w:rPr>
                <w:rFonts w:ascii="Arial" w:hAnsi="Arial" w:cs="Arial"/>
                <w:b/>
                <w:sz w:val="18"/>
                <w:szCs w:val="18"/>
                <w:lang w:val="es-ES_tradnl"/>
              </w:rPr>
              <w:t>Explicaciones</w:t>
            </w:r>
          </w:p>
        </w:tc>
      </w:tr>
      <w:tr w:rsidRPr="0095010D" w:rsidR="00791B87" w:rsidTr="5062BC62" w14:paraId="1A0A82AE" w14:textId="77777777">
        <w:trPr>
          <w:trHeight w:val="20"/>
        </w:trPr>
        <w:tc>
          <w:tcPr>
            <w:tcW w:w="0" w:type="auto"/>
            <w:gridSpan w:val="4"/>
            <w:shd w:val="clear" w:color="auto" w:fill="D9D9D9" w:themeFill="background1" w:themeFillShade="D9"/>
            <w:tcMar/>
          </w:tcPr>
          <w:p w:rsidRPr="0095010D" w:rsidR="00791B87" w:rsidP="0096484A" w:rsidRDefault="00EB5338" w14:paraId="43727BF7" w14:textId="068A194A">
            <w:pPr>
              <w:pStyle w:val="ListParagraph"/>
              <w:numPr>
                <w:ilvl w:val="0"/>
                <w:numId w:val="2"/>
              </w:numPr>
              <w:tabs>
                <w:tab w:val="left" w:pos="2340"/>
                <w:tab w:val="left" w:pos="2880"/>
              </w:tabs>
              <w:spacing w:before="40" w:after="40" w:line="240" w:lineRule="auto"/>
              <w:contextualSpacing w:val="0"/>
              <w:rPr>
                <w:rFonts w:ascii="Arial" w:hAnsi="Arial" w:cs="Arial"/>
                <w:b/>
                <w:sz w:val="18"/>
                <w:szCs w:val="18"/>
                <w:lang w:val="es-ES_tradnl"/>
              </w:rPr>
            </w:pPr>
            <w:r w:rsidRPr="0095010D">
              <w:rPr>
                <w:rFonts w:ascii="Arial" w:hAnsi="Arial" w:cs="Arial"/>
                <w:b/>
                <w:sz w:val="18"/>
                <w:szCs w:val="18"/>
                <w:lang w:val="es-ES_tradnl"/>
              </w:rPr>
              <w:t xml:space="preserve">Estabilidad </w:t>
            </w:r>
            <w:r w:rsidR="0095010D">
              <w:rPr>
                <w:rFonts w:ascii="Arial" w:hAnsi="Arial" w:cs="Arial"/>
                <w:b/>
                <w:sz w:val="18"/>
                <w:szCs w:val="18"/>
                <w:lang w:val="es-ES_tradnl"/>
              </w:rPr>
              <w:t>m</w:t>
            </w:r>
            <w:r w:rsidRPr="0095010D">
              <w:rPr>
                <w:rFonts w:ascii="Arial" w:hAnsi="Arial" w:cs="Arial"/>
                <w:b/>
                <w:sz w:val="18"/>
                <w:szCs w:val="18"/>
                <w:lang w:val="es-ES_tradnl"/>
              </w:rPr>
              <w:t>acroeconómica</w:t>
            </w:r>
          </w:p>
        </w:tc>
      </w:tr>
      <w:tr w:rsidRPr="0095010D" w:rsidR="00791B87" w:rsidTr="5062BC62" w14:paraId="00DCD086" w14:textId="77777777">
        <w:trPr>
          <w:trHeight w:val="20"/>
        </w:trPr>
        <w:tc>
          <w:tcPr>
            <w:tcW w:w="0" w:type="auto"/>
            <w:tcMar/>
          </w:tcPr>
          <w:p w:rsidRPr="0095010D" w:rsidR="00791B87" w:rsidP="00CF29CF" w:rsidRDefault="009C7367" w14:paraId="20441FC9" w14:textId="472D7A77">
            <w:pPr>
              <w:spacing w:before="60" w:after="60"/>
              <w:jc w:val="both"/>
              <w:rPr>
                <w:rFonts w:ascii="Arial" w:hAnsi="Arial" w:cs="Arial"/>
                <w:sz w:val="18"/>
                <w:szCs w:val="18"/>
                <w:lang w:val="es-MX"/>
              </w:rPr>
            </w:pPr>
            <w:r w:rsidRPr="0095010D">
              <w:rPr>
                <w:rFonts w:ascii="Arial" w:hAnsi="Arial" w:cs="Arial"/>
                <w:sz w:val="18"/>
                <w:szCs w:val="18"/>
                <w:lang w:val="es-MX"/>
              </w:rPr>
              <w:t>Asegurar el mantenimiento de un contexto macroeconómico congruente con los objetivos del programa según establecido en la Matriz de Política y en la Carta de Política Sectorial.</w:t>
            </w:r>
          </w:p>
        </w:tc>
        <w:tc>
          <w:tcPr>
            <w:tcW w:w="3587" w:type="dxa"/>
            <w:tcMar/>
          </w:tcPr>
          <w:p w:rsidRPr="0095010D" w:rsidR="00934FDF" w:rsidP="5062BC62" w:rsidRDefault="00E27012" w14:paraId="70841BF0" w14:textId="385B5177">
            <w:pPr>
              <w:pStyle w:val="FootnoteText"/>
              <w:numPr>
                <w:ilvl w:val="0"/>
                <w:numId w:val="1"/>
              </w:numPr>
              <w:spacing w:before="60" w:after="60"/>
              <w:ind w:left="313"/>
              <w:jc w:val="both"/>
              <w:rPr>
                <w:rFonts w:ascii="Arial" w:hAnsi="Arial" w:cs="Arial"/>
                <w:sz w:val="18"/>
                <w:szCs w:val="18"/>
                <w:lang w:val="es-MX"/>
              </w:rPr>
            </w:pPr>
            <w:r w:rsidRPr="5062BC62" w:rsidR="5062BC62">
              <w:rPr>
                <w:rFonts w:ascii="Arial" w:hAnsi="Arial" w:cs="Arial"/>
                <w:sz w:val="18"/>
                <w:szCs w:val="18"/>
                <w:lang w:val="es-MX"/>
              </w:rPr>
              <w:t xml:space="preserve">Mantenimiento de un </w:t>
            </w:r>
            <w:r w:rsidRPr="5062BC62" w:rsidR="5062BC62">
              <w:rPr>
                <w:rFonts w:ascii="Arial" w:hAnsi="Arial" w:cs="Arial"/>
                <w:sz w:val="18"/>
                <w:szCs w:val="18"/>
                <w:lang w:val="es-MX"/>
              </w:rPr>
              <w:t xml:space="preserve">marco </w:t>
            </w:r>
            <w:r w:rsidRPr="5062BC62" w:rsidR="5062BC62">
              <w:rPr>
                <w:rFonts w:ascii="Arial" w:hAnsi="Arial" w:cs="Arial"/>
                <w:sz w:val="18"/>
                <w:szCs w:val="18"/>
                <w:lang w:val="es-MX"/>
              </w:rPr>
              <w:t>económico con</w:t>
            </w:r>
            <w:r w:rsidRPr="5062BC62" w:rsidR="5062BC62">
              <w:rPr>
                <w:rFonts w:ascii="Arial" w:hAnsi="Arial" w:cs="Arial"/>
                <w:sz w:val="18"/>
                <w:szCs w:val="18"/>
                <w:lang w:val="es-MX"/>
              </w:rPr>
              <w:t>sistente</w:t>
            </w:r>
            <w:r w:rsidRPr="5062BC62" w:rsidR="5062BC62">
              <w:rPr>
                <w:rFonts w:ascii="Arial" w:hAnsi="Arial" w:cs="Arial"/>
                <w:sz w:val="18"/>
                <w:szCs w:val="18"/>
                <w:lang w:val="es-MX"/>
              </w:rPr>
              <w:t xml:space="preserve"> con los objetivos del programa </w:t>
            </w:r>
            <w:r w:rsidRPr="5062BC62" w:rsidR="5062BC62">
              <w:rPr>
                <w:rFonts w:ascii="Arial" w:hAnsi="Arial" w:cs="Arial"/>
                <w:sz w:val="18"/>
                <w:szCs w:val="18"/>
                <w:lang w:val="es-MX"/>
              </w:rPr>
              <w:t>y con los lineamientos establecidos</w:t>
            </w:r>
            <w:r w:rsidRPr="5062BC62" w:rsidR="5062BC62">
              <w:rPr>
                <w:rFonts w:ascii="Arial" w:hAnsi="Arial" w:cs="Arial"/>
                <w:sz w:val="18"/>
                <w:szCs w:val="18"/>
                <w:lang w:val="es-MX"/>
              </w:rPr>
              <w:t xml:space="preserve"> en la Carta de Política Sectorial.</w:t>
            </w:r>
          </w:p>
        </w:tc>
        <w:tc>
          <w:tcPr>
            <w:tcW w:w="3600" w:type="dxa"/>
            <w:tcMar/>
          </w:tcPr>
          <w:p w:rsidRPr="0095010D" w:rsidR="00791B87" w:rsidP="5062BC62" w:rsidRDefault="003362FE" w14:paraId="1730AFB0" w14:textId="7CA17C5E">
            <w:pPr>
              <w:pStyle w:val="FootnoteText"/>
              <w:numPr>
                <w:ilvl w:val="0"/>
                <w:numId w:val="3"/>
              </w:numPr>
              <w:spacing w:before="60" w:after="60"/>
              <w:ind w:left="375" w:hanging="389"/>
              <w:jc w:val="both"/>
              <w:rPr>
                <w:rFonts w:ascii="Arial" w:hAnsi="Arial" w:cs="Arial"/>
                <w:sz w:val="18"/>
                <w:szCs w:val="18"/>
                <w:lang w:val="es-ES"/>
              </w:rPr>
            </w:pPr>
            <w:r w:rsidRPr="5062BC62" w:rsidR="5062BC62">
              <w:rPr>
                <w:rFonts w:ascii="Arial" w:hAnsi="Arial" w:cs="Arial"/>
                <w:sz w:val="18"/>
                <w:szCs w:val="18"/>
                <w:lang w:val="es-MX"/>
              </w:rPr>
              <w:t xml:space="preserve">Mantenimiento de un </w:t>
            </w:r>
            <w:r w:rsidRPr="5062BC62" w:rsidR="5062BC62">
              <w:rPr>
                <w:rFonts w:ascii="Arial" w:hAnsi="Arial" w:cs="Arial"/>
                <w:sz w:val="18"/>
                <w:szCs w:val="18"/>
                <w:lang w:val="es-MX"/>
              </w:rPr>
              <w:t xml:space="preserve">marco </w:t>
            </w:r>
            <w:r w:rsidRPr="5062BC62" w:rsidR="5062BC62">
              <w:rPr>
                <w:rFonts w:ascii="Arial" w:hAnsi="Arial" w:cs="Arial"/>
                <w:sz w:val="18"/>
                <w:szCs w:val="18"/>
                <w:lang w:val="es-MX"/>
              </w:rPr>
              <w:t>económico con</w:t>
            </w:r>
            <w:r w:rsidRPr="5062BC62" w:rsidR="5062BC62">
              <w:rPr>
                <w:rFonts w:ascii="Arial" w:hAnsi="Arial" w:cs="Arial"/>
                <w:sz w:val="18"/>
                <w:szCs w:val="18"/>
                <w:lang w:val="es-MX"/>
              </w:rPr>
              <w:t xml:space="preserve">sistente </w:t>
            </w:r>
            <w:r w:rsidRPr="5062BC62" w:rsidR="5062BC62">
              <w:rPr>
                <w:rFonts w:ascii="Arial" w:hAnsi="Arial" w:cs="Arial"/>
                <w:sz w:val="18"/>
                <w:szCs w:val="18"/>
                <w:lang w:val="es-MX"/>
              </w:rPr>
              <w:t xml:space="preserve">con los objetivos del programa </w:t>
            </w:r>
            <w:r w:rsidRPr="5062BC62" w:rsidR="5062BC62">
              <w:rPr>
                <w:rFonts w:ascii="Arial" w:hAnsi="Arial" w:cs="Arial"/>
                <w:sz w:val="18"/>
                <w:szCs w:val="18"/>
                <w:lang w:val="es-MX"/>
              </w:rPr>
              <w:t xml:space="preserve">y con los lineamientos </w:t>
            </w:r>
            <w:r w:rsidRPr="5062BC62" w:rsidR="5062BC62">
              <w:rPr>
                <w:rFonts w:ascii="Arial" w:hAnsi="Arial" w:cs="Arial"/>
                <w:sz w:val="18"/>
                <w:szCs w:val="18"/>
                <w:lang w:val="es-MX"/>
              </w:rPr>
              <w:t>establecido</w:t>
            </w:r>
            <w:r w:rsidRPr="5062BC62" w:rsidR="5062BC62">
              <w:rPr>
                <w:rFonts w:ascii="Arial" w:hAnsi="Arial" w:cs="Arial"/>
                <w:sz w:val="18"/>
                <w:szCs w:val="18"/>
                <w:lang w:val="es-MX"/>
              </w:rPr>
              <w:t>s</w:t>
            </w:r>
            <w:r w:rsidRPr="5062BC62" w:rsidR="5062BC62">
              <w:rPr>
                <w:rFonts w:ascii="Arial" w:hAnsi="Arial" w:cs="Arial"/>
                <w:sz w:val="18"/>
                <w:szCs w:val="18"/>
                <w:lang w:val="es-MX"/>
              </w:rPr>
              <w:t xml:space="preserve"> en la Carta de Política Sectorial</w:t>
            </w:r>
            <w:r w:rsidRPr="5062BC62" w:rsidR="5062BC62">
              <w:rPr>
                <w:rFonts w:ascii="Arial" w:hAnsi="Arial" w:cs="Arial"/>
                <w:sz w:val="18"/>
                <w:szCs w:val="18"/>
                <w:lang w:val="es-ES"/>
              </w:rPr>
              <w:t>.</w:t>
            </w:r>
          </w:p>
        </w:tc>
        <w:tc>
          <w:tcPr>
            <w:tcW w:w="2965" w:type="dxa"/>
            <w:tcMar/>
          </w:tcPr>
          <w:p w:rsidRPr="0095010D" w:rsidR="00791B87" w:rsidP="00CF29CF" w:rsidRDefault="003362FE" w14:paraId="41D0C330" w14:textId="4FBBA873">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 xml:space="preserve">Se </w:t>
            </w:r>
            <w:r w:rsidRPr="0095010D">
              <w:rPr>
                <w:rFonts w:ascii="Arial" w:hAnsi="Arial" w:cs="Arial"/>
                <w:iCs/>
                <w:sz w:val="18"/>
                <w:szCs w:val="18"/>
                <w:lang w:val="es-CO"/>
              </w:rPr>
              <w:t>mantiene la redacción</w:t>
            </w:r>
            <w:r w:rsidRPr="0095010D" w:rsidR="00EB5338">
              <w:rPr>
                <w:rFonts w:ascii="Arial" w:hAnsi="Arial" w:cs="Arial"/>
                <w:iCs/>
                <w:sz w:val="18"/>
                <w:szCs w:val="18"/>
                <w:lang w:val="es-CO"/>
              </w:rPr>
              <w:t>.</w:t>
            </w:r>
          </w:p>
        </w:tc>
      </w:tr>
      <w:tr w:rsidRPr="00B63973" w:rsidR="00791B87" w:rsidTr="5062BC62" w14:paraId="35199989" w14:textId="77777777">
        <w:trPr>
          <w:trHeight w:val="20"/>
        </w:trPr>
        <w:tc>
          <w:tcPr>
            <w:tcW w:w="0" w:type="auto"/>
            <w:gridSpan w:val="4"/>
            <w:shd w:val="clear" w:color="auto" w:fill="D9D9D9" w:themeFill="background1" w:themeFillShade="D9"/>
            <w:tcMar/>
          </w:tcPr>
          <w:p w:rsidRPr="0095010D" w:rsidR="007327A9" w:rsidP="0096484A" w:rsidRDefault="007327A9" w14:paraId="32384E1E" w14:textId="46A75BC0">
            <w:pPr>
              <w:pStyle w:val="ListParagraph"/>
              <w:numPr>
                <w:ilvl w:val="0"/>
                <w:numId w:val="2"/>
              </w:numPr>
              <w:tabs>
                <w:tab w:val="left" w:pos="2340"/>
                <w:tab w:val="left" w:pos="2880"/>
              </w:tabs>
              <w:spacing w:before="40" w:after="40" w:line="240" w:lineRule="auto"/>
              <w:contextualSpacing w:val="0"/>
              <w:rPr>
                <w:rFonts w:ascii="Arial" w:hAnsi="Arial" w:cs="Arial"/>
                <w:b/>
                <w:sz w:val="18"/>
                <w:szCs w:val="18"/>
                <w:lang w:val="es-ES_tradnl"/>
              </w:rPr>
            </w:pPr>
            <w:r w:rsidRPr="0095010D">
              <w:rPr>
                <w:rFonts w:ascii="Arial" w:hAnsi="Arial" w:cs="Arial"/>
                <w:b/>
                <w:sz w:val="18"/>
                <w:szCs w:val="18"/>
                <w:lang w:val="es-MX"/>
              </w:rPr>
              <w:t xml:space="preserve">Fortalecimiento de la </w:t>
            </w:r>
            <w:r w:rsidR="0095010D">
              <w:rPr>
                <w:rFonts w:ascii="Arial" w:hAnsi="Arial" w:cs="Arial"/>
                <w:b/>
                <w:sz w:val="18"/>
                <w:szCs w:val="18"/>
                <w:lang w:val="es-MX"/>
              </w:rPr>
              <w:t>r</w:t>
            </w:r>
            <w:r w:rsidRPr="0095010D">
              <w:rPr>
                <w:rFonts w:ascii="Arial" w:hAnsi="Arial" w:cs="Arial"/>
                <w:b/>
                <w:sz w:val="18"/>
                <w:szCs w:val="18"/>
                <w:lang w:val="es-MX"/>
              </w:rPr>
              <w:t xml:space="preserve">esponsabilidad </w:t>
            </w:r>
            <w:r w:rsidR="0095010D">
              <w:rPr>
                <w:rFonts w:ascii="Arial" w:hAnsi="Arial" w:cs="Arial"/>
                <w:b/>
                <w:sz w:val="18"/>
                <w:szCs w:val="18"/>
                <w:lang w:val="es-MX"/>
              </w:rPr>
              <w:t>h</w:t>
            </w:r>
            <w:r w:rsidRPr="0095010D">
              <w:rPr>
                <w:rFonts w:ascii="Arial" w:hAnsi="Arial" w:cs="Arial"/>
                <w:b/>
                <w:sz w:val="18"/>
                <w:szCs w:val="18"/>
                <w:lang w:val="es-MX"/>
              </w:rPr>
              <w:t>acendaria de Entidades Federativas y Municipios (</w:t>
            </w:r>
            <w:proofErr w:type="spellStart"/>
            <w:r w:rsidRPr="0095010D">
              <w:rPr>
                <w:rFonts w:ascii="Arial" w:hAnsi="Arial" w:cs="Arial"/>
                <w:b/>
                <w:sz w:val="18"/>
                <w:szCs w:val="18"/>
                <w:lang w:val="es-MX"/>
              </w:rPr>
              <w:t>EyM</w:t>
            </w:r>
            <w:proofErr w:type="spellEnd"/>
            <w:r w:rsidRPr="0095010D">
              <w:rPr>
                <w:rFonts w:ascii="Arial" w:hAnsi="Arial" w:cs="Arial"/>
                <w:b/>
                <w:sz w:val="18"/>
                <w:szCs w:val="18"/>
                <w:lang w:val="es-MX"/>
              </w:rPr>
              <w:t>)</w:t>
            </w:r>
          </w:p>
        </w:tc>
      </w:tr>
      <w:tr w:rsidRPr="00B63973" w:rsidR="007713EF" w:rsidTr="5062BC62" w14:paraId="1450B290" w14:textId="77777777">
        <w:trPr>
          <w:trHeight w:val="1362"/>
        </w:trPr>
        <w:tc>
          <w:tcPr>
            <w:tcW w:w="0" w:type="auto"/>
            <w:vMerge w:val="restart"/>
            <w:tcMar/>
          </w:tcPr>
          <w:p w:rsidRPr="0095010D" w:rsidR="007713EF" w:rsidP="00CF29CF" w:rsidRDefault="007713EF" w14:paraId="3223EA6F" w14:textId="3A1824B4">
            <w:pPr>
              <w:spacing w:before="60" w:after="60"/>
              <w:jc w:val="both"/>
              <w:rPr>
                <w:rFonts w:ascii="Arial" w:hAnsi="Arial" w:cs="Arial"/>
                <w:bCs/>
                <w:sz w:val="18"/>
                <w:szCs w:val="18"/>
                <w:lang w:val="es-MX"/>
              </w:rPr>
            </w:pPr>
            <w:r w:rsidRPr="0095010D">
              <w:rPr>
                <w:rFonts w:ascii="Arial" w:hAnsi="Arial" w:cs="Arial"/>
                <w:spacing w:val="-4"/>
                <w:sz w:val="18"/>
                <w:szCs w:val="18"/>
                <w:lang w:val="es-MX"/>
              </w:rPr>
              <w:t xml:space="preserve">Incrementar la disciplina financiera de las </w:t>
            </w:r>
            <w:proofErr w:type="spellStart"/>
            <w:r w:rsidRPr="0095010D">
              <w:rPr>
                <w:rFonts w:ascii="Arial" w:hAnsi="Arial" w:cs="Arial"/>
                <w:spacing w:val="-4"/>
                <w:sz w:val="18"/>
                <w:szCs w:val="18"/>
                <w:lang w:val="es-MX"/>
              </w:rPr>
              <w:t>EyM</w:t>
            </w:r>
            <w:proofErr w:type="spellEnd"/>
            <w:r w:rsidRPr="0095010D">
              <w:rPr>
                <w:rFonts w:ascii="Arial" w:hAnsi="Arial" w:cs="Arial"/>
                <w:spacing w:val="-4"/>
                <w:sz w:val="18"/>
                <w:szCs w:val="18"/>
                <w:lang w:val="es-MX"/>
              </w:rPr>
              <w:t xml:space="preserve"> y sus entes públicos (EP), a fin de fortalecer </w:t>
            </w:r>
            <w:r w:rsidRPr="0095010D">
              <w:rPr>
                <w:rFonts w:ascii="Arial" w:hAnsi="Arial" w:cs="Arial"/>
                <w:color w:val="000000"/>
                <w:spacing w:val="-4"/>
                <w:sz w:val="18"/>
                <w:szCs w:val="18"/>
                <w:lang w:val="es-MX"/>
              </w:rPr>
              <w:t>su sostenibilidad fiscal.</w:t>
            </w:r>
          </w:p>
        </w:tc>
        <w:tc>
          <w:tcPr>
            <w:tcW w:w="3587" w:type="dxa"/>
            <w:tcMar/>
          </w:tcPr>
          <w:p w:rsidRPr="0095010D" w:rsidR="007713EF" w:rsidP="00CF29CF" w:rsidRDefault="007713EF" w14:paraId="26E5755C" w14:textId="4F60305B">
            <w:pPr>
              <w:pStyle w:val="ListParagraph"/>
              <w:numPr>
                <w:ilvl w:val="2"/>
                <w:numId w:val="7"/>
              </w:numPr>
              <w:spacing w:before="60" w:after="60" w:line="240" w:lineRule="auto"/>
              <w:ind w:left="509" w:hanging="509"/>
              <w:contextualSpacing w:val="0"/>
              <w:jc w:val="both"/>
              <w:rPr>
                <w:rFonts w:ascii="Arial" w:hAnsi="Arial" w:cs="Arial"/>
                <w:sz w:val="18"/>
                <w:szCs w:val="18"/>
                <w:lang w:val="es-ES"/>
              </w:rPr>
            </w:pPr>
            <w:proofErr w:type="gramStart"/>
            <w:r w:rsidRPr="0095010D">
              <w:rPr>
                <w:rFonts w:ascii="Arial" w:hAnsi="Arial" w:cs="Arial"/>
                <w:sz w:val="18"/>
                <w:szCs w:val="18"/>
                <w:lang w:val="es-ES"/>
              </w:rPr>
              <w:t>Entrada en vig</w:t>
            </w:r>
            <w:r>
              <w:rPr>
                <w:rFonts w:ascii="Arial" w:hAnsi="Arial" w:cs="Arial"/>
                <w:sz w:val="18"/>
                <w:szCs w:val="18"/>
                <w:lang w:val="es-ES"/>
              </w:rPr>
              <w:t>encia</w:t>
            </w:r>
            <w:proofErr w:type="gramEnd"/>
            <w:r w:rsidRPr="0095010D">
              <w:rPr>
                <w:rFonts w:ascii="Arial" w:hAnsi="Arial" w:cs="Arial"/>
                <w:sz w:val="18"/>
                <w:szCs w:val="18"/>
                <w:lang w:val="es-ES"/>
              </w:rPr>
              <w:t xml:space="preserve"> de las disposiciones de responsabilidad hacendaria de la Ley de Disciplina Financiera de las </w:t>
            </w:r>
            <w:proofErr w:type="spellStart"/>
            <w:r w:rsidRPr="0095010D">
              <w:rPr>
                <w:rFonts w:ascii="Arial" w:hAnsi="Arial" w:cs="Arial"/>
                <w:sz w:val="18"/>
                <w:szCs w:val="18"/>
                <w:lang w:val="es-ES"/>
              </w:rPr>
              <w:t>EyM</w:t>
            </w:r>
            <w:proofErr w:type="spellEnd"/>
            <w:r w:rsidRPr="0095010D">
              <w:rPr>
                <w:rFonts w:ascii="Arial" w:hAnsi="Arial" w:cs="Arial"/>
                <w:sz w:val="18"/>
                <w:szCs w:val="18"/>
                <w:lang w:val="es-ES"/>
              </w:rPr>
              <w:t xml:space="preserve"> (</w:t>
            </w:r>
            <w:r w:rsidRPr="0095010D">
              <w:rPr>
                <w:rFonts w:ascii="Arial" w:hAnsi="Arial" w:cs="Arial"/>
                <w:color w:val="000000"/>
                <w:sz w:val="18"/>
                <w:szCs w:val="18"/>
                <w:lang w:val="es-ES"/>
              </w:rPr>
              <w:t>LDF)</w:t>
            </w:r>
            <w:r w:rsidRPr="0095010D">
              <w:rPr>
                <w:rFonts w:ascii="Arial" w:hAnsi="Arial" w:cs="Arial"/>
                <w:sz w:val="18"/>
                <w:szCs w:val="18"/>
                <w:lang w:val="es-ES"/>
              </w:rPr>
              <w:t xml:space="preserve"> en los municipios con más de 200</w:t>
            </w:r>
            <w:r w:rsidR="002B5AB8">
              <w:rPr>
                <w:rFonts w:ascii="Arial" w:hAnsi="Arial" w:cs="Arial"/>
                <w:sz w:val="18"/>
                <w:szCs w:val="18"/>
                <w:lang w:val="es-ES"/>
              </w:rPr>
              <w:t>.000 </w:t>
            </w:r>
            <w:r w:rsidRPr="0095010D">
              <w:rPr>
                <w:rFonts w:ascii="Arial" w:hAnsi="Arial" w:cs="Arial"/>
                <w:sz w:val="18"/>
                <w:szCs w:val="18"/>
                <w:lang w:val="es-ES"/>
              </w:rPr>
              <w:t xml:space="preserve">habitantes y en sus respectivos entes </w:t>
            </w:r>
            <w:r w:rsidRPr="0095010D">
              <w:rPr>
                <w:rFonts w:ascii="Arial" w:hAnsi="Arial" w:cs="Arial"/>
                <w:sz w:val="18"/>
                <w:szCs w:val="18"/>
                <w:lang w:val="es-MX"/>
              </w:rPr>
              <w:t>públicos</w:t>
            </w:r>
            <w:r w:rsidRPr="0095010D">
              <w:rPr>
                <w:rFonts w:ascii="Arial" w:hAnsi="Arial" w:cs="Arial"/>
                <w:sz w:val="18"/>
                <w:szCs w:val="18"/>
                <w:lang w:val="es-ES"/>
              </w:rPr>
              <w:t xml:space="preserve"> (EP), en los términos establecidos en la misma, para la elaboración de presupuestos.</w:t>
            </w:r>
          </w:p>
        </w:tc>
        <w:tc>
          <w:tcPr>
            <w:tcW w:w="3600" w:type="dxa"/>
            <w:tcMar/>
          </w:tcPr>
          <w:p w:rsidRPr="0095010D" w:rsidR="007713EF" w:rsidP="00CF29CF" w:rsidRDefault="007713EF" w14:paraId="4BD42220" w14:textId="382BF00C">
            <w:pPr>
              <w:pStyle w:val="ListParagraph"/>
              <w:numPr>
                <w:ilvl w:val="2"/>
                <w:numId w:val="8"/>
              </w:numPr>
              <w:spacing w:before="60" w:after="60" w:line="240" w:lineRule="auto"/>
              <w:ind w:left="524" w:hanging="524"/>
              <w:contextualSpacing w:val="0"/>
              <w:jc w:val="both"/>
              <w:rPr>
                <w:rFonts w:ascii="Arial" w:hAnsi="Arial" w:cs="Arial"/>
                <w:sz w:val="18"/>
                <w:szCs w:val="18"/>
                <w:lang w:val="es-ES"/>
              </w:rPr>
            </w:pPr>
            <w:proofErr w:type="gramStart"/>
            <w:r w:rsidRPr="0095010D">
              <w:rPr>
                <w:rFonts w:ascii="Arial" w:hAnsi="Arial" w:cs="Arial"/>
                <w:color w:val="000000"/>
                <w:sz w:val="18"/>
                <w:szCs w:val="18"/>
                <w:lang w:val="es-ES"/>
              </w:rPr>
              <w:t>Entrada en vig</w:t>
            </w:r>
            <w:r>
              <w:rPr>
                <w:rFonts w:ascii="Arial" w:hAnsi="Arial" w:cs="Arial"/>
                <w:color w:val="000000"/>
                <w:sz w:val="18"/>
                <w:szCs w:val="18"/>
                <w:lang w:val="es-ES"/>
              </w:rPr>
              <w:t>encia</w:t>
            </w:r>
            <w:proofErr w:type="gramEnd"/>
            <w:r w:rsidRPr="0095010D">
              <w:rPr>
                <w:rFonts w:ascii="Arial" w:hAnsi="Arial" w:cs="Arial"/>
                <w:color w:val="000000"/>
                <w:sz w:val="18"/>
                <w:szCs w:val="18"/>
                <w:lang w:val="es-ES"/>
              </w:rPr>
              <w:t xml:space="preserve"> de las disposiciones de responsabilidad hacendaria de la LDF en los municipios y en sus respectivos entes públicos (EP), en los términos establecidos en la misma.</w:t>
            </w:r>
          </w:p>
        </w:tc>
        <w:tc>
          <w:tcPr>
            <w:tcW w:w="2965" w:type="dxa"/>
            <w:tcMar/>
          </w:tcPr>
          <w:p w:rsidRPr="0095010D" w:rsidR="007713EF" w:rsidP="00CF29CF" w:rsidRDefault="007713EF" w14:paraId="242E03B3" w14:textId="1EBBC50B">
            <w:pPr>
              <w:spacing w:before="60" w:after="60"/>
              <w:jc w:val="both"/>
              <w:rPr>
                <w:rFonts w:ascii="Arial" w:hAnsi="Arial" w:cs="Arial"/>
                <w:sz w:val="18"/>
                <w:szCs w:val="18"/>
                <w:lang w:val="es-ES"/>
              </w:rPr>
            </w:pPr>
            <w:r w:rsidRPr="0095010D">
              <w:rPr>
                <w:rFonts w:ascii="Arial" w:hAnsi="Arial" w:cs="Arial"/>
                <w:sz w:val="18"/>
                <w:szCs w:val="18"/>
                <w:lang w:val="es-ES"/>
              </w:rPr>
              <w:t>Se amplía el alcance de la condición, para que la misma aplique a todos los municipios y no solo a aquellos con más de 200.000 habitantes.</w:t>
            </w:r>
          </w:p>
        </w:tc>
      </w:tr>
      <w:tr w:rsidRPr="00B63973" w:rsidR="007713EF" w:rsidTr="5062BC62" w14:paraId="0396B527" w14:textId="77777777">
        <w:trPr>
          <w:trHeight w:val="1660"/>
        </w:trPr>
        <w:tc>
          <w:tcPr>
            <w:tcW w:w="0" w:type="auto"/>
            <w:vMerge/>
            <w:tcMar/>
          </w:tcPr>
          <w:p w:rsidRPr="0095010D" w:rsidR="007713EF" w:rsidP="00CF29CF" w:rsidRDefault="007713EF" w14:paraId="3D2E9AEA" w14:textId="77777777">
            <w:pPr>
              <w:spacing w:before="60" w:after="60"/>
              <w:rPr>
                <w:rFonts w:ascii="Arial" w:hAnsi="Arial" w:cs="Arial"/>
                <w:spacing w:val="-4"/>
                <w:sz w:val="18"/>
                <w:szCs w:val="18"/>
                <w:lang w:val="es-MX"/>
              </w:rPr>
            </w:pPr>
          </w:p>
        </w:tc>
        <w:tc>
          <w:tcPr>
            <w:tcW w:w="3587" w:type="dxa"/>
            <w:tcMar/>
          </w:tcPr>
          <w:p w:rsidRPr="0095010D" w:rsidR="007713EF" w:rsidP="00CF29CF" w:rsidRDefault="007713EF" w14:paraId="3FF9CB8A" w14:textId="657D9131">
            <w:pPr>
              <w:pStyle w:val="ListParagraph"/>
              <w:spacing w:before="60" w:after="60" w:line="240" w:lineRule="auto"/>
              <w:ind w:left="509"/>
              <w:contextualSpacing w:val="0"/>
              <w:jc w:val="both"/>
              <w:rPr>
                <w:rFonts w:ascii="Arial" w:hAnsi="Arial" w:cs="Arial"/>
                <w:sz w:val="18"/>
                <w:szCs w:val="18"/>
                <w:lang w:val="es-ES"/>
              </w:rPr>
            </w:pPr>
          </w:p>
        </w:tc>
        <w:tc>
          <w:tcPr>
            <w:tcW w:w="3600" w:type="dxa"/>
            <w:tcMar/>
          </w:tcPr>
          <w:p w:rsidRPr="0095010D" w:rsidR="007713EF" w:rsidP="00CF29CF" w:rsidRDefault="007713EF" w14:paraId="6D024060" w14:textId="1BD33055">
            <w:pPr>
              <w:pStyle w:val="ListParagraph"/>
              <w:numPr>
                <w:ilvl w:val="2"/>
                <w:numId w:val="8"/>
              </w:numPr>
              <w:spacing w:before="60" w:after="60" w:line="240" w:lineRule="auto"/>
              <w:ind w:left="518" w:hanging="518"/>
              <w:contextualSpacing w:val="0"/>
              <w:jc w:val="both"/>
              <w:rPr>
                <w:rFonts w:ascii="Arial" w:hAnsi="Arial" w:cs="Arial"/>
                <w:color w:val="000000"/>
                <w:sz w:val="18"/>
                <w:szCs w:val="18"/>
                <w:lang w:val="es-ES"/>
              </w:rPr>
            </w:pPr>
            <w:r w:rsidRPr="0095010D">
              <w:rPr>
                <w:rFonts w:ascii="Arial" w:hAnsi="Arial" w:cs="Arial"/>
                <w:sz w:val="18"/>
                <w:szCs w:val="18"/>
                <w:lang w:val="es-ES_tradnl"/>
              </w:rPr>
              <w:t xml:space="preserve">Implementación de la obligación de </w:t>
            </w:r>
            <w:r>
              <w:rPr>
                <w:rFonts w:ascii="Arial" w:hAnsi="Arial" w:cs="Arial"/>
                <w:sz w:val="18"/>
                <w:szCs w:val="18"/>
                <w:lang w:val="es-ES_tradnl"/>
              </w:rPr>
              <w:t xml:space="preserve">contar con un </w:t>
            </w:r>
            <w:r w:rsidRPr="0095010D">
              <w:rPr>
                <w:rFonts w:ascii="Arial" w:hAnsi="Arial" w:cs="Arial"/>
                <w:sz w:val="18"/>
                <w:szCs w:val="18"/>
                <w:lang w:val="es-ES_tradnl"/>
              </w:rPr>
              <w:t>registro de proyectos de inversión pública productiva por parte de al menos 20 entidades federativas (EF).</w:t>
            </w:r>
          </w:p>
        </w:tc>
        <w:tc>
          <w:tcPr>
            <w:tcW w:w="2965" w:type="dxa"/>
            <w:tcMar/>
          </w:tcPr>
          <w:p w:rsidRPr="0095010D" w:rsidR="007713EF" w:rsidP="00CF29CF" w:rsidRDefault="007713EF" w14:paraId="0A6C9B83" w14:textId="44632146">
            <w:pPr>
              <w:spacing w:before="60" w:after="60"/>
              <w:jc w:val="both"/>
              <w:rPr>
                <w:rFonts w:ascii="Arial" w:hAnsi="Arial" w:cs="Arial"/>
                <w:sz w:val="18"/>
                <w:szCs w:val="18"/>
                <w:lang w:val="es-ES"/>
              </w:rPr>
            </w:pPr>
            <w:r w:rsidRPr="0095010D">
              <w:rPr>
                <w:rFonts w:ascii="Arial" w:hAnsi="Arial" w:cs="Arial"/>
                <w:sz w:val="18"/>
                <w:szCs w:val="18"/>
                <w:lang w:val="es-ES"/>
              </w:rPr>
              <w:t xml:space="preserve">Se </w:t>
            </w:r>
            <w:r w:rsidRPr="00064A92">
              <w:rPr>
                <w:rFonts w:ascii="Arial" w:hAnsi="Arial" w:cs="Arial"/>
                <w:sz w:val="18"/>
                <w:szCs w:val="18"/>
                <w:lang w:val="es-ES"/>
              </w:rPr>
              <w:t xml:space="preserve">adiciona </w:t>
            </w:r>
            <w:r w:rsidR="0018215A">
              <w:rPr>
                <w:rFonts w:ascii="Arial" w:hAnsi="Arial" w:cs="Arial"/>
                <w:sz w:val="18"/>
                <w:szCs w:val="18"/>
                <w:lang w:val="es-ES"/>
              </w:rPr>
              <w:t>la</w:t>
            </w:r>
            <w:r w:rsidRPr="00064A92">
              <w:rPr>
                <w:rFonts w:ascii="Arial" w:hAnsi="Arial" w:cs="Arial"/>
                <w:sz w:val="18"/>
                <w:szCs w:val="18"/>
                <w:lang w:val="es-ES"/>
              </w:rPr>
              <w:t xml:space="preserve"> condición</w:t>
            </w:r>
            <w:r w:rsidRPr="00064A92" w:rsidR="00FB7C51">
              <w:rPr>
                <w:rFonts w:ascii="Arial" w:hAnsi="Arial" w:cs="Arial"/>
                <w:sz w:val="18"/>
                <w:szCs w:val="18"/>
                <w:lang w:val="es-ES"/>
              </w:rPr>
              <w:t xml:space="preserve"> </w:t>
            </w:r>
            <w:r w:rsidRPr="00064A92" w:rsidR="00064A92">
              <w:rPr>
                <w:rFonts w:ascii="Arial" w:hAnsi="Arial" w:cs="Arial"/>
                <w:sz w:val="18"/>
                <w:szCs w:val="18"/>
                <w:lang w:val="es-ES_tradnl"/>
              </w:rPr>
              <w:t xml:space="preserve">para alentar una mayor disciplina financiera en el gasto público en inversión, a fin de incrementar la eficiencia </w:t>
            </w:r>
            <w:r w:rsidR="0018215A">
              <w:rPr>
                <w:rFonts w:ascii="Arial" w:hAnsi="Arial" w:cs="Arial"/>
                <w:sz w:val="18"/>
                <w:szCs w:val="18"/>
                <w:lang w:val="es-ES_tradnl"/>
              </w:rPr>
              <w:t xml:space="preserve">en los procesos de planificación y ejecución </w:t>
            </w:r>
            <w:r w:rsidRPr="00064A92" w:rsidR="00064A92">
              <w:rPr>
                <w:rFonts w:ascii="Arial" w:hAnsi="Arial" w:cs="Arial"/>
                <w:sz w:val="18"/>
                <w:szCs w:val="18"/>
                <w:lang w:val="es-ES_tradnl"/>
              </w:rPr>
              <w:t xml:space="preserve">de la </w:t>
            </w:r>
            <w:r w:rsidR="0018215A">
              <w:rPr>
                <w:rFonts w:ascii="Arial" w:hAnsi="Arial" w:cs="Arial"/>
                <w:sz w:val="18"/>
                <w:szCs w:val="18"/>
                <w:lang w:val="es-ES_tradnl"/>
              </w:rPr>
              <w:t>inversión pública.</w:t>
            </w:r>
          </w:p>
        </w:tc>
      </w:tr>
      <w:tr w:rsidRPr="00B63973" w:rsidR="007713EF" w:rsidTr="5062BC62" w14:paraId="271A4F80" w14:textId="77777777">
        <w:trPr>
          <w:trHeight w:val="890"/>
        </w:trPr>
        <w:tc>
          <w:tcPr>
            <w:tcW w:w="0" w:type="auto"/>
            <w:vMerge/>
            <w:tcMar/>
          </w:tcPr>
          <w:p w:rsidRPr="0095010D" w:rsidR="007713EF" w:rsidP="00476A20" w:rsidRDefault="007713EF" w14:paraId="1033806C" w14:textId="77777777">
            <w:pPr>
              <w:spacing w:before="40" w:after="40"/>
              <w:rPr>
                <w:rFonts w:ascii="Arial" w:hAnsi="Arial" w:cs="Arial"/>
                <w:spacing w:val="-4"/>
                <w:sz w:val="18"/>
                <w:szCs w:val="18"/>
                <w:lang w:val="es-MX"/>
              </w:rPr>
            </w:pPr>
          </w:p>
        </w:tc>
        <w:tc>
          <w:tcPr>
            <w:tcW w:w="3587" w:type="dxa"/>
            <w:tcMar/>
          </w:tcPr>
          <w:p w:rsidRPr="00CF29CF" w:rsidR="007713EF" w:rsidP="00CF29CF" w:rsidRDefault="007713EF" w14:paraId="22D25F1E" w14:textId="6156B612">
            <w:pPr>
              <w:pStyle w:val="ListParagraph"/>
              <w:numPr>
                <w:ilvl w:val="0"/>
                <w:numId w:val="20"/>
              </w:numPr>
              <w:spacing w:before="60" w:after="60"/>
              <w:ind w:left="504" w:hanging="504"/>
              <w:contextualSpacing w:val="0"/>
              <w:jc w:val="both"/>
              <w:rPr>
                <w:rFonts w:ascii="Arial" w:hAnsi="Arial" w:cs="Arial"/>
                <w:sz w:val="18"/>
                <w:szCs w:val="18"/>
                <w:lang w:val="es-ES"/>
              </w:rPr>
            </w:pPr>
            <w:r w:rsidRPr="00CF29CF">
              <w:rPr>
                <w:rFonts w:ascii="Arial" w:hAnsi="Arial" w:cs="Arial"/>
                <w:sz w:val="18"/>
                <w:szCs w:val="18"/>
                <w:lang w:val="es-ES"/>
              </w:rPr>
              <w:t xml:space="preserve">Comprobación de que las </w:t>
            </w:r>
            <w:proofErr w:type="spellStart"/>
            <w:r w:rsidRPr="00CF29CF">
              <w:rPr>
                <w:rFonts w:ascii="Arial" w:hAnsi="Arial" w:cs="Arial"/>
                <w:sz w:val="18"/>
                <w:szCs w:val="18"/>
                <w:lang w:val="es-ES"/>
              </w:rPr>
              <w:t>EyM</w:t>
            </w:r>
            <w:proofErr w:type="spellEnd"/>
            <w:r w:rsidRPr="00CF29CF">
              <w:rPr>
                <w:rFonts w:ascii="Arial" w:hAnsi="Arial" w:cs="Arial"/>
                <w:sz w:val="18"/>
                <w:szCs w:val="18"/>
                <w:lang w:val="es-ES"/>
              </w:rPr>
              <w:t xml:space="preserve"> y sus EP acreditaron al momento de registrar las obligaciones en el Registro </w:t>
            </w:r>
            <w:r w:rsidRPr="00CF29CF">
              <w:rPr>
                <w:rFonts w:ascii="Arial" w:hAnsi="Arial" w:cs="Arial"/>
                <w:sz w:val="18"/>
                <w:szCs w:val="18"/>
                <w:lang w:val="es-MX"/>
              </w:rPr>
              <w:t>Público Único (</w:t>
            </w:r>
            <w:r w:rsidRPr="00CF29CF">
              <w:rPr>
                <w:rFonts w:ascii="Arial" w:hAnsi="Arial" w:cs="Arial"/>
                <w:sz w:val="18"/>
                <w:szCs w:val="18"/>
                <w:lang w:val="es-ES"/>
              </w:rPr>
              <w:t xml:space="preserve">RPU) </w:t>
            </w:r>
            <w:r w:rsidRPr="00CF29CF">
              <w:rPr>
                <w:rFonts w:ascii="Arial" w:hAnsi="Arial" w:cs="Arial"/>
                <w:sz w:val="18"/>
                <w:szCs w:val="18"/>
                <w:lang w:val="es-AR"/>
              </w:rPr>
              <w:t>la realización de un análisis de capacidad de pago previo a la aprobación de dichas obligaciones por parte de la legislatura estatal o consejo municipal correspondiente.</w:t>
            </w:r>
          </w:p>
        </w:tc>
        <w:tc>
          <w:tcPr>
            <w:tcW w:w="3600" w:type="dxa"/>
            <w:tcMar/>
          </w:tcPr>
          <w:p w:rsidRPr="00CF29CF" w:rsidR="007713EF" w:rsidP="00CF29CF" w:rsidRDefault="007713EF" w14:paraId="7B97B7FE" w14:textId="1D37F51F">
            <w:pPr>
              <w:pStyle w:val="ListParagraph"/>
              <w:numPr>
                <w:ilvl w:val="0"/>
                <w:numId w:val="19"/>
              </w:numPr>
              <w:spacing w:before="60" w:after="60"/>
              <w:ind w:left="518" w:hanging="518"/>
              <w:contextualSpacing w:val="0"/>
              <w:jc w:val="both"/>
              <w:rPr>
                <w:rFonts w:ascii="Arial" w:hAnsi="Arial" w:cs="Arial"/>
                <w:color w:val="000000"/>
                <w:sz w:val="18"/>
                <w:szCs w:val="18"/>
                <w:lang w:val="es-ES"/>
              </w:rPr>
            </w:pPr>
            <w:r w:rsidRPr="00CF29CF">
              <w:rPr>
                <w:rFonts w:ascii="Arial" w:hAnsi="Arial" w:cs="Arial"/>
                <w:sz w:val="18"/>
                <w:szCs w:val="18"/>
                <w:lang w:val="es-ES_tradnl"/>
              </w:rPr>
              <w:t xml:space="preserve">Acreditación por parte de las </w:t>
            </w:r>
            <w:proofErr w:type="spellStart"/>
            <w:r w:rsidRPr="00CF29CF">
              <w:rPr>
                <w:rFonts w:ascii="Arial" w:hAnsi="Arial" w:cs="Arial"/>
                <w:sz w:val="18"/>
                <w:szCs w:val="18"/>
                <w:lang w:val="es-ES_tradnl"/>
              </w:rPr>
              <w:t>EyM</w:t>
            </w:r>
            <w:proofErr w:type="spellEnd"/>
            <w:r w:rsidRPr="00CF29CF">
              <w:rPr>
                <w:rFonts w:ascii="Arial" w:hAnsi="Arial" w:cs="Arial"/>
                <w:sz w:val="18"/>
                <w:szCs w:val="18"/>
                <w:lang w:val="es-ES_tradnl"/>
              </w:rPr>
              <w:t xml:space="preserve"> y sus EP del cumplimiento del requisito de </w:t>
            </w:r>
            <w:r w:rsidRPr="00CF29CF">
              <w:rPr>
                <w:rFonts w:ascii="Arial" w:hAnsi="Arial" w:cs="Arial"/>
                <w:color w:val="000000"/>
                <w:sz w:val="18"/>
                <w:szCs w:val="18"/>
                <w:lang w:val="es-ES"/>
              </w:rPr>
              <w:t>realización de análisis de capacidad de pago, previo a la aprobación de las obligaciones por parte de la legislatura estatal correspondiente, de acuerdo con lo establecido en la LDF.</w:t>
            </w:r>
          </w:p>
        </w:tc>
        <w:tc>
          <w:tcPr>
            <w:tcW w:w="2965" w:type="dxa"/>
            <w:tcMar/>
          </w:tcPr>
          <w:p w:rsidRPr="0095010D" w:rsidR="007713EF" w:rsidP="00CF29CF" w:rsidRDefault="007713EF" w14:paraId="067A9106" w14:textId="0F412A96">
            <w:pPr>
              <w:spacing w:before="60" w:after="60"/>
              <w:jc w:val="both"/>
              <w:rPr>
                <w:rFonts w:ascii="Arial" w:hAnsi="Arial" w:cs="Arial"/>
                <w:sz w:val="18"/>
                <w:szCs w:val="18"/>
                <w:lang w:val="es-ES"/>
              </w:rPr>
            </w:pPr>
            <w:r w:rsidRPr="0095010D">
              <w:rPr>
                <w:rFonts w:ascii="Arial" w:hAnsi="Arial" w:cs="Arial"/>
                <w:sz w:val="18"/>
                <w:szCs w:val="18"/>
                <w:lang w:val="es-ES"/>
              </w:rPr>
              <w:t>Se modifica redacción</w:t>
            </w:r>
            <w:r>
              <w:rPr>
                <w:rFonts w:ascii="Arial" w:hAnsi="Arial" w:cs="Arial"/>
                <w:sz w:val="18"/>
                <w:szCs w:val="18"/>
                <w:lang w:val="es-ES"/>
              </w:rPr>
              <w:t xml:space="preserve"> para reflejar la práctica implementada</w:t>
            </w:r>
            <w:r w:rsidR="00FB7C51">
              <w:rPr>
                <w:rFonts w:ascii="Arial" w:hAnsi="Arial" w:cs="Arial"/>
                <w:sz w:val="18"/>
                <w:szCs w:val="18"/>
                <w:lang w:val="es-ES"/>
              </w:rPr>
              <w:t xml:space="preserve"> para cumplir con la establecido en la LDF</w:t>
            </w:r>
            <w:r w:rsidRPr="0095010D">
              <w:rPr>
                <w:rFonts w:ascii="Arial" w:hAnsi="Arial" w:cs="Arial"/>
                <w:sz w:val="18"/>
                <w:szCs w:val="18"/>
                <w:lang w:val="es-AR"/>
              </w:rPr>
              <w:t>.</w:t>
            </w:r>
            <w:r>
              <w:rPr>
                <w:rFonts w:ascii="Arial" w:hAnsi="Arial" w:cs="Arial"/>
                <w:sz w:val="18"/>
                <w:szCs w:val="18"/>
                <w:lang w:val="es-AR"/>
              </w:rPr>
              <w:t xml:space="preserve"> Se elimina mención a consejos municipales dado que el análisis </w:t>
            </w:r>
            <w:r w:rsidR="00FB7C51">
              <w:rPr>
                <w:rFonts w:ascii="Arial" w:hAnsi="Arial" w:cs="Arial"/>
                <w:sz w:val="18"/>
                <w:szCs w:val="18"/>
                <w:lang w:val="es-AR"/>
              </w:rPr>
              <w:t xml:space="preserve">de capacidad de pago </w:t>
            </w:r>
            <w:r>
              <w:rPr>
                <w:rFonts w:ascii="Arial" w:hAnsi="Arial" w:cs="Arial"/>
                <w:sz w:val="18"/>
                <w:szCs w:val="18"/>
                <w:lang w:val="es-AR"/>
              </w:rPr>
              <w:t>lo realizan las legislaturas estatales.</w:t>
            </w:r>
          </w:p>
        </w:tc>
      </w:tr>
      <w:tr w:rsidRPr="00B63973" w:rsidR="007713EF" w:rsidTr="5062BC62" w14:paraId="0322C5ED" w14:textId="77777777">
        <w:trPr>
          <w:trHeight w:val="998"/>
        </w:trPr>
        <w:tc>
          <w:tcPr>
            <w:tcW w:w="0" w:type="auto"/>
            <w:vMerge/>
            <w:tcMar/>
          </w:tcPr>
          <w:p w:rsidRPr="0095010D" w:rsidR="007713EF" w:rsidP="00557FEB" w:rsidRDefault="007713EF" w14:paraId="76DEEB31" w14:textId="77777777">
            <w:pPr>
              <w:spacing w:before="40" w:after="40"/>
              <w:rPr>
                <w:rFonts w:ascii="Arial" w:hAnsi="Arial" w:cs="Arial"/>
                <w:bCs/>
                <w:sz w:val="18"/>
                <w:szCs w:val="18"/>
                <w:lang w:val="es-ES_tradnl"/>
              </w:rPr>
            </w:pPr>
          </w:p>
        </w:tc>
        <w:tc>
          <w:tcPr>
            <w:tcW w:w="3587" w:type="dxa"/>
            <w:tcMar/>
          </w:tcPr>
          <w:p w:rsidRPr="0095010D" w:rsidR="007713EF" w:rsidP="00CF29CF" w:rsidRDefault="007713EF" w14:paraId="60F1AF6F" w14:textId="52FD0AFA">
            <w:pPr>
              <w:pStyle w:val="ListParagraph"/>
              <w:numPr>
                <w:ilvl w:val="2"/>
                <w:numId w:val="14"/>
              </w:numPr>
              <w:spacing w:before="60" w:after="60" w:line="240" w:lineRule="auto"/>
              <w:ind w:left="509" w:hanging="509"/>
              <w:contextualSpacing w:val="0"/>
              <w:jc w:val="both"/>
              <w:rPr>
                <w:rFonts w:ascii="Arial" w:hAnsi="Arial" w:cs="Arial"/>
                <w:sz w:val="18"/>
                <w:szCs w:val="18"/>
                <w:lang w:val="es-ES"/>
              </w:rPr>
            </w:pPr>
            <w:r w:rsidRPr="0095010D">
              <w:rPr>
                <w:rFonts w:ascii="Arial" w:hAnsi="Arial" w:cs="Arial"/>
                <w:sz w:val="18"/>
                <w:szCs w:val="18"/>
                <w:lang w:val="es-ES"/>
              </w:rPr>
              <w:t>F</w:t>
            </w:r>
            <w:r w:rsidRPr="0095010D">
              <w:rPr>
                <w:rFonts w:ascii="Arial" w:hAnsi="Arial" w:cs="Arial"/>
                <w:color w:val="000000"/>
                <w:sz w:val="18"/>
                <w:szCs w:val="18"/>
                <w:lang w:val="es-ES"/>
              </w:rPr>
              <w:t xml:space="preserve">irma de al menos tres convenios de coordinación entre el </w:t>
            </w:r>
            <w:r w:rsidRPr="0095010D">
              <w:rPr>
                <w:rFonts w:ascii="Arial" w:hAnsi="Arial" w:cs="Arial"/>
                <w:sz w:val="18"/>
                <w:szCs w:val="18"/>
                <w:lang w:val="es-ES_tradnl"/>
              </w:rPr>
              <w:t>Gobierno Federal</w:t>
            </w:r>
            <w:r w:rsidRPr="0095010D">
              <w:rPr>
                <w:rFonts w:ascii="Arial" w:hAnsi="Arial" w:cs="Arial"/>
                <w:color w:val="000000"/>
                <w:sz w:val="18"/>
                <w:szCs w:val="18"/>
                <w:lang w:val="es-ES"/>
              </w:rPr>
              <w:t xml:space="preserve"> y un Gobierno Estatal, siguiendo las estipulaciones establecidas en la LDF para la suscripción de deuda estatal garantizada (DEG).</w:t>
            </w:r>
          </w:p>
        </w:tc>
        <w:tc>
          <w:tcPr>
            <w:tcW w:w="3600" w:type="dxa"/>
            <w:tcMar/>
          </w:tcPr>
          <w:p w:rsidRPr="0095010D" w:rsidR="007713EF" w:rsidP="00CF29CF" w:rsidRDefault="007713EF" w14:paraId="32E4203F" w14:textId="1C5484A1">
            <w:pPr>
              <w:pStyle w:val="ListParagraph"/>
              <w:numPr>
                <w:ilvl w:val="2"/>
                <w:numId w:val="17"/>
              </w:numPr>
              <w:spacing w:before="60" w:after="60" w:line="240" w:lineRule="auto"/>
              <w:ind w:left="524" w:hanging="524"/>
              <w:contextualSpacing w:val="0"/>
              <w:jc w:val="both"/>
              <w:rPr>
                <w:rFonts w:ascii="Arial" w:hAnsi="Arial" w:cs="Arial"/>
                <w:sz w:val="18"/>
                <w:szCs w:val="18"/>
                <w:lang w:val="es-ES"/>
              </w:rPr>
            </w:pPr>
            <w:r w:rsidRPr="0095010D">
              <w:rPr>
                <w:rFonts w:ascii="Arial" w:hAnsi="Arial" w:cs="Arial"/>
                <w:sz w:val="18"/>
                <w:szCs w:val="18"/>
                <w:lang w:val="es-ES_tradnl"/>
              </w:rPr>
              <w:t xml:space="preserve">Elaboración de un estudio para identificar las características necesarias de los documentos legales para la suscripción de la DEG, y elaboración de los borradores de modelo de contrato de constitución de garantía </w:t>
            </w:r>
            <w:r w:rsidRPr="0095010D">
              <w:rPr>
                <w:rFonts w:ascii="Arial" w:hAnsi="Arial" w:cs="Arial"/>
                <w:sz w:val="18"/>
                <w:szCs w:val="18"/>
                <w:lang w:val="es-MX"/>
              </w:rPr>
              <w:t xml:space="preserve">y modelo de </w:t>
            </w:r>
            <w:r w:rsidRPr="0095010D">
              <w:rPr>
                <w:rFonts w:ascii="Arial" w:hAnsi="Arial" w:cs="Arial"/>
                <w:sz w:val="18"/>
                <w:szCs w:val="18"/>
                <w:lang w:val="es-ES_tradnl"/>
              </w:rPr>
              <w:t>convenio de adhesión al mecanismo de DEG.</w:t>
            </w:r>
          </w:p>
        </w:tc>
        <w:tc>
          <w:tcPr>
            <w:tcW w:w="2965" w:type="dxa"/>
            <w:tcMar/>
          </w:tcPr>
          <w:p w:rsidRPr="0095010D" w:rsidR="007713EF" w:rsidP="000D4196" w:rsidRDefault="00FB7C51" w14:paraId="74B5F271" w14:textId="37316064">
            <w:pPr>
              <w:pStyle w:val="FootnoteText"/>
              <w:spacing w:before="60" w:after="60"/>
              <w:ind w:left="-18"/>
              <w:jc w:val="both"/>
              <w:rPr>
                <w:rFonts w:ascii="Arial" w:hAnsi="Arial" w:cs="Arial"/>
                <w:iCs/>
                <w:sz w:val="18"/>
                <w:szCs w:val="18"/>
                <w:lang w:val="es-ES_tradnl"/>
              </w:rPr>
            </w:pPr>
            <w:r w:rsidRPr="00FB7C51">
              <w:rPr>
                <w:rFonts w:ascii="Arial" w:hAnsi="Arial" w:cs="Arial"/>
                <w:sz w:val="18"/>
                <w:szCs w:val="18"/>
                <w:lang w:val="es-ES_tradnl"/>
              </w:rPr>
              <w:t xml:space="preserve">Teniendo en cuenta que a la fecha no ha existido solicitud de firma de convenios </w:t>
            </w:r>
            <w:r>
              <w:rPr>
                <w:rFonts w:ascii="Arial" w:hAnsi="Arial" w:cs="Arial"/>
                <w:sz w:val="18"/>
                <w:szCs w:val="18"/>
                <w:lang w:val="es-ES_tradnl"/>
              </w:rPr>
              <w:t xml:space="preserve">por parte de las EF </w:t>
            </w:r>
            <w:r w:rsidRPr="00FB7C51">
              <w:rPr>
                <w:rFonts w:ascii="Arial" w:hAnsi="Arial" w:cs="Arial"/>
                <w:sz w:val="18"/>
                <w:szCs w:val="18"/>
                <w:lang w:val="es-ES_tradnl"/>
              </w:rPr>
              <w:t>debido a una mejora e</w:t>
            </w:r>
            <w:r>
              <w:rPr>
                <w:rFonts w:ascii="Arial" w:hAnsi="Arial" w:cs="Arial"/>
                <w:sz w:val="18"/>
                <w:szCs w:val="18"/>
                <w:lang w:val="es-ES_tradnl"/>
              </w:rPr>
              <w:t>n</w:t>
            </w:r>
            <w:r w:rsidRPr="00FB7C51">
              <w:rPr>
                <w:rFonts w:ascii="Arial" w:hAnsi="Arial" w:cs="Arial"/>
                <w:sz w:val="18"/>
                <w:szCs w:val="18"/>
                <w:lang w:val="es-ES_tradnl"/>
              </w:rPr>
              <w:t xml:space="preserve"> las finanzas públicas de </w:t>
            </w:r>
            <w:r>
              <w:rPr>
                <w:rFonts w:ascii="Arial" w:hAnsi="Arial" w:cs="Arial"/>
                <w:sz w:val="18"/>
                <w:szCs w:val="18"/>
                <w:lang w:val="es-ES_tradnl"/>
              </w:rPr>
              <w:t>éstas</w:t>
            </w:r>
            <w:r w:rsidRPr="00FB7C51">
              <w:rPr>
                <w:rFonts w:ascii="Arial" w:hAnsi="Arial" w:cs="Arial"/>
                <w:sz w:val="18"/>
                <w:szCs w:val="18"/>
                <w:lang w:val="es-ES_tradnl"/>
              </w:rPr>
              <w:t>, se sustituye</w:t>
            </w:r>
            <w:r>
              <w:rPr>
                <w:rFonts w:ascii="Arial" w:hAnsi="Arial" w:cs="Arial"/>
                <w:sz w:val="18"/>
                <w:szCs w:val="18"/>
                <w:lang w:val="es-ES_tradnl"/>
              </w:rPr>
              <w:t xml:space="preserve"> la</w:t>
            </w:r>
            <w:r w:rsidRPr="00FB7C51">
              <w:rPr>
                <w:rFonts w:ascii="Arial" w:hAnsi="Arial" w:cs="Arial"/>
                <w:sz w:val="18"/>
                <w:szCs w:val="18"/>
                <w:lang w:val="es-ES_tradnl"/>
              </w:rPr>
              <w:t xml:space="preserve"> </w:t>
            </w:r>
            <w:r w:rsidRPr="00FB7C51" w:rsidR="007713EF">
              <w:rPr>
                <w:rFonts w:ascii="Arial" w:hAnsi="Arial" w:cs="Arial"/>
                <w:iCs/>
                <w:sz w:val="18"/>
                <w:szCs w:val="18"/>
                <w:lang w:val="es-ES_tradnl"/>
              </w:rPr>
              <w:t>condición</w:t>
            </w:r>
            <w:r w:rsidRPr="002D1DAD" w:rsidR="002D1DAD">
              <w:rPr>
                <w:rFonts w:ascii="Arial" w:hAnsi="Arial" w:cs="Arial"/>
                <w:iCs/>
                <w:sz w:val="18"/>
                <w:szCs w:val="18"/>
                <w:lang w:val="es-ES_tradnl"/>
              </w:rPr>
              <w:t xml:space="preserve">. </w:t>
            </w:r>
            <w:r w:rsidRPr="002D1DAD" w:rsidR="002D1DAD">
              <w:rPr>
                <w:rFonts w:ascii="Arial" w:hAnsi="Arial" w:cs="Arial"/>
                <w:color w:val="000000"/>
                <w:sz w:val="18"/>
                <w:szCs w:val="18"/>
                <w:lang w:val="es-MX"/>
              </w:rPr>
              <w:t xml:space="preserve"> La nueva condición busca que la SHCP se encuentre en condiciones de celebrar rápidamente un convenio de DEG, cuando éste sea solicitado.</w:t>
            </w:r>
          </w:p>
        </w:tc>
      </w:tr>
      <w:tr w:rsidRPr="00B63973" w:rsidR="007713EF" w:rsidTr="5062BC62" w14:paraId="616F79B5" w14:textId="77777777">
        <w:trPr>
          <w:trHeight w:val="997"/>
        </w:trPr>
        <w:tc>
          <w:tcPr>
            <w:tcW w:w="0" w:type="auto"/>
            <w:vMerge/>
            <w:tcMar/>
          </w:tcPr>
          <w:p w:rsidRPr="0095010D" w:rsidR="007713EF" w:rsidP="00557FEB" w:rsidRDefault="007713EF" w14:paraId="00D17DBB" w14:textId="77777777">
            <w:pPr>
              <w:spacing w:before="40" w:after="40"/>
              <w:rPr>
                <w:rFonts w:ascii="Arial" w:hAnsi="Arial" w:cs="Arial"/>
                <w:bCs/>
                <w:sz w:val="18"/>
                <w:szCs w:val="18"/>
                <w:lang w:val="es-ES_tradnl"/>
              </w:rPr>
            </w:pPr>
          </w:p>
        </w:tc>
        <w:tc>
          <w:tcPr>
            <w:tcW w:w="3587" w:type="dxa"/>
            <w:tcMar/>
          </w:tcPr>
          <w:p w:rsidRPr="0095010D" w:rsidR="007713EF" w:rsidP="00CF29CF" w:rsidRDefault="007713EF" w14:paraId="7FD121A8" w14:textId="20CB7D7A">
            <w:pPr>
              <w:pStyle w:val="ListParagraph"/>
              <w:numPr>
                <w:ilvl w:val="2"/>
                <w:numId w:val="14"/>
              </w:numPr>
              <w:spacing w:before="60" w:after="60" w:line="240" w:lineRule="auto"/>
              <w:ind w:left="509" w:hanging="509"/>
              <w:contextualSpacing w:val="0"/>
              <w:jc w:val="both"/>
              <w:rPr>
                <w:rFonts w:ascii="Arial" w:hAnsi="Arial" w:cs="Arial"/>
                <w:sz w:val="18"/>
                <w:szCs w:val="18"/>
                <w:lang w:val="es-ES"/>
              </w:rPr>
            </w:pPr>
            <w:r w:rsidRPr="0095010D">
              <w:rPr>
                <w:rFonts w:ascii="Arial" w:hAnsi="Arial" w:cs="Arial"/>
                <w:sz w:val="18"/>
                <w:szCs w:val="18"/>
                <w:lang w:val="es-ES"/>
              </w:rPr>
              <w:t>Comprobación de que el s</w:t>
            </w:r>
            <w:r w:rsidRPr="0095010D">
              <w:rPr>
                <w:rFonts w:ascii="Arial" w:hAnsi="Arial" w:cs="Arial"/>
                <w:color w:val="000000"/>
                <w:sz w:val="18"/>
                <w:szCs w:val="18"/>
                <w:lang w:val="es-ES"/>
              </w:rPr>
              <w:t>aldo total de la DEG por la Federación es inferior al 3,5% del producto interno bruto (PIB) nominal nacional, conforme a lo establecido en la Ley.</w:t>
            </w:r>
          </w:p>
        </w:tc>
        <w:tc>
          <w:tcPr>
            <w:tcW w:w="3600" w:type="dxa"/>
            <w:tcMar/>
          </w:tcPr>
          <w:p w:rsidRPr="0095010D" w:rsidR="007713EF" w:rsidP="00CF29CF" w:rsidRDefault="007713EF" w14:paraId="1505291D" w14:textId="2BCB5B1B">
            <w:pPr>
              <w:pStyle w:val="ListParagraph"/>
              <w:numPr>
                <w:ilvl w:val="2"/>
                <w:numId w:val="17"/>
              </w:numPr>
              <w:spacing w:before="60" w:after="60" w:line="240" w:lineRule="auto"/>
              <w:ind w:left="524" w:hanging="524"/>
              <w:contextualSpacing w:val="0"/>
              <w:jc w:val="both"/>
              <w:rPr>
                <w:rFonts w:ascii="Arial" w:hAnsi="Arial" w:cs="Arial"/>
                <w:sz w:val="18"/>
                <w:szCs w:val="18"/>
                <w:lang w:val="es-ES_tradnl"/>
              </w:rPr>
            </w:pPr>
            <w:r w:rsidRPr="0095010D">
              <w:rPr>
                <w:rFonts w:ascii="Arial" w:hAnsi="Arial" w:cs="Arial"/>
                <w:sz w:val="18"/>
                <w:szCs w:val="18"/>
                <w:lang w:val="es-ES_tradnl"/>
              </w:rPr>
              <w:t>Mantenimiento del saldo de la DEG por la federación a niveles inferiores al 3,5% del PIB nominal nacional</w:t>
            </w:r>
            <w:r w:rsidRPr="0095010D">
              <w:rPr>
                <w:rFonts w:ascii="Arial" w:hAnsi="Arial" w:cs="Arial"/>
                <w:color w:val="000000"/>
                <w:sz w:val="18"/>
                <w:szCs w:val="18"/>
                <w:lang w:val="es-ES"/>
              </w:rPr>
              <w:t>.</w:t>
            </w:r>
          </w:p>
        </w:tc>
        <w:tc>
          <w:tcPr>
            <w:tcW w:w="2965" w:type="dxa"/>
            <w:tcMar/>
          </w:tcPr>
          <w:p w:rsidRPr="0095010D" w:rsidR="007713EF" w:rsidP="000D4196" w:rsidRDefault="007713EF" w14:paraId="0206FEF4" w14:textId="4BA489DF">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Se modifica redacción</w:t>
            </w:r>
            <w:r>
              <w:rPr>
                <w:rFonts w:ascii="Arial" w:hAnsi="Arial" w:cs="Arial"/>
                <w:iCs/>
                <w:sz w:val="18"/>
                <w:szCs w:val="18"/>
                <w:lang w:val="es-ES_tradnl"/>
              </w:rPr>
              <w:t xml:space="preserve"> para precisar la condición de política</w:t>
            </w:r>
            <w:r w:rsidRPr="0095010D">
              <w:rPr>
                <w:rFonts w:ascii="Arial" w:hAnsi="Arial" w:cs="Arial"/>
                <w:iCs/>
                <w:sz w:val="18"/>
                <w:szCs w:val="18"/>
                <w:lang w:val="es-ES_tradnl"/>
              </w:rPr>
              <w:t>.</w:t>
            </w:r>
          </w:p>
        </w:tc>
      </w:tr>
      <w:tr w:rsidRPr="006E2EC3" w:rsidR="007713EF" w:rsidTr="5062BC62" w14:paraId="555B381F" w14:textId="77777777">
        <w:trPr>
          <w:trHeight w:val="576"/>
        </w:trPr>
        <w:tc>
          <w:tcPr>
            <w:tcW w:w="0" w:type="auto"/>
            <w:vMerge/>
            <w:tcMar/>
          </w:tcPr>
          <w:p w:rsidRPr="0095010D" w:rsidR="007713EF" w:rsidP="00557FEB" w:rsidRDefault="007713EF" w14:paraId="680FC5B9" w14:textId="77777777">
            <w:pPr>
              <w:spacing w:before="40" w:after="40"/>
              <w:rPr>
                <w:rFonts w:ascii="Arial" w:hAnsi="Arial" w:cs="Arial"/>
                <w:bCs/>
                <w:sz w:val="18"/>
                <w:szCs w:val="18"/>
                <w:lang w:val="es-ES_tradnl"/>
              </w:rPr>
            </w:pPr>
          </w:p>
        </w:tc>
        <w:tc>
          <w:tcPr>
            <w:tcW w:w="3587" w:type="dxa"/>
            <w:tcMar/>
          </w:tcPr>
          <w:p w:rsidRPr="0095010D" w:rsidR="007713EF" w:rsidP="00CF29CF" w:rsidRDefault="007713EF" w14:paraId="402145FE" w14:textId="36B0B7D9">
            <w:pPr>
              <w:pStyle w:val="FootnoteText"/>
              <w:numPr>
                <w:ilvl w:val="1"/>
                <w:numId w:val="9"/>
              </w:numPr>
              <w:spacing w:before="60" w:after="60"/>
              <w:jc w:val="both"/>
              <w:rPr>
                <w:rFonts w:ascii="Arial" w:hAnsi="Arial" w:cs="Arial"/>
                <w:sz w:val="18"/>
                <w:szCs w:val="18"/>
                <w:lang w:val="es-ES_tradnl"/>
              </w:rPr>
            </w:pPr>
            <w:r w:rsidRPr="0095010D">
              <w:rPr>
                <w:rFonts w:ascii="Arial" w:hAnsi="Arial" w:cs="Arial"/>
                <w:sz w:val="18"/>
                <w:szCs w:val="18"/>
                <w:lang w:val="es-ES_tradnl"/>
              </w:rPr>
              <w:t xml:space="preserve">Aprobación de, al menos, veinte reformas a marcos </w:t>
            </w:r>
            <w:r w:rsidRPr="0095010D">
              <w:rPr>
                <w:rFonts w:ascii="Arial" w:hAnsi="Arial" w:cs="Arial"/>
                <w:sz w:val="18"/>
                <w:szCs w:val="18"/>
                <w:lang w:val="es-ES"/>
              </w:rPr>
              <w:t>normativos</w:t>
            </w:r>
            <w:r w:rsidRPr="0095010D">
              <w:rPr>
                <w:rFonts w:ascii="Arial" w:hAnsi="Arial" w:cs="Arial"/>
                <w:sz w:val="18"/>
                <w:szCs w:val="18"/>
                <w:lang w:val="es-ES_tradnl"/>
              </w:rPr>
              <w:t xml:space="preserve"> de gestión hacendaria en estados, para hacerlos congruentes con la LDF</w:t>
            </w:r>
            <w:r w:rsidRPr="0095010D">
              <w:rPr>
                <w:rFonts w:ascii="Arial" w:hAnsi="Arial" w:cs="Arial"/>
                <w:color w:val="000000"/>
                <w:sz w:val="18"/>
                <w:szCs w:val="18"/>
                <w:lang w:val="es-ES"/>
              </w:rPr>
              <w:t>.</w:t>
            </w:r>
          </w:p>
        </w:tc>
        <w:tc>
          <w:tcPr>
            <w:tcW w:w="3600" w:type="dxa"/>
            <w:tcMar/>
          </w:tcPr>
          <w:p w:rsidRPr="0095010D" w:rsidR="007713EF" w:rsidP="00CF29CF" w:rsidRDefault="007713EF" w14:paraId="5786EE73" w14:textId="05FD5C4A">
            <w:pPr>
              <w:pStyle w:val="FootnoteText"/>
              <w:numPr>
                <w:ilvl w:val="1"/>
                <w:numId w:val="11"/>
              </w:numPr>
              <w:spacing w:before="60" w:after="60"/>
              <w:jc w:val="both"/>
              <w:rPr>
                <w:rFonts w:ascii="Arial" w:hAnsi="Arial" w:cs="Arial"/>
                <w:iCs/>
                <w:sz w:val="18"/>
                <w:szCs w:val="18"/>
                <w:lang w:val="es-ES_tradnl"/>
              </w:rPr>
            </w:pPr>
            <w:r w:rsidRPr="0095010D">
              <w:rPr>
                <w:rFonts w:ascii="Arial" w:hAnsi="Arial" w:cs="Arial"/>
                <w:sz w:val="18"/>
                <w:szCs w:val="18"/>
                <w:lang w:val="es-ES_tradnl"/>
              </w:rPr>
              <w:t>Aprobación de, al menos, treinta reformas a marcos normativos de gestión hacendaria en EF, para hacerlos congruentes con la LDF</w:t>
            </w:r>
            <w:r w:rsidRPr="0095010D">
              <w:rPr>
                <w:rFonts w:ascii="Arial" w:hAnsi="Arial" w:cs="Arial"/>
                <w:color w:val="000000"/>
                <w:sz w:val="18"/>
                <w:szCs w:val="18"/>
                <w:lang w:val="es-ES"/>
              </w:rPr>
              <w:t>.</w:t>
            </w:r>
          </w:p>
        </w:tc>
        <w:tc>
          <w:tcPr>
            <w:tcW w:w="2965" w:type="dxa"/>
            <w:tcMar/>
          </w:tcPr>
          <w:p w:rsidRPr="0095010D" w:rsidR="007713EF" w:rsidP="00CF29CF" w:rsidRDefault="007713EF" w14:paraId="6E768F10" w14:textId="72AFB416">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 xml:space="preserve">Se amplía </w:t>
            </w:r>
            <w:r w:rsidRPr="002D1DAD" w:rsidR="002D1DAD">
              <w:rPr>
                <w:rFonts w:ascii="Arial" w:hAnsi="Arial" w:cs="Arial"/>
                <w:iCs/>
                <w:sz w:val="18"/>
                <w:szCs w:val="18"/>
                <w:lang w:val="es-ES_tradnl"/>
              </w:rPr>
              <w:t xml:space="preserve">el </w:t>
            </w:r>
            <w:r w:rsidRPr="002D1DAD" w:rsidR="002D1DAD">
              <w:rPr>
                <w:rFonts w:ascii="Arial" w:hAnsi="Arial" w:cs="Arial"/>
                <w:sz w:val="18"/>
                <w:szCs w:val="18"/>
                <w:lang w:val="es-ES_tradnl"/>
              </w:rPr>
              <w:t>alcance de la condición</w:t>
            </w:r>
            <w:r w:rsidR="002D1DAD">
              <w:rPr>
                <w:rFonts w:ascii="Arial" w:hAnsi="Arial" w:cs="Arial"/>
                <w:sz w:val="18"/>
                <w:szCs w:val="18"/>
                <w:lang w:val="es-ES_tradnl"/>
              </w:rPr>
              <w:t xml:space="preserve">, aumentando </w:t>
            </w:r>
            <w:r w:rsidRPr="0095010D">
              <w:rPr>
                <w:rFonts w:ascii="Arial" w:hAnsi="Arial" w:cs="Arial"/>
                <w:iCs/>
                <w:sz w:val="18"/>
                <w:szCs w:val="18"/>
                <w:lang w:val="es-ES_tradnl"/>
              </w:rPr>
              <w:t>el número de EF que deben reformar sus marcos normativos.</w:t>
            </w:r>
            <w:r w:rsidR="002D1DAD">
              <w:rPr>
                <w:rFonts w:ascii="Arial" w:hAnsi="Arial" w:cs="Arial"/>
                <w:iCs/>
                <w:sz w:val="18"/>
                <w:szCs w:val="18"/>
                <w:lang w:val="es-ES_tradnl"/>
              </w:rPr>
              <w:t xml:space="preserve"> Esto a fin de reflejar el mayor avance alcanzado.</w:t>
            </w:r>
          </w:p>
        </w:tc>
      </w:tr>
      <w:tr w:rsidRPr="00B63973" w:rsidR="007713EF" w:rsidTr="5062BC62" w14:paraId="55A791C7" w14:textId="77777777">
        <w:trPr>
          <w:trHeight w:val="440"/>
        </w:trPr>
        <w:tc>
          <w:tcPr>
            <w:tcW w:w="0" w:type="auto"/>
            <w:vMerge/>
            <w:tcMar/>
          </w:tcPr>
          <w:p w:rsidRPr="0095010D" w:rsidR="007713EF" w:rsidP="00557FEB" w:rsidRDefault="007713EF" w14:paraId="2784D8E7" w14:textId="77777777">
            <w:pPr>
              <w:pStyle w:val="FootnoteText"/>
              <w:spacing w:before="40" w:after="40"/>
              <w:jc w:val="both"/>
              <w:rPr>
                <w:rFonts w:ascii="Arial" w:hAnsi="Arial" w:cs="Arial"/>
                <w:sz w:val="18"/>
                <w:szCs w:val="18"/>
                <w:lang w:val="es-ES_tradnl"/>
              </w:rPr>
            </w:pPr>
          </w:p>
        </w:tc>
        <w:tc>
          <w:tcPr>
            <w:tcW w:w="3587" w:type="dxa"/>
            <w:tcMar/>
          </w:tcPr>
          <w:p w:rsidRPr="0095010D" w:rsidR="007713EF" w:rsidP="00CF29CF" w:rsidRDefault="007713EF" w14:paraId="2E81CF04" w14:textId="284AC57B">
            <w:pPr>
              <w:pStyle w:val="FootnoteText"/>
              <w:numPr>
                <w:ilvl w:val="1"/>
                <w:numId w:val="11"/>
              </w:numPr>
              <w:spacing w:before="60" w:after="60"/>
              <w:jc w:val="both"/>
              <w:rPr>
                <w:rFonts w:ascii="Arial" w:hAnsi="Arial" w:cs="Arial"/>
                <w:sz w:val="18"/>
                <w:szCs w:val="18"/>
                <w:lang w:val="es-ES_tradnl"/>
              </w:rPr>
            </w:pPr>
            <w:r w:rsidRPr="0095010D">
              <w:rPr>
                <w:rFonts w:ascii="Arial" w:hAnsi="Arial" w:cs="Arial"/>
                <w:sz w:val="18"/>
                <w:szCs w:val="18"/>
                <w:lang w:val="es-MX"/>
              </w:rPr>
              <w:t xml:space="preserve">Comprobación de que las </w:t>
            </w:r>
            <w:proofErr w:type="spellStart"/>
            <w:r w:rsidRPr="0095010D">
              <w:rPr>
                <w:rFonts w:ascii="Arial" w:hAnsi="Arial" w:cs="Arial"/>
                <w:sz w:val="18"/>
                <w:szCs w:val="18"/>
                <w:lang w:val="es-MX"/>
              </w:rPr>
              <w:t>EyM</w:t>
            </w:r>
            <w:proofErr w:type="spellEnd"/>
            <w:r w:rsidRPr="0095010D">
              <w:rPr>
                <w:rFonts w:ascii="Arial" w:hAnsi="Arial" w:cs="Arial"/>
                <w:sz w:val="18"/>
                <w:szCs w:val="18"/>
                <w:lang w:val="es-MX"/>
              </w:rPr>
              <w:t xml:space="preserve"> y sus EP acreditaron al momento de registrar sus obligaciones en el RPU que los préstamos y obligaciones por encima de 40 millones de Unidades de Inversión en el caso de EF y sus EP y de 10 millones en el caso de municipios y sus EP, fueron </w:t>
            </w:r>
            <w:r w:rsidRPr="0095010D">
              <w:rPr>
                <w:rFonts w:ascii="Arial" w:hAnsi="Arial" w:cs="Arial"/>
                <w:sz w:val="18"/>
                <w:szCs w:val="18"/>
                <w:lang w:val="es-MX"/>
              </w:rPr>
              <w:lastRenderedPageBreak/>
              <w:t>contratados a través de procesos competitivos.</w:t>
            </w:r>
          </w:p>
        </w:tc>
        <w:tc>
          <w:tcPr>
            <w:tcW w:w="3600" w:type="dxa"/>
            <w:tcMar/>
          </w:tcPr>
          <w:p w:rsidRPr="0095010D" w:rsidR="007713EF" w:rsidP="00CF29CF" w:rsidRDefault="007713EF" w14:paraId="44EF8FAA" w14:textId="6826BE53">
            <w:pPr>
              <w:pStyle w:val="FootnoteText"/>
              <w:numPr>
                <w:ilvl w:val="1"/>
                <w:numId w:val="12"/>
              </w:numPr>
              <w:tabs>
                <w:tab w:val="left" w:pos="474"/>
              </w:tabs>
              <w:spacing w:before="60" w:after="60"/>
              <w:jc w:val="both"/>
              <w:rPr>
                <w:rFonts w:ascii="Arial" w:hAnsi="Arial" w:cs="Arial"/>
                <w:iCs/>
                <w:sz w:val="18"/>
                <w:szCs w:val="18"/>
                <w:lang w:val="es-ES_tradnl"/>
              </w:rPr>
            </w:pPr>
            <w:r>
              <w:rPr>
                <w:rFonts w:ascii="Arial" w:hAnsi="Arial" w:cs="Arial"/>
                <w:sz w:val="18"/>
                <w:szCs w:val="18"/>
                <w:lang w:val="es-ES_tradnl"/>
              </w:rPr>
              <w:lastRenderedPageBreak/>
              <w:t>Acreditación por parte de</w:t>
            </w:r>
            <w:r w:rsidRPr="008663DD">
              <w:rPr>
                <w:rFonts w:ascii="Arial" w:hAnsi="Arial" w:cs="Arial"/>
                <w:sz w:val="18"/>
                <w:szCs w:val="18"/>
                <w:lang w:val="es-ES_tradnl"/>
              </w:rPr>
              <w:t xml:space="preserve"> </w:t>
            </w:r>
            <w:r w:rsidRPr="0095010D">
              <w:rPr>
                <w:rFonts w:ascii="Arial" w:hAnsi="Arial" w:cs="Arial"/>
                <w:sz w:val="18"/>
                <w:szCs w:val="18"/>
                <w:lang w:val="es-ES_tradnl"/>
              </w:rPr>
              <w:t xml:space="preserve">las </w:t>
            </w:r>
            <w:proofErr w:type="spellStart"/>
            <w:r w:rsidRPr="0095010D">
              <w:rPr>
                <w:rFonts w:ascii="Arial" w:hAnsi="Arial" w:cs="Arial"/>
                <w:sz w:val="18"/>
                <w:szCs w:val="18"/>
                <w:lang w:val="es-ES_tradnl"/>
              </w:rPr>
              <w:t>EyM</w:t>
            </w:r>
            <w:proofErr w:type="spellEnd"/>
            <w:r w:rsidRPr="0095010D">
              <w:rPr>
                <w:rFonts w:ascii="Arial" w:hAnsi="Arial" w:cs="Arial"/>
                <w:sz w:val="18"/>
                <w:szCs w:val="18"/>
                <w:lang w:val="es-ES_tradnl"/>
              </w:rPr>
              <w:t xml:space="preserve"> y sus EP al momento de registrar sus obligaciones en el RPU </w:t>
            </w:r>
            <w:r>
              <w:rPr>
                <w:rFonts w:ascii="Arial" w:hAnsi="Arial" w:cs="Arial"/>
                <w:sz w:val="18"/>
                <w:szCs w:val="18"/>
                <w:lang w:val="es-ES_tradnl"/>
              </w:rPr>
              <w:t xml:space="preserve">que la contratación de </w:t>
            </w:r>
            <w:r w:rsidRPr="008663DD">
              <w:rPr>
                <w:rFonts w:ascii="Arial" w:hAnsi="Arial" w:cs="Arial"/>
                <w:sz w:val="18"/>
                <w:szCs w:val="18"/>
                <w:lang w:val="es-ES_tradnl"/>
              </w:rPr>
              <w:t xml:space="preserve">los financiamientos </w:t>
            </w:r>
            <w:bookmarkStart w:name="_GoBack" w:id="0"/>
            <w:bookmarkEnd w:id="0"/>
            <w:r>
              <w:rPr>
                <w:rFonts w:ascii="Arial" w:hAnsi="Arial" w:cs="Arial"/>
                <w:sz w:val="18"/>
                <w:szCs w:val="18"/>
                <w:lang w:val="es-ES_tradnl"/>
              </w:rPr>
              <w:t xml:space="preserve">fue </w:t>
            </w:r>
            <w:r w:rsidR="00BF415F">
              <w:rPr>
                <w:rFonts w:ascii="Arial" w:hAnsi="Arial" w:cs="Arial"/>
                <w:sz w:val="18"/>
                <w:szCs w:val="18"/>
                <w:lang w:val="es-ES_tradnl"/>
              </w:rPr>
              <w:t>realizada</w:t>
            </w:r>
            <w:r>
              <w:rPr>
                <w:rFonts w:ascii="Arial" w:hAnsi="Arial" w:cs="Arial"/>
                <w:sz w:val="18"/>
                <w:szCs w:val="18"/>
                <w:lang w:val="es-ES_tradnl"/>
              </w:rPr>
              <w:t xml:space="preserve"> </w:t>
            </w:r>
            <w:r w:rsidRPr="0095010D">
              <w:rPr>
                <w:rFonts w:ascii="Arial" w:hAnsi="Arial" w:cs="Arial"/>
                <w:sz w:val="18"/>
                <w:szCs w:val="18"/>
                <w:lang w:val="es-ES_tradnl"/>
              </w:rPr>
              <w:t>a través de procesos competitivos.</w:t>
            </w:r>
          </w:p>
        </w:tc>
        <w:tc>
          <w:tcPr>
            <w:tcW w:w="2965" w:type="dxa"/>
            <w:tcMar/>
          </w:tcPr>
          <w:p w:rsidRPr="009F0D7E" w:rsidR="007713EF" w:rsidP="00CF29CF" w:rsidRDefault="007713EF" w14:paraId="356743FA" w14:textId="07C66469">
            <w:pPr>
              <w:pStyle w:val="FootnoteText"/>
              <w:spacing w:before="60" w:after="60"/>
              <w:ind w:left="-18"/>
              <w:jc w:val="both"/>
              <w:rPr>
                <w:rFonts w:ascii="Arial" w:hAnsi="Arial" w:cs="Arial"/>
                <w:sz w:val="18"/>
                <w:szCs w:val="18"/>
                <w:lang w:val="es-AR"/>
              </w:rPr>
            </w:pPr>
            <w:r w:rsidRPr="0095010D">
              <w:rPr>
                <w:rFonts w:ascii="Arial" w:hAnsi="Arial" w:cs="Arial"/>
                <w:sz w:val="18"/>
                <w:szCs w:val="18"/>
                <w:lang w:val="es-ES"/>
              </w:rPr>
              <w:t xml:space="preserve">Se amplía el alcance de la condición, para que la misma aplique a todos </w:t>
            </w:r>
            <w:r>
              <w:rPr>
                <w:rFonts w:ascii="Arial" w:hAnsi="Arial" w:cs="Arial"/>
                <w:sz w:val="18"/>
                <w:szCs w:val="18"/>
                <w:lang w:val="es-ES"/>
              </w:rPr>
              <w:t>los financiamientos contratados</w:t>
            </w:r>
            <w:r w:rsidRPr="0095010D">
              <w:rPr>
                <w:rFonts w:ascii="Arial" w:hAnsi="Arial" w:cs="Arial"/>
                <w:sz w:val="18"/>
                <w:szCs w:val="18"/>
                <w:lang w:val="es-ES"/>
              </w:rPr>
              <w:t>.</w:t>
            </w:r>
            <w:r w:rsidR="009F57A8">
              <w:rPr>
                <w:rFonts w:ascii="Arial" w:hAnsi="Arial" w:cs="Arial"/>
                <w:sz w:val="18"/>
                <w:szCs w:val="18"/>
                <w:lang w:val="es-ES"/>
              </w:rPr>
              <w:t xml:space="preserve"> También se</w:t>
            </w:r>
            <w:r w:rsidRPr="0095010D" w:rsidR="009F57A8">
              <w:rPr>
                <w:rFonts w:ascii="Arial" w:hAnsi="Arial" w:cs="Arial"/>
                <w:sz w:val="18"/>
                <w:szCs w:val="18"/>
                <w:lang w:val="es-ES"/>
              </w:rPr>
              <w:t xml:space="preserve"> modifica </w:t>
            </w:r>
            <w:r w:rsidR="009F57A8">
              <w:rPr>
                <w:rFonts w:ascii="Arial" w:hAnsi="Arial" w:cs="Arial"/>
                <w:sz w:val="18"/>
                <w:szCs w:val="18"/>
                <w:lang w:val="es-ES"/>
              </w:rPr>
              <w:t xml:space="preserve">la </w:t>
            </w:r>
            <w:r w:rsidRPr="0095010D" w:rsidR="009F57A8">
              <w:rPr>
                <w:rFonts w:ascii="Arial" w:hAnsi="Arial" w:cs="Arial"/>
                <w:sz w:val="18"/>
                <w:szCs w:val="18"/>
                <w:lang w:val="es-ES"/>
              </w:rPr>
              <w:t>redacción</w:t>
            </w:r>
            <w:r w:rsidR="009F57A8">
              <w:rPr>
                <w:rFonts w:ascii="Arial" w:hAnsi="Arial" w:cs="Arial"/>
                <w:sz w:val="18"/>
                <w:szCs w:val="18"/>
                <w:lang w:val="es-ES"/>
              </w:rPr>
              <w:t xml:space="preserve"> para reflejar la práctica implementada para cumplir con la establecido en la LDF</w:t>
            </w:r>
            <w:r w:rsidR="0018215A">
              <w:rPr>
                <w:rFonts w:ascii="Arial" w:hAnsi="Arial" w:cs="Arial"/>
                <w:sz w:val="18"/>
                <w:szCs w:val="18"/>
                <w:lang w:val="es-ES"/>
              </w:rPr>
              <w:t>.</w:t>
            </w:r>
          </w:p>
        </w:tc>
      </w:tr>
      <w:tr w:rsidRPr="0095010D" w:rsidR="007713EF" w:rsidTr="5062BC62" w14:paraId="11EBF7C9" w14:textId="77777777">
        <w:trPr>
          <w:trHeight w:val="440"/>
        </w:trPr>
        <w:tc>
          <w:tcPr>
            <w:tcW w:w="0" w:type="auto"/>
            <w:vMerge/>
            <w:tcMar/>
          </w:tcPr>
          <w:p w:rsidRPr="0095010D" w:rsidR="007713EF" w:rsidP="00557FEB" w:rsidRDefault="007713EF" w14:paraId="189075D5" w14:textId="77777777">
            <w:pPr>
              <w:pStyle w:val="FootnoteText"/>
              <w:spacing w:before="40" w:after="40"/>
              <w:jc w:val="both"/>
              <w:rPr>
                <w:rFonts w:ascii="Arial" w:hAnsi="Arial" w:cs="Arial"/>
                <w:sz w:val="18"/>
                <w:szCs w:val="18"/>
                <w:lang w:val="es-ES_tradnl"/>
              </w:rPr>
            </w:pPr>
          </w:p>
        </w:tc>
        <w:tc>
          <w:tcPr>
            <w:tcW w:w="3587" w:type="dxa"/>
            <w:tcMar/>
          </w:tcPr>
          <w:p w:rsidRPr="0095010D" w:rsidR="007713EF" w:rsidP="00CF29CF" w:rsidRDefault="007713EF" w14:paraId="79052D7D" w14:textId="5D5D254D">
            <w:pPr>
              <w:pStyle w:val="FootnoteText"/>
              <w:numPr>
                <w:ilvl w:val="1"/>
                <w:numId w:val="11"/>
              </w:numPr>
              <w:spacing w:before="60" w:after="60"/>
              <w:jc w:val="both"/>
              <w:rPr>
                <w:rFonts w:ascii="Arial" w:hAnsi="Arial" w:cs="Arial"/>
                <w:sz w:val="18"/>
                <w:szCs w:val="18"/>
                <w:lang w:val="es-ES_tradnl"/>
              </w:rPr>
            </w:pPr>
            <w:r w:rsidRPr="0095010D">
              <w:rPr>
                <w:rFonts w:ascii="Arial" w:hAnsi="Arial" w:cs="Arial"/>
                <w:sz w:val="18"/>
                <w:szCs w:val="18"/>
                <w:lang w:val="es-ES_tradnl"/>
              </w:rPr>
              <w:t>Modificación de las disposiciones aplicables a las instituciones de crédito que faculte a la Comisión Nacional Bancaria y de Valores (CNBV) a ordenar la constitución y mantenimiento de reservas preventivas superiores a las normales en el caso de no registro del crédito en el RPU.</w:t>
            </w:r>
          </w:p>
        </w:tc>
        <w:tc>
          <w:tcPr>
            <w:tcW w:w="3600" w:type="dxa"/>
            <w:tcMar/>
          </w:tcPr>
          <w:p w:rsidRPr="0095010D" w:rsidR="007713EF" w:rsidP="00CF29CF" w:rsidRDefault="007713EF" w14:paraId="56AF0EB1" w14:textId="6C635E97">
            <w:pPr>
              <w:pStyle w:val="FootnoteText"/>
              <w:numPr>
                <w:ilvl w:val="1"/>
                <w:numId w:val="10"/>
              </w:numPr>
              <w:spacing w:before="60" w:after="60"/>
              <w:jc w:val="both"/>
              <w:rPr>
                <w:rFonts w:ascii="Arial" w:hAnsi="Arial" w:cs="Arial"/>
                <w:iCs/>
                <w:sz w:val="18"/>
                <w:szCs w:val="18"/>
                <w:lang w:val="es-ES_tradnl"/>
              </w:rPr>
            </w:pPr>
            <w:r w:rsidRPr="0095010D">
              <w:rPr>
                <w:rFonts w:ascii="Arial" w:hAnsi="Arial" w:cs="Arial"/>
                <w:color w:val="000000"/>
                <w:sz w:val="18"/>
                <w:szCs w:val="18"/>
                <w:lang w:val="es-ES"/>
              </w:rPr>
              <w:t>Modificación de las disposiciones aplicables a las instituciones de crédito facultando a la CNBV a ordenar la constitución y mantenimiento de reservas preventivas superiores a las normales en el caso de no registro del crédito en el RPU</w:t>
            </w:r>
            <w:r w:rsidRPr="0095010D">
              <w:rPr>
                <w:rFonts w:ascii="Arial" w:hAnsi="Arial" w:cs="Arial"/>
                <w:sz w:val="18"/>
                <w:szCs w:val="18"/>
                <w:lang w:val="es-ES_tradnl"/>
              </w:rPr>
              <w:t>.</w:t>
            </w:r>
          </w:p>
        </w:tc>
        <w:tc>
          <w:tcPr>
            <w:tcW w:w="2965" w:type="dxa"/>
            <w:tcMar/>
          </w:tcPr>
          <w:p w:rsidRPr="0095010D" w:rsidR="007713EF" w:rsidP="00CF29CF" w:rsidRDefault="007713EF" w14:paraId="14D386ED" w14:textId="179C23BE">
            <w:pPr>
              <w:pStyle w:val="FootnoteText"/>
              <w:spacing w:before="60" w:after="60"/>
              <w:ind w:left="-18"/>
              <w:jc w:val="both"/>
              <w:rPr>
                <w:rFonts w:ascii="Arial" w:hAnsi="Arial" w:cs="Arial"/>
                <w:iCs/>
                <w:sz w:val="18"/>
                <w:szCs w:val="18"/>
                <w:lang w:val="es-ES_tradnl"/>
              </w:rPr>
            </w:pPr>
            <w:r w:rsidRPr="0095010D">
              <w:rPr>
                <w:rFonts w:ascii="Arial" w:hAnsi="Arial" w:cs="Arial"/>
                <w:sz w:val="18"/>
                <w:szCs w:val="18"/>
                <w:lang w:val="es-ES"/>
              </w:rPr>
              <w:t>Se mantiene redacción</w:t>
            </w:r>
            <w:r w:rsidRPr="0095010D">
              <w:rPr>
                <w:rFonts w:ascii="Arial" w:hAnsi="Arial" w:cs="Arial"/>
                <w:sz w:val="18"/>
                <w:szCs w:val="18"/>
                <w:lang w:val="es-AR"/>
              </w:rPr>
              <w:t>.</w:t>
            </w:r>
          </w:p>
        </w:tc>
      </w:tr>
      <w:tr w:rsidRPr="00B63973" w:rsidR="007713EF" w:rsidTr="5062BC62" w14:paraId="4752F45C" w14:textId="77777777">
        <w:trPr>
          <w:trHeight w:val="20"/>
        </w:trPr>
        <w:tc>
          <w:tcPr>
            <w:tcW w:w="0" w:type="auto"/>
            <w:vMerge/>
            <w:tcMar/>
          </w:tcPr>
          <w:p w:rsidRPr="0095010D" w:rsidR="007713EF" w:rsidP="00557FEB" w:rsidRDefault="007713EF" w14:paraId="248D8AA6" w14:textId="77777777">
            <w:pPr>
              <w:spacing w:before="40" w:after="40"/>
              <w:rPr>
                <w:rFonts w:ascii="Arial" w:hAnsi="Arial" w:cs="Arial"/>
                <w:bCs/>
                <w:sz w:val="18"/>
                <w:szCs w:val="18"/>
                <w:lang w:val="es-ES_tradnl"/>
              </w:rPr>
            </w:pPr>
          </w:p>
        </w:tc>
        <w:tc>
          <w:tcPr>
            <w:tcW w:w="3587" w:type="dxa"/>
            <w:tcMar/>
          </w:tcPr>
          <w:p w:rsidRPr="0095010D" w:rsidR="007713EF" w:rsidP="00CF29CF" w:rsidRDefault="007713EF" w14:paraId="650CD7B9" w14:textId="55ACD6E0">
            <w:pPr>
              <w:pStyle w:val="FootnoteText"/>
              <w:numPr>
                <w:ilvl w:val="1"/>
                <w:numId w:val="11"/>
              </w:numPr>
              <w:spacing w:before="60" w:after="60"/>
              <w:jc w:val="both"/>
              <w:rPr>
                <w:rFonts w:ascii="Arial" w:hAnsi="Arial" w:cs="Arial"/>
                <w:sz w:val="18"/>
                <w:szCs w:val="18"/>
                <w:lang w:val="es-ES_tradnl"/>
              </w:rPr>
            </w:pPr>
            <w:r w:rsidRPr="0095010D">
              <w:rPr>
                <w:rFonts w:ascii="Arial" w:hAnsi="Arial" w:cs="Arial"/>
                <w:sz w:val="18"/>
                <w:szCs w:val="18"/>
                <w:lang w:val="es-MX"/>
              </w:rPr>
              <w:t>Aprobación por parte del Consejo Nacional de Armonización Contable (CONAC) de los clasificadores por rubros de ingresos y por fuentes de financiamiento, para el cálculo del balance presupuestario de recursos disponibles.</w:t>
            </w:r>
          </w:p>
        </w:tc>
        <w:tc>
          <w:tcPr>
            <w:tcW w:w="3600" w:type="dxa"/>
            <w:tcMar/>
          </w:tcPr>
          <w:p w:rsidRPr="0095010D" w:rsidR="007713EF" w:rsidP="00CF29CF" w:rsidRDefault="007713EF" w14:paraId="38BCB0BF" w14:textId="5D42F208">
            <w:pPr>
              <w:pStyle w:val="FootnoteText"/>
              <w:numPr>
                <w:ilvl w:val="1"/>
                <w:numId w:val="6"/>
              </w:numPr>
              <w:spacing w:before="60" w:after="60"/>
              <w:jc w:val="both"/>
              <w:rPr>
                <w:rFonts w:ascii="Arial" w:hAnsi="Arial" w:cs="Arial"/>
                <w:iCs/>
                <w:sz w:val="18"/>
                <w:szCs w:val="18"/>
                <w:lang w:val="es-ES_tradnl"/>
              </w:rPr>
            </w:pPr>
            <w:r w:rsidRPr="0095010D">
              <w:rPr>
                <w:rFonts w:ascii="Arial" w:hAnsi="Arial" w:cs="Arial"/>
                <w:color w:val="000000"/>
                <w:sz w:val="18"/>
                <w:szCs w:val="18"/>
                <w:lang w:val="es-ES"/>
              </w:rPr>
              <w:t>Aprobación por parte del CONAC de las reformas a los clasificadores por fuentes de financiamiento y por rubros de ingresos</w:t>
            </w:r>
            <w:r w:rsidRPr="0095010D">
              <w:rPr>
                <w:rFonts w:ascii="Arial" w:hAnsi="Arial" w:cs="Arial"/>
                <w:sz w:val="18"/>
                <w:szCs w:val="18"/>
                <w:lang w:val="es-MX"/>
              </w:rPr>
              <w:t>.</w:t>
            </w:r>
          </w:p>
        </w:tc>
        <w:tc>
          <w:tcPr>
            <w:tcW w:w="2965" w:type="dxa"/>
            <w:tcMar/>
          </w:tcPr>
          <w:p w:rsidRPr="0095010D" w:rsidR="007713EF" w:rsidP="00CF29CF" w:rsidRDefault="007713EF" w14:paraId="39D54F60" w14:textId="2930AECF">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Se modifica redacción</w:t>
            </w:r>
            <w:r>
              <w:rPr>
                <w:rFonts w:ascii="Arial" w:hAnsi="Arial" w:cs="Arial"/>
                <w:iCs/>
                <w:sz w:val="18"/>
                <w:szCs w:val="18"/>
                <w:lang w:val="es-ES_tradnl"/>
              </w:rPr>
              <w:t>, eliminando mención al</w:t>
            </w:r>
            <w:r w:rsidRPr="0095010D">
              <w:rPr>
                <w:rFonts w:ascii="Arial" w:hAnsi="Arial" w:cs="Arial"/>
                <w:sz w:val="18"/>
                <w:szCs w:val="18"/>
                <w:lang w:val="es-MX"/>
              </w:rPr>
              <w:t xml:space="preserve"> cálculo del balance presupuestario de recursos disponibles</w:t>
            </w:r>
            <w:r w:rsidRPr="0095010D">
              <w:rPr>
                <w:rFonts w:ascii="Arial" w:hAnsi="Arial" w:cs="Arial"/>
                <w:iCs/>
                <w:sz w:val="18"/>
                <w:szCs w:val="18"/>
                <w:lang w:val="es-ES_tradnl"/>
              </w:rPr>
              <w:t>.</w:t>
            </w:r>
            <w:r>
              <w:rPr>
                <w:rFonts w:ascii="Arial" w:hAnsi="Arial" w:cs="Arial"/>
                <w:iCs/>
                <w:sz w:val="18"/>
                <w:szCs w:val="18"/>
                <w:lang w:val="es-ES_tradnl"/>
              </w:rPr>
              <w:t xml:space="preserve"> Esto debido a que la reforma de los clasificadores tuvo un objetivo más amplio.</w:t>
            </w:r>
          </w:p>
        </w:tc>
      </w:tr>
      <w:tr w:rsidRPr="00B63973" w:rsidR="007713EF" w:rsidTr="5062BC62" w14:paraId="3B5479B3" w14:textId="77777777">
        <w:trPr>
          <w:trHeight w:val="1151"/>
        </w:trPr>
        <w:tc>
          <w:tcPr>
            <w:tcW w:w="0" w:type="auto"/>
            <w:vMerge/>
            <w:tcMar/>
          </w:tcPr>
          <w:p w:rsidRPr="0095010D" w:rsidR="007713EF" w:rsidP="00557FEB" w:rsidRDefault="007713EF" w14:paraId="54754922" w14:textId="77777777">
            <w:pPr>
              <w:spacing w:before="40" w:after="40"/>
              <w:rPr>
                <w:rFonts w:ascii="Arial" w:hAnsi="Arial" w:cs="Arial"/>
                <w:bCs/>
                <w:sz w:val="18"/>
                <w:szCs w:val="18"/>
                <w:lang w:val="es-ES_tradnl"/>
              </w:rPr>
            </w:pPr>
          </w:p>
        </w:tc>
        <w:tc>
          <w:tcPr>
            <w:tcW w:w="3587" w:type="dxa"/>
            <w:tcMar/>
          </w:tcPr>
          <w:p w:rsidRPr="0095010D" w:rsidR="007713EF" w:rsidP="00CF29CF" w:rsidRDefault="007713EF" w14:paraId="328383C8" w14:textId="100FB13F">
            <w:pPr>
              <w:pStyle w:val="FootnoteText"/>
              <w:numPr>
                <w:ilvl w:val="1"/>
                <w:numId w:val="11"/>
              </w:numPr>
              <w:spacing w:before="60" w:after="60"/>
              <w:jc w:val="both"/>
              <w:rPr>
                <w:rFonts w:ascii="Arial" w:hAnsi="Arial" w:cs="Arial"/>
                <w:sz w:val="18"/>
                <w:szCs w:val="18"/>
                <w:lang w:val="es-ES_tradnl"/>
              </w:rPr>
            </w:pPr>
            <w:r w:rsidRPr="0095010D">
              <w:rPr>
                <w:rFonts w:ascii="Arial" w:hAnsi="Arial" w:cs="Arial"/>
                <w:sz w:val="18"/>
                <w:szCs w:val="18"/>
                <w:lang w:val="es-ES_tradnl"/>
              </w:rPr>
              <w:t>Desarrollo</w:t>
            </w:r>
            <w:r w:rsidRPr="0095010D">
              <w:rPr>
                <w:rFonts w:ascii="Arial" w:hAnsi="Arial" w:cs="Arial"/>
                <w:sz w:val="18"/>
                <w:szCs w:val="18"/>
                <w:lang w:val="es-ES"/>
              </w:rPr>
              <w:t xml:space="preserve"> y puesta en funcionamiento </w:t>
            </w:r>
            <w:r w:rsidRPr="0095010D">
              <w:rPr>
                <w:rFonts w:ascii="Arial" w:hAnsi="Arial" w:cs="Arial"/>
                <w:color w:val="000000"/>
                <w:sz w:val="18"/>
                <w:szCs w:val="18"/>
                <w:lang w:val="es-ES"/>
              </w:rPr>
              <w:t>de la plataforma para la elaboración de proyecciones fiscales de mediano plazo y análisis de sostenibilidad de deuda.</w:t>
            </w:r>
          </w:p>
        </w:tc>
        <w:tc>
          <w:tcPr>
            <w:tcW w:w="3600" w:type="dxa"/>
            <w:tcMar/>
          </w:tcPr>
          <w:p w:rsidRPr="0095010D" w:rsidR="007713EF" w:rsidP="00CF29CF" w:rsidRDefault="007713EF" w14:paraId="7A634EBE" w14:textId="49144497">
            <w:pPr>
              <w:pStyle w:val="FootnoteText"/>
              <w:numPr>
                <w:ilvl w:val="1"/>
                <w:numId w:val="6"/>
              </w:numPr>
              <w:spacing w:before="60" w:after="60"/>
              <w:jc w:val="both"/>
              <w:rPr>
                <w:rFonts w:ascii="Arial" w:hAnsi="Arial" w:cs="Arial"/>
                <w:iCs/>
                <w:sz w:val="18"/>
                <w:szCs w:val="18"/>
                <w:lang w:val="es-ES_tradnl"/>
              </w:rPr>
            </w:pPr>
            <w:r w:rsidRPr="0095010D">
              <w:rPr>
                <w:rFonts w:ascii="Arial" w:hAnsi="Arial" w:cs="Arial"/>
                <w:sz w:val="18"/>
                <w:szCs w:val="18"/>
                <w:lang w:val="es-ES_tradnl"/>
              </w:rPr>
              <w:t>Desarrollo</w:t>
            </w:r>
            <w:r w:rsidRPr="0095010D">
              <w:rPr>
                <w:rFonts w:ascii="Arial" w:hAnsi="Arial" w:cs="Arial"/>
                <w:sz w:val="18"/>
                <w:szCs w:val="18"/>
                <w:lang w:val="es-ES"/>
              </w:rPr>
              <w:t xml:space="preserve"> </w:t>
            </w:r>
            <w:r w:rsidRPr="0095010D">
              <w:rPr>
                <w:rFonts w:ascii="Arial" w:hAnsi="Arial" w:cs="Arial"/>
                <w:color w:val="000000"/>
                <w:sz w:val="18"/>
                <w:szCs w:val="18"/>
                <w:lang w:val="es-ES"/>
              </w:rPr>
              <w:t>de la plataforma para la elaboración de proyecciones fiscales de mediano plazo y análisis de sostenibilidad de deuda.</w:t>
            </w:r>
          </w:p>
        </w:tc>
        <w:tc>
          <w:tcPr>
            <w:tcW w:w="2965" w:type="dxa"/>
            <w:tcMar/>
          </w:tcPr>
          <w:p w:rsidRPr="0095010D" w:rsidR="007713EF" w:rsidP="00CF29CF" w:rsidRDefault="007713EF" w14:paraId="4ED0CCFA" w14:textId="66C2124B">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 xml:space="preserve">Se </w:t>
            </w:r>
            <w:r>
              <w:rPr>
                <w:rFonts w:ascii="Arial" w:hAnsi="Arial" w:cs="Arial"/>
                <w:iCs/>
                <w:sz w:val="18"/>
                <w:szCs w:val="18"/>
                <w:lang w:val="es-ES_tradnl"/>
              </w:rPr>
              <w:t>elimina el requerimiento de la puesta en funcionamiento de la plataforma</w:t>
            </w:r>
            <w:r w:rsidRPr="0095010D">
              <w:rPr>
                <w:rFonts w:ascii="Arial" w:hAnsi="Arial" w:cs="Arial"/>
                <w:iCs/>
                <w:sz w:val="18"/>
                <w:szCs w:val="18"/>
                <w:lang w:val="es-ES_tradnl"/>
              </w:rPr>
              <w:t>.</w:t>
            </w:r>
            <w:r w:rsidR="002D1DAD">
              <w:rPr>
                <w:rFonts w:ascii="Arial" w:hAnsi="Arial" w:cs="Arial"/>
                <w:iCs/>
                <w:sz w:val="18"/>
                <w:szCs w:val="18"/>
                <w:lang w:val="es-ES_tradnl"/>
              </w:rPr>
              <w:t xml:space="preserve"> Esto dado que el desarrollo de </w:t>
            </w:r>
            <w:proofErr w:type="gramStart"/>
            <w:r w:rsidR="002D1DAD">
              <w:rPr>
                <w:rFonts w:ascii="Arial" w:hAnsi="Arial" w:cs="Arial"/>
                <w:iCs/>
                <w:sz w:val="18"/>
                <w:szCs w:val="18"/>
                <w:lang w:val="es-ES_tradnl"/>
              </w:rPr>
              <w:t>la misma</w:t>
            </w:r>
            <w:proofErr w:type="gramEnd"/>
            <w:r w:rsidR="002D1DAD">
              <w:rPr>
                <w:rFonts w:ascii="Arial" w:hAnsi="Arial" w:cs="Arial"/>
                <w:iCs/>
                <w:sz w:val="18"/>
                <w:szCs w:val="18"/>
                <w:lang w:val="es-ES_tradnl"/>
              </w:rPr>
              <w:t xml:space="preserve"> tomó mayor tiempo que el inicialmente planeado.</w:t>
            </w:r>
          </w:p>
        </w:tc>
      </w:tr>
      <w:tr w:rsidRPr="00B63973" w:rsidR="00557FEB" w:rsidTr="5062BC62" w14:paraId="2F8CC6E4" w14:textId="77777777">
        <w:trPr>
          <w:trHeight w:val="20"/>
        </w:trPr>
        <w:tc>
          <w:tcPr>
            <w:tcW w:w="12230" w:type="dxa"/>
            <w:gridSpan w:val="4"/>
            <w:shd w:val="clear" w:color="auto" w:fill="D9D9D9" w:themeFill="background1" w:themeFillShade="D9"/>
            <w:tcMar/>
          </w:tcPr>
          <w:p w:rsidRPr="0095010D" w:rsidR="00A236A5" w:rsidP="0096484A" w:rsidRDefault="00A236A5" w14:paraId="57428FA0" w14:textId="12274BA2">
            <w:pPr>
              <w:pStyle w:val="ListParagraph"/>
              <w:numPr>
                <w:ilvl w:val="0"/>
                <w:numId w:val="2"/>
              </w:numPr>
              <w:tabs>
                <w:tab w:val="left" w:pos="2340"/>
                <w:tab w:val="left" w:pos="2880"/>
              </w:tabs>
              <w:spacing w:before="40" w:after="40"/>
              <w:rPr>
                <w:rFonts w:ascii="Arial" w:hAnsi="Arial" w:cs="Arial"/>
                <w:b/>
                <w:sz w:val="18"/>
                <w:szCs w:val="18"/>
                <w:lang w:val="es-ES_tradnl"/>
              </w:rPr>
            </w:pPr>
            <w:r w:rsidRPr="0095010D">
              <w:rPr>
                <w:rFonts w:ascii="Arial" w:hAnsi="Arial" w:cs="Arial"/>
                <w:b/>
                <w:sz w:val="18"/>
                <w:szCs w:val="18"/>
                <w:lang w:val="es-MX"/>
              </w:rPr>
              <w:t xml:space="preserve">Fortalecimiento de la </w:t>
            </w:r>
            <w:r w:rsidR="0095010D">
              <w:rPr>
                <w:rFonts w:ascii="Arial" w:hAnsi="Arial" w:cs="Arial"/>
                <w:b/>
                <w:sz w:val="18"/>
                <w:szCs w:val="18"/>
                <w:lang w:val="es-MX"/>
              </w:rPr>
              <w:t>t</w:t>
            </w:r>
            <w:r w:rsidRPr="0095010D">
              <w:rPr>
                <w:rFonts w:ascii="Arial" w:hAnsi="Arial" w:cs="Arial"/>
                <w:b/>
                <w:sz w:val="18"/>
                <w:szCs w:val="18"/>
                <w:lang w:val="es-MX"/>
              </w:rPr>
              <w:t xml:space="preserve">ransparencia y </w:t>
            </w:r>
            <w:r w:rsidR="0095010D">
              <w:rPr>
                <w:rFonts w:ascii="Arial" w:hAnsi="Arial" w:cs="Arial"/>
                <w:b/>
                <w:sz w:val="18"/>
                <w:szCs w:val="18"/>
                <w:lang w:val="es-MX"/>
              </w:rPr>
              <w:t>r</w:t>
            </w:r>
            <w:r w:rsidRPr="0095010D">
              <w:rPr>
                <w:rFonts w:ascii="Arial" w:hAnsi="Arial" w:cs="Arial"/>
                <w:b/>
                <w:sz w:val="18"/>
                <w:szCs w:val="18"/>
                <w:lang w:val="es-MX"/>
              </w:rPr>
              <w:t xml:space="preserve">endición de </w:t>
            </w:r>
            <w:r w:rsidR="0095010D">
              <w:rPr>
                <w:rFonts w:ascii="Arial" w:hAnsi="Arial" w:cs="Arial"/>
                <w:b/>
                <w:sz w:val="18"/>
                <w:szCs w:val="18"/>
                <w:lang w:val="es-MX"/>
              </w:rPr>
              <w:t>c</w:t>
            </w:r>
            <w:r w:rsidRPr="0095010D">
              <w:rPr>
                <w:rFonts w:ascii="Arial" w:hAnsi="Arial" w:cs="Arial"/>
                <w:b/>
                <w:sz w:val="18"/>
                <w:szCs w:val="18"/>
                <w:lang w:val="es-MX"/>
              </w:rPr>
              <w:t xml:space="preserve">uentas en </w:t>
            </w:r>
            <w:proofErr w:type="spellStart"/>
            <w:r w:rsidRPr="0095010D">
              <w:rPr>
                <w:rFonts w:ascii="Arial" w:hAnsi="Arial" w:cs="Arial"/>
                <w:b/>
                <w:sz w:val="18"/>
                <w:szCs w:val="18"/>
                <w:lang w:val="es-MX"/>
              </w:rPr>
              <w:t>EyM</w:t>
            </w:r>
            <w:proofErr w:type="spellEnd"/>
          </w:p>
        </w:tc>
      </w:tr>
      <w:tr w:rsidRPr="00B63973" w:rsidR="0095010D" w:rsidTr="5062BC62" w14:paraId="7B7D0C08" w14:textId="77777777">
        <w:trPr>
          <w:trHeight w:val="20"/>
        </w:trPr>
        <w:tc>
          <w:tcPr>
            <w:tcW w:w="0" w:type="auto"/>
            <w:vMerge w:val="restart"/>
            <w:tcMar/>
          </w:tcPr>
          <w:p w:rsidRPr="0095010D" w:rsidR="0095010D" w:rsidP="00CF29CF" w:rsidRDefault="0095010D" w14:paraId="6D319F38" w14:textId="16D1ADC5">
            <w:pPr>
              <w:pStyle w:val="FootnoteText"/>
              <w:spacing w:before="60" w:after="60"/>
              <w:ind w:right="83"/>
              <w:jc w:val="both"/>
              <w:rPr>
                <w:rFonts w:ascii="Arial" w:hAnsi="Arial" w:cs="Arial"/>
                <w:color w:val="000000"/>
                <w:spacing w:val="-4"/>
                <w:sz w:val="18"/>
                <w:szCs w:val="18"/>
                <w:lang w:val="es-MX"/>
              </w:rPr>
            </w:pPr>
            <w:r w:rsidRPr="0095010D">
              <w:rPr>
                <w:rFonts w:ascii="Arial" w:hAnsi="Arial" w:cs="Arial"/>
                <w:color w:val="000000"/>
                <w:spacing w:val="-4"/>
                <w:sz w:val="18"/>
                <w:szCs w:val="18"/>
                <w:lang w:val="es-MX"/>
              </w:rPr>
              <w:t>Fortalecer la transparencia y la fiscalización, a fin de robustecer los mecanismos de rendición de cuentas.</w:t>
            </w:r>
          </w:p>
        </w:tc>
        <w:tc>
          <w:tcPr>
            <w:tcW w:w="3587" w:type="dxa"/>
            <w:tcMar/>
          </w:tcPr>
          <w:p w:rsidRPr="0095010D" w:rsidR="0095010D" w:rsidP="00CF29CF" w:rsidRDefault="0095010D" w14:paraId="23B627D9" w14:textId="77777777">
            <w:pPr>
              <w:pStyle w:val="FootnoteText"/>
              <w:spacing w:before="60" w:after="60"/>
              <w:rPr>
                <w:rFonts w:ascii="Arial" w:hAnsi="Arial" w:cs="Arial"/>
                <w:sz w:val="18"/>
                <w:szCs w:val="18"/>
                <w:lang w:val="es-MX"/>
              </w:rPr>
            </w:pPr>
          </w:p>
        </w:tc>
        <w:tc>
          <w:tcPr>
            <w:tcW w:w="3600" w:type="dxa"/>
            <w:tcMar/>
          </w:tcPr>
          <w:p w:rsidRPr="0095010D" w:rsidR="0095010D" w:rsidP="00CF29CF" w:rsidRDefault="0095010D" w14:paraId="1E237717" w14:textId="137DFDC4">
            <w:pPr>
              <w:pStyle w:val="FootnoteText"/>
              <w:numPr>
                <w:ilvl w:val="1"/>
                <w:numId w:val="4"/>
              </w:numPr>
              <w:spacing w:before="60" w:after="60"/>
              <w:jc w:val="both"/>
              <w:rPr>
                <w:rFonts w:ascii="Arial" w:hAnsi="Arial" w:cs="Arial"/>
                <w:sz w:val="18"/>
                <w:szCs w:val="18"/>
                <w:lang w:val="es-MX"/>
              </w:rPr>
            </w:pPr>
            <w:r w:rsidRPr="0095010D">
              <w:rPr>
                <w:rFonts w:ascii="Arial" w:hAnsi="Arial" w:cs="Arial"/>
                <w:color w:val="000000"/>
                <w:sz w:val="18"/>
                <w:szCs w:val="18"/>
                <w:lang w:val="es-ES"/>
              </w:rPr>
              <w:t xml:space="preserve">Aprobación del requerimiento de </w:t>
            </w:r>
            <w:r w:rsidR="0018215A">
              <w:rPr>
                <w:rFonts w:ascii="Arial" w:hAnsi="Arial" w:cs="Arial"/>
                <w:color w:val="000000"/>
                <w:sz w:val="18"/>
                <w:szCs w:val="18"/>
                <w:lang w:val="es-ES"/>
              </w:rPr>
              <w:t>inscripción</w:t>
            </w:r>
            <w:r w:rsidRPr="0095010D">
              <w:rPr>
                <w:rFonts w:ascii="Arial" w:hAnsi="Arial" w:cs="Arial"/>
                <w:color w:val="000000"/>
                <w:sz w:val="18"/>
                <w:szCs w:val="18"/>
                <w:lang w:val="es-ES"/>
              </w:rPr>
              <w:t xml:space="preserve"> de los Proyectos de Prestación de Servicio en el RPU por parte de las </w:t>
            </w:r>
            <w:proofErr w:type="spellStart"/>
            <w:r w:rsidRPr="0095010D">
              <w:rPr>
                <w:rFonts w:ascii="Arial" w:hAnsi="Arial" w:cs="Arial"/>
                <w:color w:val="000000"/>
                <w:sz w:val="18"/>
                <w:szCs w:val="18"/>
                <w:lang w:val="es-ES"/>
              </w:rPr>
              <w:t>EyM</w:t>
            </w:r>
            <w:proofErr w:type="spellEnd"/>
            <w:r w:rsidR="00BF415F">
              <w:rPr>
                <w:rFonts w:ascii="Arial" w:hAnsi="Arial" w:cs="Arial"/>
                <w:color w:val="000000"/>
                <w:sz w:val="18"/>
                <w:szCs w:val="18"/>
                <w:lang w:val="es-ES"/>
              </w:rPr>
              <w:t>,</w:t>
            </w:r>
            <w:r w:rsidRPr="0095010D">
              <w:rPr>
                <w:rFonts w:ascii="Arial" w:hAnsi="Arial" w:cs="Arial"/>
                <w:color w:val="000000"/>
                <w:sz w:val="18"/>
                <w:szCs w:val="18"/>
                <w:lang w:val="es-ES"/>
              </w:rPr>
              <w:t xml:space="preserve"> </w:t>
            </w:r>
            <w:r w:rsidR="0018215A">
              <w:rPr>
                <w:rFonts w:ascii="Arial" w:hAnsi="Arial" w:cs="Arial"/>
                <w:color w:val="000000"/>
                <w:sz w:val="18"/>
                <w:szCs w:val="18"/>
                <w:lang w:val="es-ES"/>
              </w:rPr>
              <w:t>así como</w:t>
            </w:r>
            <w:r w:rsidRPr="0095010D">
              <w:rPr>
                <w:rFonts w:ascii="Arial" w:hAnsi="Arial" w:cs="Arial"/>
                <w:color w:val="000000"/>
                <w:sz w:val="18"/>
                <w:szCs w:val="18"/>
                <w:lang w:val="es-ES"/>
              </w:rPr>
              <w:t xml:space="preserve"> su consideración en el cálculo de los indicadores del Sistema de Alertas (</w:t>
            </w:r>
            <w:proofErr w:type="spellStart"/>
            <w:r w:rsidRPr="0095010D">
              <w:rPr>
                <w:rFonts w:ascii="Arial" w:hAnsi="Arial" w:cs="Arial"/>
                <w:color w:val="000000"/>
                <w:sz w:val="18"/>
                <w:szCs w:val="18"/>
                <w:lang w:val="es-ES"/>
              </w:rPr>
              <w:t>SdA</w:t>
            </w:r>
            <w:proofErr w:type="spellEnd"/>
            <w:r w:rsidRPr="0095010D">
              <w:rPr>
                <w:rFonts w:ascii="Arial" w:hAnsi="Arial" w:cs="Arial"/>
                <w:color w:val="000000"/>
                <w:sz w:val="18"/>
                <w:szCs w:val="18"/>
                <w:lang w:val="es-ES"/>
              </w:rPr>
              <w:t>)</w:t>
            </w:r>
            <w:r w:rsidR="008B12F5">
              <w:rPr>
                <w:rFonts w:ascii="Arial" w:hAnsi="Arial" w:cs="Arial"/>
                <w:color w:val="000000"/>
                <w:sz w:val="18"/>
                <w:szCs w:val="18"/>
                <w:lang w:val="es-ES"/>
              </w:rPr>
              <w:t>.</w:t>
            </w:r>
          </w:p>
        </w:tc>
        <w:tc>
          <w:tcPr>
            <w:tcW w:w="2965" w:type="dxa"/>
            <w:tcMar/>
          </w:tcPr>
          <w:p w:rsidRPr="0095010D" w:rsidR="0095010D" w:rsidP="00CF29CF" w:rsidRDefault="002D1DAD" w14:paraId="519C7D3A" w14:textId="4458D7B6">
            <w:pPr>
              <w:pStyle w:val="FootnoteText"/>
              <w:spacing w:before="60" w:after="60"/>
              <w:ind w:left="-18"/>
              <w:jc w:val="both"/>
              <w:rPr>
                <w:rFonts w:ascii="Arial" w:hAnsi="Arial" w:cs="Arial"/>
                <w:iCs/>
                <w:sz w:val="18"/>
                <w:szCs w:val="18"/>
                <w:lang w:val="es-ES_tradnl"/>
              </w:rPr>
            </w:pPr>
            <w:r>
              <w:rPr>
                <w:rFonts w:ascii="Arial" w:hAnsi="Arial" w:cs="Arial"/>
                <w:color w:val="000000"/>
                <w:sz w:val="18"/>
                <w:szCs w:val="18"/>
                <w:lang w:val="es-MX"/>
              </w:rPr>
              <w:t>S</w:t>
            </w:r>
            <w:r w:rsidRPr="002D1DAD">
              <w:rPr>
                <w:rFonts w:ascii="Arial" w:hAnsi="Arial" w:cs="Arial"/>
                <w:color w:val="000000"/>
                <w:sz w:val="18"/>
                <w:szCs w:val="18"/>
                <w:lang w:val="es-MX"/>
              </w:rPr>
              <w:t xml:space="preserve">e </w:t>
            </w:r>
            <w:r>
              <w:rPr>
                <w:rFonts w:ascii="Arial" w:hAnsi="Arial" w:cs="Arial"/>
                <w:color w:val="000000"/>
                <w:sz w:val="18"/>
                <w:szCs w:val="18"/>
                <w:lang w:val="es-MX"/>
              </w:rPr>
              <w:t xml:space="preserve">adiciona la condición </w:t>
            </w:r>
            <w:r w:rsidR="00064A92">
              <w:rPr>
                <w:rFonts w:ascii="Arial" w:hAnsi="Arial" w:cs="Arial"/>
                <w:color w:val="000000"/>
                <w:sz w:val="18"/>
                <w:szCs w:val="18"/>
                <w:lang w:val="es-MX"/>
              </w:rPr>
              <w:t>a</w:t>
            </w:r>
            <w:r w:rsidRPr="002D1DAD">
              <w:rPr>
                <w:rFonts w:ascii="Arial" w:hAnsi="Arial" w:cs="Arial"/>
                <w:color w:val="000000"/>
                <w:sz w:val="18"/>
                <w:szCs w:val="18"/>
                <w:lang w:val="es-MX"/>
              </w:rPr>
              <w:t xml:space="preserve"> fin de </w:t>
            </w:r>
            <w:r w:rsidR="00064A92">
              <w:rPr>
                <w:rFonts w:ascii="Arial" w:hAnsi="Arial" w:cs="Arial"/>
                <w:color w:val="000000"/>
                <w:sz w:val="18"/>
                <w:szCs w:val="18"/>
                <w:lang w:val="es-MX"/>
              </w:rPr>
              <w:t>incrementar la transparencia</w:t>
            </w:r>
            <w:r w:rsidRPr="002D1DAD">
              <w:rPr>
                <w:rFonts w:ascii="Arial" w:hAnsi="Arial" w:cs="Arial"/>
                <w:color w:val="000000"/>
                <w:sz w:val="18"/>
                <w:szCs w:val="18"/>
                <w:lang w:val="es-MX"/>
              </w:rPr>
              <w:t xml:space="preserve"> de los compromisos de erogaciones futuras que hacen las </w:t>
            </w:r>
            <w:proofErr w:type="spellStart"/>
            <w:r w:rsidRPr="002D1DAD">
              <w:rPr>
                <w:rFonts w:ascii="Arial" w:hAnsi="Arial" w:cs="Arial"/>
                <w:color w:val="000000"/>
                <w:sz w:val="18"/>
                <w:szCs w:val="18"/>
                <w:lang w:val="es-MX"/>
              </w:rPr>
              <w:t>EyM</w:t>
            </w:r>
            <w:proofErr w:type="spellEnd"/>
            <w:r w:rsidRPr="002D1DAD">
              <w:rPr>
                <w:rFonts w:ascii="Arial" w:hAnsi="Arial" w:cs="Arial"/>
                <w:color w:val="000000"/>
                <w:sz w:val="18"/>
                <w:szCs w:val="18"/>
                <w:lang w:val="es-MX"/>
              </w:rPr>
              <w:t xml:space="preserve"> a través de estos instrumentos y de </w:t>
            </w:r>
            <w:r w:rsidRPr="002D1DAD">
              <w:rPr>
                <w:rFonts w:ascii="Arial" w:hAnsi="Arial" w:cs="Arial"/>
                <w:sz w:val="18"/>
                <w:szCs w:val="18"/>
                <w:lang w:val="es-MX"/>
              </w:rPr>
              <w:t>eliminar el incentivo que existía a contratar deuda a través de PPS, en vez de a través de deuda tradicional</w:t>
            </w:r>
            <w:r w:rsidRPr="002D1DAD">
              <w:rPr>
                <w:rFonts w:ascii="Arial" w:hAnsi="Arial" w:cs="Arial"/>
                <w:color w:val="000000"/>
                <w:sz w:val="18"/>
                <w:szCs w:val="18"/>
                <w:lang w:val="es-MX"/>
              </w:rPr>
              <w:t>.</w:t>
            </w:r>
          </w:p>
        </w:tc>
      </w:tr>
      <w:tr w:rsidRPr="00B63973" w:rsidR="0095010D" w:rsidTr="5062BC62" w14:paraId="749F5C05" w14:textId="77777777">
        <w:trPr>
          <w:trHeight w:val="20"/>
        </w:trPr>
        <w:tc>
          <w:tcPr>
            <w:tcW w:w="0" w:type="auto"/>
            <w:vMerge/>
            <w:tcMar/>
          </w:tcPr>
          <w:p w:rsidRPr="0095010D" w:rsidR="0095010D" w:rsidP="00CF29CF" w:rsidRDefault="0095010D" w14:paraId="46B6E388" w14:textId="755DBB9A">
            <w:pPr>
              <w:pStyle w:val="FootnoteText"/>
              <w:spacing w:before="60" w:after="60"/>
              <w:rPr>
                <w:rFonts w:ascii="Arial" w:hAnsi="Arial" w:cs="Arial"/>
                <w:sz w:val="18"/>
                <w:szCs w:val="18"/>
                <w:lang w:val="es-MX"/>
              </w:rPr>
            </w:pPr>
          </w:p>
        </w:tc>
        <w:tc>
          <w:tcPr>
            <w:tcW w:w="3587" w:type="dxa"/>
            <w:tcMar/>
          </w:tcPr>
          <w:p w:rsidRPr="0095010D" w:rsidR="0095010D" w:rsidP="00CF29CF" w:rsidRDefault="0095010D" w14:paraId="7143B5EA" w14:textId="74C45EC2">
            <w:pPr>
              <w:pStyle w:val="FootnoteText"/>
              <w:numPr>
                <w:ilvl w:val="0"/>
                <w:numId w:val="16"/>
              </w:numPr>
              <w:spacing w:before="60" w:after="60"/>
              <w:jc w:val="both"/>
              <w:rPr>
                <w:rFonts w:ascii="Arial" w:hAnsi="Arial" w:cs="Arial"/>
                <w:sz w:val="18"/>
                <w:szCs w:val="18"/>
                <w:lang w:val="es-ES_tradnl"/>
              </w:rPr>
            </w:pPr>
            <w:r w:rsidRPr="0095010D">
              <w:rPr>
                <w:rFonts w:ascii="Arial" w:hAnsi="Arial" w:cs="Arial"/>
                <w:sz w:val="18"/>
                <w:szCs w:val="18"/>
                <w:lang w:val="es-MX"/>
              </w:rPr>
              <w:t xml:space="preserve">Elaboración de la metodología para el cálculo de los indicadores de desempeño fiscal incluidos en el Sistema de Alertas y reporte de dichos indicadores para las </w:t>
            </w:r>
            <w:proofErr w:type="spellStart"/>
            <w:r w:rsidRPr="0095010D">
              <w:rPr>
                <w:rFonts w:ascii="Arial" w:hAnsi="Arial" w:cs="Arial"/>
                <w:sz w:val="18"/>
                <w:szCs w:val="18"/>
                <w:lang w:val="es-MX"/>
              </w:rPr>
              <w:t>EyM</w:t>
            </w:r>
            <w:proofErr w:type="spellEnd"/>
            <w:r w:rsidRPr="0095010D">
              <w:rPr>
                <w:rFonts w:ascii="Arial" w:hAnsi="Arial" w:cs="Arial"/>
                <w:sz w:val="18"/>
                <w:szCs w:val="18"/>
                <w:lang w:val="es-MX"/>
              </w:rPr>
              <w:t xml:space="preserve"> y otros EP que tengan contratados </w:t>
            </w:r>
            <w:r w:rsidRPr="0095010D">
              <w:rPr>
                <w:rFonts w:ascii="Arial" w:hAnsi="Arial" w:cs="Arial"/>
                <w:sz w:val="18"/>
                <w:szCs w:val="18"/>
                <w:lang w:val="es-MX"/>
              </w:rPr>
              <w:lastRenderedPageBreak/>
              <w:t>financiamientos y obligaciones inscritos en el RPU.</w:t>
            </w:r>
          </w:p>
        </w:tc>
        <w:tc>
          <w:tcPr>
            <w:tcW w:w="3600" w:type="dxa"/>
            <w:tcMar/>
          </w:tcPr>
          <w:p w:rsidRPr="0095010D" w:rsidR="0095010D" w:rsidP="00CF29CF" w:rsidRDefault="0095010D" w14:paraId="6F4C28A2" w14:textId="120826B3">
            <w:pPr>
              <w:pStyle w:val="FootnoteText"/>
              <w:numPr>
                <w:ilvl w:val="1"/>
                <w:numId w:val="4"/>
              </w:numPr>
              <w:spacing w:before="60" w:after="60"/>
              <w:jc w:val="both"/>
              <w:rPr>
                <w:rFonts w:ascii="Arial" w:hAnsi="Arial" w:cs="Arial"/>
                <w:sz w:val="18"/>
                <w:szCs w:val="18"/>
                <w:lang w:val="es-ES_tradnl"/>
              </w:rPr>
            </w:pPr>
            <w:r w:rsidRPr="0095010D">
              <w:rPr>
                <w:rFonts w:ascii="Arial" w:hAnsi="Arial" w:cs="Arial"/>
                <w:color w:val="000000"/>
                <w:sz w:val="18"/>
                <w:szCs w:val="18"/>
                <w:lang w:val="es-ES"/>
              </w:rPr>
              <w:lastRenderedPageBreak/>
              <w:t xml:space="preserve">Elaboración de la metodología para el cálculo de los indicadores de desempeño fiscal incluidos en el </w:t>
            </w:r>
            <w:proofErr w:type="spellStart"/>
            <w:r w:rsidRPr="0095010D">
              <w:rPr>
                <w:rFonts w:ascii="Arial" w:hAnsi="Arial" w:cs="Arial"/>
                <w:color w:val="000000"/>
                <w:sz w:val="18"/>
                <w:szCs w:val="18"/>
                <w:lang w:val="es-ES"/>
              </w:rPr>
              <w:t>SdA</w:t>
            </w:r>
            <w:proofErr w:type="spellEnd"/>
            <w:r w:rsidRPr="0095010D">
              <w:rPr>
                <w:rFonts w:ascii="Arial" w:hAnsi="Arial" w:cs="Arial"/>
                <w:color w:val="000000"/>
                <w:sz w:val="18"/>
                <w:szCs w:val="18"/>
                <w:lang w:val="es-ES"/>
              </w:rPr>
              <w:t xml:space="preserve"> para las </w:t>
            </w:r>
            <w:proofErr w:type="spellStart"/>
            <w:r w:rsidRPr="0095010D">
              <w:rPr>
                <w:rFonts w:ascii="Arial" w:hAnsi="Arial" w:cs="Arial"/>
                <w:color w:val="000000"/>
                <w:sz w:val="18"/>
                <w:szCs w:val="18"/>
                <w:lang w:val="es-ES"/>
              </w:rPr>
              <w:t>EyM</w:t>
            </w:r>
            <w:proofErr w:type="spellEnd"/>
            <w:r w:rsidRPr="0095010D">
              <w:rPr>
                <w:rFonts w:ascii="Arial" w:hAnsi="Arial" w:cs="Arial"/>
                <w:color w:val="000000"/>
                <w:sz w:val="18"/>
                <w:szCs w:val="18"/>
                <w:lang w:val="es-ES"/>
              </w:rPr>
              <w:t xml:space="preserve">, y aplicación de la evaluación vinculante para el techo de financiamiento neto en las </w:t>
            </w:r>
            <w:proofErr w:type="spellStart"/>
            <w:r w:rsidRPr="0095010D">
              <w:rPr>
                <w:rFonts w:ascii="Arial" w:hAnsi="Arial" w:cs="Arial"/>
                <w:color w:val="000000"/>
                <w:sz w:val="18"/>
                <w:szCs w:val="18"/>
                <w:lang w:val="es-ES"/>
              </w:rPr>
              <w:t>EyM</w:t>
            </w:r>
            <w:proofErr w:type="spellEnd"/>
            <w:r w:rsidRPr="0095010D">
              <w:rPr>
                <w:rFonts w:ascii="Arial" w:hAnsi="Arial" w:cs="Arial"/>
                <w:color w:val="000000"/>
                <w:sz w:val="18"/>
                <w:szCs w:val="18"/>
                <w:lang w:val="es-ES"/>
              </w:rPr>
              <w:t xml:space="preserve"> que tengan contratados financiamientos y </w:t>
            </w:r>
            <w:r w:rsidRPr="0095010D">
              <w:rPr>
                <w:rFonts w:ascii="Arial" w:hAnsi="Arial" w:cs="Arial"/>
                <w:color w:val="000000"/>
                <w:sz w:val="18"/>
                <w:szCs w:val="18"/>
                <w:lang w:val="es-ES"/>
              </w:rPr>
              <w:lastRenderedPageBreak/>
              <w:t>obligaciones inscritos en el RPU cuya fuente o garantía de pago sean ingresos de libre disposición</w:t>
            </w:r>
            <w:r w:rsidRPr="0095010D">
              <w:rPr>
                <w:rFonts w:ascii="Arial" w:hAnsi="Arial" w:cs="Arial"/>
                <w:sz w:val="18"/>
                <w:szCs w:val="18"/>
                <w:lang w:val="es-MX"/>
              </w:rPr>
              <w:t>.</w:t>
            </w:r>
          </w:p>
        </w:tc>
        <w:tc>
          <w:tcPr>
            <w:tcW w:w="2965" w:type="dxa"/>
            <w:tcMar/>
          </w:tcPr>
          <w:p w:rsidRPr="0095010D" w:rsidR="0095010D" w:rsidP="00CF29CF" w:rsidRDefault="0095010D" w14:paraId="57BFD01A" w14:textId="5F57E377">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lastRenderedPageBreak/>
              <w:t xml:space="preserve">Se modifica la condición, eliminando mención a EP y especificando que se refiere a la </w:t>
            </w:r>
            <w:r w:rsidRPr="0095010D">
              <w:rPr>
                <w:rFonts w:ascii="Arial" w:hAnsi="Arial" w:cs="Arial"/>
                <w:color w:val="000000"/>
                <w:sz w:val="18"/>
                <w:szCs w:val="18"/>
                <w:lang w:val="es-ES"/>
              </w:rPr>
              <w:t xml:space="preserve">evaluación vinculante para el techo de financiamiento neto en las </w:t>
            </w:r>
            <w:proofErr w:type="spellStart"/>
            <w:r w:rsidRPr="0095010D">
              <w:rPr>
                <w:rFonts w:ascii="Arial" w:hAnsi="Arial" w:cs="Arial"/>
                <w:color w:val="000000"/>
                <w:sz w:val="18"/>
                <w:szCs w:val="18"/>
                <w:lang w:val="es-ES"/>
              </w:rPr>
              <w:t>EyM</w:t>
            </w:r>
            <w:proofErr w:type="spellEnd"/>
            <w:r w:rsidRPr="0095010D">
              <w:rPr>
                <w:rFonts w:ascii="Arial" w:hAnsi="Arial" w:cs="Arial"/>
                <w:color w:val="000000"/>
                <w:sz w:val="18"/>
                <w:szCs w:val="18"/>
                <w:lang w:val="es-ES"/>
              </w:rPr>
              <w:t xml:space="preserve"> que tengan contratados financiamientos y obligaciones </w:t>
            </w:r>
            <w:r w:rsidRPr="0095010D">
              <w:rPr>
                <w:rFonts w:ascii="Arial" w:hAnsi="Arial" w:cs="Arial"/>
                <w:color w:val="000000"/>
                <w:sz w:val="18"/>
                <w:szCs w:val="18"/>
                <w:lang w:val="es-ES"/>
              </w:rPr>
              <w:lastRenderedPageBreak/>
              <w:t>inscritos en el RPU cuya fuente o garantía de pago sean ingresos de libre disposición</w:t>
            </w:r>
            <w:r w:rsidRPr="0095010D">
              <w:rPr>
                <w:rFonts w:ascii="Arial" w:hAnsi="Arial" w:cs="Arial"/>
                <w:iCs/>
                <w:sz w:val="18"/>
                <w:szCs w:val="18"/>
                <w:lang w:val="es-ES_tradnl"/>
              </w:rPr>
              <w:t>.</w:t>
            </w:r>
          </w:p>
        </w:tc>
      </w:tr>
      <w:tr w:rsidRPr="0095010D" w:rsidR="0095010D" w:rsidTr="5062BC62" w14:paraId="539865AE" w14:textId="77777777">
        <w:trPr>
          <w:trHeight w:val="20"/>
        </w:trPr>
        <w:tc>
          <w:tcPr>
            <w:tcW w:w="0" w:type="auto"/>
            <w:vMerge/>
            <w:tcMar/>
          </w:tcPr>
          <w:p w:rsidRPr="0095010D" w:rsidR="0095010D" w:rsidP="00CF29CF" w:rsidRDefault="0095010D" w14:paraId="209A1F35" w14:textId="77777777">
            <w:pPr>
              <w:pStyle w:val="FootnoteText"/>
              <w:spacing w:before="60" w:after="60"/>
              <w:rPr>
                <w:rFonts w:ascii="Arial" w:hAnsi="Arial" w:cs="Arial"/>
                <w:sz w:val="18"/>
                <w:szCs w:val="18"/>
                <w:lang w:val="es-ES_tradnl"/>
              </w:rPr>
            </w:pPr>
          </w:p>
        </w:tc>
        <w:tc>
          <w:tcPr>
            <w:tcW w:w="3587" w:type="dxa"/>
            <w:tcMar/>
          </w:tcPr>
          <w:p w:rsidRPr="0095010D" w:rsidR="0095010D" w:rsidP="00CF29CF" w:rsidRDefault="0095010D" w14:paraId="53AC039A" w14:textId="36BBCC45">
            <w:pPr>
              <w:pStyle w:val="FootnoteText"/>
              <w:numPr>
                <w:ilvl w:val="0"/>
                <w:numId w:val="16"/>
              </w:numPr>
              <w:spacing w:before="60" w:after="60"/>
              <w:ind w:left="312"/>
              <w:jc w:val="both"/>
              <w:rPr>
                <w:rFonts w:ascii="Arial" w:hAnsi="Arial" w:cs="Arial"/>
                <w:sz w:val="18"/>
                <w:szCs w:val="18"/>
                <w:lang w:val="es-ES_tradnl"/>
              </w:rPr>
            </w:pPr>
            <w:r w:rsidRPr="0095010D">
              <w:rPr>
                <w:rFonts w:ascii="Arial" w:hAnsi="Arial" w:cs="Arial"/>
                <w:sz w:val="18"/>
                <w:szCs w:val="18"/>
                <w:lang w:val="es-MX"/>
              </w:rPr>
              <w:t xml:space="preserve">Emisión de lineamientos del Sistema del RPU y puesta en funcionamiento </w:t>
            </w:r>
            <w:proofErr w:type="gramStart"/>
            <w:r w:rsidRPr="0095010D">
              <w:rPr>
                <w:rFonts w:ascii="Arial" w:hAnsi="Arial" w:cs="Arial"/>
                <w:sz w:val="18"/>
                <w:szCs w:val="18"/>
                <w:lang w:val="es-MX"/>
              </w:rPr>
              <w:t>del mismo</w:t>
            </w:r>
            <w:proofErr w:type="gramEnd"/>
            <w:r w:rsidRPr="0095010D">
              <w:rPr>
                <w:rFonts w:ascii="Arial" w:hAnsi="Arial" w:cs="Arial"/>
                <w:sz w:val="18"/>
                <w:szCs w:val="18"/>
                <w:lang w:val="es-MX"/>
              </w:rPr>
              <w:t>.</w:t>
            </w:r>
          </w:p>
        </w:tc>
        <w:tc>
          <w:tcPr>
            <w:tcW w:w="3600" w:type="dxa"/>
            <w:tcMar/>
          </w:tcPr>
          <w:p w:rsidRPr="0095010D" w:rsidR="0095010D" w:rsidP="00CF29CF" w:rsidRDefault="0095010D" w14:paraId="09131280" w14:textId="2E2C4342">
            <w:pPr>
              <w:pStyle w:val="FootnoteText"/>
              <w:numPr>
                <w:ilvl w:val="1"/>
                <w:numId w:val="4"/>
              </w:numPr>
              <w:spacing w:before="60" w:after="60"/>
              <w:jc w:val="both"/>
              <w:rPr>
                <w:rFonts w:ascii="Arial" w:hAnsi="Arial" w:cs="Arial"/>
                <w:iCs/>
                <w:sz w:val="18"/>
                <w:szCs w:val="18"/>
                <w:lang w:val="es-ES_tradnl"/>
              </w:rPr>
            </w:pPr>
            <w:bookmarkStart w:name="_Hlk493783602" w:id="1"/>
            <w:r w:rsidRPr="0095010D">
              <w:rPr>
                <w:rFonts w:ascii="Arial" w:hAnsi="Arial" w:cs="Arial"/>
                <w:color w:val="000000"/>
                <w:sz w:val="18"/>
                <w:szCs w:val="18"/>
                <w:lang w:val="es-ES"/>
              </w:rPr>
              <w:t xml:space="preserve">Emisión de lineamientos del Sistema del RPU y puesta en funcionamiento </w:t>
            </w:r>
            <w:proofErr w:type="gramStart"/>
            <w:r w:rsidRPr="0095010D">
              <w:rPr>
                <w:rFonts w:ascii="Arial" w:hAnsi="Arial" w:cs="Arial"/>
                <w:color w:val="000000"/>
                <w:sz w:val="18"/>
                <w:szCs w:val="18"/>
                <w:lang w:val="es-ES"/>
              </w:rPr>
              <w:t>del mismo</w:t>
            </w:r>
            <w:bookmarkEnd w:id="1"/>
            <w:proofErr w:type="gramEnd"/>
            <w:r w:rsidRPr="0095010D">
              <w:rPr>
                <w:rFonts w:ascii="Arial" w:hAnsi="Arial" w:cs="Arial"/>
                <w:color w:val="000000"/>
                <w:sz w:val="18"/>
                <w:szCs w:val="18"/>
                <w:lang w:val="es-ES"/>
              </w:rPr>
              <w:t>.</w:t>
            </w:r>
          </w:p>
        </w:tc>
        <w:tc>
          <w:tcPr>
            <w:tcW w:w="2965" w:type="dxa"/>
            <w:tcMar/>
          </w:tcPr>
          <w:p w:rsidRPr="0095010D" w:rsidR="0095010D" w:rsidP="00CF29CF" w:rsidRDefault="0095010D" w14:paraId="3BB96D06" w14:textId="173DFBD4">
            <w:pPr>
              <w:pStyle w:val="FootnoteText"/>
              <w:spacing w:before="60" w:after="60"/>
              <w:jc w:val="both"/>
              <w:rPr>
                <w:rFonts w:ascii="Arial" w:hAnsi="Arial" w:cs="Arial"/>
                <w:iCs/>
                <w:sz w:val="18"/>
                <w:szCs w:val="18"/>
                <w:lang w:val="es-ES_tradnl"/>
              </w:rPr>
            </w:pPr>
            <w:r w:rsidRPr="0095010D">
              <w:rPr>
                <w:rFonts w:ascii="Arial" w:hAnsi="Arial" w:cs="Arial"/>
                <w:iCs/>
                <w:sz w:val="18"/>
                <w:szCs w:val="18"/>
                <w:lang w:val="es-ES_tradnl"/>
              </w:rPr>
              <w:t>Se mantiene redacción</w:t>
            </w:r>
            <w:r>
              <w:rPr>
                <w:rFonts w:ascii="Arial" w:hAnsi="Arial" w:cs="Arial"/>
                <w:iCs/>
                <w:sz w:val="18"/>
                <w:szCs w:val="18"/>
                <w:lang w:val="es-ES_tradnl"/>
              </w:rPr>
              <w:t>.</w:t>
            </w:r>
          </w:p>
        </w:tc>
      </w:tr>
      <w:tr w:rsidRPr="00B63973" w:rsidR="0095010D" w:rsidTr="5062BC62" w14:paraId="34AE35D3" w14:textId="77777777">
        <w:trPr>
          <w:trHeight w:val="440"/>
        </w:trPr>
        <w:tc>
          <w:tcPr>
            <w:tcW w:w="0" w:type="auto"/>
            <w:vMerge/>
            <w:tcMar/>
          </w:tcPr>
          <w:p w:rsidRPr="0095010D" w:rsidR="0095010D" w:rsidP="00CF29CF" w:rsidRDefault="0095010D" w14:paraId="1881B0A3" w14:textId="77777777">
            <w:pPr>
              <w:pStyle w:val="FootnoteText"/>
              <w:spacing w:before="60" w:after="60"/>
              <w:rPr>
                <w:rFonts w:ascii="Arial" w:hAnsi="Arial" w:cs="Arial"/>
                <w:sz w:val="18"/>
                <w:szCs w:val="18"/>
                <w:lang w:val="es-ES_tradnl"/>
              </w:rPr>
            </w:pPr>
          </w:p>
        </w:tc>
        <w:tc>
          <w:tcPr>
            <w:tcW w:w="3587" w:type="dxa"/>
            <w:tcMar/>
          </w:tcPr>
          <w:p w:rsidRPr="0095010D" w:rsidR="0095010D" w:rsidP="00CF29CF" w:rsidRDefault="0095010D" w14:paraId="42620A52" w14:textId="4DF78E1C">
            <w:pPr>
              <w:pStyle w:val="FootnoteText"/>
              <w:numPr>
                <w:ilvl w:val="0"/>
                <w:numId w:val="21"/>
              </w:numPr>
              <w:spacing w:before="60" w:after="60"/>
              <w:ind w:left="510" w:hanging="510"/>
              <w:jc w:val="both"/>
              <w:rPr>
                <w:rFonts w:ascii="Arial" w:hAnsi="Arial" w:cs="Arial"/>
                <w:sz w:val="18"/>
                <w:szCs w:val="18"/>
                <w:lang w:val="es-ES_tradnl"/>
              </w:rPr>
            </w:pPr>
            <w:r w:rsidRPr="0095010D">
              <w:rPr>
                <w:rFonts w:ascii="Arial" w:hAnsi="Arial" w:cs="Arial"/>
                <w:sz w:val="18"/>
                <w:szCs w:val="18"/>
                <w:lang w:val="es-MX"/>
              </w:rPr>
              <w:t>Reglamentación y reorganización interna de la Auditoría Superior de la Federación (ASF) a fin de otorgarle facultades para ejercer la fiscalización del cumplimiento de los alcances contemplados por la LDF respecto a la auditoría de las finanzas y deuda pública subnacional.</w:t>
            </w:r>
          </w:p>
        </w:tc>
        <w:tc>
          <w:tcPr>
            <w:tcW w:w="3600" w:type="dxa"/>
            <w:tcMar/>
          </w:tcPr>
          <w:p w:rsidRPr="0095010D" w:rsidR="0095010D" w:rsidP="00CF29CF" w:rsidRDefault="0095010D" w14:paraId="4632D2F7" w14:textId="4F1EF033">
            <w:pPr>
              <w:pStyle w:val="ListParagraph"/>
              <w:numPr>
                <w:ilvl w:val="2"/>
                <w:numId w:val="15"/>
              </w:numPr>
              <w:spacing w:before="60" w:after="60" w:line="240" w:lineRule="auto"/>
              <w:ind w:left="524" w:hanging="524"/>
              <w:contextualSpacing w:val="0"/>
              <w:jc w:val="both"/>
              <w:rPr>
                <w:rFonts w:ascii="Arial" w:hAnsi="Arial" w:cs="Arial"/>
                <w:sz w:val="18"/>
                <w:szCs w:val="18"/>
                <w:lang w:val="es-ES"/>
              </w:rPr>
            </w:pPr>
            <w:r w:rsidRPr="0095010D">
              <w:rPr>
                <w:rFonts w:ascii="Arial" w:hAnsi="Arial" w:cs="Arial"/>
                <w:color w:val="000000"/>
                <w:sz w:val="18"/>
                <w:szCs w:val="18"/>
                <w:lang w:val="es-ES"/>
              </w:rPr>
              <w:t>Reorganización interna de la ASF a fin de asignar las funciones de fiscalización del cumplimiento de la LDF.</w:t>
            </w:r>
          </w:p>
        </w:tc>
        <w:tc>
          <w:tcPr>
            <w:tcW w:w="2965" w:type="dxa"/>
            <w:tcMar/>
          </w:tcPr>
          <w:p w:rsidRPr="0095010D" w:rsidR="0095010D" w:rsidP="000D4196" w:rsidRDefault="0095010D" w14:paraId="26D42C24" w14:textId="4AF42212">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Se modifica redacción</w:t>
            </w:r>
            <w:r w:rsidR="0093143B">
              <w:rPr>
                <w:rFonts w:ascii="Arial" w:hAnsi="Arial" w:cs="Arial"/>
                <w:sz w:val="18"/>
                <w:szCs w:val="18"/>
                <w:lang w:val="es-ES"/>
              </w:rPr>
              <w:t xml:space="preserve"> para reflejar la práctica implementada</w:t>
            </w:r>
            <w:r>
              <w:rPr>
                <w:rFonts w:ascii="Arial" w:hAnsi="Arial" w:cs="Arial"/>
                <w:iCs/>
                <w:sz w:val="18"/>
                <w:szCs w:val="18"/>
                <w:lang w:val="es-ES_tradnl"/>
              </w:rPr>
              <w:t>.</w:t>
            </w:r>
          </w:p>
        </w:tc>
      </w:tr>
      <w:tr w:rsidRPr="00B63973" w:rsidR="0095010D" w:rsidTr="5062BC62" w14:paraId="0F9C3195" w14:textId="77777777">
        <w:trPr>
          <w:trHeight w:val="896"/>
        </w:trPr>
        <w:tc>
          <w:tcPr>
            <w:tcW w:w="0" w:type="auto"/>
            <w:vMerge/>
            <w:tcMar/>
          </w:tcPr>
          <w:p w:rsidRPr="0095010D" w:rsidR="0095010D" w:rsidP="00557FEB" w:rsidRDefault="0095010D" w14:paraId="250B4D96" w14:textId="77777777">
            <w:pPr>
              <w:pStyle w:val="FootnoteText"/>
              <w:spacing w:before="40" w:after="40"/>
              <w:rPr>
                <w:rFonts w:ascii="Arial" w:hAnsi="Arial" w:cs="Arial"/>
                <w:sz w:val="18"/>
                <w:szCs w:val="18"/>
                <w:lang w:val="es-ES_tradnl"/>
              </w:rPr>
            </w:pPr>
          </w:p>
        </w:tc>
        <w:tc>
          <w:tcPr>
            <w:tcW w:w="3587" w:type="dxa"/>
            <w:tcMar/>
          </w:tcPr>
          <w:p w:rsidRPr="0095010D" w:rsidR="0095010D" w:rsidP="00CF29CF" w:rsidRDefault="0095010D" w14:paraId="3DAC45B0" w14:textId="77777777">
            <w:pPr>
              <w:pStyle w:val="FootnoteText"/>
              <w:spacing w:before="60" w:after="60"/>
              <w:ind w:left="312"/>
              <w:rPr>
                <w:rFonts w:ascii="Arial" w:hAnsi="Arial" w:cs="Arial"/>
                <w:sz w:val="18"/>
                <w:szCs w:val="18"/>
                <w:lang w:val="es-MX"/>
              </w:rPr>
            </w:pPr>
          </w:p>
        </w:tc>
        <w:tc>
          <w:tcPr>
            <w:tcW w:w="3600" w:type="dxa"/>
            <w:tcMar/>
          </w:tcPr>
          <w:p w:rsidRPr="0095010D" w:rsidR="0095010D" w:rsidP="00CF29CF" w:rsidRDefault="0095010D" w14:paraId="14FA54BF" w14:textId="1F582DEC">
            <w:pPr>
              <w:pStyle w:val="ListParagraph"/>
              <w:numPr>
                <w:ilvl w:val="2"/>
                <w:numId w:val="15"/>
              </w:numPr>
              <w:spacing w:before="60" w:after="60" w:line="240" w:lineRule="auto"/>
              <w:ind w:left="524" w:hanging="524"/>
              <w:contextualSpacing w:val="0"/>
              <w:jc w:val="both"/>
              <w:rPr>
                <w:rFonts w:ascii="Arial" w:hAnsi="Arial" w:cs="Arial"/>
                <w:color w:val="000000"/>
                <w:sz w:val="18"/>
                <w:szCs w:val="18"/>
                <w:lang w:val="es-ES"/>
              </w:rPr>
            </w:pPr>
            <w:r w:rsidRPr="0095010D">
              <w:rPr>
                <w:rFonts w:ascii="Arial" w:hAnsi="Arial" w:cs="Arial"/>
                <w:color w:val="000000"/>
                <w:sz w:val="18"/>
                <w:szCs w:val="18"/>
                <w:lang w:val="es-MX"/>
              </w:rPr>
              <w:t xml:space="preserve">Aprobación del Programa Anual de Auditorías para la Fiscalización Superior de la Cuenta Pública 2018, que incluya la fiscalización del cumplimiento de la LDF en </w:t>
            </w:r>
            <w:proofErr w:type="spellStart"/>
            <w:r w:rsidRPr="0095010D">
              <w:rPr>
                <w:rFonts w:ascii="Arial" w:hAnsi="Arial" w:cs="Arial"/>
                <w:color w:val="000000"/>
                <w:sz w:val="18"/>
                <w:szCs w:val="18"/>
                <w:lang w:val="es-MX"/>
              </w:rPr>
              <w:t>EyM</w:t>
            </w:r>
            <w:proofErr w:type="spellEnd"/>
            <w:r w:rsidRPr="0095010D">
              <w:rPr>
                <w:rFonts w:ascii="Arial" w:hAnsi="Arial" w:cs="Arial"/>
                <w:color w:val="000000"/>
                <w:sz w:val="18"/>
                <w:szCs w:val="18"/>
                <w:lang w:val="es-MX"/>
              </w:rPr>
              <w:t xml:space="preserve"> y de la ejecución de participaciones federales.</w:t>
            </w:r>
          </w:p>
        </w:tc>
        <w:tc>
          <w:tcPr>
            <w:tcW w:w="2965" w:type="dxa"/>
            <w:tcMar/>
          </w:tcPr>
          <w:p w:rsidRPr="0095010D" w:rsidR="0095010D" w:rsidP="00CF29CF" w:rsidRDefault="0095010D" w14:paraId="6291D4C3" w14:textId="7B73B103">
            <w:pPr>
              <w:pStyle w:val="FootnoteText"/>
              <w:spacing w:before="60" w:after="60"/>
              <w:ind w:left="-18"/>
              <w:rPr>
                <w:rFonts w:ascii="Arial" w:hAnsi="Arial" w:cs="Arial"/>
                <w:iCs/>
                <w:sz w:val="18"/>
                <w:szCs w:val="18"/>
                <w:lang w:val="es-ES_tradnl"/>
              </w:rPr>
            </w:pPr>
            <w:r w:rsidRPr="0095010D">
              <w:rPr>
                <w:rFonts w:ascii="Arial" w:hAnsi="Arial" w:cs="Arial"/>
                <w:iCs/>
                <w:sz w:val="18"/>
                <w:szCs w:val="18"/>
                <w:lang w:val="es-ES_tradnl"/>
              </w:rPr>
              <w:t xml:space="preserve">Se </w:t>
            </w:r>
            <w:r w:rsidRPr="002D1DAD">
              <w:rPr>
                <w:rFonts w:ascii="Arial" w:hAnsi="Arial" w:cs="Arial"/>
                <w:iCs/>
                <w:sz w:val="18"/>
                <w:szCs w:val="18"/>
                <w:lang w:val="es-ES_tradnl"/>
              </w:rPr>
              <w:t>adiciona condición</w:t>
            </w:r>
            <w:r w:rsidRPr="002D1DAD" w:rsidR="002D1DAD">
              <w:rPr>
                <w:rFonts w:ascii="Arial" w:hAnsi="Arial" w:cs="Arial"/>
                <w:color w:val="000000"/>
                <w:sz w:val="18"/>
                <w:szCs w:val="18"/>
                <w:lang w:val="es-MX"/>
              </w:rPr>
              <w:t xml:space="preserve"> para asegurar el inicio de la implementación de la fiscalización por parte de la ASF del cumplimiento de la LDF y del ejercicio de recursos de participaciones por parte de los municipios</w:t>
            </w:r>
            <w:r w:rsidR="00064A92">
              <w:rPr>
                <w:rFonts w:ascii="Arial" w:hAnsi="Arial" w:cs="Arial"/>
                <w:color w:val="000000"/>
                <w:sz w:val="22"/>
                <w:szCs w:val="22"/>
                <w:lang w:val="es-MX"/>
              </w:rPr>
              <w:t xml:space="preserve">, </w:t>
            </w:r>
            <w:r w:rsidRPr="00064A92" w:rsidR="00064A92">
              <w:rPr>
                <w:rFonts w:ascii="Arial" w:hAnsi="Arial" w:cs="Arial"/>
                <w:color w:val="000000"/>
                <w:sz w:val="18"/>
                <w:szCs w:val="18"/>
                <w:lang w:val="es-MX"/>
              </w:rPr>
              <w:t>incrementando así la rendición de cuentas</w:t>
            </w:r>
            <w:r w:rsidRPr="00064A92">
              <w:rPr>
                <w:rFonts w:ascii="Arial" w:hAnsi="Arial" w:cs="Arial"/>
                <w:iCs/>
                <w:sz w:val="18"/>
                <w:szCs w:val="18"/>
                <w:lang w:val="es-ES_tradnl"/>
              </w:rPr>
              <w:t>.</w:t>
            </w:r>
          </w:p>
        </w:tc>
      </w:tr>
      <w:tr w:rsidRPr="00B63973" w:rsidR="00557FEB" w:rsidTr="5062BC62" w14:paraId="7F098BBE" w14:textId="77777777">
        <w:trPr>
          <w:trHeight w:val="98"/>
        </w:trPr>
        <w:tc>
          <w:tcPr>
            <w:tcW w:w="12230" w:type="dxa"/>
            <w:gridSpan w:val="4"/>
            <w:shd w:val="clear" w:color="auto" w:fill="D9D9D9" w:themeFill="background1" w:themeFillShade="D9"/>
            <w:tcMar/>
          </w:tcPr>
          <w:p w:rsidRPr="0095010D" w:rsidR="00947728" w:rsidP="0095010D" w:rsidRDefault="00947728" w14:paraId="3770D78A" w14:textId="163656EC">
            <w:pPr>
              <w:pStyle w:val="ListParagraph"/>
              <w:numPr>
                <w:ilvl w:val="0"/>
                <w:numId w:val="2"/>
              </w:numPr>
              <w:autoSpaceDE w:val="0"/>
              <w:autoSpaceDN w:val="0"/>
              <w:adjustRightInd w:val="0"/>
              <w:spacing w:before="40" w:after="40"/>
              <w:rPr>
                <w:rFonts w:ascii="Arial" w:hAnsi="Arial" w:cs="Arial"/>
                <w:b/>
                <w:sz w:val="18"/>
                <w:szCs w:val="18"/>
                <w:lang w:val="es-MX"/>
              </w:rPr>
            </w:pPr>
            <w:r w:rsidRPr="0095010D">
              <w:rPr>
                <w:rFonts w:ascii="Arial" w:hAnsi="Arial" w:cs="Arial"/>
                <w:b/>
                <w:sz w:val="18"/>
                <w:szCs w:val="18"/>
                <w:lang w:val="es-MX"/>
              </w:rPr>
              <w:t xml:space="preserve">Fortalecimiento </w:t>
            </w:r>
            <w:r w:rsidR="0095010D">
              <w:rPr>
                <w:rFonts w:ascii="Arial" w:hAnsi="Arial" w:cs="Arial"/>
                <w:b/>
                <w:sz w:val="18"/>
                <w:szCs w:val="18"/>
                <w:lang w:val="es-MX"/>
              </w:rPr>
              <w:t>i</w:t>
            </w:r>
            <w:r w:rsidRPr="0095010D">
              <w:rPr>
                <w:rFonts w:ascii="Arial" w:hAnsi="Arial" w:cs="Arial"/>
                <w:b/>
                <w:sz w:val="18"/>
                <w:szCs w:val="18"/>
                <w:lang w:val="es-MX"/>
              </w:rPr>
              <w:t xml:space="preserve">nstitucional de </w:t>
            </w:r>
            <w:proofErr w:type="spellStart"/>
            <w:r w:rsidRPr="0095010D">
              <w:rPr>
                <w:rFonts w:ascii="Arial" w:hAnsi="Arial" w:cs="Arial"/>
                <w:b/>
                <w:sz w:val="18"/>
                <w:szCs w:val="18"/>
                <w:lang w:val="es-MX"/>
              </w:rPr>
              <w:t>EyM</w:t>
            </w:r>
            <w:proofErr w:type="spellEnd"/>
            <w:r w:rsidRPr="0095010D">
              <w:rPr>
                <w:rFonts w:ascii="Arial" w:hAnsi="Arial" w:cs="Arial"/>
                <w:b/>
                <w:sz w:val="18"/>
                <w:szCs w:val="18"/>
                <w:lang w:val="es-MX"/>
              </w:rPr>
              <w:t xml:space="preserve"> en </w:t>
            </w:r>
            <w:r w:rsidR="0095010D">
              <w:rPr>
                <w:rFonts w:ascii="Arial" w:hAnsi="Arial" w:cs="Arial"/>
                <w:b/>
                <w:sz w:val="18"/>
                <w:szCs w:val="18"/>
                <w:lang w:val="es-MX"/>
              </w:rPr>
              <w:t>m</w:t>
            </w:r>
            <w:r w:rsidRPr="0095010D">
              <w:rPr>
                <w:rFonts w:ascii="Arial" w:hAnsi="Arial" w:cs="Arial"/>
                <w:b/>
                <w:sz w:val="18"/>
                <w:szCs w:val="18"/>
                <w:lang w:val="es-MX"/>
              </w:rPr>
              <w:t xml:space="preserve">ateria de </w:t>
            </w:r>
            <w:r w:rsidR="0095010D">
              <w:rPr>
                <w:rFonts w:ascii="Arial" w:hAnsi="Arial" w:cs="Arial"/>
                <w:b/>
                <w:sz w:val="18"/>
                <w:szCs w:val="18"/>
                <w:lang w:val="es-MX"/>
              </w:rPr>
              <w:t>r</w:t>
            </w:r>
            <w:r w:rsidRPr="0095010D">
              <w:rPr>
                <w:rFonts w:ascii="Arial" w:hAnsi="Arial" w:cs="Arial"/>
                <w:b/>
                <w:sz w:val="18"/>
                <w:szCs w:val="18"/>
                <w:lang w:val="es-MX"/>
              </w:rPr>
              <w:t xml:space="preserve">esponsabilidad </w:t>
            </w:r>
            <w:r w:rsidR="0095010D">
              <w:rPr>
                <w:rFonts w:ascii="Arial" w:hAnsi="Arial" w:cs="Arial"/>
                <w:b/>
                <w:sz w:val="18"/>
                <w:szCs w:val="18"/>
                <w:lang w:val="es-MX"/>
              </w:rPr>
              <w:t>h</w:t>
            </w:r>
            <w:r w:rsidRPr="0095010D">
              <w:rPr>
                <w:rFonts w:ascii="Arial" w:hAnsi="Arial" w:cs="Arial"/>
                <w:b/>
                <w:sz w:val="18"/>
                <w:szCs w:val="18"/>
                <w:lang w:val="es-MX"/>
              </w:rPr>
              <w:t xml:space="preserve">acendaria, </w:t>
            </w:r>
            <w:r w:rsidR="0095010D">
              <w:rPr>
                <w:rFonts w:ascii="Arial" w:hAnsi="Arial" w:cs="Arial"/>
                <w:b/>
                <w:sz w:val="18"/>
                <w:szCs w:val="18"/>
                <w:lang w:val="es-MX"/>
              </w:rPr>
              <w:t>t</w:t>
            </w:r>
            <w:r w:rsidRPr="0095010D">
              <w:rPr>
                <w:rFonts w:ascii="Arial" w:hAnsi="Arial" w:cs="Arial"/>
                <w:b/>
                <w:sz w:val="18"/>
                <w:szCs w:val="18"/>
                <w:lang w:val="es-MX"/>
              </w:rPr>
              <w:t xml:space="preserve">ransparencia y </w:t>
            </w:r>
            <w:r w:rsidR="0095010D">
              <w:rPr>
                <w:rFonts w:ascii="Arial" w:hAnsi="Arial" w:cs="Arial"/>
                <w:b/>
                <w:sz w:val="18"/>
                <w:szCs w:val="18"/>
                <w:lang w:val="es-MX"/>
              </w:rPr>
              <w:t>r</w:t>
            </w:r>
            <w:r w:rsidRPr="0095010D">
              <w:rPr>
                <w:rFonts w:ascii="Arial" w:hAnsi="Arial" w:cs="Arial"/>
                <w:b/>
                <w:sz w:val="18"/>
                <w:szCs w:val="18"/>
                <w:lang w:val="es-MX"/>
              </w:rPr>
              <w:t xml:space="preserve">endición de </w:t>
            </w:r>
            <w:r w:rsidR="0095010D">
              <w:rPr>
                <w:rFonts w:ascii="Arial" w:hAnsi="Arial" w:cs="Arial"/>
                <w:b/>
                <w:sz w:val="18"/>
                <w:szCs w:val="18"/>
                <w:lang w:val="es-MX"/>
              </w:rPr>
              <w:t>c</w:t>
            </w:r>
            <w:r w:rsidRPr="0095010D">
              <w:rPr>
                <w:rFonts w:ascii="Arial" w:hAnsi="Arial" w:cs="Arial"/>
                <w:b/>
                <w:sz w:val="18"/>
                <w:szCs w:val="18"/>
                <w:lang w:val="es-MX"/>
              </w:rPr>
              <w:t>uentas</w:t>
            </w:r>
          </w:p>
        </w:tc>
      </w:tr>
      <w:tr w:rsidRPr="00B63973" w:rsidR="00557FEB" w:rsidTr="5062BC62" w14:paraId="5F5FAC87" w14:textId="77777777">
        <w:trPr>
          <w:trHeight w:val="20"/>
        </w:trPr>
        <w:tc>
          <w:tcPr>
            <w:tcW w:w="0" w:type="auto"/>
            <w:vMerge w:val="restart"/>
            <w:tcMar/>
          </w:tcPr>
          <w:p w:rsidRPr="0095010D" w:rsidR="00557FEB" w:rsidP="00CF29CF" w:rsidRDefault="004F33E6" w14:paraId="2C42E439" w14:textId="4DC68490">
            <w:pPr>
              <w:pStyle w:val="FootnoteText"/>
              <w:spacing w:before="60" w:after="60"/>
              <w:jc w:val="both"/>
              <w:rPr>
                <w:rFonts w:ascii="Arial" w:hAnsi="Arial" w:cs="Arial"/>
                <w:sz w:val="18"/>
                <w:szCs w:val="18"/>
                <w:lang w:val="es-ES_tradnl"/>
              </w:rPr>
            </w:pPr>
            <w:r w:rsidRPr="0095010D">
              <w:rPr>
                <w:rFonts w:ascii="Arial" w:hAnsi="Arial" w:cs="Arial"/>
                <w:color w:val="000000"/>
                <w:spacing w:val="-4"/>
                <w:sz w:val="18"/>
                <w:szCs w:val="18"/>
                <w:lang w:val="es-MX"/>
              </w:rPr>
              <w:t xml:space="preserve">Fortalecer la capacidad institucional de las </w:t>
            </w:r>
            <w:proofErr w:type="spellStart"/>
            <w:r w:rsidRPr="0095010D">
              <w:rPr>
                <w:rFonts w:ascii="Arial" w:hAnsi="Arial" w:cs="Arial"/>
                <w:color w:val="000000"/>
                <w:spacing w:val="-4"/>
                <w:sz w:val="18"/>
                <w:szCs w:val="18"/>
                <w:lang w:val="es-MX"/>
              </w:rPr>
              <w:t>EyM</w:t>
            </w:r>
            <w:proofErr w:type="spellEnd"/>
            <w:r w:rsidRPr="0095010D">
              <w:rPr>
                <w:rFonts w:ascii="Arial" w:hAnsi="Arial" w:cs="Arial"/>
                <w:color w:val="000000"/>
                <w:spacing w:val="-4"/>
                <w:sz w:val="18"/>
                <w:szCs w:val="18"/>
                <w:lang w:val="es-MX"/>
              </w:rPr>
              <w:t xml:space="preserve"> para una aplicación oportuna de la reglamentación aprobada en materia de responsabilidad hacendaria, transparencia y rendición de cuentas</w:t>
            </w:r>
            <w:r w:rsidR="00BC7044">
              <w:rPr>
                <w:rFonts w:ascii="Arial" w:hAnsi="Arial" w:cs="Arial"/>
                <w:color w:val="000000"/>
                <w:spacing w:val="-4"/>
                <w:sz w:val="18"/>
                <w:szCs w:val="18"/>
                <w:lang w:val="es-MX"/>
              </w:rPr>
              <w:t>.</w:t>
            </w:r>
          </w:p>
        </w:tc>
        <w:tc>
          <w:tcPr>
            <w:tcW w:w="3587" w:type="dxa"/>
            <w:tcMar/>
          </w:tcPr>
          <w:p w:rsidRPr="0095010D" w:rsidR="00984889" w:rsidP="00CF29CF" w:rsidRDefault="00984889" w14:paraId="1D3A1D46" w14:textId="4445556A">
            <w:pPr>
              <w:pStyle w:val="FootnoteText"/>
              <w:numPr>
                <w:ilvl w:val="1"/>
                <w:numId w:val="13"/>
              </w:numPr>
              <w:spacing w:before="60" w:after="60"/>
              <w:ind w:left="312"/>
              <w:jc w:val="both"/>
              <w:rPr>
                <w:rFonts w:ascii="Arial" w:hAnsi="Arial" w:cs="Arial"/>
                <w:sz w:val="18"/>
                <w:szCs w:val="18"/>
                <w:lang w:val="es-ES_tradnl"/>
              </w:rPr>
            </w:pPr>
            <w:r w:rsidRPr="0095010D">
              <w:rPr>
                <w:rFonts w:ascii="Arial" w:hAnsi="Arial" w:cs="Arial"/>
                <w:sz w:val="18"/>
                <w:szCs w:val="18"/>
                <w:lang w:val="es-MX"/>
              </w:rPr>
              <w:t xml:space="preserve">Establecimiento de un acuerdo entre la </w:t>
            </w:r>
            <w:r w:rsidRPr="0095010D" w:rsidR="003B1844">
              <w:rPr>
                <w:rFonts w:ascii="Arial" w:hAnsi="Arial" w:cs="Arial"/>
                <w:sz w:val="18"/>
                <w:szCs w:val="18"/>
                <w:lang w:val="es-MX"/>
              </w:rPr>
              <w:t>Secretaría de Hacienda y Crédito Público (</w:t>
            </w:r>
            <w:r w:rsidRPr="0095010D">
              <w:rPr>
                <w:rFonts w:ascii="Arial" w:hAnsi="Arial" w:cs="Arial"/>
                <w:sz w:val="18"/>
                <w:szCs w:val="18"/>
                <w:lang w:val="es-MX"/>
              </w:rPr>
              <w:t>SHCP</w:t>
            </w:r>
            <w:r w:rsidRPr="0095010D" w:rsidR="003B1844">
              <w:rPr>
                <w:rFonts w:ascii="Arial" w:hAnsi="Arial" w:cs="Arial"/>
                <w:sz w:val="18"/>
                <w:szCs w:val="18"/>
                <w:lang w:val="es-MX"/>
              </w:rPr>
              <w:t>)</w:t>
            </w:r>
            <w:r w:rsidRPr="0095010D">
              <w:rPr>
                <w:rFonts w:ascii="Arial" w:hAnsi="Arial" w:cs="Arial"/>
                <w:sz w:val="18"/>
                <w:szCs w:val="18"/>
                <w:lang w:val="es-MX"/>
              </w:rPr>
              <w:t xml:space="preserve"> y el </w:t>
            </w:r>
            <w:r w:rsidRPr="0095010D" w:rsidR="00817F9B">
              <w:rPr>
                <w:rFonts w:ascii="Arial" w:hAnsi="Arial" w:cs="Arial" w:eastAsiaTheme="minorHAnsi"/>
                <w:sz w:val="18"/>
                <w:szCs w:val="18"/>
                <w:lang w:val="es-MX"/>
              </w:rPr>
              <w:t>Instituto para el Desarrollo Técnico de las Haciendas Públicas</w:t>
            </w:r>
            <w:r w:rsidRPr="0095010D" w:rsidR="00817F9B">
              <w:rPr>
                <w:rFonts w:ascii="Arial" w:hAnsi="Arial" w:cs="Arial"/>
                <w:sz w:val="18"/>
                <w:szCs w:val="18"/>
                <w:lang w:val="es-MX"/>
              </w:rPr>
              <w:t xml:space="preserve"> </w:t>
            </w:r>
            <w:r w:rsidRPr="0095010D" w:rsidR="003B1844">
              <w:rPr>
                <w:rFonts w:ascii="Arial" w:hAnsi="Arial" w:cs="Arial"/>
                <w:sz w:val="18"/>
                <w:szCs w:val="18"/>
                <w:lang w:val="es-MX"/>
              </w:rPr>
              <w:t>(</w:t>
            </w:r>
            <w:r w:rsidRPr="0095010D">
              <w:rPr>
                <w:rFonts w:ascii="Arial" w:hAnsi="Arial" w:cs="Arial"/>
                <w:sz w:val="18"/>
                <w:szCs w:val="18"/>
                <w:lang w:val="es-MX"/>
              </w:rPr>
              <w:t>INDETEC</w:t>
            </w:r>
            <w:r w:rsidRPr="0095010D" w:rsidR="003B1844">
              <w:rPr>
                <w:rFonts w:ascii="Arial" w:hAnsi="Arial" w:cs="Arial"/>
                <w:sz w:val="18"/>
                <w:szCs w:val="18"/>
                <w:lang w:val="es-MX"/>
              </w:rPr>
              <w:t>)</w:t>
            </w:r>
            <w:r w:rsidRPr="0095010D">
              <w:rPr>
                <w:rFonts w:ascii="Arial" w:hAnsi="Arial" w:cs="Arial"/>
                <w:sz w:val="18"/>
                <w:szCs w:val="18"/>
                <w:lang w:val="es-MX"/>
              </w:rPr>
              <w:t xml:space="preserve">, para la implementación por parte </w:t>
            </w:r>
            <w:proofErr w:type="gramStart"/>
            <w:r w:rsidRPr="0095010D">
              <w:rPr>
                <w:rFonts w:ascii="Arial" w:hAnsi="Arial" w:cs="Arial"/>
                <w:sz w:val="18"/>
                <w:szCs w:val="18"/>
                <w:lang w:val="es-MX"/>
              </w:rPr>
              <w:t>del mismo</w:t>
            </w:r>
            <w:proofErr w:type="gramEnd"/>
            <w:r w:rsidRPr="0095010D">
              <w:rPr>
                <w:rFonts w:ascii="Arial" w:hAnsi="Arial" w:cs="Arial"/>
                <w:sz w:val="18"/>
                <w:szCs w:val="18"/>
                <w:lang w:val="es-MX"/>
              </w:rPr>
              <w:t xml:space="preserve"> de las capacitaciones en materia de responsabilidad hacendaria, transparencia y rendición de cuentas en </w:t>
            </w:r>
            <w:proofErr w:type="spellStart"/>
            <w:r w:rsidRPr="0095010D">
              <w:rPr>
                <w:rFonts w:ascii="Arial" w:hAnsi="Arial" w:cs="Arial"/>
                <w:sz w:val="18"/>
                <w:szCs w:val="18"/>
                <w:lang w:val="es-MX"/>
              </w:rPr>
              <w:t>EyM</w:t>
            </w:r>
            <w:proofErr w:type="spellEnd"/>
            <w:r w:rsidRPr="0095010D">
              <w:rPr>
                <w:rFonts w:ascii="Arial" w:hAnsi="Arial" w:cs="Arial"/>
                <w:sz w:val="18"/>
                <w:szCs w:val="18"/>
                <w:lang w:val="es-MX"/>
              </w:rPr>
              <w:t>, en el mediano plazo</w:t>
            </w:r>
            <w:r w:rsidRPr="0095010D" w:rsidR="000A6E2F">
              <w:rPr>
                <w:rFonts w:ascii="Arial" w:hAnsi="Arial" w:cs="Arial"/>
                <w:sz w:val="18"/>
                <w:szCs w:val="18"/>
                <w:lang w:val="es-MX"/>
              </w:rPr>
              <w:t>.</w:t>
            </w:r>
          </w:p>
        </w:tc>
        <w:tc>
          <w:tcPr>
            <w:tcW w:w="3600" w:type="dxa"/>
            <w:tcMar/>
          </w:tcPr>
          <w:p w:rsidRPr="0095010D" w:rsidR="00557FEB" w:rsidP="00CF29CF" w:rsidRDefault="00561D9B" w14:paraId="5981D39B" w14:textId="4D338D74">
            <w:pPr>
              <w:pStyle w:val="FootnoteText"/>
              <w:numPr>
                <w:ilvl w:val="1"/>
                <w:numId w:val="5"/>
              </w:numPr>
              <w:spacing w:before="60" w:after="60"/>
              <w:jc w:val="both"/>
              <w:rPr>
                <w:rFonts w:ascii="Arial" w:hAnsi="Arial" w:cs="Arial"/>
                <w:iCs/>
                <w:sz w:val="18"/>
                <w:szCs w:val="18"/>
                <w:lang w:val="es-ES_tradnl"/>
              </w:rPr>
            </w:pPr>
            <w:r>
              <w:rPr>
                <w:rFonts w:ascii="Arial" w:hAnsi="Arial" w:cs="Arial"/>
                <w:color w:val="000000"/>
                <w:sz w:val="18"/>
                <w:szCs w:val="18"/>
                <w:lang w:val="es-ES"/>
              </w:rPr>
              <w:t>Establecimiento de acuerdo</w:t>
            </w:r>
            <w:r w:rsidR="007D20A8">
              <w:rPr>
                <w:rFonts w:ascii="Arial" w:hAnsi="Arial" w:cs="Arial"/>
                <w:color w:val="000000"/>
                <w:sz w:val="18"/>
                <w:szCs w:val="18"/>
                <w:lang w:val="es-ES"/>
              </w:rPr>
              <w:t>s</w:t>
            </w:r>
            <w:r>
              <w:rPr>
                <w:rFonts w:ascii="Arial" w:hAnsi="Arial" w:cs="Arial"/>
                <w:color w:val="000000"/>
                <w:sz w:val="18"/>
                <w:szCs w:val="18"/>
                <w:lang w:val="es-ES"/>
              </w:rPr>
              <w:t xml:space="preserve"> entre la SHCP y EF</w:t>
            </w:r>
            <w:r w:rsidR="00A7241F">
              <w:rPr>
                <w:rFonts w:ascii="Arial" w:hAnsi="Arial" w:cs="Arial"/>
                <w:color w:val="000000"/>
                <w:sz w:val="18"/>
                <w:szCs w:val="18"/>
                <w:lang w:val="es-ES"/>
              </w:rPr>
              <w:t xml:space="preserve">, en el </w:t>
            </w:r>
            <w:r w:rsidR="007D20A8">
              <w:rPr>
                <w:rFonts w:ascii="Arial" w:hAnsi="Arial" w:cs="Arial"/>
                <w:color w:val="000000"/>
                <w:sz w:val="18"/>
                <w:szCs w:val="18"/>
                <w:lang w:val="es-ES"/>
              </w:rPr>
              <w:t xml:space="preserve">marco de </w:t>
            </w:r>
            <w:r w:rsidR="00BC7044">
              <w:rPr>
                <w:rFonts w:ascii="Arial" w:hAnsi="Arial" w:cs="Arial"/>
                <w:color w:val="000000"/>
                <w:sz w:val="18"/>
                <w:szCs w:val="18"/>
                <w:lang w:val="es-ES"/>
              </w:rPr>
              <w:t>la Comisión</w:t>
            </w:r>
            <w:r w:rsidR="002B1CA6">
              <w:rPr>
                <w:rFonts w:ascii="Arial" w:hAnsi="Arial" w:cs="Arial"/>
                <w:color w:val="000000"/>
                <w:sz w:val="18"/>
                <w:szCs w:val="18"/>
                <w:lang w:val="es-ES"/>
              </w:rPr>
              <w:t xml:space="preserve"> Permanente de Funcionarios Fiscal</w:t>
            </w:r>
            <w:r w:rsidR="00C6724D">
              <w:rPr>
                <w:rFonts w:ascii="Arial" w:hAnsi="Arial" w:cs="Arial"/>
                <w:color w:val="000000"/>
                <w:sz w:val="18"/>
                <w:szCs w:val="18"/>
                <w:lang w:val="es-ES"/>
              </w:rPr>
              <w:t>es</w:t>
            </w:r>
            <w:r w:rsidR="000C7E64">
              <w:rPr>
                <w:rFonts w:ascii="Arial" w:hAnsi="Arial" w:cs="Arial"/>
                <w:color w:val="000000"/>
                <w:sz w:val="18"/>
                <w:szCs w:val="18"/>
                <w:lang w:val="es-ES"/>
              </w:rPr>
              <w:t>,</w:t>
            </w:r>
            <w:r w:rsidR="005147FD">
              <w:rPr>
                <w:rFonts w:ascii="Arial" w:hAnsi="Arial" w:cs="Arial"/>
                <w:color w:val="000000"/>
                <w:sz w:val="18"/>
                <w:szCs w:val="18"/>
                <w:lang w:val="es-ES"/>
              </w:rPr>
              <w:t xml:space="preserve"> para la </w:t>
            </w:r>
            <w:r w:rsidR="009A10BB">
              <w:rPr>
                <w:rFonts w:ascii="Arial" w:hAnsi="Arial" w:cs="Arial"/>
                <w:color w:val="000000"/>
                <w:sz w:val="18"/>
                <w:szCs w:val="18"/>
                <w:lang w:val="es-ES"/>
              </w:rPr>
              <w:t>implementación</w:t>
            </w:r>
            <w:r w:rsidR="005147FD">
              <w:rPr>
                <w:rFonts w:ascii="Arial" w:hAnsi="Arial" w:cs="Arial"/>
                <w:color w:val="000000"/>
                <w:sz w:val="18"/>
                <w:szCs w:val="18"/>
                <w:lang w:val="es-ES"/>
              </w:rPr>
              <w:t xml:space="preserve"> por parte del INDETEC de capacitaciones </w:t>
            </w:r>
            <w:r w:rsidR="009A10BB">
              <w:rPr>
                <w:rFonts w:ascii="Arial" w:hAnsi="Arial" w:cs="Arial"/>
                <w:color w:val="000000"/>
                <w:sz w:val="18"/>
                <w:szCs w:val="18"/>
                <w:lang w:val="es-ES"/>
              </w:rPr>
              <w:t xml:space="preserve">en materia de </w:t>
            </w:r>
            <w:r w:rsidR="00FA072A">
              <w:rPr>
                <w:rFonts w:ascii="Arial" w:hAnsi="Arial" w:cs="Arial"/>
                <w:color w:val="000000"/>
                <w:sz w:val="18"/>
                <w:szCs w:val="18"/>
                <w:lang w:val="es-ES"/>
              </w:rPr>
              <w:t xml:space="preserve">disciplina </w:t>
            </w:r>
            <w:r w:rsidR="00CE7ED9">
              <w:rPr>
                <w:rFonts w:ascii="Arial" w:hAnsi="Arial" w:cs="Arial"/>
                <w:color w:val="000000"/>
                <w:sz w:val="18"/>
                <w:szCs w:val="18"/>
                <w:lang w:val="es-ES"/>
              </w:rPr>
              <w:t>financiera local</w:t>
            </w:r>
            <w:r w:rsidRPr="0095010D" w:rsidR="000A6E2F">
              <w:rPr>
                <w:rFonts w:ascii="Arial" w:hAnsi="Arial" w:cs="Arial"/>
                <w:sz w:val="18"/>
                <w:szCs w:val="18"/>
                <w:lang w:val="es-MX"/>
              </w:rPr>
              <w:t>.</w:t>
            </w:r>
          </w:p>
        </w:tc>
        <w:tc>
          <w:tcPr>
            <w:tcW w:w="2965" w:type="dxa"/>
            <w:tcMar/>
          </w:tcPr>
          <w:p w:rsidRPr="0095010D" w:rsidR="00557FEB" w:rsidP="00CF29CF" w:rsidRDefault="001E47F0" w14:paraId="649FBE98" w14:textId="06333E36">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Se modifica redacción</w:t>
            </w:r>
            <w:r>
              <w:rPr>
                <w:rFonts w:ascii="Arial" w:hAnsi="Arial" w:cs="Arial"/>
                <w:sz w:val="18"/>
                <w:szCs w:val="18"/>
                <w:lang w:val="es-ES"/>
              </w:rPr>
              <w:t xml:space="preserve"> para reflejar la </w:t>
            </w:r>
            <w:r w:rsidR="00951F2A">
              <w:rPr>
                <w:rFonts w:ascii="Arial" w:hAnsi="Arial" w:cs="Arial"/>
                <w:sz w:val="18"/>
                <w:szCs w:val="18"/>
                <w:lang w:val="es-ES"/>
              </w:rPr>
              <w:t xml:space="preserve">forma a través de la cual el INDETEC fue mandatado para la implementación de </w:t>
            </w:r>
            <w:r w:rsidR="006B7F23">
              <w:rPr>
                <w:rFonts w:ascii="Arial" w:hAnsi="Arial" w:cs="Arial"/>
                <w:sz w:val="18"/>
                <w:szCs w:val="18"/>
                <w:lang w:val="es-ES"/>
              </w:rPr>
              <w:t>las capacitaciones relacionadas al nuevo marco regulatorio de disciplina financiera</w:t>
            </w:r>
            <w:r w:rsidRPr="0095010D" w:rsidR="00A42AFB">
              <w:rPr>
                <w:rFonts w:ascii="Arial" w:hAnsi="Arial" w:cs="Arial"/>
                <w:iCs/>
                <w:sz w:val="18"/>
                <w:szCs w:val="18"/>
                <w:lang w:val="es-ES_tradnl"/>
              </w:rPr>
              <w:t>.</w:t>
            </w:r>
          </w:p>
        </w:tc>
      </w:tr>
      <w:tr w:rsidRPr="00B63973" w:rsidR="005D6457" w:rsidTr="5062BC62" w14:paraId="448089D8" w14:textId="77777777">
        <w:trPr>
          <w:trHeight w:val="620"/>
        </w:trPr>
        <w:tc>
          <w:tcPr>
            <w:tcW w:w="0" w:type="auto"/>
            <w:vMerge/>
            <w:tcMar/>
          </w:tcPr>
          <w:p w:rsidRPr="0095010D" w:rsidR="005D6457" w:rsidP="00CF29CF" w:rsidRDefault="005D6457" w14:paraId="746A92AD" w14:textId="77777777">
            <w:pPr>
              <w:pStyle w:val="FootnoteText"/>
              <w:spacing w:before="60" w:after="60"/>
              <w:rPr>
                <w:rFonts w:ascii="Arial" w:hAnsi="Arial" w:cs="Arial"/>
                <w:sz w:val="18"/>
                <w:szCs w:val="18"/>
                <w:lang w:val="es-ES_tradnl"/>
              </w:rPr>
            </w:pPr>
          </w:p>
        </w:tc>
        <w:tc>
          <w:tcPr>
            <w:tcW w:w="3587" w:type="dxa"/>
            <w:tcMar/>
          </w:tcPr>
          <w:p w:rsidRPr="0095010D" w:rsidR="005D6457" w:rsidP="00CF29CF" w:rsidRDefault="000A6E2F" w14:paraId="3789FCAC" w14:textId="07A6475F">
            <w:pPr>
              <w:pStyle w:val="FootnoteText"/>
              <w:numPr>
                <w:ilvl w:val="1"/>
                <w:numId w:val="13"/>
              </w:numPr>
              <w:spacing w:before="60" w:after="60"/>
              <w:ind w:left="312"/>
              <w:jc w:val="both"/>
              <w:rPr>
                <w:rFonts w:ascii="Arial" w:hAnsi="Arial" w:cs="Arial"/>
                <w:iCs/>
                <w:sz w:val="18"/>
                <w:szCs w:val="18"/>
                <w:lang w:val="es-ES_tradnl"/>
              </w:rPr>
            </w:pPr>
            <w:r w:rsidRPr="0095010D">
              <w:rPr>
                <w:rFonts w:ascii="Arial" w:hAnsi="Arial" w:cs="Arial"/>
                <w:sz w:val="18"/>
                <w:szCs w:val="18"/>
                <w:lang w:val="es-MX"/>
              </w:rPr>
              <w:t>Avance en la implementación del plan de capacitación</w:t>
            </w:r>
            <w:r w:rsidRPr="0095010D" w:rsidR="005D6457">
              <w:rPr>
                <w:rFonts w:ascii="Arial" w:hAnsi="Arial" w:cs="Arial"/>
                <w:iCs/>
                <w:sz w:val="18"/>
                <w:szCs w:val="18"/>
                <w:lang w:val="es-ES_tradnl"/>
              </w:rPr>
              <w:t>.</w:t>
            </w:r>
          </w:p>
        </w:tc>
        <w:tc>
          <w:tcPr>
            <w:tcW w:w="3600" w:type="dxa"/>
            <w:tcMar/>
          </w:tcPr>
          <w:p w:rsidRPr="0095010D" w:rsidR="005D6457" w:rsidP="00CF29CF" w:rsidRDefault="006345E0" w14:paraId="43AF15D8" w14:textId="71023C3F">
            <w:pPr>
              <w:pStyle w:val="FootnoteText"/>
              <w:numPr>
                <w:ilvl w:val="1"/>
                <w:numId w:val="5"/>
              </w:numPr>
              <w:spacing w:before="60" w:after="60"/>
              <w:jc w:val="both"/>
              <w:rPr>
                <w:rFonts w:ascii="Arial" w:hAnsi="Arial" w:cs="Arial"/>
                <w:iCs/>
                <w:sz w:val="18"/>
                <w:szCs w:val="18"/>
                <w:lang w:val="es-ES_tradnl"/>
              </w:rPr>
            </w:pPr>
            <w:r>
              <w:rPr>
                <w:rFonts w:ascii="Arial" w:hAnsi="Arial" w:cs="Arial"/>
                <w:color w:val="000000"/>
                <w:sz w:val="18"/>
                <w:szCs w:val="18"/>
                <w:lang w:val="es-ES"/>
              </w:rPr>
              <w:t>I</w:t>
            </w:r>
            <w:r w:rsidR="00E61635">
              <w:rPr>
                <w:rFonts w:ascii="Arial" w:hAnsi="Arial" w:cs="Arial"/>
                <w:color w:val="000000"/>
                <w:sz w:val="18"/>
                <w:szCs w:val="18"/>
                <w:lang w:val="es-ES"/>
              </w:rPr>
              <w:t xml:space="preserve">mplementación </w:t>
            </w:r>
            <w:r w:rsidR="00CA068B">
              <w:rPr>
                <w:rFonts w:ascii="Arial" w:hAnsi="Arial" w:cs="Arial"/>
                <w:color w:val="000000"/>
                <w:sz w:val="18"/>
                <w:szCs w:val="18"/>
                <w:lang w:val="es-ES"/>
              </w:rPr>
              <w:t xml:space="preserve">por parte del INDETEC </w:t>
            </w:r>
            <w:r w:rsidR="00E61635">
              <w:rPr>
                <w:rFonts w:ascii="Arial" w:hAnsi="Arial" w:cs="Arial"/>
                <w:color w:val="000000"/>
                <w:sz w:val="18"/>
                <w:szCs w:val="18"/>
                <w:lang w:val="es-ES"/>
              </w:rPr>
              <w:t xml:space="preserve">de </w:t>
            </w:r>
            <w:r>
              <w:rPr>
                <w:rFonts w:ascii="Arial" w:hAnsi="Arial" w:cs="Arial"/>
                <w:color w:val="000000"/>
                <w:sz w:val="18"/>
                <w:szCs w:val="18"/>
                <w:lang w:val="es-ES"/>
              </w:rPr>
              <w:t xml:space="preserve">al menos </w:t>
            </w:r>
            <w:r w:rsidR="00972772">
              <w:rPr>
                <w:rFonts w:ascii="Arial" w:hAnsi="Arial" w:cs="Arial"/>
                <w:color w:val="000000"/>
                <w:sz w:val="18"/>
                <w:szCs w:val="18"/>
                <w:lang w:val="es-ES"/>
              </w:rPr>
              <w:t xml:space="preserve">60 </w:t>
            </w:r>
            <w:r>
              <w:rPr>
                <w:rFonts w:ascii="Arial" w:hAnsi="Arial" w:cs="Arial"/>
                <w:color w:val="000000"/>
                <w:sz w:val="18"/>
                <w:szCs w:val="18"/>
                <w:lang w:val="es-ES"/>
              </w:rPr>
              <w:t>cursos</w:t>
            </w:r>
            <w:r w:rsidR="00486BC1">
              <w:rPr>
                <w:rFonts w:ascii="Arial" w:hAnsi="Arial" w:cs="Arial"/>
                <w:color w:val="000000"/>
                <w:sz w:val="18"/>
                <w:szCs w:val="18"/>
                <w:lang w:val="es-ES"/>
              </w:rPr>
              <w:t xml:space="preserve"> o eventos de capacitación</w:t>
            </w:r>
            <w:r>
              <w:rPr>
                <w:rFonts w:ascii="Arial" w:hAnsi="Arial" w:cs="Arial"/>
                <w:color w:val="000000"/>
                <w:sz w:val="18"/>
                <w:szCs w:val="18"/>
                <w:lang w:val="es-ES"/>
              </w:rPr>
              <w:t xml:space="preserve"> </w:t>
            </w:r>
            <w:r w:rsidR="00CA068B">
              <w:rPr>
                <w:rFonts w:ascii="Arial" w:hAnsi="Arial" w:cs="Arial"/>
                <w:color w:val="000000"/>
                <w:sz w:val="18"/>
                <w:szCs w:val="18"/>
                <w:lang w:val="es-ES"/>
              </w:rPr>
              <w:t xml:space="preserve">en materia </w:t>
            </w:r>
            <w:r w:rsidR="008D4EF5">
              <w:rPr>
                <w:rFonts w:ascii="Arial" w:hAnsi="Arial" w:cs="Arial"/>
                <w:color w:val="000000"/>
                <w:sz w:val="18"/>
                <w:szCs w:val="18"/>
                <w:lang w:val="es-ES"/>
              </w:rPr>
              <w:t xml:space="preserve">de </w:t>
            </w:r>
            <w:r w:rsidR="00E61635">
              <w:rPr>
                <w:rFonts w:ascii="Arial" w:hAnsi="Arial" w:cs="Arial"/>
                <w:color w:val="000000"/>
                <w:sz w:val="18"/>
                <w:szCs w:val="18"/>
                <w:lang w:val="es-ES"/>
              </w:rPr>
              <w:t>disciplina financiera</w:t>
            </w:r>
            <w:r w:rsidRPr="0095010D" w:rsidR="005D6457">
              <w:rPr>
                <w:rFonts w:ascii="Arial" w:hAnsi="Arial" w:cs="Arial"/>
                <w:iCs/>
                <w:sz w:val="18"/>
                <w:szCs w:val="18"/>
                <w:lang w:val="es-ES_tradnl"/>
              </w:rPr>
              <w:t>.</w:t>
            </w:r>
          </w:p>
        </w:tc>
        <w:tc>
          <w:tcPr>
            <w:tcW w:w="2965" w:type="dxa"/>
            <w:tcMar/>
          </w:tcPr>
          <w:p w:rsidRPr="0095010D" w:rsidR="005D6457" w:rsidP="00CF29CF" w:rsidRDefault="001E47F0" w14:paraId="2EE5E4A0" w14:textId="0C0116B4">
            <w:pPr>
              <w:pStyle w:val="FootnoteText"/>
              <w:spacing w:before="60" w:after="60"/>
              <w:ind w:left="-18"/>
              <w:jc w:val="both"/>
              <w:rPr>
                <w:rFonts w:ascii="Arial" w:hAnsi="Arial" w:cs="Arial"/>
                <w:iCs/>
                <w:sz w:val="18"/>
                <w:szCs w:val="18"/>
                <w:lang w:val="es-ES_tradnl"/>
              </w:rPr>
            </w:pPr>
            <w:r w:rsidRPr="0095010D">
              <w:rPr>
                <w:rFonts w:ascii="Arial" w:hAnsi="Arial" w:cs="Arial"/>
                <w:iCs/>
                <w:sz w:val="18"/>
                <w:szCs w:val="18"/>
                <w:lang w:val="es-ES_tradnl"/>
              </w:rPr>
              <w:t>Se modifica redacción</w:t>
            </w:r>
            <w:r>
              <w:rPr>
                <w:rFonts w:ascii="Arial" w:hAnsi="Arial" w:cs="Arial"/>
                <w:sz w:val="18"/>
                <w:szCs w:val="18"/>
                <w:lang w:val="es-ES"/>
              </w:rPr>
              <w:t xml:space="preserve"> para </w:t>
            </w:r>
            <w:r w:rsidR="00865C90">
              <w:rPr>
                <w:rFonts w:ascii="Arial" w:hAnsi="Arial" w:cs="Arial"/>
                <w:sz w:val="18"/>
                <w:szCs w:val="18"/>
                <w:lang w:val="es-ES"/>
              </w:rPr>
              <w:t>especifi</w:t>
            </w:r>
            <w:r w:rsidR="006345E0">
              <w:rPr>
                <w:rFonts w:ascii="Arial" w:hAnsi="Arial" w:cs="Arial"/>
                <w:sz w:val="18"/>
                <w:szCs w:val="18"/>
                <w:lang w:val="es-ES"/>
              </w:rPr>
              <w:t>car el número de capacitaciones requerid</w:t>
            </w:r>
            <w:r w:rsidR="004C5F7C">
              <w:rPr>
                <w:rFonts w:ascii="Arial" w:hAnsi="Arial" w:cs="Arial"/>
                <w:sz w:val="18"/>
                <w:szCs w:val="18"/>
                <w:lang w:val="es-ES"/>
              </w:rPr>
              <w:t>a</w:t>
            </w:r>
            <w:r w:rsidR="006345E0">
              <w:rPr>
                <w:rFonts w:ascii="Arial" w:hAnsi="Arial" w:cs="Arial"/>
                <w:sz w:val="18"/>
                <w:szCs w:val="18"/>
                <w:lang w:val="es-ES"/>
              </w:rPr>
              <w:t>s</w:t>
            </w:r>
            <w:r w:rsidRPr="0095010D" w:rsidR="005E4D98">
              <w:rPr>
                <w:rFonts w:ascii="Arial" w:hAnsi="Arial" w:cs="Arial"/>
                <w:iCs/>
                <w:sz w:val="18"/>
                <w:szCs w:val="18"/>
                <w:lang w:val="es-ES_tradnl"/>
              </w:rPr>
              <w:t>.</w:t>
            </w:r>
          </w:p>
        </w:tc>
      </w:tr>
    </w:tbl>
    <w:p w:rsidR="00791B87" w:rsidRDefault="00791B87" w14:paraId="53277789" w14:textId="05884A7F">
      <w:pPr>
        <w:pStyle w:val="Footer"/>
        <w:tabs>
          <w:tab w:val="clear" w:pos="4320"/>
          <w:tab w:val="clear" w:pos="8640"/>
        </w:tabs>
        <w:spacing w:before="96" w:beforeLines="40" w:after="96" w:afterLines="40"/>
        <w:rPr>
          <w:rFonts w:ascii="Arial" w:hAnsi="Arial" w:cs="Arial"/>
          <w:sz w:val="20"/>
          <w:lang w:val="es-ES"/>
        </w:rPr>
      </w:pPr>
    </w:p>
    <w:sectPr w:rsidR="00791B87">
      <w:headerReference w:type="default" r:id="rId14"/>
      <w:footerReference w:type="even" r:id="rId15"/>
      <w:footerReference w:type="default" r:id="rId16"/>
      <w:pgSz w:w="15840" w:h="12240" w:orient="landscape"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22A" w:rsidRDefault="000F522A" w14:paraId="792DDCAB" w14:textId="77777777">
      <w:r>
        <w:separator/>
      </w:r>
    </w:p>
  </w:endnote>
  <w:endnote w:type="continuationSeparator" w:id="0">
    <w:p w:rsidR="000F522A" w:rsidRDefault="000F522A" w14:paraId="55AB9C37" w14:textId="77777777">
      <w:r>
        <w:continuationSeparator/>
      </w:r>
    </w:p>
  </w:endnote>
  <w:endnote w:type="continuationNotice" w:id="1">
    <w:p w:rsidR="000F522A" w:rsidRDefault="000F522A" w14:paraId="6E82117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1B87" w:rsidRDefault="00EB5338" w14:paraId="13245986"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791B87" w:rsidRDefault="00791B87" w14:paraId="748B208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760" w:rsidRDefault="004F1760" w14:paraId="278766D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22A" w:rsidRDefault="000F522A" w14:paraId="6733420F" w14:textId="77777777">
      <w:r>
        <w:separator/>
      </w:r>
    </w:p>
  </w:footnote>
  <w:footnote w:type="continuationSeparator" w:id="0">
    <w:p w:rsidR="000F522A" w:rsidRDefault="000F522A" w14:paraId="4B7381D9" w14:textId="77777777">
      <w:r>
        <w:continuationSeparator/>
      </w:r>
    </w:p>
  </w:footnote>
  <w:footnote w:type="continuationNotice" w:id="1">
    <w:p w:rsidR="000F522A" w:rsidRDefault="000F522A" w14:paraId="7738A18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1B87" w:rsidRDefault="00820643" w14:paraId="3B2901AB" w14:textId="407861F8">
    <w:pPr>
      <w:pStyle w:val="Header"/>
      <w:jc w:val="right"/>
      <w:rPr>
        <w:rFonts w:ascii="Arial" w:hAnsi="Arial" w:cs="Arial"/>
        <w:bCs/>
        <w:sz w:val="18"/>
        <w:szCs w:val="18"/>
        <w:lang w:val="pt-BR"/>
      </w:rPr>
    </w:pPr>
    <w:r>
      <w:rPr>
        <w:rFonts w:ascii="Arial" w:hAnsi="Arial" w:cs="Arial"/>
        <w:bCs/>
        <w:sz w:val="18"/>
        <w:szCs w:val="18"/>
        <w:lang w:val="pt-BR"/>
      </w:rPr>
      <w:t>ME</w:t>
    </w:r>
    <w:r w:rsidR="00EB5338">
      <w:rPr>
        <w:rFonts w:ascii="Arial" w:hAnsi="Arial" w:cs="Arial"/>
        <w:bCs/>
        <w:sz w:val="18"/>
        <w:szCs w:val="18"/>
        <w:lang w:val="pt-BR"/>
      </w:rPr>
      <w:t>-L12</w:t>
    </w:r>
    <w:r w:rsidR="00823BD1">
      <w:rPr>
        <w:rFonts w:ascii="Arial" w:hAnsi="Arial" w:cs="Arial"/>
        <w:bCs/>
        <w:sz w:val="18"/>
        <w:szCs w:val="18"/>
        <w:lang w:val="pt-BR"/>
      </w:rPr>
      <w:t>76</w:t>
    </w:r>
  </w:p>
  <w:p w:rsidR="00791B87" w:rsidRDefault="00EB5338" w14:paraId="2F31CF3E" w14:textId="77777777">
    <w:pPr>
      <w:pStyle w:val="Header"/>
      <w:jc w:val="right"/>
      <w:rPr>
        <w:rFonts w:ascii="Arial" w:hAnsi="Arial" w:cs="Arial"/>
        <w:sz w:val="18"/>
        <w:szCs w:val="18"/>
        <w:lang w:val="pt-BR"/>
      </w:rPr>
    </w:pPr>
    <w:r>
      <w:rPr>
        <w:rFonts w:ascii="Arial" w:hAnsi="Arial" w:cs="Arial"/>
        <w:sz w:val="18"/>
        <w:szCs w:val="18"/>
        <w:lang w:val="pt-BR"/>
      </w:rPr>
      <w:t xml:space="preserve">Página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PAGE </w:instrText>
    </w:r>
    <w:r>
      <w:rPr>
        <w:rStyle w:val="PageNumber"/>
        <w:rFonts w:ascii="Arial" w:hAnsi="Arial" w:cs="Arial"/>
        <w:sz w:val="18"/>
        <w:szCs w:val="18"/>
      </w:rPr>
      <w:fldChar w:fldCharType="separate"/>
    </w:r>
    <w:r>
      <w:rPr>
        <w:rStyle w:val="PageNumber"/>
        <w:rFonts w:ascii="Arial" w:hAnsi="Arial" w:cs="Arial"/>
        <w:noProof/>
        <w:sz w:val="18"/>
        <w:szCs w:val="18"/>
        <w:lang w:val="pt-BR"/>
      </w:rPr>
      <w:t>7</w:t>
    </w:r>
    <w:r>
      <w:rPr>
        <w:rStyle w:val="PageNumber"/>
        <w:rFonts w:ascii="Arial" w:hAnsi="Arial" w:cs="Arial"/>
        <w:sz w:val="18"/>
        <w:szCs w:val="18"/>
      </w:rPr>
      <w:fldChar w:fldCharType="end"/>
    </w:r>
    <w:r>
      <w:rPr>
        <w:rStyle w:val="PageNumber"/>
        <w:rFonts w:ascii="Arial" w:hAnsi="Arial" w:cs="Arial"/>
        <w:sz w:val="18"/>
        <w:szCs w:val="18"/>
        <w:lang w:val="pt-BR"/>
      </w:rPr>
      <w:t xml:space="preserve"> de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NUMPAGES </w:instrText>
    </w:r>
    <w:r>
      <w:rPr>
        <w:rStyle w:val="PageNumber"/>
        <w:rFonts w:ascii="Arial" w:hAnsi="Arial" w:cs="Arial"/>
        <w:sz w:val="18"/>
        <w:szCs w:val="18"/>
      </w:rPr>
      <w:fldChar w:fldCharType="separate"/>
    </w:r>
    <w:r>
      <w:rPr>
        <w:rStyle w:val="PageNumber"/>
        <w:rFonts w:ascii="Arial" w:hAnsi="Arial" w:cs="Arial"/>
        <w:noProof/>
        <w:sz w:val="18"/>
        <w:szCs w:val="18"/>
        <w:lang w:val="pt-BR"/>
      </w:rPr>
      <w:t>7</w:t>
    </w:r>
    <w:r>
      <w:rPr>
        <w:rStyle w:val="PageNumber"/>
        <w:rFonts w:ascii="Arial" w:hAnsi="Arial" w:cs="Arial"/>
        <w:sz w:val="18"/>
        <w:szCs w:val="18"/>
      </w:rPr>
      <w:fldChar w:fldCharType="end"/>
    </w:r>
  </w:p>
  <w:p w:rsidR="00791B87" w:rsidRDefault="00791B87" w14:paraId="24E85A5D" w14:textId="77777777">
    <w:pPr>
      <w:pStyle w:val="Header"/>
      <w:jc w:val="right"/>
      <w:rPr>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437DB"/>
    <w:multiLevelType w:val="hybridMultilevel"/>
    <w:tmpl w:val="C4B851DC"/>
    <w:lvl w:ilvl="0" w:tplc="4C48CCF6">
      <w:start w:val="1"/>
      <w:numFmt w:val="upperRoman"/>
      <w:lvlText w:val="%1."/>
      <w:lvlJc w:val="left"/>
      <w:pPr>
        <w:ind w:left="720" w:hanging="360"/>
      </w:pPr>
      <w:rPr>
        <w:rFonts w:hint="default"/>
      </w:rPr>
    </w:lvl>
    <w:lvl w:ilvl="1" w:tplc="D8EA325E">
      <w:start w:val="1"/>
      <w:numFmt w:val="decimal"/>
      <w:lvlText w:val="4.%2"/>
      <w:lvlJc w:val="left"/>
      <w:pPr>
        <w:ind w:left="1440" w:hanging="360"/>
      </w:pPr>
      <w:rPr>
        <w:rFonts w:hint="default"/>
        <w:sz w:val="20"/>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30B60A0"/>
    <w:multiLevelType w:val="multilevel"/>
    <w:tmpl w:val="A1B6699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sz w:val="18"/>
        <w:szCs w:val="18"/>
      </w:rPr>
    </w:lvl>
    <w:lvl w:ilvl="2">
      <w:start w:val="1"/>
      <w:numFmt w:val="lowerLetter"/>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1CC904F5"/>
    <w:multiLevelType w:val="hybridMultilevel"/>
    <w:tmpl w:val="A1188AC8"/>
    <w:lvl w:ilvl="0" w:tplc="B32661D8">
      <w:start w:val="2"/>
      <w:numFmt w:val="decimal"/>
      <w:lvlText w:val="3.%1"/>
      <w:lvlJc w:val="lef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734330"/>
    <w:multiLevelType w:val="multilevel"/>
    <w:tmpl w:val="A38832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943DE0"/>
    <w:multiLevelType w:val="multilevel"/>
    <w:tmpl w:val="E058195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892481"/>
    <w:multiLevelType w:val="multilevel"/>
    <w:tmpl w:val="5840F248"/>
    <w:lvl w:ilvl="0">
      <w:start w:val="2"/>
      <w:numFmt w:val="decimal"/>
      <w:lvlText w:val="%1."/>
      <w:lvlJc w:val="left"/>
      <w:pPr>
        <w:ind w:left="360" w:hanging="360"/>
      </w:pPr>
      <w:rPr>
        <w:rFonts w:hint="default"/>
        <w:sz w:val="18"/>
      </w:rPr>
    </w:lvl>
    <w:lvl w:ilvl="1">
      <w:start w:val="3"/>
      <w:numFmt w:val="decimal"/>
      <w:lvlText w:val="%1.%2."/>
      <w:lvlJc w:val="left"/>
      <w:pPr>
        <w:ind w:left="360" w:hanging="360"/>
      </w:pPr>
      <w:rPr>
        <w:rFonts w:hint="default"/>
        <w:sz w:val="18"/>
        <w:szCs w:val="18"/>
      </w:rPr>
    </w:lvl>
    <w:lvl w:ilvl="2">
      <w:start w:val="1"/>
      <w:numFmt w:val="lowerLetter"/>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6" w15:restartNumberingAfterBreak="0">
    <w:nsid w:val="3D523A42"/>
    <w:multiLevelType w:val="multilevel"/>
    <w:tmpl w:val="43E4092E"/>
    <w:lvl w:ilvl="0">
      <w:start w:val="1"/>
      <w:numFmt w:val="none"/>
      <w:lvlText w:val="2.1.c"/>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D9364A3"/>
    <w:multiLevelType w:val="multilevel"/>
    <w:tmpl w:val="74EC0D52"/>
    <w:lvl w:ilvl="0">
      <w:start w:val="1"/>
      <w:numFmt w:val="none"/>
      <w:lvlText w:val="2.1.b"/>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556764"/>
    <w:multiLevelType w:val="hybridMultilevel"/>
    <w:tmpl w:val="82C40928"/>
    <w:lvl w:ilvl="0" w:tplc="4C48CCF6">
      <w:start w:val="1"/>
      <w:numFmt w:val="upperRoman"/>
      <w:lvlText w:val="%1."/>
      <w:lvlJc w:val="left"/>
      <w:pPr>
        <w:ind w:left="720" w:hanging="360"/>
      </w:pPr>
      <w:rPr>
        <w:rFonts w:hint="default"/>
      </w:rPr>
    </w:lvl>
    <w:lvl w:ilvl="1" w:tplc="8DAEDBCC">
      <w:start w:val="1"/>
      <w:numFmt w:val="decimal"/>
      <w:lvlText w:val="4.%2"/>
      <w:lvlJc w:val="left"/>
      <w:pPr>
        <w:ind w:left="1440" w:hanging="360"/>
      </w:pPr>
      <w:rPr>
        <w:rFonts w:hint="default"/>
        <w:sz w:val="18"/>
        <w:szCs w:val="18"/>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2D81CB8"/>
    <w:multiLevelType w:val="multilevel"/>
    <w:tmpl w:val="A1B6699E"/>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sz w:val="18"/>
        <w:szCs w:val="18"/>
      </w:rPr>
    </w:lvl>
    <w:lvl w:ilvl="2">
      <w:start w:val="1"/>
      <w:numFmt w:val="lowerLetter"/>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15:restartNumberingAfterBreak="0">
    <w:nsid w:val="52670FBA"/>
    <w:multiLevelType w:val="multilevel"/>
    <w:tmpl w:val="0CB27A5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7A6EFE"/>
    <w:multiLevelType w:val="hybridMultilevel"/>
    <w:tmpl w:val="A4CA5154"/>
    <w:lvl w:ilvl="0" w:tplc="5B1234C4">
      <w:start w:val="1"/>
      <w:numFmt w:val="decimal"/>
      <w:lvlText w:val="1.%1"/>
      <w:lvlJc w:val="left"/>
      <w:pPr>
        <w:ind w:left="720" w:hanging="360"/>
      </w:pPr>
      <w:rPr>
        <w:rFonts w:hint="default"/>
        <w:sz w:val="18"/>
        <w:szCs w:val="18"/>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572F6C33"/>
    <w:multiLevelType w:val="multilevel"/>
    <w:tmpl w:val="D2E66D12"/>
    <w:lvl w:ilvl="0">
      <w:start w:val="1"/>
      <w:numFmt w:val="none"/>
      <w:lvlText w:val="3.1.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E84011"/>
    <w:multiLevelType w:val="multilevel"/>
    <w:tmpl w:val="9782FC5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FE01DB"/>
    <w:multiLevelType w:val="hybridMultilevel"/>
    <w:tmpl w:val="DD12B5CC"/>
    <w:lvl w:ilvl="0" w:tplc="E986506C">
      <w:start w:val="1"/>
      <w:numFmt w:val="decimal"/>
      <w:lvlText w:val="1.%1"/>
      <w:lvlJc w:val="left"/>
      <w:pPr>
        <w:ind w:left="720" w:hanging="360"/>
      </w:pPr>
      <w:rPr>
        <w:rFonts w:hint="default"/>
        <w:sz w:val="18"/>
        <w:szCs w:val="18"/>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DAF17E1"/>
    <w:multiLevelType w:val="multilevel"/>
    <w:tmpl w:val="F162F5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29381D"/>
    <w:multiLevelType w:val="multilevel"/>
    <w:tmpl w:val="BEDC8F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50225F"/>
    <w:multiLevelType w:val="multilevel"/>
    <w:tmpl w:val="44A01462"/>
    <w:lvl w:ilvl="0">
      <w:start w:val="3"/>
      <w:numFmt w:val="none"/>
      <w:lvlText w:val="3.4.b."/>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3.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5A62EC3"/>
    <w:multiLevelType w:val="multilevel"/>
    <w:tmpl w:val="E59C31A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9471BF"/>
    <w:multiLevelType w:val="multilevel"/>
    <w:tmpl w:val="F162F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BBB01DC"/>
    <w:multiLevelType w:val="multilevel"/>
    <w:tmpl w:val="15A82266"/>
    <w:lvl w:ilvl="0">
      <w:start w:val="1"/>
      <w:numFmt w:val="none"/>
      <w:lvlText w:val="2.1.c"/>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0"/>
  </w:num>
  <w:num w:numId="3">
    <w:abstractNumId w:val="14"/>
  </w:num>
  <w:num w:numId="4">
    <w:abstractNumId w:val="15"/>
  </w:num>
  <w:num w:numId="5">
    <w:abstractNumId w:val="19"/>
  </w:num>
  <w:num w:numId="6">
    <w:abstractNumId w:val="18"/>
  </w:num>
  <w:num w:numId="7">
    <w:abstractNumId w:val="16"/>
  </w:num>
  <w:num w:numId="8">
    <w:abstractNumId w:val="3"/>
  </w:num>
  <w:num w:numId="9">
    <w:abstractNumId w:val="5"/>
  </w:num>
  <w:num w:numId="10">
    <w:abstractNumId w:val="4"/>
  </w:num>
  <w:num w:numId="11">
    <w:abstractNumId w:val="10"/>
  </w:num>
  <w:num w:numId="12">
    <w:abstractNumId w:val="13"/>
  </w:num>
  <w:num w:numId="13">
    <w:abstractNumId w:val="8"/>
  </w:num>
  <w:num w:numId="14">
    <w:abstractNumId w:val="1"/>
  </w:num>
  <w:num w:numId="15">
    <w:abstractNumId w:val="17"/>
  </w:num>
  <w:num w:numId="16">
    <w:abstractNumId w:val="2"/>
  </w:num>
  <w:num w:numId="17">
    <w:abstractNumId w:val="9"/>
  </w:num>
  <w:num w:numId="18">
    <w:abstractNumId w:val="6"/>
  </w:num>
  <w:num w:numId="19">
    <w:abstractNumId w:val="20"/>
  </w:num>
  <w:num w:numId="20">
    <w:abstractNumId w:val="7"/>
  </w:num>
  <w:num w:numId="2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lang="es-ES_tradnl" w:vendorID="9" w:dllVersion="512" w:checkStyle="1" w:appName="MSWord"/>
  <w:activeWritingStyle w:lang="pt-BR" w:vendorID="1" w:dllVersion="513" w:checkStyle="1" w:appName="MSWord"/>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B87"/>
    <w:rsid w:val="00000C63"/>
    <w:rsid w:val="000048D7"/>
    <w:rsid w:val="00010626"/>
    <w:rsid w:val="0001371B"/>
    <w:rsid w:val="00013A53"/>
    <w:rsid w:val="0001436D"/>
    <w:rsid w:val="00046F57"/>
    <w:rsid w:val="00064A92"/>
    <w:rsid w:val="0006798C"/>
    <w:rsid w:val="0008608C"/>
    <w:rsid w:val="00087BF9"/>
    <w:rsid w:val="000A6E2F"/>
    <w:rsid w:val="000A7FE0"/>
    <w:rsid w:val="000C4CEF"/>
    <w:rsid w:val="000C6BFB"/>
    <w:rsid w:val="000C7E64"/>
    <w:rsid w:val="000D4196"/>
    <w:rsid w:val="000F522A"/>
    <w:rsid w:val="000F52C3"/>
    <w:rsid w:val="0010260D"/>
    <w:rsid w:val="00146B6B"/>
    <w:rsid w:val="001478A7"/>
    <w:rsid w:val="0015125F"/>
    <w:rsid w:val="00155D85"/>
    <w:rsid w:val="00157B49"/>
    <w:rsid w:val="0017271E"/>
    <w:rsid w:val="00181C66"/>
    <w:rsid w:val="0018215A"/>
    <w:rsid w:val="00183C53"/>
    <w:rsid w:val="001856A4"/>
    <w:rsid w:val="00187CB6"/>
    <w:rsid w:val="001B5B93"/>
    <w:rsid w:val="001C701B"/>
    <w:rsid w:val="001E2531"/>
    <w:rsid w:val="001E47F0"/>
    <w:rsid w:val="001F0B55"/>
    <w:rsid w:val="001F42EA"/>
    <w:rsid w:val="001F5108"/>
    <w:rsid w:val="00201C42"/>
    <w:rsid w:val="00210DBE"/>
    <w:rsid w:val="00220C7A"/>
    <w:rsid w:val="00226D46"/>
    <w:rsid w:val="0023129B"/>
    <w:rsid w:val="002317CF"/>
    <w:rsid w:val="00232544"/>
    <w:rsid w:val="0024108A"/>
    <w:rsid w:val="00252FFB"/>
    <w:rsid w:val="002563D1"/>
    <w:rsid w:val="00285AFD"/>
    <w:rsid w:val="00286408"/>
    <w:rsid w:val="00295D5B"/>
    <w:rsid w:val="00296388"/>
    <w:rsid w:val="002A5BA4"/>
    <w:rsid w:val="002B1CA6"/>
    <w:rsid w:val="002B50E3"/>
    <w:rsid w:val="002B5AB8"/>
    <w:rsid w:val="002B607C"/>
    <w:rsid w:val="002C12D0"/>
    <w:rsid w:val="002C22D5"/>
    <w:rsid w:val="002D1DAD"/>
    <w:rsid w:val="002E02A5"/>
    <w:rsid w:val="002E1577"/>
    <w:rsid w:val="00300DBD"/>
    <w:rsid w:val="00305668"/>
    <w:rsid w:val="0031168E"/>
    <w:rsid w:val="003144FC"/>
    <w:rsid w:val="003250F1"/>
    <w:rsid w:val="003362FE"/>
    <w:rsid w:val="00350B74"/>
    <w:rsid w:val="00353BA3"/>
    <w:rsid w:val="00365EC8"/>
    <w:rsid w:val="00375E2C"/>
    <w:rsid w:val="00390184"/>
    <w:rsid w:val="00395E57"/>
    <w:rsid w:val="003B1844"/>
    <w:rsid w:val="003C080B"/>
    <w:rsid w:val="003C6EAA"/>
    <w:rsid w:val="003D7ADA"/>
    <w:rsid w:val="003E1F76"/>
    <w:rsid w:val="00413D8A"/>
    <w:rsid w:val="004143CD"/>
    <w:rsid w:val="004213C2"/>
    <w:rsid w:val="00430387"/>
    <w:rsid w:val="00476A20"/>
    <w:rsid w:val="00486BC1"/>
    <w:rsid w:val="004A6D5B"/>
    <w:rsid w:val="004B61DE"/>
    <w:rsid w:val="004B72A7"/>
    <w:rsid w:val="004C5F7C"/>
    <w:rsid w:val="004D68C2"/>
    <w:rsid w:val="004E3EC0"/>
    <w:rsid w:val="004E7E77"/>
    <w:rsid w:val="004F10FF"/>
    <w:rsid w:val="004F1760"/>
    <w:rsid w:val="004F33E6"/>
    <w:rsid w:val="00503ECF"/>
    <w:rsid w:val="005147FD"/>
    <w:rsid w:val="00517F09"/>
    <w:rsid w:val="00532EE7"/>
    <w:rsid w:val="0053432D"/>
    <w:rsid w:val="005343BF"/>
    <w:rsid w:val="00557311"/>
    <w:rsid w:val="00557FEB"/>
    <w:rsid w:val="00561D9B"/>
    <w:rsid w:val="0056663A"/>
    <w:rsid w:val="00566CDD"/>
    <w:rsid w:val="00570CEE"/>
    <w:rsid w:val="00572610"/>
    <w:rsid w:val="00580D21"/>
    <w:rsid w:val="005846D9"/>
    <w:rsid w:val="00590655"/>
    <w:rsid w:val="005A0810"/>
    <w:rsid w:val="005A3CAD"/>
    <w:rsid w:val="005C5BE9"/>
    <w:rsid w:val="005D2CFB"/>
    <w:rsid w:val="005D6457"/>
    <w:rsid w:val="005E4D98"/>
    <w:rsid w:val="005E72ED"/>
    <w:rsid w:val="005E760D"/>
    <w:rsid w:val="005F11BB"/>
    <w:rsid w:val="00606A29"/>
    <w:rsid w:val="006345E0"/>
    <w:rsid w:val="0069343F"/>
    <w:rsid w:val="006A1492"/>
    <w:rsid w:val="006B6ED7"/>
    <w:rsid w:val="006B7F23"/>
    <w:rsid w:val="006C3F7C"/>
    <w:rsid w:val="006D6149"/>
    <w:rsid w:val="006E0C72"/>
    <w:rsid w:val="006E2EC3"/>
    <w:rsid w:val="006F5B92"/>
    <w:rsid w:val="006F67B7"/>
    <w:rsid w:val="00705C13"/>
    <w:rsid w:val="00730120"/>
    <w:rsid w:val="007327A9"/>
    <w:rsid w:val="0073377D"/>
    <w:rsid w:val="00742672"/>
    <w:rsid w:val="00752237"/>
    <w:rsid w:val="0075490C"/>
    <w:rsid w:val="0076145A"/>
    <w:rsid w:val="00767F99"/>
    <w:rsid w:val="007713EF"/>
    <w:rsid w:val="00791B87"/>
    <w:rsid w:val="0079522E"/>
    <w:rsid w:val="007A44BF"/>
    <w:rsid w:val="007C4B73"/>
    <w:rsid w:val="007C54F4"/>
    <w:rsid w:val="007D20A8"/>
    <w:rsid w:val="007D6581"/>
    <w:rsid w:val="007F0E54"/>
    <w:rsid w:val="008028F6"/>
    <w:rsid w:val="00817F9B"/>
    <w:rsid w:val="00820643"/>
    <w:rsid w:val="00823BD1"/>
    <w:rsid w:val="0082448E"/>
    <w:rsid w:val="00831257"/>
    <w:rsid w:val="00836A32"/>
    <w:rsid w:val="00837705"/>
    <w:rsid w:val="008556B5"/>
    <w:rsid w:val="00861F78"/>
    <w:rsid w:val="00862962"/>
    <w:rsid w:val="00865C90"/>
    <w:rsid w:val="0086638C"/>
    <w:rsid w:val="008755D3"/>
    <w:rsid w:val="00877389"/>
    <w:rsid w:val="0088082D"/>
    <w:rsid w:val="00885471"/>
    <w:rsid w:val="008914DC"/>
    <w:rsid w:val="008B12F5"/>
    <w:rsid w:val="008B5B8F"/>
    <w:rsid w:val="008C0D19"/>
    <w:rsid w:val="008C3E53"/>
    <w:rsid w:val="008C4EAA"/>
    <w:rsid w:val="008D0522"/>
    <w:rsid w:val="008D2C3A"/>
    <w:rsid w:val="008D4EF5"/>
    <w:rsid w:val="008D5434"/>
    <w:rsid w:val="008D5A41"/>
    <w:rsid w:val="008D5AB8"/>
    <w:rsid w:val="008E1726"/>
    <w:rsid w:val="008F56C3"/>
    <w:rsid w:val="009004A3"/>
    <w:rsid w:val="009033F0"/>
    <w:rsid w:val="0093143B"/>
    <w:rsid w:val="00934FDF"/>
    <w:rsid w:val="00944C9E"/>
    <w:rsid w:val="00947728"/>
    <w:rsid w:val="0095010D"/>
    <w:rsid w:val="00951F2A"/>
    <w:rsid w:val="00951F85"/>
    <w:rsid w:val="0096484A"/>
    <w:rsid w:val="00966290"/>
    <w:rsid w:val="00967E3F"/>
    <w:rsid w:val="00972772"/>
    <w:rsid w:val="0098439C"/>
    <w:rsid w:val="00984889"/>
    <w:rsid w:val="009A10BB"/>
    <w:rsid w:val="009A10EB"/>
    <w:rsid w:val="009B341C"/>
    <w:rsid w:val="009C255F"/>
    <w:rsid w:val="009C5EB1"/>
    <w:rsid w:val="009C7367"/>
    <w:rsid w:val="009C75BC"/>
    <w:rsid w:val="009D6DCC"/>
    <w:rsid w:val="009E5E60"/>
    <w:rsid w:val="009E7889"/>
    <w:rsid w:val="009F0D7E"/>
    <w:rsid w:val="009F47EA"/>
    <w:rsid w:val="009F57A8"/>
    <w:rsid w:val="00A02FF9"/>
    <w:rsid w:val="00A21544"/>
    <w:rsid w:val="00A236A5"/>
    <w:rsid w:val="00A335D1"/>
    <w:rsid w:val="00A34412"/>
    <w:rsid w:val="00A36CD3"/>
    <w:rsid w:val="00A42AFB"/>
    <w:rsid w:val="00A52EBC"/>
    <w:rsid w:val="00A57FD7"/>
    <w:rsid w:val="00A63E93"/>
    <w:rsid w:val="00A64367"/>
    <w:rsid w:val="00A708F9"/>
    <w:rsid w:val="00A7241F"/>
    <w:rsid w:val="00A776C4"/>
    <w:rsid w:val="00AC0799"/>
    <w:rsid w:val="00AC0CFB"/>
    <w:rsid w:val="00AC1D9B"/>
    <w:rsid w:val="00AC1ED4"/>
    <w:rsid w:val="00AD29EB"/>
    <w:rsid w:val="00AD4EA3"/>
    <w:rsid w:val="00B02CD0"/>
    <w:rsid w:val="00B07379"/>
    <w:rsid w:val="00B35FB0"/>
    <w:rsid w:val="00B5482D"/>
    <w:rsid w:val="00B54DB8"/>
    <w:rsid w:val="00B63973"/>
    <w:rsid w:val="00B75C3A"/>
    <w:rsid w:val="00BA1717"/>
    <w:rsid w:val="00BA2D50"/>
    <w:rsid w:val="00BA4192"/>
    <w:rsid w:val="00BC24DC"/>
    <w:rsid w:val="00BC34D6"/>
    <w:rsid w:val="00BC60E4"/>
    <w:rsid w:val="00BC7044"/>
    <w:rsid w:val="00BD4D67"/>
    <w:rsid w:val="00BE68E6"/>
    <w:rsid w:val="00BF415F"/>
    <w:rsid w:val="00BF567F"/>
    <w:rsid w:val="00C224F5"/>
    <w:rsid w:val="00C26C3F"/>
    <w:rsid w:val="00C42502"/>
    <w:rsid w:val="00C42687"/>
    <w:rsid w:val="00C55579"/>
    <w:rsid w:val="00C622A3"/>
    <w:rsid w:val="00C6724D"/>
    <w:rsid w:val="00C70DAF"/>
    <w:rsid w:val="00C715F5"/>
    <w:rsid w:val="00C84397"/>
    <w:rsid w:val="00C9468D"/>
    <w:rsid w:val="00CA068B"/>
    <w:rsid w:val="00CE7ED9"/>
    <w:rsid w:val="00CF29CF"/>
    <w:rsid w:val="00D252F2"/>
    <w:rsid w:val="00D41842"/>
    <w:rsid w:val="00D44486"/>
    <w:rsid w:val="00D57AC3"/>
    <w:rsid w:val="00D76E65"/>
    <w:rsid w:val="00DA3A96"/>
    <w:rsid w:val="00DB0204"/>
    <w:rsid w:val="00DB63D0"/>
    <w:rsid w:val="00DC6D56"/>
    <w:rsid w:val="00DF0CB4"/>
    <w:rsid w:val="00DF4E14"/>
    <w:rsid w:val="00E00C5B"/>
    <w:rsid w:val="00E27012"/>
    <w:rsid w:val="00E31D02"/>
    <w:rsid w:val="00E33E0E"/>
    <w:rsid w:val="00E35A6B"/>
    <w:rsid w:val="00E5026D"/>
    <w:rsid w:val="00E573C6"/>
    <w:rsid w:val="00E61635"/>
    <w:rsid w:val="00E61EC1"/>
    <w:rsid w:val="00E70299"/>
    <w:rsid w:val="00E92DB8"/>
    <w:rsid w:val="00E96CC5"/>
    <w:rsid w:val="00EB3ED2"/>
    <w:rsid w:val="00EB5338"/>
    <w:rsid w:val="00EB663B"/>
    <w:rsid w:val="00ED5758"/>
    <w:rsid w:val="00EF3362"/>
    <w:rsid w:val="00F05BF7"/>
    <w:rsid w:val="00F25A6B"/>
    <w:rsid w:val="00F2780D"/>
    <w:rsid w:val="00F439DA"/>
    <w:rsid w:val="00F4686B"/>
    <w:rsid w:val="00F51DB3"/>
    <w:rsid w:val="00F6052B"/>
    <w:rsid w:val="00F76E3E"/>
    <w:rsid w:val="00F871AF"/>
    <w:rsid w:val="00F87A0A"/>
    <w:rsid w:val="00FA072A"/>
    <w:rsid w:val="00FA3675"/>
    <w:rsid w:val="00FB3AF2"/>
    <w:rsid w:val="00FB573A"/>
    <w:rsid w:val="00FB7C51"/>
    <w:rsid w:val="00FE6E2B"/>
    <w:rsid w:val="5062B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3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Pr>
      <w:sz w:val="24"/>
    </w:rPr>
  </w:style>
  <w:style w:type="paragraph" w:styleId="Heading1">
    <w:name w:val="heading 1"/>
    <w:basedOn w:val="Normal"/>
    <w:next w:val="Normal"/>
    <w:qFormat/>
    <w:pPr>
      <w:keepNext/>
      <w:outlineLvl w:val="0"/>
    </w:pPr>
    <w:rPr>
      <w:b/>
      <w:bCs/>
      <w:lang w:val="es-ES"/>
    </w:rPr>
  </w:style>
  <w:style w:type="paragraph" w:styleId="Heading2">
    <w:name w:val="heading 2"/>
    <w:basedOn w:val="Normal"/>
    <w:next w:val="Normal"/>
    <w:qFormat/>
    <w:pPr>
      <w:keepNext/>
      <w:outlineLvl w:val="1"/>
    </w:pPr>
    <w:rPr>
      <w:i/>
      <w:lang w:val="es-ES"/>
    </w:rPr>
  </w:style>
  <w:style w:type="paragraph" w:styleId="Heading3">
    <w:name w:val="heading 3"/>
    <w:basedOn w:val="Normal"/>
    <w:next w:val="Normal"/>
    <w:qFormat/>
    <w:pPr>
      <w:keepNext/>
      <w:jc w:val="right"/>
      <w:outlineLvl w:val="2"/>
    </w:pPr>
    <w:rPr>
      <w:b/>
      <w:lang w:val="es-ES"/>
    </w:rPr>
  </w:style>
  <w:style w:type="paragraph" w:styleId="Heading4">
    <w:name w:val="heading 4"/>
    <w:basedOn w:val="Normal"/>
    <w:next w:val="Normal"/>
    <w:qFormat/>
    <w:pPr>
      <w:keepNext/>
      <w:jc w:val="right"/>
      <w:outlineLvl w:val="3"/>
    </w:pPr>
    <w:rPr>
      <w:rFonts w:ascii="Arial Black" w:hAnsi="Arial Black"/>
      <w:b/>
      <w:bCs/>
      <w:sz w:val="20"/>
      <w:lang w:val="es-ES_tradnl"/>
    </w:rPr>
  </w:style>
  <w:style w:type="paragraph" w:styleId="Heading5">
    <w:name w:val="heading 5"/>
    <w:basedOn w:val="Normal"/>
    <w:next w:val="Normal"/>
    <w:qFormat/>
    <w:pPr>
      <w:keepNext/>
      <w:jc w:val="center"/>
      <w:outlineLvl w:val="4"/>
    </w:pPr>
    <w:rPr>
      <w:i/>
      <w:iCs/>
      <w:sz w:val="22"/>
      <w:lang w:val="es-ES"/>
    </w:rPr>
  </w:style>
  <w:style w:type="paragraph" w:styleId="Heading6">
    <w:name w:val="heading 6"/>
    <w:basedOn w:val="Normal"/>
    <w:next w:val="Normal"/>
    <w:qFormat/>
    <w:pPr>
      <w:keepNext/>
      <w:keepLines/>
      <w:outlineLvl w:val="5"/>
    </w:pPr>
    <w:rPr>
      <w:b/>
      <w:bCs/>
      <w:color w:val="000000"/>
      <w:sz w:val="20"/>
      <w:lang w:val="es-E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semiHidden/>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Lucida Grande" w:hAnsi="Lucida Grande"/>
      <w:sz w:val="18"/>
      <w:szCs w:val="18"/>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Pr>
      <w:sz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link w:val="Char2"/>
    <w:qFormat/>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Emphasis">
    <w:name w:val="Emphasis"/>
    <w:qFormat/>
    <w:rPr>
      <w:i/>
      <w:iCs/>
    </w:rPr>
  </w:style>
  <w:style w:type="paragraph" w:styleId="BodyText">
    <w:name w:val="Body Text"/>
    <w:basedOn w:val="Normal"/>
    <w:rPr>
      <w:sz w:val="20"/>
      <w:lang w:val="es-ES_tradnl"/>
    </w:rPr>
  </w:style>
  <w:style w:type="paragraph" w:styleId="NormalWeb">
    <w:name w:val="Normal (Web)"/>
    <w:basedOn w:val="Normal"/>
    <w:uiPriority w:val="99"/>
    <w:pPr>
      <w:spacing w:before="100" w:beforeAutospacing="1" w:after="100" w:afterAutospacing="1"/>
    </w:pPr>
    <w:rPr>
      <w:color w:val="000000"/>
      <w:szCs w:val="24"/>
    </w:rPr>
  </w:style>
  <w:style w:type="paragraph" w:styleId="BodyText2">
    <w:name w:val="Body Text 2"/>
    <w:basedOn w:val="Normal"/>
    <w:rPr>
      <w:i/>
      <w:iCs/>
      <w:sz w:val="20"/>
      <w:lang w:val="es-ES_tradnl"/>
    </w:rPr>
  </w:style>
  <w:style w:type="paragraph" w:styleId="BodyText3">
    <w:name w:val="Body Text 3"/>
    <w:basedOn w:val="Normal"/>
    <w:pPr>
      <w:keepNext/>
      <w:keepLines/>
      <w:jc w:val="both"/>
    </w:pPr>
    <w:rPr>
      <w:sz w:val="20"/>
      <w:lang w:val="es-ES"/>
    </w:rPr>
  </w:style>
  <w:style w:type="character" w:styleId="BodyTextChar" w:customStyle="1">
    <w:name w:val="Body Text Char"/>
    <w:rPr>
      <w:sz w:val="28"/>
      <w:lang w:val="es-ES_tradnl" w:eastAsia="en-US" w:bidi="ar-SA"/>
    </w:rPr>
  </w:style>
  <w:style w:type="paragraph" w:styleId="BodyTextIndent">
    <w:name w:val="Body Text Indent"/>
    <w:basedOn w:val="Normal"/>
    <w:pPr>
      <w:ind w:left="360"/>
    </w:pPr>
    <w:rPr>
      <w:i/>
      <w:iCs/>
      <w:lang w:val="es-ES_tradnl"/>
    </w:rPr>
  </w:style>
  <w:style w:type="paragraph" w:styleId="Textodeglobo1" w:customStyle="1">
    <w:name w:val="Texto de globo1"/>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styleId="Asuntodelcomentario1" w:customStyle="1">
    <w:name w:val="Asunto del comentario1"/>
    <w:basedOn w:val="CommentText"/>
    <w:next w:val="CommentText"/>
    <w:semiHidden/>
    <w:rPr>
      <w:b/>
      <w:bCs/>
    </w:rPr>
  </w:style>
  <w:style w:type="paragraph" w:styleId="Header">
    <w:name w:val="header"/>
    <w:basedOn w:val="Normal"/>
    <w:pPr>
      <w:tabs>
        <w:tab w:val="center" w:pos="4320"/>
        <w:tab w:val="right" w:pos="8640"/>
      </w:tabs>
    </w:pPr>
  </w:style>
  <w:style w:type="paragraph" w:styleId="Title">
    <w:name w:val="Title"/>
    <w:basedOn w:val="Normal"/>
    <w:qFormat/>
    <w:pPr>
      <w:jc w:val="center"/>
    </w:pPr>
    <w:rPr>
      <w:b/>
      <w:lang w:val="es-E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character" w:styleId="apple-converted-space" w:customStyle="1">
    <w:name w:val="apple-converted-space"/>
    <w:basedOn w:val="DefaultParagraphFont"/>
  </w:style>
  <w:style w:type="character" w:styleId="CommentTextChar" w:customStyle="1">
    <w:name w:val="Comment Text Char"/>
    <w:basedOn w:val="DefaultParagraphFont"/>
    <w:link w:val="CommentText"/>
    <w:uiPriority w:val="99"/>
  </w:style>
  <w:style w:type="character" w:styleId="FootnoteTextChar" w:customStyle="1">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style>
  <w:style w:type="paragraph" w:styleId="Char2" w:customStyle="1">
    <w:name w:val="Char2"/>
    <w:basedOn w:val="Normal"/>
    <w:link w:val="FootnoteReference"/>
    <w:uiPriority w:val="99"/>
    <w:pPr>
      <w:spacing w:after="160" w:line="240" w:lineRule="exact"/>
    </w:pPr>
    <w:rPr>
      <w:sz w:val="20"/>
      <w:vertAlign w:val="superscript"/>
    </w:rPr>
  </w:style>
  <w:style w:type="paragraph" w:styleId="ListParagraph">
    <w:name w:val="List Paragraph"/>
    <w:basedOn w:val="Normal"/>
    <w:link w:val="ListParagraphChar"/>
    <w:uiPriority w:val="34"/>
    <w:qFormat/>
    <w:pPr>
      <w:spacing w:after="200" w:line="276" w:lineRule="auto"/>
      <w:ind w:left="720"/>
      <w:contextualSpacing/>
    </w:pPr>
    <w:rPr>
      <w:rFonts w:ascii="Gotham Book" w:hAnsi="Gotham Book" w:eastAsiaTheme="minorHAnsi"/>
      <w:sz w:val="20"/>
    </w:rPr>
  </w:style>
  <w:style w:type="character" w:styleId="ListParagraphChar" w:customStyle="1">
    <w:name w:val="List Paragraph Char"/>
    <w:link w:val="ListParagraph"/>
    <w:uiPriority w:val="34"/>
    <w:locked/>
    <w:rPr>
      <w:rFonts w:ascii="Gotham Book" w:hAnsi="Gotham Book" w:eastAsiaTheme="minorHAnsi"/>
    </w:rPr>
  </w:style>
  <w:style w:type="character" w:styleId="UnresolvedMention1" w:customStyle="1">
    <w:name w:val="Unresolved Mention1"/>
    <w:basedOn w:val="DefaultParagraphFont"/>
    <w:uiPriority w:val="99"/>
    <w:semiHidden/>
    <w:unhideWhenUsed/>
    <w:rPr>
      <w:color w:val="808080"/>
      <w:shd w:val="clear" w:color="auto" w:fill="E6E6E6"/>
    </w:rPr>
  </w:style>
  <w:style w:type="character" w:styleId="UnresolvedMention2" w:customStyle="1">
    <w:name w:val="Unresolved Mention2"/>
    <w:basedOn w:val="DefaultParagraphFont"/>
    <w:uiPriority w:val="99"/>
    <w:semiHidden/>
    <w:unhideWhenUsed/>
    <w:rPr>
      <w:color w:val="808080"/>
      <w:shd w:val="clear" w:color="auto" w:fill="E6E6E6"/>
    </w:rPr>
  </w:style>
  <w:style w:type="character" w:styleId="UnresolvedMention3" w:customStyle="1">
    <w:name w:val="Unresolved Mention3"/>
    <w:basedOn w:val="DefaultParagraphFont"/>
    <w:uiPriority w:val="99"/>
    <w:semiHidden/>
    <w:unhideWhenUsed/>
    <w:rPr>
      <w:color w:val="808080"/>
      <w:shd w:val="clear" w:color="auto" w:fill="E6E6E6"/>
    </w:rPr>
  </w:style>
  <w:style w:type="character" w:styleId="FollowedHyperlink">
    <w:name w:val="FollowedHyperlink"/>
    <w:basedOn w:val="DefaultParagraphFont"/>
    <w:semiHidden/>
    <w:unhideWhenUsed/>
    <w:rPr>
      <w:color w:val="800080" w:themeColor="followedHyperlink"/>
      <w:u w:val="single"/>
    </w:rPr>
  </w:style>
  <w:style w:type="character" w:styleId="UnresolvedMention">
    <w:name w:val="Unresolved Mention"/>
    <w:basedOn w:val="DefaultParagraphFont"/>
    <w:uiPriority w:val="99"/>
    <w:semiHidden/>
    <w:unhideWhenUsed/>
    <w:rPr>
      <w:color w:val="808080"/>
      <w:shd w:val="clear" w:color="auto" w:fill="E6E6E6"/>
    </w:rPr>
  </w:style>
  <w:style w:type="paragraph" w:styleId="Revision">
    <w:name w:val="Revision"/>
    <w:hidden/>
    <w:uiPriority w:val="99"/>
    <w:semiHidden/>
    <w:rPr>
      <w:sz w:val="24"/>
    </w:rPr>
  </w:style>
  <w:style w:type="character" w:styleId="FooterChar" w:customStyle="1">
    <w:name w:val="Footer Char"/>
    <w:basedOn w:val="DefaultParagraphFont"/>
    <w:link w:val="Footer"/>
    <w:uiPriority w:val="99"/>
    <w:rsid w:val="00F468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3422">
      <w:bodyDiv w:val="1"/>
      <w:marLeft w:val="0"/>
      <w:marRight w:val="0"/>
      <w:marTop w:val="0"/>
      <w:marBottom w:val="0"/>
      <w:divBdr>
        <w:top w:val="none" w:sz="0" w:space="0" w:color="auto"/>
        <w:left w:val="none" w:sz="0" w:space="0" w:color="auto"/>
        <w:bottom w:val="none" w:sz="0" w:space="0" w:color="auto"/>
        <w:right w:val="none" w:sz="0" w:space="0" w:color="auto"/>
      </w:divBdr>
    </w:div>
    <w:div w:id="547298989">
      <w:bodyDiv w:val="1"/>
      <w:marLeft w:val="0"/>
      <w:marRight w:val="0"/>
      <w:marTop w:val="0"/>
      <w:marBottom w:val="0"/>
      <w:divBdr>
        <w:top w:val="none" w:sz="0" w:space="0" w:color="auto"/>
        <w:left w:val="none" w:sz="0" w:space="0" w:color="auto"/>
        <w:bottom w:val="none" w:sz="0" w:space="0" w:color="auto"/>
        <w:right w:val="none" w:sz="0" w:space="0" w:color="auto"/>
      </w:divBdr>
      <w:divsChild>
        <w:div w:id="852690632">
          <w:marLeft w:val="0"/>
          <w:marRight w:val="0"/>
          <w:marTop w:val="0"/>
          <w:marBottom w:val="0"/>
          <w:divBdr>
            <w:top w:val="none" w:sz="0" w:space="0" w:color="auto"/>
            <w:left w:val="none" w:sz="0" w:space="0" w:color="auto"/>
            <w:bottom w:val="none" w:sz="0" w:space="0" w:color="auto"/>
            <w:right w:val="none" w:sz="0" w:space="0" w:color="auto"/>
          </w:divBdr>
          <w:divsChild>
            <w:div w:id="1004473333">
              <w:marLeft w:val="0"/>
              <w:marRight w:val="0"/>
              <w:marTop w:val="0"/>
              <w:marBottom w:val="0"/>
              <w:divBdr>
                <w:top w:val="none" w:sz="0" w:space="0" w:color="auto"/>
                <w:left w:val="none" w:sz="0" w:space="0" w:color="auto"/>
                <w:bottom w:val="none" w:sz="0" w:space="0" w:color="auto"/>
                <w:right w:val="none" w:sz="0" w:space="0" w:color="auto"/>
              </w:divBdr>
              <w:divsChild>
                <w:div w:id="1039433702">
                  <w:marLeft w:val="0"/>
                  <w:marRight w:val="0"/>
                  <w:marTop w:val="0"/>
                  <w:marBottom w:val="0"/>
                  <w:divBdr>
                    <w:top w:val="none" w:sz="0" w:space="0" w:color="auto"/>
                    <w:left w:val="none" w:sz="0" w:space="0" w:color="auto"/>
                    <w:bottom w:val="none" w:sz="0" w:space="0" w:color="auto"/>
                    <w:right w:val="none" w:sz="0" w:space="0" w:color="auto"/>
                  </w:divBdr>
                  <w:divsChild>
                    <w:div w:id="228267154">
                      <w:marLeft w:val="0"/>
                      <w:marRight w:val="0"/>
                      <w:marTop w:val="0"/>
                      <w:marBottom w:val="0"/>
                      <w:divBdr>
                        <w:top w:val="none" w:sz="0" w:space="0" w:color="auto"/>
                        <w:left w:val="none" w:sz="0" w:space="0" w:color="auto"/>
                        <w:bottom w:val="none" w:sz="0" w:space="0" w:color="auto"/>
                        <w:right w:val="none" w:sz="0" w:space="0" w:color="auto"/>
                      </w:divBdr>
                      <w:divsChild>
                        <w:div w:id="663243918">
                          <w:marLeft w:val="0"/>
                          <w:marRight w:val="0"/>
                          <w:marTop w:val="0"/>
                          <w:marBottom w:val="0"/>
                          <w:divBdr>
                            <w:top w:val="none" w:sz="0" w:space="0" w:color="auto"/>
                            <w:left w:val="none" w:sz="0" w:space="0" w:color="auto"/>
                            <w:bottom w:val="none" w:sz="0" w:space="0" w:color="auto"/>
                            <w:right w:val="none" w:sz="0" w:space="0" w:color="auto"/>
                          </w:divBdr>
                          <w:divsChild>
                            <w:div w:id="195583063">
                              <w:marLeft w:val="0"/>
                              <w:marRight w:val="0"/>
                              <w:marTop w:val="0"/>
                              <w:marBottom w:val="0"/>
                              <w:divBdr>
                                <w:top w:val="none" w:sz="0" w:space="0" w:color="auto"/>
                                <w:left w:val="none" w:sz="0" w:space="0" w:color="auto"/>
                                <w:bottom w:val="none" w:sz="0" w:space="0" w:color="auto"/>
                                <w:right w:val="none" w:sz="0" w:space="0" w:color="auto"/>
                              </w:divBdr>
                              <w:divsChild>
                                <w:div w:id="344139769">
                                  <w:marLeft w:val="0"/>
                                  <w:marRight w:val="0"/>
                                  <w:marTop w:val="0"/>
                                  <w:marBottom w:val="0"/>
                                  <w:divBdr>
                                    <w:top w:val="none" w:sz="0" w:space="0" w:color="auto"/>
                                    <w:left w:val="none" w:sz="0" w:space="0" w:color="auto"/>
                                    <w:bottom w:val="none" w:sz="0" w:space="0" w:color="auto"/>
                                    <w:right w:val="none" w:sz="0" w:space="0" w:color="auto"/>
                                  </w:divBdr>
                                  <w:divsChild>
                                    <w:div w:id="1388839973">
                                      <w:marLeft w:val="0"/>
                                      <w:marRight w:val="0"/>
                                      <w:marTop w:val="0"/>
                                      <w:marBottom w:val="0"/>
                                      <w:divBdr>
                                        <w:top w:val="none" w:sz="0" w:space="0" w:color="auto"/>
                                        <w:left w:val="none" w:sz="0" w:space="0" w:color="auto"/>
                                        <w:bottom w:val="none" w:sz="0" w:space="0" w:color="auto"/>
                                        <w:right w:val="none" w:sz="0" w:space="0" w:color="auto"/>
                                      </w:divBdr>
                                      <w:divsChild>
                                        <w:div w:id="683941609">
                                          <w:marLeft w:val="0"/>
                                          <w:marRight w:val="0"/>
                                          <w:marTop w:val="0"/>
                                          <w:marBottom w:val="0"/>
                                          <w:divBdr>
                                            <w:top w:val="none" w:sz="0" w:space="0" w:color="auto"/>
                                            <w:left w:val="none" w:sz="0" w:space="0" w:color="auto"/>
                                            <w:bottom w:val="none" w:sz="0" w:space="0" w:color="auto"/>
                                            <w:right w:val="none" w:sz="0" w:space="0" w:color="auto"/>
                                          </w:divBdr>
                                          <w:divsChild>
                                            <w:div w:id="546111742">
                                              <w:marLeft w:val="0"/>
                                              <w:marRight w:val="0"/>
                                              <w:marTop w:val="0"/>
                                              <w:marBottom w:val="0"/>
                                              <w:divBdr>
                                                <w:top w:val="none" w:sz="0" w:space="0" w:color="auto"/>
                                                <w:left w:val="none" w:sz="0" w:space="0" w:color="auto"/>
                                                <w:bottom w:val="none" w:sz="0" w:space="0" w:color="auto"/>
                                                <w:right w:val="none" w:sz="0" w:space="0" w:color="auto"/>
                                              </w:divBdr>
                                              <w:divsChild>
                                                <w:div w:id="103351968">
                                                  <w:marLeft w:val="0"/>
                                                  <w:marRight w:val="0"/>
                                                  <w:marTop w:val="0"/>
                                                  <w:marBottom w:val="0"/>
                                                  <w:divBdr>
                                                    <w:top w:val="none" w:sz="0" w:space="0" w:color="auto"/>
                                                    <w:left w:val="none" w:sz="0" w:space="0" w:color="auto"/>
                                                    <w:bottom w:val="none" w:sz="0" w:space="0" w:color="auto"/>
                                                    <w:right w:val="none" w:sz="0" w:space="0" w:color="auto"/>
                                                  </w:divBdr>
                                                  <w:divsChild>
                                                    <w:div w:id="1194657773">
                                                      <w:marLeft w:val="0"/>
                                                      <w:marRight w:val="0"/>
                                                      <w:marTop w:val="0"/>
                                                      <w:marBottom w:val="0"/>
                                                      <w:divBdr>
                                                        <w:top w:val="none" w:sz="0" w:space="0" w:color="auto"/>
                                                        <w:left w:val="none" w:sz="0" w:space="0" w:color="auto"/>
                                                        <w:bottom w:val="none" w:sz="0" w:space="0" w:color="auto"/>
                                                        <w:right w:val="none" w:sz="0" w:space="0" w:color="auto"/>
                                                      </w:divBdr>
                                                      <w:divsChild>
                                                        <w:div w:id="781730175">
                                                          <w:marLeft w:val="0"/>
                                                          <w:marRight w:val="0"/>
                                                          <w:marTop w:val="0"/>
                                                          <w:marBottom w:val="0"/>
                                                          <w:divBdr>
                                                            <w:top w:val="none" w:sz="0" w:space="0" w:color="auto"/>
                                                            <w:left w:val="none" w:sz="0" w:space="0" w:color="auto"/>
                                                            <w:bottom w:val="none" w:sz="0" w:space="0" w:color="auto"/>
                                                            <w:right w:val="none" w:sz="0" w:space="0" w:color="auto"/>
                                                          </w:divBdr>
                                                          <w:divsChild>
                                                            <w:div w:id="1236742155">
                                                              <w:marLeft w:val="0"/>
                                                              <w:marRight w:val="0"/>
                                                              <w:marTop w:val="0"/>
                                                              <w:marBottom w:val="0"/>
                                                              <w:divBdr>
                                                                <w:top w:val="none" w:sz="0" w:space="0" w:color="auto"/>
                                                                <w:left w:val="none" w:sz="0" w:space="0" w:color="auto"/>
                                                                <w:bottom w:val="none" w:sz="0" w:space="0" w:color="auto"/>
                                                                <w:right w:val="none" w:sz="0" w:space="0" w:color="auto"/>
                                                              </w:divBdr>
                                                              <w:divsChild>
                                                                <w:div w:id="1098601590">
                                                                  <w:marLeft w:val="0"/>
                                                                  <w:marRight w:val="0"/>
                                                                  <w:marTop w:val="0"/>
                                                                  <w:marBottom w:val="0"/>
                                                                  <w:divBdr>
                                                                    <w:top w:val="none" w:sz="0" w:space="0" w:color="auto"/>
                                                                    <w:left w:val="none" w:sz="0" w:space="0" w:color="auto"/>
                                                                    <w:bottom w:val="none" w:sz="0" w:space="0" w:color="auto"/>
                                                                    <w:right w:val="none" w:sz="0" w:space="0" w:color="auto"/>
                                                                  </w:divBdr>
                                                                  <w:divsChild>
                                                                    <w:div w:id="1972591394">
                                                                      <w:marLeft w:val="0"/>
                                                                      <w:marRight w:val="0"/>
                                                                      <w:marTop w:val="0"/>
                                                                      <w:marBottom w:val="0"/>
                                                                      <w:divBdr>
                                                                        <w:top w:val="none" w:sz="0" w:space="0" w:color="auto"/>
                                                                        <w:left w:val="none" w:sz="0" w:space="0" w:color="auto"/>
                                                                        <w:bottom w:val="none" w:sz="0" w:space="0" w:color="auto"/>
                                                                        <w:right w:val="none" w:sz="0" w:space="0" w:color="auto"/>
                                                                      </w:divBdr>
                                                                      <w:divsChild>
                                                                        <w:div w:id="283778136">
                                                                          <w:marLeft w:val="0"/>
                                                                          <w:marRight w:val="0"/>
                                                                          <w:marTop w:val="0"/>
                                                                          <w:marBottom w:val="0"/>
                                                                          <w:divBdr>
                                                                            <w:top w:val="none" w:sz="0" w:space="0" w:color="auto"/>
                                                                            <w:left w:val="none" w:sz="0" w:space="0" w:color="auto"/>
                                                                            <w:bottom w:val="none" w:sz="0" w:space="0" w:color="auto"/>
                                                                            <w:right w:val="none" w:sz="0" w:space="0" w:color="auto"/>
                                                                          </w:divBdr>
                                                                          <w:divsChild>
                                                                            <w:div w:id="273951247">
                                                                              <w:marLeft w:val="0"/>
                                                                              <w:marRight w:val="0"/>
                                                                              <w:marTop w:val="0"/>
                                                                              <w:marBottom w:val="0"/>
                                                                              <w:divBdr>
                                                                                <w:top w:val="none" w:sz="0" w:space="0" w:color="auto"/>
                                                                                <w:left w:val="none" w:sz="0" w:space="0" w:color="auto"/>
                                                                                <w:bottom w:val="none" w:sz="0" w:space="0" w:color="auto"/>
                                                                                <w:right w:val="none" w:sz="0" w:space="0" w:color="auto"/>
                                                                              </w:divBdr>
                                                                              <w:divsChild>
                                                                                <w:div w:id="2080245344">
                                                                                  <w:marLeft w:val="0"/>
                                                                                  <w:marRight w:val="0"/>
                                                                                  <w:marTop w:val="0"/>
                                                                                  <w:marBottom w:val="120"/>
                                                                                  <w:divBdr>
                                                                                    <w:top w:val="none" w:sz="0" w:space="0" w:color="auto"/>
                                                                                    <w:left w:val="none" w:sz="0" w:space="0" w:color="auto"/>
                                                                                    <w:bottom w:val="none" w:sz="0" w:space="0" w:color="auto"/>
                                                                                    <w:right w:val="none" w:sz="0" w:space="0" w:color="auto"/>
                                                                                  </w:divBdr>
                                                                                  <w:divsChild>
                                                                                    <w:div w:id="1378623537">
                                                                                      <w:marLeft w:val="0"/>
                                                                                      <w:marRight w:val="0"/>
                                                                                      <w:marTop w:val="0"/>
                                                                                      <w:marBottom w:val="0"/>
                                                                                      <w:divBdr>
                                                                                        <w:top w:val="none" w:sz="0" w:space="0" w:color="auto"/>
                                                                                        <w:left w:val="none" w:sz="0" w:space="0" w:color="auto"/>
                                                                                        <w:bottom w:val="none" w:sz="0" w:space="0" w:color="auto"/>
                                                                                        <w:right w:val="none" w:sz="0" w:space="0" w:color="auto"/>
                                                                                      </w:divBdr>
                                                                                      <w:divsChild>
                                                                                        <w:div w:id="1491479283">
                                                                                          <w:marLeft w:val="0"/>
                                                                                          <w:marRight w:val="0"/>
                                                                                          <w:marTop w:val="0"/>
                                                                                          <w:marBottom w:val="0"/>
                                                                                          <w:divBdr>
                                                                                            <w:top w:val="none" w:sz="0" w:space="0" w:color="auto"/>
                                                                                            <w:left w:val="none" w:sz="0" w:space="0" w:color="auto"/>
                                                                                            <w:bottom w:val="none" w:sz="0" w:space="0" w:color="auto"/>
                                                                                            <w:right w:val="none" w:sz="0" w:space="0" w:color="auto"/>
                                                                                          </w:divBdr>
                                                                                        </w:div>
                                                                                        <w:div w:id="1024404753">
                                                                                          <w:marLeft w:val="0"/>
                                                                                          <w:marRight w:val="0"/>
                                                                                          <w:marTop w:val="0"/>
                                                                                          <w:marBottom w:val="0"/>
                                                                                          <w:divBdr>
                                                                                            <w:top w:val="none" w:sz="0" w:space="0" w:color="auto"/>
                                                                                            <w:left w:val="none" w:sz="0" w:space="0" w:color="auto"/>
                                                                                            <w:bottom w:val="none" w:sz="0" w:space="0" w:color="auto"/>
                                                                                            <w:right w:val="none" w:sz="0" w:space="0" w:color="auto"/>
                                                                                          </w:divBdr>
                                                                                        </w:div>
                                                                                        <w:div w:id="170728440">
                                                                                          <w:marLeft w:val="0"/>
                                                                                          <w:marRight w:val="0"/>
                                                                                          <w:marTop w:val="0"/>
                                                                                          <w:marBottom w:val="0"/>
                                                                                          <w:divBdr>
                                                                                            <w:top w:val="none" w:sz="0" w:space="0" w:color="auto"/>
                                                                                            <w:left w:val="none" w:sz="0" w:space="0" w:color="auto"/>
                                                                                            <w:bottom w:val="none" w:sz="0" w:space="0" w:color="auto"/>
                                                                                            <w:right w:val="none" w:sz="0" w:space="0" w:color="auto"/>
                                                                                          </w:divBdr>
                                                                                        </w:div>
                                                                                        <w:div w:id="120732441">
                                                                                          <w:marLeft w:val="0"/>
                                                                                          <w:marRight w:val="0"/>
                                                                                          <w:marTop w:val="0"/>
                                                                                          <w:marBottom w:val="0"/>
                                                                                          <w:divBdr>
                                                                                            <w:top w:val="none" w:sz="0" w:space="0" w:color="auto"/>
                                                                                            <w:left w:val="none" w:sz="0" w:space="0" w:color="auto"/>
                                                                                            <w:bottom w:val="none" w:sz="0" w:space="0" w:color="auto"/>
                                                                                            <w:right w:val="none" w:sz="0" w:space="0" w:color="auto"/>
                                                                                          </w:divBdr>
                                                                                        </w:div>
                                                                                        <w:div w:id="990672801">
                                                                                          <w:marLeft w:val="0"/>
                                                                                          <w:marRight w:val="0"/>
                                                                                          <w:marTop w:val="0"/>
                                                                                          <w:marBottom w:val="0"/>
                                                                                          <w:divBdr>
                                                                                            <w:top w:val="none" w:sz="0" w:space="0" w:color="auto"/>
                                                                                            <w:left w:val="none" w:sz="0" w:space="0" w:color="auto"/>
                                                                                            <w:bottom w:val="none" w:sz="0" w:space="0" w:color="auto"/>
                                                                                            <w:right w:val="none" w:sz="0" w:space="0" w:color="auto"/>
                                                                                          </w:divBdr>
                                                                                        </w:div>
                                                                                        <w:div w:id="2106074638">
                                                                                          <w:marLeft w:val="0"/>
                                                                                          <w:marRight w:val="0"/>
                                                                                          <w:marTop w:val="0"/>
                                                                                          <w:marBottom w:val="0"/>
                                                                                          <w:divBdr>
                                                                                            <w:top w:val="none" w:sz="0" w:space="0" w:color="auto"/>
                                                                                            <w:left w:val="none" w:sz="0" w:space="0" w:color="auto"/>
                                                                                            <w:bottom w:val="none" w:sz="0" w:space="0" w:color="auto"/>
                                                                                            <w:right w:val="none" w:sz="0" w:space="0" w:color="auto"/>
                                                                                          </w:divBdr>
                                                                                        </w:div>
                                                                                        <w:div w:id="67968577">
                                                                                          <w:marLeft w:val="0"/>
                                                                                          <w:marRight w:val="0"/>
                                                                                          <w:marTop w:val="0"/>
                                                                                          <w:marBottom w:val="0"/>
                                                                                          <w:divBdr>
                                                                                            <w:top w:val="none" w:sz="0" w:space="0" w:color="auto"/>
                                                                                            <w:left w:val="none" w:sz="0" w:space="0" w:color="auto"/>
                                                                                            <w:bottom w:val="none" w:sz="0" w:space="0" w:color="auto"/>
                                                                                            <w:right w:val="none" w:sz="0" w:space="0" w:color="auto"/>
                                                                                          </w:divBdr>
                                                                                        </w:div>
                                                                                        <w:div w:id="1111633048">
                                                                                          <w:marLeft w:val="0"/>
                                                                                          <w:marRight w:val="0"/>
                                                                                          <w:marTop w:val="0"/>
                                                                                          <w:marBottom w:val="0"/>
                                                                                          <w:divBdr>
                                                                                            <w:top w:val="none" w:sz="0" w:space="0" w:color="auto"/>
                                                                                            <w:left w:val="none" w:sz="0" w:space="0" w:color="auto"/>
                                                                                            <w:bottom w:val="none" w:sz="0" w:space="0" w:color="auto"/>
                                                                                            <w:right w:val="none" w:sz="0" w:space="0" w:color="auto"/>
                                                                                          </w:divBdr>
                                                                                        </w:div>
                                                                                        <w:div w:id="134158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5089833">
      <w:bodyDiv w:val="1"/>
      <w:marLeft w:val="0"/>
      <w:marRight w:val="0"/>
      <w:marTop w:val="0"/>
      <w:marBottom w:val="0"/>
      <w:divBdr>
        <w:top w:val="none" w:sz="0" w:space="0" w:color="auto"/>
        <w:left w:val="none" w:sz="0" w:space="0" w:color="auto"/>
        <w:bottom w:val="none" w:sz="0" w:space="0" w:color="auto"/>
        <w:right w:val="none" w:sz="0" w:space="0" w:color="auto"/>
      </w:divBdr>
    </w:div>
    <w:div w:id="823816158">
      <w:bodyDiv w:val="1"/>
      <w:marLeft w:val="0"/>
      <w:marRight w:val="0"/>
      <w:marTop w:val="0"/>
      <w:marBottom w:val="0"/>
      <w:divBdr>
        <w:top w:val="none" w:sz="0" w:space="0" w:color="auto"/>
        <w:left w:val="none" w:sz="0" w:space="0" w:color="auto"/>
        <w:bottom w:val="none" w:sz="0" w:space="0" w:color="auto"/>
        <w:right w:val="none" w:sz="0" w:space="0" w:color="auto"/>
      </w:divBdr>
    </w:div>
    <w:div w:id="190849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ustomXml" Target="../customXml/item8.xml"/><Relationship Id="rId14" Type="http://schemas.openxmlformats.org/officeDocument/2006/relationships/header" Target="head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EF73CDEB40EAE45ABEAC02702D6072A" ma:contentTypeVersion="1037" ma:contentTypeDescription="A content type to manage public (operations) IDB documents" ma:contentTypeScope="" ma:versionID="5f838a01044f2effc6543f9bfb5cf317">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Document_x0020_Author xmlns="cdc7663a-08f0-4737-9e8c-148ce897a09c">Rasteletti, Alejandro Gabriel</Document_x0020_Author>
    <_dlc_DocId xmlns="cdc7663a-08f0-4737-9e8c-148ce897a09c">EZSHARE-2108768840-22</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TaxCatchAll xmlns="cdc7663a-08f0-4737-9e8c-148ce897a09c">
      <Value>40</Value>
      <Value>19</Value>
      <Value>24</Value>
      <Value>2</Value>
      <Value>100</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ME-L1276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RM-DES</TermName>
          <TermId xmlns="http://schemas.microsoft.com/office/infopath/2007/PartnerControls">175f00f6-cbe9-4743-a188-bfed370207da</TermId>
        </TermInfo>
      </Terms>
    </b2ec7cfb18674cb8803df6b262e8b107>
    <Document_x0020_Language_x0020_IDB xmlns="cdc7663a-08f0-4737-9e8c-148ce897a09c">Spanish</Document_x0020_Language_x0020_IDB>
    <_dlc_DocIdUrl xmlns="cdc7663a-08f0-4737-9e8c-148ce897a09c">
      <Url>https://idbg.sharepoint.com/teams/EZ-ME-LON/ME-L1276/_layouts/15/DocIdRedir.aspx?ID=EZSHARE-2108768840-22</Url>
      <Description>EZSHARE-2108768840-22</Description>
    </_dlc_DocIdUrl>
    <Phase xmlns="cdc7663a-08f0-4737-9e8c-148ce897a09c">ACTIVE</Phase>
    <Other_x0020_Author xmlns="cdc7663a-08f0-4737-9e8c-148ce897a09c">Susana Roman</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8D0D9A390199A44EBDB1B06BDCD8A979" ma:contentTypeVersion="941" ma:contentTypeDescription="The base project type from which other project content types inherit their information." ma:contentTypeScope="" ma:versionID="88918542d817340055dfddc5306906a8">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9AC6195-574D-40BF-84CC-2170EB31C0AD}">
  <ds:schemaRefs>
    <ds:schemaRef ds:uri="http://schemas.microsoft.com/sharepoint/v3/contenttype/forms"/>
  </ds:schemaRefs>
</ds:datastoreItem>
</file>

<file path=customXml/itemProps2.xml><?xml version="1.0" encoding="utf-8"?>
<ds:datastoreItem xmlns:ds="http://schemas.openxmlformats.org/officeDocument/2006/customXml" ds:itemID="{DDF2DAF2-323B-41AA-9647-830FBC9FA435}"/>
</file>

<file path=customXml/itemProps3.xml><?xml version="1.0" encoding="utf-8"?>
<ds:datastoreItem xmlns:ds="http://schemas.openxmlformats.org/officeDocument/2006/customXml" ds:itemID="{B14528FA-124A-4B54-9793-09B063507C1F}">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C7BF20E-08C0-4CFF-8503-8FDA8B18B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B9F9B7-32DC-41D0-9D85-007C087F6B8A}"/>
</file>

<file path=customXml/itemProps6.xml><?xml version="1.0" encoding="utf-8"?>
<ds:datastoreItem xmlns:ds="http://schemas.openxmlformats.org/officeDocument/2006/customXml" ds:itemID="{EE4F50B5-6BD1-4694-A8F4-8831E5B61DDB}">
  <ds:schemaRefs>
    <ds:schemaRef ds:uri="http://schemas.microsoft.com/sharepoint/events"/>
  </ds:schemaRefs>
</ds:datastoreItem>
</file>

<file path=customXml/itemProps7.xml><?xml version="1.0" encoding="utf-8"?>
<ds:datastoreItem xmlns:ds="http://schemas.openxmlformats.org/officeDocument/2006/customXml" ds:itemID="{40F5559F-7B4F-4376-A910-3CB4A9A4AD63}">
  <ds:schemaRefs>
    <ds:schemaRef ds:uri="http://schemas.openxmlformats.org/officeDocument/2006/bibliography"/>
  </ds:schemaRefs>
</ds:datastoreItem>
</file>

<file path=customXml/itemProps8.xml><?xml version="1.0" encoding="utf-8"?>
<ds:datastoreItem xmlns:ds="http://schemas.openxmlformats.org/officeDocument/2006/customXml" ds:itemID="{94EE2F7B-106D-4012-84A7-1C5D06D956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Roman Sanchez, Susana</cp:lastModifiedBy>
  <cp:revision>2</cp:revision>
  <dcterms:created xsi:type="dcterms:W3CDTF">2019-03-25T19:33:00Z</dcterms:created>
  <dcterms:modified xsi:type="dcterms:W3CDTF">2019-04-16T16:42:54Z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100;#RM-DES|175f00f6-cbe9-4743-a188-bfed370207da</vt:lpwstr>
  </property>
  <property fmtid="{D5CDD505-2E9C-101B-9397-08002B2CF9AE}" pid="6" name="Country">
    <vt:lpwstr>19;#ME|0eba6470-e7ea-46fd-a959-d4c243acaf26</vt:lpwstr>
  </property>
  <property fmtid="{D5CDD505-2E9C-101B-9397-08002B2CF9AE}" pid="7" name="Fund IDB">
    <vt:lpwstr>24;#ORC|c028a4b2-ad8b-4cf4-9cac-a2ae6a778e23</vt:lpwstr>
  </property>
  <property fmtid="{D5CDD505-2E9C-101B-9397-08002B2CF9AE}" pid="8" name="_dlc_DocIdItemGuid">
    <vt:lpwstr>99ec08e1-27a7-4f92-be8f-518288329a29</vt:lpwstr>
  </property>
  <property fmtid="{D5CDD505-2E9C-101B-9397-08002B2CF9AE}" pid="9" name="Sector IDB">
    <vt:lpwstr>40;#RM|c8fda4a7-691a-4c65-b227-9825197b5cd2</vt:lpwstr>
  </property>
  <property fmtid="{D5CDD505-2E9C-101B-9397-08002B2CF9AE}" pid="10" name="Function Operations IDB">
    <vt:lpwstr>2;#Monitoring and Reporting|df3c2aa1-d63e-41aa-b1f5-bb15dee691ca</vt:lpwstr>
  </property>
  <property fmtid="{D5CDD505-2E9C-101B-9397-08002B2CF9AE}" pid="12" name="Disclosure Activity">
    <vt:lpwstr>Electronic Links</vt:lpwstr>
  </property>
  <property fmtid="{D5CDD505-2E9C-101B-9397-08002B2CF9AE}" pid="13" name="ContentTypeId">
    <vt:lpwstr>0x0101001A458A224826124E8B45B1D613300CFC00FEF73CDEB40EAE45ABEAC02702D6072A</vt:lpwstr>
  </property>
</Properties>
</file>