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B91" w:rsidRPr="005C5B91" w:rsidRDefault="005C5B91" w:rsidP="00CF1BCF"/>
    <w:p w:rsidR="005C5B91" w:rsidRPr="005C5B91" w:rsidRDefault="005C5B91" w:rsidP="00CF1BCF"/>
    <w:sdt>
      <w:sdtPr>
        <w:rPr>
          <w:rFonts w:asciiTheme="majorHAnsi" w:eastAsiaTheme="majorEastAsia" w:hAnsiTheme="majorHAnsi" w:cstheme="majorBidi"/>
          <w:caps/>
          <w:noProof/>
          <w:lang w:val="es-ES"/>
        </w:rPr>
        <w:id w:val="15943754"/>
        <w:docPartObj>
          <w:docPartGallery w:val="Cover Pages"/>
          <w:docPartUnique/>
        </w:docPartObj>
      </w:sdtPr>
      <w:sdtEndPr>
        <w:rPr>
          <w:rFonts w:asciiTheme="minorHAnsi" w:eastAsiaTheme="minorHAnsi" w:hAnsiTheme="minorHAnsi" w:cstheme="minorBidi"/>
          <w:smallCaps/>
          <w:szCs w:val="24"/>
        </w:rPr>
      </w:sdtEndPr>
      <w:sdtContent>
        <w:tbl>
          <w:tblPr>
            <w:tblW w:w="5000" w:type="pct"/>
            <w:jc w:val="center"/>
            <w:tblLook w:val="04A0"/>
          </w:tblPr>
          <w:tblGrid>
            <w:gridCol w:w="8856"/>
          </w:tblGrid>
          <w:tr w:rsidR="00114300" w:rsidRPr="005C5B91" w:rsidTr="005C5B91">
            <w:trPr>
              <w:trHeight w:val="3843"/>
              <w:jc w:val="center"/>
            </w:trPr>
            <w:tc>
              <w:tcPr>
                <w:tcW w:w="5000" w:type="pct"/>
              </w:tcPr>
              <w:p w:rsidR="00114300" w:rsidRPr="005C5B91" w:rsidRDefault="00512567" w:rsidP="00CF1BCF">
                <w:pPr>
                  <w:pStyle w:val="NoSpacing"/>
                  <w:jc w:val="center"/>
                  <w:rPr>
                    <w:rFonts w:asciiTheme="majorHAnsi" w:eastAsiaTheme="majorEastAsia" w:hAnsiTheme="majorHAnsi" w:cstheme="majorBidi"/>
                    <w:caps/>
                    <w:noProof/>
                    <w:lang w:val="es-ES"/>
                  </w:rPr>
                </w:pPr>
                <w:r w:rsidRPr="005C5B91">
                  <w:rPr>
                    <w:rFonts w:ascii="Times New Roman" w:eastAsiaTheme="majorEastAsia" w:hAnsi="Times New Roman" w:cs="Times New Roman"/>
                    <w:b/>
                    <w:noProof/>
                    <w:sz w:val="28"/>
                    <w:szCs w:val="28"/>
                    <w:lang w:val="es-ES"/>
                  </w:rPr>
                  <w:t>DOCUMENTO DEL BANCO INTERAMERICANO DE DESARROLLO</w:t>
                </w:r>
              </w:p>
            </w:tc>
          </w:tr>
          <w:tr w:rsidR="00114300" w:rsidRPr="005C5B91" w:rsidTr="005C5B91">
            <w:trPr>
              <w:trHeight w:val="2340"/>
              <w:jc w:val="center"/>
            </w:trPr>
            <w:tc>
              <w:tcPr>
                <w:tcW w:w="5000" w:type="pct"/>
                <w:tcBorders>
                  <w:bottom w:val="single" w:sz="4" w:space="0" w:color="4F81BD" w:themeColor="accent1"/>
                </w:tcBorders>
                <w:vAlign w:val="center"/>
              </w:tcPr>
              <w:p w:rsidR="00114300" w:rsidRPr="005C5B91" w:rsidRDefault="00100B3E" w:rsidP="00CF1BCF">
                <w:pPr>
                  <w:pStyle w:val="NoSpacing"/>
                  <w:jc w:val="center"/>
                  <w:rPr>
                    <w:rFonts w:asciiTheme="majorHAnsi" w:eastAsiaTheme="majorEastAsia" w:hAnsiTheme="majorHAnsi" w:cstheme="majorBidi"/>
                    <w:noProof/>
                    <w:sz w:val="80"/>
                    <w:szCs w:val="80"/>
                    <w:lang w:val="es-ES"/>
                  </w:rPr>
                </w:pPr>
                <w:sdt>
                  <w:sdtPr>
                    <w:rPr>
                      <w:rFonts w:asciiTheme="majorHAnsi" w:eastAsiaTheme="majorEastAsia" w:hAnsiTheme="majorHAnsi" w:cstheme="majorBidi"/>
                      <w:noProof/>
                      <w:sz w:val="32"/>
                      <w:szCs w:val="32"/>
                      <w:lang w:val="es-ES"/>
                    </w:rPr>
                    <w:alias w:val="Título"/>
                    <w:id w:val="15524250"/>
                    <w:dataBinding w:prefixMappings="xmlns:ns0='http://schemas.openxmlformats.org/package/2006/metadata/core-properties' xmlns:ns1='http://purl.org/dc/elements/1.1/'" w:xpath="/ns0:coreProperties[1]/ns1:title[1]" w:storeItemID="{6C3C8BC8-F283-45AE-878A-BAB7291924A1}"/>
                    <w:text/>
                  </w:sdtPr>
                  <w:sdtContent>
                    <w:r w:rsidR="0017289C" w:rsidRPr="005C5B91">
                      <w:rPr>
                        <w:rFonts w:asciiTheme="majorHAnsi" w:eastAsiaTheme="majorEastAsia" w:hAnsiTheme="majorHAnsi" w:cstheme="majorBidi"/>
                        <w:noProof/>
                        <w:sz w:val="32"/>
                        <w:szCs w:val="32"/>
                        <w:lang w:val="es-ES"/>
                      </w:rPr>
                      <w:t>Panamá</w:t>
                    </w:r>
                  </w:sdtContent>
                </w:sdt>
              </w:p>
            </w:tc>
          </w:tr>
          <w:tr w:rsidR="00114300" w:rsidRPr="005C5B91">
            <w:trPr>
              <w:trHeight w:val="720"/>
              <w:jc w:val="center"/>
            </w:trPr>
            <w:sdt>
              <w:sdtPr>
                <w:rPr>
                  <w:rFonts w:ascii="Times New Roman" w:eastAsia="Times New Roman" w:hAnsi="Times New Roman" w:cs="Times New Roman"/>
                  <w:b/>
                  <w:smallCaps/>
                  <w:noProof/>
                  <w:sz w:val="24"/>
                  <w:szCs w:val="24"/>
                  <w:lang w:val="es-ES"/>
                </w:rPr>
                <w:alias w:val="Subtítulo"/>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114300" w:rsidRPr="005C5B91" w:rsidRDefault="00540E43" w:rsidP="00CF1BCF">
                    <w:pPr>
                      <w:pStyle w:val="NoSpacing"/>
                      <w:jc w:val="center"/>
                      <w:rPr>
                        <w:rFonts w:asciiTheme="majorHAnsi" w:eastAsiaTheme="majorEastAsia" w:hAnsiTheme="majorHAnsi" w:cstheme="majorBidi"/>
                        <w:noProof/>
                        <w:sz w:val="44"/>
                        <w:szCs w:val="44"/>
                        <w:lang w:val="es-ES"/>
                      </w:rPr>
                    </w:pPr>
                    <w:r w:rsidRPr="005C5B91">
                      <w:rPr>
                        <w:rFonts w:ascii="Times New Roman" w:eastAsia="Times New Roman" w:hAnsi="Times New Roman" w:cs="Times New Roman"/>
                        <w:b/>
                        <w:smallCaps/>
                        <w:noProof/>
                        <w:sz w:val="24"/>
                        <w:szCs w:val="24"/>
                        <w:lang w:val="es-ES"/>
                      </w:rPr>
                      <w:t>P</w:t>
                    </w:r>
                    <w:r w:rsidR="0017289C" w:rsidRPr="005C5B91">
                      <w:rPr>
                        <w:rFonts w:ascii="Times New Roman" w:eastAsia="Times New Roman" w:hAnsi="Times New Roman" w:cs="Times New Roman"/>
                        <w:b/>
                        <w:smallCaps/>
                        <w:noProof/>
                        <w:sz w:val="24"/>
                        <w:szCs w:val="24"/>
                        <w:lang w:val="es-ES"/>
                      </w:rPr>
                      <w:t>rograma de Fo</w:t>
                    </w:r>
                    <w:r w:rsidR="00512567" w:rsidRPr="005C5B91">
                      <w:rPr>
                        <w:rFonts w:ascii="Times New Roman" w:eastAsia="Times New Roman" w:hAnsi="Times New Roman" w:cs="Times New Roman"/>
                        <w:b/>
                        <w:smallCaps/>
                        <w:noProof/>
                        <w:sz w:val="24"/>
                        <w:szCs w:val="24"/>
                        <w:lang w:val="es-ES"/>
                      </w:rPr>
                      <w:t>rtalecimiento de la gestión Fiscal (</w:t>
                    </w:r>
                    <w:r w:rsidRPr="005C5B91">
                      <w:rPr>
                        <w:rFonts w:ascii="Times New Roman" w:eastAsia="Times New Roman" w:hAnsi="Times New Roman" w:cs="Times New Roman"/>
                        <w:b/>
                        <w:smallCaps/>
                        <w:noProof/>
                        <w:sz w:val="24"/>
                        <w:szCs w:val="24"/>
                        <w:lang w:val="es-ES"/>
                      </w:rPr>
                      <w:t>PN-L1066</w:t>
                    </w:r>
                    <w:r w:rsidR="00512567" w:rsidRPr="005C5B91">
                      <w:rPr>
                        <w:rFonts w:ascii="Times New Roman" w:eastAsia="Times New Roman" w:hAnsi="Times New Roman" w:cs="Times New Roman"/>
                        <w:b/>
                        <w:smallCaps/>
                        <w:noProof/>
                        <w:sz w:val="24"/>
                        <w:szCs w:val="24"/>
                        <w:lang w:val="es-ES"/>
                      </w:rPr>
                      <w:t>)</w:t>
                    </w:r>
                  </w:p>
                </w:tc>
              </w:sdtContent>
            </w:sdt>
          </w:tr>
          <w:tr w:rsidR="00114300" w:rsidRPr="005C5B91">
            <w:trPr>
              <w:trHeight w:val="360"/>
              <w:jc w:val="center"/>
            </w:trPr>
            <w:tc>
              <w:tcPr>
                <w:tcW w:w="5000" w:type="pct"/>
                <w:vAlign w:val="center"/>
              </w:tcPr>
              <w:p w:rsidR="00114300" w:rsidRPr="005C5B91" w:rsidRDefault="00114300" w:rsidP="00CF1BCF">
                <w:pPr>
                  <w:pStyle w:val="NoSpacing"/>
                  <w:jc w:val="center"/>
                  <w:rPr>
                    <w:noProof/>
                    <w:lang w:val="es-ES"/>
                  </w:rPr>
                </w:pPr>
              </w:p>
            </w:tc>
          </w:tr>
          <w:tr w:rsidR="00114300" w:rsidRPr="005C5B91">
            <w:trPr>
              <w:trHeight w:val="360"/>
              <w:jc w:val="center"/>
            </w:trPr>
            <w:sdt>
              <w:sdtPr>
                <w:rPr>
                  <w:rFonts w:ascii="Times New Roman" w:hAnsi="Times New Roman" w:cs="Times New Roman"/>
                  <w:b/>
                  <w:bCs/>
                  <w:noProof/>
                  <w:sz w:val="24"/>
                  <w:szCs w:val="24"/>
                  <w:lang w:val="es-ES"/>
                </w:rPr>
                <w:alias w:val="Aut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114300" w:rsidRPr="005C5B91" w:rsidRDefault="00512567" w:rsidP="00CF1BCF">
                    <w:pPr>
                      <w:pStyle w:val="NoSpacing"/>
                      <w:jc w:val="center"/>
                      <w:rPr>
                        <w:b/>
                        <w:bCs/>
                        <w:noProof/>
                        <w:sz w:val="24"/>
                        <w:szCs w:val="24"/>
                        <w:lang w:val="es-ES"/>
                      </w:rPr>
                    </w:pPr>
                    <w:r w:rsidRPr="005C5B91">
                      <w:rPr>
                        <w:rFonts w:ascii="Times New Roman" w:hAnsi="Times New Roman" w:cs="Times New Roman"/>
                        <w:b/>
                        <w:bCs/>
                        <w:noProof/>
                        <w:sz w:val="24"/>
                        <w:szCs w:val="24"/>
                        <w:lang w:val="es-ES"/>
                      </w:rPr>
                      <w:t>Anexo de Análisis Económico</w:t>
                    </w:r>
                  </w:p>
                </w:tc>
              </w:sdtContent>
            </w:sdt>
          </w:tr>
          <w:tr w:rsidR="00114300" w:rsidRPr="005C5B91">
            <w:trPr>
              <w:trHeight w:val="360"/>
              <w:jc w:val="center"/>
            </w:trPr>
            <w:tc>
              <w:tcPr>
                <w:tcW w:w="5000" w:type="pct"/>
                <w:vAlign w:val="center"/>
              </w:tcPr>
              <w:p w:rsidR="00114300" w:rsidRPr="005C5B91" w:rsidRDefault="00114300" w:rsidP="00CF1BCF">
                <w:pPr>
                  <w:pStyle w:val="NoSpacing"/>
                  <w:jc w:val="center"/>
                  <w:rPr>
                    <w:b/>
                    <w:bCs/>
                    <w:noProof/>
                    <w:sz w:val="24"/>
                    <w:szCs w:val="24"/>
                    <w:lang w:val="es-ES"/>
                  </w:rPr>
                </w:pPr>
              </w:p>
            </w:tc>
          </w:tr>
        </w:tbl>
        <w:p w:rsidR="00114300" w:rsidRPr="005C5B91" w:rsidRDefault="00114300" w:rsidP="00CF1BCF"/>
        <w:p w:rsidR="00114300" w:rsidRPr="005C5B91" w:rsidRDefault="00114300" w:rsidP="00CF1BCF"/>
        <w:tbl>
          <w:tblPr>
            <w:tblpPr w:leftFromText="187" w:rightFromText="187" w:horzAnchor="margin" w:tblpXSpec="center" w:tblpYSpec="bottom"/>
            <w:tblW w:w="5000" w:type="pct"/>
            <w:tblLook w:val="04A0"/>
          </w:tblPr>
          <w:tblGrid>
            <w:gridCol w:w="8856"/>
          </w:tblGrid>
          <w:tr w:rsidR="00114300" w:rsidRPr="005C5B91">
            <w:sdt>
              <w:sdtPr>
                <w:rPr>
                  <w:rFonts w:ascii="Times New Roman" w:hAnsi="Times New Roman" w:cs="Times New Roman"/>
                  <w:noProof/>
                  <w:sz w:val="24"/>
                  <w:szCs w:val="24"/>
                  <w:lang w:val="es-ES"/>
                </w:rPr>
                <w:alias w:val="Resumo"/>
                <w:id w:val="8276291"/>
                <w:dataBinding w:prefixMappings="xmlns:ns0='http://schemas.microsoft.com/office/2006/coverPageProps'" w:xpath="/ns0:CoverPageProperties[1]/ns0:Abstract[1]" w:storeItemID="{55AF091B-3C7A-41E3-B477-F2FDAA23CFDA}"/>
                <w:text/>
              </w:sdtPr>
              <w:sdtContent>
                <w:tc>
                  <w:tcPr>
                    <w:tcW w:w="5000" w:type="pct"/>
                  </w:tcPr>
                  <w:p w:rsidR="00114300" w:rsidRPr="005C5B91" w:rsidRDefault="00114300" w:rsidP="00CF1BCF">
                    <w:pPr>
                      <w:pStyle w:val="NoSpacing"/>
                      <w:jc w:val="both"/>
                      <w:rPr>
                        <w:noProof/>
                        <w:lang w:val="es-ES"/>
                      </w:rPr>
                    </w:pPr>
                    <w:r w:rsidRPr="005C5B91">
                      <w:rPr>
                        <w:rFonts w:ascii="Times New Roman" w:hAnsi="Times New Roman" w:cs="Times New Roman"/>
                        <w:noProof/>
                        <w:sz w:val="24"/>
                        <w:szCs w:val="24"/>
                        <w:lang w:val="es-ES"/>
                      </w:rPr>
                      <w:t xml:space="preserve">El presente estudio </w:t>
                    </w:r>
                    <w:r w:rsidR="001E0051" w:rsidRPr="005C5B91">
                      <w:rPr>
                        <w:rFonts w:ascii="Times New Roman" w:hAnsi="Times New Roman" w:cs="Times New Roman"/>
                        <w:noProof/>
                        <w:sz w:val="24"/>
                        <w:szCs w:val="24"/>
                        <w:lang w:val="es-ES"/>
                      </w:rPr>
                      <w:t xml:space="preserve">fue preparado por Gilberto Chona </w:t>
                    </w:r>
                    <w:r w:rsidR="001F051C" w:rsidRPr="005C5B91">
                      <w:rPr>
                        <w:rFonts w:ascii="Times New Roman" w:hAnsi="Times New Roman" w:cs="Times New Roman"/>
                        <w:noProof/>
                        <w:sz w:val="24"/>
                        <w:szCs w:val="24"/>
                        <w:lang w:val="es-ES"/>
                      </w:rPr>
                      <w:t xml:space="preserve">(ICF/FMM) </w:t>
                    </w:r>
                    <w:r w:rsidR="001E0051" w:rsidRPr="005C5B91">
                      <w:rPr>
                        <w:rFonts w:ascii="Times New Roman" w:hAnsi="Times New Roman" w:cs="Times New Roman"/>
                        <w:noProof/>
                        <w:sz w:val="24"/>
                        <w:szCs w:val="24"/>
                        <w:lang w:val="es-ES"/>
                      </w:rPr>
                      <w:t>y Marcio Crace</w:t>
                    </w:r>
                    <w:r w:rsidR="001F051C" w:rsidRPr="005C5B91">
                      <w:rPr>
                        <w:rFonts w:ascii="Times New Roman" w:hAnsi="Times New Roman" w:cs="Times New Roman"/>
                        <w:noProof/>
                        <w:sz w:val="24"/>
                        <w:szCs w:val="24"/>
                        <w:lang w:val="es-ES"/>
                      </w:rPr>
                      <w:t>l (Consultor ICF/FMM)</w:t>
                    </w:r>
                    <w:r w:rsidR="0017289C" w:rsidRPr="005C5B91">
                      <w:rPr>
                        <w:rFonts w:ascii="Times New Roman" w:hAnsi="Times New Roman" w:cs="Times New Roman"/>
                        <w:noProof/>
                        <w:sz w:val="24"/>
                        <w:szCs w:val="24"/>
                        <w:lang w:val="es-ES"/>
                      </w:rPr>
                      <w:t>.</w:t>
                    </w:r>
                  </w:p>
                </w:tc>
              </w:sdtContent>
            </w:sdt>
          </w:tr>
        </w:tbl>
        <w:p w:rsidR="00114300" w:rsidRPr="005C5B91" w:rsidRDefault="00114300" w:rsidP="00CF1BCF">
          <w:pPr>
            <w:jc w:val="both"/>
          </w:pPr>
        </w:p>
        <w:p w:rsidR="00114300" w:rsidRPr="005C5B91" w:rsidRDefault="00114300" w:rsidP="00CF1BCF">
          <w:pPr>
            <w:rPr>
              <w:rFonts w:ascii="Times New Roman" w:hAnsi="Times New Roman" w:cs="Times New Roman"/>
              <w:b/>
              <w:caps/>
              <w:sz w:val="24"/>
              <w:szCs w:val="24"/>
            </w:rPr>
          </w:pPr>
          <w:r w:rsidRPr="005C5B91">
            <w:rPr>
              <w:caps/>
              <w:smallCaps/>
              <w:szCs w:val="24"/>
            </w:rPr>
            <w:br w:type="page"/>
          </w:r>
        </w:p>
      </w:sdtContent>
    </w:sdt>
    <w:p w:rsidR="008E7EA8" w:rsidRPr="005C5B91" w:rsidRDefault="008E7EA8" w:rsidP="00CF1BCF">
      <w:pPr>
        <w:spacing w:after="0" w:line="240" w:lineRule="auto"/>
        <w:jc w:val="center"/>
        <w:rPr>
          <w:rFonts w:ascii="Times New Roman Bold" w:hAnsi="Times New Roman Bold" w:cs="Times New Roman"/>
          <w:b/>
          <w:smallCaps/>
          <w:sz w:val="24"/>
          <w:szCs w:val="24"/>
        </w:rPr>
      </w:pPr>
      <w:r w:rsidRPr="005C5B91">
        <w:rPr>
          <w:rFonts w:ascii="Times New Roman Bold" w:hAnsi="Times New Roman Bold" w:cs="Times New Roman"/>
          <w:b/>
          <w:smallCaps/>
          <w:sz w:val="24"/>
          <w:szCs w:val="24"/>
        </w:rPr>
        <w:lastRenderedPageBreak/>
        <w:t>Programa de Fortalecimiento de la Gestión Fiscal</w:t>
      </w:r>
      <w:r w:rsidR="001E0051" w:rsidRPr="005C5B91">
        <w:rPr>
          <w:rFonts w:ascii="Times New Roman Bold" w:hAnsi="Times New Roman Bold" w:cs="Times New Roman"/>
          <w:b/>
          <w:smallCaps/>
          <w:sz w:val="24"/>
          <w:szCs w:val="24"/>
        </w:rPr>
        <w:t xml:space="preserve"> (</w:t>
      </w:r>
      <w:r w:rsidRPr="005C5B91">
        <w:rPr>
          <w:rFonts w:ascii="Times New Roman Bold" w:hAnsi="Times New Roman Bold" w:cs="Times New Roman"/>
          <w:b/>
          <w:smallCaps/>
          <w:sz w:val="24"/>
          <w:szCs w:val="24"/>
        </w:rPr>
        <w:t>PN-L1066</w:t>
      </w:r>
      <w:r w:rsidR="001E0051" w:rsidRPr="005C5B91">
        <w:rPr>
          <w:rFonts w:ascii="Times New Roman Bold" w:hAnsi="Times New Roman Bold" w:cs="Times New Roman"/>
          <w:b/>
          <w:smallCaps/>
          <w:sz w:val="24"/>
          <w:szCs w:val="24"/>
        </w:rPr>
        <w:t>)</w:t>
      </w:r>
    </w:p>
    <w:p w:rsidR="008E7EA8" w:rsidRPr="005C5B91" w:rsidRDefault="008E7EA8" w:rsidP="00CF1BCF">
      <w:pPr>
        <w:spacing w:after="240" w:line="240" w:lineRule="auto"/>
        <w:jc w:val="center"/>
        <w:rPr>
          <w:rFonts w:ascii="Times New Roman Bold" w:hAnsi="Times New Roman Bold" w:cs="Times New Roman"/>
          <w:b/>
          <w:smallCaps/>
          <w:sz w:val="24"/>
          <w:szCs w:val="24"/>
        </w:rPr>
      </w:pPr>
      <w:r w:rsidRPr="005C5B91">
        <w:rPr>
          <w:rFonts w:ascii="Times New Roman Bold" w:hAnsi="Times New Roman Bold" w:cs="Times New Roman"/>
          <w:b/>
          <w:smallCaps/>
          <w:sz w:val="24"/>
          <w:szCs w:val="24"/>
        </w:rPr>
        <w:t>Análisis Económic</w:t>
      </w:r>
      <w:r w:rsidR="000C3AB7" w:rsidRPr="005C5B91">
        <w:rPr>
          <w:rFonts w:ascii="Times New Roman Bold" w:hAnsi="Times New Roman Bold" w:cs="Times New Roman"/>
          <w:b/>
          <w:smallCaps/>
          <w:sz w:val="24"/>
          <w:szCs w:val="24"/>
        </w:rPr>
        <w:t>o</w:t>
      </w:r>
      <w:r w:rsidR="001E0051" w:rsidRPr="005C5B91">
        <w:rPr>
          <w:rFonts w:ascii="Times New Roman Bold" w:hAnsi="Times New Roman Bold" w:cs="Times New Roman"/>
          <w:b/>
          <w:smallCaps/>
          <w:sz w:val="24"/>
          <w:szCs w:val="24"/>
        </w:rPr>
        <w:t>-</w:t>
      </w:r>
      <w:r w:rsidR="00C85F56" w:rsidRPr="005C5B91">
        <w:rPr>
          <w:rFonts w:ascii="Times New Roman Bold" w:hAnsi="Times New Roman Bold" w:cs="Times New Roman"/>
          <w:b/>
          <w:smallCaps/>
          <w:sz w:val="24"/>
          <w:szCs w:val="24"/>
        </w:rPr>
        <w:t>F</w:t>
      </w:r>
      <w:r w:rsidR="000C3AB7" w:rsidRPr="005C5B91">
        <w:rPr>
          <w:rFonts w:ascii="Times New Roman Bold" w:hAnsi="Times New Roman Bold" w:cs="Times New Roman"/>
          <w:b/>
          <w:smallCaps/>
          <w:sz w:val="24"/>
          <w:szCs w:val="24"/>
        </w:rPr>
        <w:t>inanciero</w:t>
      </w:r>
    </w:p>
    <w:p w:rsidR="005C5B91" w:rsidRDefault="0017289C" w:rsidP="00CF1BCF">
      <w:pPr>
        <w:pStyle w:val="ListParagraph"/>
        <w:spacing w:before="240" w:after="240"/>
        <w:contextualSpacing w:val="0"/>
        <w:jc w:val="center"/>
        <w:rPr>
          <w:rFonts w:ascii="Times New Roman Bold" w:hAnsi="Times New Roman Bold" w:cs="Times New Roman"/>
          <w:b/>
          <w:smallCaps/>
          <w:sz w:val="24"/>
          <w:szCs w:val="24"/>
        </w:rPr>
      </w:pPr>
      <w:r w:rsidRPr="005C5B91">
        <w:rPr>
          <w:rFonts w:ascii="Times New Roman Bold" w:hAnsi="Times New Roman Bold" w:cs="Times New Roman"/>
          <w:b/>
          <w:smallCaps/>
          <w:sz w:val="24"/>
          <w:szCs w:val="24"/>
        </w:rPr>
        <w:t>Resumen Ejecutivo</w:t>
      </w:r>
    </w:p>
    <w:p w:rsidR="001F051C" w:rsidRDefault="001F051C" w:rsidP="00CF1BCF">
      <w:pPr>
        <w:pStyle w:val="ListParagraph"/>
        <w:spacing w:before="120" w:after="120"/>
        <w:ind w:left="0"/>
        <w:contextualSpacing w:val="0"/>
        <w:jc w:val="both"/>
        <w:rPr>
          <w:rFonts w:ascii="Times New Roman" w:hAnsi="Times New Roman" w:cs="Times New Roman"/>
          <w:sz w:val="24"/>
          <w:szCs w:val="24"/>
        </w:rPr>
      </w:pPr>
      <w:r w:rsidRPr="005C5B91">
        <w:rPr>
          <w:rFonts w:ascii="Times New Roman" w:hAnsi="Times New Roman" w:cs="Times New Roman"/>
          <w:sz w:val="24"/>
          <w:szCs w:val="24"/>
        </w:rPr>
        <w:t xml:space="preserve">Este estudio </w:t>
      </w:r>
      <w:r w:rsidR="00BE183E" w:rsidRPr="005C5B91">
        <w:rPr>
          <w:rFonts w:ascii="Times New Roman" w:hAnsi="Times New Roman" w:cs="Times New Roman"/>
          <w:sz w:val="24"/>
          <w:szCs w:val="24"/>
        </w:rPr>
        <w:t>tiene como finalidad demo</w:t>
      </w:r>
      <w:r w:rsidRPr="005C5B91">
        <w:rPr>
          <w:rFonts w:ascii="Times New Roman" w:hAnsi="Times New Roman" w:cs="Times New Roman"/>
          <w:sz w:val="24"/>
          <w:szCs w:val="24"/>
        </w:rPr>
        <w:t>strar el beneficio financiero que se generará a partir de la modernización y mejora de los instrumentos de gestión de la administración tributaria y mejoras en el manejo del gasto público de Panamá. Estos beneficios son la base para que el proyecto pueda cumplir con su principal objetivo, que es apoyar al gobierno a elevar los niveles de inversión para hacer frente a la gran demanda por inversión social para le reducción de la pobreza, con beneficios directos sobre la población.</w:t>
      </w:r>
    </w:p>
    <w:p w:rsidR="001F051C" w:rsidRPr="005C5B91" w:rsidRDefault="0017289C" w:rsidP="00CF1BCF">
      <w:pPr>
        <w:pStyle w:val="ListParagraph"/>
        <w:spacing w:before="120" w:after="120"/>
        <w:ind w:left="0"/>
        <w:contextualSpacing w:val="0"/>
        <w:jc w:val="both"/>
        <w:rPr>
          <w:rFonts w:ascii="Times New Roman" w:hAnsi="Times New Roman" w:cs="Times New Roman"/>
          <w:sz w:val="24"/>
          <w:szCs w:val="24"/>
        </w:rPr>
      </w:pPr>
      <w:r w:rsidRPr="005C5B91">
        <w:rPr>
          <w:rFonts w:ascii="Times New Roman" w:hAnsi="Times New Roman" w:cs="Times New Roman"/>
          <w:sz w:val="24"/>
          <w:szCs w:val="24"/>
        </w:rPr>
        <w:t xml:space="preserve">El </w:t>
      </w:r>
      <w:r w:rsidR="000C3AB7" w:rsidRPr="005C5B91">
        <w:rPr>
          <w:rFonts w:ascii="Times New Roman" w:hAnsi="Times New Roman" w:cs="Times New Roman"/>
          <w:sz w:val="24"/>
          <w:szCs w:val="24"/>
        </w:rPr>
        <w:t xml:space="preserve">tipo de análisis realizado es </w:t>
      </w:r>
      <w:r w:rsidR="00D22071" w:rsidRPr="005C5B91">
        <w:rPr>
          <w:rFonts w:ascii="Times New Roman" w:hAnsi="Times New Roman" w:cs="Times New Roman"/>
          <w:sz w:val="24"/>
          <w:szCs w:val="24"/>
        </w:rPr>
        <w:t>de Costo E</w:t>
      </w:r>
      <w:r w:rsidR="000C3AB7" w:rsidRPr="005C5B91">
        <w:rPr>
          <w:rFonts w:ascii="Times New Roman" w:hAnsi="Times New Roman" w:cs="Times New Roman"/>
          <w:sz w:val="24"/>
          <w:szCs w:val="24"/>
        </w:rPr>
        <w:t>fectividad (</w:t>
      </w:r>
      <w:r w:rsidR="00D22071" w:rsidRPr="005C5B91">
        <w:rPr>
          <w:rFonts w:ascii="Times New Roman" w:hAnsi="Times New Roman" w:cs="Times New Roman"/>
          <w:sz w:val="24"/>
          <w:szCs w:val="24"/>
        </w:rPr>
        <w:t>CEA, por sus siglas en inglés)</w:t>
      </w:r>
      <w:r w:rsidR="000C3AB7" w:rsidRPr="005C5B91">
        <w:rPr>
          <w:rFonts w:ascii="Times New Roman" w:hAnsi="Times New Roman" w:cs="Times New Roman"/>
          <w:sz w:val="24"/>
          <w:szCs w:val="24"/>
        </w:rPr>
        <w:t>. Para ello, fueron seleccionados solamente dos resultados principales esperados del proyecto: (i) Incremento de la recaudación de la Dirección General de Ingresos (DGI) generada a través de la mejora de los instrumentos de selección y auditorí</w:t>
      </w:r>
      <w:r w:rsidR="005C5B91">
        <w:rPr>
          <w:rFonts w:ascii="Times New Roman" w:hAnsi="Times New Roman" w:cs="Times New Roman"/>
          <w:sz w:val="24"/>
          <w:szCs w:val="24"/>
        </w:rPr>
        <w:t>a de contribuyentes; y (ii)</w:t>
      </w:r>
      <w:r w:rsidR="00CF1BCF">
        <w:rPr>
          <w:rFonts w:ascii="Times New Roman" w:hAnsi="Times New Roman" w:cs="Times New Roman"/>
          <w:sz w:val="24"/>
          <w:szCs w:val="24"/>
        </w:rPr>
        <w:t> </w:t>
      </w:r>
      <w:r w:rsidR="000C3AB7" w:rsidRPr="005C5B91">
        <w:rPr>
          <w:rFonts w:ascii="Times New Roman" w:hAnsi="Times New Roman" w:cs="Times New Roman"/>
          <w:sz w:val="24"/>
          <w:szCs w:val="24"/>
        </w:rPr>
        <w:t>aumento de los intereses recibidos sobre los saldos de los recursos financieros del tesoro, generados a partir de la implantación de la cuenta única.</w:t>
      </w:r>
    </w:p>
    <w:p w:rsidR="00713F6B" w:rsidRPr="005C5B91" w:rsidRDefault="00713F6B" w:rsidP="00CF1BCF">
      <w:pPr>
        <w:pStyle w:val="ListParagraph"/>
        <w:spacing w:before="120" w:after="120"/>
        <w:ind w:left="0"/>
        <w:contextualSpacing w:val="0"/>
        <w:jc w:val="both"/>
        <w:rPr>
          <w:rFonts w:ascii="Times New Roman" w:hAnsi="Times New Roman" w:cs="Times New Roman"/>
          <w:sz w:val="24"/>
          <w:szCs w:val="24"/>
        </w:rPr>
      </w:pPr>
      <w:r w:rsidRPr="00CF1BCF">
        <w:rPr>
          <w:rFonts w:ascii="Times New Roman" w:hAnsi="Times New Roman" w:cs="Times New Roman"/>
          <w:sz w:val="24"/>
          <w:szCs w:val="24"/>
        </w:rPr>
        <w:t>Para validar los resultados de la evaluación se consideraron dos alternativas en ausencia del proyecto consistentes en: (i) reducir la evasión en el ITBMS por la vía de la reducción del gasto tributario; (ii) la reducción del número de días que los recursos del tesoro permanecen ociosos en cuentas bancarias de los entes ejecutores, por la vía de mejoras administrativas a los procesos de licitación del gobierno.</w:t>
      </w:r>
    </w:p>
    <w:p w:rsidR="00346DC5" w:rsidRPr="00CF1BCF" w:rsidRDefault="00346DC5" w:rsidP="00CF1BCF">
      <w:pPr>
        <w:pStyle w:val="ListParagraph"/>
        <w:spacing w:before="120" w:after="120"/>
        <w:ind w:left="0"/>
        <w:contextualSpacing w:val="0"/>
        <w:jc w:val="both"/>
        <w:rPr>
          <w:rFonts w:ascii="Times New Roman" w:hAnsi="Times New Roman" w:cs="Times New Roman"/>
          <w:sz w:val="24"/>
          <w:szCs w:val="24"/>
        </w:rPr>
      </w:pPr>
      <w:r w:rsidRPr="00CF1BCF">
        <w:rPr>
          <w:rFonts w:ascii="Times New Roman" w:hAnsi="Times New Roman" w:cs="Times New Roman"/>
          <w:sz w:val="24"/>
          <w:szCs w:val="24"/>
        </w:rPr>
        <w:t>De manera conservadora, se estima que las mejoras a ser introducidas por el proyecto resultarán en una recuperación de por lo menos 10% del total de incumplimiento del ITBMS, generando un beneficio financiero de aproximadamente 60,5 millones anuales, a partir del año 2013, comparado con la recaudación proyectada SIN EL PROYECTO.</w:t>
      </w:r>
    </w:p>
    <w:p w:rsidR="00346DC5" w:rsidRPr="00CF1BCF" w:rsidRDefault="00346DC5" w:rsidP="00CF1BCF">
      <w:pPr>
        <w:pStyle w:val="ListParagraph"/>
        <w:spacing w:before="120" w:after="120"/>
        <w:ind w:left="0"/>
        <w:contextualSpacing w:val="0"/>
        <w:jc w:val="both"/>
        <w:rPr>
          <w:rFonts w:ascii="Times New Roman" w:hAnsi="Times New Roman" w:cs="Times New Roman"/>
          <w:sz w:val="24"/>
          <w:szCs w:val="24"/>
        </w:rPr>
      </w:pPr>
      <w:r w:rsidRPr="00CF1BCF">
        <w:rPr>
          <w:rFonts w:ascii="Times New Roman" w:hAnsi="Times New Roman" w:cs="Times New Roman"/>
          <w:sz w:val="24"/>
          <w:szCs w:val="24"/>
        </w:rPr>
        <w:t>Por otra parte, con la implantación de la Cuenta Única del Tesoro, se espera también conservadoramente un beneficio financiero del orden de los 14,6 millones anuales, consecuencia de los intereses a ser pagados por el banco corresponsal a los recursos del tesoro que se quedan inactivos a causa de que el proceso de ejecución presupuestaria presenta una brecha entre la realización del compromiso, devengado y pagado. Se espera que este beneficio empiece a ocurrir a partir del año 2013.</w:t>
      </w:r>
    </w:p>
    <w:p w:rsidR="00713F6B" w:rsidRPr="00CF1BCF" w:rsidRDefault="00713F6B" w:rsidP="00CF1BCF">
      <w:pPr>
        <w:pStyle w:val="ListParagraph"/>
        <w:spacing w:before="120" w:after="120"/>
        <w:ind w:left="0"/>
        <w:jc w:val="both"/>
        <w:rPr>
          <w:rFonts w:ascii="Times New Roman" w:hAnsi="Times New Roman" w:cs="Times New Roman"/>
          <w:sz w:val="24"/>
          <w:szCs w:val="24"/>
        </w:rPr>
      </w:pPr>
      <w:r w:rsidRPr="00CF1BCF">
        <w:rPr>
          <w:rFonts w:ascii="Times New Roman" w:hAnsi="Times New Roman" w:cs="Times New Roman"/>
          <w:sz w:val="24"/>
          <w:szCs w:val="24"/>
        </w:rPr>
        <w:t>El análisis de costo efectividad financiero realizado arroja una TIR de 77% y un VPN de US$933,5 millones, lo cual justifica el financiamiento del BID. Se debe notar que otros beneficios económicos no fueron cuantificados, lo cual podría mejorar aún más el robusto resultado de la evaluación financiera.</w:t>
      </w:r>
    </w:p>
    <w:p w:rsidR="00713F6B" w:rsidRPr="005C5B91" w:rsidRDefault="00713F6B" w:rsidP="00CF1BCF">
      <w:pPr>
        <w:pStyle w:val="ListParagraph"/>
        <w:spacing w:before="120" w:after="120"/>
        <w:ind w:left="0"/>
        <w:contextualSpacing w:val="0"/>
        <w:jc w:val="both"/>
        <w:rPr>
          <w:rFonts w:ascii="Times New Roman" w:hAnsi="Times New Roman" w:cs="Times New Roman"/>
          <w:sz w:val="24"/>
          <w:szCs w:val="24"/>
        </w:rPr>
      </w:pPr>
      <w:r w:rsidRPr="00CF1BCF">
        <w:rPr>
          <w:rFonts w:ascii="Times New Roman" w:hAnsi="Times New Roman" w:cs="Times New Roman"/>
          <w:sz w:val="24"/>
          <w:szCs w:val="24"/>
        </w:rPr>
        <w:lastRenderedPageBreak/>
        <w:t>En vista de la evaluación financiera de costo efectividad realizada, se recomienda el financiamiento por parte del Banco al programa propuesto de Fortalecimiento de la Gestión Fiscal (PN-L1066).</w:t>
      </w:r>
    </w:p>
    <w:p w:rsidR="00862434" w:rsidRPr="005C5B91" w:rsidRDefault="0017289C" w:rsidP="00CF1BCF">
      <w:pPr>
        <w:spacing w:before="240" w:after="240"/>
        <w:jc w:val="center"/>
        <w:rPr>
          <w:rFonts w:ascii="Times New Roman Bold" w:hAnsi="Times New Roman Bold" w:cs="Times New Roman"/>
          <w:b/>
          <w:smallCaps/>
          <w:sz w:val="24"/>
          <w:szCs w:val="24"/>
        </w:rPr>
      </w:pPr>
      <w:r w:rsidRPr="005C5B91">
        <w:rPr>
          <w:rFonts w:ascii="Times New Roman" w:hAnsi="Times New Roman" w:cs="Times New Roman"/>
          <w:b/>
          <w:sz w:val="24"/>
          <w:szCs w:val="24"/>
        </w:rPr>
        <w:t>I.</w:t>
      </w:r>
      <w:r w:rsidRPr="005C5B91">
        <w:rPr>
          <w:rFonts w:ascii="Times New Roman" w:hAnsi="Times New Roman" w:cs="Times New Roman"/>
          <w:b/>
          <w:sz w:val="24"/>
          <w:szCs w:val="24"/>
        </w:rPr>
        <w:tab/>
      </w:r>
      <w:r w:rsidR="00F16BB4" w:rsidRPr="005C5B91">
        <w:rPr>
          <w:rFonts w:ascii="Times New Roman Bold" w:hAnsi="Times New Roman Bold" w:cs="Times New Roman"/>
          <w:b/>
          <w:smallCaps/>
          <w:sz w:val="24"/>
          <w:szCs w:val="24"/>
        </w:rPr>
        <w:t>I</w:t>
      </w:r>
      <w:r w:rsidR="00862434" w:rsidRPr="005C5B91">
        <w:rPr>
          <w:rFonts w:ascii="Times New Roman Bold" w:hAnsi="Times New Roman Bold" w:cs="Times New Roman"/>
          <w:b/>
          <w:smallCaps/>
          <w:sz w:val="24"/>
          <w:szCs w:val="24"/>
        </w:rPr>
        <w:t>ntroducción</w:t>
      </w:r>
    </w:p>
    <w:p w:rsidR="00D22071" w:rsidRPr="005C5B91" w:rsidRDefault="00CF1BCF" w:rsidP="00CF1BCF">
      <w:pPr>
        <w:jc w:val="both"/>
        <w:rPr>
          <w:rFonts w:ascii="Times New Roman" w:hAnsi="Times New Roman" w:cs="Times New Roman"/>
          <w:b/>
          <w:sz w:val="24"/>
          <w:szCs w:val="24"/>
        </w:rPr>
      </w:pPr>
      <w:r>
        <w:rPr>
          <w:rFonts w:ascii="Times New Roman Bold" w:hAnsi="Times New Roman Bold" w:cs="Times New Roman"/>
          <w:b/>
          <w:smallCaps/>
          <w:sz w:val="24"/>
          <w:szCs w:val="24"/>
        </w:rPr>
        <w:t>A.</w:t>
      </w:r>
      <w:r>
        <w:rPr>
          <w:rFonts w:ascii="Times New Roman Bold" w:hAnsi="Times New Roman Bold" w:cs="Times New Roman"/>
          <w:b/>
          <w:smallCaps/>
          <w:sz w:val="24"/>
          <w:szCs w:val="24"/>
        </w:rPr>
        <w:tab/>
      </w:r>
      <w:r w:rsidR="00D22071" w:rsidRPr="005C5B91">
        <w:rPr>
          <w:rFonts w:ascii="Times New Roman Bold" w:hAnsi="Times New Roman Bold" w:cs="Times New Roman"/>
          <w:b/>
          <w:smallCaps/>
          <w:sz w:val="24"/>
          <w:szCs w:val="24"/>
        </w:rPr>
        <w:t>Aproximación cualitativa al Análisis Costo-beneficio</w:t>
      </w:r>
    </w:p>
    <w:p w:rsidR="00AA1A19" w:rsidRPr="005C5B91" w:rsidRDefault="00862434" w:rsidP="00CF1BCF">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El presente es</w:t>
      </w:r>
      <w:r w:rsidR="008D1500" w:rsidRPr="005C5B91">
        <w:rPr>
          <w:rFonts w:ascii="Times New Roman" w:hAnsi="Times New Roman" w:cs="Times New Roman"/>
          <w:sz w:val="24"/>
          <w:szCs w:val="24"/>
        </w:rPr>
        <w:t>tudio tiene como finalidad demon</w:t>
      </w:r>
      <w:r w:rsidRPr="005C5B91">
        <w:rPr>
          <w:rFonts w:ascii="Times New Roman" w:hAnsi="Times New Roman" w:cs="Times New Roman"/>
          <w:sz w:val="24"/>
          <w:szCs w:val="24"/>
        </w:rPr>
        <w:t>strar el</w:t>
      </w:r>
      <w:r w:rsidR="008D1500" w:rsidRPr="005C5B91">
        <w:rPr>
          <w:rFonts w:ascii="Times New Roman" w:hAnsi="Times New Roman" w:cs="Times New Roman"/>
          <w:sz w:val="24"/>
          <w:szCs w:val="24"/>
        </w:rPr>
        <w:t xml:space="preserve"> beneficio financiero que se </w:t>
      </w:r>
      <w:r w:rsidRPr="005C5B91">
        <w:rPr>
          <w:rFonts w:ascii="Times New Roman" w:hAnsi="Times New Roman" w:cs="Times New Roman"/>
          <w:sz w:val="24"/>
          <w:szCs w:val="24"/>
        </w:rPr>
        <w:t>generar</w:t>
      </w:r>
      <w:r w:rsidR="008D1500" w:rsidRPr="005C5B91">
        <w:rPr>
          <w:rFonts w:ascii="Times New Roman" w:hAnsi="Times New Roman" w:cs="Times New Roman"/>
          <w:sz w:val="24"/>
          <w:szCs w:val="24"/>
        </w:rPr>
        <w:t>á</w:t>
      </w:r>
      <w:r w:rsidRPr="005C5B91">
        <w:rPr>
          <w:rFonts w:ascii="Times New Roman" w:hAnsi="Times New Roman" w:cs="Times New Roman"/>
          <w:sz w:val="24"/>
          <w:szCs w:val="24"/>
        </w:rPr>
        <w:t xml:space="preserve"> a partir de la modernización y mejora de los instrumentos de gestión de la administración tributaria y financiera</w:t>
      </w:r>
      <w:r w:rsidR="00A70A1D" w:rsidRPr="005C5B91">
        <w:rPr>
          <w:rFonts w:ascii="Times New Roman" w:hAnsi="Times New Roman" w:cs="Times New Roman"/>
          <w:sz w:val="24"/>
          <w:szCs w:val="24"/>
        </w:rPr>
        <w:t xml:space="preserve"> de Panamá</w:t>
      </w:r>
      <w:r w:rsidR="00D34045" w:rsidRPr="005C5B91">
        <w:rPr>
          <w:rFonts w:ascii="Times New Roman" w:hAnsi="Times New Roman" w:cs="Times New Roman"/>
          <w:sz w:val="24"/>
          <w:szCs w:val="24"/>
        </w:rPr>
        <w:t>. Estos</w:t>
      </w:r>
      <w:r w:rsidRPr="005C5B91">
        <w:rPr>
          <w:rFonts w:ascii="Times New Roman" w:hAnsi="Times New Roman" w:cs="Times New Roman"/>
          <w:sz w:val="24"/>
          <w:szCs w:val="24"/>
        </w:rPr>
        <w:t xml:space="preserve"> beneficios son la base para que el proyecto pueda cumplir con su principal objetivo, que es </w:t>
      </w:r>
      <w:r w:rsidR="00D07DE7" w:rsidRPr="005C5B91">
        <w:rPr>
          <w:rFonts w:ascii="Times New Roman" w:hAnsi="Times New Roman" w:cs="Times New Roman"/>
          <w:sz w:val="24"/>
          <w:szCs w:val="24"/>
        </w:rPr>
        <w:t>apoyar al gobierno a elevar los niveles de inversión para hacer frente a la gran demanda por inversión social para le reducción de la pobreza, con beneficios directos sobre la población.</w:t>
      </w:r>
      <w:r w:rsidRPr="005C5B91">
        <w:rPr>
          <w:rFonts w:ascii="Times New Roman" w:hAnsi="Times New Roman" w:cs="Times New Roman"/>
          <w:sz w:val="24"/>
          <w:szCs w:val="24"/>
        </w:rPr>
        <w:t xml:space="preserve"> </w:t>
      </w:r>
      <w:r w:rsidR="003D0EBF" w:rsidRPr="005C5B91">
        <w:rPr>
          <w:rFonts w:ascii="Times New Roman" w:hAnsi="Times New Roman" w:cs="Times New Roman"/>
          <w:sz w:val="24"/>
          <w:szCs w:val="24"/>
        </w:rPr>
        <w:t>A pesar de que este proyecto no gener</w:t>
      </w:r>
      <w:r w:rsidR="0017289C" w:rsidRPr="005C5B91">
        <w:rPr>
          <w:rFonts w:ascii="Times New Roman" w:hAnsi="Times New Roman" w:cs="Times New Roman"/>
          <w:sz w:val="24"/>
          <w:szCs w:val="24"/>
        </w:rPr>
        <w:t>a</w:t>
      </w:r>
      <w:r w:rsidR="003D0EBF" w:rsidRPr="005C5B91">
        <w:rPr>
          <w:rFonts w:ascii="Times New Roman" w:hAnsi="Times New Roman" w:cs="Times New Roman"/>
          <w:sz w:val="24"/>
          <w:szCs w:val="24"/>
        </w:rPr>
        <w:t xml:space="preserve"> beneficios directos para la sociedad (económicos), por ser un proyecto de características estrictamente fiscales, los beneficio</w:t>
      </w:r>
      <w:r w:rsidR="00C73C05" w:rsidRPr="005C5B91">
        <w:rPr>
          <w:rFonts w:ascii="Times New Roman" w:hAnsi="Times New Roman" w:cs="Times New Roman"/>
          <w:sz w:val="24"/>
          <w:szCs w:val="24"/>
        </w:rPr>
        <w:t>s</w:t>
      </w:r>
      <w:r w:rsidR="003D0EBF" w:rsidRPr="005C5B91">
        <w:rPr>
          <w:rFonts w:ascii="Times New Roman" w:hAnsi="Times New Roman" w:cs="Times New Roman"/>
          <w:sz w:val="24"/>
          <w:szCs w:val="24"/>
        </w:rPr>
        <w:t xml:space="preserve"> financieros </w:t>
      </w:r>
      <w:r w:rsidR="00D07DE7" w:rsidRPr="005C5B91">
        <w:rPr>
          <w:rFonts w:ascii="Times New Roman" w:hAnsi="Times New Roman" w:cs="Times New Roman"/>
          <w:sz w:val="24"/>
          <w:szCs w:val="24"/>
        </w:rPr>
        <w:t>provenientes</w:t>
      </w:r>
      <w:r w:rsidR="003D0EBF" w:rsidRPr="005C5B91">
        <w:rPr>
          <w:rFonts w:ascii="Times New Roman" w:hAnsi="Times New Roman" w:cs="Times New Roman"/>
          <w:sz w:val="24"/>
          <w:szCs w:val="24"/>
        </w:rPr>
        <w:t xml:space="preserve"> de la mejora de los inst</w:t>
      </w:r>
      <w:r w:rsidR="008D1500" w:rsidRPr="005C5B91">
        <w:rPr>
          <w:rFonts w:ascii="Times New Roman" w:hAnsi="Times New Roman" w:cs="Times New Roman"/>
          <w:sz w:val="24"/>
          <w:szCs w:val="24"/>
        </w:rPr>
        <w:t xml:space="preserve">rumentos de gestión fiscal </w:t>
      </w:r>
      <w:r w:rsidR="003D0EBF" w:rsidRPr="005C5B91">
        <w:rPr>
          <w:rFonts w:ascii="Times New Roman" w:hAnsi="Times New Roman" w:cs="Times New Roman"/>
          <w:sz w:val="24"/>
          <w:szCs w:val="24"/>
        </w:rPr>
        <w:t>ser</w:t>
      </w:r>
      <w:r w:rsidR="008D1500" w:rsidRPr="005C5B91">
        <w:rPr>
          <w:rFonts w:ascii="Times New Roman" w:hAnsi="Times New Roman" w:cs="Times New Roman"/>
          <w:sz w:val="24"/>
          <w:szCs w:val="24"/>
        </w:rPr>
        <w:t>án</w:t>
      </w:r>
      <w:r w:rsidR="003D0EBF" w:rsidRPr="005C5B91">
        <w:rPr>
          <w:rFonts w:ascii="Times New Roman" w:hAnsi="Times New Roman" w:cs="Times New Roman"/>
          <w:sz w:val="24"/>
          <w:szCs w:val="24"/>
        </w:rPr>
        <w:t xml:space="preserve"> direccionados a inversiones en los sectores sociales, por lo tanto los benef</w:t>
      </w:r>
      <w:r w:rsidR="00077F7F" w:rsidRPr="005C5B91">
        <w:rPr>
          <w:rFonts w:ascii="Times New Roman" w:hAnsi="Times New Roman" w:cs="Times New Roman"/>
          <w:sz w:val="24"/>
          <w:szCs w:val="24"/>
        </w:rPr>
        <w:t xml:space="preserve">icios financieros </w:t>
      </w:r>
      <w:r w:rsidR="0017289C" w:rsidRPr="005C5B91">
        <w:rPr>
          <w:rFonts w:ascii="Times New Roman" w:hAnsi="Times New Roman" w:cs="Times New Roman"/>
          <w:sz w:val="24"/>
          <w:szCs w:val="24"/>
        </w:rPr>
        <w:t xml:space="preserve">directos </w:t>
      </w:r>
      <w:r w:rsidR="00077F7F" w:rsidRPr="005C5B91">
        <w:rPr>
          <w:rFonts w:ascii="Times New Roman" w:hAnsi="Times New Roman" w:cs="Times New Roman"/>
          <w:sz w:val="24"/>
          <w:szCs w:val="24"/>
        </w:rPr>
        <w:t>se convertirán</w:t>
      </w:r>
      <w:r w:rsidR="003D0EBF" w:rsidRPr="005C5B91">
        <w:rPr>
          <w:rFonts w:ascii="Times New Roman" w:hAnsi="Times New Roman" w:cs="Times New Roman"/>
          <w:sz w:val="24"/>
          <w:szCs w:val="24"/>
        </w:rPr>
        <w:t xml:space="preserve"> en beneficios económico</w:t>
      </w:r>
      <w:r w:rsidR="008D1500" w:rsidRPr="005C5B91">
        <w:rPr>
          <w:rFonts w:ascii="Times New Roman" w:hAnsi="Times New Roman" w:cs="Times New Roman"/>
          <w:sz w:val="24"/>
          <w:szCs w:val="24"/>
        </w:rPr>
        <w:t xml:space="preserve">s </w:t>
      </w:r>
      <w:r w:rsidR="0017289C" w:rsidRPr="005C5B91">
        <w:rPr>
          <w:rFonts w:ascii="Times New Roman" w:hAnsi="Times New Roman" w:cs="Times New Roman"/>
          <w:sz w:val="24"/>
          <w:szCs w:val="24"/>
        </w:rPr>
        <w:t xml:space="preserve">indirectos </w:t>
      </w:r>
      <w:r w:rsidR="008D1500" w:rsidRPr="005C5B91">
        <w:rPr>
          <w:rFonts w:ascii="Times New Roman" w:hAnsi="Times New Roman" w:cs="Times New Roman"/>
          <w:sz w:val="24"/>
          <w:szCs w:val="24"/>
        </w:rPr>
        <w:t>tan pronto</w:t>
      </w:r>
      <w:r w:rsidR="003D0EBF" w:rsidRPr="005C5B91">
        <w:rPr>
          <w:rFonts w:ascii="Times New Roman" w:hAnsi="Times New Roman" w:cs="Times New Roman"/>
          <w:sz w:val="24"/>
          <w:szCs w:val="24"/>
        </w:rPr>
        <w:t xml:space="preserve"> el gobierno asigne los ingresos excedentes a su presupuesto de inversión</w:t>
      </w:r>
      <w:r w:rsidR="00D07DE7" w:rsidRPr="005C5B91">
        <w:rPr>
          <w:rFonts w:ascii="Times New Roman" w:hAnsi="Times New Roman" w:cs="Times New Roman"/>
          <w:sz w:val="24"/>
          <w:szCs w:val="24"/>
        </w:rPr>
        <w:t xml:space="preserve"> </w:t>
      </w:r>
      <w:r w:rsidR="0017289C" w:rsidRPr="005C5B91">
        <w:rPr>
          <w:rFonts w:ascii="Times New Roman" w:hAnsi="Times New Roman" w:cs="Times New Roman"/>
          <w:sz w:val="24"/>
          <w:szCs w:val="24"/>
        </w:rPr>
        <w:t xml:space="preserve">social </w:t>
      </w:r>
      <w:r w:rsidR="00D07DE7" w:rsidRPr="005C5B91">
        <w:rPr>
          <w:rFonts w:ascii="Times New Roman" w:hAnsi="Times New Roman" w:cs="Times New Roman"/>
          <w:sz w:val="24"/>
          <w:szCs w:val="24"/>
        </w:rPr>
        <w:t xml:space="preserve">en función del Plan Quinquenal de Inversiones 2010-2014, previsto </w:t>
      </w:r>
      <w:r w:rsidR="0017289C" w:rsidRPr="005C5B91">
        <w:rPr>
          <w:rFonts w:ascii="Times New Roman" w:hAnsi="Times New Roman" w:cs="Times New Roman"/>
          <w:sz w:val="24"/>
          <w:szCs w:val="24"/>
        </w:rPr>
        <w:t xml:space="preserve">a su vez </w:t>
      </w:r>
      <w:r w:rsidR="00D07DE7" w:rsidRPr="005C5B91">
        <w:rPr>
          <w:rFonts w:ascii="Times New Roman" w:hAnsi="Times New Roman" w:cs="Times New Roman"/>
          <w:sz w:val="24"/>
          <w:szCs w:val="24"/>
        </w:rPr>
        <w:t>en el Plan Estratégico de Gobierno</w:t>
      </w:r>
      <w:r w:rsidR="003D0EBF" w:rsidRPr="005C5B91">
        <w:rPr>
          <w:rFonts w:ascii="Times New Roman" w:hAnsi="Times New Roman" w:cs="Times New Roman"/>
          <w:sz w:val="24"/>
          <w:szCs w:val="24"/>
        </w:rPr>
        <w:t>.</w:t>
      </w:r>
    </w:p>
    <w:p w:rsidR="00AA1A19" w:rsidRPr="005C5B91" w:rsidRDefault="00AA1A19" w:rsidP="00CF1BCF">
      <w:pPr>
        <w:pStyle w:val="ListParagraph"/>
        <w:numPr>
          <w:ilvl w:val="1"/>
          <w:numId w:val="2"/>
        </w:num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El programa propuesto persigue r</w:t>
      </w:r>
      <w:r w:rsidR="004E4768">
        <w:rPr>
          <w:rFonts w:ascii="Times New Roman" w:hAnsi="Times New Roman" w:cs="Times New Roman"/>
          <w:sz w:val="24"/>
          <w:szCs w:val="24"/>
        </w:rPr>
        <w:t>eforzar la capacidad del g</w:t>
      </w:r>
      <w:r w:rsidRPr="005C5B91">
        <w:rPr>
          <w:rFonts w:ascii="Times New Roman" w:hAnsi="Times New Roman" w:cs="Times New Roman"/>
          <w:sz w:val="24"/>
          <w:szCs w:val="24"/>
        </w:rPr>
        <w:t>obierno para mantener altos niveles de inversión pública mediante intervenciones puntuales combinadas en administración tributaria, programación de inversiones, gestión presupuestaria, tesorería y en menor medida contabilidad gubernamental y programación financiera.</w:t>
      </w:r>
    </w:p>
    <w:p w:rsidR="008076FE" w:rsidRPr="005C5B91" w:rsidRDefault="008076FE" w:rsidP="00CF1BCF">
      <w:pPr>
        <w:spacing w:before="4320" w:after="120"/>
        <w:jc w:val="center"/>
        <w:rPr>
          <w:rFonts w:ascii="Times New Roman" w:hAnsi="Times New Roman" w:cs="Times New Roman"/>
          <w:b/>
          <w:sz w:val="24"/>
          <w:szCs w:val="24"/>
        </w:rPr>
      </w:pPr>
      <w:r w:rsidRPr="005C5B91">
        <w:rPr>
          <w:rFonts w:ascii="Times New Roman" w:hAnsi="Times New Roman" w:cs="Times New Roman"/>
          <w:b/>
          <w:sz w:val="24"/>
          <w:szCs w:val="24"/>
        </w:rPr>
        <w:t>Cuadro 1</w:t>
      </w:r>
    </w:p>
    <w:p w:rsidR="008076FE" w:rsidRPr="005C5B91" w:rsidRDefault="008076FE" w:rsidP="00CF1BCF">
      <w:pPr>
        <w:spacing w:after="0"/>
        <w:jc w:val="both"/>
        <w:rPr>
          <w:rFonts w:ascii="Times New Roman" w:hAnsi="Times New Roman" w:cs="Times New Roman"/>
          <w:sz w:val="24"/>
          <w:szCs w:val="24"/>
        </w:rPr>
      </w:pPr>
      <w:r w:rsidRPr="005C5B91">
        <w:rPr>
          <w:rFonts w:ascii="Times New Roman" w:hAnsi="Times New Roman" w:cs="Times New Roman"/>
          <w:sz w:val="24"/>
          <w:szCs w:val="24"/>
          <w:lang w:eastAsia="es-ES"/>
        </w:rPr>
        <w:drawing>
          <wp:inline distT="0" distB="0" distL="0" distR="0">
            <wp:extent cx="5943600" cy="2971800"/>
            <wp:effectExtent l="0" t="0" r="0" b="0"/>
            <wp:docPr id="6"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29650" cy="6407150"/>
                      <a:chOff x="0" y="314325"/>
                      <a:chExt cx="8629650" cy="6407150"/>
                    </a:xfrm>
                  </a:grpSpPr>
                  <a:sp>
                    <a:nvSpPr>
                      <a:cNvPr id="20483" name="Rectangle 2"/>
                      <a:cNvSpPr>
                        <a:spLocks noChangeArrowheads="1"/>
                      </a:cNvSpPr>
                    </a:nvSpPr>
                    <a:spPr bwMode="auto">
                      <a:xfrm>
                        <a:off x="0" y="314325"/>
                        <a:ext cx="8618537" cy="477054"/>
                      </a:xfrm>
                      <a:prstGeom prst="rect">
                        <a:avLst/>
                      </a:prstGeom>
                      <a:noFill/>
                      <a:ln w="9525">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defTabSz="895350">
                            <a:buClrTx/>
                            <a:buSzTx/>
                            <a:buFontTx/>
                            <a:buNone/>
                          </a:pPr>
                          <a:endParaRPr lang="es-ES" sz="1900" b="1" dirty="0">
                            <a:solidFill>
                              <a:schemeClr val="tx2"/>
                            </a:solidFill>
                          </a:endParaRPr>
                        </a:p>
                        <a:p>
                          <a:pPr defTabSz="895350">
                            <a:buClrTx/>
                            <a:buSzTx/>
                            <a:buFontTx/>
                            <a:buNone/>
                          </a:pPr>
                          <a:r>
                            <a:rPr lang="es-PA" sz="1200" dirty="0" smtClean="0">
                              <a:solidFill>
                                <a:srgbClr val="808080"/>
                              </a:solidFill>
                            </a:rPr>
                            <a:t>                                                                                          Cifras </a:t>
                          </a:r>
                          <a:r>
                            <a:rPr lang="es-PA" sz="1200" dirty="0">
                              <a:solidFill>
                                <a:srgbClr val="808080"/>
                              </a:solidFill>
                            </a:rPr>
                            <a:t>en Balboas</a:t>
                          </a:r>
                          <a:endParaRPr lang="es-ES" sz="1200" dirty="0">
                            <a:solidFill>
                              <a:srgbClr val="808080"/>
                            </a:solidFill>
                          </a:endParaRPr>
                        </a:p>
                      </a:txBody>
                      <a:useSpRect/>
                    </a:txSp>
                  </a:sp>
                  <a:sp>
                    <a:nvSpPr>
                      <a:cNvPr id="20484" name="Line 3"/>
                      <a:cNvSpPr>
                        <a:spLocks noChangeShapeType="1"/>
                      </a:cNvSpPr>
                    </a:nvSpPr>
                    <a:spPr bwMode="auto">
                      <a:xfrm>
                        <a:off x="461962" y="2854325"/>
                        <a:ext cx="5435600" cy="0"/>
                      </a:xfrm>
                      <a:prstGeom prst="line">
                        <a:avLst/>
                      </a:prstGeom>
                      <a:noFill/>
                      <a:ln w="9525">
                        <a:no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486" name="Rectangle 8"/>
                      <a:cNvSpPr>
                        <a:spLocks noChangeArrowheads="1"/>
                      </a:cNvSpPr>
                    </a:nvSpPr>
                    <a:spPr bwMode="auto">
                      <a:xfrm>
                        <a:off x="1620837" y="947737"/>
                        <a:ext cx="6550025" cy="2019300"/>
                      </a:xfrm>
                      <a:prstGeom prst="rect">
                        <a:avLst/>
                      </a:prstGeom>
                      <a:solidFill>
                        <a:srgbClr val="FFFFFF"/>
                      </a:solidFill>
                      <a:ln w="9525" algn="ctr">
                        <a:noFill/>
                        <a:miter lim="800000"/>
                        <a:headEnd/>
                        <a:tailEnd/>
                      </a:ln>
                    </a:spPr>
                    <a:txSp>
                      <a:txBody>
                        <a:bodyPr lIns="0" tIns="0" rIns="0" bIns="0" anchor="ctr">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spcBef>
                              <a:spcPct val="75000"/>
                            </a:spcBef>
                            <a:buFont typeface="Arial" charset="0"/>
                            <a:buNone/>
                            <a:tabLst>
                              <a:tab pos="3590925" algn="ctr"/>
                              <a:tab pos="5200650" algn="r"/>
                              <a:tab pos="5924550" algn="ctr"/>
                            </a:tabLst>
                          </a:pPr>
                          <a:r>
                            <a:rPr lang="es-PA" sz="1000">
                              <a:solidFill>
                                <a:schemeClr val="tx2"/>
                              </a:solidFill>
                              <a:cs typeface="Arial" charset="0"/>
                            </a:rPr>
                            <a:t>	</a:t>
                          </a:r>
                          <a:r>
                            <a:rPr lang="es-PA" sz="1000" b="1">
                              <a:solidFill>
                                <a:schemeClr val="tx2"/>
                              </a:solidFill>
                              <a:cs typeface="Arial" charset="0"/>
                            </a:rPr>
                            <a:t>Beneficiarios	Costo Anual	</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Red de Oportunidades</a:t>
                          </a:r>
                          <a:r>
                            <a:rPr lang="es-PA" sz="1000">
                              <a:solidFill>
                                <a:schemeClr val="tx2"/>
                              </a:solidFill>
                              <a:cs typeface="Arial" charset="0"/>
                            </a:rPr>
                            <a:t>	76,000 hogares	50,000,000	657.89</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100 a los 70</a:t>
                          </a:r>
                          <a:r>
                            <a:rPr lang="es-PA" sz="1000">
                              <a:solidFill>
                                <a:schemeClr val="tx2"/>
                              </a:solidFill>
                              <a:cs typeface="Arial" charset="0"/>
                            </a:rPr>
                            <a:t>	70,000 adultos mayores	84,000,000	1,200.00</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Intereses Preferenciales Hipotecarios</a:t>
                          </a:r>
                          <a:r>
                            <a:rPr lang="es-PA" sz="1000">
                              <a:solidFill>
                                <a:schemeClr val="tx2"/>
                              </a:solidFill>
                              <a:cs typeface="Arial" charset="0"/>
                            </a:rPr>
                            <a:t>	70,000 familias	73,000,000	1,042.86</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Subsidio eléctrico (consumo menor de 500kW-h)</a:t>
                          </a:r>
                          <a:r>
                            <a:rPr lang="es-PA" sz="1000">
                              <a:solidFill>
                                <a:schemeClr val="tx2"/>
                              </a:solidFill>
                              <a:cs typeface="Arial" charset="0"/>
                            </a:rPr>
                            <a:t>	672,000 familias	96,000,000	142.86</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Tanques de gas de 25lbs.</a:t>
                          </a:r>
                          <a:r>
                            <a:rPr lang="es-PA" sz="1000">
                              <a:solidFill>
                                <a:schemeClr val="tx2"/>
                              </a:solidFill>
                              <a:cs typeface="Arial" charset="0"/>
                            </a:rPr>
                            <a:t>	640,000 familias	58,000,000	90.63</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Entrega de libros, uniformes y útiles escolares</a:t>
                          </a:r>
                          <a:r>
                            <a:rPr lang="es-PA" sz="1000">
                              <a:solidFill>
                                <a:schemeClr val="tx2"/>
                              </a:solidFill>
                              <a:cs typeface="Arial" charset="0"/>
                            </a:rPr>
                            <a:t>	800,000 estudiantes	40,000,000	50.00</a:t>
                          </a:r>
                        </a:p>
                        <a:p>
                          <a:pPr eaLnBrk="0" fontAlgn="ctr" hangingPunct="0">
                            <a:spcBef>
                              <a:spcPct val="75000"/>
                            </a:spcBef>
                            <a:buFont typeface="Arial" charset="0"/>
                            <a:buNone/>
                            <a:tabLst>
                              <a:tab pos="3590925" algn="ctr"/>
                              <a:tab pos="5200650" algn="r"/>
                              <a:tab pos="5924550" algn="ctr"/>
                            </a:tabLst>
                          </a:pPr>
                          <a:r>
                            <a:rPr lang="es-PA" sz="1000" b="1">
                              <a:solidFill>
                                <a:schemeClr val="tx2"/>
                              </a:solidFill>
                              <a:cs typeface="Arial" charset="0"/>
                            </a:rPr>
                            <a:t>Beca Universal</a:t>
                          </a:r>
                          <a:r>
                            <a:rPr lang="es-PA" sz="1000">
                              <a:solidFill>
                                <a:schemeClr val="tx2"/>
                              </a:solidFill>
                              <a:cs typeface="Arial" charset="0"/>
                            </a:rPr>
                            <a:t>	555,000 estudiantes	111,000,000	200.00</a:t>
                          </a:r>
                          <a:endParaRPr lang="es-PA" sz="1000">
                            <a:solidFill>
                              <a:schemeClr val="tx2"/>
                            </a:solidFill>
                          </a:endParaRPr>
                        </a:p>
                      </a:txBody>
                      <a:useSpRect/>
                    </a:txSp>
                  </a:sp>
                  <a:sp>
                    <a:nvSpPr>
                      <a:cNvPr id="20510" name="Rectangle 35"/>
                      <a:cNvSpPr>
                        <a:spLocks noChangeArrowheads="1"/>
                      </a:cNvSpPr>
                    </a:nvSpPr>
                    <a:spPr bwMode="auto">
                      <a:xfrm>
                        <a:off x="414337" y="1255712"/>
                        <a:ext cx="1044575" cy="304800"/>
                      </a:xfrm>
                      <a:prstGeom prst="rect">
                        <a:avLst/>
                      </a:prstGeom>
                      <a:noFill/>
                      <a:ln w="9525" algn="ctr">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defTabSz="895350">
                            <a:spcAft>
                              <a:spcPct val="50000"/>
                            </a:spcAft>
                            <a:buFont typeface="Arial" charset="0"/>
                            <a:buNone/>
                            <a:tabLst>
                              <a:tab pos="85725" algn="l"/>
                              <a:tab pos="447675" algn="ctr"/>
                              <a:tab pos="895350" algn="ctr"/>
                              <a:tab pos="1343025" algn="ctr"/>
                              <a:tab pos="2514600" algn="r"/>
                            </a:tabLst>
                          </a:pPr>
                          <a:r>
                            <a:rPr lang="es-PA" sz="1000" b="1">
                              <a:solidFill>
                                <a:schemeClr val="tx2"/>
                              </a:solidFill>
                            </a:rPr>
                            <a:t>Ayuda a los más necesitados</a:t>
                          </a:r>
                          <a:endParaRPr lang="es-ES" sz="1000" b="1">
                            <a:solidFill>
                              <a:schemeClr val="tx2"/>
                            </a:solidFill>
                          </a:endParaRPr>
                        </a:p>
                      </a:txBody>
                      <a:useSpRect/>
                    </a:txSp>
                  </a:sp>
                  <a:sp>
                    <a:nvSpPr>
                      <a:cNvPr id="20511" name="Rectangle 36"/>
                      <a:cNvSpPr>
                        <a:spLocks noChangeArrowheads="1"/>
                      </a:cNvSpPr>
                    </a:nvSpPr>
                    <a:spPr bwMode="auto">
                      <a:xfrm>
                        <a:off x="414337" y="1741487"/>
                        <a:ext cx="1044575" cy="152400"/>
                      </a:xfrm>
                      <a:prstGeom prst="rect">
                        <a:avLst/>
                      </a:prstGeom>
                      <a:noFill/>
                      <a:ln w="9525" algn="ctr">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defTabSz="895350">
                            <a:spcAft>
                              <a:spcPct val="50000"/>
                            </a:spcAft>
                            <a:buFont typeface="Arial" charset="0"/>
                            <a:buNone/>
                            <a:tabLst>
                              <a:tab pos="85725" algn="l"/>
                              <a:tab pos="447675" algn="ctr"/>
                              <a:tab pos="895350" algn="ctr"/>
                              <a:tab pos="1343025" algn="ctr"/>
                              <a:tab pos="2514600" algn="r"/>
                            </a:tabLst>
                          </a:pPr>
                          <a:r>
                            <a:rPr lang="es-PA" sz="1000" b="1">
                              <a:solidFill>
                                <a:schemeClr val="tx2"/>
                              </a:solidFill>
                            </a:rPr>
                            <a:t>Vivienda</a:t>
                          </a:r>
                          <a:endParaRPr lang="es-ES" sz="1000" b="1">
                            <a:solidFill>
                              <a:schemeClr val="tx2"/>
                            </a:solidFill>
                          </a:endParaRPr>
                        </a:p>
                      </a:txBody>
                      <a:useSpRect/>
                    </a:txSp>
                  </a:sp>
                  <a:sp>
                    <a:nvSpPr>
                      <a:cNvPr id="20512" name="Rectangle 37"/>
                      <a:cNvSpPr>
                        <a:spLocks noChangeArrowheads="1"/>
                      </a:cNvSpPr>
                    </a:nvSpPr>
                    <a:spPr bwMode="auto">
                      <a:xfrm>
                        <a:off x="414337" y="2132012"/>
                        <a:ext cx="1044575" cy="152400"/>
                      </a:xfrm>
                      <a:prstGeom prst="rect">
                        <a:avLst/>
                      </a:prstGeom>
                      <a:noFill/>
                      <a:ln w="9525" algn="ctr">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defTabSz="895350">
                            <a:spcAft>
                              <a:spcPct val="50000"/>
                            </a:spcAft>
                            <a:buFont typeface="Arial" charset="0"/>
                            <a:buNone/>
                            <a:tabLst>
                              <a:tab pos="85725" algn="l"/>
                              <a:tab pos="447675" algn="ctr"/>
                              <a:tab pos="895350" algn="ctr"/>
                              <a:tab pos="1343025" algn="ctr"/>
                              <a:tab pos="2514600" algn="r"/>
                            </a:tabLst>
                          </a:pPr>
                          <a:r>
                            <a:rPr lang="es-PA" sz="1000" b="1">
                              <a:solidFill>
                                <a:schemeClr val="tx2"/>
                              </a:solidFill>
                            </a:rPr>
                            <a:t>Energía</a:t>
                          </a:r>
                          <a:endParaRPr lang="es-ES" sz="1000" b="1">
                            <a:solidFill>
                              <a:schemeClr val="tx2"/>
                            </a:solidFill>
                          </a:endParaRPr>
                        </a:p>
                      </a:txBody>
                      <a:useSpRect/>
                    </a:txSp>
                  </a:sp>
                  <a:sp>
                    <a:nvSpPr>
                      <a:cNvPr id="20513" name="Rectangle 38"/>
                      <a:cNvSpPr>
                        <a:spLocks noChangeArrowheads="1"/>
                      </a:cNvSpPr>
                    </a:nvSpPr>
                    <a:spPr bwMode="auto">
                      <a:xfrm>
                        <a:off x="414337" y="2674937"/>
                        <a:ext cx="1044575" cy="152400"/>
                      </a:xfrm>
                      <a:prstGeom prst="rect">
                        <a:avLst/>
                      </a:prstGeom>
                      <a:noFill/>
                      <a:ln w="9525" algn="ctr">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defTabSz="895350">
                            <a:spcAft>
                              <a:spcPct val="50000"/>
                            </a:spcAft>
                            <a:buFont typeface="Arial" charset="0"/>
                            <a:buNone/>
                            <a:tabLst>
                              <a:tab pos="85725" algn="l"/>
                              <a:tab pos="447675" algn="ctr"/>
                              <a:tab pos="895350" algn="ctr"/>
                              <a:tab pos="1343025" algn="ctr"/>
                              <a:tab pos="2514600" algn="r"/>
                            </a:tabLst>
                          </a:pPr>
                          <a:r>
                            <a:rPr lang="es-PA" sz="1000" b="1">
                              <a:solidFill>
                                <a:schemeClr val="tx2"/>
                              </a:solidFill>
                            </a:rPr>
                            <a:t>Educación</a:t>
                          </a:r>
                          <a:endParaRPr lang="es-ES" sz="1000" b="1">
                            <a:solidFill>
                              <a:schemeClr val="tx2"/>
                            </a:solidFill>
                          </a:endParaRPr>
                        </a:p>
                      </a:txBody>
                      <a:useSpRect/>
                    </a:txSp>
                  </a:sp>
                  <a:sp>
                    <a:nvSpPr>
                      <a:cNvPr id="20514" name="Line 39"/>
                      <a:cNvSpPr>
                        <a:spLocks noChangeShapeType="1"/>
                      </a:cNvSpPr>
                    </a:nvSpPr>
                    <a:spPr bwMode="auto">
                      <a:xfrm>
                        <a:off x="430212" y="1112837"/>
                        <a:ext cx="7740650"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15" name="Line 40"/>
                      <a:cNvSpPr>
                        <a:spLocks noChangeShapeType="1"/>
                      </a:cNvSpPr>
                    </a:nvSpPr>
                    <a:spPr bwMode="auto">
                      <a:xfrm>
                        <a:off x="430212" y="1674812"/>
                        <a:ext cx="7740650" cy="0"/>
                      </a:xfrm>
                      <a:prstGeom prst="line">
                        <a:avLst/>
                      </a:prstGeom>
                      <a:noFill/>
                      <a:ln w="12700">
                        <a:solidFill>
                          <a:srgbClr val="808080"/>
                        </a:solidFill>
                        <a:prstDash val="dash"/>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16" name="Line 41"/>
                      <a:cNvSpPr>
                        <a:spLocks noChangeShapeType="1"/>
                      </a:cNvSpPr>
                    </a:nvSpPr>
                    <a:spPr bwMode="auto">
                      <a:xfrm>
                        <a:off x="430212" y="1951037"/>
                        <a:ext cx="7740650" cy="0"/>
                      </a:xfrm>
                      <a:prstGeom prst="line">
                        <a:avLst/>
                      </a:prstGeom>
                      <a:noFill/>
                      <a:ln w="12700">
                        <a:solidFill>
                          <a:srgbClr val="808080"/>
                        </a:solidFill>
                        <a:prstDash val="dash"/>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17" name="Line 42"/>
                      <a:cNvSpPr>
                        <a:spLocks noChangeShapeType="1"/>
                      </a:cNvSpPr>
                    </a:nvSpPr>
                    <a:spPr bwMode="auto">
                      <a:xfrm>
                        <a:off x="430212" y="2484437"/>
                        <a:ext cx="7740650" cy="0"/>
                      </a:xfrm>
                      <a:prstGeom prst="line">
                        <a:avLst/>
                      </a:prstGeom>
                      <a:noFill/>
                      <a:ln w="12700">
                        <a:solidFill>
                          <a:srgbClr val="808080"/>
                        </a:solidFill>
                        <a:prstDash val="dash"/>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18" name="Rectangle 43"/>
                      <a:cNvSpPr>
                        <a:spLocks noChangeArrowheads="1"/>
                      </a:cNvSpPr>
                    </a:nvSpPr>
                    <a:spPr bwMode="auto">
                      <a:xfrm>
                        <a:off x="1620837" y="941387"/>
                        <a:ext cx="1044575" cy="152400"/>
                      </a:xfrm>
                      <a:prstGeom prst="rect">
                        <a:avLst/>
                      </a:prstGeom>
                      <a:noFill/>
                      <a:ln w="9525" algn="ctr">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defTabSz="895350">
                            <a:spcAft>
                              <a:spcPct val="50000"/>
                            </a:spcAft>
                            <a:buFont typeface="Arial" charset="0"/>
                            <a:buNone/>
                            <a:tabLst>
                              <a:tab pos="85725" algn="l"/>
                              <a:tab pos="447675" algn="ctr"/>
                              <a:tab pos="895350" algn="ctr"/>
                              <a:tab pos="1343025" algn="ctr"/>
                              <a:tab pos="2514600" algn="r"/>
                            </a:tabLst>
                          </a:pPr>
                          <a:r>
                            <a:rPr lang="es-PA" sz="1000" b="1">
                              <a:solidFill>
                                <a:schemeClr val="tx2"/>
                              </a:solidFill>
                            </a:rPr>
                            <a:t>Programa</a:t>
                          </a:r>
                          <a:endParaRPr lang="es-ES" sz="1000" b="1">
                            <a:solidFill>
                              <a:schemeClr val="tx2"/>
                            </a:solidFill>
                          </a:endParaRPr>
                        </a:p>
                      </a:txBody>
                      <a:useSpRect/>
                    </a:txSp>
                  </a:sp>
                  <a:sp>
                    <a:nvSpPr>
                      <a:cNvPr id="20537" name="Rectangle 280"/>
                      <a:cNvSpPr txBox="1">
                        <a:spLocks noGrp="1" noChangeArrowheads="1"/>
                      </a:cNvSpPr>
                    </a:nvSpPr>
                    <a:spPr bwMode="auto">
                      <a:xfrm>
                        <a:off x="8426450" y="6515100"/>
                        <a:ext cx="195262" cy="152400"/>
                      </a:xfrm>
                      <a:prstGeom prst="rect">
                        <a:avLst/>
                      </a:prstGeom>
                      <a:noFill/>
                      <a:ln w="9525">
                        <a:noFill/>
                        <a:miter lim="800000"/>
                        <a:headEnd/>
                        <a:tailEnd/>
                      </a:ln>
                    </a:spPr>
                    <a:txSp>
                      <a:txBody>
                        <a:bodyPr wrap="none"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buClrTx/>
                            <a:buSzTx/>
                            <a:buFontTx/>
                            <a:buNone/>
                          </a:pPr>
                          <a:fld id="{F367522B-272C-4193-81D7-7821E7299775}" type="slidenum">
                            <a:rPr lang="en-US" sz="1000">
                              <a:solidFill>
                                <a:srgbClr val="000000"/>
                              </a:solidFill>
                            </a:rPr>
                            <a:pPr>
                              <a:buClrTx/>
                              <a:buSzTx/>
                              <a:buFontTx/>
                              <a:buNone/>
                            </a:pPr>
                            <a:t>19</a:t>
                          </a:fld>
                          <a:r>
                            <a:rPr lang="en-US" sz="1000">
                              <a:solidFill>
                                <a:srgbClr val="000000"/>
                              </a:solidFill>
                            </a:rPr>
                            <a:t> </a:t>
                          </a:r>
                        </a:p>
                      </a:txBody>
                      <a:useSpRect/>
                    </a:txSp>
                  </a:sp>
                  <a:sp>
                    <a:nvSpPr>
                      <a:cNvPr id="20538" name="Text Box 82"/>
                      <a:cNvSpPr txBox="1">
                        <a:spLocks noChangeArrowheads="1"/>
                      </a:cNvSpPr>
                    </a:nvSpPr>
                    <a:spPr bwMode="auto">
                      <a:xfrm>
                        <a:off x="6372225" y="6477000"/>
                        <a:ext cx="1939925" cy="24447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a:buClrTx/>
                            <a:buSzTx/>
                            <a:buFontTx/>
                            <a:buNone/>
                          </a:pPr>
                          <a:r>
                            <a:rPr lang="es-PA" sz="1000"/>
                            <a:t>Beneficios</a:t>
                          </a:r>
                          <a:endParaRPr lang="es-ES" sz="1000"/>
                        </a:p>
                      </a:txBody>
                      <a:useSpRect/>
                    </a:txSp>
                  </a:sp>
                  <a:sp>
                    <a:nvSpPr>
                      <a:cNvPr id="20539" name="Rectangle 68"/>
                      <a:cNvSpPr>
                        <a:spLocks noChangeArrowheads="1"/>
                      </a:cNvSpPr>
                    </a:nvSpPr>
                    <a:spPr bwMode="auto">
                      <a:xfrm>
                        <a:off x="7021512" y="798512"/>
                        <a:ext cx="1044575" cy="304800"/>
                      </a:xfrm>
                      <a:prstGeom prst="rect">
                        <a:avLst/>
                      </a:prstGeom>
                      <a:noFill/>
                      <a:ln w="9525" algn="ctr">
                        <a:noFill/>
                        <a:miter lim="800000"/>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defTabSz="895350">
                            <a:spcAft>
                              <a:spcPct val="50000"/>
                            </a:spcAft>
                            <a:buFont typeface="Arial" charset="0"/>
                            <a:buNone/>
                            <a:tabLst>
                              <a:tab pos="85725" algn="l"/>
                              <a:tab pos="447675" algn="ctr"/>
                              <a:tab pos="895350" algn="ctr"/>
                              <a:tab pos="1343025" algn="ctr"/>
                              <a:tab pos="2514600" algn="r"/>
                            </a:tabLst>
                          </a:pPr>
                          <a:r>
                            <a:rPr lang="es-PA" sz="1000" b="1">
                              <a:solidFill>
                                <a:schemeClr val="tx2"/>
                              </a:solidFill>
                            </a:rPr>
                            <a:t>Apoyo por Beneficiario</a:t>
                          </a:r>
                          <a:endParaRPr lang="es-ES" sz="1000" b="1">
                            <a:solidFill>
                              <a:schemeClr val="tx2"/>
                            </a:solidFill>
                          </a:endParaRPr>
                        </a:p>
                      </a:txBody>
                      <a:useSpRect/>
                    </a:txSp>
                  </a:sp>
                  <a:grpSp>
                    <a:nvGrpSpPr>
                      <a:cNvPr id="20557" name="Group 77"/>
                      <a:cNvGrpSpPr>
                        <a:grpSpLocks/>
                      </a:cNvGrpSpPr>
                    </a:nvGrpSpPr>
                    <a:grpSpPr bwMode="auto">
                      <a:xfrm>
                        <a:off x="95250" y="3094037"/>
                        <a:ext cx="8534400" cy="3162300"/>
                        <a:chOff x="174" y="1896"/>
                        <a:chExt cx="5376" cy="1992"/>
                      </a:xfrm>
                    </a:grpSpPr>
                    <a:grpSp>
                      <a:nvGrpSpPr>
                        <a:cNvPr id="18" name="Group 76"/>
                        <a:cNvGrpSpPr>
                          <a:grpSpLocks/>
                        </a:cNvGrpSpPr>
                      </a:nvGrpSpPr>
                      <a:grpSpPr bwMode="auto">
                        <a:xfrm>
                          <a:off x="2898" y="1896"/>
                          <a:ext cx="2652" cy="1992"/>
                          <a:chOff x="2898" y="1926"/>
                          <a:chExt cx="2652" cy="1992"/>
                        </a:xfrm>
                      </a:grpSpPr>
                      <a:sp>
                        <a:nvSpPr>
                          <a:cNvPr id="20554" name="AutoShape 74"/>
                          <a:cNvSpPr>
                            <a:spLocks noChangeArrowheads="1"/>
                          </a:cNvSpPr>
                        </a:nvSpPr>
                        <a:spPr bwMode="auto">
                          <a:xfrm>
                            <a:off x="2898" y="1926"/>
                            <a:ext cx="2652" cy="1992"/>
                          </a:xfrm>
                          <a:prstGeom prst="roundRect">
                            <a:avLst>
                              <a:gd name="adj" fmla="val 5634"/>
                            </a:avLst>
                          </a:prstGeom>
                          <a:solidFill>
                            <a:schemeClr val="bg1"/>
                          </a:solidFill>
                          <a:ln w="9525" algn="ctr">
                            <a:noFill/>
                            <a:round/>
                            <a:headEnd/>
                            <a:tailEnd/>
                          </a:ln>
                          <a:effectLst/>
                        </a:spPr>
                        <a:txSp>
                          <a:txBody>
                            <a:bodyPr wrap="none"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marL="193675" indent="-192088" algn="ctr" defTabSz="895350"/>
                              <a:endParaRPr lang="es-ES"/>
                            </a:p>
                          </a:txBody>
                          <a:useSpRect/>
                        </a:txSp>
                      </a:sp>
                      <a:grpSp>
                        <a:nvGrpSpPr>
                          <a:cNvPr id="45" name="Group 73"/>
                          <a:cNvGrpSpPr>
                            <a:grpSpLocks/>
                          </a:cNvGrpSpPr>
                        </a:nvGrpSpPr>
                        <a:grpSpPr bwMode="auto">
                          <a:xfrm>
                            <a:off x="2946" y="1956"/>
                            <a:ext cx="2578" cy="1902"/>
                            <a:chOff x="2946" y="2022"/>
                            <a:chExt cx="2578" cy="1902"/>
                          </a:xfrm>
                        </a:grpSpPr>
                        <a:sp>
                          <a:nvSpPr>
                            <a:cNvPr id="20487" name="Rectangle 10"/>
                            <a:cNvSpPr>
                              <a:spLocks noChangeArrowheads="1"/>
                            </a:cNvSpPr>
                          </a:nvSpPr>
                          <a:spPr bwMode="auto">
                            <a:xfrm>
                              <a:off x="2946" y="2100"/>
                              <a:ext cx="241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b="1">
                                    <a:solidFill>
                                      <a:schemeClr val="tx2"/>
                                    </a:solidFill>
                                    <a:cs typeface="Arial" charset="0"/>
                                  </a:rPr>
                                  <a:t>Ejemplo 2: Padres + 2 hijos estudiantes + Abuelita mayor de 70</a:t>
                                </a:r>
                                <a:endParaRPr lang="es-PA" sz="1000">
                                  <a:solidFill>
                                    <a:schemeClr val="tx2"/>
                                  </a:solidFill>
                                </a:endParaRPr>
                              </a:p>
                            </a:txBody>
                            <a:useSpRect/>
                          </a:txSp>
                        </a:sp>
                        <a:sp>
                          <a:nvSpPr>
                            <a:cNvPr id="20488" name="Line 11"/>
                            <a:cNvSpPr>
                              <a:spLocks noChangeShapeType="1"/>
                            </a:cNvSpPr>
                          </a:nvSpPr>
                          <a:spPr bwMode="auto">
                            <a:xfrm>
                              <a:off x="2946" y="2022"/>
                              <a:ext cx="0" cy="1584"/>
                            </a:xfrm>
                            <a:prstGeom prst="line">
                              <a:avLst/>
                            </a:prstGeom>
                            <a:noFill/>
                            <a:ln w="9525">
                              <a:no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489" name="Line 12"/>
                            <a:cNvSpPr>
                              <a:spLocks noChangeShapeType="1"/>
                            </a:cNvSpPr>
                          </a:nvSpPr>
                          <a:spPr bwMode="auto">
                            <a:xfrm>
                              <a:off x="2946" y="2244"/>
                              <a:ext cx="2446"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490" name="Rectangle 13"/>
                            <a:cNvSpPr>
                              <a:spLocks noChangeArrowheads="1"/>
                            </a:cNvSpPr>
                          </a:nvSpPr>
                          <a:spPr bwMode="auto">
                            <a:xfrm>
                              <a:off x="2946" y="2828"/>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Tanques de gas de 25lbs.</a:t>
                                </a:r>
                                <a:endParaRPr lang="es-PA" sz="1000">
                                  <a:solidFill>
                                    <a:schemeClr val="tx2"/>
                                  </a:solidFill>
                                </a:endParaRPr>
                              </a:p>
                            </a:txBody>
                            <a:useSpRect/>
                          </a:txSp>
                        </a:sp>
                        <a:sp>
                          <a:nvSpPr>
                            <a:cNvPr id="20491" name="Rectangle 14"/>
                            <a:cNvSpPr>
                              <a:spLocks noChangeArrowheads="1"/>
                            </a:cNvSpPr>
                          </a:nvSpPr>
                          <a:spPr bwMode="auto">
                            <a:xfrm>
                              <a:off x="2946" y="2632"/>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Subsidio eléctrico (consumo &lt; 500kW-h)</a:t>
                                </a:r>
                                <a:endParaRPr lang="es-PA" sz="1000">
                                  <a:solidFill>
                                    <a:schemeClr val="tx2"/>
                                  </a:solidFill>
                                </a:endParaRPr>
                              </a:p>
                            </a:txBody>
                            <a:useSpRect/>
                          </a:txSp>
                        </a:sp>
                        <a:sp>
                          <a:nvSpPr>
                            <a:cNvPr id="20492" name="Rectangle 15"/>
                            <a:cNvSpPr>
                              <a:spLocks noChangeArrowheads="1"/>
                            </a:cNvSpPr>
                          </a:nvSpPr>
                          <a:spPr bwMode="auto">
                            <a:xfrm>
                              <a:off x="2946" y="2436"/>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Entrega de libros, uniformes y útiles escolares</a:t>
                                </a:r>
                                <a:endParaRPr lang="es-PA" sz="1000">
                                  <a:solidFill>
                                    <a:schemeClr val="tx2"/>
                                  </a:solidFill>
                                </a:endParaRPr>
                              </a:p>
                            </a:txBody>
                            <a:useSpRect/>
                          </a:txSp>
                        </a:sp>
                        <a:sp>
                          <a:nvSpPr>
                            <a:cNvPr id="20493" name="Rectangle 16"/>
                            <a:cNvSpPr>
                              <a:spLocks noChangeArrowheads="1"/>
                            </a:cNvSpPr>
                          </a:nvSpPr>
                          <a:spPr bwMode="auto">
                            <a:xfrm>
                              <a:off x="2946" y="3024"/>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Intereses Preferenciales Hipotecarios</a:t>
                                </a:r>
                                <a:endParaRPr lang="es-PA" sz="1000">
                                  <a:solidFill>
                                    <a:schemeClr val="tx2"/>
                                  </a:solidFill>
                                </a:endParaRPr>
                              </a:p>
                            </a:txBody>
                            <a:useSpRect/>
                          </a:txSp>
                        </a:sp>
                        <a:sp>
                          <a:nvSpPr>
                            <a:cNvPr id="20494" name="Rectangle 17"/>
                            <a:cNvSpPr>
                              <a:spLocks noChangeArrowheads="1"/>
                            </a:cNvSpPr>
                          </a:nvSpPr>
                          <a:spPr bwMode="auto">
                            <a:xfrm>
                              <a:off x="2946" y="3636"/>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Beca Universal</a:t>
                                </a:r>
                                <a:endParaRPr lang="es-PA" sz="1000">
                                  <a:solidFill>
                                    <a:schemeClr val="tx2"/>
                                  </a:solidFill>
                                </a:endParaRPr>
                              </a:p>
                            </a:txBody>
                            <a:useSpRect/>
                          </a:txSp>
                        </a:sp>
                        <a:sp>
                          <a:nvSpPr>
                            <a:cNvPr id="20495" name="Rectangle 18"/>
                            <a:cNvSpPr>
                              <a:spLocks noChangeArrowheads="1"/>
                            </a:cNvSpPr>
                          </a:nvSpPr>
                          <a:spPr bwMode="auto">
                            <a:xfrm>
                              <a:off x="4588" y="2828"/>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90.63 </a:t>
                                </a:r>
                                <a:endParaRPr lang="es-PA" sz="1000">
                                  <a:solidFill>
                                    <a:schemeClr val="tx2"/>
                                  </a:solidFill>
                                </a:endParaRPr>
                              </a:p>
                            </a:txBody>
                            <a:useSpRect/>
                          </a:txSp>
                        </a:sp>
                        <a:sp>
                          <a:nvSpPr>
                            <a:cNvPr id="20496" name="Rectangle 19"/>
                            <a:cNvSpPr>
                              <a:spLocks noChangeArrowheads="1"/>
                            </a:cNvSpPr>
                          </a:nvSpPr>
                          <a:spPr bwMode="auto">
                            <a:xfrm>
                              <a:off x="4588" y="2632"/>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142.86 </a:t>
                                </a:r>
                                <a:endParaRPr lang="es-PA" sz="1000">
                                  <a:solidFill>
                                    <a:schemeClr val="tx2"/>
                                  </a:solidFill>
                                </a:endParaRPr>
                              </a:p>
                            </a:txBody>
                            <a:useSpRect/>
                          </a:txSp>
                        </a:sp>
                        <a:sp>
                          <a:nvSpPr>
                            <a:cNvPr id="20497" name="Rectangle 20"/>
                            <a:cNvSpPr>
                              <a:spLocks noChangeArrowheads="1"/>
                            </a:cNvSpPr>
                          </a:nvSpPr>
                          <a:spPr bwMode="auto">
                            <a:xfrm>
                              <a:off x="4468" y="3168"/>
                              <a:ext cx="48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b="1">
                                    <a:solidFill>
                                      <a:schemeClr val="tx2"/>
                                    </a:solidFill>
                                    <a:cs typeface="Arial" charset="0"/>
                                  </a:rPr>
                                  <a:t>1,376.34 </a:t>
                                </a:r>
                                <a:endParaRPr lang="es-PA" sz="1000" b="1">
                                  <a:solidFill>
                                    <a:schemeClr val="tx2"/>
                                  </a:solidFill>
                                </a:endParaRPr>
                              </a:p>
                            </a:txBody>
                            <a:useSpRect/>
                          </a:txSp>
                        </a:sp>
                        <a:sp>
                          <a:nvSpPr>
                            <a:cNvPr id="20498" name="Rectangle 21"/>
                            <a:cNvSpPr>
                              <a:spLocks noChangeArrowheads="1"/>
                            </a:cNvSpPr>
                          </a:nvSpPr>
                          <a:spPr bwMode="auto">
                            <a:xfrm>
                              <a:off x="4588" y="3024"/>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1,042.86 </a:t>
                                </a:r>
                                <a:endParaRPr lang="es-PA" sz="1000">
                                  <a:solidFill>
                                    <a:schemeClr val="tx2"/>
                                  </a:solidFill>
                                </a:endParaRPr>
                              </a:p>
                            </a:txBody>
                            <a:useSpRect/>
                          </a:txSp>
                        </a:sp>
                        <a:sp>
                          <a:nvSpPr>
                            <a:cNvPr id="20499" name="Line 22"/>
                            <a:cNvSpPr>
                              <a:spLocks noChangeShapeType="1"/>
                            </a:cNvSpPr>
                          </a:nvSpPr>
                          <a:spPr bwMode="auto">
                            <a:xfrm>
                              <a:off x="4588" y="3168"/>
                              <a:ext cx="360"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00" name="Rectangle 24"/>
                            <a:cNvSpPr>
                              <a:spLocks noChangeArrowheads="1"/>
                            </a:cNvSpPr>
                          </a:nvSpPr>
                          <a:spPr bwMode="auto">
                            <a:xfrm>
                              <a:off x="2946" y="3333"/>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100 a los 70</a:t>
                                </a:r>
                                <a:endParaRPr lang="es-PA" sz="1000">
                                  <a:solidFill>
                                    <a:schemeClr val="tx2"/>
                                  </a:solidFill>
                                </a:endParaRPr>
                              </a:p>
                            </a:txBody>
                            <a:useSpRect/>
                          </a:txSp>
                        </a:sp>
                        <a:sp>
                          <a:nvSpPr>
                            <a:cNvPr id="20501" name="Rectangle 25"/>
                            <a:cNvSpPr>
                              <a:spLocks noChangeArrowheads="1"/>
                            </a:cNvSpPr>
                          </a:nvSpPr>
                          <a:spPr bwMode="auto">
                            <a:xfrm>
                              <a:off x="4468" y="3477"/>
                              <a:ext cx="48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b="1">
                                    <a:solidFill>
                                      <a:schemeClr val="tx2"/>
                                    </a:solidFill>
                                    <a:cs typeface="Arial" charset="0"/>
                                  </a:rPr>
                                  <a:t>2,576.34</a:t>
                                </a:r>
                                <a:endParaRPr lang="es-PA" sz="1000" b="1">
                                  <a:solidFill>
                                    <a:schemeClr val="tx2"/>
                                  </a:solidFill>
                                </a:endParaRPr>
                              </a:p>
                            </a:txBody>
                            <a:useSpRect/>
                          </a:txSp>
                        </a:sp>
                        <a:sp>
                          <a:nvSpPr>
                            <a:cNvPr id="20502" name="Rectangle 26"/>
                            <a:cNvSpPr>
                              <a:spLocks noChangeArrowheads="1"/>
                            </a:cNvSpPr>
                          </a:nvSpPr>
                          <a:spPr bwMode="auto">
                            <a:xfrm>
                              <a:off x="4588" y="3333"/>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1,200.00 </a:t>
                                </a:r>
                                <a:endParaRPr lang="es-PA" sz="1000">
                                  <a:solidFill>
                                    <a:schemeClr val="tx2"/>
                                  </a:solidFill>
                                </a:endParaRPr>
                              </a:p>
                            </a:txBody>
                            <a:useSpRect/>
                          </a:txSp>
                        </a:sp>
                        <a:sp>
                          <a:nvSpPr>
                            <a:cNvPr id="20503" name="Line 27"/>
                            <a:cNvSpPr>
                              <a:spLocks noChangeShapeType="1"/>
                            </a:cNvSpPr>
                          </a:nvSpPr>
                          <a:spPr bwMode="auto">
                            <a:xfrm>
                              <a:off x="4588" y="3477"/>
                              <a:ext cx="360"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04" name="Rectangle 28"/>
                            <a:cNvSpPr>
                              <a:spLocks noChangeArrowheads="1"/>
                            </a:cNvSpPr>
                          </a:nvSpPr>
                          <a:spPr bwMode="auto">
                            <a:xfrm>
                              <a:off x="4468" y="3780"/>
                              <a:ext cx="48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b="1">
                                    <a:solidFill>
                                      <a:schemeClr val="tx2"/>
                                    </a:solidFill>
                                    <a:cs typeface="Arial" charset="0"/>
                                  </a:rPr>
                                  <a:t>2,976.34 </a:t>
                                </a:r>
                                <a:endParaRPr lang="es-PA" sz="1000" b="1">
                                  <a:solidFill>
                                    <a:schemeClr val="tx2"/>
                                  </a:solidFill>
                                </a:endParaRPr>
                              </a:p>
                            </a:txBody>
                            <a:useSpRect/>
                          </a:txSp>
                        </a:sp>
                        <a:sp>
                          <a:nvSpPr>
                            <a:cNvPr id="20505" name="Rectangle 29"/>
                            <a:cNvSpPr>
                              <a:spLocks noChangeArrowheads="1"/>
                            </a:cNvSpPr>
                          </a:nvSpPr>
                          <a:spPr bwMode="auto">
                            <a:xfrm>
                              <a:off x="4588" y="3636"/>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400.00 </a:t>
                                </a:r>
                                <a:endParaRPr lang="es-PA" sz="1000">
                                  <a:solidFill>
                                    <a:schemeClr val="tx2"/>
                                  </a:solidFill>
                                </a:endParaRPr>
                              </a:p>
                            </a:txBody>
                            <a:useSpRect/>
                          </a:txSp>
                        </a:sp>
                        <a:sp>
                          <a:nvSpPr>
                            <a:cNvPr id="20506" name="Line 30"/>
                            <a:cNvSpPr>
                              <a:spLocks noChangeShapeType="1"/>
                            </a:cNvSpPr>
                          </a:nvSpPr>
                          <a:spPr bwMode="auto">
                            <a:xfrm>
                              <a:off x="4588" y="3780"/>
                              <a:ext cx="360"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07" name="Rectangle 31"/>
                            <a:cNvSpPr>
                              <a:spLocks noChangeArrowheads="1"/>
                            </a:cNvSpPr>
                          </a:nvSpPr>
                          <a:spPr bwMode="auto">
                            <a:xfrm>
                              <a:off x="4426" y="2286"/>
                              <a:ext cx="732"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eaLnBrk="0" fontAlgn="ctr" hangingPunct="0">
                                  <a:buFont typeface="Arial" charset="0"/>
                                  <a:buNone/>
                                </a:pPr>
                                <a:r>
                                  <a:rPr lang="es-PA" sz="1000" b="1">
                                    <a:solidFill>
                                      <a:schemeClr val="tx2"/>
                                    </a:solidFill>
                                    <a:cs typeface="Arial" charset="0"/>
                                  </a:rPr>
                                  <a:t>Apoyo Recibido</a:t>
                                </a:r>
                                <a:endParaRPr lang="es-PA" sz="1000" b="1">
                                  <a:solidFill>
                                    <a:schemeClr val="tx2"/>
                                  </a:solidFill>
                                </a:endParaRPr>
                              </a:p>
                            </a:txBody>
                            <a:useSpRect/>
                          </a:txSp>
                        </a:sp>
                        <a:sp>
                          <a:nvSpPr>
                            <a:cNvPr id="20508" name="Rectangle 33"/>
                            <a:cNvSpPr>
                              <a:spLocks noChangeArrowheads="1"/>
                            </a:cNvSpPr>
                          </a:nvSpPr>
                          <a:spPr bwMode="auto">
                            <a:xfrm>
                              <a:off x="4588" y="2436"/>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100.00</a:t>
                                </a:r>
                                <a:endParaRPr lang="es-PA" sz="1000">
                                  <a:solidFill>
                                    <a:schemeClr val="tx2"/>
                                  </a:solidFill>
                                </a:endParaRPr>
                              </a:p>
                            </a:txBody>
                            <a:useSpRect/>
                          </a:txSp>
                        </a:sp>
                        <a:sp>
                          <a:nvSpPr>
                            <a:cNvPr id="20509" name="Rectangle 34"/>
                            <a:cNvSpPr>
                              <a:spLocks noChangeArrowheads="1"/>
                            </a:cNvSpPr>
                          </a:nvSpPr>
                          <a:spPr bwMode="auto">
                            <a:xfrm>
                              <a:off x="4957" y="2441"/>
                              <a:ext cx="1" cy="115"/>
                            </a:xfrm>
                            <a:prstGeom prst="rect">
                              <a:avLst/>
                            </a:prstGeom>
                            <a:noFill/>
                            <a:ln w="9525" algn="ctr">
                              <a:noFill/>
                              <a:miter lim="800000"/>
                              <a:headEnd/>
                              <a:tailEnd/>
                            </a:ln>
                          </a:spPr>
                          <a:txSp>
                            <a:txBody>
                              <a:bodyPr wrap="none"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defTabSz="895350">
                                  <a:spcAft>
                                    <a:spcPct val="50000"/>
                                  </a:spcAft>
                                  <a:buFont typeface="Arial" charset="0"/>
                                  <a:buNone/>
                                  <a:tabLst>
                                    <a:tab pos="85725" algn="l"/>
                                    <a:tab pos="447675" algn="ctr"/>
                                    <a:tab pos="895350" algn="ctr"/>
                                    <a:tab pos="1343025" algn="ctr"/>
                                    <a:tab pos="2514600" algn="r"/>
                                  </a:tabLst>
                                </a:pPr>
                                <a:endParaRPr lang="es-ES" sz="1200">
                                  <a:solidFill>
                                    <a:schemeClr val="tx2"/>
                                  </a:solidFill>
                                </a:endParaRPr>
                              </a:p>
                            </a:txBody>
                            <a:useSpRect/>
                          </a:txSp>
                        </a:sp>
                        <a:sp>
                          <a:nvSpPr>
                            <a:cNvPr id="20540" name="Rectangle 71"/>
                            <a:cNvSpPr>
                              <a:spLocks noChangeArrowheads="1"/>
                            </a:cNvSpPr>
                          </a:nvSpPr>
                          <a:spPr bwMode="auto">
                            <a:xfrm>
                              <a:off x="5008" y="3168"/>
                              <a:ext cx="516"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800">
                                    <a:solidFill>
                                      <a:schemeClr val="tx2"/>
                                    </a:solidFill>
                                    <a:cs typeface="Arial" charset="0"/>
                                  </a:rPr>
                                  <a:t>(114.69 mensual)</a:t>
                                </a:r>
                                <a:endParaRPr lang="es-PA" sz="800">
                                  <a:solidFill>
                                    <a:schemeClr val="tx2"/>
                                  </a:solidFill>
                                </a:endParaRPr>
                              </a:p>
                            </a:txBody>
                            <a:useSpRect/>
                          </a:txSp>
                        </a:sp>
                        <a:sp>
                          <a:nvSpPr>
                            <a:cNvPr id="20542" name="Rectangle 73"/>
                            <a:cNvSpPr>
                              <a:spLocks noChangeArrowheads="1"/>
                            </a:cNvSpPr>
                          </a:nvSpPr>
                          <a:spPr bwMode="auto">
                            <a:xfrm>
                              <a:off x="5008" y="3462"/>
                              <a:ext cx="516"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800">
                                    <a:solidFill>
                                      <a:schemeClr val="tx2"/>
                                    </a:solidFill>
                                    <a:cs typeface="Arial" charset="0"/>
                                  </a:rPr>
                                  <a:t>(214.69 mensual)</a:t>
                                </a:r>
                                <a:endParaRPr lang="es-PA" sz="800">
                                  <a:solidFill>
                                    <a:schemeClr val="tx2"/>
                                  </a:solidFill>
                                </a:endParaRPr>
                              </a:p>
                            </a:txBody>
                            <a:useSpRect/>
                          </a:txSp>
                        </a:sp>
                        <a:sp>
                          <a:nvSpPr>
                            <a:cNvPr id="20543" name="Rectangle 74"/>
                            <a:cNvSpPr>
                              <a:spLocks noChangeArrowheads="1"/>
                            </a:cNvSpPr>
                          </a:nvSpPr>
                          <a:spPr bwMode="auto">
                            <a:xfrm>
                              <a:off x="5008" y="3756"/>
                              <a:ext cx="516"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800">
                                    <a:solidFill>
                                      <a:schemeClr val="tx2"/>
                                    </a:solidFill>
                                    <a:cs typeface="Arial" charset="0"/>
                                  </a:rPr>
                                  <a:t>(248.03 mensual)</a:t>
                                </a:r>
                                <a:endParaRPr lang="es-PA" sz="800">
                                  <a:solidFill>
                                    <a:schemeClr val="tx2"/>
                                  </a:solidFill>
                                </a:endParaRPr>
                              </a:p>
                            </a:txBody>
                            <a:useSpRect/>
                          </a:txSp>
                        </a:sp>
                      </a:grpSp>
                    </a:grpSp>
                    <a:grpSp>
                      <a:nvGrpSpPr>
                        <a:cNvPr id="19" name="Group 75"/>
                        <a:cNvGrpSpPr>
                          <a:grpSpLocks/>
                        </a:cNvGrpSpPr>
                      </a:nvGrpSpPr>
                      <a:grpSpPr bwMode="auto">
                        <a:xfrm>
                          <a:off x="174" y="1896"/>
                          <a:ext cx="2652" cy="1686"/>
                          <a:chOff x="174" y="1992"/>
                          <a:chExt cx="2652" cy="1686"/>
                        </a:xfrm>
                      </a:grpSpPr>
                      <a:sp>
                        <a:nvSpPr>
                          <a:cNvPr id="20551" name="AutoShape 71"/>
                          <a:cNvSpPr>
                            <a:spLocks noChangeArrowheads="1"/>
                          </a:cNvSpPr>
                        </a:nvSpPr>
                        <a:spPr bwMode="auto">
                          <a:xfrm>
                            <a:off x="174" y="1992"/>
                            <a:ext cx="2652" cy="1686"/>
                          </a:xfrm>
                          <a:prstGeom prst="roundRect">
                            <a:avLst>
                              <a:gd name="adj" fmla="val 5634"/>
                            </a:avLst>
                          </a:prstGeom>
                          <a:solidFill>
                            <a:schemeClr val="bg1"/>
                          </a:solidFill>
                          <a:ln w="9525" algn="ctr">
                            <a:solidFill>
                              <a:schemeClr val="bg1"/>
                            </a:solidFill>
                            <a:round/>
                            <a:headEnd/>
                            <a:tailEnd/>
                          </a:ln>
                          <a:effectLst/>
                        </a:spPr>
                        <a:txSp>
                          <a:txBody>
                            <a:bodyPr wrap="none"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marL="193675" indent="-192088" algn="ctr" defTabSz="895350"/>
                              <a:endParaRPr lang="es-ES" dirty="0">
                                <a:ln w="18415" cmpd="sng">
                                  <a:solidFill>
                                    <a:srgbClr val="FFFFFF"/>
                                  </a:solidFill>
                                  <a:prstDash val="solid"/>
                                </a:ln>
                                <a:solidFill>
                                  <a:srgbClr val="FFFFFF"/>
                                </a:solidFill>
                                <a:effectLst>
                                  <a:outerShdw blurRad="63500" dir="3600000" algn="tl" rotWithShape="0">
                                    <a:srgbClr val="000000">
                                      <a:alpha val="70000"/>
                                    </a:srgbClr>
                                  </a:outerShdw>
                                </a:effectLst>
                              </a:endParaRPr>
                            </a:p>
                          </a:txBody>
                          <a:useSpRect/>
                        </a:txSp>
                      </a:sp>
                      <a:grpSp>
                        <a:nvGrpSpPr>
                          <a:cNvPr id="21" name="Group 70"/>
                          <a:cNvGrpSpPr>
                            <a:grpSpLocks/>
                          </a:cNvGrpSpPr>
                        </a:nvGrpSpPr>
                        <a:grpSpPr bwMode="auto">
                          <a:xfrm>
                            <a:off x="226" y="2022"/>
                            <a:ext cx="2548" cy="1599"/>
                            <a:chOff x="228" y="2022"/>
                            <a:chExt cx="2548" cy="1599"/>
                          </a:xfrm>
                        </a:grpSpPr>
                        <a:sp>
                          <a:nvSpPr>
                            <a:cNvPr id="20519" name="Rectangle 45"/>
                            <a:cNvSpPr>
                              <a:spLocks noChangeArrowheads="1"/>
                            </a:cNvSpPr>
                          </a:nvSpPr>
                          <a:spPr bwMode="auto">
                            <a:xfrm>
                              <a:off x="228" y="2100"/>
                              <a:ext cx="241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b="1">
                                    <a:solidFill>
                                      <a:schemeClr val="tx2"/>
                                    </a:solidFill>
                                    <a:cs typeface="Arial" charset="0"/>
                                  </a:rPr>
                                  <a:t>Ejemplo 1: Padres + 2 hijos estudiantes</a:t>
                                </a:r>
                                <a:endParaRPr lang="es-PA" sz="1000">
                                  <a:solidFill>
                                    <a:schemeClr val="tx2"/>
                                  </a:solidFill>
                                </a:endParaRPr>
                              </a:p>
                            </a:txBody>
                            <a:useSpRect/>
                          </a:txSp>
                        </a:sp>
                        <a:sp>
                          <a:nvSpPr>
                            <a:cNvPr id="20520" name="Line 46"/>
                            <a:cNvSpPr>
                              <a:spLocks noChangeShapeType="1"/>
                            </a:cNvSpPr>
                          </a:nvSpPr>
                          <a:spPr bwMode="auto">
                            <a:xfrm>
                              <a:off x="228" y="2022"/>
                              <a:ext cx="0" cy="1584"/>
                            </a:xfrm>
                            <a:prstGeom prst="line">
                              <a:avLst/>
                            </a:prstGeom>
                            <a:noFill/>
                            <a:ln w="9525">
                              <a:no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21" name="Line 47"/>
                            <a:cNvSpPr>
                              <a:spLocks noChangeShapeType="1"/>
                            </a:cNvSpPr>
                          </a:nvSpPr>
                          <a:spPr bwMode="auto">
                            <a:xfrm>
                              <a:off x="228" y="2244"/>
                              <a:ext cx="2446"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22" name="Rectangle 48"/>
                            <a:cNvSpPr>
                              <a:spLocks noChangeArrowheads="1"/>
                            </a:cNvSpPr>
                          </a:nvSpPr>
                          <a:spPr bwMode="auto">
                            <a:xfrm>
                              <a:off x="228" y="2828"/>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Tanques de gas de 25lbs.</a:t>
                                </a:r>
                                <a:endParaRPr lang="es-PA" sz="1000">
                                  <a:solidFill>
                                    <a:schemeClr val="tx2"/>
                                  </a:solidFill>
                                </a:endParaRPr>
                              </a:p>
                            </a:txBody>
                            <a:useSpRect/>
                          </a:txSp>
                        </a:sp>
                        <a:sp>
                          <a:nvSpPr>
                            <a:cNvPr id="20523" name="Rectangle 49"/>
                            <a:cNvSpPr>
                              <a:spLocks noChangeArrowheads="1"/>
                            </a:cNvSpPr>
                          </a:nvSpPr>
                          <a:spPr bwMode="auto">
                            <a:xfrm>
                              <a:off x="228" y="2632"/>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Subsidio eléctrico (consumo &lt; 500kW-h)</a:t>
                                </a:r>
                                <a:endParaRPr lang="es-PA" sz="1000">
                                  <a:solidFill>
                                    <a:schemeClr val="tx2"/>
                                  </a:solidFill>
                                </a:endParaRPr>
                              </a:p>
                            </a:txBody>
                            <a:useSpRect/>
                          </a:txSp>
                        </a:sp>
                        <a:sp>
                          <a:nvSpPr>
                            <a:cNvPr id="20524" name="Rectangle 50"/>
                            <a:cNvSpPr>
                              <a:spLocks noChangeArrowheads="1"/>
                            </a:cNvSpPr>
                          </a:nvSpPr>
                          <a:spPr bwMode="auto">
                            <a:xfrm>
                              <a:off x="228" y="2436"/>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Entrega de libros, uniformes y útiles escolares</a:t>
                                </a:r>
                                <a:endParaRPr lang="es-PA" sz="1000">
                                  <a:solidFill>
                                    <a:schemeClr val="tx2"/>
                                  </a:solidFill>
                                </a:endParaRPr>
                              </a:p>
                            </a:txBody>
                            <a:useSpRect/>
                          </a:txSp>
                        </a:sp>
                        <a:sp>
                          <a:nvSpPr>
                            <a:cNvPr id="20525" name="Rectangle 51"/>
                            <a:cNvSpPr>
                              <a:spLocks noChangeArrowheads="1"/>
                            </a:cNvSpPr>
                          </a:nvSpPr>
                          <a:spPr bwMode="auto">
                            <a:xfrm>
                              <a:off x="228" y="3024"/>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dirty="0">
                                    <a:solidFill>
                                      <a:schemeClr val="tx2"/>
                                    </a:solidFill>
                                    <a:cs typeface="Arial" charset="0"/>
                                  </a:rPr>
                                  <a:t>Intereses Preferenciales Hipotecarios</a:t>
                                </a:r>
                                <a:endParaRPr lang="es-PA" sz="1000" dirty="0">
                                  <a:solidFill>
                                    <a:schemeClr val="tx2"/>
                                  </a:solidFill>
                                </a:endParaRPr>
                              </a:p>
                            </a:txBody>
                            <a:useSpRect/>
                          </a:txSp>
                        </a:sp>
                        <a:sp>
                          <a:nvSpPr>
                            <a:cNvPr id="20526" name="Rectangle 52"/>
                            <a:cNvSpPr>
                              <a:spLocks noChangeArrowheads="1"/>
                            </a:cNvSpPr>
                          </a:nvSpPr>
                          <a:spPr bwMode="auto">
                            <a:xfrm>
                              <a:off x="1870" y="2828"/>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90.63 </a:t>
                                </a:r>
                                <a:endParaRPr lang="es-PA" sz="1000">
                                  <a:solidFill>
                                    <a:schemeClr val="tx2"/>
                                  </a:solidFill>
                                </a:endParaRPr>
                              </a:p>
                            </a:txBody>
                            <a:useSpRect/>
                          </a:txSp>
                        </a:sp>
                        <a:sp>
                          <a:nvSpPr>
                            <a:cNvPr id="20527" name="Rectangle 53"/>
                            <a:cNvSpPr>
                              <a:spLocks noChangeArrowheads="1"/>
                            </a:cNvSpPr>
                          </a:nvSpPr>
                          <a:spPr bwMode="auto">
                            <a:xfrm>
                              <a:off x="1870" y="2632"/>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142.86 </a:t>
                                </a:r>
                                <a:endParaRPr lang="es-PA" sz="1000">
                                  <a:solidFill>
                                    <a:schemeClr val="tx2"/>
                                  </a:solidFill>
                                </a:endParaRPr>
                              </a:p>
                            </a:txBody>
                            <a:useSpRect/>
                          </a:txSp>
                        </a:sp>
                        <a:sp>
                          <a:nvSpPr>
                            <a:cNvPr id="20528" name="Rectangle 54"/>
                            <a:cNvSpPr>
                              <a:spLocks noChangeArrowheads="1"/>
                            </a:cNvSpPr>
                          </a:nvSpPr>
                          <a:spPr bwMode="auto">
                            <a:xfrm>
                              <a:off x="1750" y="3168"/>
                              <a:ext cx="48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b="1">
                                    <a:solidFill>
                                      <a:schemeClr val="tx2"/>
                                    </a:solidFill>
                                    <a:cs typeface="Arial" charset="0"/>
                                  </a:rPr>
                                  <a:t>1,376.34 </a:t>
                                </a:r>
                                <a:endParaRPr lang="es-PA" sz="1000" b="1">
                                  <a:solidFill>
                                    <a:schemeClr val="tx2"/>
                                  </a:solidFill>
                                </a:endParaRPr>
                              </a:p>
                            </a:txBody>
                            <a:useSpRect/>
                          </a:txSp>
                        </a:sp>
                        <a:sp>
                          <a:nvSpPr>
                            <a:cNvPr id="20529" name="Rectangle 55"/>
                            <a:cNvSpPr>
                              <a:spLocks noChangeArrowheads="1"/>
                            </a:cNvSpPr>
                          </a:nvSpPr>
                          <a:spPr bwMode="auto">
                            <a:xfrm>
                              <a:off x="1870" y="3024"/>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1,042.86 </a:t>
                                </a:r>
                                <a:endParaRPr lang="es-PA" sz="1000">
                                  <a:solidFill>
                                    <a:schemeClr val="tx2"/>
                                  </a:solidFill>
                                </a:endParaRPr>
                              </a:p>
                            </a:txBody>
                            <a:useSpRect/>
                          </a:txSp>
                        </a:sp>
                        <a:sp>
                          <a:nvSpPr>
                            <a:cNvPr id="20530" name="Line 56"/>
                            <a:cNvSpPr>
                              <a:spLocks noChangeShapeType="1"/>
                            </a:cNvSpPr>
                          </a:nvSpPr>
                          <a:spPr bwMode="auto">
                            <a:xfrm>
                              <a:off x="1870" y="3168"/>
                              <a:ext cx="360"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31" name="Rectangle 58"/>
                            <a:cNvSpPr>
                              <a:spLocks noChangeArrowheads="1"/>
                            </a:cNvSpPr>
                          </a:nvSpPr>
                          <a:spPr bwMode="auto">
                            <a:xfrm>
                              <a:off x="228" y="3333"/>
                              <a:ext cx="1774"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eaLnBrk="0" fontAlgn="ctr" hangingPunct="0">
                                  <a:buFont typeface="Arial" charset="0"/>
                                  <a:buNone/>
                                </a:pPr>
                                <a:r>
                                  <a:rPr lang="es-PA" sz="1000">
                                    <a:solidFill>
                                      <a:schemeClr val="tx2"/>
                                    </a:solidFill>
                                    <a:cs typeface="Arial" charset="0"/>
                                  </a:rPr>
                                  <a:t>Beca Universal</a:t>
                                </a:r>
                                <a:endParaRPr lang="es-PA" sz="1000">
                                  <a:solidFill>
                                    <a:schemeClr val="tx2"/>
                                  </a:solidFill>
                                </a:endParaRPr>
                              </a:p>
                            </a:txBody>
                            <a:useSpRect/>
                          </a:txSp>
                        </a:sp>
                        <a:sp>
                          <a:nvSpPr>
                            <a:cNvPr id="20532" name="Rectangle 59"/>
                            <a:cNvSpPr>
                              <a:spLocks noChangeArrowheads="1"/>
                            </a:cNvSpPr>
                          </a:nvSpPr>
                          <a:spPr bwMode="auto">
                            <a:xfrm>
                              <a:off x="1750" y="3477"/>
                              <a:ext cx="48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b="1">
                                    <a:solidFill>
                                      <a:schemeClr val="tx2"/>
                                    </a:solidFill>
                                    <a:cs typeface="Arial" charset="0"/>
                                  </a:rPr>
                                  <a:t>1,776.34</a:t>
                                </a:r>
                                <a:endParaRPr lang="es-PA" sz="1000" b="1">
                                  <a:solidFill>
                                    <a:schemeClr val="tx2"/>
                                  </a:solidFill>
                                </a:endParaRPr>
                              </a:p>
                            </a:txBody>
                            <a:useSpRect/>
                          </a:txSp>
                        </a:sp>
                        <a:sp>
                          <a:nvSpPr>
                            <a:cNvPr id="20533" name="Rectangle 60"/>
                            <a:cNvSpPr>
                              <a:spLocks noChangeArrowheads="1"/>
                            </a:cNvSpPr>
                          </a:nvSpPr>
                          <a:spPr bwMode="auto">
                            <a:xfrm>
                              <a:off x="1870" y="3333"/>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400.00 </a:t>
                                </a:r>
                                <a:endParaRPr lang="es-PA" sz="1000">
                                  <a:solidFill>
                                    <a:schemeClr val="tx2"/>
                                  </a:solidFill>
                                </a:endParaRPr>
                              </a:p>
                            </a:txBody>
                            <a:useSpRect/>
                          </a:txSp>
                        </a:sp>
                        <a:sp>
                          <a:nvSpPr>
                            <a:cNvPr id="20534" name="Line 61"/>
                            <a:cNvSpPr>
                              <a:spLocks noChangeShapeType="1"/>
                            </a:cNvSpPr>
                          </a:nvSpPr>
                          <a:spPr bwMode="auto">
                            <a:xfrm>
                              <a:off x="1870" y="3477"/>
                              <a:ext cx="360" cy="0"/>
                            </a:xfrm>
                            <a:prstGeom prst="line">
                              <a:avLst/>
                            </a:prstGeom>
                            <a:noFill/>
                            <a:ln w="12700" cap="rnd">
                              <a:solidFill>
                                <a:schemeClr val="tx2"/>
                              </a:solidFill>
                              <a:round/>
                              <a:headEnd/>
                              <a:tailEnd/>
                            </a:ln>
                          </a:spPr>
                          <a:txSp>
                            <a:txBody>
                              <a:bodyPr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endParaRPr lang="en-US"/>
                              </a:p>
                            </a:txBody>
                            <a:useSpRect/>
                          </a:txSp>
                        </a:sp>
                        <a:sp>
                          <a:nvSpPr>
                            <a:cNvPr id="20535" name="Rectangle 62"/>
                            <a:cNvSpPr>
                              <a:spLocks noChangeArrowheads="1"/>
                            </a:cNvSpPr>
                          </a:nvSpPr>
                          <a:spPr bwMode="auto">
                            <a:xfrm>
                              <a:off x="1738" y="2286"/>
                              <a:ext cx="732"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ctr" eaLnBrk="0" fontAlgn="ctr" hangingPunct="0">
                                  <a:buFont typeface="Arial" charset="0"/>
                                  <a:buNone/>
                                </a:pPr>
                                <a:r>
                                  <a:rPr lang="es-PA" sz="1000" b="1">
                                    <a:solidFill>
                                      <a:schemeClr val="tx2"/>
                                    </a:solidFill>
                                    <a:cs typeface="Arial" charset="0"/>
                                  </a:rPr>
                                  <a:t>Apoyo Recibido</a:t>
                                </a:r>
                                <a:endParaRPr lang="es-PA" sz="1000" b="1">
                                  <a:solidFill>
                                    <a:schemeClr val="tx2"/>
                                  </a:solidFill>
                                </a:endParaRPr>
                              </a:p>
                            </a:txBody>
                            <a:useSpRect/>
                          </a:txSp>
                        </a:sp>
                        <a:grpSp>
                          <a:nvGrpSpPr>
                            <a:cNvPr id="39" name="Group 63"/>
                            <a:cNvGrpSpPr>
                              <a:grpSpLocks/>
                            </a:cNvGrpSpPr>
                          </a:nvGrpSpPr>
                          <a:grpSpPr bwMode="auto">
                            <a:xfrm>
                              <a:off x="1870" y="2436"/>
                              <a:ext cx="370" cy="144"/>
                              <a:chOff x="1918" y="2388"/>
                              <a:chExt cx="370" cy="144"/>
                            </a:xfrm>
                          </a:grpSpPr>
                          <a:sp>
                            <a:nvSpPr>
                              <a:cNvPr id="20545" name="Rectangle 64"/>
                              <a:cNvSpPr>
                                <a:spLocks noChangeArrowheads="1"/>
                              </a:cNvSpPr>
                            </a:nvSpPr>
                            <a:spPr bwMode="auto">
                              <a:xfrm>
                                <a:off x="1918" y="2388"/>
                                <a:ext cx="360"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1000">
                                      <a:solidFill>
                                        <a:schemeClr val="tx2"/>
                                      </a:solidFill>
                                      <a:cs typeface="Arial" charset="0"/>
                                    </a:rPr>
                                    <a:t>100.00</a:t>
                                  </a:r>
                                  <a:endParaRPr lang="es-PA" sz="1000">
                                    <a:solidFill>
                                      <a:schemeClr val="tx2"/>
                                    </a:solidFill>
                                  </a:endParaRPr>
                                </a:p>
                              </a:txBody>
                              <a:useSpRect/>
                            </a:txSp>
                          </a:sp>
                          <a:sp>
                            <a:nvSpPr>
                              <a:cNvPr id="20546" name="Rectangle 65"/>
                              <a:cNvSpPr>
                                <a:spLocks noChangeArrowheads="1"/>
                              </a:cNvSpPr>
                            </a:nvSpPr>
                            <a:spPr bwMode="auto">
                              <a:xfrm>
                                <a:off x="2287" y="2393"/>
                                <a:ext cx="1" cy="115"/>
                              </a:xfrm>
                              <a:prstGeom prst="rect">
                                <a:avLst/>
                              </a:prstGeom>
                              <a:noFill/>
                              <a:ln w="9525" algn="ctr">
                                <a:noFill/>
                                <a:miter lim="800000"/>
                                <a:headEnd/>
                                <a:tailEnd/>
                              </a:ln>
                            </a:spPr>
                            <a:txSp>
                              <a:txBody>
                                <a:bodyPr wrap="none" lIns="0" tIns="0" rIns="0" bIns="0">
                                  <a:spAutoFit/>
                                </a:bodyP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defTabSz="895350">
                                    <a:spcAft>
                                      <a:spcPct val="50000"/>
                                    </a:spcAft>
                                    <a:buFont typeface="Arial" charset="0"/>
                                    <a:buNone/>
                                    <a:tabLst>
                                      <a:tab pos="85725" algn="l"/>
                                      <a:tab pos="447675" algn="ctr"/>
                                      <a:tab pos="895350" algn="ctr"/>
                                      <a:tab pos="1343025" algn="ctr"/>
                                      <a:tab pos="2514600" algn="r"/>
                                    </a:tabLst>
                                  </a:pPr>
                                  <a:endParaRPr lang="es-ES" sz="1200">
                                    <a:solidFill>
                                      <a:schemeClr val="tx2"/>
                                    </a:solidFill>
                                  </a:endParaRPr>
                                </a:p>
                              </a:txBody>
                              <a:useSpRect/>
                            </a:txSp>
                          </a:sp>
                        </a:grpSp>
                        <a:sp>
                          <a:nvSpPr>
                            <a:cNvPr id="20541" name="Rectangle 72"/>
                            <a:cNvSpPr>
                              <a:spLocks noChangeArrowheads="1"/>
                            </a:cNvSpPr>
                          </a:nvSpPr>
                          <a:spPr bwMode="auto">
                            <a:xfrm>
                              <a:off x="2260" y="3168"/>
                              <a:ext cx="516"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800">
                                    <a:solidFill>
                                      <a:schemeClr val="tx2"/>
                                    </a:solidFill>
                                    <a:cs typeface="Arial" charset="0"/>
                                  </a:rPr>
                                  <a:t>(114.69 mensual)</a:t>
                                </a:r>
                                <a:endParaRPr lang="es-PA" sz="800">
                                  <a:solidFill>
                                    <a:schemeClr val="tx2"/>
                                  </a:solidFill>
                                </a:endParaRPr>
                              </a:p>
                            </a:txBody>
                            <a:useSpRect/>
                          </a:txSp>
                        </a:sp>
                        <a:sp>
                          <a:nvSpPr>
                            <a:cNvPr id="20544" name="Rectangle 75"/>
                            <a:cNvSpPr>
                              <a:spLocks noChangeArrowheads="1"/>
                            </a:cNvSpPr>
                          </a:nvSpPr>
                          <a:spPr bwMode="auto">
                            <a:xfrm>
                              <a:off x="2260" y="3462"/>
                              <a:ext cx="516" cy="144"/>
                            </a:xfrm>
                            <a:prstGeom prst="rect">
                              <a:avLst/>
                            </a:prstGeom>
                            <a:noFill/>
                            <a:ln w="9525" algn="ctr">
                              <a:noFill/>
                              <a:miter lim="800000"/>
                              <a:headEnd/>
                              <a:tailEnd/>
                            </a:ln>
                          </a:spPr>
                          <a:txSp>
                            <a:txBody>
                              <a:bodyPr lIns="0" tIns="0" rIns="0" bIns="0" anchor="ctr"/>
                              <a:lstStyle>
                                <a:defPPr>
                                  <a:defRPr lang="en-US"/>
                                </a:defPPr>
                                <a:lvl1pPr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1pPr>
                                <a:lvl2pPr marL="4572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2pPr>
                                <a:lvl3pPr marL="9144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3pPr>
                                <a:lvl4pPr marL="13716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4pPr>
                                <a:lvl5pPr marL="1828800" algn="l" rtl="0" fontAlgn="base">
                                  <a:spcBef>
                                    <a:spcPct val="0"/>
                                  </a:spcBef>
                                  <a:spcAft>
                                    <a:spcPct val="0"/>
                                  </a:spcAft>
                                  <a:buClr>
                                    <a:schemeClr val="tx2"/>
                                  </a:buClr>
                                  <a:buSzPct val="125000"/>
                                  <a:buFont typeface="Arial" charset="0"/>
                                  <a:buChar char="▪"/>
                                  <a:defRPr sz="1100" kern="1200">
                                    <a:solidFill>
                                      <a:schemeClr val="tx1"/>
                                    </a:solidFill>
                                    <a:latin typeface="Arial" charset="0"/>
                                    <a:ea typeface="+mn-ea"/>
                                    <a:cs typeface="+mn-cs"/>
                                  </a:defRPr>
                                </a:lvl5pPr>
                                <a:lvl6pPr marL="2286000" algn="l" defTabSz="914400" rtl="0" eaLnBrk="1" latinLnBrk="0" hangingPunct="1">
                                  <a:defRPr sz="1100" kern="1200">
                                    <a:solidFill>
                                      <a:schemeClr val="tx1"/>
                                    </a:solidFill>
                                    <a:latin typeface="Arial" charset="0"/>
                                    <a:ea typeface="+mn-ea"/>
                                    <a:cs typeface="+mn-cs"/>
                                  </a:defRPr>
                                </a:lvl6pPr>
                                <a:lvl7pPr marL="2743200" algn="l" defTabSz="914400" rtl="0" eaLnBrk="1" latinLnBrk="0" hangingPunct="1">
                                  <a:defRPr sz="1100" kern="1200">
                                    <a:solidFill>
                                      <a:schemeClr val="tx1"/>
                                    </a:solidFill>
                                    <a:latin typeface="Arial" charset="0"/>
                                    <a:ea typeface="+mn-ea"/>
                                    <a:cs typeface="+mn-cs"/>
                                  </a:defRPr>
                                </a:lvl7pPr>
                                <a:lvl8pPr marL="3200400" algn="l" defTabSz="914400" rtl="0" eaLnBrk="1" latinLnBrk="0" hangingPunct="1">
                                  <a:defRPr sz="1100" kern="1200">
                                    <a:solidFill>
                                      <a:schemeClr val="tx1"/>
                                    </a:solidFill>
                                    <a:latin typeface="Arial" charset="0"/>
                                    <a:ea typeface="+mn-ea"/>
                                    <a:cs typeface="+mn-cs"/>
                                  </a:defRPr>
                                </a:lvl8pPr>
                                <a:lvl9pPr marL="3657600" algn="l" defTabSz="914400" rtl="0" eaLnBrk="1" latinLnBrk="0" hangingPunct="1">
                                  <a:defRPr sz="1100" kern="1200">
                                    <a:solidFill>
                                      <a:schemeClr val="tx1"/>
                                    </a:solidFill>
                                    <a:latin typeface="Arial" charset="0"/>
                                    <a:ea typeface="+mn-ea"/>
                                    <a:cs typeface="+mn-cs"/>
                                  </a:defRPr>
                                </a:lvl9pPr>
                              </a:lstStyle>
                              <a:p>
                                <a:pPr algn="r" eaLnBrk="0" fontAlgn="ctr" hangingPunct="0">
                                  <a:buFont typeface="Arial" charset="0"/>
                                  <a:buNone/>
                                </a:pPr>
                                <a:r>
                                  <a:rPr lang="es-PA" sz="800">
                                    <a:solidFill>
                                      <a:schemeClr val="tx2"/>
                                    </a:solidFill>
                                    <a:cs typeface="Arial" charset="0"/>
                                  </a:rPr>
                                  <a:t>(148.03 mensual)</a:t>
                                </a:r>
                                <a:endParaRPr lang="es-PA" sz="800">
                                  <a:solidFill>
                                    <a:schemeClr val="tx2"/>
                                  </a:solidFill>
                                </a:endParaRPr>
                              </a:p>
                            </a:txBody>
                            <a:useSpRect/>
                          </a:txSp>
                        </a:sp>
                      </a:grpSp>
                    </a:grpSp>
                  </a:grpSp>
                  <a:sp>
                    <a:nvSpPr>
                      <a:cNvPr id="20558" name="Rectangle 78"/>
                      <a:cNvSpPr>
                        <a:spLocks noGrp="1" noChangeArrowheads="1"/>
                      </a:cNvSpPr>
                    </a:nvSpPr>
                    <a:spPr bwMode="auto">
                      <a:xfrm>
                        <a:off x="0" y="314325"/>
                        <a:ext cx="8618537" cy="292388"/>
                      </a:xfrm>
                      <a:prstGeom prst="rect">
                        <a:avLst/>
                      </a:prstGeom>
                      <a:noFill/>
                      <a:ln w="9525">
                        <a:noFill/>
                        <a:miter lim="800000"/>
                        <a:headEnd/>
                        <a:tailEnd/>
                      </a:ln>
                    </a:spPr>
                    <a:txSp>
                      <a:txBody>
                        <a:bodyPr vert="horz" wrap="square" lIns="0" tIns="0" rIns="0" bIns="0" numCol="1" anchor="t" anchorCtr="0" compatLnSpc="1">
                          <a:prstTxWarp prst="textNoShape">
                            <a:avLst/>
                          </a:prstTxWarp>
                          <a:spAutoFit/>
                        </a:bodyPr>
                        <a:lstStyle>
                          <a:lvl1pPr algn="l" defTabSz="895350" rtl="0" eaLnBrk="0" fontAlgn="base" hangingPunct="0">
                            <a:spcBef>
                              <a:spcPct val="0"/>
                            </a:spcBef>
                            <a:spcAft>
                              <a:spcPct val="0"/>
                            </a:spcAft>
                            <a:defRPr sz="1900" b="1">
                              <a:solidFill>
                                <a:schemeClr val="tx2"/>
                              </a:solidFill>
                              <a:latin typeface="+mj-lt"/>
                              <a:ea typeface="+mj-ea"/>
                              <a:cs typeface="+mj-cs"/>
                            </a:defRPr>
                          </a:lvl1pPr>
                          <a:lvl2pPr algn="l" defTabSz="895350" rtl="0" eaLnBrk="0" fontAlgn="base" hangingPunct="0">
                            <a:spcBef>
                              <a:spcPct val="0"/>
                            </a:spcBef>
                            <a:spcAft>
                              <a:spcPct val="0"/>
                            </a:spcAft>
                            <a:defRPr sz="1900" b="1">
                              <a:solidFill>
                                <a:schemeClr val="tx2"/>
                              </a:solidFill>
                              <a:latin typeface="Arial" pitchFamily="34" charset="0"/>
                            </a:defRPr>
                          </a:lvl2pPr>
                          <a:lvl3pPr algn="l" defTabSz="895350" rtl="0" eaLnBrk="0" fontAlgn="base" hangingPunct="0">
                            <a:spcBef>
                              <a:spcPct val="0"/>
                            </a:spcBef>
                            <a:spcAft>
                              <a:spcPct val="0"/>
                            </a:spcAft>
                            <a:defRPr sz="1900" b="1">
                              <a:solidFill>
                                <a:schemeClr val="tx2"/>
                              </a:solidFill>
                              <a:latin typeface="Arial" pitchFamily="34" charset="0"/>
                            </a:defRPr>
                          </a:lvl3pPr>
                          <a:lvl4pPr algn="l" defTabSz="895350" rtl="0" eaLnBrk="0" fontAlgn="base" hangingPunct="0">
                            <a:spcBef>
                              <a:spcPct val="0"/>
                            </a:spcBef>
                            <a:spcAft>
                              <a:spcPct val="0"/>
                            </a:spcAft>
                            <a:defRPr sz="1900" b="1">
                              <a:solidFill>
                                <a:schemeClr val="tx2"/>
                              </a:solidFill>
                              <a:latin typeface="Arial" pitchFamily="34" charset="0"/>
                            </a:defRPr>
                          </a:lvl4pPr>
                          <a:lvl5pPr algn="l" defTabSz="895350" rtl="0" eaLnBrk="0" fontAlgn="base" hangingPunct="0">
                            <a:spcBef>
                              <a:spcPct val="0"/>
                            </a:spcBef>
                            <a:spcAft>
                              <a:spcPct val="0"/>
                            </a:spcAft>
                            <a:defRPr sz="1900" b="1">
                              <a:solidFill>
                                <a:schemeClr val="tx2"/>
                              </a:solidFill>
                              <a:latin typeface="Arial" pitchFamily="34" charset="0"/>
                            </a:defRPr>
                          </a:lvl5pPr>
                          <a:lvl6pPr marL="457200" algn="l" defTabSz="895350" rtl="0" fontAlgn="base">
                            <a:spcBef>
                              <a:spcPct val="0"/>
                            </a:spcBef>
                            <a:spcAft>
                              <a:spcPct val="0"/>
                            </a:spcAft>
                            <a:defRPr sz="1900" b="1">
                              <a:solidFill>
                                <a:schemeClr val="tx2"/>
                              </a:solidFill>
                              <a:latin typeface="Arial" pitchFamily="34" charset="0"/>
                            </a:defRPr>
                          </a:lvl6pPr>
                          <a:lvl7pPr marL="914400" algn="l" defTabSz="895350" rtl="0" fontAlgn="base">
                            <a:spcBef>
                              <a:spcPct val="0"/>
                            </a:spcBef>
                            <a:spcAft>
                              <a:spcPct val="0"/>
                            </a:spcAft>
                            <a:defRPr sz="1900" b="1">
                              <a:solidFill>
                                <a:schemeClr val="tx2"/>
                              </a:solidFill>
                              <a:latin typeface="Arial" pitchFamily="34" charset="0"/>
                            </a:defRPr>
                          </a:lvl7pPr>
                          <a:lvl8pPr marL="1371600" algn="l" defTabSz="895350" rtl="0" fontAlgn="base">
                            <a:spcBef>
                              <a:spcPct val="0"/>
                            </a:spcBef>
                            <a:spcAft>
                              <a:spcPct val="0"/>
                            </a:spcAft>
                            <a:defRPr sz="1900" b="1">
                              <a:solidFill>
                                <a:schemeClr val="tx2"/>
                              </a:solidFill>
                              <a:latin typeface="Arial" pitchFamily="34" charset="0"/>
                            </a:defRPr>
                          </a:lvl8pPr>
                          <a:lvl9pPr marL="1828800" algn="l" defTabSz="895350" rtl="0" fontAlgn="base">
                            <a:spcBef>
                              <a:spcPct val="0"/>
                            </a:spcBef>
                            <a:spcAft>
                              <a:spcPct val="0"/>
                            </a:spcAft>
                            <a:defRPr sz="1900" b="1">
                              <a:solidFill>
                                <a:schemeClr val="tx2"/>
                              </a:solidFill>
                              <a:latin typeface="Arial" pitchFamily="34" charset="0"/>
                            </a:defRPr>
                          </a:lvl9pPr>
                        </a:lstStyle>
                        <a:p>
                          <a:pPr algn="ctr"/>
                          <a:r>
                            <a:rPr lang="es-PA" dirty="0" smtClean="0"/>
                            <a:t>Programas Sociales y Subsidios que benefician al Pueblo</a:t>
                          </a:r>
                          <a:endParaRPr lang="es-ES" dirty="0" smtClean="0"/>
                        </a:p>
                      </a:txBody>
                      <a:useSpRect/>
                    </a:txSp>
                  </a:sp>
                </lc:lockedCanvas>
              </a:graphicData>
            </a:graphic>
          </wp:inline>
        </w:drawing>
      </w:r>
    </w:p>
    <w:p w:rsidR="008076FE" w:rsidRPr="005C5B91" w:rsidRDefault="008076FE" w:rsidP="00CF1BCF">
      <w:pPr>
        <w:spacing w:before="120" w:after="120"/>
        <w:jc w:val="both"/>
        <w:rPr>
          <w:rFonts w:ascii="Times New Roman" w:hAnsi="Times New Roman" w:cs="Times New Roman"/>
          <w:sz w:val="24"/>
          <w:szCs w:val="24"/>
        </w:rPr>
      </w:pPr>
      <w:r w:rsidRPr="005C5B91">
        <w:rPr>
          <w:rFonts w:ascii="Times New Roman" w:hAnsi="Times New Roman" w:cs="Times New Roman"/>
          <w:sz w:val="20"/>
          <w:szCs w:val="20"/>
        </w:rPr>
        <w:t>Fuente: GOPN. Plan Estratégico de Gobierno 2010-2014</w:t>
      </w:r>
      <w:r w:rsidRPr="005C5B91">
        <w:rPr>
          <w:rFonts w:ascii="Times New Roman" w:hAnsi="Times New Roman" w:cs="Times New Roman"/>
          <w:sz w:val="24"/>
          <w:szCs w:val="24"/>
        </w:rPr>
        <w:t>.</w:t>
      </w:r>
    </w:p>
    <w:p w:rsidR="00AA1A19"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La experiencia recabada de programas similares muestra que es difícil hacer un análisis costo-beneficio preciso, sin recabar previamente información sobre variables económicas y financieras que son afectadas por las intervenciones. Además de series de datos estructuradas con base a un modelo de relacionamiento, es necesario realizar regresiones y calcular elasticidades que permitan generar parámetros confiables para un correcto análisis económico de costo-beneficio. Adicionalmente, se debe considerar un análisis que permita hacer una atribución de los beneficios a las intervenciones concretas del programa. El equipo de proyecto propone realizar un análisis costo-beneficio de este tipo en forma reflexiva, recabando la información necesaria a lo largo de la ejecución del programa.</w:t>
      </w:r>
    </w:p>
    <w:p w:rsidR="00AA1A19"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A pesar de lo anterior, es posible hacer una aproximación cualitativa a un análisis costo-efectividad ex ante de las intervenciones principales del programa propuesto. El análisis costo efectividad de estas intervenciones se puede enfocar desde un punto de vista más económico que financiero, aunque también se puede hacer un cálculo parcial de beneficios financieros para generar una TIR y un VPN del programa.</w:t>
      </w:r>
    </w:p>
    <w:p w:rsidR="00D22071"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 xml:space="preserve"> El análisis económico sugiere que habrá efectos importantes</w:t>
      </w:r>
      <w:r w:rsidR="00D22071" w:rsidRPr="005C5B91">
        <w:rPr>
          <w:rFonts w:ascii="Times New Roman" w:hAnsi="Times New Roman" w:cs="Times New Roman"/>
          <w:sz w:val="24"/>
          <w:szCs w:val="24"/>
        </w:rPr>
        <w:t xml:space="preserve">. </w:t>
      </w:r>
      <w:r w:rsidRPr="005C5B91">
        <w:rPr>
          <w:rFonts w:ascii="Times New Roman" w:hAnsi="Times New Roman" w:cs="Times New Roman"/>
          <w:sz w:val="24"/>
          <w:szCs w:val="24"/>
        </w:rPr>
        <w:t>Por el lado de los ingresos impositivos: 1) Un aumento progresivo llegando hasta de 0,8% del PIB de forma permanente, debido a la modernización de la administración tributaria. Este aumento se lograría mediante la creación y fortalecimiento de una Unidad de Grandes Contribuyentes que focaliza los procesos de fiscalización y cobranzas utilizando inteligencia de negocios y criterios de riesgo objetivos.</w:t>
      </w:r>
    </w:p>
    <w:p w:rsidR="00D22071"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Por el lado del gasto público: Un aumento progresivo del ahorro público del Gobierno de Panamá (GOPN) GOPN</w:t>
      </w:r>
      <w:r w:rsidR="00D22071" w:rsidRPr="005C5B91">
        <w:rPr>
          <w:rFonts w:ascii="Times New Roman" w:hAnsi="Times New Roman" w:cs="Times New Roman"/>
          <w:sz w:val="24"/>
          <w:szCs w:val="24"/>
        </w:rPr>
        <w:t xml:space="preserve"> </w:t>
      </w:r>
      <w:r w:rsidRPr="005C5B91">
        <w:rPr>
          <w:rFonts w:ascii="Times New Roman" w:hAnsi="Times New Roman" w:cs="Times New Roman"/>
          <w:sz w:val="24"/>
          <w:szCs w:val="24"/>
        </w:rPr>
        <w:t>que resultaría de: a) la optimización del gasto de inversión de capital debido a una mejor programación anual de la inversión pública resultante de un sistema de seguimiento y evaluación automatizado y moderno que limita la asignación presupuestaria a lo estrictamente ejecutable y permite informar las reasignaciones instantáneas del presupuesto de inversión pública; b) Una asignación precisa de los recursos presupuestarios según necesidades reales de la ejecución de proyectos como resultado de la mejor gestión presupuestaria bajo una estructura programática relacionada con objetivos y metas del Plan Estratégico de Gobierno; c) Una optimización del manejo de caja (liquidez diaria) del GOPN por la reducción al mínimo de los s</w:t>
      </w:r>
      <w:r w:rsidR="004E4768">
        <w:rPr>
          <w:rFonts w:ascii="Times New Roman" w:hAnsi="Times New Roman" w:cs="Times New Roman"/>
          <w:sz w:val="24"/>
          <w:szCs w:val="24"/>
        </w:rPr>
        <w:t>aldos ociosos de entidades del g</w:t>
      </w:r>
      <w:r w:rsidRPr="005C5B91">
        <w:rPr>
          <w:rFonts w:ascii="Times New Roman" w:hAnsi="Times New Roman" w:cs="Times New Roman"/>
          <w:sz w:val="24"/>
          <w:szCs w:val="24"/>
        </w:rPr>
        <w:t>obierno central, por la existencia de la Cuenta Única del Tesoro; d) Un manejo preciso del registro contable y financiero de la ejecución del gasto público (corriente y de capital)  a través del nuevo Modelo de Administración Financiera Gubernamental (MAFG), basado en un sistema automático de registro en línea (plataforma Web). En su conjunto, las medidas de optimización del gasto público resultarían en un ahorro estimado de 0,2% a 0,5% del PIB anualmente.</w:t>
      </w:r>
    </w:p>
    <w:p w:rsidR="00D22071"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Este análisis económico de costo-efectividad no considera los efectos de mayor recaudación de impuestos debido a un mayor nivel de inversión privada por la confianza, menor vulnerabilidad fiscal y la credibilidad que generaría un manejo</w:t>
      </w:r>
      <w:r w:rsidR="004E4768">
        <w:rPr>
          <w:rFonts w:ascii="Times New Roman" w:hAnsi="Times New Roman" w:cs="Times New Roman"/>
          <w:sz w:val="24"/>
          <w:szCs w:val="24"/>
        </w:rPr>
        <w:t xml:space="preserve"> eficiente y programado por el g</w:t>
      </w:r>
      <w:r w:rsidRPr="005C5B91">
        <w:rPr>
          <w:rFonts w:ascii="Times New Roman" w:hAnsi="Times New Roman" w:cs="Times New Roman"/>
          <w:sz w:val="24"/>
          <w:szCs w:val="24"/>
        </w:rPr>
        <w:t xml:space="preserve">obierno, del déficit del SPNF dentro de los límites de la LRSF. Así mismo no considera el beneficio intangible que representa poder ejecutar un nivel sostenido de inversión </w:t>
      </w:r>
      <w:r w:rsidR="002176D4" w:rsidRPr="005C5B91">
        <w:rPr>
          <w:rFonts w:ascii="Times New Roman" w:hAnsi="Times New Roman" w:cs="Times New Roman"/>
          <w:sz w:val="24"/>
          <w:szCs w:val="24"/>
        </w:rPr>
        <w:t xml:space="preserve">pública </w:t>
      </w:r>
      <w:r w:rsidRPr="005C5B91">
        <w:rPr>
          <w:rFonts w:ascii="Times New Roman" w:hAnsi="Times New Roman" w:cs="Times New Roman"/>
          <w:sz w:val="24"/>
          <w:szCs w:val="24"/>
        </w:rPr>
        <w:t>con calidad, transparencia y rapidez, debido a una adecuada y oportuna asignación de recursos y su orientación a objetivos y metas explícitas, para aumentar el crecimiento en sectores estratégicamente prioritarios.</w:t>
      </w:r>
    </w:p>
    <w:p w:rsidR="00D22071"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Otro beneficio in</w:t>
      </w:r>
      <w:r w:rsidR="002176D4" w:rsidRPr="005C5B91">
        <w:rPr>
          <w:rFonts w:ascii="Times New Roman" w:hAnsi="Times New Roman" w:cs="Times New Roman"/>
          <w:sz w:val="24"/>
          <w:szCs w:val="24"/>
        </w:rPr>
        <w:t>directo</w:t>
      </w:r>
      <w:r w:rsidRPr="005C5B91">
        <w:rPr>
          <w:rFonts w:ascii="Times New Roman" w:hAnsi="Times New Roman" w:cs="Times New Roman"/>
          <w:sz w:val="24"/>
          <w:szCs w:val="24"/>
        </w:rPr>
        <w:t xml:space="preserve"> (cuyos efectos se pueden solo medir a largo plazo) se derivaría de la posibilidad de financiar sostenidamente un alto nivel de inversión social en sectores que reducen la pobreza y aumentan el capital humano.</w:t>
      </w:r>
    </w:p>
    <w:p w:rsidR="00AA1A19" w:rsidRPr="005C5B91" w:rsidRDefault="00AA1A19" w:rsidP="00C26DB5">
      <w:pPr>
        <w:pStyle w:val="ListParagraph"/>
        <w:numPr>
          <w:ilvl w:val="1"/>
          <w:numId w:val="2"/>
        </w:numPr>
        <w:spacing w:before="120" w:after="120"/>
        <w:ind w:left="720"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Por todos los elementos anteriores, se considera que el programa traerá consigo efectos económicos positivos para Panamá.</w:t>
      </w:r>
    </w:p>
    <w:p w:rsidR="008076FE" w:rsidRPr="005C5B91" w:rsidRDefault="00C26DB5" w:rsidP="00C26DB5">
      <w:pPr>
        <w:pStyle w:val="ListParagraph"/>
        <w:spacing w:before="120" w:after="120"/>
        <w:ind w:left="0"/>
        <w:contextualSpacing w:val="0"/>
        <w:jc w:val="both"/>
        <w:rPr>
          <w:rFonts w:ascii="Times New Roman Bold" w:hAnsi="Times New Roman Bold" w:cs="Times New Roman"/>
          <w:b/>
          <w:smallCaps/>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8076FE" w:rsidRPr="005C5B91">
        <w:rPr>
          <w:rFonts w:ascii="Times New Roman Bold" w:hAnsi="Times New Roman Bold" w:cs="Times New Roman"/>
          <w:b/>
          <w:smallCaps/>
          <w:sz w:val="24"/>
          <w:szCs w:val="24"/>
        </w:rPr>
        <w:t>Análisis Financiero de Costo Efectividad</w:t>
      </w:r>
    </w:p>
    <w:p w:rsidR="002176D4" w:rsidRPr="005C5B91" w:rsidRDefault="003D0EBF" w:rsidP="00C26DB5">
      <w:pPr>
        <w:pStyle w:val="ListParagraph"/>
        <w:numPr>
          <w:ilvl w:val="1"/>
          <w:numId w:val="2"/>
        </w:numPr>
        <w:spacing w:before="120" w:after="120"/>
        <w:ind w:left="720" w:hanging="720"/>
        <w:contextualSpacing w:val="0"/>
        <w:jc w:val="both"/>
        <w:rPr>
          <w:rFonts w:ascii="Times New Roman" w:hAnsi="Times New Roman" w:cs="Times New Roman"/>
          <w:b/>
          <w:sz w:val="24"/>
          <w:szCs w:val="24"/>
        </w:rPr>
      </w:pPr>
      <w:r w:rsidRPr="005C5B91">
        <w:rPr>
          <w:rFonts w:ascii="Times New Roman" w:hAnsi="Times New Roman" w:cs="Times New Roman"/>
          <w:sz w:val="24"/>
          <w:szCs w:val="24"/>
        </w:rPr>
        <w:t xml:space="preserve">Para la estimación y cálculo de </w:t>
      </w:r>
      <w:r w:rsidR="008D1500" w:rsidRPr="005C5B91">
        <w:rPr>
          <w:rFonts w:ascii="Times New Roman" w:hAnsi="Times New Roman" w:cs="Times New Roman"/>
          <w:sz w:val="24"/>
          <w:szCs w:val="24"/>
        </w:rPr>
        <w:t>los beneficios financieros fuero</w:t>
      </w:r>
      <w:r w:rsidRPr="005C5B91">
        <w:rPr>
          <w:rFonts w:ascii="Times New Roman" w:hAnsi="Times New Roman" w:cs="Times New Roman"/>
          <w:sz w:val="24"/>
          <w:szCs w:val="24"/>
        </w:rPr>
        <w:t xml:space="preserve">n seleccionados solamente dos </w:t>
      </w:r>
      <w:r w:rsidR="008E7EA8" w:rsidRPr="005C5B91">
        <w:rPr>
          <w:rFonts w:ascii="Times New Roman" w:hAnsi="Times New Roman" w:cs="Times New Roman"/>
          <w:sz w:val="24"/>
          <w:szCs w:val="24"/>
        </w:rPr>
        <w:t xml:space="preserve">resultados </w:t>
      </w:r>
      <w:r w:rsidR="00D07DE7" w:rsidRPr="005C5B91">
        <w:rPr>
          <w:rFonts w:ascii="Times New Roman" w:hAnsi="Times New Roman" w:cs="Times New Roman"/>
          <w:sz w:val="24"/>
          <w:szCs w:val="24"/>
        </w:rPr>
        <w:t xml:space="preserve">principales </w:t>
      </w:r>
      <w:r w:rsidR="008E7EA8" w:rsidRPr="005C5B91">
        <w:rPr>
          <w:rFonts w:ascii="Times New Roman" w:hAnsi="Times New Roman" w:cs="Times New Roman"/>
          <w:sz w:val="24"/>
          <w:szCs w:val="24"/>
        </w:rPr>
        <w:t xml:space="preserve">esperados </w:t>
      </w:r>
      <w:r w:rsidR="00D07DE7" w:rsidRPr="005C5B91">
        <w:rPr>
          <w:rFonts w:ascii="Times New Roman" w:hAnsi="Times New Roman" w:cs="Times New Roman"/>
          <w:sz w:val="24"/>
          <w:szCs w:val="24"/>
        </w:rPr>
        <w:t>del proyecto:</w:t>
      </w:r>
      <w:r w:rsidR="008E7EA8" w:rsidRPr="005C5B91">
        <w:rPr>
          <w:rFonts w:ascii="Times New Roman" w:hAnsi="Times New Roman" w:cs="Times New Roman"/>
          <w:sz w:val="24"/>
          <w:szCs w:val="24"/>
        </w:rPr>
        <w:t xml:space="preserve"> (i) Incremento de la recaudación de la Dirección General de Ingresos (DGI) generada </w:t>
      </w:r>
      <w:r w:rsidR="008D1500" w:rsidRPr="005C5B91">
        <w:rPr>
          <w:rFonts w:ascii="Times New Roman" w:hAnsi="Times New Roman" w:cs="Times New Roman"/>
          <w:sz w:val="24"/>
          <w:szCs w:val="24"/>
        </w:rPr>
        <w:t xml:space="preserve">a </w:t>
      </w:r>
      <w:r w:rsidR="008E7EA8" w:rsidRPr="005C5B91">
        <w:rPr>
          <w:rFonts w:ascii="Times New Roman" w:hAnsi="Times New Roman" w:cs="Times New Roman"/>
          <w:sz w:val="24"/>
          <w:szCs w:val="24"/>
        </w:rPr>
        <w:t xml:space="preserve">través de </w:t>
      </w:r>
      <w:r w:rsidR="005C3BCC" w:rsidRPr="005C5B91">
        <w:rPr>
          <w:rFonts w:ascii="Times New Roman" w:hAnsi="Times New Roman" w:cs="Times New Roman"/>
          <w:sz w:val="24"/>
          <w:szCs w:val="24"/>
        </w:rPr>
        <w:t>la mejora de los inst</w:t>
      </w:r>
      <w:r w:rsidR="008D1500" w:rsidRPr="005C5B91">
        <w:rPr>
          <w:rFonts w:ascii="Times New Roman" w:hAnsi="Times New Roman" w:cs="Times New Roman"/>
          <w:sz w:val="24"/>
          <w:szCs w:val="24"/>
        </w:rPr>
        <w:t>rumentos de selección y auditorí</w:t>
      </w:r>
      <w:r w:rsidR="005C3BCC" w:rsidRPr="005C5B91">
        <w:rPr>
          <w:rFonts w:ascii="Times New Roman" w:hAnsi="Times New Roman" w:cs="Times New Roman"/>
          <w:sz w:val="24"/>
          <w:szCs w:val="24"/>
        </w:rPr>
        <w:t>a de contribuyentes</w:t>
      </w:r>
      <w:r w:rsidR="008E7EA8" w:rsidRPr="005C5B91">
        <w:rPr>
          <w:rFonts w:ascii="Times New Roman" w:hAnsi="Times New Roman" w:cs="Times New Roman"/>
          <w:sz w:val="24"/>
          <w:szCs w:val="24"/>
        </w:rPr>
        <w:t xml:space="preserve">; y (ii) </w:t>
      </w:r>
      <w:r w:rsidR="002176D4" w:rsidRPr="005C5B91">
        <w:rPr>
          <w:rFonts w:ascii="Times New Roman" w:hAnsi="Times New Roman" w:cs="Times New Roman"/>
          <w:sz w:val="24"/>
          <w:szCs w:val="24"/>
        </w:rPr>
        <w:t>A</w:t>
      </w:r>
      <w:r w:rsidR="00870117" w:rsidRPr="005C5B91">
        <w:rPr>
          <w:rFonts w:ascii="Times New Roman" w:hAnsi="Times New Roman" w:cs="Times New Roman"/>
          <w:sz w:val="24"/>
          <w:szCs w:val="24"/>
        </w:rPr>
        <w:t>umento</w:t>
      </w:r>
      <w:r w:rsidR="008E7EA8" w:rsidRPr="005C5B91">
        <w:rPr>
          <w:rFonts w:ascii="Times New Roman" w:hAnsi="Times New Roman" w:cs="Times New Roman"/>
          <w:sz w:val="24"/>
          <w:szCs w:val="24"/>
        </w:rPr>
        <w:t xml:space="preserve"> </w:t>
      </w:r>
      <w:r w:rsidR="00870117" w:rsidRPr="005C5B91">
        <w:rPr>
          <w:rFonts w:ascii="Times New Roman" w:hAnsi="Times New Roman" w:cs="Times New Roman"/>
          <w:sz w:val="24"/>
          <w:szCs w:val="24"/>
        </w:rPr>
        <w:t>de los</w:t>
      </w:r>
      <w:r w:rsidR="008E7EA8" w:rsidRPr="005C5B91">
        <w:rPr>
          <w:rFonts w:ascii="Times New Roman" w:hAnsi="Times New Roman" w:cs="Times New Roman"/>
          <w:sz w:val="24"/>
          <w:szCs w:val="24"/>
        </w:rPr>
        <w:t xml:space="preserve"> intereses </w:t>
      </w:r>
      <w:r w:rsidR="00870117" w:rsidRPr="005C5B91">
        <w:rPr>
          <w:rFonts w:ascii="Times New Roman" w:hAnsi="Times New Roman" w:cs="Times New Roman"/>
          <w:sz w:val="24"/>
          <w:szCs w:val="24"/>
        </w:rPr>
        <w:t xml:space="preserve">recibidos sobre </w:t>
      </w:r>
      <w:r w:rsidR="00F53C06" w:rsidRPr="005C5B91">
        <w:rPr>
          <w:rFonts w:ascii="Times New Roman" w:hAnsi="Times New Roman" w:cs="Times New Roman"/>
          <w:sz w:val="24"/>
          <w:szCs w:val="24"/>
        </w:rPr>
        <w:t>los saldos de los recursos financieros</w:t>
      </w:r>
      <w:r w:rsidR="00870117" w:rsidRPr="005C5B91">
        <w:rPr>
          <w:rFonts w:ascii="Times New Roman" w:hAnsi="Times New Roman" w:cs="Times New Roman"/>
          <w:sz w:val="24"/>
          <w:szCs w:val="24"/>
        </w:rPr>
        <w:t xml:space="preserve"> del tesoro,</w:t>
      </w:r>
      <w:r w:rsidR="005C3BCC" w:rsidRPr="005C5B91">
        <w:rPr>
          <w:rFonts w:ascii="Times New Roman" w:hAnsi="Times New Roman" w:cs="Times New Roman"/>
          <w:sz w:val="24"/>
          <w:szCs w:val="24"/>
        </w:rPr>
        <w:t xml:space="preserve"> </w:t>
      </w:r>
      <w:r w:rsidR="008E7EA8" w:rsidRPr="005C5B91">
        <w:rPr>
          <w:rFonts w:ascii="Times New Roman" w:hAnsi="Times New Roman" w:cs="Times New Roman"/>
          <w:sz w:val="24"/>
          <w:szCs w:val="24"/>
        </w:rPr>
        <w:t xml:space="preserve"> generados a partir de la implantaci</w:t>
      </w:r>
      <w:r w:rsidR="00870117" w:rsidRPr="005C5B91">
        <w:rPr>
          <w:rFonts w:ascii="Times New Roman" w:hAnsi="Times New Roman" w:cs="Times New Roman"/>
          <w:sz w:val="24"/>
          <w:szCs w:val="24"/>
        </w:rPr>
        <w:t>ón de la cuenta única</w:t>
      </w:r>
      <w:r w:rsidR="008E7EA8" w:rsidRPr="005C5B91">
        <w:rPr>
          <w:rFonts w:ascii="Times New Roman" w:hAnsi="Times New Roman" w:cs="Times New Roman"/>
          <w:sz w:val="24"/>
          <w:szCs w:val="24"/>
        </w:rPr>
        <w:t>.</w:t>
      </w:r>
      <w:r w:rsidR="007A4F51" w:rsidRPr="005C5B91">
        <w:rPr>
          <w:rFonts w:ascii="Times New Roman" w:hAnsi="Times New Roman" w:cs="Times New Roman"/>
          <w:sz w:val="24"/>
          <w:szCs w:val="24"/>
        </w:rPr>
        <w:t xml:space="preserve"> A continuación se encuentra una lista de las potenciales </w:t>
      </w:r>
      <w:r w:rsidR="00391EB5" w:rsidRPr="005C5B91">
        <w:rPr>
          <w:rFonts w:ascii="Times New Roman" w:hAnsi="Times New Roman" w:cs="Times New Roman"/>
          <w:sz w:val="24"/>
          <w:szCs w:val="24"/>
        </w:rPr>
        <w:t>inversiones que podrán ser hechas</w:t>
      </w:r>
      <w:r w:rsidR="007A4F51" w:rsidRPr="005C5B91">
        <w:rPr>
          <w:rFonts w:ascii="Times New Roman" w:hAnsi="Times New Roman" w:cs="Times New Roman"/>
          <w:sz w:val="24"/>
          <w:szCs w:val="24"/>
        </w:rPr>
        <w:t xml:space="preserve"> con </w:t>
      </w:r>
      <w:r w:rsidR="00D07DE7" w:rsidRPr="005C5B91">
        <w:rPr>
          <w:rFonts w:ascii="Times New Roman" w:hAnsi="Times New Roman" w:cs="Times New Roman"/>
          <w:sz w:val="24"/>
          <w:szCs w:val="24"/>
        </w:rPr>
        <w:t xml:space="preserve">el aumento en la recaudación tributaria </w:t>
      </w:r>
      <w:r w:rsidR="007A4F51" w:rsidRPr="005C5B91">
        <w:rPr>
          <w:rFonts w:ascii="Times New Roman" w:hAnsi="Times New Roman" w:cs="Times New Roman"/>
          <w:sz w:val="24"/>
          <w:szCs w:val="24"/>
        </w:rPr>
        <w:t>y de</w:t>
      </w:r>
      <w:r w:rsidR="00870117" w:rsidRPr="005C5B91">
        <w:rPr>
          <w:rFonts w:ascii="Times New Roman" w:hAnsi="Times New Roman" w:cs="Times New Roman"/>
          <w:sz w:val="24"/>
          <w:szCs w:val="24"/>
        </w:rPr>
        <w:t>l aumento de los interese</w:t>
      </w:r>
      <w:r w:rsidR="008D1500" w:rsidRPr="005C5B91">
        <w:rPr>
          <w:rFonts w:ascii="Times New Roman" w:hAnsi="Times New Roman" w:cs="Times New Roman"/>
          <w:sz w:val="24"/>
          <w:szCs w:val="24"/>
        </w:rPr>
        <w:t>s</w:t>
      </w:r>
      <w:r w:rsidR="007A4F51" w:rsidRPr="005C5B91">
        <w:rPr>
          <w:rFonts w:ascii="Times New Roman" w:hAnsi="Times New Roman" w:cs="Times New Roman"/>
          <w:sz w:val="24"/>
          <w:szCs w:val="24"/>
        </w:rPr>
        <w:t xml:space="preserve"> generados por la implantación de la cuenta única</w:t>
      </w:r>
      <w:r w:rsidR="00D07DE7" w:rsidRPr="005C5B91">
        <w:rPr>
          <w:rFonts w:ascii="Times New Roman" w:hAnsi="Times New Roman" w:cs="Times New Roman"/>
          <w:sz w:val="24"/>
          <w:szCs w:val="24"/>
        </w:rPr>
        <w:t xml:space="preserve"> del tesoro</w:t>
      </w:r>
      <w:r w:rsidR="007A4F51" w:rsidRPr="005C5B91">
        <w:rPr>
          <w:rFonts w:ascii="Times New Roman" w:hAnsi="Times New Roman" w:cs="Times New Roman"/>
          <w:sz w:val="24"/>
          <w:szCs w:val="24"/>
        </w:rPr>
        <w:t>.</w:t>
      </w:r>
    </w:p>
    <w:p w:rsidR="00A33E61" w:rsidRPr="005C5B91" w:rsidRDefault="000C3AB7" w:rsidP="00C26DB5">
      <w:pPr>
        <w:spacing w:before="240" w:after="240"/>
        <w:ind w:left="360"/>
        <w:jc w:val="center"/>
        <w:rPr>
          <w:rFonts w:ascii="Times New Roman Bold" w:hAnsi="Times New Roman Bold" w:cs="Times New Roman"/>
          <w:b/>
          <w:smallCaps/>
          <w:sz w:val="24"/>
          <w:szCs w:val="24"/>
        </w:rPr>
      </w:pPr>
      <w:r w:rsidRPr="005C5B91">
        <w:rPr>
          <w:rFonts w:ascii="Times New Roman" w:hAnsi="Times New Roman" w:cs="Times New Roman"/>
          <w:b/>
          <w:sz w:val="24"/>
          <w:szCs w:val="24"/>
        </w:rPr>
        <w:t xml:space="preserve">II. </w:t>
      </w:r>
      <w:r w:rsidRPr="005C5B91">
        <w:rPr>
          <w:rFonts w:ascii="Times New Roman Bold" w:hAnsi="Times New Roman Bold" w:cs="Times New Roman"/>
          <w:b/>
          <w:smallCaps/>
          <w:sz w:val="24"/>
          <w:szCs w:val="24"/>
        </w:rPr>
        <w:t>Supuestos y Alternativas</w:t>
      </w:r>
    </w:p>
    <w:p w:rsidR="00D07DE7" w:rsidRPr="005C5B91" w:rsidRDefault="00C26DB5" w:rsidP="00C26DB5">
      <w:pPr>
        <w:pStyle w:val="ListParagraph"/>
        <w:spacing w:before="120" w:after="120"/>
        <w:ind w:left="0"/>
        <w:contextualSpacing w:val="0"/>
        <w:jc w:val="both"/>
        <w:rPr>
          <w:rFonts w:ascii="Times New Roman" w:hAnsi="Times New Roman" w:cs="Times New Roman"/>
          <w:b/>
          <w:sz w:val="24"/>
          <w:szCs w:val="24"/>
        </w:rPr>
      </w:pPr>
      <w:r>
        <w:rPr>
          <w:rFonts w:ascii="Times New Roman" w:hAnsi="Times New Roman" w:cs="Times New Roman"/>
          <w:b/>
          <w:sz w:val="24"/>
          <w:szCs w:val="24"/>
        </w:rPr>
        <w:t>A.</w:t>
      </w:r>
      <w:r>
        <w:rPr>
          <w:rFonts w:ascii="Times New Roman" w:hAnsi="Times New Roman" w:cs="Times New Roman"/>
          <w:b/>
          <w:sz w:val="24"/>
          <w:szCs w:val="24"/>
        </w:rPr>
        <w:tab/>
      </w:r>
      <w:r w:rsidR="000C3AB7" w:rsidRPr="005C5B91">
        <w:rPr>
          <w:rFonts w:ascii="Times New Roman Bold" w:hAnsi="Times New Roman Bold" w:cs="Times New Roman"/>
          <w:b/>
          <w:smallCaps/>
          <w:sz w:val="24"/>
          <w:szCs w:val="24"/>
        </w:rPr>
        <w:t>Administración Tributaria</w:t>
      </w:r>
    </w:p>
    <w:p w:rsidR="00A70A1D" w:rsidRPr="005C5B91" w:rsidRDefault="000C3AB7" w:rsidP="00C26DB5">
      <w:pPr>
        <w:pStyle w:val="ListParagraph"/>
        <w:spacing w:before="120" w:after="120"/>
        <w:ind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2.1</w:t>
      </w:r>
      <w:r w:rsidRPr="005C5B91">
        <w:rPr>
          <w:rFonts w:ascii="Times New Roman" w:hAnsi="Times New Roman" w:cs="Times New Roman"/>
          <w:b/>
          <w:sz w:val="24"/>
          <w:szCs w:val="24"/>
        </w:rPr>
        <w:tab/>
      </w:r>
      <w:r w:rsidR="00A70A1D" w:rsidRPr="005C5B91">
        <w:rPr>
          <w:rFonts w:ascii="Times New Roman" w:hAnsi="Times New Roman" w:cs="Times New Roman"/>
          <w:b/>
          <w:sz w:val="24"/>
          <w:szCs w:val="24"/>
        </w:rPr>
        <w:t xml:space="preserve">Supuesto </w:t>
      </w:r>
      <w:r w:rsidR="00664620" w:rsidRPr="005C5B91">
        <w:rPr>
          <w:rFonts w:ascii="Times New Roman" w:hAnsi="Times New Roman" w:cs="Times New Roman"/>
          <w:b/>
          <w:sz w:val="24"/>
          <w:szCs w:val="24"/>
        </w:rPr>
        <w:t>1:</w:t>
      </w:r>
      <w:r w:rsidR="00A70A1D" w:rsidRPr="005C5B91">
        <w:rPr>
          <w:rFonts w:ascii="Times New Roman" w:hAnsi="Times New Roman" w:cs="Times New Roman"/>
          <w:b/>
          <w:sz w:val="24"/>
          <w:szCs w:val="24"/>
        </w:rPr>
        <w:t xml:space="preserve"> </w:t>
      </w:r>
      <w:r w:rsidRPr="005C5B91">
        <w:rPr>
          <w:rFonts w:ascii="Times New Roman" w:hAnsi="Times New Roman" w:cs="Times New Roman"/>
          <w:i/>
          <w:sz w:val="24"/>
          <w:szCs w:val="24"/>
        </w:rPr>
        <w:t>Se genera un b</w:t>
      </w:r>
      <w:r w:rsidR="00F84FA6" w:rsidRPr="005C5B91">
        <w:rPr>
          <w:rFonts w:ascii="Times New Roman" w:hAnsi="Times New Roman" w:cs="Times New Roman"/>
          <w:i/>
          <w:sz w:val="24"/>
          <w:szCs w:val="24"/>
        </w:rPr>
        <w:t>eneficio financiero a partir de la</w:t>
      </w:r>
      <w:r w:rsidR="00664620" w:rsidRPr="005C5B91">
        <w:rPr>
          <w:rFonts w:ascii="Times New Roman" w:hAnsi="Times New Roman" w:cs="Times New Roman"/>
          <w:i/>
          <w:sz w:val="24"/>
          <w:szCs w:val="24"/>
        </w:rPr>
        <w:t xml:space="preserve"> disminución de la evasión del Impuesto a la Transmisión de Bienes Muebles y Servici</w:t>
      </w:r>
      <w:r w:rsidR="00F84FA6" w:rsidRPr="005C5B91">
        <w:rPr>
          <w:rFonts w:ascii="Times New Roman" w:hAnsi="Times New Roman" w:cs="Times New Roman"/>
          <w:i/>
          <w:sz w:val="24"/>
          <w:szCs w:val="24"/>
        </w:rPr>
        <w:t>os (ITBMS)</w:t>
      </w:r>
      <w:r w:rsidR="00F84FA6" w:rsidRPr="005C5B91">
        <w:rPr>
          <w:rFonts w:ascii="Times New Roman" w:hAnsi="Times New Roman" w:cs="Times New Roman"/>
          <w:sz w:val="24"/>
          <w:szCs w:val="24"/>
        </w:rPr>
        <w:t>, generando un</w:t>
      </w:r>
      <w:r w:rsidR="00664620" w:rsidRPr="005C5B91">
        <w:rPr>
          <w:rFonts w:ascii="Times New Roman" w:hAnsi="Times New Roman" w:cs="Times New Roman"/>
          <w:sz w:val="24"/>
          <w:szCs w:val="24"/>
        </w:rPr>
        <w:t xml:space="preserve"> </w:t>
      </w:r>
      <w:r w:rsidR="00F84FA6" w:rsidRPr="005C5B91">
        <w:rPr>
          <w:rFonts w:ascii="Times New Roman" w:hAnsi="Times New Roman" w:cs="Times New Roman"/>
          <w:sz w:val="24"/>
          <w:szCs w:val="24"/>
        </w:rPr>
        <w:t>beneficio económico a partir de la inversión del excedente de la recaudación del ITBMS en actividades  de los sectores sociales carentes.</w:t>
      </w:r>
      <w:r w:rsidR="00D07DE7" w:rsidRPr="005C5B91">
        <w:rPr>
          <w:rFonts w:ascii="Times New Roman" w:hAnsi="Times New Roman" w:cs="Times New Roman"/>
          <w:sz w:val="24"/>
          <w:szCs w:val="24"/>
        </w:rPr>
        <w:t xml:space="preserve"> La implantación de la Unidad de Grandes Contribuyentes y de la Unidad de Tributación I</w:t>
      </w:r>
      <w:r w:rsidR="009B30C4" w:rsidRPr="005C5B91">
        <w:rPr>
          <w:rFonts w:ascii="Times New Roman" w:hAnsi="Times New Roman" w:cs="Times New Roman"/>
          <w:sz w:val="24"/>
          <w:szCs w:val="24"/>
        </w:rPr>
        <w:t xml:space="preserve">nternacional son </w:t>
      </w:r>
      <w:r w:rsidR="00F53C06" w:rsidRPr="005C5B91">
        <w:rPr>
          <w:rFonts w:ascii="Times New Roman" w:hAnsi="Times New Roman" w:cs="Times New Roman"/>
          <w:sz w:val="24"/>
          <w:szCs w:val="24"/>
        </w:rPr>
        <w:t>dos de los</w:t>
      </w:r>
      <w:r w:rsidR="009B30C4" w:rsidRPr="005C5B91">
        <w:rPr>
          <w:rFonts w:ascii="Times New Roman" w:hAnsi="Times New Roman" w:cs="Times New Roman"/>
          <w:sz w:val="24"/>
          <w:szCs w:val="24"/>
        </w:rPr>
        <w:t xml:space="preserve"> principales productos que contribuyen </w:t>
      </w:r>
      <w:r w:rsidR="00D07DE7" w:rsidRPr="005C5B91">
        <w:rPr>
          <w:rFonts w:ascii="Times New Roman" w:hAnsi="Times New Roman" w:cs="Times New Roman"/>
          <w:sz w:val="24"/>
          <w:szCs w:val="24"/>
        </w:rPr>
        <w:t>al logro</w:t>
      </w:r>
      <w:r w:rsidR="009B30C4" w:rsidRPr="005C5B91">
        <w:rPr>
          <w:rFonts w:ascii="Times New Roman" w:hAnsi="Times New Roman" w:cs="Times New Roman"/>
          <w:sz w:val="24"/>
          <w:szCs w:val="24"/>
        </w:rPr>
        <w:t xml:space="preserve"> de los beneficios estimados</w:t>
      </w:r>
      <w:r w:rsidRPr="005C5B91">
        <w:rPr>
          <w:rFonts w:ascii="Times New Roman" w:hAnsi="Times New Roman" w:cs="Times New Roman"/>
          <w:sz w:val="24"/>
          <w:szCs w:val="24"/>
        </w:rPr>
        <w:t xml:space="preserve">, vía la reducción de la evasión en el ITBMS y el </w:t>
      </w:r>
      <w:r w:rsidR="00AE760B" w:rsidRPr="005C5B91">
        <w:rPr>
          <w:rFonts w:ascii="Times New Roman" w:hAnsi="Times New Roman" w:cs="Times New Roman"/>
          <w:sz w:val="24"/>
          <w:szCs w:val="24"/>
        </w:rPr>
        <w:t>impuesto sobre la renta (</w:t>
      </w:r>
      <w:r w:rsidRPr="005C5B91">
        <w:rPr>
          <w:rFonts w:ascii="Times New Roman" w:hAnsi="Times New Roman" w:cs="Times New Roman"/>
          <w:sz w:val="24"/>
          <w:szCs w:val="24"/>
        </w:rPr>
        <w:t>ISR</w:t>
      </w:r>
      <w:r w:rsidR="00AE760B" w:rsidRPr="005C5B91">
        <w:rPr>
          <w:rFonts w:ascii="Times New Roman" w:hAnsi="Times New Roman" w:cs="Times New Roman"/>
          <w:sz w:val="24"/>
          <w:szCs w:val="24"/>
        </w:rPr>
        <w:t>)</w:t>
      </w:r>
      <w:r w:rsidR="009B30C4" w:rsidRPr="005C5B91">
        <w:rPr>
          <w:rFonts w:ascii="Times New Roman" w:hAnsi="Times New Roman" w:cs="Times New Roman"/>
          <w:sz w:val="24"/>
          <w:szCs w:val="24"/>
        </w:rPr>
        <w:t>.</w:t>
      </w:r>
    </w:p>
    <w:p w:rsidR="00323E14" w:rsidRPr="005C5B91" w:rsidRDefault="000C3AB7"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w:t>
      </w:r>
      <w:r w:rsidR="00AE760B" w:rsidRPr="005C5B91">
        <w:rPr>
          <w:rFonts w:ascii="Times New Roman" w:hAnsi="Times New Roman" w:cs="Times New Roman"/>
          <w:sz w:val="24"/>
          <w:szCs w:val="24"/>
        </w:rPr>
        <w:t>2</w:t>
      </w:r>
      <w:r w:rsidRPr="005C5B91">
        <w:rPr>
          <w:rFonts w:ascii="Times New Roman" w:hAnsi="Times New Roman" w:cs="Times New Roman"/>
          <w:sz w:val="24"/>
          <w:szCs w:val="24"/>
        </w:rPr>
        <w:tab/>
      </w:r>
      <w:r w:rsidR="00323E14" w:rsidRPr="005C5B91">
        <w:rPr>
          <w:rFonts w:ascii="Times New Roman" w:hAnsi="Times New Roman" w:cs="Times New Roman"/>
          <w:sz w:val="24"/>
          <w:szCs w:val="24"/>
        </w:rPr>
        <w:t>Con el 10,9% del PIB de presión tributaria en 2007, Panamá se ubica en el rango de los países de baja carga impositiva a nivel regional y global, por debajo inclusive de Guatemala (12,3%) y El Salvador (13,4%), países reconocidos tradicionalmente por su baja carga tributaria.</w:t>
      </w:r>
    </w:p>
    <w:p w:rsidR="00323E14" w:rsidRPr="005C5B91" w:rsidRDefault="000C3AB7"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w:t>
      </w:r>
      <w:r w:rsidR="00AE760B" w:rsidRPr="005C5B91">
        <w:rPr>
          <w:rFonts w:ascii="Times New Roman" w:hAnsi="Times New Roman" w:cs="Times New Roman"/>
          <w:sz w:val="24"/>
          <w:szCs w:val="24"/>
        </w:rPr>
        <w:t>3</w:t>
      </w:r>
      <w:r w:rsidRPr="005C5B91">
        <w:rPr>
          <w:rFonts w:ascii="Times New Roman" w:hAnsi="Times New Roman" w:cs="Times New Roman"/>
          <w:sz w:val="24"/>
          <w:szCs w:val="24"/>
        </w:rPr>
        <w:tab/>
      </w:r>
      <w:r w:rsidR="00323E14" w:rsidRPr="005C5B91">
        <w:rPr>
          <w:rFonts w:ascii="Times New Roman" w:hAnsi="Times New Roman" w:cs="Times New Roman"/>
          <w:sz w:val="24"/>
          <w:szCs w:val="24"/>
        </w:rPr>
        <w:t xml:space="preserve">En cuanto a la estructura de la recaudación se observa que el </w:t>
      </w:r>
      <w:r w:rsidR="00AE760B" w:rsidRPr="005C5B91">
        <w:rPr>
          <w:rFonts w:ascii="Times New Roman" w:hAnsi="Times New Roman" w:cs="Times New Roman"/>
          <w:sz w:val="24"/>
          <w:szCs w:val="24"/>
        </w:rPr>
        <w:t>ISR</w:t>
      </w:r>
      <w:r w:rsidR="00323E14" w:rsidRPr="005C5B91">
        <w:rPr>
          <w:rFonts w:ascii="Times New Roman" w:hAnsi="Times New Roman" w:cs="Times New Roman"/>
          <w:sz w:val="24"/>
          <w:szCs w:val="24"/>
        </w:rPr>
        <w:t xml:space="preserve"> brindó en el 2008 alrededor del 46% del total de ingresos tributarios, porcentaje elevado en relación al resto de los países de la región. Le siguen en importancia el Impuesto a la</w:t>
      </w:r>
      <w:r w:rsidR="00D07DE7" w:rsidRPr="005C5B91">
        <w:rPr>
          <w:rFonts w:ascii="Times New Roman" w:hAnsi="Times New Roman" w:cs="Times New Roman"/>
          <w:sz w:val="24"/>
          <w:szCs w:val="24"/>
        </w:rPr>
        <w:t>s</w:t>
      </w:r>
      <w:r w:rsidR="00323E14" w:rsidRPr="005C5B91">
        <w:rPr>
          <w:rFonts w:ascii="Times New Roman" w:hAnsi="Times New Roman" w:cs="Times New Roman"/>
          <w:sz w:val="24"/>
          <w:szCs w:val="24"/>
        </w:rPr>
        <w:t xml:space="preserve"> Trans</w:t>
      </w:r>
      <w:r w:rsidR="00D07DE7" w:rsidRPr="005C5B91">
        <w:rPr>
          <w:rFonts w:ascii="Times New Roman" w:hAnsi="Times New Roman" w:cs="Times New Roman"/>
          <w:sz w:val="24"/>
          <w:szCs w:val="24"/>
        </w:rPr>
        <w:t>acciones</w:t>
      </w:r>
      <w:r w:rsidR="00323E14" w:rsidRPr="005C5B91">
        <w:rPr>
          <w:rFonts w:ascii="Times New Roman" w:hAnsi="Times New Roman" w:cs="Times New Roman"/>
          <w:sz w:val="24"/>
          <w:szCs w:val="24"/>
        </w:rPr>
        <w:t xml:space="preserve"> de Bienes Muebles y Servicios (ITBMS) con un 21,3% del total, Comercio Exterior con un 16,5%, selectivos 9,8% y por úl</w:t>
      </w:r>
      <w:r w:rsidR="00D07DE7" w:rsidRPr="005C5B91">
        <w:rPr>
          <w:rFonts w:ascii="Times New Roman" w:hAnsi="Times New Roman" w:cs="Times New Roman"/>
          <w:sz w:val="24"/>
          <w:szCs w:val="24"/>
        </w:rPr>
        <w:t>timo patrimoniales con un 6,5%.</w:t>
      </w:r>
    </w:p>
    <w:p w:rsidR="00323E14" w:rsidRPr="005C5B91" w:rsidRDefault="00AE760B" w:rsidP="00C26DB5">
      <w:pPr>
        <w:pStyle w:val="ListParagraph"/>
        <w:spacing w:before="120" w:after="120"/>
        <w:ind w:hanging="720"/>
        <w:contextualSpacing w:val="0"/>
        <w:jc w:val="both"/>
        <w:rPr>
          <w:rFonts w:ascii="Times New Roman" w:hAnsi="Times New Roman" w:cs="Times New Roman"/>
          <w:sz w:val="24"/>
          <w:szCs w:val="24"/>
        </w:rPr>
      </w:pPr>
      <w:r w:rsidRPr="005C5B91">
        <w:rPr>
          <w:rFonts w:ascii="Times New Roman" w:hAnsi="Times New Roman" w:cs="Times New Roman"/>
          <w:sz w:val="24"/>
          <w:szCs w:val="24"/>
        </w:rPr>
        <w:t>2.4</w:t>
      </w:r>
      <w:r w:rsidRPr="005C5B91">
        <w:rPr>
          <w:rFonts w:ascii="Times New Roman" w:hAnsi="Times New Roman" w:cs="Times New Roman"/>
          <w:sz w:val="24"/>
          <w:szCs w:val="24"/>
        </w:rPr>
        <w:tab/>
      </w:r>
      <w:r w:rsidR="008D1500" w:rsidRPr="005C5B91">
        <w:rPr>
          <w:rFonts w:ascii="Times New Roman" w:hAnsi="Times New Roman" w:cs="Times New Roman"/>
          <w:sz w:val="24"/>
          <w:szCs w:val="24"/>
        </w:rPr>
        <w:t xml:space="preserve">Es evidente </w:t>
      </w:r>
      <w:r w:rsidR="00323E14" w:rsidRPr="005C5B91">
        <w:rPr>
          <w:rFonts w:ascii="Times New Roman" w:hAnsi="Times New Roman" w:cs="Times New Roman"/>
          <w:sz w:val="24"/>
          <w:szCs w:val="24"/>
        </w:rPr>
        <w:t>que el papel que los países de América Latina han asignado al IVA como fuente</w:t>
      </w:r>
      <w:r w:rsidR="008D1500" w:rsidRPr="005C5B91">
        <w:rPr>
          <w:rFonts w:ascii="Times New Roman" w:hAnsi="Times New Roman" w:cs="Times New Roman"/>
          <w:sz w:val="24"/>
          <w:szCs w:val="24"/>
        </w:rPr>
        <w:t xml:space="preserve"> principal de ingresos fiscales</w:t>
      </w:r>
      <w:r w:rsidR="00323E14" w:rsidRPr="005C5B91">
        <w:rPr>
          <w:rFonts w:ascii="Times New Roman" w:hAnsi="Times New Roman" w:cs="Times New Roman"/>
          <w:sz w:val="24"/>
          <w:szCs w:val="24"/>
        </w:rPr>
        <w:t xml:space="preserve"> ha sido sustituido en Panamá por los ingresos de carácter no tributario, básicamente proveniente de los recursos del Canal</w:t>
      </w:r>
      <w:r w:rsidR="00D07DE7" w:rsidRPr="005C5B91">
        <w:rPr>
          <w:rFonts w:ascii="Times New Roman" w:hAnsi="Times New Roman" w:cs="Times New Roman"/>
          <w:sz w:val="24"/>
          <w:szCs w:val="24"/>
        </w:rPr>
        <w:t xml:space="preserve"> de Panamá</w:t>
      </w:r>
      <w:r w:rsidR="00323E14" w:rsidRPr="005C5B91">
        <w:rPr>
          <w:rFonts w:ascii="Times New Roman" w:hAnsi="Times New Roman" w:cs="Times New Roman"/>
          <w:sz w:val="24"/>
          <w:szCs w:val="24"/>
        </w:rPr>
        <w:t>.</w:t>
      </w:r>
    </w:p>
    <w:p w:rsidR="00323E14" w:rsidRPr="005C5B91" w:rsidRDefault="00AE760B" w:rsidP="00C26DB5">
      <w:pPr>
        <w:pStyle w:val="ListParagraph"/>
        <w:spacing w:before="120" w:after="120"/>
        <w:ind w:hanging="720"/>
        <w:jc w:val="both"/>
        <w:rPr>
          <w:rFonts w:ascii="Times New Roman" w:hAnsi="Times New Roman" w:cs="Times New Roman"/>
          <w:sz w:val="24"/>
          <w:szCs w:val="24"/>
        </w:rPr>
      </w:pPr>
      <w:r w:rsidRPr="005C5B91">
        <w:rPr>
          <w:rFonts w:ascii="Times New Roman" w:hAnsi="Times New Roman" w:cs="Times New Roman"/>
          <w:sz w:val="24"/>
          <w:szCs w:val="24"/>
        </w:rPr>
        <w:t>2.5</w:t>
      </w:r>
      <w:r w:rsidRPr="005C5B91">
        <w:rPr>
          <w:rFonts w:ascii="Times New Roman" w:hAnsi="Times New Roman" w:cs="Times New Roman"/>
          <w:sz w:val="24"/>
          <w:szCs w:val="24"/>
        </w:rPr>
        <w:tab/>
      </w:r>
      <w:r w:rsidR="00323E14" w:rsidRPr="005C5B91">
        <w:rPr>
          <w:rFonts w:ascii="Times New Roman" w:hAnsi="Times New Roman" w:cs="Times New Roman"/>
          <w:sz w:val="24"/>
          <w:szCs w:val="24"/>
        </w:rPr>
        <w:t>Por otra parte, de los 5 puntos del PIB que produjo el impuesto a la renta en 2008, el 54,7% provino de las personas físicas (Personas Naturales, Planillas, Dividendos, Ganancias de Capital y Seguro Educativo), un 43,5% de las personas jurídicas (Personas Ju</w:t>
      </w:r>
      <w:r w:rsidR="00647CD5" w:rsidRPr="005C5B91">
        <w:rPr>
          <w:rFonts w:ascii="Times New Roman" w:hAnsi="Times New Roman" w:cs="Times New Roman"/>
          <w:sz w:val="24"/>
          <w:szCs w:val="24"/>
        </w:rPr>
        <w:t xml:space="preserve">rídicas y Complementario) y </w:t>
      </w:r>
      <w:r w:rsidR="00323E14" w:rsidRPr="005C5B91">
        <w:rPr>
          <w:rFonts w:ascii="Times New Roman" w:hAnsi="Times New Roman" w:cs="Times New Roman"/>
          <w:sz w:val="24"/>
          <w:szCs w:val="24"/>
        </w:rPr>
        <w:t>1,9% proveniente de las operaciones con el mercado interno de empresas radicadas en la Zona Libre de Colón.</w:t>
      </w:r>
    </w:p>
    <w:p w:rsidR="00AE760B" w:rsidRPr="005C5B91" w:rsidRDefault="00AE760B"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2.6</w:t>
      </w:r>
      <w:r w:rsidRPr="005C5B91">
        <w:rPr>
          <w:rFonts w:ascii="Times New Roman" w:hAnsi="Times New Roman" w:cs="Times New Roman"/>
          <w:sz w:val="24"/>
          <w:szCs w:val="24"/>
        </w:rPr>
        <w:tab/>
      </w:r>
      <w:r w:rsidR="00323E14" w:rsidRPr="005C5B91">
        <w:rPr>
          <w:rFonts w:ascii="Times New Roman" w:hAnsi="Times New Roman" w:cs="Times New Roman"/>
          <w:sz w:val="24"/>
          <w:szCs w:val="24"/>
        </w:rPr>
        <w:t xml:space="preserve">La escasa participación del ITBMS </w:t>
      </w:r>
      <w:r w:rsidRPr="005C5B91">
        <w:rPr>
          <w:rFonts w:ascii="Times New Roman" w:hAnsi="Times New Roman" w:cs="Times New Roman"/>
          <w:sz w:val="24"/>
          <w:szCs w:val="24"/>
        </w:rPr>
        <w:t xml:space="preserve">en Panamá </w:t>
      </w:r>
      <w:r w:rsidR="00323E14" w:rsidRPr="005C5B91">
        <w:rPr>
          <w:rFonts w:ascii="Times New Roman" w:hAnsi="Times New Roman" w:cs="Times New Roman"/>
          <w:sz w:val="24"/>
          <w:szCs w:val="24"/>
        </w:rPr>
        <w:t xml:space="preserve">en relación al </w:t>
      </w:r>
      <w:r w:rsidRPr="005C5B91">
        <w:rPr>
          <w:rFonts w:ascii="Times New Roman" w:hAnsi="Times New Roman" w:cs="Times New Roman"/>
          <w:sz w:val="24"/>
          <w:szCs w:val="24"/>
        </w:rPr>
        <w:t xml:space="preserve">IVA en el </w:t>
      </w:r>
      <w:r w:rsidR="00323E14" w:rsidRPr="005C5B91">
        <w:rPr>
          <w:rFonts w:ascii="Times New Roman" w:hAnsi="Times New Roman" w:cs="Times New Roman"/>
          <w:sz w:val="24"/>
          <w:szCs w:val="24"/>
        </w:rPr>
        <w:t xml:space="preserve">resto de los países de América Latina </w:t>
      </w:r>
      <w:r w:rsidR="00D60DB6" w:rsidRPr="005C5B91">
        <w:rPr>
          <w:rFonts w:ascii="Times New Roman" w:hAnsi="Times New Roman" w:cs="Times New Roman"/>
          <w:sz w:val="24"/>
          <w:szCs w:val="24"/>
        </w:rPr>
        <w:t>está</w:t>
      </w:r>
      <w:r w:rsidR="00323E14" w:rsidRPr="005C5B91">
        <w:rPr>
          <w:rFonts w:ascii="Times New Roman" w:hAnsi="Times New Roman" w:cs="Times New Roman"/>
          <w:sz w:val="24"/>
          <w:szCs w:val="24"/>
        </w:rPr>
        <w:t xml:space="preserve"> relacionada con la estrecha definición de la base imponible del gravamen, como así también con un incremento en las exoneraciones o exenciones concedidas en leyes especiales, y el manteniendo de una tasa general muy baja</w:t>
      </w:r>
      <w:r w:rsidRPr="005C5B91">
        <w:rPr>
          <w:rFonts w:ascii="Times New Roman" w:hAnsi="Times New Roman" w:cs="Times New Roman"/>
          <w:sz w:val="24"/>
          <w:szCs w:val="24"/>
        </w:rPr>
        <w:t xml:space="preserve"> (5% hasta 2009 y 7% a partir de 2010).</w:t>
      </w:r>
    </w:p>
    <w:p w:rsidR="00A33E61" w:rsidRPr="005C5B91" w:rsidRDefault="00AE760B"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2.7</w:t>
      </w:r>
      <w:r w:rsidRPr="005C5B91">
        <w:rPr>
          <w:rFonts w:ascii="Times New Roman" w:hAnsi="Times New Roman" w:cs="Times New Roman"/>
          <w:sz w:val="24"/>
          <w:szCs w:val="24"/>
        </w:rPr>
        <w:tab/>
      </w:r>
      <w:r w:rsidR="00A33E61" w:rsidRPr="005C5B91">
        <w:rPr>
          <w:rFonts w:ascii="Times New Roman" w:hAnsi="Times New Roman" w:cs="Times New Roman"/>
          <w:sz w:val="24"/>
          <w:szCs w:val="24"/>
        </w:rPr>
        <w:t xml:space="preserve">Los resultados obtenidos respecto a la evasión en el ITBMS muestran un </w:t>
      </w:r>
      <w:r w:rsidRPr="005C5B91">
        <w:rPr>
          <w:rFonts w:ascii="Times New Roman" w:hAnsi="Times New Roman" w:cs="Times New Roman"/>
          <w:sz w:val="24"/>
          <w:szCs w:val="24"/>
        </w:rPr>
        <w:t xml:space="preserve">alto </w:t>
      </w:r>
      <w:r w:rsidR="00A33E61" w:rsidRPr="005C5B91">
        <w:rPr>
          <w:rFonts w:ascii="Times New Roman" w:hAnsi="Times New Roman" w:cs="Times New Roman"/>
          <w:sz w:val="24"/>
          <w:szCs w:val="24"/>
        </w:rPr>
        <w:t>nivel durante el período observado hasta llegar al 25,2% registrado en 2007. Por otra parte, para tener un parámetro de la pérdida que dicho monto de evasión implica, se relacionó al mismo con el total de ingresos tributarios (141,8 millones de Balboas en 2007) y se llegó a que en el año 2007 dicha relación representó un 6,6% de los ingresos tributarios.</w:t>
      </w:r>
    </w:p>
    <w:p w:rsidR="002176D4" w:rsidRPr="005C5B91" w:rsidRDefault="00364457"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2.8</w:t>
      </w:r>
      <w:r w:rsidRPr="005C5B91">
        <w:rPr>
          <w:rFonts w:ascii="Times New Roman" w:hAnsi="Times New Roman" w:cs="Times New Roman"/>
          <w:sz w:val="24"/>
          <w:szCs w:val="24"/>
        </w:rPr>
        <w:tab/>
      </w:r>
      <w:r w:rsidR="00A33E61" w:rsidRPr="005C5B91">
        <w:rPr>
          <w:rFonts w:ascii="Times New Roman" w:hAnsi="Times New Roman" w:cs="Times New Roman"/>
          <w:sz w:val="24"/>
          <w:szCs w:val="24"/>
        </w:rPr>
        <w:t>Los datos muestran una clara tendencia a la reducción del incumplimiento en el país y desde ya que ello resulta muy ale</w:t>
      </w:r>
      <w:r w:rsidR="00647CD5" w:rsidRPr="005C5B91">
        <w:rPr>
          <w:rFonts w:ascii="Times New Roman" w:hAnsi="Times New Roman" w:cs="Times New Roman"/>
          <w:sz w:val="24"/>
          <w:szCs w:val="24"/>
        </w:rPr>
        <w:t>ntador</w:t>
      </w:r>
      <w:r w:rsidR="00A33E61" w:rsidRPr="005C5B91">
        <w:rPr>
          <w:rFonts w:ascii="Times New Roman" w:hAnsi="Times New Roman" w:cs="Times New Roman"/>
          <w:sz w:val="24"/>
          <w:szCs w:val="24"/>
        </w:rPr>
        <w:t xml:space="preserve">, ya que mas allá de los resultados absolutos obtenidos </w:t>
      </w:r>
      <w:r w:rsidR="00647CD5" w:rsidRPr="005C5B91">
        <w:rPr>
          <w:rFonts w:ascii="Times New Roman" w:hAnsi="Times New Roman" w:cs="Times New Roman"/>
          <w:sz w:val="24"/>
          <w:szCs w:val="24"/>
        </w:rPr>
        <w:t xml:space="preserve">en el valor nominal de los ingresos tributarios, </w:t>
      </w:r>
      <w:r w:rsidR="00A33E61" w:rsidRPr="005C5B91">
        <w:rPr>
          <w:rFonts w:ascii="Times New Roman" w:hAnsi="Times New Roman" w:cs="Times New Roman"/>
          <w:sz w:val="24"/>
          <w:szCs w:val="24"/>
        </w:rPr>
        <w:t>resultan ser de mayor utilidad los cambios relativos</w:t>
      </w:r>
      <w:r w:rsidR="00647CD5" w:rsidRPr="005C5B91">
        <w:rPr>
          <w:rFonts w:ascii="Times New Roman" w:hAnsi="Times New Roman" w:cs="Times New Roman"/>
          <w:sz w:val="24"/>
          <w:szCs w:val="24"/>
        </w:rPr>
        <w:t xml:space="preserve"> en su estructura porcentual</w:t>
      </w:r>
      <w:r w:rsidR="00A33E61" w:rsidRPr="005C5B91">
        <w:rPr>
          <w:rFonts w:ascii="Times New Roman" w:hAnsi="Times New Roman" w:cs="Times New Roman"/>
          <w:sz w:val="24"/>
          <w:szCs w:val="24"/>
        </w:rPr>
        <w:t>.</w:t>
      </w:r>
    </w:p>
    <w:p w:rsidR="002176D4" w:rsidRPr="005C5B91" w:rsidRDefault="002176D4"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2.9</w:t>
      </w:r>
      <w:r w:rsidRPr="005C5B91">
        <w:rPr>
          <w:rFonts w:ascii="Times New Roman" w:hAnsi="Times New Roman" w:cs="Times New Roman"/>
          <w:sz w:val="24"/>
          <w:szCs w:val="24"/>
        </w:rPr>
        <w:tab/>
        <w:t>En términos absolutos, Panamá no está lejos de la situación alcanzada por otros países de América Latina, aunque siempre con las salvedades necesarias en lo que hace a las diferencias metodológicas que pueden existir entre países. Panamá se encuentra apenas por encima de Argentina, Bolivia y México –países que rondan el 20% de evasión- y muy por debajo de los países con evasión “alta” como Uruguay y República Dominicana.</w:t>
      </w:r>
    </w:p>
    <w:p w:rsidR="002176D4" w:rsidRPr="005C5B91" w:rsidRDefault="002176D4" w:rsidP="00C26DB5">
      <w:pPr>
        <w:spacing w:before="120" w:after="120"/>
        <w:ind w:left="720" w:hanging="720"/>
        <w:jc w:val="both"/>
        <w:rPr>
          <w:rFonts w:ascii="Times New Roman" w:hAnsi="Times New Roman" w:cs="Times New Roman"/>
          <w:bCs/>
          <w:sz w:val="24"/>
          <w:szCs w:val="24"/>
        </w:rPr>
      </w:pPr>
      <w:r w:rsidRPr="005C5B91">
        <w:rPr>
          <w:rFonts w:ascii="Times New Roman" w:hAnsi="Times New Roman" w:cs="Times New Roman"/>
          <w:bCs/>
          <w:sz w:val="24"/>
          <w:szCs w:val="24"/>
        </w:rPr>
        <w:t>2.10</w:t>
      </w:r>
      <w:r w:rsidRPr="005C5B91">
        <w:rPr>
          <w:rFonts w:ascii="Times New Roman" w:hAnsi="Times New Roman" w:cs="Times New Roman"/>
          <w:bCs/>
          <w:sz w:val="24"/>
          <w:szCs w:val="24"/>
        </w:rPr>
        <w:tab/>
        <w:t xml:space="preserve">En contraste con el bajo nivel recaudado por el ITBMS, el nivel de </w:t>
      </w:r>
      <w:r w:rsidRPr="005C5B91">
        <w:rPr>
          <w:rFonts w:ascii="Times New Roman" w:hAnsi="Times New Roman" w:cs="Times New Roman"/>
          <w:bCs/>
          <w:i/>
          <w:sz w:val="24"/>
          <w:szCs w:val="24"/>
        </w:rPr>
        <w:t>gastos tributarios</w:t>
      </w:r>
      <w:r w:rsidRPr="005C5B91">
        <w:rPr>
          <w:rFonts w:ascii="Times New Roman" w:hAnsi="Times New Roman" w:cs="Times New Roman"/>
          <w:bCs/>
          <w:sz w:val="24"/>
          <w:szCs w:val="24"/>
        </w:rPr>
        <w:t xml:space="preserve"> tiene mayor importancia en Panamá ya que representa prácticamente el 40% de los ingresos tributarios totales recaudados, </w:t>
      </w:r>
      <w:r w:rsidRPr="005C5B91">
        <w:rPr>
          <w:rFonts w:ascii="Times New Roman" w:hAnsi="Times New Roman" w:cs="Times New Roman"/>
          <w:sz w:val="24"/>
          <w:szCs w:val="24"/>
        </w:rPr>
        <w:t>situándose</w:t>
      </w:r>
      <w:r w:rsidRPr="005C5B91">
        <w:rPr>
          <w:rFonts w:ascii="Times New Roman" w:hAnsi="Times New Roman" w:cs="Times New Roman"/>
          <w:bCs/>
          <w:sz w:val="24"/>
          <w:szCs w:val="24"/>
        </w:rPr>
        <w:t xml:space="preserve"> entre los países con importancia relativa intermedia de los gastos tributarios en el ITBMS (IVA), lejos de países como Nicaragua y Guatemala en donde los mismos ascienden a los 5 puntos del PIB aproximadamente, pero también lejos del otro extremo positivo de países como Argentina y Chile, los cuales además de tener los niveles más altos de recaudación poseen los niveles más bajos de gastos tributarios.</w:t>
      </w:r>
    </w:p>
    <w:p w:rsidR="00A74EE1" w:rsidRPr="00C26DB5" w:rsidRDefault="00C76512" w:rsidP="00C26DB5">
      <w:pPr>
        <w:pStyle w:val="Caption"/>
        <w:spacing w:before="3120" w:after="120"/>
        <w:ind w:left="720"/>
        <w:jc w:val="center"/>
        <w:rPr>
          <w:b w:val="0"/>
        </w:rPr>
      </w:pPr>
      <w:bookmarkStart w:id="0" w:name="_Ref224384951"/>
      <w:r w:rsidRPr="00C26DB5">
        <w:rPr>
          <w:bCs w:val="0"/>
        </w:rPr>
        <w:t>Cuadro</w:t>
      </w:r>
      <w:r w:rsidR="00A74EE1" w:rsidRPr="00C26DB5">
        <w:rPr>
          <w:bCs w:val="0"/>
        </w:rPr>
        <w:t xml:space="preserve"> </w:t>
      </w:r>
      <w:bookmarkEnd w:id="0"/>
      <w:r w:rsidR="00B433C7" w:rsidRPr="00C26DB5">
        <w:rPr>
          <w:bCs w:val="0"/>
        </w:rPr>
        <w:t>2</w:t>
      </w:r>
      <w:r w:rsidR="00C26DB5" w:rsidRPr="00C26DB5">
        <w:rPr>
          <w:bCs w:val="0"/>
        </w:rPr>
        <w:t xml:space="preserve">. </w:t>
      </w:r>
      <w:r w:rsidR="00A74EE1" w:rsidRPr="00C26DB5">
        <w:t>Estructura Tributaria</w:t>
      </w:r>
    </w:p>
    <w:p w:rsidR="00A74EE1" w:rsidRPr="005C5B91" w:rsidRDefault="00A74EE1" w:rsidP="00C26DB5">
      <w:pPr>
        <w:pStyle w:val="ListParagraph"/>
        <w:spacing w:after="240"/>
        <w:jc w:val="both"/>
        <w:rPr>
          <w:rFonts w:ascii="Times New Roman" w:hAnsi="Times New Roman" w:cs="Times New Roman"/>
          <w:sz w:val="21"/>
          <w:szCs w:val="21"/>
        </w:rPr>
      </w:pPr>
      <w:r w:rsidRPr="005C5B91">
        <w:rPr>
          <w:rFonts w:ascii="Times New Roman" w:hAnsi="Times New Roman" w:cs="Times New Roman"/>
          <w:lang w:eastAsia="es-ES"/>
        </w:rPr>
        <w:drawing>
          <wp:inline distT="0" distB="0" distL="0" distR="0">
            <wp:extent cx="5083664" cy="2620370"/>
            <wp:effectExtent l="95250" t="95250" r="97936" b="1037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srcRect/>
                    <a:stretch>
                      <a:fillRect/>
                    </a:stretch>
                  </pic:blipFill>
                  <pic:spPr bwMode="auto">
                    <a:xfrm>
                      <a:off x="0" y="0"/>
                      <a:ext cx="5083810" cy="2620445"/>
                    </a:xfrm>
                    <a:prstGeom prst="rect">
                      <a:avLst/>
                    </a:prstGeom>
                    <a:ln w="88900" cap="sq" cmpd="thickThin">
                      <a:solidFill>
                        <a:schemeClr val="tx2">
                          <a:lumMod val="40000"/>
                          <a:lumOff val="60000"/>
                        </a:schemeClr>
                      </a:solidFill>
                      <a:prstDash val="solid"/>
                      <a:miter lim="800000"/>
                    </a:ln>
                    <a:effectLst>
                      <a:innerShdw blurRad="76200">
                        <a:srgbClr val="000000"/>
                      </a:innerShdw>
                    </a:effectLst>
                  </pic:spPr>
                </pic:pic>
              </a:graphicData>
            </a:graphic>
          </wp:inline>
        </w:drawing>
      </w:r>
    </w:p>
    <w:p w:rsidR="0091386C" w:rsidRPr="005C5B91" w:rsidRDefault="00364457"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2.11</w:t>
      </w:r>
      <w:r w:rsidRPr="005C5B91">
        <w:rPr>
          <w:rFonts w:ascii="Times New Roman" w:hAnsi="Times New Roman" w:cs="Times New Roman"/>
          <w:sz w:val="24"/>
          <w:szCs w:val="24"/>
        </w:rPr>
        <w:tab/>
      </w:r>
      <w:r w:rsidR="0034382A" w:rsidRPr="005C5B91">
        <w:rPr>
          <w:rFonts w:ascii="Times New Roman" w:hAnsi="Times New Roman" w:cs="Times New Roman"/>
          <w:sz w:val="24"/>
          <w:szCs w:val="24"/>
        </w:rPr>
        <w:t xml:space="preserve">Cabe </w:t>
      </w:r>
      <w:r w:rsidR="0091386C" w:rsidRPr="005C5B91">
        <w:rPr>
          <w:rFonts w:ascii="Times New Roman" w:hAnsi="Times New Roman" w:cs="Times New Roman"/>
          <w:sz w:val="24"/>
          <w:szCs w:val="24"/>
        </w:rPr>
        <w:t xml:space="preserve">mencionar que para un país con el grado de desarrollo de Panamá y con el </w:t>
      </w:r>
      <w:r w:rsidR="00DC7DD4" w:rsidRPr="005C5B91">
        <w:rPr>
          <w:rFonts w:ascii="Times New Roman" w:hAnsi="Times New Roman" w:cs="Times New Roman"/>
          <w:sz w:val="24"/>
          <w:szCs w:val="24"/>
        </w:rPr>
        <w:t xml:space="preserve">nivel de crecimiento </w:t>
      </w:r>
      <w:r w:rsidR="0091386C" w:rsidRPr="005C5B91">
        <w:rPr>
          <w:rFonts w:ascii="Times New Roman" w:hAnsi="Times New Roman" w:cs="Times New Roman"/>
          <w:sz w:val="24"/>
          <w:szCs w:val="24"/>
        </w:rPr>
        <w:t>económic</w:t>
      </w:r>
      <w:r w:rsidR="00DC7DD4" w:rsidRPr="005C5B91">
        <w:rPr>
          <w:rFonts w:ascii="Times New Roman" w:hAnsi="Times New Roman" w:cs="Times New Roman"/>
          <w:sz w:val="24"/>
          <w:szCs w:val="24"/>
        </w:rPr>
        <w:t>o</w:t>
      </w:r>
      <w:r w:rsidR="0091386C" w:rsidRPr="005C5B91">
        <w:rPr>
          <w:rFonts w:ascii="Times New Roman" w:hAnsi="Times New Roman" w:cs="Times New Roman"/>
          <w:sz w:val="24"/>
          <w:szCs w:val="24"/>
        </w:rPr>
        <w:t xml:space="preserve"> experimentado en la última década</w:t>
      </w:r>
      <w:r w:rsidR="00DC7DD4" w:rsidRPr="005C5B91">
        <w:rPr>
          <w:rFonts w:ascii="Times New Roman" w:hAnsi="Times New Roman" w:cs="Times New Roman"/>
          <w:sz w:val="24"/>
          <w:szCs w:val="24"/>
        </w:rPr>
        <w:t>,</w:t>
      </w:r>
      <w:r w:rsidR="0091386C" w:rsidRPr="005C5B91">
        <w:rPr>
          <w:rFonts w:ascii="Times New Roman" w:hAnsi="Times New Roman" w:cs="Times New Roman"/>
          <w:sz w:val="24"/>
          <w:szCs w:val="24"/>
        </w:rPr>
        <w:t xml:space="preserve"> no se justifica la </w:t>
      </w:r>
      <w:r w:rsidR="0091386C" w:rsidRPr="005C5B91">
        <w:rPr>
          <w:rFonts w:ascii="Times New Roman" w:hAnsi="Times New Roman" w:cs="Times New Roman"/>
          <w:bCs/>
          <w:sz w:val="24"/>
          <w:szCs w:val="24"/>
        </w:rPr>
        <w:t>ausencia</w:t>
      </w:r>
      <w:r w:rsidR="0091386C" w:rsidRPr="005C5B91">
        <w:rPr>
          <w:rFonts w:ascii="Times New Roman" w:hAnsi="Times New Roman" w:cs="Times New Roman"/>
          <w:sz w:val="24"/>
          <w:szCs w:val="24"/>
        </w:rPr>
        <w:t xml:space="preserve"> de estos dos elementos de análisis de la política tributaria</w:t>
      </w:r>
      <w:r w:rsidR="00DC7DD4" w:rsidRPr="005C5B91">
        <w:rPr>
          <w:rFonts w:ascii="Times New Roman" w:hAnsi="Times New Roman" w:cs="Times New Roman"/>
          <w:sz w:val="24"/>
          <w:szCs w:val="24"/>
        </w:rPr>
        <w:t xml:space="preserve">: </w:t>
      </w:r>
      <w:r w:rsidR="00920082" w:rsidRPr="005C5B91">
        <w:rPr>
          <w:rFonts w:ascii="Times New Roman" w:hAnsi="Times New Roman" w:cs="Times New Roman"/>
          <w:sz w:val="24"/>
          <w:szCs w:val="24"/>
        </w:rPr>
        <w:t>alta evasión y alto gasto tributario en el ITBMS (IVA).</w:t>
      </w:r>
      <w:r w:rsidR="0091386C" w:rsidRPr="005C5B91">
        <w:rPr>
          <w:rFonts w:ascii="Times New Roman" w:hAnsi="Times New Roman" w:cs="Times New Roman"/>
          <w:sz w:val="24"/>
          <w:szCs w:val="24"/>
        </w:rPr>
        <w:t xml:space="preserve"> Al respecto puede mencionarse que Panamá es prácticamente el único país de la región que no cuenta con estos indicadores fundamentales para poder evaluar su gestión en materia </w:t>
      </w:r>
      <w:r w:rsidR="00920082" w:rsidRPr="005C5B91">
        <w:rPr>
          <w:rFonts w:ascii="Times New Roman" w:hAnsi="Times New Roman" w:cs="Times New Roman"/>
          <w:sz w:val="24"/>
          <w:szCs w:val="24"/>
        </w:rPr>
        <w:t xml:space="preserve">de administración </w:t>
      </w:r>
      <w:r w:rsidR="0091386C" w:rsidRPr="005C5B91">
        <w:rPr>
          <w:rFonts w:ascii="Times New Roman" w:hAnsi="Times New Roman" w:cs="Times New Roman"/>
          <w:sz w:val="24"/>
          <w:szCs w:val="24"/>
        </w:rPr>
        <w:t>tributaria.</w:t>
      </w:r>
    </w:p>
    <w:p w:rsidR="000853E0" w:rsidRPr="005C5B91" w:rsidRDefault="00364457" w:rsidP="00C26DB5">
      <w:pPr>
        <w:spacing w:before="12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2.12</w:t>
      </w:r>
      <w:r w:rsidRPr="005C5B91">
        <w:rPr>
          <w:rFonts w:ascii="Times New Roman" w:hAnsi="Times New Roman" w:cs="Times New Roman"/>
          <w:sz w:val="24"/>
          <w:szCs w:val="24"/>
        </w:rPr>
        <w:tab/>
      </w:r>
      <w:r w:rsidR="0091386C" w:rsidRPr="005C5B91">
        <w:rPr>
          <w:rFonts w:ascii="Times New Roman" w:hAnsi="Times New Roman" w:cs="Times New Roman"/>
          <w:sz w:val="24"/>
          <w:szCs w:val="24"/>
        </w:rPr>
        <w:t xml:space="preserve">Por otra parte, se observa la falta de una Unidad de Grandes Contribuyentes y </w:t>
      </w:r>
      <w:r w:rsidRPr="005C5B91">
        <w:rPr>
          <w:rFonts w:ascii="Times New Roman" w:hAnsi="Times New Roman" w:cs="Times New Roman"/>
          <w:sz w:val="24"/>
          <w:szCs w:val="24"/>
        </w:rPr>
        <w:t xml:space="preserve">otra unidad </w:t>
      </w:r>
      <w:r w:rsidR="0091386C" w:rsidRPr="005C5B91">
        <w:rPr>
          <w:rFonts w:ascii="Times New Roman" w:hAnsi="Times New Roman" w:cs="Times New Roman"/>
          <w:sz w:val="24"/>
          <w:szCs w:val="24"/>
        </w:rPr>
        <w:t xml:space="preserve">de Análisis Tributario </w:t>
      </w:r>
      <w:r w:rsidR="00920082" w:rsidRPr="005C5B91">
        <w:rPr>
          <w:rFonts w:ascii="Times New Roman" w:hAnsi="Times New Roman" w:cs="Times New Roman"/>
          <w:sz w:val="24"/>
          <w:szCs w:val="24"/>
        </w:rPr>
        <w:t xml:space="preserve">que pueda encarar estas tareas. La misma </w:t>
      </w:r>
      <w:r w:rsidR="0091386C" w:rsidRPr="005C5B91">
        <w:rPr>
          <w:rFonts w:ascii="Times New Roman" w:hAnsi="Times New Roman" w:cs="Times New Roman"/>
          <w:sz w:val="24"/>
          <w:szCs w:val="24"/>
        </w:rPr>
        <w:t xml:space="preserve">debe contar con los elementos humanos y materiales </w:t>
      </w:r>
      <w:r w:rsidR="00920082" w:rsidRPr="005C5B91">
        <w:rPr>
          <w:rFonts w:ascii="Times New Roman" w:hAnsi="Times New Roman" w:cs="Times New Roman"/>
          <w:sz w:val="24"/>
          <w:szCs w:val="24"/>
        </w:rPr>
        <w:t>para poder cumplir su finalidad: reducir la evasión y reducir paulatinamente el gasto tributario asociado a dicho impuesto.</w:t>
      </w:r>
    </w:p>
    <w:p w:rsidR="000853E0" w:rsidRDefault="00364457" w:rsidP="00C26DB5">
      <w:pPr>
        <w:spacing w:before="120" w:after="120"/>
        <w:ind w:left="720" w:hanging="720"/>
        <w:rPr>
          <w:rFonts w:ascii="Times New Roman" w:hAnsi="Times New Roman" w:cs="Times New Roman"/>
          <w:sz w:val="24"/>
          <w:szCs w:val="24"/>
        </w:rPr>
      </w:pPr>
      <w:r w:rsidRPr="00C26DB5">
        <w:rPr>
          <w:rFonts w:ascii="Times New Roman" w:hAnsi="Times New Roman" w:cs="Times New Roman"/>
          <w:sz w:val="24"/>
          <w:szCs w:val="24"/>
        </w:rPr>
        <w:t>2.12</w:t>
      </w:r>
      <w:r w:rsidRPr="00C26DB5">
        <w:rPr>
          <w:rFonts w:ascii="Times New Roman" w:hAnsi="Times New Roman" w:cs="Times New Roman"/>
          <w:b/>
          <w:sz w:val="24"/>
          <w:szCs w:val="24"/>
        </w:rPr>
        <w:tab/>
      </w:r>
      <w:r w:rsidR="0091386C" w:rsidRPr="00C26DB5">
        <w:rPr>
          <w:rFonts w:ascii="Times New Roman" w:hAnsi="Times New Roman" w:cs="Times New Roman"/>
          <w:b/>
          <w:sz w:val="24"/>
          <w:szCs w:val="24"/>
        </w:rPr>
        <w:t>Cálculo</w:t>
      </w:r>
      <w:r w:rsidR="00536BB4" w:rsidRPr="00C26DB5">
        <w:rPr>
          <w:rFonts w:ascii="Times New Roman" w:hAnsi="Times New Roman" w:cs="Times New Roman"/>
          <w:b/>
          <w:sz w:val="24"/>
          <w:szCs w:val="24"/>
        </w:rPr>
        <w:t xml:space="preserve"> </w:t>
      </w:r>
      <w:r w:rsidR="0091386C" w:rsidRPr="00C26DB5">
        <w:rPr>
          <w:rFonts w:ascii="Times New Roman" w:hAnsi="Times New Roman" w:cs="Times New Roman"/>
          <w:b/>
          <w:sz w:val="24"/>
          <w:szCs w:val="24"/>
        </w:rPr>
        <w:t xml:space="preserve">de la </w:t>
      </w:r>
      <w:r w:rsidR="0091386C" w:rsidRPr="00C26DB5">
        <w:rPr>
          <w:rFonts w:ascii="Times New Roman" w:hAnsi="Times New Roman" w:cs="Times New Roman"/>
          <w:sz w:val="24"/>
          <w:szCs w:val="24"/>
        </w:rPr>
        <w:t>Evasión</w:t>
      </w:r>
      <w:r w:rsidR="00A74EE1" w:rsidRPr="00C26DB5">
        <w:rPr>
          <w:rFonts w:ascii="Times New Roman" w:hAnsi="Times New Roman" w:cs="Times New Roman"/>
          <w:b/>
          <w:sz w:val="24"/>
          <w:szCs w:val="24"/>
        </w:rPr>
        <w:t xml:space="preserve"> del ITBMS</w:t>
      </w:r>
      <w:r w:rsidR="00262986" w:rsidRPr="00C26DB5">
        <w:rPr>
          <w:rFonts w:ascii="Times New Roman" w:hAnsi="Times New Roman" w:cs="Times New Roman"/>
          <w:b/>
          <w:sz w:val="24"/>
          <w:szCs w:val="24"/>
        </w:rPr>
        <w:t xml:space="preserve"> (en millones de </w:t>
      </w:r>
      <w:r w:rsidR="004A2760" w:rsidRPr="00C26DB5">
        <w:rPr>
          <w:rFonts w:ascii="Times New Roman" w:hAnsi="Times New Roman" w:cs="Times New Roman"/>
          <w:b/>
          <w:sz w:val="24"/>
          <w:szCs w:val="24"/>
        </w:rPr>
        <w:t>US$</w:t>
      </w:r>
      <w:r w:rsidR="00262986" w:rsidRPr="00C26DB5">
        <w:rPr>
          <w:rFonts w:ascii="Times New Roman" w:hAnsi="Times New Roman" w:cs="Times New Roman"/>
          <w:b/>
          <w:sz w:val="24"/>
          <w:szCs w:val="24"/>
        </w:rPr>
        <w:t>)</w:t>
      </w:r>
      <w:r w:rsidRPr="00C26DB5">
        <w:rPr>
          <w:rFonts w:ascii="Times New Roman" w:hAnsi="Times New Roman" w:cs="Times New Roman"/>
          <w:b/>
          <w:sz w:val="24"/>
          <w:szCs w:val="24"/>
        </w:rPr>
        <w:t xml:space="preserve">. </w:t>
      </w:r>
      <w:r w:rsidR="000853E0" w:rsidRPr="00C26DB5">
        <w:rPr>
          <w:rFonts w:ascii="Times New Roman" w:hAnsi="Times New Roman" w:cs="Times New Roman"/>
          <w:sz w:val="24"/>
          <w:szCs w:val="24"/>
        </w:rPr>
        <w:t xml:space="preserve">El análisis efectuado para determinar la base potencial del tributo se puede dividir en </w:t>
      </w:r>
      <w:r w:rsidR="006A1DBB" w:rsidRPr="00C26DB5">
        <w:rPr>
          <w:rFonts w:ascii="Times New Roman" w:hAnsi="Times New Roman" w:cs="Times New Roman"/>
          <w:sz w:val="24"/>
          <w:szCs w:val="24"/>
        </w:rPr>
        <w:t>cuatro</w:t>
      </w:r>
      <w:r w:rsidR="000853E0" w:rsidRPr="00C26DB5">
        <w:rPr>
          <w:rFonts w:ascii="Times New Roman" w:hAnsi="Times New Roman" w:cs="Times New Roman"/>
          <w:sz w:val="24"/>
          <w:szCs w:val="24"/>
        </w:rPr>
        <w:t xml:space="preserve"> bloques:</w:t>
      </w:r>
    </w:p>
    <w:p w:rsidR="000C7109" w:rsidRPr="00C26DB5" w:rsidRDefault="000C7109" w:rsidP="000C7109">
      <w:pPr>
        <w:spacing w:before="120" w:after="120"/>
        <w:ind w:left="1440" w:hanging="72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Cómputo de gasto de consumo privado no deducible:</w:t>
      </w:r>
    </w:p>
    <w:p w:rsidR="000853E0" w:rsidRPr="000C7109" w:rsidRDefault="00C26DB5" w:rsidP="000C7109">
      <w:pPr>
        <w:spacing w:before="3000" w:after="120"/>
        <w:jc w:val="center"/>
        <w:rPr>
          <w:rFonts w:ascii="Times New Roman" w:hAnsi="Times New Roman" w:cs="Times New Roman"/>
          <w:b/>
          <w:sz w:val="20"/>
          <w:szCs w:val="20"/>
          <w:u w:val="single"/>
        </w:rPr>
      </w:pPr>
      <w:r w:rsidRPr="000C7109">
        <w:rPr>
          <w:rFonts w:ascii="Times New Roman" w:hAnsi="Times New Roman" w:cs="Times New Roman"/>
          <w:b/>
          <w:sz w:val="20"/>
          <w:szCs w:val="20"/>
        </w:rPr>
        <w:t>Cua</w:t>
      </w:r>
      <w:r w:rsidR="000C7109" w:rsidRPr="000C7109">
        <w:rPr>
          <w:rFonts w:ascii="Times New Roman" w:hAnsi="Times New Roman" w:cs="Times New Roman"/>
          <w:b/>
          <w:sz w:val="20"/>
          <w:szCs w:val="20"/>
        </w:rPr>
        <w:t>dro 3</w:t>
      </w:r>
    </w:p>
    <w:p w:rsidR="00F44535" w:rsidRDefault="000853E0" w:rsidP="000C7109">
      <w:pPr>
        <w:spacing w:before="22" w:after="120" w:line="240" w:lineRule="auto"/>
        <w:jc w:val="both"/>
        <w:rPr>
          <w:rFonts w:ascii="Times New Roman" w:hAnsi="Times New Roman" w:cs="Times New Roman"/>
          <w:bCs/>
          <w:sz w:val="21"/>
          <w:szCs w:val="21"/>
        </w:rPr>
      </w:pPr>
      <w:r w:rsidRPr="005C5B91">
        <w:rPr>
          <w:rFonts w:ascii="Times New Roman" w:hAnsi="Times New Roman" w:cs="Times New Roman"/>
          <w:lang w:eastAsia="es-ES"/>
        </w:rPr>
        <w:drawing>
          <wp:inline distT="0" distB="0" distL="0" distR="0">
            <wp:extent cx="5317642" cy="1622908"/>
            <wp:effectExtent l="95250" t="95250" r="92558" b="91592"/>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a:stretch>
                      <a:fillRect/>
                    </a:stretch>
                  </pic:blipFill>
                  <pic:spPr bwMode="auto">
                    <a:xfrm>
                      <a:off x="0" y="0"/>
                      <a:ext cx="5321309" cy="1624027"/>
                    </a:xfrm>
                    <a:prstGeom prst="rect">
                      <a:avLst/>
                    </a:prstGeom>
                    <a:ln w="88900" cap="sq" cmpd="thickThin">
                      <a:solidFill>
                        <a:schemeClr val="tx2">
                          <a:lumMod val="40000"/>
                          <a:lumOff val="60000"/>
                        </a:schemeClr>
                      </a:solidFill>
                      <a:prstDash val="solid"/>
                      <a:miter lim="800000"/>
                    </a:ln>
                    <a:effectLst>
                      <a:innerShdw blurRad="76200">
                        <a:srgbClr val="000000"/>
                      </a:innerShdw>
                    </a:effectLst>
                  </pic:spPr>
                </pic:pic>
              </a:graphicData>
            </a:graphic>
          </wp:inline>
        </w:drawing>
      </w:r>
    </w:p>
    <w:p w:rsidR="000C7109" w:rsidRPr="000C7109" w:rsidRDefault="000C7109" w:rsidP="000C7109">
      <w:pPr>
        <w:spacing w:before="240" w:after="120" w:line="240" w:lineRule="auto"/>
        <w:ind w:left="1440" w:hanging="720"/>
        <w:jc w:val="both"/>
        <w:rPr>
          <w:rFonts w:ascii="Times New Roman" w:hAnsi="Times New Roman" w:cs="Times New Roman"/>
          <w:bCs/>
          <w:sz w:val="24"/>
          <w:szCs w:val="24"/>
        </w:rPr>
      </w:pPr>
      <w:r w:rsidRPr="000C7109">
        <w:rPr>
          <w:rFonts w:ascii="Times New Roman" w:hAnsi="Times New Roman" w:cs="Times New Roman"/>
          <w:bCs/>
          <w:sz w:val="24"/>
          <w:szCs w:val="24"/>
        </w:rPr>
        <w:t>b</w:t>
      </w:r>
      <w:r w:rsidRPr="000C7109">
        <w:rPr>
          <w:rFonts w:ascii="Times New Roman" w:hAnsi="Times New Roman" w:cs="Times New Roman"/>
          <w:bCs/>
          <w:sz w:val="24"/>
          <w:szCs w:val="24"/>
        </w:rPr>
        <w:tab/>
      </w:r>
      <w:r>
        <w:rPr>
          <w:rFonts w:ascii="Times New Roman" w:hAnsi="Times New Roman" w:cs="Times New Roman"/>
          <w:bCs/>
          <w:sz w:val="24"/>
          <w:szCs w:val="24"/>
        </w:rPr>
        <w:t>Cómputo del gasto en consumo e inversión públicos no deducibles:</w:t>
      </w:r>
    </w:p>
    <w:p w:rsidR="005C13AE" w:rsidRPr="000C7109" w:rsidRDefault="00B433C7" w:rsidP="000C7109">
      <w:pPr>
        <w:spacing w:before="120" w:after="120"/>
        <w:jc w:val="center"/>
        <w:rPr>
          <w:rFonts w:ascii="Times New Roman" w:hAnsi="Times New Roman" w:cs="Times New Roman"/>
          <w:b/>
          <w:bCs/>
          <w:sz w:val="20"/>
          <w:szCs w:val="20"/>
        </w:rPr>
      </w:pPr>
      <w:r w:rsidRPr="000C7109">
        <w:rPr>
          <w:rFonts w:ascii="Times New Roman" w:hAnsi="Times New Roman" w:cs="Times New Roman"/>
          <w:b/>
          <w:sz w:val="20"/>
          <w:szCs w:val="20"/>
        </w:rPr>
        <w:t>Cuadro 4</w:t>
      </w:r>
    </w:p>
    <w:p w:rsidR="00A742E1" w:rsidRDefault="000853E0" w:rsidP="000C7109">
      <w:pPr>
        <w:spacing w:before="22" w:after="120" w:line="240" w:lineRule="auto"/>
        <w:jc w:val="both"/>
        <w:rPr>
          <w:rFonts w:ascii="Times New Roman" w:hAnsi="Times New Roman" w:cs="Times New Roman"/>
          <w:bCs/>
          <w:sz w:val="21"/>
          <w:szCs w:val="21"/>
        </w:rPr>
      </w:pPr>
      <w:r w:rsidRPr="005C5B91">
        <w:rPr>
          <w:rFonts w:ascii="Times New Roman" w:hAnsi="Times New Roman" w:cs="Times New Roman"/>
          <w:lang w:eastAsia="es-ES"/>
        </w:rPr>
        <w:drawing>
          <wp:inline distT="0" distB="0" distL="0" distR="0">
            <wp:extent cx="5316087" cy="1510713"/>
            <wp:effectExtent l="95250" t="95250" r="94113" b="89487"/>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srcRect/>
                    <a:stretch>
                      <a:fillRect/>
                    </a:stretch>
                  </pic:blipFill>
                  <pic:spPr bwMode="auto">
                    <a:xfrm>
                      <a:off x="0" y="0"/>
                      <a:ext cx="5331204" cy="1515009"/>
                    </a:xfrm>
                    <a:prstGeom prst="rect">
                      <a:avLst/>
                    </a:prstGeom>
                    <a:ln w="88900" cap="sq" cmpd="thickThin">
                      <a:solidFill>
                        <a:schemeClr val="tx2">
                          <a:lumMod val="40000"/>
                          <a:lumOff val="60000"/>
                        </a:schemeClr>
                      </a:solidFill>
                      <a:prstDash val="solid"/>
                      <a:miter lim="800000"/>
                    </a:ln>
                    <a:effectLst>
                      <a:innerShdw blurRad="76200">
                        <a:srgbClr val="000000"/>
                      </a:innerShdw>
                    </a:effectLst>
                  </pic:spPr>
                </pic:pic>
              </a:graphicData>
            </a:graphic>
          </wp:inline>
        </w:drawing>
      </w:r>
    </w:p>
    <w:p w:rsidR="000C7109" w:rsidRPr="000C7109" w:rsidRDefault="000C7109" w:rsidP="000C7109">
      <w:pPr>
        <w:spacing w:before="240" w:after="120" w:line="240" w:lineRule="auto"/>
        <w:ind w:left="1440" w:hanging="720"/>
        <w:jc w:val="both"/>
        <w:rPr>
          <w:rFonts w:ascii="Times New Roman" w:hAnsi="Times New Roman" w:cs="Times New Roman"/>
          <w:bCs/>
          <w:sz w:val="24"/>
          <w:szCs w:val="24"/>
        </w:rPr>
      </w:pPr>
      <w:r w:rsidRPr="000C7109">
        <w:rPr>
          <w:rFonts w:ascii="Times New Roman" w:hAnsi="Times New Roman" w:cs="Times New Roman"/>
          <w:bCs/>
          <w:sz w:val="24"/>
          <w:szCs w:val="24"/>
        </w:rPr>
        <w:t>c</w:t>
      </w:r>
      <w:r w:rsidRPr="000C7109">
        <w:rPr>
          <w:rFonts w:ascii="Times New Roman" w:hAnsi="Times New Roman" w:cs="Times New Roman"/>
          <w:bCs/>
          <w:sz w:val="24"/>
          <w:szCs w:val="24"/>
        </w:rPr>
        <w:tab/>
        <w:t>Cómputo de los gastos en bienes y servicios gravados para la producción de bienes exentos:</w:t>
      </w:r>
    </w:p>
    <w:p w:rsidR="00A33E61" w:rsidRPr="000C7109" w:rsidRDefault="00B433C7" w:rsidP="000C7109">
      <w:pPr>
        <w:spacing w:before="120" w:after="120"/>
        <w:jc w:val="center"/>
        <w:rPr>
          <w:rFonts w:ascii="Times New Roman" w:hAnsi="Times New Roman" w:cs="Times New Roman"/>
          <w:b/>
          <w:bCs/>
          <w:sz w:val="20"/>
          <w:szCs w:val="20"/>
        </w:rPr>
      </w:pPr>
      <w:r w:rsidRPr="000C7109">
        <w:rPr>
          <w:rFonts w:ascii="Times New Roman" w:hAnsi="Times New Roman" w:cs="Times New Roman"/>
          <w:b/>
          <w:sz w:val="20"/>
          <w:szCs w:val="20"/>
        </w:rPr>
        <w:t>Cuadro 5</w:t>
      </w:r>
    </w:p>
    <w:p w:rsidR="00862434" w:rsidRDefault="00A742E1" w:rsidP="000C7109">
      <w:pPr>
        <w:pStyle w:val="ListParagraph"/>
        <w:spacing w:after="120"/>
        <w:ind w:left="0"/>
        <w:jc w:val="both"/>
        <w:rPr>
          <w:rFonts w:ascii="Times New Roman" w:hAnsi="Times New Roman" w:cs="Times New Roman"/>
          <w:sz w:val="21"/>
          <w:szCs w:val="21"/>
        </w:rPr>
      </w:pPr>
      <w:r w:rsidRPr="005C5B91">
        <w:rPr>
          <w:rFonts w:ascii="Times New Roman" w:hAnsi="Times New Roman" w:cs="Times New Roman"/>
          <w:lang w:eastAsia="es-ES"/>
        </w:rPr>
        <w:drawing>
          <wp:inline distT="0" distB="0" distL="0" distR="0">
            <wp:extent cx="5397944" cy="1392072"/>
            <wp:effectExtent l="95250" t="95250" r="88456" b="93828"/>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5397500" cy="1391957"/>
                    </a:xfrm>
                    <a:prstGeom prst="rect">
                      <a:avLst/>
                    </a:prstGeom>
                    <a:ln w="88900" cap="sq" cmpd="thickThin">
                      <a:solidFill>
                        <a:schemeClr val="tx2">
                          <a:lumMod val="40000"/>
                          <a:lumOff val="60000"/>
                        </a:schemeClr>
                      </a:solidFill>
                      <a:prstDash val="solid"/>
                      <a:miter lim="800000"/>
                    </a:ln>
                    <a:effectLst>
                      <a:innerShdw blurRad="76200">
                        <a:srgbClr val="000000"/>
                      </a:innerShdw>
                    </a:effectLst>
                  </pic:spPr>
                </pic:pic>
              </a:graphicData>
            </a:graphic>
          </wp:inline>
        </w:drawing>
      </w:r>
      <w:r w:rsidR="006A1DBB" w:rsidRPr="005C5B91">
        <w:rPr>
          <w:rFonts w:ascii="Times New Roman" w:hAnsi="Times New Roman" w:cs="Times New Roman"/>
          <w:sz w:val="21"/>
          <w:szCs w:val="21"/>
        </w:rPr>
        <w:t xml:space="preserve">     </w:t>
      </w:r>
    </w:p>
    <w:p w:rsidR="006A1DBB" w:rsidRPr="000C7109" w:rsidRDefault="000C7109" w:rsidP="000C7109">
      <w:pPr>
        <w:spacing w:before="120" w:after="1320"/>
        <w:ind w:left="1440" w:hanging="72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006A1DBB" w:rsidRPr="000C7109">
        <w:rPr>
          <w:rFonts w:ascii="Times New Roman" w:hAnsi="Times New Roman" w:cs="Times New Roman"/>
          <w:sz w:val="24"/>
          <w:szCs w:val="24"/>
        </w:rPr>
        <w:t>Computo de la base teórica del ITBMS no deducible</w:t>
      </w:r>
    </w:p>
    <w:p w:rsidR="006A1DBB" w:rsidRPr="000C7109" w:rsidRDefault="00B433C7" w:rsidP="000C7109">
      <w:pPr>
        <w:jc w:val="center"/>
        <w:rPr>
          <w:rFonts w:ascii="Times New Roman" w:hAnsi="Times New Roman" w:cs="Times New Roman"/>
          <w:b/>
          <w:bCs/>
          <w:sz w:val="20"/>
          <w:szCs w:val="20"/>
        </w:rPr>
      </w:pPr>
      <w:r w:rsidRPr="000C7109">
        <w:rPr>
          <w:rFonts w:ascii="Times New Roman" w:hAnsi="Times New Roman" w:cs="Times New Roman"/>
          <w:b/>
          <w:sz w:val="20"/>
          <w:szCs w:val="20"/>
        </w:rPr>
        <w:t>Cuadro 6</w:t>
      </w:r>
    </w:p>
    <w:p w:rsidR="006A1DBB" w:rsidRPr="005C5B91" w:rsidRDefault="006A1DBB" w:rsidP="000C7109">
      <w:pPr>
        <w:rPr>
          <w:rFonts w:ascii="Times New Roman" w:hAnsi="Times New Roman" w:cs="Times New Roman"/>
          <w:lang w:eastAsia="es-ES"/>
        </w:rPr>
      </w:pPr>
      <w:r w:rsidRPr="005C5B91">
        <w:rPr>
          <w:rFonts w:ascii="Times New Roman" w:hAnsi="Times New Roman" w:cs="Times New Roman"/>
          <w:lang w:eastAsia="es-ES"/>
        </w:rPr>
        <w:drawing>
          <wp:inline distT="0" distB="0" distL="0" distR="0">
            <wp:extent cx="5397217" cy="1774209"/>
            <wp:effectExtent l="95250" t="95250" r="89183" b="92691"/>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5397500" cy="1774302"/>
                    </a:xfrm>
                    <a:prstGeom prst="rect">
                      <a:avLst/>
                    </a:prstGeom>
                    <a:ln w="88900" cap="sq" cmpd="thickThin">
                      <a:solidFill>
                        <a:schemeClr val="tx2">
                          <a:lumMod val="40000"/>
                          <a:lumOff val="60000"/>
                        </a:schemeClr>
                      </a:solidFill>
                      <a:prstDash val="solid"/>
                      <a:miter lim="800000"/>
                    </a:ln>
                    <a:effectLst>
                      <a:innerShdw blurRad="76200">
                        <a:srgbClr val="000000"/>
                      </a:innerShdw>
                    </a:effectLst>
                  </pic:spPr>
                </pic:pic>
              </a:graphicData>
            </a:graphic>
          </wp:inline>
        </w:drawing>
      </w:r>
    </w:p>
    <w:p w:rsidR="006A1DBB" w:rsidRPr="000C7109" w:rsidRDefault="00364457" w:rsidP="000C7109">
      <w:pPr>
        <w:spacing w:before="240" w:after="120"/>
        <w:rPr>
          <w:rFonts w:ascii="Times New Roman" w:hAnsi="Times New Roman" w:cs="Times New Roman"/>
          <w:sz w:val="24"/>
          <w:szCs w:val="24"/>
          <w:lang w:eastAsia="es-ES"/>
        </w:rPr>
      </w:pPr>
      <w:r w:rsidRPr="000C7109">
        <w:rPr>
          <w:rFonts w:ascii="Times New Roman" w:hAnsi="Times New Roman" w:cs="Times New Roman"/>
          <w:sz w:val="24"/>
          <w:szCs w:val="24"/>
        </w:rPr>
        <w:t>2.13</w:t>
      </w:r>
      <w:r w:rsidRPr="000C7109">
        <w:rPr>
          <w:rFonts w:ascii="Times New Roman" w:hAnsi="Times New Roman" w:cs="Times New Roman"/>
          <w:sz w:val="24"/>
          <w:szCs w:val="24"/>
        </w:rPr>
        <w:tab/>
      </w:r>
      <w:r w:rsidR="006A1DBB" w:rsidRPr="000C7109">
        <w:rPr>
          <w:rFonts w:ascii="Times New Roman" w:hAnsi="Times New Roman" w:cs="Times New Roman"/>
          <w:sz w:val="24"/>
          <w:szCs w:val="24"/>
        </w:rPr>
        <w:t>Resultados</w:t>
      </w:r>
      <w:r w:rsidR="006B5333" w:rsidRPr="000C7109">
        <w:rPr>
          <w:rFonts w:ascii="Times New Roman" w:hAnsi="Times New Roman" w:cs="Times New Roman"/>
          <w:sz w:val="24"/>
          <w:szCs w:val="24"/>
        </w:rPr>
        <w:t>:</w:t>
      </w:r>
    </w:p>
    <w:p w:rsidR="00920082" w:rsidRPr="00FD4A49" w:rsidRDefault="00FD4A49" w:rsidP="00FD4A49">
      <w:pPr>
        <w:spacing w:before="120" w:after="0"/>
        <w:ind w:left="720" w:hanging="720"/>
        <w:jc w:val="both"/>
        <w:rPr>
          <w:rFonts w:ascii="Times New Roman" w:hAnsi="Times New Roman" w:cs="Times New Roman"/>
          <w:sz w:val="24"/>
          <w:szCs w:val="24"/>
        </w:rPr>
      </w:pPr>
      <w:r w:rsidRPr="00FD4A49">
        <w:rPr>
          <w:rFonts w:ascii="Times New Roman" w:hAnsi="Times New Roman" w:cs="Times New Roman"/>
          <w:sz w:val="24"/>
          <w:szCs w:val="24"/>
        </w:rPr>
        <w:t>a</w:t>
      </w:r>
      <w:r w:rsidRPr="00FD4A49">
        <w:rPr>
          <w:rFonts w:ascii="Times New Roman" w:hAnsi="Times New Roman" w:cs="Times New Roman"/>
          <w:sz w:val="24"/>
          <w:szCs w:val="24"/>
        </w:rPr>
        <w:tab/>
        <w:t>U</w:t>
      </w:r>
      <w:r w:rsidR="00C15584" w:rsidRPr="00FD4A49">
        <w:rPr>
          <w:rFonts w:ascii="Times New Roman" w:hAnsi="Times New Roman" w:cs="Times New Roman"/>
          <w:sz w:val="24"/>
          <w:szCs w:val="24"/>
        </w:rPr>
        <w:t>na vez que se cont</w:t>
      </w:r>
      <w:r w:rsidR="00364457" w:rsidRPr="00FD4A49">
        <w:rPr>
          <w:rFonts w:ascii="Times New Roman" w:hAnsi="Times New Roman" w:cs="Times New Roman"/>
          <w:sz w:val="24"/>
          <w:szCs w:val="24"/>
        </w:rPr>
        <w:t>ó</w:t>
      </w:r>
      <w:r w:rsidR="00C15584" w:rsidRPr="00FD4A49">
        <w:rPr>
          <w:rFonts w:ascii="Times New Roman" w:hAnsi="Times New Roman" w:cs="Times New Roman"/>
          <w:sz w:val="24"/>
          <w:szCs w:val="24"/>
        </w:rPr>
        <w:t xml:space="preserve"> con las bases teóricas correspondientes a cada uno de los niveles de tasas, </w:t>
      </w:r>
      <w:r w:rsidR="00364457" w:rsidRPr="00FD4A49">
        <w:rPr>
          <w:rFonts w:ascii="Times New Roman" w:hAnsi="Times New Roman" w:cs="Times New Roman"/>
          <w:sz w:val="24"/>
          <w:szCs w:val="24"/>
        </w:rPr>
        <w:t xml:space="preserve">provistos por la Dirección general de Ingresos (DGI), </w:t>
      </w:r>
      <w:r w:rsidR="00C15584" w:rsidRPr="00FD4A49">
        <w:rPr>
          <w:rFonts w:ascii="Times New Roman" w:hAnsi="Times New Roman" w:cs="Times New Roman"/>
          <w:sz w:val="24"/>
          <w:szCs w:val="24"/>
        </w:rPr>
        <w:t>se le aplicó a cada una de ellas la tasa correspondiente y se obtuvo la recaudación teórica total del ITBMS.</w:t>
      </w:r>
    </w:p>
    <w:p w:rsidR="008E24D4" w:rsidRPr="00FD4A49" w:rsidRDefault="00B433C7" w:rsidP="00FD4A49">
      <w:pPr>
        <w:spacing w:before="120" w:after="120"/>
        <w:jc w:val="center"/>
        <w:rPr>
          <w:rFonts w:ascii="Times New Roman" w:hAnsi="Times New Roman" w:cs="Times New Roman"/>
          <w:b/>
          <w:sz w:val="20"/>
          <w:szCs w:val="20"/>
          <w:lang w:eastAsia="es-ES"/>
        </w:rPr>
      </w:pPr>
      <w:r w:rsidRPr="00FD4A49">
        <w:rPr>
          <w:rFonts w:ascii="Times New Roman" w:hAnsi="Times New Roman" w:cs="Times New Roman"/>
          <w:b/>
          <w:sz w:val="20"/>
          <w:szCs w:val="20"/>
        </w:rPr>
        <w:t>Cuadro 7</w:t>
      </w:r>
      <w:r w:rsidR="00FD4A49" w:rsidRPr="00FD4A49">
        <w:rPr>
          <w:rFonts w:ascii="Times New Roman" w:hAnsi="Times New Roman" w:cs="Times New Roman"/>
          <w:b/>
          <w:sz w:val="20"/>
          <w:szCs w:val="20"/>
        </w:rPr>
        <w:t xml:space="preserve">. </w:t>
      </w:r>
      <w:r w:rsidR="008E24D4" w:rsidRPr="00FD4A49">
        <w:rPr>
          <w:rFonts w:ascii="Times New Roman" w:hAnsi="Times New Roman" w:cs="Times New Roman"/>
          <w:b/>
          <w:sz w:val="20"/>
          <w:szCs w:val="20"/>
          <w:lang w:eastAsia="es-ES"/>
        </w:rPr>
        <w:t>Resultados</w:t>
      </w:r>
    </w:p>
    <w:p w:rsidR="00862434" w:rsidRPr="005C5B91" w:rsidRDefault="006A1DBB" w:rsidP="00FD4A49">
      <w:pPr>
        <w:rPr>
          <w:rFonts w:ascii="Times New Roman" w:hAnsi="Times New Roman" w:cs="Times New Roman"/>
        </w:rPr>
      </w:pPr>
      <w:r w:rsidRPr="005C5B91">
        <w:rPr>
          <w:rFonts w:ascii="Times New Roman" w:hAnsi="Times New Roman" w:cs="Times New Roman"/>
          <w:lang w:eastAsia="es-ES"/>
        </w:rPr>
        <w:drawing>
          <wp:inline distT="0" distB="0" distL="0" distR="0">
            <wp:extent cx="5397500" cy="1617345"/>
            <wp:effectExtent l="95250" t="95250" r="88900" b="971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srcRect/>
                    <a:stretch>
                      <a:fillRect/>
                    </a:stretch>
                  </pic:blipFill>
                  <pic:spPr bwMode="auto">
                    <a:xfrm>
                      <a:off x="0" y="0"/>
                      <a:ext cx="5397500" cy="1617345"/>
                    </a:xfrm>
                    <a:prstGeom prst="rect">
                      <a:avLst/>
                    </a:prstGeom>
                    <a:ln w="88900" cap="sq" cmpd="thickThin">
                      <a:solidFill>
                        <a:schemeClr val="tx2">
                          <a:lumMod val="40000"/>
                          <a:lumOff val="60000"/>
                        </a:schemeClr>
                      </a:solidFill>
                      <a:prstDash val="solid"/>
                      <a:miter lim="800000"/>
                    </a:ln>
                    <a:effectLst>
                      <a:innerShdw blurRad="76200">
                        <a:srgbClr val="000000"/>
                      </a:innerShdw>
                    </a:effectLst>
                  </pic:spPr>
                </pic:pic>
              </a:graphicData>
            </a:graphic>
          </wp:inline>
        </w:drawing>
      </w:r>
    </w:p>
    <w:p w:rsidR="00C15584" w:rsidRPr="00FD4A49" w:rsidRDefault="00FD4A49"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b</w:t>
      </w:r>
      <w:r w:rsidRPr="00FD4A49">
        <w:rPr>
          <w:rFonts w:ascii="Times New Roman" w:hAnsi="Times New Roman" w:cs="Times New Roman"/>
          <w:sz w:val="24"/>
          <w:szCs w:val="24"/>
        </w:rPr>
        <w:tab/>
      </w:r>
      <w:r w:rsidR="00C15584" w:rsidRPr="00FD4A49">
        <w:rPr>
          <w:rFonts w:ascii="Times New Roman" w:hAnsi="Times New Roman" w:cs="Times New Roman"/>
          <w:sz w:val="24"/>
          <w:szCs w:val="24"/>
        </w:rPr>
        <w:t>Por último, se sustrajo de la recaudación teórica total del ITBMS el monto correspondiente a la recaudación efectiva llegando al monto de evasión, y dividiendo este sobre la recaudación teórica para llegar así a la tasa de incumplimiento del ITBMS</w:t>
      </w:r>
      <w:r w:rsidR="00920082" w:rsidRPr="00FD4A49">
        <w:rPr>
          <w:rFonts w:ascii="Times New Roman" w:hAnsi="Times New Roman" w:cs="Times New Roman"/>
          <w:sz w:val="24"/>
          <w:szCs w:val="24"/>
        </w:rPr>
        <w:t>.</w:t>
      </w:r>
    </w:p>
    <w:p w:rsidR="008E24D4" w:rsidRPr="00FD4A49" w:rsidRDefault="00B433C7" w:rsidP="00FD4A49">
      <w:pPr>
        <w:spacing w:before="2400" w:after="120"/>
        <w:jc w:val="center"/>
        <w:rPr>
          <w:rFonts w:ascii="Times New Roman" w:hAnsi="Times New Roman" w:cs="Times New Roman"/>
          <w:sz w:val="20"/>
          <w:szCs w:val="20"/>
          <w:lang w:eastAsia="es-ES"/>
        </w:rPr>
      </w:pPr>
      <w:r w:rsidRPr="00FD4A49">
        <w:rPr>
          <w:rFonts w:ascii="Times New Roman" w:hAnsi="Times New Roman" w:cs="Times New Roman"/>
          <w:b/>
          <w:sz w:val="20"/>
          <w:szCs w:val="20"/>
        </w:rPr>
        <w:t>Cuadro 8</w:t>
      </w:r>
      <w:r w:rsidR="00FD4A49" w:rsidRPr="00FD4A49">
        <w:rPr>
          <w:rFonts w:ascii="Times New Roman" w:hAnsi="Times New Roman" w:cs="Times New Roman"/>
          <w:sz w:val="20"/>
          <w:szCs w:val="20"/>
        </w:rPr>
        <w:t xml:space="preserve">. </w:t>
      </w:r>
      <w:r w:rsidR="008E24D4" w:rsidRPr="00FD4A49">
        <w:rPr>
          <w:rFonts w:ascii="Times New Roman" w:hAnsi="Times New Roman" w:cs="Times New Roman"/>
          <w:sz w:val="20"/>
          <w:szCs w:val="20"/>
          <w:lang w:eastAsia="es-ES"/>
        </w:rPr>
        <w:t>Calculo de la Tasa de Incumplimiento del ITBMS</w:t>
      </w:r>
    </w:p>
    <w:p w:rsidR="00F84FA6" w:rsidRPr="005C5B91" w:rsidRDefault="009E2FA5" w:rsidP="00FD4A49">
      <w:pPr>
        <w:spacing w:after="240"/>
        <w:rPr>
          <w:rFonts w:ascii="Times New Roman" w:hAnsi="Times New Roman" w:cs="Times New Roman"/>
        </w:rPr>
      </w:pPr>
      <w:r w:rsidRPr="005C5B91">
        <w:rPr>
          <w:rFonts w:ascii="Times New Roman" w:hAnsi="Times New Roman" w:cs="Times New Roman"/>
          <w:lang w:eastAsia="es-ES"/>
        </w:rPr>
        <w:drawing>
          <wp:inline distT="0" distB="0" distL="0" distR="0">
            <wp:extent cx="5397500" cy="1610360"/>
            <wp:effectExtent l="95250" t="95250" r="88900" b="10414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srcRect/>
                    <a:stretch>
                      <a:fillRect/>
                    </a:stretch>
                  </pic:blipFill>
                  <pic:spPr bwMode="auto">
                    <a:xfrm>
                      <a:off x="0" y="0"/>
                      <a:ext cx="5397500" cy="1610360"/>
                    </a:xfrm>
                    <a:prstGeom prst="rect">
                      <a:avLst/>
                    </a:prstGeom>
                    <a:ln w="88900" cap="sq" cmpd="thickThin">
                      <a:solidFill>
                        <a:schemeClr val="accent1"/>
                      </a:solidFill>
                      <a:prstDash val="solid"/>
                      <a:miter lim="800000"/>
                    </a:ln>
                    <a:effectLst>
                      <a:innerShdw blurRad="76200">
                        <a:srgbClr val="000000"/>
                      </a:innerShdw>
                    </a:effectLst>
                  </pic:spPr>
                </pic:pic>
              </a:graphicData>
            </a:graphic>
          </wp:inline>
        </w:drawing>
      </w:r>
    </w:p>
    <w:p w:rsidR="00265154" w:rsidRPr="005C5B91" w:rsidRDefault="00364457" w:rsidP="00FD4A49">
      <w:pPr>
        <w:spacing w:before="240" w:after="120"/>
        <w:ind w:left="720" w:hanging="720"/>
        <w:jc w:val="both"/>
        <w:rPr>
          <w:rFonts w:ascii="Times New Roman" w:hAnsi="Times New Roman" w:cs="Times New Roman"/>
          <w:sz w:val="24"/>
          <w:szCs w:val="24"/>
        </w:rPr>
      </w:pPr>
      <w:r w:rsidRPr="005C5B91">
        <w:rPr>
          <w:rFonts w:ascii="Times New Roman" w:hAnsi="Times New Roman" w:cs="Times New Roman"/>
          <w:sz w:val="24"/>
          <w:szCs w:val="24"/>
        </w:rPr>
        <w:t>2.14</w:t>
      </w:r>
      <w:r w:rsidRPr="005C5B91">
        <w:rPr>
          <w:rFonts w:ascii="Times New Roman" w:hAnsi="Times New Roman" w:cs="Times New Roman"/>
          <w:b/>
          <w:sz w:val="24"/>
          <w:szCs w:val="24"/>
        </w:rPr>
        <w:tab/>
      </w:r>
      <w:r w:rsidR="006E2F4E" w:rsidRPr="005C5B91">
        <w:rPr>
          <w:rFonts w:ascii="Times New Roman" w:hAnsi="Times New Roman" w:cs="Times New Roman"/>
          <w:b/>
          <w:sz w:val="24"/>
          <w:szCs w:val="24"/>
        </w:rPr>
        <w:t>Conclusión:</w:t>
      </w:r>
      <w:r w:rsidR="006E2F4E" w:rsidRPr="005C5B91">
        <w:rPr>
          <w:rFonts w:ascii="Times New Roman" w:hAnsi="Times New Roman" w:cs="Times New Roman"/>
          <w:sz w:val="24"/>
          <w:szCs w:val="24"/>
        </w:rPr>
        <w:t xml:space="preserve"> </w:t>
      </w:r>
      <w:r w:rsidR="00C240B6" w:rsidRPr="005C5B91">
        <w:rPr>
          <w:rFonts w:ascii="Times New Roman" w:hAnsi="Times New Roman" w:cs="Times New Roman"/>
          <w:sz w:val="24"/>
          <w:szCs w:val="24"/>
        </w:rPr>
        <w:t>El porcent</w:t>
      </w:r>
      <w:r w:rsidR="00920082" w:rsidRPr="005C5B91">
        <w:rPr>
          <w:rFonts w:ascii="Times New Roman" w:hAnsi="Times New Roman" w:cs="Times New Roman"/>
          <w:sz w:val="24"/>
          <w:szCs w:val="24"/>
        </w:rPr>
        <w:t>aje</w:t>
      </w:r>
      <w:r w:rsidR="00C240B6" w:rsidRPr="005C5B91">
        <w:rPr>
          <w:rFonts w:ascii="Times New Roman" w:hAnsi="Times New Roman" w:cs="Times New Roman"/>
          <w:sz w:val="24"/>
          <w:szCs w:val="24"/>
        </w:rPr>
        <w:t xml:space="preserve"> de incumplimiento del ITBMS en 2007 fue estimado en 25,2%, representando aproximadamente </w:t>
      </w:r>
      <w:r w:rsidR="004A2760" w:rsidRPr="005C5B91">
        <w:rPr>
          <w:rFonts w:ascii="Times New Roman" w:hAnsi="Times New Roman" w:cs="Times New Roman"/>
          <w:sz w:val="24"/>
          <w:szCs w:val="24"/>
        </w:rPr>
        <w:t>US$</w:t>
      </w:r>
      <w:r w:rsidR="00C240B6" w:rsidRPr="005C5B91">
        <w:rPr>
          <w:rFonts w:ascii="Times New Roman" w:hAnsi="Times New Roman" w:cs="Times New Roman"/>
          <w:sz w:val="24"/>
          <w:szCs w:val="24"/>
        </w:rPr>
        <w:t xml:space="preserve">141,8 </w:t>
      </w:r>
      <w:r w:rsidR="00262986" w:rsidRPr="005C5B91">
        <w:rPr>
          <w:rFonts w:ascii="Times New Roman" w:hAnsi="Times New Roman" w:cs="Times New Roman"/>
          <w:sz w:val="24"/>
          <w:szCs w:val="24"/>
        </w:rPr>
        <w:t>millones</w:t>
      </w:r>
      <w:r w:rsidR="007F689B" w:rsidRPr="005C5B91">
        <w:rPr>
          <w:rFonts w:ascii="Times New Roman" w:hAnsi="Times New Roman" w:cs="Times New Roman"/>
          <w:sz w:val="24"/>
          <w:szCs w:val="24"/>
        </w:rPr>
        <w:t>.</w:t>
      </w:r>
      <w:r w:rsidR="00265154" w:rsidRPr="005C5B91">
        <w:rPr>
          <w:rFonts w:ascii="Times New Roman" w:hAnsi="Times New Roman" w:cs="Times New Roman"/>
          <w:sz w:val="24"/>
          <w:szCs w:val="24"/>
        </w:rPr>
        <w:t xml:space="preserve"> </w:t>
      </w:r>
      <w:r w:rsidR="002C6237" w:rsidRPr="005C5B91">
        <w:rPr>
          <w:rFonts w:ascii="Times New Roman" w:hAnsi="Times New Roman" w:cs="Times New Roman"/>
          <w:sz w:val="24"/>
          <w:szCs w:val="24"/>
        </w:rPr>
        <w:t>D</w:t>
      </w:r>
      <w:r w:rsidR="00F657D5" w:rsidRPr="005C5B91">
        <w:rPr>
          <w:rFonts w:ascii="Times New Roman" w:hAnsi="Times New Roman" w:cs="Times New Roman"/>
          <w:sz w:val="24"/>
          <w:szCs w:val="24"/>
        </w:rPr>
        <w:t>e acuerdo con el</w:t>
      </w:r>
      <w:r w:rsidR="00B433C7" w:rsidRPr="005C5B91">
        <w:rPr>
          <w:rFonts w:ascii="Times New Roman" w:hAnsi="Times New Roman" w:cs="Times New Roman"/>
          <w:sz w:val="24"/>
          <w:szCs w:val="24"/>
        </w:rPr>
        <w:t xml:space="preserve"> cuadro 9</w:t>
      </w:r>
      <w:r w:rsidR="002C6237" w:rsidRPr="005C5B91">
        <w:rPr>
          <w:rFonts w:ascii="Times New Roman" w:hAnsi="Times New Roman" w:cs="Times New Roman"/>
          <w:sz w:val="24"/>
          <w:szCs w:val="24"/>
        </w:rPr>
        <w:t>, se mantuvo la relación entre el ingreso público y el PIB</w:t>
      </w:r>
      <w:r w:rsidR="006E162B" w:rsidRPr="005C5B91">
        <w:rPr>
          <w:rFonts w:ascii="Times New Roman" w:hAnsi="Times New Roman" w:cs="Times New Roman"/>
          <w:sz w:val="24"/>
          <w:szCs w:val="24"/>
        </w:rPr>
        <w:t xml:space="preserve">. Por otro lado, </w:t>
      </w:r>
      <w:r w:rsidR="00C83BD1" w:rsidRPr="005C5B91">
        <w:rPr>
          <w:rFonts w:ascii="Times New Roman" w:hAnsi="Times New Roman" w:cs="Times New Roman"/>
          <w:sz w:val="24"/>
          <w:szCs w:val="24"/>
        </w:rPr>
        <w:t>el</w:t>
      </w:r>
      <w:r w:rsidR="002C6237" w:rsidRPr="005C5B91">
        <w:rPr>
          <w:rFonts w:ascii="Times New Roman" w:hAnsi="Times New Roman" w:cs="Times New Roman"/>
          <w:sz w:val="24"/>
          <w:szCs w:val="24"/>
        </w:rPr>
        <w:t xml:space="preserve"> porcentaje de</w:t>
      </w:r>
      <w:r w:rsidR="00DF230A" w:rsidRPr="005C5B91">
        <w:rPr>
          <w:rFonts w:ascii="Times New Roman" w:hAnsi="Times New Roman" w:cs="Times New Roman"/>
          <w:sz w:val="24"/>
          <w:szCs w:val="24"/>
        </w:rPr>
        <w:t xml:space="preserve"> la recaudación del ITBMS en </w:t>
      </w:r>
      <w:r w:rsidR="002C6237" w:rsidRPr="005C5B91">
        <w:rPr>
          <w:rFonts w:ascii="Times New Roman" w:hAnsi="Times New Roman" w:cs="Times New Roman"/>
          <w:sz w:val="24"/>
          <w:szCs w:val="24"/>
        </w:rPr>
        <w:t>relación al PIB nominal en 200</w:t>
      </w:r>
      <w:r w:rsidR="00DF230A" w:rsidRPr="005C5B91">
        <w:rPr>
          <w:rFonts w:ascii="Times New Roman" w:hAnsi="Times New Roman" w:cs="Times New Roman"/>
          <w:sz w:val="24"/>
          <w:szCs w:val="24"/>
        </w:rPr>
        <w:t xml:space="preserve">7 fue de 2,13%. Proyectando </w:t>
      </w:r>
      <w:r w:rsidR="004A2760" w:rsidRPr="005C5B91">
        <w:rPr>
          <w:rFonts w:ascii="Times New Roman" w:hAnsi="Times New Roman" w:cs="Times New Roman"/>
          <w:sz w:val="24"/>
          <w:szCs w:val="24"/>
        </w:rPr>
        <w:t xml:space="preserve">conservadoramente </w:t>
      </w:r>
      <w:r w:rsidR="00DF230A" w:rsidRPr="005C5B91">
        <w:rPr>
          <w:rFonts w:ascii="Times New Roman" w:hAnsi="Times New Roman" w:cs="Times New Roman"/>
          <w:sz w:val="24"/>
          <w:szCs w:val="24"/>
        </w:rPr>
        <w:t>este</w:t>
      </w:r>
      <w:r w:rsidR="006E162B" w:rsidRPr="005C5B91">
        <w:rPr>
          <w:rFonts w:ascii="Times New Roman" w:hAnsi="Times New Roman" w:cs="Times New Roman"/>
          <w:sz w:val="24"/>
          <w:szCs w:val="24"/>
        </w:rPr>
        <w:t xml:space="preserve"> </w:t>
      </w:r>
      <w:r w:rsidR="004A2760" w:rsidRPr="005C5B91">
        <w:rPr>
          <w:rFonts w:ascii="Times New Roman" w:hAnsi="Times New Roman" w:cs="Times New Roman"/>
          <w:sz w:val="24"/>
          <w:szCs w:val="24"/>
        </w:rPr>
        <w:t xml:space="preserve">mismo </w:t>
      </w:r>
      <w:r w:rsidR="002C6237" w:rsidRPr="005C5B91">
        <w:rPr>
          <w:rFonts w:ascii="Times New Roman" w:hAnsi="Times New Roman" w:cs="Times New Roman"/>
          <w:sz w:val="24"/>
          <w:szCs w:val="24"/>
        </w:rPr>
        <w:t>porcentaje al PIB nominal de 2011, se estim</w:t>
      </w:r>
      <w:r w:rsidR="00EC444A" w:rsidRPr="005C5B91">
        <w:rPr>
          <w:rFonts w:ascii="Times New Roman" w:hAnsi="Times New Roman" w:cs="Times New Roman"/>
          <w:sz w:val="24"/>
          <w:szCs w:val="24"/>
        </w:rPr>
        <w:t>ó</w:t>
      </w:r>
      <w:r w:rsidR="002C6237" w:rsidRPr="005C5B91">
        <w:rPr>
          <w:rFonts w:ascii="Times New Roman" w:hAnsi="Times New Roman" w:cs="Times New Roman"/>
          <w:sz w:val="24"/>
          <w:szCs w:val="24"/>
        </w:rPr>
        <w:t xml:space="preserve"> u</w:t>
      </w:r>
      <w:r w:rsidR="004A2760" w:rsidRPr="005C5B91">
        <w:rPr>
          <w:rFonts w:ascii="Times New Roman" w:hAnsi="Times New Roman" w:cs="Times New Roman"/>
          <w:sz w:val="24"/>
          <w:szCs w:val="24"/>
        </w:rPr>
        <w:t>na recaudación del ITBMS de 605,</w:t>
      </w:r>
      <w:r w:rsidR="002C6237" w:rsidRPr="005C5B91">
        <w:rPr>
          <w:rFonts w:ascii="Times New Roman" w:hAnsi="Times New Roman" w:cs="Times New Roman"/>
          <w:sz w:val="24"/>
          <w:szCs w:val="24"/>
        </w:rPr>
        <w:t xml:space="preserve">1 millones, con </w:t>
      </w:r>
      <w:r w:rsidR="00391EB5" w:rsidRPr="005C5B91">
        <w:rPr>
          <w:rFonts w:ascii="Times New Roman" w:hAnsi="Times New Roman" w:cs="Times New Roman"/>
          <w:sz w:val="24"/>
          <w:szCs w:val="24"/>
        </w:rPr>
        <w:t>un monto aproximado</w:t>
      </w:r>
      <w:r w:rsidR="002C6237" w:rsidRPr="005C5B91">
        <w:rPr>
          <w:rFonts w:ascii="Times New Roman" w:hAnsi="Times New Roman" w:cs="Times New Roman"/>
          <w:sz w:val="24"/>
          <w:szCs w:val="24"/>
        </w:rPr>
        <w:t xml:space="preserve"> de incumplimiento de </w:t>
      </w:r>
      <w:r w:rsidR="00391EB5" w:rsidRPr="005C5B91">
        <w:rPr>
          <w:rFonts w:ascii="Times New Roman" w:hAnsi="Times New Roman" w:cs="Times New Roman"/>
          <w:sz w:val="24"/>
          <w:szCs w:val="24"/>
        </w:rPr>
        <w:t xml:space="preserve">unos </w:t>
      </w:r>
      <w:r w:rsidR="004A2760" w:rsidRPr="005C5B91">
        <w:rPr>
          <w:rFonts w:ascii="Times New Roman" w:hAnsi="Times New Roman" w:cs="Times New Roman"/>
          <w:sz w:val="24"/>
          <w:szCs w:val="24"/>
        </w:rPr>
        <w:t>152,</w:t>
      </w:r>
      <w:r w:rsidR="002C6237" w:rsidRPr="005C5B91">
        <w:rPr>
          <w:rFonts w:ascii="Times New Roman" w:hAnsi="Times New Roman" w:cs="Times New Roman"/>
          <w:sz w:val="24"/>
          <w:szCs w:val="24"/>
        </w:rPr>
        <w:t xml:space="preserve">5 millones. De manera conservadora, </w:t>
      </w:r>
      <w:r w:rsidR="006E162B" w:rsidRPr="005C5B91">
        <w:rPr>
          <w:rFonts w:ascii="Times New Roman" w:hAnsi="Times New Roman" w:cs="Times New Roman"/>
          <w:sz w:val="24"/>
          <w:szCs w:val="24"/>
        </w:rPr>
        <w:t xml:space="preserve">podríamos considerar que las mejoras </w:t>
      </w:r>
      <w:r w:rsidR="00F53C06" w:rsidRPr="005C5B91">
        <w:rPr>
          <w:rFonts w:ascii="Times New Roman" w:hAnsi="Times New Roman" w:cs="Times New Roman"/>
          <w:sz w:val="24"/>
          <w:szCs w:val="24"/>
        </w:rPr>
        <w:t xml:space="preserve">a ser </w:t>
      </w:r>
      <w:r w:rsidR="006E162B" w:rsidRPr="005C5B91">
        <w:rPr>
          <w:rFonts w:ascii="Times New Roman" w:hAnsi="Times New Roman" w:cs="Times New Roman"/>
          <w:sz w:val="24"/>
          <w:szCs w:val="24"/>
        </w:rPr>
        <w:t>in</w:t>
      </w:r>
      <w:r w:rsidR="00F53C06" w:rsidRPr="005C5B91">
        <w:rPr>
          <w:rFonts w:ascii="Times New Roman" w:hAnsi="Times New Roman" w:cs="Times New Roman"/>
          <w:sz w:val="24"/>
          <w:szCs w:val="24"/>
        </w:rPr>
        <w:t>troducidas por el proyecto</w:t>
      </w:r>
      <w:r w:rsidR="006E162B" w:rsidRPr="005C5B91">
        <w:rPr>
          <w:rFonts w:ascii="Times New Roman" w:hAnsi="Times New Roman" w:cs="Times New Roman"/>
          <w:sz w:val="24"/>
          <w:szCs w:val="24"/>
        </w:rPr>
        <w:t xml:space="preserve"> resultar</w:t>
      </w:r>
      <w:r w:rsidR="00F53C06" w:rsidRPr="005C5B91">
        <w:rPr>
          <w:rFonts w:ascii="Times New Roman" w:hAnsi="Times New Roman" w:cs="Times New Roman"/>
          <w:sz w:val="24"/>
          <w:szCs w:val="24"/>
        </w:rPr>
        <w:t>án</w:t>
      </w:r>
      <w:r w:rsidR="006E162B" w:rsidRPr="005C5B91">
        <w:rPr>
          <w:rFonts w:ascii="Times New Roman" w:hAnsi="Times New Roman" w:cs="Times New Roman"/>
          <w:sz w:val="24"/>
          <w:szCs w:val="24"/>
        </w:rPr>
        <w:t xml:space="preserve"> en una recuperación de </w:t>
      </w:r>
      <w:r w:rsidR="00F53C06" w:rsidRPr="005C5B91">
        <w:rPr>
          <w:rFonts w:ascii="Times New Roman" w:hAnsi="Times New Roman" w:cs="Times New Roman"/>
          <w:sz w:val="24"/>
          <w:szCs w:val="24"/>
        </w:rPr>
        <w:t>por lo menos</w:t>
      </w:r>
      <w:r w:rsidR="006E162B" w:rsidRPr="005C5B91">
        <w:rPr>
          <w:rFonts w:ascii="Times New Roman" w:hAnsi="Times New Roman" w:cs="Times New Roman"/>
          <w:sz w:val="24"/>
          <w:szCs w:val="24"/>
        </w:rPr>
        <w:t xml:space="preserve"> 10% del total de incumplimiento del ITBMS, </w:t>
      </w:r>
      <w:r w:rsidR="00F53C06" w:rsidRPr="005C5B91">
        <w:rPr>
          <w:rFonts w:ascii="Times New Roman" w:hAnsi="Times New Roman" w:cs="Times New Roman"/>
          <w:sz w:val="24"/>
          <w:szCs w:val="24"/>
        </w:rPr>
        <w:t xml:space="preserve">generando </w:t>
      </w:r>
      <w:r w:rsidR="006E162B" w:rsidRPr="005C5B91">
        <w:rPr>
          <w:rFonts w:ascii="Times New Roman" w:hAnsi="Times New Roman" w:cs="Times New Roman"/>
          <w:sz w:val="24"/>
          <w:szCs w:val="24"/>
        </w:rPr>
        <w:t>un beneficio fi</w:t>
      </w:r>
      <w:r w:rsidR="00391EB5" w:rsidRPr="005C5B91">
        <w:rPr>
          <w:rFonts w:ascii="Times New Roman" w:hAnsi="Times New Roman" w:cs="Times New Roman"/>
          <w:sz w:val="24"/>
          <w:szCs w:val="24"/>
        </w:rPr>
        <w:t xml:space="preserve">nanciero de </w:t>
      </w:r>
      <w:r w:rsidR="00F53C06" w:rsidRPr="005C5B91">
        <w:rPr>
          <w:rFonts w:ascii="Times New Roman" w:hAnsi="Times New Roman" w:cs="Times New Roman"/>
          <w:sz w:val="24"/>
          <w:szCs w:val="24"/>
        </w:rPr>
        <w:t xml:space="preserve">aproximadamente </w:t>
      </w:r>
      <w:r w:rsidR="00391EB5" w:rsidRPr="005C5B91">
        <w:rPr>
          <w:rFonts w:ascii="Times New Roman" w:hAnsi="Times New Roman" w:cs="Times New Roman"/>
          <w:sz w:val="24"/>
          <w:szCs w:val="24"/>
        </w:rPr>
        <w:t>60</w:t>
      </w:r>
      <w:r w:rsidR="004A2760" w:rsidRPr="005C5B91">
        <w:rPr>
          <w:rFonts w:ascii="Times New Roman" w:hAnsi="Times New Roman" w:cs="Times New Roman"/>
          <w:sz w:val="24"/>
          <w:szCs w:val="24"/>
        </w:rPr>
        <w:t>,5</w:t>
      </w:r>
      <w:r w:rsidR="006E162B" w:rsidRPr="005C5B91">
        <w:rPr>
          <w:rFonts w:ascii="Times New Roman" w:hAnsi="Times New Roman" w:cs="Times New Roman"/>
          <w:sz w:val="24"/>
          <w:szCs w:val="24"/>
        </w:rPr>
        <w:t xml:space="preserve"> </w:t>
      </w:r>
      <w:r w:rsidR="004A2760" w:rsidRPr="005C5B91">
        <w:rPr>
          <w:rFonts w:ascii="Times New Roman" w:hAnsi="Times New Roman" w:cs="Times New Roman"/>
          <w:sz w:val="24"/>
          <w:szCs w:val="24"/>
        </w:rPr>
        <w:t>millones</w:t>
      </w:r>
      <w:r w:rsidR="00EC444A" w:rsidRPr="005C5B91">
        <w:rPr>
          <w:rFonts w:ascii="Times New Roman" w:hAnsi="Times New Roman" w:cs="Times New Roman"/>
          <w:sz w:val="24"/>
          <w:szCs w:val="24"/>
        </w:rPr>
        <w:t xml:space="preserve"> anuales</w:t>
      </w:r>
      <w:r w:rsidR="004A2760" w:rsidRPr="005C5B91">
        <w:rPr>
          <w:rFonts w:ascii="Times New Roman" w:hAnsi="Times New Roman" w:cs="Times New Roman"/>
          <w:sz w:val="24"/>
          <w:szCs w:val="24"/>
        </w:rPr>
        <w:t>, a partir del año 2013, comparado con la recaudación proyectada SIN EL PROYECTO.</w:t>
      </w:r>
    </w:p>
    <w:p w:rsidR="009D4698" w:rsidRPr="005C5B91" w:rsidRDefault="00265154" w:rsidP="00FD4A49">
      <w:pPr>
        <w:pStyle w:val="Paragraph"/>
        <w:numPr>
          <w:ilvl w:val="0"/>
          <w:numId w:val="0"/>
        </w:numPr>
        <w:jc w:val="center"/>
        <w:rPr>
          <w:b/>
          <w:color w:val="000000" w:themeColor="text1"/>
          <w:sz w:val="22"/>
          <w:szCs w:val="22"/>
        </w:rPr>
      </w:pPr>
      <w:r w:rsidRPr="005C5B91">
        <w:rPr>
          <w:b/>
          <w:color w:val="000000" w:themeColor="text1"/>
          <w:sz w:val="22"/>
          <w:szCs w:val="22"/>
        </w:rPr>
        <w:t xml:space="preserve">Cuadro </w:t>
      </w:r>
      <w:r w:rsidR="00B433C7" w:rsidRPr="005C5B91">
        <w:rPr>
          <w:b/>
          <w:color w:val="000000" w:themeColor="text1"/>
          <w:sz w:val="22"/>
          <w:szCs w:val="22"/>
        </w:rPr>
        <w:t>9</w:t>
      </w:r>
      <w:r w:rsidR="00FD4A49">
        <w:rPr>
          <w:b/>
          <w:color w:val="000000" w:themeColor="text1"/>
          <w:sz w:val="22"/>
          <w:szCs w:val="22"/>
        </w:rPr>
        <w:t xml:space="preserve">. </w:t>
      </w:r>
      <w:r w:rsidR="009D4698" w:rsidRPr="005C5B91">
        <w:rPr>
          <w:b/>
          <w:color w:val="000000" w:themeColor="text1"/>
          <w:sz w:val="22"/>
          <w:szCs w:val="22"/>
        </w:rPr>
        <w:t>Principales indicadores macro-fiscales 2006-2011</w:t>
      </w:r>
    </w:p>
    <w:tbl>
      <w:tblPr>
        <w:tblStyle w:val="TableGrid"/>
        <w:tblW w:w="0" w:type="auto"/>
        <w:tblInd w:w="828" w:type="dxa"/>
        <w:tblBorders>
          <w:insideH w:val="none" w:sz="0" w:space="0" w:color="auto"/>
          <w:insideV w:val="none" w:sz="0" w:space="0" w:color="auto"/>
        </w:tblBorders>
        <w:tblLayout w:type="fixed"/>
        <w:tblLook w:val="04A0"/>
      </w:tblPr>
      <w:tblGrid>
        <w:gridCol w:w="2880"/>
        <w:gridCol w:w="810"/>
        <w:gridCol w:w="810"/>
        <w:gridCol w:w="810"/>
        <w:gridCol w:w="900"/>
        <w:gridCol w:w="900"/>
        <w:gridCol w:w="810"/>
      </w:tblGrid>
      <w:tr w:rsidR="009D4698" w:rsidRPr="005C5B91" w:rsidTr="00FD4A49">
        <w:trPr>
          <w:trHeight w:val="80"/>
        </w:trPr>
        <w:tc>
          <w:tcPr>
            <w:tcW w:w="288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INDICADOR</w:t>
            </w:r>
          </w:p>
        </w:tc>
        <w:tc>
          <w:tcPr>
            <w:tcW w:w="81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2006</w:t>
            </w:r>
          </w:p>
        </w:tc>
        <w:tc>
          <w:tcPr>
            <w:tcW w:w="81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2007</w:t>
            </w:r>
          </w:p>
        </w:tc>
        <w:tc>
          <w:tcPr>
            <w:tcW w:w="81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2008</w:t>
            </w:r>
          </w:p>
        </w:tc>
        <w:tc>
          <w:tcPr>
            <w:tcW w:w="90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2009</w:t>
            </w:r>
          </w:p>
        </w:tc>
        <w:tc>
          <w:tcPr>
            <w:tcW w:w="90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2010p</w:t>
            </w:r>
          </w:p>
        </w:tc>
        <w:tc>
          <w:tcPr>
            <w:tcW w:w="810" w:type="dxa"/>
          </w:tcPr>
          <w:p w:rsidR="009D4698" w:rsidRPr="005C5B91" w:rsidRDefault="009D4698" w:rsidP="00CF1BCF">
            <w:pPr>
              <w:autoSpaceDE w:val="0"/>
              <w:autoSpaceDN w:val="0"/>
              <w:adjustRightInd w:val="0"/>
              <w:spacing w:before="120"/>
              <w:jc w:val="center"/>
              <w:rPr>
                <w:b/>
                <w:color w:val="000000" w:themeColor="text1"/>
                <w:sz w:val="20"/>
              </w:rPr>
            </w:pPr>
            <w:r w:rsidRPr="005C5B91">
              <w:rPr>
                <w:b/>
                <w:color w:val="000000" w:themeColor="text1"/>
                <w:sz w:val="20"/>
              </w:rPr>
              <w:t xml:space="preserve">2011e </w:t>
            </w:r>
          </w:p>
        </w:tc>
      </w:tr>
      <w:tr w:rsidR="009D4698" w:rsidRPr="005C5B91" w:rsidTr="00FD4A49">
        <w:trPr>
          <w:trHeight w:val="251"/>
        </w:trPr>
        <w:tc>
          <w:tcPr>
            <w:tcW w:w="2880" w:type="dxa"/>
          </w:tcPr>
          <w:p w:rsidR="009D4698" w:rsidRPr="005C5B91" w:rsidRDefault="009D4698" w:rsidP="00CF1BCF">
            <w:pPr>
              <w:autoSpaceDE w:val="0"/>
              <w:autoSpaceDN w:val="0"/>
              <w:adjustRightInd w:val="0"/>
              <w:spacing w:before="120"/>
              <w:jc w:val="both"/>
              <w:rPr>
                <w:color w:val="000000" w:themeColor="text1"/>
                <w:sz w:val="20"/>
              </w:rPr>
            </w:pPr>
            <w:r w:rsidRPr="005C5B91">
              <w:rPr>
                <w:color w:val="000000" w:themeColor="text1"/>
                <w:sz w:val="20"/>
              </w:rPr>
              <w:t>Crecimiento PIB real (%)</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8,5</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12,1</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10,7</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2,4</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7,5</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6,3</w:t>
            </w:r>
          </w:p>
        </w:tc>
      </w:tr>
      <w:tr w:rsidR="009D4698" w:rsidRPr="005C5B91" w:rsidTr="00FD4A49">
        <w:trPr>
          <w:trHeight w:val="143"/>
        </w:trPr>
        <w:tc>
          <w:tcPr>
            <w:tcW w:w="2880" w:type="dxa"/>
          </w:tcPr>
          <w:p w:rsidR="009D4698" w:rsidRPr="005C5B91" w:rsidRDefault="009D4698" w:rsidP="00CF1BCF">
            <w:pPr>
              <w:autoSpaceDE w:val="0"/>
              <w:autoSpaceDN w:val="0"/>
              <w:adjustRightInd w:val="0"/>
              <w:spacing w:before="120"/>
              <w:jc w:val="both"/>
              <w:rPr>
                <w:color w:val="000000" w:themeColor="text1"/>
                <w:sz w:val="20"/>
              </w:rPr>
            </w:pPr>
            <w:r w:rsidRPr="005C5B91">
              <w:rPr>
                <w:color w:val="000000" w:themeColor="text1"/>
                <w:sz w:val="20"/>
              </w:rPr>
              <w:t>PIB nominal (millones US$)</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17.137</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19.794</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23.184</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24.575</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26.728</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28.412</w:t>
            </w:r>
          </w:p>
        </w:tc>
      </w:tr>
      <w:tr w:rsidR="009D4698" w:rsidRPr="005C5B91" w:rsidTr="00FD4A49">
        <w:trPr>
          <w:trHeight w:val="143"/>
        </w:trPr>
        <w:tc>
          <w:tcPr>
            <w:tcW w:w="2880" w:type="dxa"/>
          </w:tcPr>
          <w:p w:rsidR="009D4698" w:rsidRPr="005C5B91" w:rsidRDefault="009D4698" w:rsidP="00CF1BCF">
            <w:pPr>
              <w:autoSpaceDE w:val="0"/>
              <w:autoSpaceDN w:val="0"/>
              <w:adjustRightInd w:val="0"/>
              <w:spacing w:before="120"/>
              <w:jc w:val="both"/>
              <w:rPr>
                <w:color w:val="000000" w:themeColor="text1"/>
                <w:sz w:val="20"/>
              </w:rPr>
            </w:pPr>
            <w:r w:rsidRPr="005C5B91">
              <w:rPr>
                <w:color w:val="000000" w:themeColor="text1"/>
                <w:sz w:val="20"/>
              </w:rPr>
              <w:t>Inflación (anual)</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 xml:space="preserve">2,2 </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6,4</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6,8</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1,9</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3,0</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2,7</w:t>
            </w:r>
          </w:p>
        </w:tc>
      </w:tr>
      <w:tr w:rsidR="009D4698" w:rsidRPr="005C5B91" w:rsidTr="00FD4A49">
        <w:trPr>
          <w:trHeight w:val="143"/>
        </w:trPr>
        <w:tc>
          <w:tcPr>
            <w:tcW w:w="2880" w:type="dxa"/>
          </w:tcPr>
          <w:p w:rsidR="009D4698" w:rsidRPr="005C5B91" w:rsidRDefault="009D4698" w:rsidP="00CF1BCF">
            <w:pPr>
              <w:autoSpaceDE w:val="0"/>
              <w:autoSpaceDN w:val="0"/>
              <w:adjustRightInd w:val="0"/>
              <w:spacing w:before="120"/>
              <w:jc w:val="both"/>
              <w:rPr>
                <w:color w:val="000000" w:themeColor="text1"/>
                <w:sz w:val="20"/>
              </w:rPr>
            </w:pPr>
            <w:r w:rsidRPr="005C5B91">
              <w:rPr>
                <w:color w:val="000000" w:themeColor="text1"/>
                <w:sz w:val="20"/>
              </w:rPr>
              <w:t>Ingreso público total (% del PIB)</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26,8</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29,7</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29,2</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27,4</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27,8</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29,0</w:t>
            </w:r>
          </w:p>
        </w:tc>
      </w:tr>
      <w:tr w:rsidR="009D4698" w:rsidRPr="005C5B91" w:rsidTr="00FD4A49">
        <w:trPr>
          <w:trHeight w:val="143"/>
        </w:trPr>
        <w:tc>
          <w:tcPr>
            <w:tcW w:w="2880" w:type="dxa"/>
          </w:tcPr>
          <w:p w:rsidR="009D4698" w:rsidRPr="005C5B91" w:rsidRDefault="009D4698" w:rsidP="00CF1BCF">
            <w:pPr>
              <w:autoSpaceDE w:val="0"/>
              <w:autoSpaceDN w:val="0"/>
              <w:adjustRightInd w:val="0"/>
              <w:spacing w:before="120"/>
              <w:jc w:val="both"/>
              <w:rPr>
                <w:color w:val="000000" w:themeColor="text1"/>
                <w:sz w:val="20"/>
              </w:rPr>
            </w:pPr>
            <w:r w:rsidRPr="005C5B91">
              <w:rPr>
                <w:color w:val="000000" w:themeColor="text1"/>
                <w:sz w:val="20"/>
              </w:rPr>
              <w:t>Gasto público total (% del PIB)</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25,6</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25,0</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26,7</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27,9</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29,8</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30,9</w:t>
            </w:r>
          </w:p>
        </w:tc>
      </w:tr>
      <w:tr w:rsidR="009D4698" w:rsidRPr="005C5B91" w:rsidTr="00FD4A49">
        <w:trPr>
          <w:trHeight w:val="143"/>
        </w:trPr>
        <w:tc>
          <w:tcPr>
            <w:tcW w:w="2880" w:type="dxa"/>
          </w:tcPr>
          <w:p w:rsidR="009D4698" w:rsidRPr="005C5B91" w:rsidRDefault="009D4698" w:rsidP="00CF1BCF">
            <w:pPr>
              <w:autoSpaceDE w:val="0"/>
              <w:autoSpaceDN w:val="0"/>
              <w:adjustRightInd w:val="0"/>
              <w:spacing w:before="120"/>
              <w:jc w:val="both"/>
              <w:rPr>
                <w:color w:val="000000" w:themeColor="text1"/>
                <w:sz w:val="20"/>
              </w:rPr>
            </w:pPr>
            <w:r w:rsidRPr="005C5B91">
              <w:rPr>
                <w:color w:val="000000" w:themeColor="text1"/>
                <w:sz w:val="20"/>
              </w:rPr>
              <w:t>Deuda externa (% del PIB)</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40,5</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37,4</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32,7</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36,5</w:t>
            </w:r>
          </w:p>
        </w:tc>
        <w:tc>
          <w:tcPr>
            <w:tcW w:w="90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38,5</w:t>
            </w:r>
          </w:p>
        </w:tc>
        <w:tc>
          <w:tcPr>
            <w:tcW w:w="810" w:type="dxa"/>
          </w:tcPr>
          <w:p w:rsidR="009D4698" w:rsidRPr="005C5B91" w:rsidRDefault="009D4698" w:rsidP="00CF1BCF">
            <w:pPr>
              <w:autoSpaceDE w:val="0"/>
              <w:autoSpaceDN w:val="0"/>
              <w:adjustRightInd w:val="0"/>
              <w:spacing w:before="120"/>
              <w:jc w:val="right"/>
              <w:rPr>
                <w:color w:val="000000" w:themeColor="text1"/>
                <w:sz w:val="20"/>
              </w:rPr>
            </w:pPr>
            <w:r w:rsidRPr="005C5B91">
              <w:rPr>
                <w:color w:val="000000" w:themeColor="text1"/>
                <w:sz w:val="20"/>
              </w:rPr>
              <w:t>39,5</w:t>
            </w:r>
          </w:p>
        </w:tc>
      </w:tr>
      <w:tr w:rsidR="009D4698" w:rsidRPr="005C5B91" w:rsidTr="00FD4A49">
        <w:trPr>
          <w:trHeight w:val="143"/>
        </w:trPr>
        <w:tc>
          <w:tcPr>
            <w:tcW w:w="2880" w:type="dxa"/>
          </w:tcPr>
          <w:p w:rsidR="009D4698" w:rsidRPr="005C5B91" w:rsidRDefault="009D4698" w:rsidP="00CF1BCF">
            <w:pPr>
              <w:autoSpaceDE w:val="0"/>
              <w:autoSpaceDN w:val="0"/>
              <w:adjustRightInd w:val="0"/>
              <w:spacing w:before="120" w:after="120"/>
              <w:jc w:val="both"/>
              <w:rPr>
                <w:color w:val="000000" w:themeColor="text1"/>
                <w:sz w:val="20"/>
              </w:rPr>
            </w:pPr>
            <w:r w:rsidRPr="005C5B91">
              <w:rPr>
                <w:color w:val="000000" w:themeColor="text1"/>
                <w:sz w:val="20"/>
              </w:rPr>
              <w:t>Inversión extranjera directa</w:t>
            </w:r>
          </w:p>
        </w:tc>
        <w:tc>
          <w:tcPr>
            <w:tcW w:w="810" w:type="dxa"/>
          </w:tcPr>
          <w:p w:rsidR="009D4698" w:rsidRPr="005C5B91" w:rsidRDefault="009D4698" w:rsidP="00CF1BCF">
            <w:pPr>
              <w:autoSpaceDE w:val="0"/>
              <w:autoSpaceDN w:val="0"/>
              <w:adjustRightInd w:val="0"/>
              <w:spacing w:before="120" w:after="120"/>
              <w:jc w:val="right"/>
              <w:rPr>
                <w:color w:val="000000" w:themeColor="text1"/>
                <w:sz w:val="20"/>
              </w:rPr>
            </w:pPr>
            <w:r w:rsidRPr="005C5B91">
              <w:rPr>
                <w:color w:val="000000" w:themeColor="text1"/>
                <w:sz w:val="20"/>
              </w:rPr>
              <w:t>14,6</w:t>
            </w:r>
          </w:p>
        </w:tc>
        <w:tc>
          <w:tcPr>
            <w:tcW w:w="810" w:type="dxa"/>
          </w:tcPr>
          <w:p w:rsidR="009D4698" w:rsidRPr="005C5B91" w:rsidRDefault="009D4698" w:rsidP="00CF1BCF">
            <w:pPr>
              <w:autoSpaceDE w:val="0"/>
              <w:autoSpaceDN w:val="0"/>
              <w:adjustRightInd w:val="0"/>
              <w:spacing w:before="120" w:after="120"/>
              <w:jc w:val="right"/>
              <w:rPr>
                <w:color w:val="000000" w:themeColor="text1"/>
                <w:sz w:val="20"/>
              </w:rPr>
            </w:pPr>
            <w:r w:rsidRPr="005C5B91">
              <w:rPr>
                <w:color w:val="000000" w:themeColor="text1"/>
                <w:sz w:val="20"/>
              </w:rPr>
              <w:t>9,6</w:t>
            </w:r>
          </w:p>
        </w:tc>
        <w:tc>
          <w:tcPr>
            <w:tcW w:w="810" w:type="dxa"/>
          </w:tcPr>
          <w:p w:rsidR="009D4698" w:rsidRPr="005C5B91" w:rsidRDefault="009D4698" w:rsidP="00CF1BCF">
            <w:pPr>
              <w:autoSpaceDE w:val="0"/>
              <w:autoSpaceDN w:val="0"/>
              <w:adjustRightInd w:val="0"/>
              <w:spacing w:before="120" w:after="120"/>
              <w:jc w:val="right"/>
              <w:rPr>
                <w:color w:val="000000" w:themeColor="text1"/>
                <w:sz w:val="20"/>
              </w:rPr>
            </w:pPr>
            <w:r w:rsidRPr="005C5B91">
              <w:rPr>
                <w:color w:val="000000" w:themeColor="text1"/>
                <w:sz w:val="20"/>
              </w:rPr>
              <w:t>10,4</w:t>
            </w:r>
          </w:p>
        </w:tc>
        <w:tc>
          <w:tcPr>
            <w:tcW w:w="900" w:type="dxa"/>
          </w:tcPr>
          <w:p w:rsidR="009D4698" w:rsidRPr="005C5B91" w:rsidRDefault="009D4698" w:rsidP="00CF1BCF">
            <w:pPr>
              <w:autoSpaceDE w:val="0"/>
              <w:autoSpaceDN w:val="0"/>
              <w:adjustRightInd w:val="0"/>
              <w:spacing w:before="120" w:after="120"/>
              <w:jc w:val="right"/>
              <w:rPr>
                <w:color w:val="000000" w:themeColor="text1"/>
                <w:sz w:val="20"/>
              </w:rPr>
            </w:pPr>
            <w:r w:rsidRPr="005C5B91">
              <w:rPr>
                <w:color w:val="000000" w:themeColor="text1"/>
                <w:sz w:val="20"/>
              </w:rPr>
              <w:t>7,2</w:t>
            </w:r>
          </w:p>
        </w:tc>
        <w:tc>
          <w:tcPr>
            <w:tcW w:w="900" w:type="dxa"/>
          </w:tcPr>
          <w:p w:rsidR="009D4698" w:rsidRPr="005C5B91" w:rsidRDefault="009D4698" w:rsidP="00CF1BCF">
            <w:pPr>
              <w:autoSpaceDE w:val="0"/>
              <w:autoSpaceDN w:val="0"/>
              <w:adjustRightInd w:val="0"/>
              <w:spacing w:before="120" w:after="120"/>
              <w:jc w:val="right"/>
              <w:rPr>
                <w:color w:val="000000" w:themeColor="text1"/>
                <w:sz w:val="20"/>
              </w:rPr>
            </w:pPr>
            <w:r w:rsidRPr="005C5B91">
              <w:rPr>
                <w:color w:val="000000" w:themeColor="text1"/>
                <w:sz w:val="20"/>
              </w:rPr>
              <w:t>7,7</w:t>
            </w:r>
          </w:p>
        </w:tc>
        <w:tc>
          <w:tcPr>
            <w:tcW w:w="810" w:type="dxa"/>
          </w:tcPr>
          <w:p w:rsidR="009D4698" w:rsidRPr="005C5B91" w:rsidRDefault="009D4698" w:rsidP="00CF1BCF">
            <w:pPr>
              <w:autoSpaceDE w:val="0"/>
              <w:autoSpaceDN w:val="0"/>
              <w:adjustRightInd w:val="0"/>
              <w:spacing w:before="120" w:after="120"/>
              <w:jc w:val="right"/>
              <w:rPr>
                <w:color w:val="000000" w:themeColor="text1"/>
                <w:sz w:val="20"/>
              </w:rPr>
            </w:pPr>
            <w:r w:rsidRPr="005C5B91">
              <w:rPr>
                <w:color w:val="000000" w:themeColor="text1"/>
                <w:sz w:val="20"/>
              </w:rPr>
              <w:t>7,9</w:t>
            </w:r>
          </w:p>
        </w:tc>
      </w:tr>
    </w:tbl>
    <w:p w:rsidR="0004770A" w:rsidRPr="005C5B91" w:rsidRDefault="00FD4A49" w:rsidP="00FD4A49">
      <w:pPr>
        <w:spacing w:before="240" w:after="120"/>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04770A" w:rsidRPr="005C5B91">
        <w:rPr>
          <w:rFonts w:ascii="Times New Roman Bold" w:hAnsi="Times New Roman Bold" w:cs="Times New Roman"/>
          <w:b/>
          <w:smallCaps/>
          <w:sz w:val="24"/>
          <w:szCs w:val="24"/>
        </w:rPr>
        <w:t>Administración Financiera</w:t>
      </w:r>
      <w:r w:rsidR="000D674F" w:rsidRPr="005C5B91">
        <w:rPr>
          <w:rFonts w:ascii="Times New Roman Bold" w:hAnsi="Times New Roman Bold" w:cs="Times New Roman"/>
          <w:b/>
          <w:smallCaps/>
          <w:sz w:val="24"/>
          <w:szCs w:val="24"/>
        </w:rPr>
        <w:t xml:space="preserve"> (Cuenta Única del Tesoro)</w:t>
      </w:r>
    </w:p>
    <w:p w:rsidR="000D674F" w:rsidRPr="005C5B91" w:rsidRDefault="00EC444A" w:rsidP="00FD4A49">
      <w:pPr>
        <w:pStyle w:val="ListParagraph"/>
        <w:spacing w:before="120" w:after="120"/>
        <w:ind w:hanging="720"/>
        <w:jc w:val="both"/>
        <w:rPr>
          <w:rFonts w:ascii="Times New Roman" w:hAnsi="Times New Roman" w:cs="Times New Roman"/>
          <w:sz w:val="24"/>
          <w:szCs w:val="24"/>
        </w:rPr>
      </w:pPr>
      <w:r w:rsidRPr="005C5B91">
        <w:rPr>
          <w:rFonts w:ascii="Times New Roman" w:hAnsi="Times New Roman" w:cs="Times New Roman"/>
          <w:sz w:val="24"/>
          <w:szCs w:val="24"/>
        </w:rPr>
        <w:t>2.15</w:t>
      </w:r>
      <w:r w:rsidRPr="005C5B91">
        <w:rPr>
          <w:rFonts w:ascii="Times New Roman" w:hAnsi="Times New Roman" w:cs="Times New Roman"/>
          <w:b/>
          <w:sz w:val="24"/>
          <w:szCs w:val="24"/>
        </w:rPr>
        <w:tab/>
      </w:r>
      <w:r w:rsidR="00F84FA6" w:rsidRPr="005C5B91">
        <w:rPr>
          <w:rFonts w:ascii="Times New Roman" w:hAnsi="Times New Roman" w:cs="Times New Roman"/>
          <w:b/>
          <w:sz w:val="24"/>
          <w:szCs w:val="24"/>
        </w:rPr>
        <w:t>Supuesto 2:</w:t>
      </w:r>
      <w:r w:rsidRPr="005C5B91">
        <w:rPr>
          <w:rFonts w:ascii="Times New Roman" w:hAnsi="Times New Roman" w:cs="Times New Roman"/>
          <w:b/>
          <w:sz w:val="24"/>
          <w:szCs w:val="24"/>
        </w:rPr>
        <w:t xml:space="preserve"> </w:t>
      </w:r>
      <w:r w:rsidRPr="005C5B91">
        <w:rPr>
          <w:rFonts w:ascii="Times New Roman" w:hAnsi="Times New Roman" w:cs="Times New Roman"/>
          <w:i/>
          <w:sz w:val="24"/>
          <w:szCs w:val="24"/>
        </w:rPr>
        <w:t>Se genera un be</w:t>
      </w:r>
      <w:r w:rsidR="00F84FA6" w:rsidRPr="005C5B91">
        <w:rPr>
          <w:rFonts w:ascii="Times New Roman" w:hAnsi="Times New Roman" w:cs="Times New Roman"/>
          <w:i/>
          <w:sz w:val="24"/>
          <w:szCs w:val="24"/>
        </w:rPr>
        <w:t xml:space="preserve">neficio financiero a partir del aumento de los intereses </w:t>
      </w:r>
      <w:r w:rsidR="00391EB5" w:rsidRPr="005C5B91">
        <w:rPr>
          <w:rFonts w:ascii="Times New Roman" w:hAnsi="Times New Roman" w:cs="Times New Roman"/>
          <w:i/>
          <w:sz w:val="24"/>
          <w:szCs w:val="24"/>
        </w:rPr>
        <w:t xml:space="preserve">recibidos </w:t>
      </w:r>
      <w:r w:rsidR="00F84FA6" w:rsidRPr="005C5B91">
        <w:rPr>
          <w:rFonts w:ascii="Times New Roman" w:hAnsi="Times New Roman" w:cs="Times New Roman"/>
          <w:i/>
          <w:sz w:val="24"/>
          <w:szCs w:val="24"/>
        </w:rPr>
        <w:t xml:space="preserve">sobre los saldos de la </w:t>
      </w:r>
      <w:r w:rsidRPr="005C5B91">
        <w:rPr>
          <w:rFonts w:ascii="Times New Roman" w:hAnsi="Times New Roman" w:cs="Times New Roman"/>
          <w:i/>
          <w:sz w:val="24"/>
          <w:szCs w:val="24"/>
        </w:rPr>
        <w:t>C</w:t>
      </w:r>
      <w:r w:rsidR="00F84FA6" w:rsidRPr="005C5B91">
        <w:rPr>
          <w:rFonts w:ascii="Times New Roman" w:hAnsi="Times New Roman" w:cs="Times New Roman"/>
          <w:i/>
          <w:sz w:val="24"/>
          <w:szCs w:val="24"/>
        </w:rPr>
        <w:t xml:space="preserve">uenta </w:t>
      </w:r>
      <w:r w:rsidRPr="005C5B91">
        <w:rPr>
          <w:rFonts w:ascii="Times New Roman" w:hAnsi="Times New Roman" w:cs="Times New Roman"/>
          <w:i/>
          <w:sz w:val="24"/>
          <w:szCs w:val="24"/>
        </w:rPr>
        <w:t>Única del Tesoro</w:t>
      </w:r>
      <w:r w:rsidR="00F84FA6" w:rsidRPr="005C5B91">
        <w:rPr>
          <w:rFonts w:ascii="Times New Roman" w:hAnsi="Times New Roman" w:cs="Times New Roman"/>
          <w:sz w:val="24"/>
          <w:szCs w:val="24"/>
        </w:rPr>
        <w:t xml:space="preserve">, generando un beneficio económico a partir de la inversión </w:t>
      </w:r>
      <w:r w:rsidR="00D34045" w:rsidRPr="005C5B91">
        <w:rPr>
          <w:rFonts w:ascii="Times New Roman" w:hAnsi="Times New Roman" w:cs="Times New Roman"/>
          <w:sz w:val="24"/>
          <w:szCs w:val="24"/>
        </w:rPr>
        <w:t>de estos recursos</w:t>
      </w:r>
      <w:r w:rsidR="00391EB5" w:rsidRPr="005C5B91">
        <w:rPr>
          <w:rFonts w:ascii="Times New Roman" w:hAnsi="Times New Roman" w:cs="Times New Roman"/>
          <w:sz w:val="24"/>
          <w:szCs w:val="24"/>
        </w:rPr>
        <w:t xml:space="preserve"> en actividades </w:t>
      </w:r>
      <w:r w:rsidR="00F84FA6" w:rsidRPr="005C5B91">
        <w:rPr>
          <w:rFonts w:ascii="Times New Roman" w:hAnsi="Times New Roman" w:cs="Times New Roman"/>
          <w:sz w:val="24"/>
          <w:szCs w:val="24"/>
        </w:rPr>
        <w:t>de los sectores sociales carentes.</w:t>
      </w:r>
      <w:r w:rsidR="007174F6" w:rsidRPr="005C5B91">
        <w:rPr>
          <w:rFonts w:ascii="Times New Roman" w:hAnsi="Times New Roman" w:cs="Times New Roman"/>
          <w:sz w:val="24"/>
          <w:szCs w:val="24"/>
        </w:rPr>
        <w:t xml:space="preserve"> </w:t>
      </w:r>
      <w:r w:rsidR="0031314D" w:rsidRPr="005C5B91">
        <w:rPr>
          <w:rFonts w:ascii="Times New Roman" w:hAnsi="Times New Roman" w:cs="Times New Roman"/>
          <w:sz w:val="24"/>
          <w:szCs w:val="24"/>
        </w:rPr>
        <w:t>La implantación de un programa para asesorar los proce</w:t>
      </w:r>
      <w:r w:rsidR="000D674F" w:rsidRPr="005C5B91">
        <w:rPr>
          <w:rFonts w:ascii="Times New Roman" w:hAnsi="Times New Roman" w:cs="Times New Roman"/>
          <w:sz w:val="24"/>
          <w:szCs w:val="24"/>
        </w:rPr>
        <w:t>dimientos de tesorería y de la Cuenta Única</w:t>
      </w:r>
      <w:r w:rsidR="0031314D" w:rsidRPr="005C5B91">
        <w:rPr>
          <w:rFonts w:ascii="Times New Roman" w:hAnsi="Times New Roman" w:cs="Times New Roman"/>
          <w:sz w:val="24"/>
          <w:szCs w:val="24"/>
        </w:rPr>
        <w:t xml:space="preserve"> del Tesoro, es uno de los principales productos que contribuyen para el alcance de los beneficios estimados</w:t>
      </w:r>
      <w:r w:rsidR="000D674F" w:rsidRPr="005C5B91">
        <w:rPr>
          <w:rFonts w:ascii="Times New Roman" w:hAnsi="Times New Roman" w:cs="Times New Roman"/>
          <w:sz w:val="24"/>
          <w:szCs w:val="24"/>
        </w:rPr>
        <w:t xml:space="preserve"> en un mejor manejo del gasto público</w:t>
      </w:r>
      <w:r w:rsidRPr="005C5B91">
        <w:rPr>
          <w:rFonts w:ascii="Times New Roman" w:hAnsi="Times New Roman" w:cs="Times New Roman"/>
          <w:sz w:val="24"/>
          <w:szCs w:val="24"/>
        </w:rPr>
        <w:t xml:space="preserve"> (ver Matriz de Resultados del proyecto)</w:t>
      </w:r>
      <w:r w:rsidR="0031314D" w:rsidRPr="005C5B91">
        <w:rPr>
          <w:rFonts w:ascii="Times New Roman" w:hAnsi="Times New Roman" w:cs="Times New Roman"/>
          <w:sz w:val="24"/>
          <w:szCs w:val="24"/>
        </w:rPr>
        <w:t>.</w:t>
      </w:r>
    </w:p>
    <w:p w:rsidR="005171C5" w:rsidRPr="00FD4A49" w:rsidRDefault="00EC444A"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bCs/>
          <w:sz w:val="24"/>
          <w:szCs w:val="24"/>
        </w:rPr>
        <w:t>2.16</w:t>
      </w:r>
      <w:r w:rsidRPr="00FD4A49">
        <w:rPr>
          <w:rFonts w:ascii="Times New Roman" w:hAnsi="Times New Roman" w:cs="Times New Roman"/>
          <w:b/>
          <w:bCs/>
          <w:sz w:val="24"/>
          <w:szCs w:val="24"/>
        </w:rPr>
        <w:tab/>
      </w:r>
      <w:r w:rsidR="00970590" w:rsidRPr="00FD4A49">
        <w:rPr>
          <w:rFonts w:ascii="Times New Roman" w:hAnsi="Times New Roman" w:cs="Times New Roman"/>
          <w:b/>
          <w:bCs/>
          <w:sz w:val="24"/>
          <w:szCs w:val="24"/>
        </w:rPr>
        <w:t>Necesidades de financiamiento de mediano plazo</w:t>
      </w:r>
      <w:r w:rsidR="00970590" w:rsidRPr="00FD4A49">
        <w:rPr>
          <w:rFonts w:ascii="Times New Roman" w:hAnsi="Times New Roman" w:cs="Times New Roman"/>
          <w:sz w:val="24"/>
          <w:szCs w:val="24"/>
        </w:rPr>
        <w:t xml:space="preserve">. De acuerdo con el compromiso de estabilidad fiscal que el país ha mostrado en la última década, y en consistencia con las proyecciones del GOPN en el PEG, </w:t>
      </w:r>
      <w:r w:rsidR="000D674F" w:rsidRPr="00FD4A49">
        <w:rPr>
          <w:rFonts w:ascii="Times New Roman" w:hAnsi="Times New Roman" w:cs="Times New Roman"/>
          <w:sz w:val="24"/>
          <w:szCs w:val="24"/>
        </w:rPr>
        <w:t xml:space="preserve">basado en la Ley de Responsabilidad Social Fiscal, </w:t>
      </w:r>
      <w:r w:rsidR="00970590" w:rsidRPr="00FD4A49">
        <w:rPr>
          <w:rFonts w:ascii="Times New Roman" w:hAnsi="Times New Roman" w:cs="Times New Roman"/>
          <w:sz w:val="24"/>
          <w:szCs w:val="24"/>
        </w:rPr>
        <w:t>se estima que las necesidades brutas (déficit fiscal más amortizaciones) de financiamiento de mediano plazo para el SPNF serán del orden de US$4.193 millones en el período 2010-2014. Como parte de su estrategia de desarrollo del mercado de capitales, el GOPN espera aumentar su financiamiento en el mercado interno, mediante la emisión de títulos públicos que permitan mejorar el perfil de la deuda y su curva de rendimiento. Así mismo, espera incrementar su endeudamiento con los entes multilaterales para aprovechar los plazos y tasas que estos organismos ofrecen. De acuerdo con esas proyecciones, y dadas las tasas de crecimiento programadas, el Banco estima que el endeudamiento total del país en relación al PIB disminuirá de 44,3% en el año 2010 hasta niveles cercanos al 34% en el 2014.</w:t>
      </w:r>
    </w:p>
    <w:p w:rsidR="009A2235" w:rsidRPr="00FD4A49" w:rsidRDefault="00EB7D6D"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2.17</w:t>
      </w:r>
      <w:r w:rsidRPr="00FD4A49">
        <w:rPr>
          <w:rFonts w:ascii="Times New Roman" w:hAnsi="Times New Roman" w:cs="Times New Roman"/>
          <w:sz w:val="24"/>
          <w:szCs w:val="24"/>
        </w:rPr>
        <w:tab/>
      </w:r>
      <w:r w:rsidR="009A2235" w:rsidRPr="00FD4A49">
        <w:rPr>
          <w:rFonts w:ascii="Times New Roman" w:hAnsi="Times New Roman" w:cs="Times New Roman"/>
          <w:sz w:val="24"/>
          <w:szCs w:val="24"/>
        </w:rPr>
        <w:t>La ausencia de un instrumento de gestión como la cuenta úni</w:t>
      </w:r>
      <w:r w:rsidR="004E4768">
        <w:rPr>
          <w:rFonts w:ascii="Times New Roman" w:hAnsi="Times New Roman" w:cs="Times New Roman"/>
          <w:sz w:val="24"/>
          <w:szCs w:val="24"/>
        </w:rPr>
        <w:t>ca del tesoro, hace con que el G</w:t>
      </w:r>
      <w:r w:rsidR="009A2235" w:rsidRPr="00FD4A49">
        <w:rPr>
          <w:rFonts w:ascii="Times New Roman" w:hAnsi="Times New Roman" w:cs="Times New Roman"/>
          <w:sz w:val="24"/>
          <w:szCs w:val="24"/>
        </w:rPr>
        <w:t xml:space="preserve">obierno de Panamá no cuente con disponibilidad de caja suficiente </w:t>
      </w:r>
      <w:r w:rsidR="000D674F" w:rsidRPr="00FD4A49">
        <w:rPr>
          <w:rFonts w:ascii="Times New Roman" w:hAnsi="Times New Roman" w:cs="Times New Roman"/>
          <w:sz w:val="24"/>
          <w:szCs w:val="24"/>
        </w:rPr>
        <w:t xml:space="preserve">y óptima </w:t>
      </w:r>
      <w:r w:rsidR="009A2235" w:rsidRPr="00FD4A49">
        <w:rPr>
          <w:rFonts w:ascii="Times New Roman" w:hAnsi="Times New Roman" w:cs="Times New Roman"/>
          <w:sz w:val="24"/>
          <w:szCs w:val="24"/>
        </w:rPr>
        <w:t>para cumplir sus responsabilidades</w:t>
      </w:r>
      <w:r w:rsidR="00C66F4A" w:rsidRPr="00FD4A49">
        <w:rPr>
          <w:rFonts w:ascii="Times New Roman" w:hAnsi="Times New Roman" w:cs="Times New Roman"/>
          <w:sz w:val="24"/>
          <w:szCs w:val="24"/>
        </w:rPr>
        <w:t xml:space="preserve"> de forma oportuna, obligando</w:t>
      </w:r>
      <w:r w:rsidR="009A2235" w:rsidRPr="00FD4A49">
        <w:rPr>
          <w:rFonts w:ascii="Times New Roman" w:hAnsi="Times New Roman" w:cs="Times New Roman"/>
          <w:sz w:val="24"/>
          <w:szCs w:val="24"/>
        </w:rPr>
        <w:t xml:space="preserve"> a constantes financiamientos de su déficit público, en la mayoría de </w:t>
      </w:r>
      <w:r w:rsidR="004923A8" w:rsidRPr="00FD4A49">
        <w:rPr>
          <w:rFonts w:ascii="Times New Roman" w:hAnsi="Times New Roman" w:cs="Times New Roman"/>
          <w:sz w:val="24"/>
          <w:szCs w:val="24"/>
        </w:rPr>
        <w:t>las veces</w:t>
      </w:r>
      <w:r w:rsidR="009A2235" w:rsidRPr="00FD4A49">
        <w:rPr>
          <w:rFonts w:ascii="Times New Roman" w:hAnsi="Times New Roman" w:cs="Times New Roman"/>
          <w:sz w:val="24"/>
          <w:szCs w:val="24"/>
        </w:rPr>
        <w:t xml:space="preserve"> a través de la emisión de </w:t>
      </w:r>
      <w:r w:rsidR="000D674F" w:rsidRPr="00FD4A49">
        <w:rPr>
          <w:rFonts w:ascii="Times New Roman" w:hAnsi="Times New Roman" w:cs="Times New Roman"/>
          <w:sz w:val="24"/>
          <w:szCs w:val="24"/>
        </w:rPr>
        <w:t>bonos</w:t>
      </w:r>
      <w:r w:rsidR="009A2235" w:rsidRPr="00FD4A49">
        <w:rPr>
          <w:rFonts w:ascii="Times New Roman" w:hAnsi="Times New Roman" w:cs="Times New Roman"/>
          <w:sz w:val="24"/>
          <w:szCs w:val="24"/>
        </w:rPr>
        <w:t xml:space="preserve"> </w:t>
      </w:r>
      <w:r w:rsidR="000D674F" w:rsidRPr="00FD4A49">
        <w:rPr>
          <w:rFonts w:ascii="Times New Roman" w:hAnsi="Times New Roman" w:cs="Times New Roman"/>
          <w:sz w:val="24"/>
          <w:szCs w:val="24"/>
        </w:rPr>
        <w:t xml:space="preserve">externos y letras </w:t>
      </w:r>
      <w:r w:rsidR="009A2235" w:rsidRPr="00FD4A49">
        <w:rPr>
          <w:rFonts w:ascii="Times New Roman" w:hAnsi="Times New Roman" w:cs="Times New Roman"/>
          <w:sz w:val="24"/>
          <w:szCs w:val="24"/>
        </w:rPr>
        <w:t>del tesoro.</w:t>
      </w:r>
      <w:r w:rsidR="00170345" w:rsidRPr="00FD4A49">
        <w:rPr>
          <w:rFonts w:ascii="Times New Roman" w:hAnsi="Times New Roman" w:cs="Times New Roman"/>
          <w:sz w:val="24"/>
          <w:szCs w:val="24"/>
        </w:rPr>
        <w:t xml:space="preserve"> Esta debilidad contri</w:t>
      </w:r>
      <w:r w:rsidR="008F72A7" w:rsidRPr="00FD4A49">
        <w:rPr>
          <w:rFonts w:ascii="Times New Roman" w:hAnsi="Times New Roman" w:cs="Times New Roman"/>
          <w:sz w:val="24"/>
          <w:szCs w:val="24"/>
        </w:rPr>
        <w:t xml:space="preserve">buye de forma </w:t>
      </w:r>
      <w:r w:rsidR="000D674F" w:rsidRPr="00FD4A49">
        <w:rPr>
          <w:rFonts w:ascii="Times New Roman" w:hAnsi="Times New Roman" w:cs="Times New Roman"/>
          <w:sz w:val="24"/>
          <w:szCs w:val="24"/>
        </w:rPr>
        <w:t xml:space="preserve">artificial a encarecer el </w:t>
      </w:r>
      <w:r w:rsidR="00170345" w:rsidRPr="00FD4A49">
        <w:rPr>
          <w:rFonts w:ascii="Times New Roman" w:hAnsi="Times New Roman" w:cs="Times New Roman"/>
          <w:sz w:val="24"/>
          <w:szCs w:val="24"/>
        </w:rPr>
        <w:t xml:space="preserve">financiamiento del déficit </w:t>
      </w:r>
      <w:r w:rsidR="000D674F" w:rsidRPr="00FD4A49">
        <w:rPr>
          <w:rFonts w:ascii="Times New Roman" w:hAnsi="Times New Roman" w:cs="Times New Roman"/>
          <w:sz w:val="24"/>
          <w:szCs w:val="24"/>
        </w:rPr>
        <w:t>fiscal.</w:t>
      </w:r>
    </w:p>
    <w:p w:rsidR="00C66F4A" w:rsidRPr="00FD4A49" w:rsidRDefault="00EB7D6D"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2.18</w:t>
      </w:r>
      <w:r w:rsidRPr="00FD4A49">
        <w:rPr>
          <w:rFonts w:ascii="Times New Roman" w:hAnsi="Times New Roman" w:cs="Times New Roman"/>
          <w:sz w:val="24"/>
          <w:szCs w:val="24"/>
        </w:rPr>
        <w:tab/>
      </w:r>
      <w:r w:rsidR="00C66F4A" w:rsidRPr="00FD4A49">
        <w:rPr>
          <w:rFonts w:ascii="Times New Roman" w:hAnsi="Times New Roman" w:cs="Times New Roman"/>
          <w:sz w:val="24"/>
          <w:szCs w:val="24"/>
        </w:rPr>
        <w:t>De manera general, l</w:t>
      </w:r>
      <w:r w:rsidR="00214402" w:rsidRPr="00FD4A49">
        <w:rPr>
          <w:rFonts w:ascii="Times New Roman" w:hAnsi="Times New Roman" w:cs="Times New Roman"/>
          <w:sz w:val="24"/>
          <w:szCs w:val="24"/>
        </w:rPr>
        <w:t>a ejecución presupuestaria es realizada de forma</w:t>
      </w:r>
      <w:r w:rsidR="008D7A70" w:rsidRPr="00FD4A49">
        <w:rPr>
          <w:rFonts w:ascii="Times New Roman" w:hAnsi="Times New Roman" w:cs="Times New Roman"/>
          <w:sz w:val="24"/>
          <w:szCs w:val="24"/>
        </w:rPr>
        <w:t xml:space="preserve"> no programada</w:t>
      </w:r>
      <w:r w:rsidR="00214402" w:rsidRPr="00FD4A49">
        <w:rPr>
          <w:rFonts w:ascii="Times New Roman" w:hAnsi="Times New Roman" w:cs="Times New Roman"/>
          <w:sz w:val="24"/>
          <w:szCs w:val="24"/>
        </w:rPr>
        <w:t xml:space="preserve">, </w:t>
      </w:r>
      <w:r w:rsidR="000D674F" w:rsidRPr="00FD4A49">
        <w:rPr>
          <w:rFonts w:ascii="Times New Roman" w:hAnsi="Times New Roman" w:cs="Times New Roman"/>
          <w:sz w:val="24"/>
          <w:szCs w:val="24"/>
        </w:rPr>
        <w:t xml:space="preserve">basada en las disponibilidades de caja, </w:t>
      </w:r>
      <w:r w:rsidR="008D7A70" w:rsidRPr="00FD4A49">
        <w:rPr>
          <w:rFonts w:ascii="Times New Roman" w:hAnsi="Times New Roman" w:cs="Times New Roman"/>
          <w:sz w:val="24"/>
          <w:szCs w:val="24"/>
        </w:rPr>
        <w:t xml:space="preserve">y </w:t>
      </w:r>
      <w:r w:rsidR="00214402" w:rsidRPr="00FD4A49">
        <w:rPr>
          <w:rFonts w:ascii="Times New Roman" w:hAnsi="Times New Roman" w:cs="Times New Roman"/>
          <w:sz w:val="24"/>
          <w:szCs w:val="24"/>
        </w:rPr>
        <w:t>haciendo que los pagos dependa</w:t>
      </w:r>
      <w:r w:rsidR="009A2235" w:rsidRPr="00FD4A49">
        <w:rPr>
          <w:rFonts w:ascii="Times New Roman" w:hAnsi="Times New Roman" w:cs="Times New Roman"/>
          <w:sz w:val="24"/>
          <w:szCs w:val="24"/>
        </w:rPr>
        <w:t xml:space="preserve">n de la ocurrencia de </w:t>
      </w:r>
      <w:r w:rsidR="00214402" w:rsidRPr="00FD4A49">
        <w:rPr>
          <w:rFonts w:ascii="Times New Roman" w:hAnsi="Times New Roman" w:cs="Times New Roman"/>
          <w:sz w:val="24"/>
          <w:szCs w:val="24"/>
        </w:rPr>
        <w:t xml:space="preserve">por lo menos las etapas de compromiso y devengado. Por lo tanto, la disponibilidad de recursos financieros </w:t>
      </w:r>
      <w:r w:rsidR="008D7A70" w:rsidRPr="00FD4A49">
        <w:rPr>
          <w:rFonts w:ascii="Times New Roman" w:hAnsi="Times New Roman" w:cs="Times New Roman"/>
          <w:sz w:val="24"/>
          <w:szCs w:val="24"/>
        </w:rPr>
        <w:t xml:space="preserve">para los entes ejecutores del gasto </w:t>
      </w:r>
      <w:r w:rsidR="00214402" w:rsidRPr="00FD4A49">
        <w:rPr>
          <w:rFonts w:ascii="Times New Roman" w:hAnsi="Times New Roman" w:cs="Times New Roman"/>
          <w:sz w:val="24"/>
          <w:szCs w:val="24"/>
        </w:rPr>
        <w:t xml:space="preserve">solamente ocurre cuando el bien ó el servicio es entregado. Dependiendo del tipo de bien ó servicio a ser adquirido, los tiempos para finalizar la transacción pueden ser bastante </w:t>
      </w:r>
      <w:r w:rsidR="008F72A7" w:rsidRPr="00FD4A49">
        <w:rPr>
          <w:rFonts w:ascii="Times New Roman" w:hAnsi="Times New Roman" w:cs="Times New Roman"/>
          <w:sz w:val="24"/>
          <w:szCs w:val="24"/>
        </w:rPr>
        <w:t>largos. Estos son justo los períodos en los cuales</w:t>
      </w:r>
      <w:r w:rsidR="00214402" w:rsidRPr="00FD4A49">
        <w:rPr>
          <w:rFonts w:ascii="Times New Roman" w:hAnsi="Times New Roman" w:cs="Times New Roman"/>
          <w:sz w:val="24"/>
          <w:szCs w:val="24"/>
        </w:rPr>
        <w:t xml:space="preserve"> los recursos financieros se quedan </w:t>
      </w:r>
      <w:r w:rsidR="008F72A7" w:rsidRPr="00FD4A49">
        <w:rPr>
          <w:rFonts w:ascii="Times New Roman" w:hAnsi="Times New Roman" w:cs="Times New Roman"/>
          <w:sz w:val="24"/>
          <w:szCs w:val="24"/>
        </w:rPr>
        <w:t>inactivos</w:t>
      </w:r>
      <w:r w:rsidR="00214402" w:rsidRPr="00FD4A49">
        <w:rPr>
          <w:rFonts w:ascii="Times New Roman" w:hAnsi="Times New Roman" w:cs="Times New Roman"/>
          <w:sz w:val="24"/>
          <w:szCs w:val="24"/>
        </w:rPr>
        <w:t xml:space="preserve"> en </w:t>
      </w:r>
      <w:r w:rsidR="008F72A7" w:rsidRPr="00FD4A49">
        <w:rPr>
          <w:rFonts w:ascii="Times New Roman" w:hAnsi="Times New Roman" w:cs="Times New Roman"/>
          <w:sz w:val="24"/>
          <w:szCs w:val="24"/>
        </w:rPr>
        <w:t xml:space="preserve">las </w:t>
      </w:r>
      <w:r w:rsidR="00214402" w:rsidRPr="00FD4A49">
        <w:rPr>
          <w:rFonts w:ascii="Times New Roman" w:hAnsi="Times New Roman" w:cs="Times New Roman"/>
          <w:sz w:val="24"/>
          <w:szCs w:val="24"/>
        </w:rPr>
        <w:t>cuentas bancarias de las unidades ejecut</w:t>
      </w:r>
      <w:r w:rsidR="008F72A7" w:rsidRPr="00FD4A49">
        <w:rPr>
          <w:rFonts w:ascii="Times New Roman" w:hAnsi="Times New Roman" w:cs="Times New Roman"/>
          <w:sz w:val="24"/>
          <w:szCs w:val="24"/>
        </w:rPr>
        <w:t>oras, en la mayoría de los casos</w:t>
      </w:r>
      <w:r w:rsidR="00214402" w:rsidRPr="00FD4A49">
        <w:rPr>
          <w:rFonts w:ascii="Times New Roman" w:hAnsi="Times New Roman" w:cs="Times New Roman"/>
          <w:sz w:val="24"/>
          <w:szCs w:val="24"/>
        </w:rPr>
        <w:t xml:space="preserve"> </w:t>
      </w:r>
      <w:r w:rsidR="00C66F4A" w:rsidRPr="00FD4A49">
        <w:rPr>
          <w:rFonts w:ascii="Times New Roman" w:hAnsi="Times New Roman" w:cs="Times New Roman"/>
          <w:sz w:val="24"/>
          <w:szCs w:val="24"/>
        </w:rPr>
        <w:t>generando</w:t>
      </w:r>
      <w:r w:rsidR="00214402" w:rsidRPr="00FD4A49">
        <w:rPr>
          <w:rFonts w:ascii="Times New Roman" w:hAnsi="Times New Roman" w:cs="Times New Roman"/>
          <w:sz w:val="24"/>
          <w:szCs w:val="24"/>
        </w:rPr>
        <w:t xml:space="preserve"> interes</w:t>
      </w:r>
      <w:r w:rsidR="00C66F4A" w:rsidRPr="00FD4A49">
        <w:rPr>
          <w:rFonts w:ascii="Times New Roman" w:hAnsi="Times New Roman" w:cs="Times New Roman"/>
          <w:sz w:val="24"/>
          <w:szCs w:val="24"/>
        </w:rPr>
        <w:t>es</w:t>
      </w:r>
      <w:r w:rsidR="00214402" w:rsidRPr="00FD4A49">
        <w:rPr>
          <w:rFonts w:ascii="Times New Roman" w:hAnsi="Times New Roman" w:cs="Times New Roman"/>
          <w:sz w:val="24"/>
          <w:szCs w:val="24"/>
        </w:rPr>
        <w:t xml:space="preserve"> para</w:t>
      </w:r>
      <w:r w:rsidR="00C66F4A" w:rsidRPr="00FD4A49">
        <w:rPr>
          <w:rFonts w:ascii="Times New Roman" w:hAnsi="Times New Roman" w:cs="Times New Roman"/>
          <w:sz w:val="24"/>
          <w:szCs w:val="24"/>
        </w:rPr>
        <w:t xml:space="preserve"> estas unidades y no para el tesoro.</w:t>
      </w:r>
    </w:p>
    <w:p w:rsidR="00C66F4A" w:rsidRPr="00FD4A49" w:rsidRDefault="00EB7D6D"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2.19</w:t>
      </w:r>
      <w:r w:rsidRPr="00FD4A49">
        <w:rPr>
          <w:rFonts w:ascii="Times New Roman" w:hAnsi="Times New Roman" w:cs="Times New Roman"/>
          <w:sz w:val="24"/>
          <w:szCs w:val="24"/>
        </w:rPr>
        <w:tab/>
      </w:r>
      <w:r w:rsidR="00C66F4A" w:rsidRPr="00FD4A49">
        <w:rPr>
          <w:rFonts w:ascii="Times New Roman" w:hAnsi="Times New Roman" w:cs="Times New Roman"/>
          <w:sz w:val="24"/>
          <w:szCs w:val="24"/>
        </w:rPr>
        <w:t xml:space="preserve">Estos montos pueden ser considerables, </w:t>
      </w:r>
      <w:r w:rsidRPr="00FD4A49">
        <w:rPr>
          <w:rFonts w:ascii="Times New Roman" w:hAnsi="Times New Roman" w:cs="Times New Roman"/>
          <w:sz w:val="24"/>
          <w:szCs w:val="24"/>
        </w:rPr>
        <w:t xml:space="preserve">tomando en cuenta </w:t>
      </w:r>
      <w:r w:rsidR="00C66F4A" w:rsidRPr="00FD4A49">
        <w:rPr>
          <w:rFonts w:ascii="Times New Roman" w:hAnsi="Times New Roman" w:cs="Times New Roman"/>
          <w:sz w:val="24"/>
          <w:szCs w:val="24"/>
        </w:rPr>
        <w:t xml:space="preserve">que </w:t>
      </w:r>
      <w:r w:rsidRPr="00FD4A49">
        <w:rPr>
          <w:rFonts w:ascii="Times New Roman" w:hAnsi="Times New Roman" w:cs="Times New Roman"/>
          <w:sz w:val="24"/>
          <w:szCs w:val="24"/>
        </w:rPr>
        <w:t xml:space="preserve">en </w:t>
      </w:r>
      <w:r w:rsidR="00C66F4A" w:rsidRPr="00FD4A49">
        <w:rPr>
          <w:rFonts w:ascii="Times New Roman" w:hAnsi="Times New Roman" w:cs="Times New Roman"/>
          <w:sz w:val="24"/>
          <w:szCs w:val="24"/>
        </w:rPr>
        <w:t xml:space="preserve">algunos países, como es el caso de Panamá, existe una obligatoriedad legal de que el tesoro </w:t>
      </w:r>
      <w:r w:rsidRPr="00FD4A49">
        <w:rPr>
          <w:rFonts w:ascii="Times New Roman" w:hAnsi="Times New Roman" w:cs="Times New Roman"/>
          <w:sz w:val="24"/>
          <w:szCs w:val="24"/>
        </w:rPr>
        <w:t>debe</w:t>
      </w:r>
      <w:r w:rsidR="00C66F4A" w:rsidRPr="00FD4A49">
        <w:rPr>
          <w:rFonts w:ascii="Times New Roman" w:hAnsi="Times New Roman" w:cs="Times New Roman"/>
          <w:sz w:val="24"/>
          <w:szCs w:val="24"/>
        </w:rPr>
        <w:t xml:space="preserve"> </w:t>
      </w:r>
      <w:r w:rsidR="008F72A7" w:rsidRPr="00FD4A49">
        <w:rPr>
          <w:rFonts w:ascii="Times New Roman" w:hAnsi="Times New Roman" w:cs="Times New Roman"/>
          <w:sz w:val="24"/>
          <w:szCs w:val="24"/>
        </w:rPr>
        <w:t xml:space="preserve">transferir, </w:t>
      </w:r>
      <w:r w:rsidR="00C66F4A" w:rsidRPr="00FD4A49">
        <w:rPr>
          <w:rFonts w:ascii="Times New Roman" w:hAnsi="Times New Roman" w:cs="Times New Roman"/>
          <w:sz w:val="24"/>
          <w:szCs w:val="24"/>
        </w:rPr>
        <w:t>en periodos pre determinados</w:t>
      </w:r>
      <w:r w:rsidR="008F72A7" w:rsidRPr="00FD4A49">
        <w:rPr>
          <w:rFonts w:ascii="Times New Roman" w:hAnsi="Times New Roman" w:cs="Times New Roman"/>
          <w:sz w:val="24"/>
          <w:szCs w:val="24"/>
        </w:rPr>
        <w:t>,</w:t>
      </w:r>
      <w:r w:rsidR="00C66F4A" w:rsidRPr="00FD4A49">
        <w:rPr>
          <w:rFonts w:ascii="Times New Roman" w:hAnsi="Times New Roman" w:cs="Times New Roman"/>
          <w:sz w:val="24"/>
          <w:szCs w:val="24"/>
        </w:rPr>
        <w:t xml:space="preserve"> los fondos correspondientes a la asignació</w:t>
      </w:r>
      <w:r w:rsidR="002D4DDD" w:rsidRPr="00FD4A49">
        <w:rPr>
          <w:rFonts w:ascii="Times New Roman" w:hAnsi="Times New Roman" w:cs="Times New Roman"/>
          <w:sz w:val="24"/>
          <w:szCs w:val="24"/>
        </w:rPr>
        <w:t xml:space="preserve">n presupuestaria, muchas </w:t>
      </w:r>
      <w:r w:rsidR="00C66F4A" w:rsidRPr="00FD4A49">
        <w:rPr>
          <w:rFonts w:ascii="Times New Roman" w:hAnsi="Times New Roman" w:cs="Times New Roman"/>
          <w:sz w:val="24"/>
          <w:szCs w:val="24"/>
        </w:rPr>
        <w:t>veces sin haber ocurrido todavía un compromiso en relaci</w:t>
      </w:r>
      <w:r w:rsidR="008D7A70" w:rsidRPr="00FD4A49">
        <w:rPr>
          <w:rFonts w:ascii="Times New Roman" w:hAnsi="Times New Roman" w:cs="Times New Roman"/>
          <w:sz w:val="24"/>
          <w:szCs w:val="24"/>
        </w:rPr>
        <w:t>ón a los rubr</w:t>
      </w:r>
      <w:r w:rsidR="00C66F4A" w:rsidRPr="00FD4A49">
        <w:rPr>
          <w:rFonts w:ascii="Times New Roman" w:hAnsi="Times New Roman" w:cs="Times New Roman"/>
          <w:sz w:val="24"/>
          <w:szCs w:val="24"/>
        </w:rPr>
        <w:t>os presupuestarios correspondientes.</w:t>
      </w:r>
    </w:p>
    <w:p w:rsidR="00170345" w:rsidRPr="00FD4A49" w:rsidRDefault="00EB7D6D"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2.20</w:t>
      </w:r>
      <w:r w:rsidRPr="00FD4A49">
        <w:rPr>
          <w:rFonts w:ascii="Times New Roman" w:hAnsi="Times New Roman" w:cs="Times New Roman"/>
          <w:sz w:val="24"/>
          <w:szCs w:val="24"/>
        </w:rPr>
        <w:tab/>
      </w:r>
      <w:r w:rsidR="00170345" w:rsidRPr="00FD4A49">
        <w:rPr>
          <w:rFonts w:ascii="Times New Roman" w:hAnsi="Times New Roman" w:cs="Times New Roman"/>
          <w:sz w:val="24"/>
          <w:szCs w:val="24"/>
        </w:rPr>
        <w:t>Todavía</w:t>
      </w:r>
      <w:r w:rsidR="00C66F4A" w:rsidRPr="00FD4A49">
        <w:rPr>
          <w:rFonts w:ascii="Times New Roman" w:hAnsi="Times New Roman" w:cs="Times New Roman"/>
          <w:sz w:val="24"/>
          <w:szCs w:val="24"/>
        </w:rPr>
        <w:t xml:space="preserve"> más grave es que una </w:t>
      </w:r>
      <w:r w:rsidR="00170345" w:rsidRPr="00FD4A49">
        <w:rPr>
          <w:rFonts w:ascii="Times New Roman" w:hAnsi="Times New Roman" w:cs="Times New Roman"/>
          <w:sz w:val="24"/>
          <w:szCs w:val="24"/>
        </w:rPr>
        <w:t>transferencia</w:t>
      </w:r>
      <w:r w:rsidR="00C66F4A" w:rsidRPr="00FD4A49">
        <w:rPr>
          <w:rFonts w:ascii="Times New Roman" w:hAnsi="Times New Roman" w:cs="Times New Roman"/>
          <w:sz w:val="24"/>
          <w:szCs w:val="24"/>
        </w:rPr>
        <w:t xml:space="preserve"> de recursos, muchas </w:t>
      </w:r>
      <w:r w:rsidR="00014CAC" w:rsidRPr="00FD4A49">
        <w:rPr>
          <w:rFonts w:ascii="Times New Roman" w:hAnsi="Times New Roman" w:cs="Times New Roman"/>
          <w:sz w:val="24"/>
          <w:szCs w:val="24"/>
        </w:rPr>
        <w:t>veces</w:t>
      </w:r>
      <w:r w:rsidR="00C66F4A" w:rsidRPr="00FD4A49">
        <w:rPr>
          <w:rFonts w:ascii="Times New Roman" w:hAnsi="Times New Roman" w:cs="Times New Roman"/>
          <w:sz w:val="24"/>
          <w:szCs w:val="24"/>
        </w:rPr>
        <w:t xml:space="preserve"> no </w:t>
      </w:r>
      <w:r w:rsidRPr="00FD4A49">
        <w:rPr>
          <w:rFonts w:ascii="Times New Roman" w:hAnsi="Times New Roman" w:cs="Times New Roman"/>
          <w:sz w:val="24"/>
          <w:szCs w:val="24"/>
        </w:rPr>
        <w:t>toma en cuenta</w:t>
      </w:r>
      <w:r w:rsidR="00C66F4A" w:rsidRPr="00FD4A49">
        <w:rPr>
          <w:rFonts w:ascii="Times New Roman" w:hAnsi="Times New Roman" w:cs="Times New Roman"/>
          <w:sz w:val="24"/>
          <w:szCs w:val="24"/>
        </w:rPr>
        <w:t xml:space="preserve"> </w:t>
      </w:r>
      <w:r w:rsidR="002D4DDD" w:rsidRPr="00FD4A49">
        <w:rPr>
          <w:rFonts w:ascii="Times New Roman" w:hAnsi="Times New Roman" w:cs="Times New Roman"/>
          <w:sz w:val="24"/>
          <w:szCs w:val="24"/>
        </w:rPr>
        <w:t>si</w:t>
      </w:r>
      <w:r w:rsidR="00170345" w:rsidRPr="00FD4A49">
        <w:rPr>
          <w:rFonts w:ascii="Times New Roman" w:hAnsi="Times New Roman" w:cs="Times New Roman"/>
          <w:sz w:val="24"/>
          <w:szCs w:val="24"/>
        </w:rPr>
        <w:t xml:space="preserve"> la unidad ejecutora tiene ó no saldo en sus cuentas bancarias. Simplemente se hace una transferencia para cu</w:t>
      </w:r>
      <w:r w:rsidR="00133057" w:rsidRPr="00FD4A49">
        <w:rPr>
          <w:rFonts w:ascii="Times New Roman" w:hAnsi="Times New Roman" w:cs="Times New Roman"/>
          <w:sz w:val="24"/>
          <w:szCs w:val="24"/>
        </w:rPr>
        <w:t xml:space="preserve">mplir con la ley de presupuesto, </w:t>
      </w:r>
      <w:r w:rsidRPr="00FD4A49">
        <w:rPr>
          <w:rFonts w:ascii="Times New Roman" w:hAnsi="Times New Roman" w:cs="Times New Roman"/>
          <w:sz w:val="24"/>
          <w:szCs w:val="24"/>
        </w:rPr>
        <w:t>produciendo</w:t>
      </w:r>
      <w:r w:rsidR="00133057" w:rsidRPr="00FD4A49">
        <w:rPr>
          <w:rFonts w:ascii="Times New Roman" w:hAnsi="Times New Roman" w:cs="Times New Roman"/>
          <w:sz w:val="24"/>
          <w:szCs w:val="24"/>
        </w:rPr>
        <w:t xml:space="preserve"> un </w:t>
      </w:r>
      <w:r w:rsidR="008D7A70" w:rsidRPr="00FD4A49">
        <w:rPr>
          <w:rFonts w:ascii="Times New Roman" w:hAnsi="Times New Roman" w:cs="Times New Roman"/>
          <w:sz w:val="24"/>
          <w:szCs w:val="24"/>
        </w:rPr>
        <w:t>saldo</w:t>
      </w:r>
      <w:r w:rsidR="00133057" w:rsidRPr="00FD4A49">
        <w:rPr>
          <w:rFonts w:ascii="Times New Roman" w:hAnsi="Times New Roman" w:cs="Times New Roman"/>
          <w:sz w:val="24"/>
          <w:szCs w:val="24"/>
        </w:rPr>
        <w:t xml:space="preserve"> de recursos inactivos en las cuentas bancarias de las unidades ejecutoras.</w:t>
      </w:r>
    </w:p>
    <w:p w:rsidR="004923A8" w:rsidRPr="00FD4A49" w:rsidRDefault="00EB7D6D"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2.21</w:t>
      </w:r>
      <w:r w:rsidRPr="00FD4A49">
        <w:rPr>
          <w:rFonts w:ascii="Times New Roman" w:hAnsi="Times New Roman" w:cs="Times New Roman"/>
          <w:sz w:val="24"/>
          <w:szCs w:val="24"/>
        </w:rPr>
        <w:tab/>
      </w:r>
      <w:r w:rsidR="004F402D" w:rsidRPr="00FD4A49">
        <w:rPr>
          <w:rFonts w:ascii="Times New Roman" w:hAnsi="Times New Roman" w:cs="Times New Roman"/>
          <w:sz w:val="24"/>
          <w:szCs w:val="24"/>
        </w:rPr>
        <w:t xml:space="preserve">Finalmente, </w:t>
      </w:r>
      <w:r w:rsidR="002D4DDD" w:rsidRPr="00FD4A49">
        <w:rPr>
          <w:rFonts w:ascii="Times New Roman" w:hAnsi="Times New Roman" w:cs="Times New Roman"/>
          <w:sz w:val="24"/>
          <w:szCs w:val="24"/>
        </w:rPr>
        <w:t xml:space="preserve">pero </w:t>
      </w:r>
      <w:r w:rsidR="004F402D" w:rsidRPr="00FD4A49">
        <w:rPr>
          <w:rFonts w:ascii="Times New Roman" w:hAnsi="Times New Roman" w:cs="Times New Roman"/>
          <w:sz w:val="24"/>
          <w:szCs w:val="24"/>
        </w:rPr>
        <w:t>no menos importante</w:t>
      </w:r>
      <w:r w:rsidR="002D4DDD" w:rsidRPr="00FD4A49">
        <w:rPr>
          <w:rFonts w:ascii="Times New Roman" w:hAnsi="Times New Roman" w:cs="Times New Roman"/>
          <w:sz w:val="24"/>
          <w:szCs w:val="24"/>
        </w:rPr>
        <w:t>,</w:t>
      </w:r>
      <w:r w:rsidR="004F402D" w:rsidRPr="00FD4A49">
        <w:rPr>
          <w:rFonts w:ascii="Times New Roman" w:hAnsi="Times New Roman" w:cs="Times New Roman"/>
          <w:sz w:val="24"/>
          <w:szCs w:val="24"/>
        </w:rPr>
        <w:t xml:space="preserve"> es el hecho de que los saldos de las cuentas bancarias de las unidades ejecutoras pas</w:t>
      </w:r>
      <w:r w:rsidR="002D4DDD" w:rsidRPr="00FD4A49">
        <w:rPr>
          <w:rFonts w:ascii="Times New Roman" w:hAnsi="Times New Roman" w:cs="Times New Roman"/>
          <w:sz w:val="24"/>
          <w:szCs w:val="24"/>
        </w:rPr>
        <w:t>e</w:t>
      </w:r>
      <w:r w:rsidR="004F402D" w:rsidRPr="00FD4A49">
        <w:rPr>
          <w:rFonts w:ascii="Times New Roman" w:hAnsi="Times New Roman" w:cs="Times New Roman"/>
          <w:sz w:val="24"/>
          <w:szCs w:val="24"/>
        </w:rPr>
        <w:t xml:space="preserve">n de un ejercicio a otro </w:t>
      </w:r>
      <w:r w:rsidR="008D7A70" w:rsidRPr="00FD4A49">
        <w:rPr>
          <w:rFonts w:ascii="Times New Roman" w:hAnsi="Times New Roman" w:cs="Times New Roman"/>
          <w:sz w:val="24"/>
          <w:szCs w:val="24"/>
        </w:rPr>
        <w:t xml:space="preserve">(por 60 días) </w:t>
      </w:r>
      <w:r w:rsidR="004F402D" w:rsidRPr="00FD4A49">
        <w:rPr>
          <w:rFonts w:ascii="Times New Roman" w:hAnsi="Times New Roman" w:cs="Times New Roman"/>
          <w:sz w:val="24"/>
          <w:szCs w:val="24"/>
        </w:rPr>
        <w:t>sin que el tesoro tenga control sobre estos montos.</w:t>
      </w:r>
    </w:p>
    <w:p w:rsidR="00C44B53" w:rsidRPr="00FD4A49" w:rsidRDefault="00EB7D6D" w:rsidP="00FD4A49">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2.22</w:t>
      </w:r>
      <w:r w:rsidRPr="00FD4A49">
        <w:rPr>
          <w:rFonts w:ascii="Times New Roman" w:hAnsi="Times New Roman" w:cs="Times New Roman"/>
          <w:sz w:val="24"/>
          <w:szCs w:val="24"/>
        </w:rPr>
        <w:tab/>
        <w:t>L</w:t>
      </w:r>
      <w:r w:rsidR="00352B22" w:rsidRPr="00FD4A49">
        <w:rPr>
          <w:rFonts w:ascii="Times New Roman" w:hAnsi="Times New Roman" w:cs="Times New Roman"/>
          <w:sz w:val="24"/>
          <w:szCs w:val="24"/>
        </w:rPr>
        <w:t>a implantación</w:t>
      </w:r>
      <w:r w:rsidR="008D7A70" w:rsidRPr="00FD4A49">
        <w:rPr>
          <w:rFonts w:ascii="Times New Roman" w:hAnsi="Times New Roman" w:cs="Times New Roman"/>
          <w:sz w:val="24"/>
          <w:szCs w:val="24"/>
        </w:rPr>
        <w:t xml:space="preserve"> de la Cuenta Única</w:t>
      </w:r>
      <w:r w:rsidR="002D4DDD" w:rsidRPr="00FD4A49">
        <w:rPr>
          <w:rFonts w:ascii="Times New Roman" w:hAnsi="Times New Roman" w:cs="Times New Roman"/>
          <w:sz w:val="24"/>
          <w:szCs w:val="24"/>
        </w:rPr>
        <w:t xml:space="preserve"> </w:t>
      </w:r>
      <w:r w:rsidR="008D7A70" w:rsidRPr="00FD4A49">
        <w:rPr>
          <w:rFonts w:ascii="Times New Roman" w:hAnsi="Times New Roman" w:cs="Times New Roman"/>
          <w:sz w:val="24"/>
          <w:szCs w:val="24"/>
        </w:rPr>
        <w:t xml:space="preserve">del Tesoro </w:t>
      </w:r>
      <w:r w:rsidR="002D4DDD" w:rsidRPr="00FD4A49">
        <w:rPr>
          <w:rFonts w:ascii="Times New Roman" w:hAnsi="Times New Roman" w:cs="Times New Roman"/>
          <w:sz w:val="24"/>
          <w:szCs w:val="24"/>
        </w:rPr>
        <w:t xml:space="preserve">en Panamá </w:t>
      </w:r>
      <w:r w:rsidR="00352B22" w:rsidRPr="00FD4A49">
        <w:rPr>
          <w:rFonts w:ascii="Times New Roman" w:hAnsi="Times New Roman" w:cs="Times New Roman"/>
          <w:sz w:val="24"/>
          <w:szCs w:val="24"/>
        </w:rPr>
        <w:t>generar</w:t>
      </w:r>
      <w:r w:rsidR="002D4DDD" w:rsidRPr="00FD4A49">
        <w:rPr>
          <w:rFonts w:ascii="Times New Roman" w:hAnsi="Times New Roman" w:cs="Times New Roman"/>
          <w:sz w:val="24"/>
          <w:szCs w:val="24"/>
        </w:rPr>
        <w:t>á</w:t>
      </w:r>
      <w:r w:rsidR="00352B22" w:rsidRPr="00FD4A49">
        <w:rPr>
          <w:rFonts w:ascii="Times New Roman" w:hAnsi="Times New Roman" w:cs="Times New Roman"/>
          <w:sz w:val="24"/>
          <w:szCs w:val="24"/>
        </w:rPr>
        <w:t xml:space="preserve"> </w:t>
      </w:r>
      <w:r w:rsidR="008D7A70" w:rsidRPr="00FD4A49">
        <w:rPr>
          <w:rFonts w:ascii="Times New Roman" w:hAnsi="Times New Roman" w:cs="Times New Roman"/>
          <w:sz w:val="24"/>
          <w:szCs w:val="24"/>
        </w:rPr>
        <w:t xml:space="preserve">importantes </w:t>
      </w:r>
      <w:r w:rsidR="00352B22" w:rsidRPr="00FD4A49">
        <w:rPr>
          <w:rFonts w:ascii="Times New Roman" w:hAnsi="Times New Roman" w:cs="Times New Roman"/>
          <w:sz w:val="24"/>
          <w:szCs w:val="24"/>
        </w:rPr>
        <w:t>beneficios financieros para el país, tal como ocurrió en diversos países latinoamericano</w:t>
      </w:r>
      <w:r w:rsidR="002D4DDD" w:rsidRPr="00FD4A49">
        <w:rPr>
          <w:rFonts w:ascii="Times New Roman" w:hAnsi="Times New Roman" w:cs="Times New Roman"/>
          <w:sz w:val="24"/>
          <w:szCs w:val="24"/>
        </w:rPr>
        <w:t>s</w:t>
      </w:r>
      <w:r w:rsidR="00352B22" w:rsidRPr="00FD4A49">
        <w:rPr>
          <w:rFonts w:ascii="Times New Roman" w:hAnsi="Times New Roman" w:cs="Times New Roman"/>
          <w:sz w:val="24"/>
          <w:szCs w:val="24"/>
        </w:rPr>
        <w:t>.</w:t>
      </w:r>
      <w:r w:rsidR="008D7A70" w:rsidRPr="00FD4A49">
        <w:rPr>
          <w:rFonts w:ascii="Times New Roman" w:hAnsi="Times New Roman" w:cs="Times New Roman"/>
          <w:sz w:val="24"/>
          <w:szCs w:val="24"/>
        </w:rPr>
        <w:t xml:space="preserve"> </w:t>
      </w:r>
      <w:r w:rsidR="00133057" w:rsidRPr="00FD4A49">
        <w:rPr>
          <w:rFonts w:ascii="Times New Roman" w:hAnsi="Times New Roman" w:cs="Times New Roman"/>
          <w:sz w:val="24"/>
          <w:szCs w:val="24"/>
        </w:rPr>
        <w:t>Diversos beneficios podrían ser estimados como resultado de la implantación de la cuenta única</w:t>
      </w:r>
      <w:r w:rsidR="008D7A70" w:rsidRPr="00FD4A49">
        <w:rPr>
          <w:rFonts w:ascii="Times New Roman" w:hAnsi="Times New Roman" w:cs="Times New Roman"/>
          <w:sz w:val="24"/>
          <w:szCs w:val="24"/>
        </w:rPr>
        <w:t>.</w:t>
      </w:r>
      <w:r w:rsidR="00133057" w:rsidRPr="00FD4A49">
        <w:rPr>
          <w:rFonts w:ascii="Times New Roman" w:hAnsi="Times New Roman" w:cs="Times New Roman"/>
          <w:sz w:val="24"/>
          <w:szCs w:val="24"/>
        </w:rPr>
        <w:t xml:space="preserve"> </w:t>
      </w:r>
      <w:r w:rsidR="008D7A70" w:rsidRPr="00FD4A49">
        <w:rPr>
          <w:rFonts w:ascii="Times New Roman" w:hAnsi="Times New Roman" w:cs="Times New Roman"/>
          <w:sz w:val="24"/>
          <w:szCs w:val="24"/>
        </w:rPr>
        <w:t>S</w:t>
      </w:r>
      <w:r w:rsidR="00133057" w:rsidRPr="00FD4A49">
        <w:rPr>
          <w:rFonts w:ascii="Times New Roman" w:hAnsi="Times New Roman" w:cs="Times New Roman"/>
          <w:sz w:val="24"/>
          <w:szCs w:val="24"/>
        </w:rPr>
        <w:t>in embargo</w:t>
      </w:r>
      <w:r w:rsidR="008D7A70" w:rsidRPr="00FD4A49">
        <w:rPr>
          <w:rFonts w:ascii="Times New Roman" w:hAnsi="Times New Roman" w:cs="Times New Roman"/>
          <w:sz w:val="24"/>
          <w:szCs w:val="24"/>
        </w:rPr>
        <w:t>,</w:t>
      </w:r>
      <w:r w:rsidR="00133057" w:rsidRPr="00FD4A49">
        <w:rPr>
          <w:rFonts w:ascii="Times New Roman" w:hAnsi="Times New Roman" w:cs="Times New Roman"/>
          <w:sz w:val="24"/>
          <w:szCs w:val="24"/>
        </w:rPr>
        <w:t xml:space="preserve"> </w:t>
      </w:r>
      <w:r w:rsidR="008D7A70" w:rsidRPr="00FD4A49">
        <w:rPr>
          <w:rFonts w:ascii="Times New Roman" w:hAnsi="Times New Roman" w:cs="Times New Roman"/>
          <w:i/>
          <w:sz w:val="24"/>
          <w:szCs w:val="24"/>
        </w:rPr>
        <w:t xml:space="preserve">para </w:t>
      </w:r>
      <w:r w:rsidR="00133057" w:rsidRPr="00FD4A49">
        <w:rPr>
          <w:rFonts w:ascii="Times New Roman" w:hAnsi="Times New Roman" w:cs="Times New Roman"/>
          <w:i/>
          <w:sz w:val="24"/>
          <w:szCs w:val="24"/>
        </w:rPr>
        <w:t>e</w:t>
      </w:r>
      <w:r w:rsidR="00352B22" w:rsidRPr="00FD4A49">
        <w:rPr>
          <w:rFonts w:ascii="Times New Roman" w:hAnsi="Times New Roman" w:cs="Times New Roman"/>
          <w:i/>
          <w:sz w:val="24"/>
          <w:szCs w:val="24"/>
        </w:rPr>
        <w:t>l presente estudio opt</w:t>
      </w:r>
      <w:r w:rsidR="008D7A70" w:rsidRPr="00FD4A49">
        <w:rPr>
          <w:rFonts w:ascii="Times New Roman" w:hAnsi="Times New Roman" w:cs="Times New Roman"/>
          <w:i/>
          <w:sz w:val="24"/>
          <w:szCs w:val="24"/>
        </w:rPr>
        <w:t>amos</w:t>
      </w:r>
      <w:r w:rsidR="00352B22" w:rsidRPr="00FD4A49">
        <w:rPr>
          <w:rFonts w:ascii="Times New Roman" w:hAnsi="Times New Roman" w:cs="Times New Roman"/>
          <w:i/>
          <w:sz w:val="24"/>
          <w:szCs w:val="24"/>
        </w:rPr>
        <w:t xml:space="preserve"> por calcular el más simple de los beneficios </w:t>
      </w:r>
      <w:r w:rsidR="000A6E8E" w:rsidRPr="00FD4A49">
        <w:rPr>
          <w:rFonts w:ascii="Times New Roman" w:hAnsi="Times New Roman" w:cs="Times New Roman"/>
          <w:i/>
          <w:sz w:val="24"/>
          <w:szCs w:val="24"/>
        </w:rPr>
        <w:t>financieros</w:t>
      </w:r>
      <w:r w:rsidR="00352B22" w:rsidRPr="00FD4A49">
        <w:rPr>
          <w:rFonts w:ascii="Times New Roman" w:hAnsi="Times New Roman" w:cs="Times New Roman"/>
          <w:i/>
          <w:sz w:val="24"/>
          <w:szCs w:val="24"/>
        </w:rPr>
        <w:t>, que es la generación de recursos a partir de los intereses provenientes de los s</w:t>
      </w:r>
      <w:r w:rsidR="000A6E8E" w:rsidRPr="00FD4A49">
        <w:rPr>
          <w:rFonts w:ascii="Times New Roman" w:hAnsi="Times New Roman" w:cs="Times New Roman"/>
          <w:i/>
          <w:sz w:val="24"/>
          <w:szCs w:val="24"/>
        </w:rPr>
        <w:t>aldos de l</w:t>
      </w:r>
      <w:r w:rsidR="008D7A70" w:rsidRPr="00FD4A49">
        <w:rPr>
          <w:rFonts w:ascii="Times New Roman" w:hAnsi="Times New Roman" w:cs="Times New Roman"/>
          <w:i/>
          <w:sz w:val="24"/>
          <w:szCs w:val="24"/>
        </w:rPr>
        <w:t>a cuenta única, pagados por el B</w:t>
      </w:r>
      <w:r w:rsidR="000A6E8E" w:rsidRPr="00FD4A49">
        <w:rPr>
          <w:rFonts w:ascii="Times New Roman" w:hAnsi="Times New Roman" w:cs="Times New Roman"/>
          <w:i/>
          <w:sz w:val="24"/>
          <w:szCs w:val="24"/>
        </w:rPr>
        <w:t>anco depositario de los recursos del tesoro.</w:t>
      </w:r>
    </w:p>
    <w:p w:rsidR="000A6E8E" w:rsidRPr="00FD4A49" w:rsidRDefault="000548B3" w:rsidP="004E4768">
      <w:pPr>
        <w:pStyle w:val="ListParagraph"/>
        <w:spacing w:before="120" w:after="120"/>
        <w:ind w:hanging="720"/>
        <w:jc w:val="both"/>
        <w:rPr>
          <w:rFonts w:ascii="Times New Roman" w:hAnsi="Times New Roman" w:cs="Times New Roman"/>
          <w:sz w:val="24"/>
          <w:szCs w:val="24"/>
        </w:rPr>
      </w:pPr>
      <w:r w:rsidRPr="00FD4A49">
        <w:rPr>
          <w:rFonts w:ascii="Times New Roman" w:hAnsi="Times New Roman" w:cs="Times New Roman"/>
          <w:sz w:val="24"/>
          <w:szCs w:val="24"/>
        </w:rPr>
        <w:t>2.23</w:t>
      </w:r>
      <w:r w:rsidRPr="00FD4A49">
        <w:rPr>
          <w:rFonts w:ascii="Times New Roman" w:hAnsi="Times New Roman" w:cs="Times New Roman"/>
          <w:b/>
          <w:sz w:val="24"/>
          <w:szCs w:val="24"/>
        </w:rPr>
        <w:tab/>
      </w:r>
      <w:r w:rsidR="004F402D" w:rsidRPr="00FD4A49">
        <w:rPr>
          <w:rFonts w:ascii="Times New Roman" w:hAnsi="Times New Roman" w:cs="Times New Roman"/>
          <w:b/>
          <w:sz w:val="24"/>
          <w:szCs w:val="24"/>
        </w:rPr>
        <w:t xml:space="preserve">Cálculo </w:t>
      </w:r>
      <w:r w:rsidR="009600ED" w:rsidRPr="00FD4A49">
        <w:rPr>
          <w:rFonts w:ascii="Times New Roman" w:hAnsi="Times New Roman" w:cs="Times New Roman"/>
          <w:b/>
          <w:sz w:val="24"/>
          <w:szCs w:val="24"/>
        </w:rPr>
        <w:t>del aumento de la disponibilidad de caja y disminución del crédito interno.</w:t>
      </w:r>
      <w:r w:rsidRPr="00FD4A49">
        <w:rPr>
          <w:rFonts w:ascii="Times New Roman" w:hAnsi="Times New Roman" w:cs="Times New Roman"/>
          <w:b/>
          <w:sz w:val="24"/>
          <w:szCs w:val="24"/>
        </w:rPr>
        <w:t xml:space="preserve">  </w:t>
      </w:r>
      <w:r w:rsidR="0042176B" w:rsidRPr="00FD4A49">
        <w:rPr>
          <w:rFonts w:ascii="Times New Roman" w:hAnsi="Times New Roman" w:cs="Times New Roman"/>
          <w:sz w:val="24"/>
          <w:szCs w:val="24"/>
        </w:rPr>
        <w:t>De acuerdo con los procedimientos internacionales de adquisición</w:t>
      </w:r>
      <w:r w:rsidR="00C648DC" w:rsidRPr="00FD4A49">
        <w:rPr>
          <w:rFonts w:ascii="Times New Roman" w:hAnsi="Times New Roman" w:cs="Times New Roman"/>
          <w:sz w:val="24"/>
          <w:szCs w:val="24"/>
        </w:rPr>
        <w:t xml:space="preserve"> en el sector público,</w:t>
      </w:r>
      <w:r w:rsidR="0042176B" w:rsidRPr="00FD4A49">
        <w:rPr>
          <w:rFonts w:ascii="Times New Roman" w:hAnsi="Times New Roman" w:cs="Times New Roman"/>
          <w:sz w:val="24"/>
          <w:szCs w:val="24"/>
        </w:rPr>
        <w:t xml:space="preserve"> </w:t>
      </w:r>
      <w:r w:rsidR="00C648DC" w:rsidRPr="00FD4A49">
        <w:rPr>
          <w:rFonts w:ascii="Times New Roman" w:hAnsi="Times New Roman" w:cs="Times New Roman"/>
          <w:sz w:val="24"/>
          <w:szCs w:val="24"/>
        </w:rPr>
        <w:t>una compra de un bien ó la contratación y ejecución de un servicio, si</w:t>
      </w:r>
      <w:r w:rsidR="002D4DDD" w:rsidRPr="00FD4A49">
        <w:rPr>
          <w:rFonts w:ascii="Times New Roman" w:hAnsi="Times New Roman" w:cs="Times New Roman"/>
          <w:sz w:val="24"/>
          <w:szCs w:val="24"/>
        </w:rPr>
        <w:t xml:space="preserve"> estuviera</w:t>
      </w:r>
      <w:r w:rsidR="00C648DC" w:rsidRPr="00FD4A49">
        <w:rPr>
          <w:rFonts w:ascii="Times New Roman" w:hAnsi="Times New Roman" w:cs="Times New Roman"/>
          <w:sz w:val="24"/>
          <w:szCs w:val="24"/>
        </w:rPr>
        <w:t xml:space="preserve"> bien ejecutado</w:t>
      </w:r>
      <w:r w:rsidR="002D4DDD" w:rsidRPr="00FD4A49">
        <w:rPr>
          <w:rFonts w:ascii="Times New Roman" w:hAnsi="Times New Roman" w:cs="Times New Roman"/>
          <w:sz w:val="24"/>
          <w:szCs w:val="24"/>
        </w:rPr>
        <w:t>, no debería tardar más de</w:t>
      </w:r>
      <w:r w:rsidR="00C648DC" w:rsidRPr="00FD4A49">
        <w:rPr>
          <w:rFonts w:ascii="Times New Roman" w:hAnsi="Times New Roman" w:cs="Times New Roman"/>
          <w:sz w:val="24"/>
          <w:szCs w:val="24"/>
        </w:rPr>
        <w:t xml:space="preserve"> un mes. </w:t>
      </w:r>
      <w:r w:rsidR="000A6E8E" w:rsidRPr="00FD4A49">
        <w:rPr>
          <w:rFonts w:ascii="Times New Roman" w:hAnsi="Times New Roman" w:cs="Times New Roman"/>
          <w:sz w:val="24"/>
          <w:szCs w:val="24"/>
        </w:rPr>
        <w:t>Por lo tanto</w:t>
      </w:r>
      <w:r w:rsidR="002D4DDD" w:rsidRPr="00FD4A49">
        <w:rPr>
          <w:rFonts w:ascii="Times New Roman" w:hAnsi="Times New Roman" w:cs="Times New Roman"/>
          <w:sz w:val="24"/>
          <w:szCs w:val="24"/>
        </w:rPr>
        <w:t>,</w:t>
      </w:r>
      <w:r w:rsidR="000A6E8E" w:rsidRPr="00FD4A49">
        <w:rPr>
          <w:rFonts w:ascii="Times New Roman" w:hAnsi="Times New Roman" w:cs="Times New Roman"/>
          <w:sz w:val="24"/>
          <w:szCs w:val="24"/>
        </w:rPr>
        <w:t xml:space="preserve"> </w:t>
      </w:r>
      <w:r w:rsidR="008D7A70" w:rsidRPr="00FD4A49">
        <w:rPr>
          <w:rFonts w:ascii="Times New Roman" w:hAnsi="Times New Roman" w:cs="Times New Roman"/>
          <w:sz w:val="24"/>
          <w:szCs w:val="24"/>
        </w:rPr>
        <w:t xml:space="preserve">asumiremos el supuesto de </w:t>
      </w:r>
      <w:r w:rsidR="000A6E8E" w:rsidRPr="00FD4A49">
        <w:rPr>
          <w:rFonts w:ascii="Times New Roman" w:hAnsi="Times New Roman" w:cs="Times New Roman"/>
          <w:sz w:val="24"/>
          <w:szCs w:val="24"/>
        </w:rPr>
        <w:t xml:space="preserve">que Panamá cumpla con esta condición y consideraremos que el </w:t>
      </w:r>
      <w:r w:rsidR="002D4DDD" w:rsidRPr="00FD4A49">
        <w:rPr>
          <w:rFonts w:ascii="Times New Roman" w:hAnsi="Times New Roman" w:cs="Times New Roman"/>
          <w:sz w:val="24"/>
          <w:szCs w:val="24"/>
        </w:rPr>
        <w:t>T</w:t>
      </w:r>
      <w:r w:rsidR="000A6E8E" w:rsidRPr="00FD4A49">
        <w:rPr>
          <w:rFonts w:ascii="Times New Roman" w:hAnsi="Times New Roman" w:cs="Times New Roman"/>
          <w:sz w:val="24"/>
          <w:szCs w:val="24"/>
        </w:rPr>
        <w:t>esoro de Panamá tenga una pérdida de solamente 1 mes en los intereses que deberían ser pagados por los bancos depositarios.</w:t>
      </w:r>
    </w:p>
    <w:p w:rsidR="000A6E8E" w:rsidRPr="00FD4A49" w:rsidRDefault="0034382A" w:rsidP="004E4768">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2.24</w:t>
      </w:r>
      <w:r w:rsidRPr="00FD4A49">
        <w:rPr>
          <w:rFonts w:ascii="Times New Roman" w:hAnsi="Times New Roman" w:cs="Times New Roman"/>
          <w:sz w:val="24"/>
          <w:szCs w:val="24"/>
        </w:rPr>
        <w:tab/>
      </w:r>
      <w:r w:rsidR="000A6E8E" w:rsidRPr="00FD4A49">
        <w:rPr>
          <w:rFonts w:ascii="Times New Roman" w:hAnsi="Times New Roman" w:cs="Times New Roman"/>
          <w:sz w:val="24"/>
          <w:szCs w:val="24"/>
        </w:rPr>
        <w:t xml:space="preserve">Adicionalmente, </w:t>
      </w:r>
      <w:r w:rsidR="008D7A70" w:rsidRPr="00FD4A49">
        <w:rPr>
          <w:rFonts w:ascii="Times New Roman" w:hAnsi="Times New Roman" w:cs="Times New Roman"/>
          <w:sz w:val="24"/>
          <w:szCs w:val="24"/>
        </w:rPr>
        <w:t>debemos</w:t>
      </w:r>
      <w:r w:rsidR="002D4DDD" w:rsidRPr="00FD4A49">
        <w:rPr>
          <w:rFonts w:ascii="Times New Roman" w:hAnsi="Times New Roman" w:cs="Times New Roman"/>
          <w:sz w:val="24"/>
          <w:szCs w:val="24"/>
        </w:rPr>
        <w:t xml:space="preserve"> </w:t>
      </w:r>
      <w:r w:rsidR="000A6E8E" w:rsidRPr="00FD4A49">
        <w:rPr>
          <w:rFonts w:ascii="Times New Roman" w:hAnsi="Times New Roman" w:cs="Times New Roman"/>
          <w:sz w:val="24"/>
          <w:szCs w:val="24"/>
        </w:rPr>
        <w:t xml:space="preserve">considerar que de acuerdo con los estándares internacionales, los intereses pagados por los bancos </w:t>
      </w:r>
      <w:r w:rsidR="008D7A70" w:rsidRPr="00FD4A49">
        <w:rPr>
          <w:rFonts w:ascii="Times New Roman" w:hAnsi="Times New Roman" w:cs="Times New Roman"/>
          <w:sz w:val="24"/>
          <w:szCs w:val="24"/>
        </w:rPr>
        <w:t>corresponsales</w:t>
      </w:r>
      <w:r w:rsidR="000A6E8E" w:rsidRPr="00FD4A49">
        <w:rPr>
          <w:rFonts w:ascii="Times New Roman" w:hAnsi="Times New Roman" w:cs="Times New Roman"/>
          <w:sz w:val="24"/>
          <w:szCs w:val="24"/>
        </w:rPr>
        <w:t xml:space="preserve"> </w:t>
      </w:r>
      <w:r w:rsidR="008D7A70" w:rsidRPr="00FD4A49">
        <w:rPr>
          <w:rFonts w:ascii="Times New Roman" w:hAnsi="Times New Roman" w:cs="Times New Roman"/>
          <w:sz w:val="24"/>
          <w:szCs w:val="24"/>
        </w:rPr>
        <w:t>al gobierno representan</w:t>
      </w:r>
      <w:r w:rsidR="000A6E8E" w:rsidRPr="00FD4A49">
        <w:rPr>
          <w:rFonts w:ascii="Times New Roman" w:hAnsi="Times New Roman" w:cs="Times New Roman"/>
          <w:sz w:val="24"/>
          <w:szCs w:val="24"/>
        </w:rPr>
        <w:t xml:space="preserve"> 2% al año.</w:t>
      </w:r>
    </w:p>
    <w:p w:rsidR="009600ED" w:rsidRPr="00FD4A49" w:rsidRDefault="0034382A" w:rsidP="004E4768">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2.25</w:t>
      </w:r>
      <w:r w:rsidRPr="00FD4A49">
        <w:rPr>
          <w:rFonts w:ascii="Times New Roman" w:hAnsi="Times New Roman" w:cs="Times New Roman"/>
          <w:sz w:val="24"/>
          <w:szCs w:val="24"/>
        </w:rPr>
        <w:tab/>
      </w:r>
      <w:r w:rsidR="00BD0211" w:rsidRPr="00FD4A49">
        <w:rPr>
          <w:rFonts w:ascii="Times New Roman" w:hAnsi="Times New Roman" w:cs="Times New Roman"/>
          <w:sz w:val="24"/>
          <w:szCs w:val="24"/>
        </w:rPr>
        <w:t xml:space="preserve">Finalmente, de acuerdo con el Cuadro </w:t>
      </w:r>
      <w:r w:rsidR="00713F6B" w:rsidRPr="00FD4A49">
        <w:rPr>
          <w:rFonts w:ascii="Times New Roman" w:hAnsi="Times New Roman" w:cs="Times New Roman"/>
          <w:sz w:val="24"/>
          <w:szCs w:val="24"/>
        </w:rPr>
        <w:t>9</w:t>
      </w:r>
      <w:r w:rsidR="00BD0211" w:rsidRPr="00FD4A49">
        <w:rPr>
          <w:rFonts w:ascii="Times New Roman" w:hAnsi="Times New Roman" w:cs="Times New Roman"/>
          <w:sz w:val="24"/>
          <w:szCs w:val="24"/>
        </w:rPr>
        <w:t>, aplicamos 2% a 1/12 del total del</w:t>
      </w:r>
      <w:r w:rsidR="008D7A70" w:rsidRPr="00FD4A49">
        <w:rPr>
          <w:rFonts w:ascii="Times New Roman" w:hAnsi="Times New Roman" w:cs="Times New Roman"/>
          <w:sz w:val="24"/>
          <w:szCs w:val="24"/>
        </w:rPr>
        <w:t xml:space="preserve"> gasto público (30,</w:t>
      </w:r>
      <w:r w:rsidR="00BD0211" w:rsidRPr="00FD4A49">
        <w:rPr>
          <w:rFonts w:ascii="Times New Roman" w:hAnsi="Times New Roman" w:cs="Times New Roman"/>
          <w:sz w:val="24"/>
          <w:szCs w:val="24"/>
        </w:rPr>
        <w:t>9</w:t>
      </w:r>
      <w:r w:rsidR="008D7A70" w:rsidRPr="00FD4A49">
        <w:rPr>
          <w:rFonts w:ascii="Times New Roman" w:hAnsi="Times New Roman" w:cs="Times New Roman"/>
          <w:sz w:val="24"/>
          <w:szCs w:val="24"/>
        </w:rPr>
        <w:t xml:space="preserve"> del PIB</w:t>
      </w:r>
      <w:r w:rsidR="00BD0211" w:rsidRPr="00FD4A49">
        <w:rPr>
          <w:rFonts w:ascii="Times New Roman" w:hAnsi="Times New Roman" w:cs="Times New Roman"/>
          <w:sz w:val="24"/>
          <w:szCs w:val="24"/>
        </w:rPr>
        <w:t xml:space="preserve">). El beneficio financiero seria de la orden de </w:t>
      </w:r>
      <w:r w:rsidR="003017DF" w:rsidRPr="00FD4A49">
        <w:rPr>
          <w:rFonts w:ascii="Times New Roman" w:hAnsi="Times New Roman" w:cs="Times New Roman"/>
          <w:sz w:val="24"/>
          <w:szCs w:val="24"/>
        </w:rPr>
        <w:t>14,6</w:t>
      </w:r>
      <w:r w:rsidR="00BD0211" w:rsidRPr="00FD4A49">
        <w:rPr>
          <w:rFonts w:ascii="Times New Roman" w:hAnsi="Times New Roman" w:cs="Times New Roman"/>
          <w:sz w:val="24"/>
          <w:szCs w:val="24"/>
        </w:rPr>
        <w:t xml:space="preserve"> millones anuales.</w:t>
      </w:r>
    </w:p>
    <w:p w:rsidR="00BD0211" w:rsidRPr="00FD4A49" w:rsidRDefault="0034382A" w:rsidP="004E4768">
      <w:pPr>
        <w:spacing w:before="120" w:after="120"/>
        <w:ind w:left="720" w:hanging="720"/>
        <w:jc w:val="both"/>
        <w:rPr>
          <w:rFonts w:ascii="Times New Roman" w:hAnsi="Times New Roman" w:cs="Times New Roman"/>
          <w:sz w:val="24"/>
          <w:szCs w:val="24"/>
        </w:rPr>
      </w:pPr>
      <w:r w:rsidRPr="00FD4A49">
        <w:rPr>
          <w:rFonts w:ascii="Times New Roman" w:hAnsi="Times New Roman" w:cs="Times New Roman"/>
          <w:sz w:val="24"/>
          <w:szCs w:val="24"/>
        </w:rPr>
        <w:t>2.26</w:t>
      </w:r>
      <w:r w:rsidRPr="00FD4A49">
        <w:rPr>
          <w:rFonts w:ascii="Times New Roman" w:hAnsi="Times New Roman" w:cs="Times New Roman"/>
          <w:b/>
          <w:sz w:val="24"/>
          <w:szCs w:val="24"/>
        </w:rPr>
        <w:tab/>
      </w:r>
      <w:r w:rsidR="00BD0211" w:rsidRPr="00FD4A49">
        <w:rPr>
          <w:rFonts w:ascii="Times New Roman" w:hAnsi="Times New Roman" w:cs="Times New Roman"/>
          <w:b/>
          <w:sz w:val="24"/>
          <w:szCs w:val="24"/>
        </w:rPr>
        <w:t>Conclusión:</w:t>
      </w:r>
      <w:r w:rsidR="00BD0211" w:rsidRPr="00FD4A49">
        <w:rPr>
          <w:rFonts w:ascii="Times New Roman" w:hAnsi="Times New Roman" w:cs="Times New Roman"/>
          <w:sz w:val="24"/>
          <w:szCs w:val="24"/>
        </w:rPr>
        <w:t xml:space="preserve"> Con la implantación de la cuenta única del tesoro, se espera </w:t>
      </w:r>
      <w:r w:rsidR="003017DF" w:rsidRPr="00FD4A49">
        <w:rPr>
          <w:rFonts w:ascii="Times New Roman" w:hAnsi="Times New Roman" w:cs="Times New Roman"/>
          <w:sz w:val="24"/>
          <w:szCs w:val="24"/>
        </w:rPr>
        <w:t xml:space="preserve">conservadoramente </w:t>
      </w:r>
      <w:r w:rsidR="00BD0211" w:rsidRPr="00FD4A49">
        <w:rPr>
          <w:rFonts w:ascii="Times New Roman" w:hAnsi="Times New Roman" w:cs="Times New Roman"/>
          <w:sz w:val="24"/>
          <w:szCs w:val="24"/>
        </w:rPr>
        <w:t>un beneficio financi</w:t>
      </w:r>
      <w:r w:rsidR="002D4DDD" w:rsidRPr="00FD4A49">
        <w:rPr>
          <w:rFonts w:ascii="Times New Roman" w:hAnsi="Times New Roman" w:cs="Times New Roman"/>
          <w:sz w:val="24"/>
          <w:szCs w:val="24"/>
        </w:rPr>
        <w:t xml:space="preserve">ero del orden de los </w:t>
      </w:r>
      <w:r w:rsidR="003017DF" w:rsidRPr="00FD4A49">
        <w:rPr>
          <w:rFonts w:ascii="Times New Roman" w:hAnsi="Times New Roman" w:cs="Times New Roman"/>
          <w:sz w:val="24"/>
          <w:szCs w:val="24"/>
        </w:rPr>
        <w:t>14,6</w:t>
      </w:r>
      <w:r w:rsidR="00BD0211" w:rsidRPr="00FD4A49">
        <w:rPr>
          <w:rFonts w:ascii="Times New Roman" w:hAnsi="Times New Roman" w:cs="Times New Roman"/>
          <w:sz w:val="24"/>
          <w:szCs w:val="24"/>
        </w:rPr>
        <w:t xml:space="preserve"> millones anuales, conse</w:t>
      </w:r>
      <w:r w:rsidR="007F3F0C" w:rsidRPr="00FD4A49">
        <w:rPr>
          <w:rFonts w:ascii="Times New Roman" w:hAnsi="Times New Roman" w:cs="Times New Roman"/>
          <w:sz w:val="24"/>
          <w:szCs w:val="24"/>
        </w:rPr>
        <w:t>cuencia de los interese</w:t>
      </w:r>
      <w:r w:rsidR="002D4DDD" w:rsidRPr="00FD4A49">
        <w:rPr>
          <w:rFonts w:ascii="Times New Roman" w:hAnsi="Times New Roman" w:cs="Times New Roman"/>
          <w:sz w:val="24"/>
          <w:szCs w:val="24"/>
        </w:rPr>
        <w:t>s</w:t>
      </w:r>
      <w:r w:rsidR="007F3F0C" w:rsidRPr="00FD4A49">
        <w:rPr>
          <w:rFonts w:ascii="Times New Roman" w:hAnsi="Times New Roman" w:cs="Times New Roman"/>
          <w:sz w:val="24"/>
          <w:szCs w:val="24"/>
        </w:rPr>
        <w:t xml:space="preserve"> a ser pagado</w:t>
      </w:r>
      <w:r w:rsidR="002D4DDD" w:rsidRPr="00FD4A49">
        <w:rPr>
          <w:rFonts w:ascii="Times New Roman" w:hAnsi="Times New Roman" w:cs="Times New Roman"/>
          <w:sz w:val="24"/>
          <w:szCs w:val="24"/>
        </w:rPr>
        <w:t>s</w:t>
      </w:r>
      <w:r w:rsidR="00BD0211" w:rsidRPr="00FD4A49">
        <w:rPr>
          <w:rFonts w:ascii="Times New Roman" w:hAnsi="Times New Roman" w:cs="Times New Roman"/>
          <w:sz w:val="24"/>
          <w:szCs w:val="24"/>
        </w:rPr>
        <w:t xml:space="preserve"> por el banco </w:t>
      </w:r>
      <w:r w:rsidR="003017DF" w:rsidRPr="00FD4A49">
        <w:rPr>
          <w:rFonts w:ascii="Times New Roman" w:hAnsi="Times New Roman" w:cs="Times New Roman"/>
          <w:sz w:val="24"/>
          <w:szCs w:val="24"/>
        </w:rPr>
        <w:t>corresponsal</w:t>
      </w:r>
      <w:r w:rsidR="00BD0211" w:rsidRPr="00FD4A49">
        <w:rPr>
          <w:rFonts w:ascii="Times New Roman" w:hAnsi="Times New Roman" w:cs="Times New Roman"/>
          <w:sz w:val="24"/>
          <w:szCs w:val="24"/>
        </w:rPr>
        <w:t xml:space="preserve"> a los recursos </w:t>
      </w:r>
      <w:r w:rsidR="007F3F0C" w:rsidRPr="00FD4A49">
        <w:rPr>
          <w:rFonts w:ascii="Times New Roman" w:hAnsi="Times New Roman" w:cs="Times New Roman"/>
          <w:sz w:val="24"/>
          <w:szCs w:val="24"/>
        </w:rPr>
        <w:t>del</w:t>
      </w:r>
      <w:r w:rsidR="002D4DDD" w:rsidRPr="00FD4A49">
        <w:rPr>
          <w:rFonts w:ascii="Times New Roman" w:hAnsi="Times New Roman" w:cs="Times New Roman"/>
          <w:sz w:val="24"/>
          <w:szCs w:val="24"/>
        </w:rPr>
        <w:t xml:space="preserve"> tesoro que se quedan inactivos</w:t>
      </w:r>
      <w:r w:rsidR="007F3F0C" w:rsidRPr="00FD4A49">
        <w:rPr>
          <w:rFonts w:ascii="Times New Roman" w:hAnsi="Times New Roman" w:cs="Times New Roman"/>
          <w:sz w:val="24"/>
          <w:szCs w:val="24"/>
        </w:rPr>
        <w:t xml:space="preserve"> </w:t>
      </w:r>
      <w:r w:rsidR="002D4DDD" w:rsidRPr="00FD4A49">
        <w:rPr>
          <w:rFonts w:ascii="Times New Roman" w:hAnsi="Times New Roman" w:cs="Times New Roman"/>
          <w:sz w:val="24"/>
          <w:szCs w:val="24"/>
        </w:rPr>
        <w:t xml:space="preserve">a causa </w:t>
      </w:r>
      <w:r w:rsidR="007F3F0C" w:rsidRPr="00FD4A49">
        <w:rPr>
          <w:rFonts w:ascii="Times New Roman" w:hAnsi="Times New Roman" w:cs="Times New Roman"/>
          <w:sz w:val="24"/>
          <w:szCs w:val="24"/>
        </w:rPr>
        <w:t>de que el proceso de ejecución presupuestaria presenta una substancial brecha entre la realización del compromiso, devengado y pagado. Se espera que est</w:t>
      </w:r>
      <w:r w:rsidR="002D4DDD" w:rsidRPr="00FD4A49">
        <w:rPr>
          <w:rFonts w:ascii="Times New Roman" w:hAnsi="Times New Roman" w:cs="Times New Roman"/>
          <w:sz w:val="24"/>
          <w:szCs w:val="24"/>
        </w:rPr>
        <w:t>e beneficio empiece</w:t>
      </w:r>
      <w:r w:rsidR="007F3F0C" w:rsidRPr="00FD4A49">
        <w:rPr>
          <w:rFonts w:ascii="Times New Roman" w:hAnsi="Times New Roman" w:cs="Times New Roman"/>
          <w:sz w:val="24"/>
          <w:szCs w:val="24"/>
        </w:rPr>
        <w:t xml:space="preserve"> a ocurrir a partir del año 2013.</w:t>
      </w:r>
    </w:p>
    <w:p w:rsidR="00C648DC" w:rsidRPr="004E4768" w:rsidRDefault="004E4768" w:rsidP="004E4768">
      <w:pPr>
        <w:spacing w:before="960" w:after="120"/>
        <w:jc w:val="both"/>
        <w:rPr>
          <w:rFonts w:ascii="Times New Roman" w:hAnsi="Times New Roman" w:cs="Times New Roman"/>
          <w:b/>
          <w:smallCaps/>
          <w:sz w:val="24"/>
          <w:szCs w:val="24"/>
        </w:rPr>
      </w:pPr>
      <w:r w:rsidRPr="004E4768">
        <w:rPr>
          <w:rFonts w:ascii="Times New Roman" w:hAnsi="Times New Roman" w:cs="Times New Roman"/>
          <w:b/>
          <w:smallCaps/>
          <w:sz w:val="24"/>
          <w:szCs w:val="24"/>
        </w:rPr>
        <w:t>C.</w:t>
      </w:r>
      <w:r w:rsidRPr="004E4768">
        <w:rPr>
          <w:rFonts w:ascii="Times New Roman" w:hAnsi="Times New Roman" w:cs="Times New Roman"/>
          <w:b/>
          <w:smallCaps/>
          <w:sz w:val="24"/>
          <w:szCs w:val="24"/>
        </w:rPr>
        <w:tab/>
      </w:r>
      <w:r w:rsidR="00A16736" w:rsidRPr="004E4768">
        <w:rPr>
          <w:rFonts w:ascii="Times New Roman" w:hAnsi="Times New Roman" w:cs="Times New Roman"/>
          <w:b/>
          <w:smallCaps/>
          <w:sz w:val="24"/>
          <w:szCs w:val="24"/>
        </w:rPr>
        <w:t>Alternativa</w:t>
      </w:r>
      <w:r w:rsidR="00EB7D6D" w:rsidRPr="004E4768">
        <w:rPr>
          <w:rFonts w:ascii="Times New Roman" w:hAnsi="Times New Roman" w:cs="Times New Roman"/>
          <w:b/>
          <w:smallCaps/>
          <w:sz w:val="24"/>
          <w:szCs w:val="24"/>
        </w:rPr>
        <w:t>s</w:t>
      </w:r>
      <w:r w:rsidR="00A16736" w:rsidRPr="004E4768">
        <w:rPr>
          <w:rFonts w:ascii="Times New Roman" w:hAnsi="Times New Roman" w:cs="Times New Roman"/>
          <w:b/>
          <w:smallCaps/>
          <w:sz w:val="24"/>
          <w:szCs w:val="24"/>
        </w:rPr>
        <w:t xml:space="preserve"> </w:t>
      </w:r>
      <w:r w:rsidR="003017DF" w:rsidRPr="004E4768">
        <w:rPr>
          <w:rFonts w:ascii="Times New Roman" w:hAnsi="Times New Roman" w:cs="Times New Roman"/>
          <w:b/>
          <w:smallCaps/>
          <w:sz w:val="24"/>
          <w:szCs w:val="24"/>
        </w:rPr>
        <w:t>(En ausencia del proyecto)</w:t>
      </w:r>
    </w:p>
    <w:p w:rsidR="002B70A4" w:rsidRPr="004E4768" w:rsidRDefault="00346DC5" w:rsidP="004E4768">
      <w:pPr>
        <w:spacing w:before="120" w:after="120"/>
        <w:ind w:left="720" w:hanging="720"/>
        <w:jc w:val="both"/>
        <w:rPr>
          <w:rFonts w:ascii="Times New Roman" w:hAnsi="Times New Roman" w:cs="Times New Roman"/>
          <w:sz w:val="24"/>
          <w:szCs w:val="24"/>
        </w:rPr>
      </w:pPr>
      <w:r w:rsidRPr="004E4768">
        <w:rPr>
          <w:rFonts w:ascii="Times New Roman" w:hAnsi="Times New Roman" w:cs="Times New Roman"/>
          <w:sz w:val="24"/>
          <w:szCs w:val="24"/>
        </w:rPr>
        <w:t>2.27</w:t>
      </w:r>
      <w:r w:rsidRPr="004E4768">
        <w:rPr>
          <w:rFonts w:ascii="Times New Roman" w:hAnsi="Times New Roman" w:cs="Times New Roman"/>
          <w:b/>
          <w:sz w:val="24"/>
          <w:szCs w:val="24"/>
        </w:rPr>
        <w:tab/>
      </w:r>
      <w:r w:rsidR="00EB7D6D" w:rsidRPr="004E4768">
        <w:rPr>
          <w:rFonts w:ascii="Times New Roman" w:hAnsi="Times New Roman" w:cs="Times New Roman"/>
          <w:b/>
          <w:sz w:val="24"/>
          <w:szCs w:val="24"/>
        </w:rPr>
        <w:t>Alternativa 1</w:t>
      </w:r>
      <w:r w:rsidR="00EB7D6D" w:rsidRPr="004E4768">
        <w:rPr>
          <w:rFonts w:ascii="Times New Roman" w:hAnsi="Times New Roman" w:cs="Times New Roman"/>
          <w:sz w:val="24"/>
          <w:szCs w:val="24"/>
        </w:rPr>
        <w:t xml:space="preserve">. </w:t>
      </w:r>
      <w:r w:rsidR="00F53C06" w:rsidRPr="004E4768">
        <w:rPr>
          <w:rFonts w:ascii="Times New Roman" w:hAnsi="Times New Roman" w:cs="Times New Roman"/>
          <w:sz w:val="24"/>
          <w:szCs w:val="24"/>
        </w:rPr>
        <w:t>En caso de la</w:t>
      </w:r>
      <w:r w:rsidR="0031314D" w:rsidRPr="004E4768">
        <w:rPr>
          <w:rFonts w:ascii="Times New Roman" w:hAnsi="Times New Roman" w:cs="Times New Roman"/>
          <w:sz w:val="24"/>
          <w:szCs w:val="24"/>
        </w:rPr>
        <w:t xml:space="preserve"> no ocurrencia del aumento de la recaudación a través de la recuperación de</w:t>
      </w:r>
      <w:r w:rsidR="00F53C06" w:rsidRPr="004E4768">
        <w:rPr>
          <w:rFonts w:ascii="Times New Roman" w:hAnsi="Times New Roman" w:cs="Times New Roman"/>
          <w:sz w:val="24"/>
          <w:szCs w:val="24"/>
        </w:rPr>
        <w:t xml:space="preserve"> la</w:t>
      </w:r>
      <w:r w:rsidR="0031314D" w:rsidRPr="004E4768">
        <w:rPr>
          <w:rFonts w:ascii="Times New Roman" w:hAnsi="Times New Roman" w:cs="Times New Roman"/>
          <w:sz w:val="24"/>
          <w:szCs w:val="24"/>
        </w:rPr>
        <w:t xml:space="preserve"> evasión proveniente del ITBMS, </w:t>
      </w:r>
      <w:r w:rsidR="0031314D" w:rsidRPr="004E4768">
        <w:rPr>
          <w:rFonts w:ascii="Times New Roman" w:hAnsi="Times New Roman" w:cs="Times New Roman"/>
          <w:i/>
          <w:sz w:val="24"/>
          <w:szCs w:val="24"/>
        </w:rPr>
        <w:t xml:space="preserve">la alternativa </w:t>
      </w:r>
      <w:r w:rsidR="00F53C06" w:rsidRPr="004E4768">
        <w:rPr>
          <w:rFonts w:ascii="Times New Roman" w:hAnsi="Times New Roman" w:cs="Times New Roman"/>
          <w:i/>
          <w:sz w:val="24"/>
          <w:szCs w:val="24"/>
        </w:rPr>
        <w:t>sería</w:t>
      </w:r>
      <w:r w:rsidR="0031314D" w:rsidRPr="004E4768">
        <w:rPr>
          <w:rFonts w:ascii="Times New Roman" w:hAnsi="Times New Roman" w:cs="Times New Roman"/>
          <w:i/>
          <w:sz w:val="24"/>
          <w:szCs w:val="24"/>
        </w:rPr>
        <w:t xml:space="preserve"> la d</w:t>
      </w:r>
      <w:r w:rsidR="00F53C06" w:rsidRPr="004E4768">
        <w:rPr>
          <w:rFonts w:ascii="Times New Roman" w:hAnsi="Times New Roman" w:cs="Times New Roman"/>
          <w:i/>
          <w:sz w:val="24"/>
          <w:szCs w:val="24"/>
        </w:rPr>
        <w:t>isminución del gasto tributario</w:t>
      </w:r>
      <w:r w:rsidR="00A16736" w:rsidRPr="004E4768">
        <w:rPr>
          <w:rFonts w:ascii="Times New Roman" w:hAnsi="Times New Roman" w:cs="Times New Roman"/>
          <w:i/>
          <w:sz w:val="24"/>
          <w:szCs w:val="24"/>
        </w:rPr>
        <w:t xml:space="preserve"> proveniente del ITBMS</w:t>
      </w:r>
      <w:r w:rsidR="0031314D" w:rsidRPr="004E4768">
        <w:rPr>
          <w:rFonts w:ascii="Times New Roman" w:hAnsi="Times New Roman" w:cs="Times New Roman"/>
          <w:sz w:val="24"/>
          <w:szCs w:val="24"/>
        </w:rPr>
        <w:t>.</w:t>
      </w:r>
    </w:p>
    <w:p w:rsidR="00A16736" w:rsidRPr="004E4768" w:rsidRDefault="00A16736" w:rsidP="004E4768">
      <w:pPr>
        <w:pStyle w:val="Paragraph"/>
        <w:numPr>
          <w:ilvl w:val="0"/>
          <w:numId w:val="0"/>
        </w:numPr>
        <w:jc w:val="center"/>
        <w:rPr>
          <w:b/>
          <w:sz w:val="20"/>
        </w:rPr>
      </w:pPr>
      <w:r w:rsidRPr="004E4768">
        <w:rPr>
          <w:b/>
          <w:color w:val="000000" w:themeColor="text1"/>
          <w:sz w:val="20"/>
        </w:rPr>
        <w:t xml:space="preserve">Cuadro </w:t>
      </w:r>
      <w:r w:rsidR="00B433C7" w:rsidRPr="004E4768">
        <w:rPr>
          <w:b/>
          <w:color w:val="000000" w:themeColor="text1"/>
          <w:sz w:val="20"/>
        </w:rPr>
        <w:t>10</w:t>
      </w:r>
      <w:r w:rsidR="004E4768">
        <w:rPr>
          <w:b/>
          <w:color w:val="000000" w:themeColor="text1"/>
          <w:sz w:val="20"/>
        </w:rPr>
        <w:t xml:space="preserve">. </w:t>
      </w:r>
      <w:r w:rsidRPr="004E4768">
        <w:rPr>
          <w:b/>
          <w:sz w:val="20"/>
        </w:rPr>
        <w:t>Estimación de la base del Gasto Tributario en el ITBMS</w:t>
      </w:r>
    </w:p>
    <w:p w:rsidR="00A16736" w:rsidRPr="005C5B91" w:rsidRDefault="00A16736" w:rsidP="004E4768">
      <w:pPr>
        <w:pStyle w:val="ListParagraph"/>
        <w:spacing w:after="240"/>
        <w:ind w:left="0"/>
        <w:jc w:val="both"/>
        <w:rPr>
          <w:rFonts w:ascii="Times New Roman" w:hAnsi="Times New Roman" w:cs="Times New Roman"/>
          <w:sz w:val="23"/>
          <w:szCs w:val="23"/>
        </w:rPr>
      </w:pPr>
      <w:r w:rsidRPr="005C5B91">
        <w:rPr>
          <w:lang w:eastAsia="es-ES"/>
        </w:rPr>
        <w:drawing>
          <wp:inline distT="0" distB="0" distL="0" distR="0">
            <wp:extent cx="5391150" cy="2781300"/>
            <wp:effectExtent l="95250" t="95250" r="95250" b="9525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391150" cy="2781300"/>
                    </a:xfrm>
                    <a:prstGeom prst="rect">
                      <a:avLst/>
                    </a:prstGeom>
                    <a:ln w="88900" cap="sq" cmpd="thickThin">
                      <a:solidFill>
                        <a:schemeClr val="accent1"/>
                      </a:solidFill>
                      <a:prstDash val="solid"/>
                      <a:miter lim="800000"/>
                    </a:ln>
                    <a:effectLst>
                      <a:innerShdw blurRad="76200">
                        <a:srgbClr val="000000"/>
                      </a:innerShdw>
                    </a:effectLst>
                  </pic:spPr>
                </pic:pic>
              </a:graphicData>
            </a:graphic>
          </wp:inline>
        </w:drawing>
      </w:r>
    </w:p>
    <w:p w:rsidR="00FB570F" w:rsidRPr="005C5B91" w:rsidRDefault="00116430" w:rsidP="004E4768">
      <w:pPr>
        <w:pStyle w:val="Default"/>
        <w:spacing w:before="120" w:after="120" w:line="276" w:lineRule="auto"/>
        <w:ind w:left="720" w:hanging="720"/>
        <w:jc w:val="both"/>
        <w:rPr>
          <w:noProof/>
          <w:lang w:val="es-ES"/>
        </w:rPr>
      </w:pPr>
      <w:r w:rsidRPr="005C5B91">
        <w:rPr>
          <w:noProof/>
          <w:lang w:val="es-ES"/>
        </w:rPr>
        <w:t>2.28</w:t>
      </w:r>
      <w:r w:rsidRPr="005C5B91">
        <w:rPr>
          <w:noProof/>
          <w:lang w:val="es-ES"/>
        </w:rPr>
        <w:tab/>
      </w:r>
      <w:r w:rsidR="00FB570F" w:rsidRPr="005C5B91">
        <w:rPr>
          <w:noProof/>
          <w:lang w:val="es-ES"/>
        </w:rPr>
        <w:t>A dicha base se le aplicó la tasa correspondiente (5%) y se obtuvo el gasto tributario neto del ITBMS. Por otra parte, con el propósito de desagregar entre los gastos tributarios correspondientes al ITBMS con motivo de las importaciones y del consumo doméstico de bienes y servicios, se calcularon los gastos tributarios correspondientes al ITBMS Importación -estimados en base a la relación existente entre el ITBMS exonerado y los DAI exonerados para el promedio de los años 2007-2008 según información de la Aduana- y se sustrajeron los mismos del Gasto Tributario Total, obteniendo así los correspondientes al ITBMS doméstico (</w:t>
      </w:r>
      <w:fldSimple w:instr=" REF _Ref227491039 \h  \* MERGEFORMAT ">
        <w:r w:rsidR="00D454BC" w:rsidRPr="00D454BC">
          <w:rPr>
            <w:bCs/>
            <w:noProof/>
            <w:lang w:val="es-ES"/>
          </w:rPr>
          <w:t xml:space="preserve">Cuadro </w:t>
        </w:r>
      </w:fldSimple>
      <w:r w:rsidR="00B433C7" w:rsidRPr="005C5B91">
        <w:rPr>
          <w:noProof/>
          <w:lang w:val="es-ES"/>
        </w:rPr>
        <w:t>11</w:t>
      </w:r>
      <w:r w:rsidR="00FB570F" w:rsidRPr="005C5B91">
        <w:rPr>
          <w:noProof/>
          <w:lang w:val="es-ES"/>
        </w:rPr>
        <w:t>).</w:t>
      </w:r>
    </w:p>
    <w:p w:rsidR="00391EB5" w:rsidRPr="005C5B91" w:rsidRDefault="00116430" w:rsidP="004E4768">
      <w:pPr>
        <w:pStyle w:val="Default"/>
        <w:spacing w:before="120" w:after="120" w:line="276" w:lineRule="auto"/>
        <w:ind w:left="720" w:hanging="720"/>
        <w:jc w:val="both"/>
        <w:rPr>
          <w:noProof/>
          <w:lang w:val="es-ES"/>
        </w:rPr>
      </w:pPr>
      <w:r w:rsidRPr="005C5B91">
        <w:rPr>
          <w:noProof/>
          <w:lang w:val="es-ES"/>
        </w:rPr>
        <w:t>2.29</w:t>
      </w:r>
      <w:r w:rsidRPr="005C5B91">
        <w:rPr>
          <w:noProof/>
          <w:lang w:val="es-ES"/>
        </w:rPr>
        <w:tab/>
      </w:r>
      <w:r w:rsidR="00FB570F" w:rsidRPr="005C5B91">
        <w:rPr>
          <w:noProof/>
          <w:lang w:val="es-ES"/>
        </w:rPr>
        <w:t>Por último se relacionaron los resultados con el PIB y con la recaudación efectiva del ITBMS, arrojando resultados para el 2008 de 0,87% del PIB y 37,75% de la recaudación del ITBMS</w:t>
      </w:r>
      <w:r w:rsidR="00F35D9E" w:rsidRPr="005C5B91">
        <w:rPr>
          <w:noProof/>
          <w:lang w:val="es-ES"/>
        </w:rPr>
        <w:t>.</w:t>
      </w:r>
    </w:p>
    <w:p w:rsidR="00F35D9E" w:rsidRPr="004E4768" w:rsidRDefault="00F35D9E" w:rsidP="004E4768">
      <w:pPr>
        <w:pStyle w:val="Caption"/>
        <w:spacing w:before="2040" w:after="120"/>
        <w:jc w:val="center"/>
        <w:rPr>
          <w:b w:val="0"/>
        </w:rPr>
      </w:pPr>
      <w:bookmarkStart w:id="1" w:name="_Ref227491039"/>
      <w:r w:rsidRPr="004E4768">
        <w:rPr>
          <w:bCs w:val="0"/>
        </w:rPr>
        <w:t xml:space="preserve">Cuadro </w:t>
      </w:r>
      <w:bookmarkEnd w:id="1"/>
      <w:r w:rsidR="00B433C7" w:rsidRPr="004E4768">
        <w:rPr>
          <w:bCs w:val="0"/>
        </w:rPr>
        <w:t>11</w:t>
      </w:r>
      <w:r w:rsidR="004E4768">
        <w:rPr>
          <w:bCs w:val="0"/>
        </w:rPr>
        <w:t xml:space="preserve">. </w:t>
      </w:r>
      <w:r w:rsidRPr="004E4768">
        <w:t>Estimación del Gasto Tributario en el ITBMS</w:t>
      </w:r>
    </w:p>
    <w:p w:rsidR="00F35D9E" w:rsidRPr="005C5B91" w:rsidRDefault="00F35D9E" w:rsidP="004E4768">
      <w:pPr>
        <w:pStyle w:val="Default"/>
        <w:spacing w:before="240" w:after="240"/>
        <w:jc w:val="both"/>
        <w:rPr>
          <w:noProof/>
          <w:lang w:val="es-ES"/>
        </w:rPr>
      </w:pPr>
      <w:r w:rsidRPr="005C5B91">
        <w:rPr>
          <w:noProof/>
          <w:lang w:val="es-ES" w:eastAsia="es-ES"/>
        </w:rPr>
        <w:drawing>
          <wp:inline distT="0" distB="0" distL="0" distR="0">
            <wp:extent cx="5391785" cy="2329180"/>
            <wp:effectExtent l="95250" t="95250" r="94615" b="9017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5391785" cy="2329180"/>
                    </a:xfrm>
                    <a:prstGeom prst="rect">
                      <a:avLst/>
                    </a:prstGeom>
                    <a:ln w="88900" cap="sq" cmpd="thickThin">
                      <a:solidFill>
                        <a:schemeClr val="accent1"/>
                      </a:solidFill>
                      <a:prstDash val="solid"/>
                      <a:miter lim="800000"/>
                    </a:ln>
                    <a:effectLst>
                      <a:innerShdw blurRad="76200">
                        <a:srgbClr val="000000"/>
                      </a:innerShdw>
                    </a:effectLst>
                  </pic:spPr>
                </pic:pic>
              </a:graphicData>
            </a:graphic>
          </wp:inline>
        </w:drawing>
      </w:r>
    </w:p>
    <w:p w:rsidR="00F35D9E" w:rsidRPr="004E4768" w:rsidRDefault="00116430" w:rsidP="004E4768">
      <w:pPr>
        <w:pStyle w:val="Default"/>
        <w:spacing w:before="120" w:after="120" w:line="276" w:lineRule="auto"/>
        <w:ind w:left="720" w:hanging="720"/>
        <w:jc w:val="both"/>
        <w:rPr>
          <w:noProof/>
          <w:color w:val="auto"/>
          <w:lang w:val="es-ES"/>
        </w:rPr>
      </w:pPr>
      <w:r w:rsidRPr="004E4768">
        <w:rPr>
          <w:noProof/>
          <w:lang w:val="es-ES"/>
        </w:rPr>
        <w:t>2.30</w:t>
      </w:r>
      <w:r w:rsidRPr="004E4768">
        <w:rPr>
          <w:b/>
          <w:noProof/>
          <w:lang w:val="es-ES"/>
        </w:rPr>
        <w:tab/>
      </w:r>
      <w:r w:rsidR="00F35D9E" w:rsidRPr="004E4768">
        <w:rPr>
          <w:b/>
          <w:noProof/>
          <w:lang w:val="es-ES"/>
        </w:rPr>
        <w:t>Alternativa 2</w:t>
      </w:r>
      <w:r w:rsidR="003017DF" w:rsidRPr="004E4768">
        <w:rPr>
          <w:b/>
          <w:noProof/>
          <w:lang w:val="es-ES"/>
        </w:rPr>
        <w:t xml:space="preserve"> (En ausencia del proyecto)</w:t>
      </w:r>
      <w:r w:rsidRPr="004E4768">
        <w:rPr>
          <w:b/>
          <w:noProof/>
          <w:lang w:val="es-ES"/>
        </w:rPr>
        <w:t>.</w:t>
      </w:r>
      <w:r w:rsidRPr="004E4768">
        <w:rPr>
          <w:noProof/>
          <w:lang w:val="es-ES"/>
        </w:rPr>
        <w:t xml:space="preserve">  L</w:t>
      </w:r>
      <w:r w:rsidR="00F35D9E" w:rsidRPr="004E4768">
        <w:rPr>
          <w:noProof/>
          <w:color w:val="auto"/>
          <w:lang w:val="es-ES"/>
        </w:rPr>
        <w:t xml:space="preserve">a alternativa </w:t>
      </w:r>
      <w:r w:rsidR="00657071" w:rsidRPr="004E4768">
        <w:rPr>
          <w:noProof/>
          <w:color w:val="auto"/>
          <w:lang w:val="es-ES"/>
        </w:rPr>
        <w:t>2 considera el riesgo</w:t>
      </w:r>
      <w:r w:rsidR="00F35D9E" w:rsidRPr="004E4768">
        <w:rPr>
          <w:noProof/>
          <w:color w:val="auto"/>
          <w:lang w:val="es-ES"/>
        </w:rPr>
        <w:t xml:space="preserve"> </w:t>
      </w:r>
      <w:r w:rsidR="008D5AD8" w:rsidRPr="004E4768">
        <w:rPr>
          <w:noProof/>
          <w:color w:val="auto"/>
          <w:lang w:val="es-ES"/>
        </w:rPr>
        <w:t xml:space="preserve">de </w:t>
      </w:r>
      <w:r w:rsidR="004E4768">
        <w:rPr>
          <w:noProof/>
          <w:color w:val="auto"/>
          <w:lang w:val="es-ES"/>
        </w:rPr>
        <w:t>que el G</w:t>
      </w:r>
      <w:r w:rsidR="00F35D9E" w:rsidRPr="004E4768">
        <w:rPr>
          <w:noProof/>
          <w:color w:val="auto"/>
          <w:lang w:val="es-ES"/>
        </w:rPr>
        <w:t xml:space="preserve">obierno de Panamá no </w:t>
      </w:r>
      <w:r w:rsidR="003017DF" w:rsidRPr="004E4768">
        <w:rPr>
          <w:noProof/>
          <w:color w:val="auto"/>
          <w:lang w:val="es-ES"/>
        </w:rPr>
        <w:t xml:space="preserve">pueda </w:t>
      </w:r>
      <w:r w:rsidR="00F35D9E" w:rsidRPr="004E4768">
        <w:rPr>
          <w:noProof/>
          <w:color w:val="auto"/>
          <w:lang w:val="es-ES"/>
        </w:rPr>
        <w:t>implementar la cuenta única del tesoro</w:t>
      </w:r>
      <w:r w:rsidR="00657071" w:rsidRPr="004E4768">
        <w:rPr>
          <w:noProof/>
          <w:color w:val="auto"/>
          <w:lang w:val="es-ES"/>
        </w:rPr>
        <w:t>. En este caso, la alternativa</w:t>
      </w:r>
      <w:r w:rsidR="00F35D9E" w:rsidRPr="004E4768">
        <w:rPr>
          <w:noProof/>
          <w:color w:val="auto"/>
          <w:lang w:val="es-ES"/>
        </w:rPr>
        <w:t xml:space="preserve"> </w:t>
      </w:r>
      <w:r w:rsidR="00657071" w:rsidRPr="004E4768">
        <w:rPr>
          <w:noProof/>
          <w:color w:val="auto"/>
          <w:lang w:val="es-ES"/>
        </w:rPr>
        <w:t>sería</w:t>
      </w:r>
      <w:r w:rsidR="008D5AD8" w:rsidRPr="004E4768">
        <w:rPr>
          <w:noProof/>
          <w:color w:val="auto"/>
          <w:lang w:val="es-ES"/>
        </w:rPr>
        <w:t xml:space="preserve"> </w:t>
      </w:r>
      <w:r w:rsidR="00657071" w:rsidRPr="004E4768">
        <w:rPr>
          <w:noProof/>
          <w:color w:val="auto"/>
          <w:lang w:val="es-ES"/>
        </w:rPr>
        <w:t>fortalecer</w:t>
      </w:r>
      <w:r w:rsidR="008D5AD8" w:rsidRPr="004E4768">
        <w:rPr>
          <w:noProof/>
          <w:color w:val="auto"/>
          <w:lang w:val="es-ES"/>
        </w:rPr>
        <w:t xml:space="preserve"> los procedimientos </w:t>
      </w:r>
      <w:r w:rsidR="00F53C06" w:rsidRPr="004E4768">
        <w:rPr>
          <w:noProof/>
          <w:color w:val="auto"/>
          <w:lang w:val="es-ES"/>
        </w:rPr>
        <w:t>de</w:t>
      </w:r>
      <w:r w:rsidR="003017DF" w:rsidRPr="004E4768">
        <w:rPr>
          <w:noProof/>
          <w:color w:val="auto"/>
          <w:lang w:val="es-ES"/>
        </w:rPr>
        <w:t xml:space="preserve"> los pagos a los proveedores.</w:t>
      </w:r>
    </w:p>
    <w:p w:rsidR="008D5AD8" w:rsidRPr="004E4768" w:rsidRDefault="00116430" w:rsidP="004E4768">
      <w:pPr>
        <w:pStyle w:val="Default"/>
        <w:spacing w:before="120" w:after="120" w:line="276" w:lineRule="auto"/>
        <w:ind w:left="720" w:hanging="720"/>
        <w:jc w:val="both"/>
        <w:rPr>
          <w:noProof/>
          <w:color w:val="auto"/>
          <w:lang w:val="es-ES"/>
        </w:rPr>
      </w:pPr>
      <w:r w:rsidRPr="004E4768">
        <w:rPr>
          <w:noProof/>
          <w:color w:val="auto"/>
          <w:lang w:val="es-ES"/>
        </w:rPr>
        <w:t>2.31</w:t>
      </w:r>
      <w:r w:rsidRPr="004E4768">
        <w:rPr>
          <w:noProof/>
          <w:color w:val="auto"/>
          <w:lang w:val="es-ES"/>
        </w:rPr>
        <w:tab/>
      </w:r>
      <w:r w:rsidR="00657071" w:rsidRPr="004E4768">
        <w:rPr>
          <w:noProof/>
          <w:color w:val="auto"/>
          <w:lang w:val="es-ES"/>
        </w:rPr>
        <w:t>En este caso, n</w:t>
      </w:r>
      <w:r w:rsidR="008D5AD8" w:rsidRPr="004E4768">
        <w:rPr>
          <w:noProof/>
          <w:color w:val="auto"/>
          <w:lang w:val="es-ES"/>
        </w:rPr>
        <w:t>o se eliminarían las cuentas de las unidades ejecutoras de gasto</w:t>
      </w:r>
      <w:r w:rsidR="00F53C06" w:rsidRPr="004E4768">
        <w:rPr>
          <w:noProof/>
          <w:color w:val="auto"/>
          <w:lang w:val="es-ES"/>
        </w:rPr>
        <w:t xml:space="preserve"> en la banca comercial</w:t>
      </w:r>
      <w:r w:rsidRPr="004E4768">
        <w:rPr>
          <w:noProof/>
          <w:color w:val="auto"/>
          <w:lang w:val="es-ES"/>
        </w:rPr>
        <w:t xml:space="preserve">. Sin embargo, </w:t>
      </w:r>
      <w:r w:rsidR="008D5AD8" w:rsidRPr="004E4768">
        <w:rPr>
          <w:noProof/>
          <w:color w:val="auto"/>
          <w:lang w:val="es-ES"/>
        </w:rPr>
        <w:t xml:space="preserve">solamente se harían </w:t>
      </w:r>
      <w:r w:rsidR="00F13FAF" w:rsidRPr="004E4768">
        <w:rPr>
          <w:noProof/>
          <w:color w:val="auto"/>
          <w:lang w:val="es-ES"/>
        </w:rPr>
        <w:t xml:space="preserve">transferencias a estas cuentas </w:t>
      </w:r>
      <w:r w:rsidR="008D5AD8" w:rsidRPr="004E4768">
        <w:rPr>
          <w:noProof/>
          <w:color w:val="auto"/>
          <w:lang w:val="es-ES"/>
        </w:rPr>
        <w:t xml:space="preserve">cuando las etapas </w:t>
      </w:r>
      <w:r w:rsidR="00F13FAF" w:rsidRPr="004E4768">
        <w:rPr>
          <w:noProof/>
          <w:color w:val="auto"/>
          <w:lang w:val="es-ES"/>
        </w:rPr>
        <w:t>de compromiso y devengado hayan</w:t>
      </w:r>
      <w:r w:rsidR="008D5AD8" w:rsidRPr="004E4768">
        <w:rPr>
          <w:noProof/>
          <w:color w:val="auto"/>
          <w:lang w:val="es-ES"/>
        </w:rPr>
        <w:t xml:space="preserve"> sido cumplidas</w:t>
      </w:r>
      <w:r w:rsidR="002B08D3" w:rsidRPr="004E4768">
        <w:rPr>
          <w:noProof/>
          <w:color w:val="auto"/>
          <w:lang w:val="es-ES"/>
        </w:rPr>
        <w:t xml:space="preserve">, diferente de la forma </w:t>
      </w:r>
      <w:r w:rsidRPr="004E4768">
        <w:rPr>
          <w:noProof/>
          <w:color w:val="auto"/>
          <w:lang w:val="es-ES"/>
        </w:rPr>
        <w:t xml:space="preserve">en que se </w:t>
      </w:r>
      <w:r w:rsidR="002B08D3" w:rsidRPr="004E4768">
        <w:rPr>
          <w:noProof/>
          <w:color w:val="auto"/>
          <w:lang w:val="es-ES"/>
        </w:rPr>
        <w:t>realiza actualmente</w:t>
      </w:r>
      <w:r w:rsidRPr="004E4768">
        <w:rPr>
          <w:noProof/>
          <w:color w:val="auto"/>
          <w:lang w:val="es-ES"/>
        </w:rPr>
        <w:t>,</w:t>
      </w:r>
      <w:r w:rsidR="002B08D3" w:rsidRPr="004E4768">
        <w:rPr>
          <w:noProof/>
          <w:color w:val="auto"/>
          <w:lang w:val="es-ES"/>
        </w:rPr>
        <w:t xml:space="preserve"> donde se hacen transferencia</w:t>
      </w:r>
      <w:r w:rsidR="00657071" w:rsidRPr="004E4768">
        <w:rPr>
          <w:noProof/>
          <w:color w:val="auto"/>
          <w:lang w:val="es-ES"/>
        </w:rPr>
        <w:t>s</w:t>
      </w:r>
      <w:r w:rsidR="002B08D3" w:rsidRPr="004E4768">
        <w:rPr>
          <w:noProof/>
          <w:color w:val="auto"/>
          <w:lang w:val="es-ES"/>
        </w:rPr>
        <w:t xml:space="preserve"> con base en la asignación presupuestaria, </w:t>
      </w:r>
      <w:r w:rsidR="00F13FAF" w:rsidRPr="004E4768">
        <w:rPr>
          <w:noProof/>
          <w:color w:val="auto"/>
          <w:lang w:val="es-ES"/>
        </w:rPr>
        <w:t xml:space="preserve">incluso </w:t>
      </w:r>
      <w:r w:rsidR="002B08D3" w:rsidRPr="004E4768">
        <w:rPr>
          <w:noProof/>
          <w:color w:val="auto"/>
          <w:lang w:val="es-ES"/>
        </w:rPr>
        <w:t>antes de la ocurrencia de compromisos y devengados</w:t>
      </w:r>
      <w:r w:rsidR="008D5AD8" w:rsidRPr="004E4768">
        <w:rPr>
          <w:noProof/>
          <w:color w:val="auto"/>
          <w:lang w:val="es-ES"/>
        </w:rPr>
        <w:t xml:space="preserve">. </w:t>
      </w:r>
      <w:r w:rsidRPr="004E4768">
        <w:rPr>
          <w:noProof/>
          <w:color w:val="auto"/>
          <w:lang w:val="es-ES"/>
        </w:rPr>
        <w:t xml:space="preserve"> </w:t>
      </w:r>
      <w:r w:rsidR="008D5AD8" w:rsidRPr="004E4768">
        <w:rPr>
          <w:noProof/>
          <w:color w:val="auto"/>
          <w:lang w:val="es-ES"/>
        </w:rPr>
        <w:t>Este</w:t>
      </w:r>
      <w:r w:rsidR="00657071" w:rsidRPr="004E4768">
        <w:rPr>
          <w:noProof/>
          <w:color w:val="auto"/>
          <w:lang w:val="es-ES"/>
        </w:rPr>
        <w:t xml:space="preserve"> nuevo</w:t>
      </w:r>
      <w:r w:rsidR="008D5AD8" w:rsidRPr="004E4768">
        <w:rPr>
          <w:noProof/>
          <w:color w:val="auto"/>
          <w:lang w:val="es-ES"/>
        </w:rPr>
        <w:t xml:space="preserve"> procedimiento</w:t>
      </w:r>
      <w:r w:rsidR="00F13FAF" w:rsidRPr="004E4768">
        <w:rPr>
          <w:noProof/>
          <w:color w:val="auto"/>
          <w:lang w:val="es-ES"/>
        </w:rPr>
        <w:t xml:space="preserve"> representa un</w:t>
      </w:r>
      <w:r w:rsidR="00CC238A" w:rsidRPr="004E4768">
        <w:rPr>
          <w:noProof/>
          <w:color w:val="auto"/>
          <w:lang w:val="es-ES"/>
        </w:rPr>
        <w:t>a</w:t>
      </w:r>
      <w:r w:rsidR="00F13FAF" w:rsidRPr="004E4768">
        <w:rPr>
          <w:noProof/>
          <w:color w:val="auto"/>
          <w:lang w:val="es-ES"/>
        </w:rPr>
        <w:t xml:space="preserve"> gan</w:t>
      </w:r>
      <w:r w:rsidR="00CC238A" w:rsidRPr="004E4768">
        <w:rPr>
          <w:noProof/>
          <w:color w:val="auto"/>
          <w:lang w:val="es-ES"/>
        </w:rPr>
        <w:t>ancia</w:t>
      </w:r>
      <w:r w:rsidR="00657071" w:rsidRPr="004E4768">
        <w:rPr>
          <w:noProof/>
          <w:color w:val="auto"/>
          <w:lang w:val="es-ES"/>
        </w:rPr>
        <w:t xml:space="preserve"> </w:t>
      </w:r>
      <w:r w:rsidR="003017DF" w:rsidRPr="004E4768">
        <w:rPr>
          <w:noProof/>
          <w:color w:val="auto"/>
          <w:lang w:val="es-ES"/>
        </w:rPr>
        <w:t xml:space="preserve">significativa </w:t>
      </w:r>
      <w:r w:rsidR="00657071" w:rsidRPr="004E4768">
        <w:rPr>
          <w:noProof/>
          <w:color w:val="auto"/>
          <w:lang w:val="es-ES"/>
        </w:rPr>
        <w:t>en la forma de cómo los re</w:t>
      </w:r>
      <w:r w:rsidR="00F53C06" w:rsidRPr="004E4768">
        <w:rPr>
          <w:noProof/>
          <w:color w:val="auto"/>
          <w:lang w:val="es-ES"/>
        </w:rPr>
        <w:t>cursos financieros son asignados</w:t>
      </w:r>
      <w:r w:rsidR="00657071" w:rsidRPr="004E4768">
        <w:rPr>
          <w:noProof/>
          <w:color w:val="auto"/>
          <w:lang w:val="es-ES"/>
        </w:rPr>
        <w:t>, y mitigar</w:t>
      </w:r>
      <w:r w:rsidR="00CC238A" w:rsidRPr="004E4768">
        <w:rPr>
          <w:noProof/>
          <w:color w:val="auto"/>
          <w:lang w:val="es-ES"/>
        </w:rPr>
        <w:t>ía en un</w:t>
      </w:r>
      <w:r w:rsidR="008D5AD8" w:rsidRPr="004E4768">
        <w:rPr>
          <w:noProof/>
          <w:color w:val="auto"/>
          <w:lang w:val="es-ES"/>
        </w:rPr>
        <w:t xml:space="preserve"> 50% </w:t>
      </w:r>
      <w:r w:rsidR="00657071" w:rsidRPr="004E4768">
        <w:rPr>
          <w:noProof/>
          <w:color w:val="auto"/>
          <w:lang w:val="es-ES"/>
        </w:rPr>
        <w:t>l</w:t>
      </w:r>
      <w:r w:rsidR="008D5AD8" w:rsidRPr="004E4768">
        <w:rPr>
          <w:noProof/>
          <w:color w:val="auto"/>
          <w:lang w:val="es-ES"/>
        </w:rPr>
        <w:t>a</w:t>
      </w:r>
      <w:r w:rsidR="00657071" w:rsidRPr="004E4768">
        <w:rPr>
          <w:noProof/>
          <w:color w:val="auto"/>
          <w:lang w:val="es-ES"/>
        </w:rPr>
        <w:t xml:space="preserve"> forma de cómo </w:t>
      </w:r>
      <w:r w:rsidR="00596E1F" w:rsidRPr="004E4768">
        <w:rPr>
          <w:noProof/>
          <w:color w:val="auto"/>
          <w:lang w:val="es-ES"/>
        </w:rPr>
        <w:t xml:space="preserve">los recursos </w:t>
      </w:r>
      <w:r w:rsidR="00657071" w:rsidRPr="004E4768">
        <w:rPr>
          <w:noProof/>
          <w:color w:val="auto"/>
          <w:lang w:val="es-ES"/>
        </w:rPr>
        <w:t xml:space="preserve">son asignados en la actualidad. </w:t>
      </w:r>
      <w:r w:rsidR="008D5AD8" w:rsidRPr="004E4768">
        <w:rPr>
          <w:noProof/>
          <w:color w:val="auto"/>
          <w:lang w:val="es-ES"/>
        </w:rPr>
        <w:t xml:space="preserve"> </w:t>
      </w:r>
      <w:r w:rsidR="00596E1F" w:rsidRPr="004E4768">
        <w:rPr>
          <w:noProof/>
          <w:color w:val="auto"/>
          <w:lang w:val="es-ES"/>
        </w:rPr>
        <w:t xml:space="preserve">El </w:t>
      </w:r>
      <w:r w:rsidR="008D5AD8" w:rsidRPr="004E4768">
        <w:rPr>
          <w:noProof/>
          <w:color w:val="auto"/>
          <w:lang w:val="es-ES"/>
        </w:rPr>
        <w:t>beneficio financiero</w:t>
      </w:r>
      <w:r w:rsidR="00596E1F" w:rsidRPr="004E4768">
        <w:rPr>
          <w:noProof/>
          <w:color w:val="auto"/>
          <w:lang w:val="es-ES"/>
        </w:rPr>
        <w:t xml:space="preserve"> resultante sería</w:t>
      </w:r>
      <w:r w:rsidR="008D5AD8" w:rsidRPr="004E4768">
        <w:rPr>
          <w:noProof/>
          <w:color w:val="auto"/>
          <w:lang w:val="es-ES"/>
        </w:rPr>
        <w:t xml:space="preserve"> de</w:t>
      </w:r>
      <w:r w:rsidR="00596E1F" w:rsidRPr="004E4768">
        <w:rPr>
          <w:noProof/>
          <w:color w:val="auto"/>
          <w:lang w:val="es-ES"/>
        </w:rPr>
        <w:t>l</w:t>
      </w:r>
      <w:r w:rsidR="008D5AD8" w:rsidRPr="004E4768">
        <w:rPr>
          <w:noProof/>
          <w:color w:val="auto"/>
          <w:lang w:val="es-ES"/>
        </w:rPr>
        <w:t xml:space="preserve"> orden de </w:t>
      </w:r>
      <w:r w:rsidR="002B08D3" w:rsidRPr="004E4768">
        <w:rPr>
          <w:noProof/>
          <w:color w:val="auto"/>
          <w:lang w:val="es-ES"/>
        </w:rPr>
        <w:t xml:space="preserve">unos </w:t>
      </w:r>
      <w:r w:rsidRPr="004E4768">
        <w:rPr>
          <w:noProof/>
          <w:color w:val="auto"/>
          <w:lang w:val="es-ES"/>
        </w:rPr>
        <w:t>US$</w:t>
      </w:r>
      <w:r w:rsidR="003017DF" w:rsidRPr="004E4768">
        <w:rPr>
          <w:noProof/>
          <w:color w:val="auto"/>
          <w:lang w:val="es-ES"/>
        </w:rPr>
        <w:t>7</w:t>
      </w:r>
      <w:r w:rsidRPr="004E4768">
        <w:rPr>
          <w:noProof/>
          <w:color w:val="auto"/>
          <w:lang w:val="es-ES"/>
        </w:rPr>
        <w:t xml:space="preserve"> </w:t>
      </w:r>
      <w:r w:rsidR="002B08D3" w:rsidRPr="004E4768">
        <w:rPr>
          <w:noProof/>
          <w:color w:val="auto"/>
          <w:lang w:val="es-ES"/>
        </w:rPr>
        <w:t>millones</w:t>
      </w:r>
      <w:r w:rsidR="008D5AD8" w:rsidRPr="004E4768">
        <w:rPr>
          <w:noProof/>
          <w:color w:val="auto"/>
          <w:lang w:val="es-ES"/>
        </w:rPr>
        <w:t xml:space="preserve"> al año</w:t>
      </w:r>
      <w:r w:rsidR="00596E1F" w:rsidRPr="004E4768">
        <w:rPr>
          <w:noProof/>
          <w:color w:val="auto"/>
          <w:lang w:val="es-ES"/>
        </w:rPr>
        <w:t xml:space="preserve"> </w:t>
      </w:r>
      <w:r w:rsidRPr="004E4768">
        <w:rPr>
          <w:noProof/>
          <w:color w:val="auto"/>
          <w:lang w:val="es-ES"/>
        </w:rPr>
        <w:t xml:space="preserve">SIN EL PROYECTO, </w:t>
      </w:r>
      <w:r w:rsidR="00596E1F" w:rsidRPr="004E4768">
        <w:rPr>
          <w:noProof/>
          <w:color w:val="auto"/>
          <w:lang w:val="es-ES"/>
        </w:rPr>
        <w:t xml:space="preserve">en lugar de los </w:t>
      </w:r>
      <w:r w:rsidRPr="004E4768">
        <w:rPr>
          <w:noProof/>
          <w:color w:val="auto"/>
          <w:lang w:val="es-ES"/>
        </w:rPr>
        <w:t>US$</w:t>
      </w:r>
      <w:r w:rsidR="003017DF" w:rsidRPr="004E4768">
        <w:rPr>
          <w:noProof/>
          <w:color w:val="auto"/>
          <w:lang w:val="es-ES"/>
        </w:rPr>
        <w:t>14,6</w:t>
      </w:r>
      <w:r w:rsidR="004E55BB" w:rsidRPr="004E4768">
        <w:rPr>
          <w:noProof/>
          <w:color w:val="auto"/>
          <w:lang w:val="es-ES"/>
        </w:rPr>
        <w:t xml:space="preserve"> mi</w:t>
      </w:r>
      <w:r w:rsidR="00596E1F" w:rsidRPr="004E4768">
        <w:rPr>
          <w:noProof/>
          <w:color w:val="auto"/>
          <w:lang w:val="es-ES"/>
        </w:rPr>
        <w:t>llones que generaría la implantación de la cuenta única</w:t>
      </w:r>
      <w:r w:rsidR="004E55BB" w:rsidRPr="004E4768">
        <w:rPr>
          <w:noProof/>
          <w:color w:val="auto"/>
          <w:lang w:val="es-ES"/>
        </w:rPr>
        <w:t xml:space="preserve"> CON EL PROYECTO</w:t>
      </w:r>
      <w:r w:rsidR="00596E1F" w:rsidRPr="004E4768">
        <w:rPr>
          <w:noProof/>
          <w:color w:val="auto"/>
          <w:lang w:val="es-ES"/>
        </w:rPr>
        <w:t>.</w:t>
      </w:r>
    </w:p>
    <w:p w:rsidR="00116430" w:rsidRPr="004E4768" w:rsidRDefault="00116430" w:rsidP="004E4768">
      <w:pPr>
        <w:pStyle w:val="Default"/>
        <w:spacing w:before="240" w:after="240" w:line="276" w:lineRule="auto"/>
        <w:jc w:val="center"/>
        <w:rPr>
          <w:b/>
          <w:smallCaps/>
          <w:noProof/>
          <w:lang w:val="es-ES"/>
        </w:rPr>
      </w:pPr>
      <w:r w:rsidRPr="004E4768">
        <w:rPr>
          <w:b/>
          <w:smallCaps/>
          <w:noProof/>
          <w:color w:val="auto"/>
          <w:lang w:val="es-ES"/>
        </w:rPr>
        <w:t>II</w:t>
      </w:r>
      <w:r w:rsidR="004E4768">
        <w:rPr>
          <w:b/>
          <w:smallCaps/>
          <w:noProof/>
          <w:color w:val="auto"/>
          <w:lang w:val="es-ES"/>
        </w:rPr>
        <w:t>I.</w:t>
      </w:r>
      <w:r w:rsidR="004E4768">
        <w:rPr>
          <w:b/>
          <w:smallCaps/>
          <w:noProof/>
          <w:color w:val="auto"/>
          <w:lang w:val="es-ES"/>
        </w:rPr>
        <w:tab/>
      </w:r>
      <w:r w:rsidRPr="004E4768">
        <w:rPr>
          <w:b/>
          <w:smallCaps/>
          <w:noProof/>
          <w:color w:val="auto"/>
          <w:lang w:val="es-ES"/>
        </w:rPr>
        <w:t>Costos Económicos</w:t>
      </w:r>
    </w:p>
    <w:p w:rsidR="00116430" w:rsidRPr="004E4768" w:rsidRDefault="0040144E" w:rsidP="004E4768">
      <w:pPr>
        <w:spacing w:before="120" w:after="120"/>
        <w:ind w:left="720" w:hanging="720"/>
        <w:jc w:val="both"/>
        <w:rPr>
          <w:rFonts w:ascii="Times New Roman" w:hAnsi="Times New Roman" w:cs="Times New Roman"/>
          <w:sz w:val="24"/>
          <w:szCs w:val="24"/>
        </w:rPr>
      </w:pPr>
      <w:r w:rsidRPr="004E4768">
        <w:rPr>
          <w:rFonts w:ascii="Times New Roman" w:hAnsi="Times New Roman" w:cs="Times New Roman"/>
          <w:sz w:val="24"/>
          <w:szCs w:val="24"/>
        </w:rPr>
        <w:t>3.1</w:t>
      </w:r>
      <w:r w:rsidRPr="004E4768">
        <w:rPr>
          <w:rFonts w:ascii="Times New Roman" w:hAnsi="Times New Roman" w:cs="Times New Roman"/>
          <w:sz w:val="24"/>
          <w:szCs w:val="24"/>
        </w:rPr>
        <w:tab/>
        <w:t>Para realizar el cálculo del rendimiento financiero del programa se imputaron los cotos totales del financiamiento del Banco, es decir, US$50 millones en un término de 4 años.  En este monto se contempla la inversión total en la modernización de la AFP que incluye los productos (asesoría técnica, capacitación, equipamiento e infraestructura) para todas las direcciones involucradas del MEF y no solo las de ingresos (DGI) y Tesorería (DGT).</w:t>
      </w:r>
      <w:r w:rsidR="00F73A66" w:rsidRPr="004E4768">
        <w:rPr>
          <w:rFonts w:ascii="Times New Roman" w:hAnsi="Times New Roman" w:cs="Times New Roman"/>
          <w:sz w:val="24"/>
          <w:szCs w:val="24"/>
        </w:rPr>
        <w:t xml:space="preserve"> </w:t>
      </w:r>
      <w:r w:rsidRPr="004E4768">
        <w:rPr>
          <w:rFonts w:ascii="Times New Roman" w:hAnsi="Times New Roman" w:cs="Times New Roman"/>
          <w:sz w:val="24"/>
          <w:szCs w:val="24"/>
        </w:rPr>
        <w:t xml:space="preserve"> Dadas estas proyecciones y teniendo en cuenta un horizonte temporal de </w:t>
      </w:r>
      <w:r w:rsidR="00F73A66" w:rsidRPr="004E4768">
        <w:rPr>
          <w:rFonts w:ascii="Times New Roman" w:hAnsi="Times New Roman" w:cs="Times New Roman"/>
          <w:sz w:val="24"/>
          <w:szCs w:val="24"/>
        </w:rPr>
        <w:t>10</w:t>
      </w:r>
      <w:r w:rsidRPr="004E4768">
        <w:rPr>
          <w:rFonts w:ascii="Times New Roman" w:hAnsi="Times New Roman" w:cs="Times New Roman"/>
          <w:sz w:val="24"/>
          <w:szCs w:val="24"/>
        </w:rPr>
        <w:t xml:space="preserve"> años, el VPN de los costos económicos del programa ascendería a US</w:t>
      </w:r>
      <w:r w:rsidR="00F73A66" w:rsidRPr="004E4768">
        <w:rPr>
          <w:rFonts w:ascii="Times New Roman" w:hAnsi="Times New Roman" w:cs="Times New Roman"/>
          <w:sz w:val="24"/>
          <w:szCs w:val="24"/>
        </w:rPr>
        <w:t>193,5</w:t>
      </w:r>
      <w:r w:rsidRPr="004E4768">
        <w:rPr>
          <w:rFonts w:ascii="Times New Roman" w:hAnsi="Times New Roman" w:cs="Times New Roman"/>
          <w:sz w:val="24"/>
          <w:szCs w:val="24"/>
        </w:rPr>
        <w:t xml:space="preserve"> mil</w:t>
      </w:r>
      <w:r w:rsidR="00F73A66" w:rsidRPr="004E4768">
        <w:rPr>
          <w:rFonts w:ascii="Times New Roman" w:hAnsi="Times New Roman" w:cs="Times New Roman"/>
          <w:sz w:val="24"/>
          <w:szCs w:val="24"/>
        </w:rPr>
        <w:t>l</w:t>
      </w:r>
      <w:r w:rsidRPr="004E4768">
        <w:rPr>
          <w:rFonts w:ascii="Times New Roman" w:hAnsi="Times New Roman" w:cs="Times New Roman"/>
          <w:sz w:val="24"/>
          <w:szCs w:val="24"/>
        </w:rPr>
        <w:t>ones</w:t>
      </w:r>
      <w:r w:rsidR="00F73A66" w:rsidRPr="004E4768">
        <w:rPr>
          <w:rFonts w:ascii="Times New Roman" w:hAnsi="Times New Roman" w:cs="Times New Roman"/>
          <w:sz w:val="24"/>
          <w:szCs w:val="24"/>
        </w:rPr>
        <w:t xml:space="preserve"> y su TIR financiera es de 77% (Ver Anexo).</w:t>
      </w:r>
    </w:p>
    <w:p w:rsidR="0040144E" w:rsidRPr="005C5B91" w:rsidRDefault="0040144E" w:rsidP="004E4768">
      <w:pPr>
        <w:spacing w:before="240" w:after="240"/>
        <w:jc w:val="center"/>
        <w:rPr>
          <w:rFonts w:ascii="Times New Roman Bold" w:hAnsi="Times New Roman Bold" w:cs="Times New Roman"/>
          <w:b/>
          <w:smallCaps/>
          <w:sz w:val="24"/>
          <w:szCs w:val="24"/>
        </w:rPr>
      </w:pPr>
      <w:r w:rsidRPr="005C5B91">
        <w:rPr>
          <w:rFonts w:ascii="Times New Roman Bold" w:hAnsi="Times New Roman Bold" w:cs="Times New Roman"/>
          <w:b/>
          <w:smallCaps/>
          <w:sz w:val="24"/>
          <w:szCs w:val="24"/>
        </w:rPr>
        <w:t>IV.</w:t>
      </w:r>
      <w:r w:rsidR="004E4768">
        <w:rPr>
          <w:rFonts w:ascii="Times New Roman Bold" w:hAnsi="Times New Roman Bold" w:cs="Times New Roman"/>
          <w:b/>
          <w:smallCaps/>
          <w:sz w:val="24"/>
          <w:szCs w:val="24"/>
        </w:rPr>
        <w:tab/>
      </w:r>
      <w:r w:rsidRPr="005C5B91">
        <w:rPr>
          <w:rFonts w:ascii="Times New Roman Bold" w:hAnsi="Times New Roman Bold" w:cs="Times New Roman"/>
          <w:b/>
          <w:smallCaps/>
          <w:sz w:val="24"/>
          <w:szCs w:val="24"/>
        </w:rPr>
        <w:t>Evaluación del Programa y Análisis de Sensibilidad</w:t>
      </w:r>
    </w:p>
    <w:p w:rsidR="00713F6B" w:rsidRPr="004E4768" w:rsidRDefault="00713F6B" w:rsidP="004E4768">
      <w:pPr>
        <w:spacing w:before="120" w:after="120"/>
        <w:ind w:left="720" w:hanging="720"/>
        <w:jc w:val="both"/>
        <w:rPr>
          <w:rFonts w:ascii="Times New Roman" w:hAnsi="Times New Roman" w:cs="Times New Roman"/>
          <w:sz w:val="24"/>
          <w:szCs w:val="24"/>
        </w:rPr>
      </w:pPr>
      <w:r w:rsidRPr="004E4768">
        <w:rPr>
          <w:rFonts w:ascii="Times New Roman" w:hAnsi="Times New Roman" w:cs="Times New Roman"/>
          <w:sz w:val="24"/>
          <w:szCs w:val="24"/>
        </w:rPr>
        <w:t>4.1</w:t>
      </w:r>
      <w:r w:rsidRPr="004E4768">
        <w:rPr>
          <w:rFonts w:ascii="Times New Roman" w:hAnsi="Times New Roman" w:cs="Times New Roman"/>
          <w:sz w:val="24"/>
          <w:szCs w:val="24"/>
        </w:rPr>
        <w:tab/>
        <w:t xml:space="preserve">La evaluación del programa fue realizada, como ya se explicó, mediante una medición de los beneficios financieros de dos actividades principales del programa: reducción de la evasión en el ITBMS y aumento de los ingresos por intereses de recursos líquidos del tesoro. Para evaluar la situación “con </w:t>
      </w:r>
      <w:r w:rsidR="00C711F1" w:rsidRPr="004E4768">
        <w:rPr>
          <w:rFonts w:ascii="Times New Roman" w:hAnsi="Times New Roman" w:cs="Times New Roman"/>
          <w:sz w:val="24"/>
          <w:szCs w:val="24"/>
        </w:rPr>
        <w:t>proyecto” se</w:t>
      </w:r>
      <w:r w:rsidRPr="004E4768">
        <w:rPr>
          <w:rFonts w:ascii="Times New Roman" w:hAnsi="Times New Roman" w:cs="Times New Roman"/>
          <w:sz w:val="24"/>
          <w:szCs w:val="24"/>
        </w:rPr>
        <w:t xml:space="preserve"> usaron como parámetros el Valor Presente Neto (VPN) y la Tasa Interna de Retorno financiera (TIR). La tasa de descuento aplicada a los flujos netos de beneficios fu del 12%, que es la regla normalmente propuesta en la literatura, la utilizada por el SINIP de Panamá y la aplicada por el BID.</w:t>
      </w:r>
    </w:p>
    <w:p w:rsidR="00713F6B" w:rsidRPr="004E4768" w:rsidRDefault="00713F6B" w:rsidP="004E4768">
      <w:pPr>
        <w:spacing w:before="120" w:after="120"/>
        <w:ind w:left="720" w:hanging="720"/>
        <w:jc w:val="both"/>
        <w:rPr>
          <w:rFonts w:ascii="Times New Roman" w:hAnsi="Times New Roman" w:cs="Times New Roman"/>
          <w:sz w:val="24"/>
          <w:szCs w:val="24"/>
        </w:rPr>
      </w:pPr>
      <w:r w:rsidRPr="004E4768">
        <w:rPr>
          <w:rFonts w:ascii="Times New Roman" w:hAnsi="Times New Roman" w:cs="Times New Roman"/>
          <w:sz w:val="24"/>
          <w:szCs w:val="24"/>
        </w:rPr>
        <w:t>4.2</w:t>
      </w:r>
      <w:r w:rsidRPr="004E4768">
        <w:rPr>
          <w:rFonts w:ascii="Times New Roman" w:hAnsi="Times New Roman" w:cs="Times New Roman"/>
          <w:sz w:val="24"/>
          <w:szCs w:val="24"/>
        </w:rPr>
        <w:tab/>
        <w:t xml:space="preserve">El VPN del proyecto es positivo en US$193,5 millones </w:t>
      </w:r>
      <w:r w:rsidR="00C711F1" w:rsidRPr="004E4768">
        <w:rPr>
          <w:rFonts w:ascii="Times New Roman" w:hAnsi="Times New Roman" w:cs="Times New Roman"/>
          <w:sz w:val="24"/>
          <w:szCs w:val="24"/>
        </w:rPr>
        <w:t>utilizando</w:t>
      </w:r>
      <w:r w:rsidRPr="004E4768">
        <w:rPr>
          <w:rFonts w:ascii="Times New Roman" w:hAnsi="Times New Roman" w:cs="Times New Roman"/>
          <w:sz w:val="24"/>
          <w:szCs w:val="24"/>
        </w:rPr>
        <w:t xml:space="preserve"> un horizonte proyectado de 10 años y la TIR se estimó en 77%, valor muy superior al costo de oportunidad asignado a los recursos. Sin embargo, los flujos netos serían negativos en los tres primeros años que consisten en el período de tiempo para ejecutar el programa en el orden de US$42 millones, debido a que en el análisis se imputó en costo total del préstamo de US$50 millones a los beneficios </w:t>
      </w:r>
      <w:r w:rsidR="00C711F1" w:rsidRPr="004E4768">
        <w:rPr>
          <w:rFonts w:ascii="Times New Roman" w:hAnsi="Times New Roman" w:cs="Times New Roman"/>
          <w:sz w:val="24"/>
          <w:szCs w:val="24"/>
        </w:rPr>
        <w:t>asociados</w:t>
      </w:r>
      <w:r w:rsidRPr="004E4768">
        <w:rPr>
          <w:rFonts w:ascii="Times New Roman" w:hAnsi="Times New Roman" w:cs="Times New Roman"/>
          <w:sz w:val="24"/>
          <w:szCs w:val="24"/>
        </w:rPr>
        <w:t xml:space="preserve"> con dos resultados del programa.</w:t>
      </w:r>
    </w:p>
    <w:p w:rsidR="00713F6B" w:rsidRPr="004E4768" w:rsidRDefault="00713F6B" w:rsidP="004E4768">
      <w:pPr>
        <w:spacing w:before="120" w:after="120"/>
        <w:ind w:left="720" w:hanging="720"/>
        <w:jc w:val="both"/>
        <w:rPr>
          <w:rFonts w:ascii="Times New Roman" w:hAnsi="Times New Roman" w:cs="Times New Roman"/>
          <w:sz w:val="24"/>
          <w:szCs w:val="24"/>
        </w:rPr>
      </w:pPr>
      <w:r w:rsidRPr="004E4768">
        <w:rPr>
          <w:rFonts w:ascii="Times New Roman" w:hAnsi="Times New Roman" w:cs="Times New Roman"/>
          <w:sz w:val="24"/>
          <w:szCs w:val="24"/>
        </w:rPr>
        <w:t>4.3</w:t>
      </w:r>
      <w:r w:rsidRPr="004E4768">
        <w:rPr>
          <w:rFonts w:ascii="Times New Roman" w:hAnsi="Times New Roman" w:cs="Times New Roman"/>
          <w:sz w:val="24"/>
          <w:szCs w:val="24"/>
        </w:rPr>
        <w:tab/>
        <w:t>En relación a la sensibilidad del proyecto se consideraron tres opciones: (i) una disminución de 15% en los beneficios netos del programa; (ii) Un aumento de 10% en los costos del programa por posibles retrasos en su ejecución; y (iii) una ocurrencia simultánea de las dos opciones anteriores.</w:t>
      </w:r>
    </w:p>
    <w:p w:rsidR="00713F6B" w:rsidRPr="004E4768" w:rsidRDefault="00713F6B" w:rsidP="004E4768">
      <w:pPr>
        <w:spacing w:before="120" w:after="120"/>
        <w:ind w:left="720" w:hanging="720"/>
        <w:jc w:val="both"/>
        <w:rPr>
          <w:rFonts w:ascii="Times New Roman" w:hAnsi="Times New Roman" w:cs="Times New Roman"/>
          <w:sz w:val="24"/>
          <w:szCs w:val="24"/>
        </w:rPr>
      </w:pPr>
      <w:r w:rsidRPr="004E4768">
        <w:rPr>
          <w:rFonts w:ascii="Times New Roman" w:hAnsi="Times New Roman" w:cs="Times New Roman"/>
          <w:sz w:val="24"/>
          <w:szCs w:val="24"/>
        </w:rPr>
        <w:t>4.4</w:t>
      </w:r>
      <w:r w:rsidRPr="004E4768">
        <w:rPr>
          <w:rFonts w:ascii="Times New Roman" w:hAnsi="Times New Roman" w:cs="Times New Roman"/>
          <w:sz w:val="24"/>
          <w:szCs w:val="24"/>
        </w:rPr>
        <w:tab/>
        <w:t>Los resultados de las simulaciones no modifican la decisión en relación a la viabilidad del programa, ya que para cada escenario el VPN se mantiene positivo y la TIR sigue siendo robusta y con un valor superior al 45%, en el peor de los escenarios. Los resultados del análisis de sensibilidad se resumen en el siguiente cuadro.</w:t>
      </w:r>
    </w:p>
    <w:p w:rsidR="00713F6B" w:rsidRPr="004E4768" w:rsidRDefault="00713F6B" w:rsidP="00CF1BCF">
      <w:pPr>
        <w:spacing w:before="120" w:after="120"/>
        <w:jc w:val="center"/>
        <w:rPr>
          <w:rFonts w:ascii="Times New Roman" w:hAnsi="Times New Roman" w:cs="Times New Roman"/>
          <w:b/>
          <w:sz w:val="20"/>
          <w:szCs w:val="20"/>
        </w:rPr>
      </w:pPr>
      <w:r w:rsidRPr="004E4768">
        <w:rPr>
          <w:rFonts w:ascii="Times New Roman" w:hAnsi="Times New Roman" w:cs="Times New Roman"/>
          <w:b/>
          <w:sz w:val="20"/>
          <w:szCs w:val="20"/>
        </w:rPr>
        <w:t>Cuadro 12</w:t>
      </w:r>
      <w:r w:rsidR="00C711F1" w:rsidRPr="004E4768">
        <w:rPr>
          <w:rFonts w:ascii="Times New Roman" w:hAnsi="Times New Roman" w:cs="Times New Roman"/>
          <w:b/>
          <w:sz w:val="20"/>
          <w:szCs w:val="20"/>
        </w:rPr>
        <w:t xml:space="preserve">. </w:t>
      </w:r>
      <w:r w:rsidRPr="004E4768">
        <w:rPr>
          <w:rFonts w:ascii="Times New Roman" w:hAnsi="Times New Roman" w:cs="Times New Roman"/>
          <w:b/>
          <w:sz w:val="20"/>
          <w:szCs w:val="20"/>
        </w:rPr>
        <w:t>Análisis de Sensibilidad</w:t>
      </w:r>
    </w:p>
    <w:tbl>
      <w:tblPr>
        <w:tblW w:w="8910" w:type="dxa"/>
        <w:tblInd w:w="70" w:type="dxa"/>
        <w:tblCellMar>
          <w:left w:w="70" w:type="dxa"/>
          <w:right w:w="70" w:type="dxa"/>
        </w:tblCellMar>
        <w:tblLook w:val="04A0"/>
      </w:tblPr>
      <w:tblGrid>
        <w:gridCol w:w="1530"/>
        <w:gridCol w:w="1260"/>
        <w:gridCol w:w="2430"/>
        <w:gridCol w:w="1620"/>
        <w:gridCol w:w="2070"/>
      </w:tblGrid>
      <w:tr w:rsidR="00C711F1" w:rsidRPr="005C5B91" w:rsidTr="004E4768">
        <w:trPr>
          <w:trHeight w:val="1215"/>
        </w:trPr>
        <w:tc>
          <w:tcPr>
            <w:tcW w:w="1530" w:type="dxa"/>
            <w:tcBorders>
              <w:top w:val="single" w:sz="12" w:space="0" w:color="auto"/>
              <w:left w:val="single" w:sz="12" w:space="0" w:color="auto"/>
              <w:bottom w:val="single" w:sz="4" w:space="0" w:color="auto"/>
              <w:right w:val="single" w:sz="4" w:space="0" w:color="auto"/>
            </w:tcBorders>
            <w:shd w:val="clear" w:color="000000" w:fill="F2DDDC"/>
            <w:hideMark/>
          </w:tcPr>
          <w:p w:rsidR="00C711F1" w:rsidRPr="00C711F1" w:rsidRDefault="00C711F1" w:rsidP="00CF1BCF">
            <w:pPr>
              <w:spacing w:before="120" w:after="120" w:line="240" w:lineRule="auto"/>
              <w:jc w:val="center"/>
              <w:rPr>
                <w:rFonts w:ascii="Arial" w:eastAsia="Times New Roman" w:hAnsi="Arial" w:cs="Arial"/>
                <w:b/>
                <w:bCs/>
                <w:color w:val="000000"/>
                <w:sz w:val="20"/>
                <w:szCs w:val="20"/>
                <w:lang w:eastAsia="es-ES"/>
              </w:rPr>
            </w:pPr>
            <w:r w:rsidRPr="00C711F1">
              <w:rPr>
                <w:rFonts w:ascii="Arial" w:eastAsia="Times New Roman" w:hAnsi="Arial" w:cs="Arial"/>
                <w:b/>
                <w:bCs/>
                <w:color w:val="000000"/>
                <w:sz w:val="20"/>
                <w:szCs w:val="20"/>
                <w:lang w:eastAsia="es-ES"/>
              </w:rPr>
              <w:t>Indicadores</w:t>
            </w:r>
          </w:p>
        </w:tc>
        <w:tc>
          <w:tcPr>
            <w:tcW w:w="1260" w:type="dxa"/>
            <w:tcBorders>
              <w:top w:val="single" w:sz="12" w:space="0" w:color="auto"/>
              <w:left w:val="nil"/>
              <w:bottom w:val="single" w:sz="4" w:space="0" w:color="auto"/>
              <w:right w:val="single" w:sz="4" w:space="0" w:color="auto"/>
            </w:tcBorders>
            <w:shd w:val="clear" w:color="000000" w:fill="F2DDDC"/>
            <w:hideMark/>
          </w:tcPr>
          <w:p w:rsidR="00C711F1" w:rsidRPr="00C711F1" w:rsidRDefault="00C711F1" w:rsidP="00CF1BCF">
            <w:pPr>
              <w:spacing w:before="120" w:after="120" w:line="240" w:lineRule="auto"/>
              <w:jc w:val="center"/>
              <w:rPr>
                <w:rFonts w:ascii="Arial" w:eastAsia="Times New Roman" w:hAnsi="Arial" w:cs="Arial"/>
                <w:b/>
                <w:bCs/>
                <w:color w:val="000000"/>
                <w:sz w:val="20"/>
                <w:szCs w:val="20"/>
                <w:lang w:eastAsia="es-ES"/>
              </w:rPr>
            </w:pPr>
            <w:r w:rsidRPr="00C711F1">
              <w:rPr>
                <w:rFonts w:ascii="Arial" w:eastAsia="Times New Roman" w:hAnsi="Arial" w:cs="Arial"/>
                <w:b/>
                <w:bCs/>
                <w:color w:val="000000"/>
                <w:sz w:val="20"/>
                <w:szCs w:val="20"/>
                <w:lang w:eastAsia="es-ES"/>
              </w:rPr>
              <w:t>Escenario Base</w:t>
            </w:r>
          </w:p>
        </w:tc>
        <w:tc>
          <w:tcPr>
            <w:tcW w:w="2430" w:type="dxa"/>
            <w:tcBorders>
              <w:top w:val="single" w:sz="12" w:space="0" w:color="auto"/>
              <w:left w:val="nil"/>
              <w:bottom w:val="single" w:sz="4" w:space="0" w:color="auto"/>
              <w:right w:val="single" w:sz="4" w:space="0" w:color="auto"/>
            </w:tcBorders>
            <w:shd w:val="clear" w:color="000000" w:fill="F2DDDC"/>
            <w:hideMark/>
          </w:tcPr>
          <w:p w:rsidR="00C711F1" w:rsidRPr="00C711F1" w:rsidRDefault="00C711F1" w:rsidP="00CF1BCF">
            <w:pPr>
              <w:spacing w:before="120" w:after="120" w:line="240" w:lineRule="auto"/>
              <w:jc w:val="center"/>
              <w:rPr>
                <w:rFonts w:ascii="Arial" w:eastAsia="Times New Roman" w:hAnsi="Arial" w:cs="Arial"/>
                <w:b/>
                <w:bCs/>
                <w:color w:val="000000"/>
                <w:sz w:val="20"/>
                <w:szCs w:val="20"/>
                <w:lang w:eastAsia="es-ES"/>
              </w:rPr>
            </w:pPr>
            <w:r w:rsidRPr="00C711F1">
              <w:rPr>
                <w:rFonts w:ascii="Arial" w:eastAsia="Times New Roman" w:hAnsi="Arial" w:cs="Arial"/>
                <w:b/>
                <w:bCs/>
                <w:color w:val="000000"/>
                <w:sz w:val="20"/>
                <w:szCs w:val="20"/>
                <w:lang w:eastAsia="es-ES"/>
              </w:rPr>
              <w:t>Escenario 1: Disminuyen los Beneficios en 15%</w:t>
            </w:r>
          </w:p>
        </w:tc>
        <w:tc>
          <w:tcPr>
            <w:tcW w:w="1620" w:type="dxa"/>
            <w:tcBorders>
              <w:top w:val="single" w:sz="12" w:space="0" w:color="auto"/>
              <w:left w:val="nil"/>
              <w:bottom w:val="single" w:sz="4" w:space="0" w:color="auto"/>
              <w:right w:val="single" w:sz="4" w:space="0" w:color="auto"/>
            </w:tcBorders>
            <w:shd w:val="clear" w:color="000000" w:fill="F2DDDC"/>
            <w:hideMark/>
          </w:tcPr>
          <w:p w:rsidR="00C711F1" w:rsidRPr="00C711F1" w:rsidRDefault="00C711F1" w:rsidP="00CF1BCF">
            <w:pPr>
              <w:spacing w:before="120" w:after="120" w:line="240" w:lineRule="auto"/>
              <w:jc w:val="center"/>
              <w:rPr>
                <w:rFonts w:ascii="Arial" w:eastAsia="Times New Roman" w:hAnsi="Arial" w:cs="Arial"/>
                <w:b/>
                <w:bCs/>
                <w:color w:val="000000"/>
                <w:sz w:val="20"/>
                <w:szCs w:val="20"/>
                <w:lang w:eastAsia="es-ES"/>
              </w:rPr>
            </w:pPr>
            <w:r w:rsidRPr="00C711F1">
              <w:rPr>
                <w:rFonts w:ascii="Arial" w:eastAsia="Times New Roman" w:hAnsi="Arial" w:cs="Arial"/>
                <w:b/>
                <w:bCs/>
                <w:color w:val="000000"/>
                <w:sz w:val="20"/>
                <w:szCs w:val="20"/>
                <w:lang w:eastAsia="es-ES"/>
              </w:rPr>
              <w:t>Escenario 2: Aumentan los Costos en 10%</w:t>
            </w:r>
          </w:p>
        </w:tc>
        <w:tc>
          <w:tcPr>
            <w:tcW w:w="2070" w:type="dxa"/>
            <w:tcBorders>
              <w:top w:val="single" w:sz="12" w:space="0" w:color="auto"/>
              <w:left w:val="nil"/>
              <w:bottom w:val="single" w:sz="4" w:space="0" w:color="auto"/>
              <w:right w:val="single" w:sz="12" w:space="0" w:color="auto"/>
            </w:tcBorders>
            <w:shd w:val="clear" w:color="000000" w:fill="F2DDDC"/>
            <w:hideMark/>
          </w:tcPr>
          <w:p w:rsidR="00C711F1" w:rsidRPr="00C711F1" w:rsidRDefault="00C711F1" w:rsidP="00CF1BCF">
            <w:pPr>
              <w:spacing w:before="120" w:after="120" w:line="240" w:lineRule="auto"/>
              <w:jc w:val="center"/>
              <w:rPr>
                <w:rFonts w:ascii="Arial" w:eastAsia="Times New Roman" w:hAnsi="Arial" w:cs="Arial"/>
                <w:b/>
                <w:bCs/>
                <w:color w:val="000000"/>
                <w:sz w:val="20"/>
                <w:szCs w:val="20"/>
                <w:lang w:eastAsia="es-ES"/>
              </w:rPr>
            </w:pPr>
            <w:r w:rsidRPr="00C711F1">
              <w:rPr>
                <w:rFonts w:ascii="Arial" w:eastAsia="Times New Roman" w:hAnsi="Arial" w:cs="Arial"/>
                <w:b/>
                <w:bCs/>
                <w:color w:val="000000"/>
                <w:sz w:val="20"/>
                <w:szCs w:val="20"/>
                <w:lang w:eastAsia="es-ES"/>
              </w:rPr>
              <w:t xml:space="preserve">Escenario 3: Disminuyen los Beneficios en 15% y aumentan los Costos en 10%, </w:t>
            </w:r>
            <w:r w:rsidRPr="005C5B91">
              <w:rPr>
                <w:rFonts w:ascii="Arial" w:eastAsia="Times New Roman" w:hAnsi="Arial" w:cs="Arial"/>
                <w:b/>
                <w:bCs/>
                <w:color w:val="000000"/>
                <w:sz w:val="20"/>
                <w:szCs w:val="20"/>
                <w:lang w:eastAsia="es-ES"/>
              </w:rPr>
              <w:t>simultáneamente</w:t>
            </w:r>
          </w:p>
        </w:tc>
      </w:tr>
      <w:tr w:rsidR="00C711F1" w:rsidRPr="00C711F1" w:rsidTr="004E4768">
        <w:trPr>
          <w:trHeight w:val="300"/>
        </w:trPr>
        <w:tc>
          <w:tcPr>
            <w:tcW w:w="1530" w:type="dxa"/>
            <w:tcBorders>
              <w:top w:val="nil"/>
              <w:left w:val="single" w:sz="12" w:space="0" w:color="auto"/>
              <w:bottom w:val="single" w:sz="4" w:space="0" w:color="auto"/>
              <w:right w:val="single" w:sz="4" w:space="0" w:color="auto"/>
            </w:tcBorders>
            <w:shd w:val="clear" w:color="auto" w:fill="auto"/>
            <w:noWrap/>
            <w:vAlign w:val="bottom"/>
            <w:hideMark/>
          </w:tcPr>
          <w:p w:rsidR="00C711F1" w:rsidRPr="00C711F1" w:rsidRDefault="00C711F1" w:rsidP="00CF1BCF">
            <w:pPr>
              <w:spacing w:after="0" w:line="240" w:lineRule="auto"/>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VPN (millones US$)</w:t>
            </w:r>
          </w:p>
        </w:tc>
        <w:tc>
          <w:tcPr>
            <w:tcW w:w="1260" w:type="dxa"/>
            <w:tcBorders>
              <w:top w:val="nil"/>
              <w:left w:val="nil"/>
              <w:bottom w:val="single" w:sz="4" w:space="0" w:color="auto"/>
              <w:right w:val="single" w:sz="4"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210.5</w:t>
            </w:r>
          </w:p>
        </w:tc>
        <w:tc>
          <w:tcPr>
            <w:tcW w:w="2430" w:type="dxa"/>
            <w:tcBorders>
              <w:top w:val="nil"/>
              <w:left w:val="nil"/>
              <w:bottom w:val="single" w:sz="4" w:space="0" w:color="auto"/>
              <w:right w:val="single" w:sz="4"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205.8</w:t>
            </w:r>
          </w:p>
        </w:tc>
        <w:tc>
          <w:tcPr>
            <w:tcW w:w="1620" w:type="dxa"/>
            <w:tcBorders>
              <w:top w:val="nil"/>
              <w:left w:val="nil"/>
              <w:bottom w:val="single" w:sz="4" w:space="0" w:color="auto"/>
              <w:right w:val="single" w:sz="4"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168.7</w:t>
            </w:r>
          </w:p>
        </w:tc>
        <w:tc>
          <w:tcPr>
            <w:tcW w:w="2070" w:type="dxa"/>
            <w:tcBorders>
              <w:top w:val="nil"/>
              <w:left w:val="nil"/>
              <w:bottom w:val="single" w:sz="4" w:space="0" w:color="auto"/>
              <w:right w:val="single" w:sz="12"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168.7</w:t>
            </w:r>
          </w:p>
        </w:tc>
      </w:tr>
      <w:tr w:rsidR="00C711F1" w:rsidRPr="00C711F1" w:rsidTr="004E4768">
        <w:trPr>
          <w:trHeight w:val="315"/>
        </w:trPr>
        <w:tc>
          <w:tcPr>
            <w:tcW w:w="1530" w:type="dxa"/>
            <w:tcBorders>
              <w:top w:val="nil"/>
              <w:left w:val="single" w:sz="12" w:space="0" w:color="auto"/>
              <w:bottom w:val="single" w:sz="12" w:space="0" w:color="auto"/>
              <w:right w:val="single" w:sz="4" w:space="0" w:color="auto"/>
            </w:tcBorders>
            <w:shd w:val="clear" w:color="auto" w:fill="auto"/>
            <w:noWrap/>
            <w:vAlign w:val="bottom"/>
            <w:hideMark/>
          </w:tcPr>
          <w:p w:rsidR="00C711F1" w:rsidRPr="00C711F1" w:rsidRDefault="00C711F1" w:rsidP="00CF1BCF">
            <w:pPr>
              <w:spacing w:after="0" w:line="240" w:lineRule="auto"/>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TIR (%)</w:t>
            </w:r>
          </w:p>
        </w:tc>
        <w:tc>
          <w:tcPr>
            <w:tcW w:w="1260" w:type="dxa"/>
            <w:tcBorders>
              <w:top w:val="nil"/>
              <w:left w:val="nil"/>
              <w:bottom w:val="single" w:sz="12" w:space="0" w:color="auto"/>
              <w:right w:val="single" w:sz="4"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77</w:t>
            </w:r>
          </w:p>
        </w:tc>
        <w:tc>
          <w:tcPr>
            <w:tcW w:w="2430" w:type="dxa"/>
            <w:tcBorders>
              <w:top w:val="nil"/>
              <w:left w:val="nil"/>
              <w:bottom w:val="single" w:sz="12" w:space="0" w:color="auto"/>
              <w:right w:val="single" w:sz="4"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72</w:t>
            </w:r>
          </w:p>
        </w:tc>
        <w:tc>
          <w:tcPr>
            <w:tcW w:w="1620" w:type="dxa"/>
            <w:tcBorders>
              <w:top w:val="nil"/>
              <w:left w:val="nil"/>
              <w:bottom w:val="single" w:sz="12" w:space="0" w:color="auto"/>
              <w:right w:val="single" w:sz="4"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68</w:t>
            </w:r>
          </w:p>
        </w:tc>
        <w:tc>
          <w:tcPr>
            <w:tcW w:w="2070" w:type="dxa"/>
            <w:tcBorders>
              <w:top w:val="nil"/>
              <w:left w:val="nil"/>
              <w:bottom w:val="single" w:sz="12" w:space="0" w:color="auto"/>
              <w:right w:val="single" w:sz="12" w:space="0" w:color="auto"/>
            </w:tcBorders>
            <w:shd w:val="clear" w:color="auto" w:fill="auto"/>
            <w:noWrap/>
            <w:vAlign w:val="center"/>
            <w:hideMark/>
          </w:tcPr>
          <w:p w:rsidR="00C711F1" w:rsidRPr="00C711F1" w:rsidRDefault="00C711F1" w:rsidP="00CF1BCF">
            <w:pPr>
              <w:spacing w:after="0" w:line="240" w:lineRule="auto"/>
              <w:ind w:right="110"/>
              <w:jc w:val="center"/>
              <w:rPr>
                <w:rFonts w:ascii="Calibri" w:eastAsia="Times New Roman" w:hAnsi="Calibri" w:cs="Times New Roman"/>
                <w:color w:val="000000"/>
                <w:lang w:eastAsia="es-ES"/>
              </w:rPr>
            </w:pPr>
            <w:r w:rsidRPr="00C711F1">
              <w:rPr>
                <w:rFonts w:ascii="Calibri" w:eastAsia="Times New Roman" w:hAnsi="Calibri" w:cs="Times New Roman"/>
                <w:color w:val="000000"/>
                <w:lang w:eastAsia="es-ES"/>
              </w:rPr>
              <w:t>64</w:t>
            </w:r>
          </w:p>
        </w:tc>
      </w:tr>
    </w:tbl>
    <w:p w:rsidR="00C711F1" w:rsidRPr="005C5B91" w:rsidRDefault="00C711F1" w:rsidP="00CF1BCF">
      <w:pPr>
        <w:spacing w:before="240" w:after="240"/>
        <w:jc w:val="center"/>
        <w:rPr>
          <w:rFonts w:ascii="Times New Roman Bold" w:hAnsi="Times New Roman Bold" w:cs="Times New Roman"/>
          <w:b/>
          <w:smallCaps/>
          <w:sz w:val="24"/>
          <w:szCs w:val="24"/>
        </w:rPr>
      </w:pPr>
      <w:r w:rsidRPr="005C5B91">
        <w:rPr>
          <w:rFonts w:ascii="Times New Roman Bold" w:hAnsi="Times New Roman Bold" w:cs="Times New Roman"/>
          <w:b/>
          <w:smallCaps/>
          <w:sz w:val="24"/>
          <w:szCs w:val="24"/>
        </w:rPr>
        <w:t>V.</w:t>
      </w:r>
      <w:r w:rsidRPr="005C5B91">
        <w:rPr>
          <w:rFonts w:ascii="Times New Roman Bold" w:hAnsi="Times New Roman Bold" w:cs="Times New Roman"/>
          <w:b/>
          <w:smallCaps/>
          <w:sz w:val="24"/>
          <w:szCs w:val="24"/>
        </w:rPr>
        <w:tab/>
      </w:r>
      <w:r w:rsidR="00F73A66" w:rsidRPr="005C5B91">
        <w:rPr>
          <w:rFonts w:ascii="Times New Roman Bold" w:hAnsi="Times New Roman Bold" w:cs="Times New Roman"/>
          <w:b/>
          <w:smallCaps/>
          <w:sz w:val="24"/>
          <w:szCs w:val="24"/>
        </w:rPr>
        <w:t>Conclusiones</w:t>
      </w:r>
    </w:p>
    <w:p w:rsidR="00713F6B" w:rsidRPr="005C5B91" w:rsidRDefault="00713F6B" w:rsidP="004E4768">
      <w:pPr>
        <w:spacing w:before="120" w:after="120"/>
        <w:ind w:left="720" w:hanging="720"/>
        <w:rPr>
          <w:rFonts w:ascii="Times New Roman" w:hAnsi="Times New Roman"/>
        </w:rPr>
      </w:pPr>
      <w:r w:rsidRPr="004E4768">
        <w:rPr>
          <w:rFonts w:ascii="Times New Roman" w:hAnsi="Times New Roman" w:cs="Times New Roman"/>
          <w:sz w:val="24"/>
          <w:szCs w:val="24"/>
        </w:rPr>
        <w:t>5.1</w:t>
      </w:r>
      <w:r w:rsidRPr="004E4768">
        <w:rPr>
          <w:rFonts w:ascii="Times New Roman" w:hAnsi="Times New Roman" w:cs="Times New Roman"/>
          <w:sz w:val="24"/>
          <w:szCs w:val="24"/>
        </w:rPr>
        <w:tab/>
        <w:t>En vista de la evaluación financiera de costo efectividad realizada, se recomienda el financiamiento por parte del Banco al programa propuesto de Fortalecimiento de la Gestión Fiscal (PN-L1066).</w:t>
      </w:r>
    </w:p>
    <w:p w:rsidR="00713F6B" w:rsidRPr="005C5B91" w:rsidRDefault="00713F6B" w:rsidP="00CF1BCF">
      <w:pPr>
        <w:tabs>
          <w:tab w:val="center" w:pos="4680"/>
          <w:tab w:val="left" w:pos="6060"/>
        </w:tabs>
        <w:rPr>
          <w:rFonts w:ascii="Times New Roman Bold" w:hAnsi="Times New Roman Bold"/>
          <w:b/>
          <w:smallCaps/>
        </w:rPr>
      </w:pPr>
    </w:p>
    <w:p w:rsidR="00116430" w:rsidRPr="005C5B91" w:rsidRDefault="00116430" w:rsidP="00CF1BCF">
      <w:pPr>
        <w:sectPr w:rsidR="00116430" w:rsidRPr="005C5B91" w:rsidSect="005C5B91">
          <w:headerReference w:type="default" r:id="rId18"/>
          <w:pgSz w:w="12240" w:h="15840"/>
          <w:pgMar w:top="1440" w:right="1800" w:bottom="1440" w:left="1800" w:header="720" w:footer="720" w:gutter="0"/>
          <w:cols w:space="720"/>
          <w:docGrid w:linePitch="360"/>
        </w:sectPr>
      </w:pPr>
      <w:r w:rsidRPr="005C5B91">
        <w:t>I</w:t>
      </w:r>
    </w:p>
    <w:p w:rsidR="00087454" w:rsidRPr="005C5B91" w:rsidRDefault="003E4FB1" w:rsidP="00CF1BCF">
      <w:pPr>
        <w:pStyle w:val="Caption"/>
        <w:ind w:left="720"/>
        <w:jc w:val="center"/>
        <w:rPr>
          <w:bCs w:val="0"/>
          <w:sz w:val="24"/>
          <w:szCs w:val="24"/>
        </w:rPr>
      </w:pPr>
      <w:r w:rsidRPr="005C5B91">
        <w:rPr>
          <w:bCs w:val="0"/>
          <w:sz w:val="24"/>
          <w:szCs w:val="24"/>
        </w:rPr>
        <w:t>Anexo I</w:t>
      </w:r>
    </w:p>
    <w:p w:rsidR="002B08D3" w:rsidRPr="005C5B91" w:rsidRDefault="00087454" w:rsidP="00CF1BCF">
      <w:pPr>
        <w:pStyle w:val="Caption"/>
        <w:ind w:left="720"/>
        <w:jc w:val="center"/>
        <w:rPr>
          <w:bCs w:val="0"/>
          <w:sz w:val="24"/>
          <w:szCs w:val="24"/>
        </w:rPr>
      </w:pPr>
      <w:r w:rsidRPr="005C5B91">
        <w:rPr>
          <w:bCs w:val="0"/>
          <w:sz w:val="24"/>
          <w:szCs w:val="24"/>
        </w:rPr>
        <w:t>Calculo de los Beneficios</w:t>
      </w:r>
      <w:r w:rsidR="00391EB5" w:rsidRPr="005C5B91">
        <w:rPr>
          <w:bCs w:val="0"/>
          <w:sz w:val="24"/>
          <w:szCs w:val="24"/>
        </w:rPr>
        <w:t xml:space="preserve"> líquidos acumulados en valor presente.</w:t>
      </w:r>
    </w:p>
    <w:tbl>
      <w:tblPr>
        <w:tblW w:w="13540" w:type="dxa"/>
        <w:tblInd w:w="103" w:type="dxa"/>
        <w:tblLook w:val="04A0"/>
      </w:tblPr>
      <w:tblGrid>
        <w:gridCol w:w="3120"/>
        <w:gridCol w:w="1380"/>
        <w:gridCol w:w="1040"/>
        <w:gridCol w:w="1040"/>
        <w:gridCol w:w="940"/>
        <w:gridCol w:w="1120"/>
        <w:gridCol w:w="920"/>
        <w:gridCol w:w="995"/>
        <w:gridCol w:w="995"/>
        <w:gridCol w:w="995"/>
        <w:gridCol w:w="995"/>
      </w:tblGrid>
      <w:tr w:rsidR="003E4FB1" w:rsidRPr="005C5B91" w:rsidTr="000C7109">
        <w:trPr>
          <w:trHeight w:val="255"/>
        </w:trPr>
        <w:tc>
          <w:tcPr>
            <w:tcW w:w="3420" w:type="dxa"/>
            <w:tcBorders>
              <w:top w:val="single" w:sz="4" w:space="0" w:color="auto"/>
              <w:left w:val="single" w:sz="4" w:space="0" w:color="auto"/>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DESCRIPCIÖN</w:t>
            </w:r>
          </w:p>
        </w:tc>
        <w:tc>
          <w:tcPr>
            <w:tcW w:w="138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2011</w:t>
            </w:r>
          </w:p>
        </w:tc>
        <w:tc>
          <w:tcPr>
            <w:tcW w:w="104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2012</w:t>
            </w:r>
          </w:p>
        </w:tc>
        <w:tc>
          <w:tcPr>
            <w:tcW w:w="104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2013</w:t>
            </w:r>
          </w:p>
        </w:tc>
        <w:tc>
          <w:tcPr>
            <w:tcW w:w="94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2014</w:t>
            </w:r>
          </w:p>
        </w:tc>
        <w:tc>
          <w:tcPr>
            <w:tcW w:w="112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2015</w:t>
            </w:r>
          </w:p>
        </w:tc>
        <w:tc>
          <w:tcPr>
            <w:tcW w:w="92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2016</w:t>
            </w:r>
          </w:p>
        </w:tc>
        <w:tc>
          <w:tcPr>
            <w:tcW w:w="92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2017</w:t>
            </w:r>
          </w:p>
        </w:tc>
        <w:tc>
          <w:tcPr>
            <w:tcW w:w="92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2018</w:t>
            </w:r>
          </w:p>
        </w:tc>
        <w:tc>
          <w:tcPr>
            <w:tcW w:w="92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2019</w:t>
            </w:r>
          </w:p>
        </w:tc>
        <w:tc>
          <w:tcPr>
            <w:tcW w:w="920" w:type="dxa"/>
            <w:tcBorders>
              <w:top w:val="single" w:sz="4" w:space="0" w:color="auto"/>
              <w:left w:val="nil"/>
              <w:bottom w:val="single" w:sz="4" w:space="0" w:color="auto"/>
              <w:right w:val="single" w:sz="4" w:space="0" w:color="auto"/>
            </w:tcBorders>
            <w:shd w:val="clear" w:color="000000" w:fill="808080"/>
            <w:vAlign w:val="bottom"/>
            <w:hideMark/>
          </w:tcPr>
          <w:p w:rsidR="003E4FB1" w:rsidRPr="005C5B91" w:rsidRDefault="003E4FB1" w:rsidP="00CF1BCF">
            <w:pPr>
              <w:spacing w:after="0" w:line="240" w:lineRule="auto"/>
              <w:jc w:val="center"/>
              <w:rPr>
                <w:rFonts w:ascii="Arial" w:eastAsia="Times New Roman" w:hAnsi="Arial" w:cs="Arial"/>
                <w:b/>
                <w:bCs/>
                <w:color w:val="FFFFFF"/>
                <w:sz w:val="18"/>
                <w:szCs w:val="18"/>
              </w:rPr>
            </w:pPr>
            <w:r w:rsidRPr="005C5B91">
              <w:rPr>
                <w:rFonts w:ascii="Arial" w:eastAsia="Times New Roman" w:hAnsi="Arial" w:cs="Arial"/>
                <w:b/>
                <w:bCs/>
                <w:color w:val="FFFFFF"/>
                <w:sz w:val="18"/>
                <w:szCs w:val="18"/>
              </w:rPr>
              <w:t>2020</w:t>
            </w:r>
          </w:p>
        </w:tc>
      </w:tr>
      <w:tr w:rsidR="003E4FB1" w:rsidRPr="005C5B91" w:rsidTr="000C7109">
        <w:trPr>
          <w:trHeight w:val="255"/>
        </w:trPr>
        <w:tc>
          <w:tcPr>
            <w:tcW w:w="3420" w:type="dxa"/>
            <w:tcBorders>
              <w:top w:val="nil"/>
              <w:left w:val="single" w:sz="4" w:space="0" w:color="auto"/>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rPr>
                <w:rFonts w:ascii="Arial" w:eastAsia="Times New Roman" w:hAnsi="Arial" w:cs="Arial"/>
                <w:b/>
                <w:bCs/>
                <w:sz w:val="20"/>
                <w:szCs w:val="20"/>
              </w:rPr>
            </w:pPr>
            <w:r w:rsidRPr="005C5B91">
              <w:rPr>
                <w:rFonts w:ascii="Arial" w:eastAsia="Times New Roman" w:hAnsi="Arial" w:cs="Arial"/>
                <w:b/>
                <w:bCs/>
                <w:sz w:val="20"/>
                <w:szCs w:val="20"/>
              </w:rPr>
              <w:t>1. COSTOS FINANCIEROS</w:t>
            </w:r>
          </w:p>
        </w:tc>
        <w:tc>
          <w:tcPr>
            <w:tcW w:w="138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12,375,875</w:t>
            </w:r>
          </w:p>
        </w:tc>
        <w:tc>
          <w:tcPr>
            <w:tcW w:w="10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18,455,063</w:t>
            </w:r>
          </w:p>
        </w:tc>
        <w:tc>
          <w:tcPr>
            <w:tcW w:w="10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16,720,955</w:t>
            </w:r>
          </w:p>
        </w:tc>
        <w:tc>
          <w:tcPr>
            <w:tcW w:w="9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9,062,659</w:t>
            </w:r>
          </w:p>
        </w:tc>
        <w:tc>
          <w:tcPr>
            <w:tcW w:w="11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2,700,178</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8,296,584</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8,190,643</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8,087,450</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7,987,100</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7,889,693</w:t>
            </w:r>
          </w:p>
        </w:tc>
      </w:tr>
      <w:tr w:rsidR="003E4FB1" w:rsidRPr="005C5B91" w:rsidTr="000C7109">
        <w:trPr>
          <w:trHeight w:val="255"/>
        </w:trPr>
        <w:tc>
          <w:tcPr>
            <w:tcW w:w="3420" w:type="dxa"/>
            <w:tcBorders>
              <w:top w:val="nil"/>
              <w:left w:val="single" w:sz="4" w:space="0" w:color="auto"/>
              <w:bottom w:val="nil"/>
              <w:right w:val="nil"/>
            </w:tcBorders>
            <w:shd w:val="clear" w:color="000000" w:fill="FFFFFF"/>
            <w:vAlign w:val="bottom"/>
            <w:hideMark/>
          </w:tcPr>
          <w:p w:rsidR="003E4FB1" w:rsidRPr="005C5B91" w:rsidRDefault="003E4FB1" w:rsidP="00CF1BCF">
            <w:pPr>
              <w:spacing w:after="0" w:line="240" w:lineRule="auto"/>
              <w:rPr>
                <w:rFonts w:ascii="Arial" w:eastAsia="Times New Roman" w:hAnsi="Arial" w:cs="Arial"/>
                <w:color w:val="000000"/>
                <w:sz w:val="16"/>
                <w:szCs w:val="16"/>
              </w:rPr>
            </w:pPr>
            <w:r w:rsidRPr="005C5B91">
              <w:rPr>
                <w:rFonts w:ascii="Arial" w:eastAsia="Times New Roman" w:hAnsi="Arial" w:cs="Arial"/>
                <w:color w:val="000000"/>
                <w:sz w:val="16"/>
                <w:szCs w:val="16"/>
              </w:rPr>
              <w:t>1.1 Inversiones del financiamiento</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11,575,875</w:t>
            </w:r>
          </w:p>
        </w:tc>
        <w:tc>
          <w:tcPr>
            <w:tcW w:w="1040" w:type="dxa"/>
            <w:tcBorders>
              <w:top w:val="single" w:sz="4" w:space="0" w:color="auto"/>
              <w:left w:val="nil"/>
              <w:bottom w:val="single" w:sz="4" w:space="0" w:color="auto"/>
              <w:right w:val="single" w:sz="4" w:space="0" w:color="auto"/>
            </w:tcBorders>
            <w:shd w:val="clear" w:color="000000" w:fill="FFFFFF"/>
            <w:noWrap/>
            <w:hideMark/>
          </w:tcPr>
          <w:p w:rsidR="003E4FB1" w:rsidRPr="005C5B91" w:rsidRDefault="003E4FB1" w:rsidP="00CF1BCF">
            <w:pPr>
              <w:spacing w:after="0" w:line="240" w:lineRule="auto"/>
              <w:jc w:val="center"/>
              <w:rPr>
                <w:rFonts w:ascii="Arial" w:eastAsia="Times New Roman" w:hAnsi="Arial" w:cs="Arial"/>
                <w:color w:val="000000"/>
                <w:sz w:val="14"/>
                <w:szCs w:val="14"/>
              </w:rPr>
            </w:pPr>
            <w:r w:rsidRPr="005C5B91">
              <w:rPr>
                <w:rFonts w:ascii="Arial" w:eastAsia="Times New Roman" w:hAnsi="Arial" w:cs="Arial"/>
                <w:color w:val="000000"/>
                <w:sz w:val="14"/>
                <w:szCs w:val="14"/>
              </w:rPr>
              <w:t>17,334,808</w:t>
            </w:r>
          </w:p>
        </w:tc>
        <w:tc>
          <w:tcPr>
            <w:tcW w:w="1040" w:type="dxa"/>
            <w:tcBorders>
              <w:top w:val="single" w:sz="4" w:space="0" w:color="auto"/>
              <w:left w:val="nil"/>
              <w:bottom w:val="single" w:sz="4" w:space="0" w:color="auto"/>
              <w:right w:val="single" w:sz="4" w:space="0" w:color="auto"/>
            </w:tcBorders>
            <w:shd w:val="clear" w:color="000000" w:fill="FFFFFF"/>
            <w:noWrap/>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14,001,028</w:t>
            </w:r>
          </w:p>
        </w:tc>
        <w:tc>
          <w:tcPr>
            <w:tcW w:w="940" w:type="dxa"/>
            <w:tcBorders>
              <w:top w:val="single" w:sz="4" w:space="0" w:color="auto"/>
              <w:left w:val="nil"/>
              <w:bottom w:val="single" w:sz="4" w:space="0" w:color="auto"/>
              <w:right w:val="single" w:sz="4" w:space="0" w:color="auto"/>
            </w:tcBorders>
            <w:shd w:val="clear" w:color="000000" w:fill="FFFFFF"/>
            <w:noWrap/>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5,888,289</w:t>
            </w:r>
          </w:p>
        </w:tc>
        <w:tc>
          <w:tcPr>
            <w:tcW w:w="1120" w:type="dxa"/>
            <w:tcBorders>
              <w:top w:val="single" w:sz="4" w:space="0" w:color="auto"/>
              <w:left w:val="nil"/>
              <w:bottom w:val="single" w:sz="4" w:space="0" w:color="auto"/>
              <w:right w:val="single" w:sz="4" w:space="0" w:color="auto"/>
            </w:tcBorders>
            <w:shd w:val="clear" w:color="000000" w:fill="FFFFFF"/>
            <w:noWrap/>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0</w:t>
            </w:r>
          </w:p>
        </w:tc>
        <w:tc>
          <w:tcPr>
            <w:tcW w:w="920" w:type="dxa"/>
            <w:tcBorders>
              <w:top w:val="single" w:sz="4" w:space="0" w:color="auto"/>
              <w:left w:val="nil"/>
              <w:bottom w:val="single" w:sz="4" w:space="0" w:color="auto"/>
              <w:right w:val="single" w:sz="4" w:space="0" w:color="auto"/>
            </w:tcBorders>
            <w:shd w:val="clear" w:color="000000" w:fill="FFFFFF"/>
            <w:vAlign w:val="bottom"/>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 xml:space="preserve">                       -   </w:t>
            </w:r>
          </w:p>
        </w:tc>
        <w:tc>
          <w:tcPr>
            <w:tcW w:w="920" w:type="dxa"/>
            <w:tcBorders>
              <w:top w:val="single" w:sz="4" w:space="0" w:color="auto"/>
              <w:left w:val="nil"/>
              <w:bottom w:val="single" w:sz="4" w:space="0" w:color="auto"/>
              <w:right w:val="single" w:sz="4" w:space="0" w:color="auto"/>
            </w:tcBorders>
            <w:shd w:val="clear" w:color="000000" w:fill="FFFFFF"/>
            <w:vAlign w:val="bottom"/>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 xml:space="preserve">                       -   </w:t>
            </w:r>
          </w:p>
        </w:tc>
        <w:tc>
          <w:tcPr>
            <w:tcW w:w="920" w:type="dxa"/>
            <w:tcBorders>
              <w:top w:val="single" w:sz="4" w:space="0" w:color="auto"/>
              <w:left w:val="nil"/>
              <w:bottom w:val="single" w:sz="4" w:space="0" w:color="auto"/>
              <w:right w:val="single" w:sz="4" w:space="0" w:color="auto"/>
            </w:tcBorders>
            <w:shd w:val="clear" w:color="000000" w:fill="FFFFFF"/>
            <w:vAlign w:val="bottom"/>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 xml:space="preserve">                       -   </w:t>
            </w:r>
          </w:p>
        </w:tc>
        <w:tc>
          <w:tcPr>
            <w:tcW w:w="920" w:type="dxa"/>
            <w:tcBorders>
              <w:top w:val="single" w:sz="4" w:space="0" w:color="auto"/>
              <w:left w:val="nil"/>
              <w:bottom w:val="single" w:sz="4" w:space="0" w:color="auto"/>
              <w:right w:val="single" w:sz="4" w:space="0" w:color="auto"/>
            </w:tcBorders>
            <w:shd w:val="clear" w:color="000000" w:fill="FFFFFF"/>
            <w:vAlign w:val="bottom"/>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 xml:space="preserve">                       -   </w:t>
            </w:r>
          </w:p>
        </w:tc>
        <w:tc>
          <w:tcPr>
            <w:tcW w:w="920" w:type="dxa"/>
            <w:tcBorders>
              <w:top w:val="single" w:sz="4" w:space="0" w:color="auto"/>
              <w:left w:val="nil"/>
              <w:bottom w:val="single" w:sz="4" w:space="0" w:color="auto"/>
              <w:right w:val="single" w:sz="4" w:space="0" w:color="auto"/>
            </w:tcBorders>
            <w:shd w:val="clear" w:color="000000" w:fill="FFFFFF"/>
            <w:vAlign w:val="bottom"/>
            <w:hideMark/>
          </w:tcPr>
          <w:p w:rsidR="003E4FB1" w:rsidRPr="005C5B91" w:rsidRDefault="003E4FB1" w:rsidP="00CF1BCF">
            <w:pPr>
              <w:spacing w:after="0" w:line="240" w:lineRule="auto"/>
              <w:jc w:val="right"/>
              <w:rPr>
                <w:rFonts w:ascii="Arial" w:eastAsia="Times New Roman" w:hAnsi="Arial" w:cs="Arial"/>
                <w:color w:val="000000"/>
                <w:sz w:val="14"/>
                <w:szCs w:val="14"/>
              </w:rPr>
            </w:pPr>
            <w:r w:rsidRPr="005C5B91">
              <w:rPr>
                <w:rFonts w:ascii="Arial" w:eastAsia="Times New Roman" w:hAnsi="Arial" w:cs="Arial"/>
                <w:color w:val="000000"/>
                <w:sz w:val="14"/>
                <w:szCs w:val="14"/>
              </w:rPr>
              <w:t xml:space="preserve">                       -   </w:t>
            </w:r>
          </w:p>
        </w:tc>
      </w:tr>
      <w:tr w:rsidR="003E4FB1" w:rsidRPr="005C5B91" w:rsidTr="000C7109">
        <w:trPr>
          <w:trHeight w:val="255"/>
        </w:trPr>
        <w:tc>
          <w:tcPr>
            <w:tcW w:w="3420" w:type="dxa"/>
            <w:tcBorders>
              <w:top w:val="nil"/>
              <w:left w:val="single" w:sz="4" w:space="0" w:color="auto"/>
              <w:bottom w:val="nil"/>
              <w:right w:val="nil"/>
            </w:tcBorders>
            <w:shd w:val="clear" w:color="auto" w:fill="auto"/>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1.2 Costos Administrativos</w:t>
            </w:r>
          </w:p>
        </w:tc>
        <w:tc>
          <w:tcPr>
            <w:tcW w:w="1380" w:type="dxa"/>
            <w:tcBorders>
              <w:top w:val="nil"/>
              <w:left w:val="single" w:sz="4" w:space="0" w:color="auto"/>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800,000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800,000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800,000 </w:t>
            </w:r>
          </w:p>
        </w:tc>
        <w:tc>
          <w:tcPr>
            <w:tcW w:w="9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800,000 </w:t>
            </w:r>
          </w:p>
        </w:tc>
        <w:tc>
          <w:tcPr>
            <w:tcW w:w="11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r>
      <w:tr w:rsidR="003E4FB1" w:rsidRPr="005C5B91" w:rsidTr="000C7109">
        <w:trPr>
          <w:trHeight w:val="255"/>
        </w:trPr>
        <w:tc>
          <w:tcPr>
            <w:tcW w:w="3420" w:type="dxa"/>
            <w:tcBorders>
              <w:top w:val="nil"/>
              <w:left w:val="single" w:sz="4" w:space="0" w:color="auto"/>
              <w:bottom w:val="nil"/>
              <w:right w:val="nil"/>
            </w:tcBorders>
            <w:shd w:val="clear" w:color="auto" w:fill="auto"/>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1.3 Operaciones y mantenimiento</w:t>
            </w:r>
          </w:p>
        </w:tc>
        <w:tc>
          <w:tcPr>
            <w:tcW w:w="1380" w:type="dxa"/>
            <w:tcBorders>
              <w:top w:val="nil"/>
              <w:left w:val="single" w:sz="4" w:space="0" w:color="auto"/>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2,242,785</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2,321,282</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2,402,527</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2,486,616</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2,573,647</w:t>
            </w:r>
          </w:p>
        </w:tc>
      </w:tr>
      <w:tr w:rsidR="003E4FB1" w:rsidRPr="005C5B91" w:rsidTr="000C7109">
        <w:trPr>
          <w:trHeight w:val="255"/>
        </w:trPr>
        <w:tc>
          <w:tcPr>
            <w:tcW w:w="3420" w:type="dxa"/>
            <w:tcBorders>
              <w:top w:val="nil"/>
              <w:left w:val="single" w:sz="4" w:space="0" w:color="auto"/>
              <w:bottom w:val="nil"/>
              <w:right w:val="nil"/>
            </w:tcBorders>
            <w:shd w:val="clear" w:color="auto" w:fill="auto"/>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1.4 Amortizaciones</w:t>
            </w:r>
          </w:p>
        </w:tc>
        <w:tc>
          <w:tcPr>
            <w:tcW w:w="1380" w:type="dxa"/>
            <w:tcBorders>
              <w:top w:val="nil"/>
              <w:left w:val="single" w:sz="4" w:space="0" w:color="auto"/>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3,333,333</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3,333,333</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3,333,333</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3,333,333</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3,333,333</w:t>
            </w:r>
          </w:p>
        </w:tc>
      </w:tr>
      <w:tr w:rsidR="003E4FB1" w:rsidRPr="005C5B91" w:rsidTr="000C7109">
        <w:trPr>
          <w:trHeight w:val="255"/>
        </w:trPr>
        <w:tc>
          <w:tcPr>
            <w:tcW w:w="3420" w:type="dxa"/>
            <w:tcBorders>
              <w:top w:val="nil"/>
              <w:left w:val="single" w:sz="4" w:space="0" w:color="auto"/>
              <w:bottom w:val="nil"/>
              <w:right w:val="nil"/>
            </w:tcBorders>
            <w:shd w:val="clear" w:color="auto" w:fill="auto"/>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1.5 Intereses</w:t>
            </w:r>
          </w:p>
        </w:tc>
        <w:tc>
          <w:tcPr>
            <w:tcW w:w="1380" w:type="dxa"/>
            <w:tcBorders>
              <w:top w:val="nil"/>
              <w:left w:val="single" w:sz="4" w:space="0" w:color="auto"/>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320,255 </w:t>
            </w:r>
          </w:p>
        </w:tc>
        <w:tc>
          <w:tcPr>
            <w:tcW w:w="10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1,919,927 </w:t>
            </w:r>
          </w:p>
        </w:tc>
        <w:tc>
          <w:tcPr>
            <w:tcW w:w="94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2,374,370 </w:t>
            </w:r>
          </w:p>
        </w:tc>
        <w:tc>
          <w:tcPr>
            <w:tcW w:w="11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2,700,178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2,720,466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2,536,027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2,351,589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2,167,151 </w:t>
            </w:r>
          </w:p>
        </w:tc>
        <w:tc>
          <w:tcPr>
            <w:tcW w:w="920" w:type="dxa"/>
            <w:tcBorders>
              <w:top w:val="nil"/>
              <w:left w:val="nil"/>
              <w:bottom w:val="single" w:sz="4" w:space="0" w:color="auto"/>
              <w:right w:val="single" w:sz="4" w:space="0" w:color="auto"/>
            </w:tcBorders>
            <w:shd w:val="clear" w:color="auto" w:fill="auto"/>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1,982,712 </w:t>
            </w:r>
          </w:p>
        </w:tc>
      </w:tr>
      <w:tr w:rsidR="003E4FB1" w:rsidRPr="005C5B91" w:rsidTr="000C7109">
        <w:trPr>
          <w:trHeight w:val="255"/>
        </w:trPr>
        <w:tc>
          <w:tcPr>
            <w:tcW w:w="3420" w:type="dxa"/>
            <w:tcBorders>
              <w:top w:val="single" w:sz="4" w:space="0" w:color="auto"/>
              <w:left w:val="single" w:sz="4" w:space="0" w:color="auto"/>
              <w:bottom w:val="single" w:sz="4" w:space="0" w:color="auto"/>
              <w:right w:val="nil"/>
            </w:tcBorders>
            <w:shd w:val="clear" w:color="000000" w:fill="C0C0C0"/>
            <w:vAlign w:val="bottom"/>
            <w:hideMark/>
          </w:tcPr>
          <w:p w:rsidR="003E4FB1" w:rsidRPr="005C5B91" w:rsidRDefault="003E4FB1" w:rsidP="00CF1BCF">
            <w:pPr>
              <w:spacing w:after="0" w:line="240" w:lineRule="auto"/>
              <w:rPr>
                <w:rFonts w:ascii="Arial" w:eastAsia="Times New Roman" w:hAnsi="Arial" w:cs="Arial"/>
                <w:b/>
                <w:bCs/>
                <w:sz w:val="20"/>
                <w:szCs w:val="20"/>
              </w:rPr>
            </w:pPr>
            <w:r w:rsidRPr="005C5B91">
              <w:rPr>
                <w:rFonts w:ascii="Arial" w:eastAsia="Times New Roman" w:hAnsi="Arial" w:cs="Arial"/>
                <w:b/>
                <w:bCs/>
                <w:sz w:val="20"/>
                <w:szCs w:val="20"/>
              </w:rPr>
              <w:t>2. BENEFICIOS FINANCIEROS</w:t>
            </w:r>
          </w:p>
        </w:tc>
        <w:tc>
          <w:tcPr>
            <w:tcW w:w="1380" w:type="dxa"/>
            <w:tcBorders>
              <w:top w:val="nil"/>
              <w:left w:val="single" w:sz="4" w:space="0" w:color="auto"/>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0</w:t>
            </w:r>
          </w:p>
        </w:tc>
        <w:tc>
          <w:tcPr>
            <w:tcW w:w="104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0</w:t>
            </w:r>
          </w:p>
        </w:tc>
        <w:tc>
          <w:tcPr>
            <w:tcW w:w="104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0</w:t>
            </w:r>
          </w:p>
        </w:tc>
        <w:tc>
          <w:tcPr>
            <w:tcW w:w="94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74,600,000</w:t>
            </w:r>
          </w:p>
        </w:tc>
        <w:tc>
          <w:tcPr>
            <w:tcW w:w="11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76,092,000</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77,613,840</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79,166,117</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80,749,439</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82,364,428</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84,011,716</w:t>
            </w:r>
          </w:p>
        </w:tc>
      </w:tr>
      <w:tr w:rsidR="003E4FB1" w:rsidRPr="005C5B91" w:rsidTr="000C7109">
        <w:trPr>
          <w:trHeight w:val="255"/>
        </w:trPr>
        <w:tc>
          <w:tcPr>
            <w:tcW w:w="3420" w:type="dxa"/>
            <w:tcBorders>
              <w:top w:val="nil"/>
              <w:left w:val="single" w:sz="4" w:space="0" w:color="auto"/>
              <w:bottom w:val="nil"/>
              <w:right w:val="single" w:sz="4" w:space="0" w:color="auto"/>
            </w:tcBorders>
            <w:shd w:val="clear" w:color="auto" w:fill="auto"/>
            <w:vAlign w:val="bottom"/>
            <w:hideMark/>
          </w:tcPr>
          <w:p w:rsidR="003E4FB1" w:rsidRPr="005C5B91" w:rsidRDefault="003E4FB1" w:rsidP="00CF1BCF">
            <w:pPr>
              <w:spacing w:after="0" w:line="240" w:lineRule="auto"/>
              <w:rPr>
                <w:rFonts w:ascii="Arial" w:eastAsia="Times New Roman" w:hAnsi="Arial" w:cs="Arial"/>
                <w:b/>
                <w:bCs/>
                <w:sz w:val="16"/>
                <w:szCs w:val="16"/>
              </w:rPr>
            </w:pPr>
            <w:r w:rsidRPr="005C5B91">
              <w:rPr>
                <w:rFonts w:ascii="Arial" w:eastAsia="Times New Roman" w:hAnsi="Arial" w:cs="Arial"/>
                <w:b/>
                <w:bCs/>
                <w:sz w:val="16"/>
                <w:szCs w:val="16"/>
              </w:rPr>
              <w:t>2.1 Incremento de la Recaudación</w:t>
            </w:r>
          </w:p>
        </w:tc>
        <w:tc>
          <w:tcPr>
            <w:tcW w:w="138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   </w:t>
            </w:r>
          </w:p>
        </w:tc>
        <w:tc>
          <w:tcPr>
            <w:tcW w:w="104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   </w:t>
            </w:r>
          </w:p>
        </w:tc>
        <w:tc>
          <w:tcPr>
            <w:tcW w:w="94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74,600,000 </w:t>
            </w:r>
          </w:p>
        </w:tc>
        <w:tc>
          <w:tcPr>
            <w:tcW w:w="112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76,092,000 </w:t>
            </w:r>
          </w:p>
        </w:tc>
        <w:tc>
          <w:tcPr>
            <w:tcW w:w="92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77,613,840 </w:t>
            </w:r>
          </w:p>
        </w:tc>
        <w:tc>
          <w:tcPr>
            <w:tcW w:w="92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79,166,117 </w:t>
            </w:r>
          </w:p>
        </w:tc>
        <w:tc>
          <w:tcPr>
            <w:tcW w:w="92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80,749,439 </w:t>
            </w:r>
          </w:p>
        </w:tc>
        <w:tc>
          <w:tcPr>
            <w:tcW w:w="92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82,364,428 </w:t>
            </w:r>
          </w:p>
        </w:tc>
        <w:tc>
          <w:tcPr>
            <w:tcW w:w="920" w:type="dxa"/>
            <w:tcBorders>
              <w:top w:val="nil"/>
              <w:left w:val="nil"/>
              <w:bottom w:val="nil"/>
              <w:right w:val="single" w:sz="4" w:space="0" w:color="auto"/>
            </w:tcBorders>
            <w:shd w:val="clear" w:color="auto" w:fill="auto"/>
            <w:vAlign w:val="bottom"/>
            <w:hideMark/>
          </w:tcPr>
          <w:p w:rsidR="003E4FB1" w:rsidRPr="005C5B91" w:rsidRDefault="003E4FB1" w:rsidP="00CF1BCF">
            <w:pPr>
              <w:spacing w:after="0" w:line="240" w:lineRule="auto"/>
              <w:jc w:val="center"/>
              <w:rPr>
                <w:rFonts w:ascii="Arial" w:eastAsia="Times New Roman" w:hAnsi="Arial" w:cs="Arial"/>
                <w:sz w:val="14"/>
                <w:szCs w:val="14"/>
              </w:rPr>
            </w:pPr>
            <w:r w:rsidRPr="005C5B91">
              <w:rPr>
                <w:rFonts w:ascii="Arial" w:eastAsia="Times New Roman" w:hAnsi="Arial" w:cs="Arial"/>
                <w:sz w:val="14"/>
                <w:szCs w:val="14"/>
              </w:rPr>
              <w:t xml:space="preserve">        84,011,716 </w:t>
            </w:r>
          </w:p>
        </w:tc>
      </w:tr>
      <w:tr w:rsidR="003E4FB1" w:rsidRPr="005C5B91" w:rsidTr="000C7109">
        <w:trPr>
          <w:trHeight w:val="255"/>
        </w:trPr>
        <w:tc>
          <w:tcPr>
            <w:tcW w:w="3420" w:type="dxa"/>
            <w:tcBorders>
              <w:top w:val="nil"/>
              <w:left w:val="single" w:sz="4" w:space="0" w:color="auto"/>
              <w:bottom w:val="nil"/>
              <w:right w:val="single" w:sz="4" w:space="0" w:color="auto"/>
            </w:tcBorders>
            <w:shd w:val="clear" w:color="000000" w:fill="FFFF99"/>
            <w:vAlign w:val="bottom"/>
            <w:hideMark/>
          </w:tcPr>
          <w:p w:rsidR="003E4FB1" w:rsidRPr="005C5B91" w:rsidRDefault="003E4FB1" w:rsidP="00CF1BCF">
            <w:pPr>
              <w:spacing w:after="0" w:line="240" w:lineRule="auto"/>
              <w:ind w:firstLineChars="100" w:firstLine="140"/>
              <w:rPr>
                <w:rFonts w:ascii="Arial" w:eastAsia="Times New Roman" w:hAnsi="Arial" w:cs="Arial"/>
                <w:sz w:val="14"/>
                <w:szCs w:val="14"/>
              </w:rPr>
            </w:pPr>
            <w:r w:rsidRPr="005C5B91">
              <w:rPr>
                <w:rFonts w:ascii="Arial" w:eastAsia="Times New Roman" w:hAnsi="Arial" w:cs="Arial"/>
                <w:sz w:val="14"/>
                <w:szCs w:val="14"/>
              </w:rPr>
              <w:t>Disminución de la evasión del el ITBMS</w:t>
            </w:r>
          </w:p>
        </w:tc>
        <w:tc>
          <w:tcPr>
            <w:tcW w:w="1380" w:type="dxa"/>
            <w:tcBorders>
              <w:top w:val="nil"/>
              <w:left w:val="nil"/>
              <w:bottom w:val="nil"/>
              <w:right w:val="single" w:sz="4" w:space="0" w:color="auto"/>
            </w:tcBorders>
            <w:shd w:val="clear" w:color="000000" w:fill="FFFF99"/>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w:t>
            </w:r>
          </w:p>
        </w:tc>
        <w:tc>
          <w:tcPr>
            <w:tcW w:w="1040" w:type="dxa"/>
            <w:tcBorders>
              <w:top w:val="nil"/>
              <w:left w:val="nil"/>
              <w:bottom w:val="nil"/>
              <w:right w:val="single" w:sz="4" w:space="0" w:color="auto"/>
            </w:tcBorders>
            <w:shd w:val="clear" w:color="000000" w:fill="FFFF99"/>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w:t>
            </w:r>
          </w:p>
        </w:tc>
        <w:tc>
          <w:tcPr>
            <w:tcW w:w="1040" w:type="dxa"/>
            <w:tcBorders>
              <w:top w:val="nil"/>
              <w:left w:val="nil"/>
              <w:bottom w:val="nil"/>
              <w:right w:val="single" w:sz="4" w:space="0" w:color="auto"/>
            </w:tcBorders>
            <w:shd w:val="clear" w:color="000000" w:fill="FFFF99"/>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4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60,000,000 </w:t>
            </w:r>
          </w:p>
        </w:tc>
        <w:tc>
          <w:tcPr>
            <w:tcW w:w="11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61,200,000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62,424,000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63,672,480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64,945,930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66,244,848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67,569,745 </w:t>
            </w:r>
          </w:p>
        </w:tc>
      </w:tr>
      <w:tr w:rsidR="003E4FB1" w:rsidRPr="005C5B91" w:rsidTr="000C7109">
        <w:trPr>
          <w:trHeight w:val="360"/>
        </w:trPr>
        <w:tc>
          <w:tcPr>
            <w:tcW w:w="3420" w:type="dxa"/>
            <w:tcBorders>
              <w:top w:val="nil"/>
              <w:left w:val="single" w:sz="4" w:space="0" w:color="auto"/>
              <w:bottom w:val="nil"/>
              <w:right w:val="single" w:sz="4" w:space="0" w:color="auto"/>
            </w:tcBorders>
            <w:shd w:val="clear" w:color="000000" w:fill="CCFFCC"/>
            <w:vAlign w:val="center"/>
            <w:hideMark/>
          </w:tcPr>
          <w:p w:rsidR="003E4FB1" w:rsidRPr="005C5B91" w:rsidRDefault="003E4FB1" w:rsidP="00CF1BCF">
            <w:pPr>
              <w:spacing w:after="0" w:line="240" w:lineRule="auto"/>
              <w:ind w:firstLineChars="100" w:firstLine="140"/>
              <w:rPr>
                <w:rFonts w:ascii="Arial" w:eastAsia="Times New Roman" w:hAnsi="Arial" w:cs="Arial"/>
                <w:sz w:val="14"/>
                <w:szCs w:val="14"/>
              </w:rPr>
            </w:pPr>
            <w:r w:rsidRPr="005C5B91">
              <w:rPr>
                <w:rFonts w:ascii="Arial" w:eastAsia="Times New Roman" w:hAnsi="Arial" w:cs="Arial"/>
                <w:sz w:val="14"/>
                <w:szCs w:val="14"/>
              </w:rPr>
              <w:t>Aumento de los interés pagados sobre los saldos de las cuentas del tesoro</w:t>
            </w:r>
          </w:p>
        </w:tc>
        <w:tc>
          <w:tcPr>
            <w:tcW w:w="138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w:t>
            </w:r>
          </w:p>
        </w:tc>
        <w:tc>
          <w:tcPr>
            <w:tcW w:w="104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w:t>
            </w:r>
          </w:p>
        </w:tc>
        <w:tc>
          <w:tcPr>
            <w:tcW w:w="104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   </w:t>
            </w:r>
          </w:p>
        </w:tc>
        <w:tc>
          <w:tcPr>
            <w:tcW w:w="94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14,600,000 </w:t>
            </w:r>
          </w:p>
        </w:tc>
        <w:tc>
          <w:tcPr>
            <w:tcW w:w="11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14,892,000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15,189,840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15,493,637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15,803,510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16,119,580 </w:t>
            </w:r>
          </w:p>
        </w:tc>
        <w:tc>
          <w:tcPr>
            <w:tcW w:w="920" w:type="dxa"/>
            <w:tcBorders>
              <w:top w:val="nil"/>
              <w:left w:val="nil"/>
              <w:bottom w:val="nil"/>
              <w:right w:val="single" w:sz="4" w:space="0" w:color="auto"/>
            </w:tcBorders>
            <w:shd w:val="clear" w:color="000000" w:fill="CCFFCC"/>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 xml:space="preserve">        16,441,971 </w:t>
            </w:r>
          </w:p>
        </w:tc>
      </w:tr>
      <w:tr w:rsidR="003E4FB1" w:rsidRPr="005C5B91" w:rsidTr="000C7109">
        <w:trPr>
          <w:trHeight w:val="255"/>
        </w:trPr>
        <w:tc>
          <w:tcPr>
            <w:tcW w:w="3420" w:type="dxa"/>
            <w:tcBorders>
              <w:top w:val="nil"/>
              <w:left w:val="single" w:sz="4" w:space="0" w:color="auto"/>
              <w:bottom w:val="nil"/>
              <w:right w:val="single" w:sz="4" w:space="0" w:color="auto"/>
            </w:tcBorders>
            <w:shd w:val="clear" w:color="000000" w:fill="C0C0C0"/>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 xml:space="preserve"> Beneficios Netos en valor corriente</w:t>
            </w:r>
          </w:p>
        </w:tc>
        <w:tc>
          <w:tcPr>
            <w:tcW w:w="138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-12,375,875</w:t>
            </w:r>
          </w:p>
        </w:tc>
        <w:tc>
          <w:tcPr>
            <w:tcW w:w="10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-18,455,063</w:t>
            </w:r>
          </w:p>
        </w:tc>
        <w:tc>
          <w:tcPr>
            <w:tcW w:w="10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-16,720,955</w:t>
            </w:r>
          </w:p>
        </w:tc>
        <w:tc>
          <w:tcPr>
            <w:tcW w:w="9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65,537,341</w:t>
            </w:r>
          </w:p>
        </w:tc>
        <w:tc>
          <w:tcPr>
            <w:tcW w:w="11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73,391,822</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69,317,256</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70,975,474</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72,661,989</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74,377,328</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76,122,023</w:t>
            </w:r>
          </w:p>
        </w:tc>
      </w:tr>
      <w:tr w:rsidR="003E4FB1" w:rsidRPr="005C5B91" w:rsidTr="000C7109">
        <w:trPr>
          <w:trHeight w:val="255"/>
        </w:trPr>
        <w:tc>
          <w:tcPr>
            <w:tcW w:w="3420" w:type="dxa"/>
            <w:tcBorders>
              <w:top w:val="nil"/>
              <w:left w:val="single" w:sz="4" w:space="0" w:color="auto"/>
              <w:bottom w:val="nil"/>
              <w:right w:val="single" w:sz="4" w:space="0" w:color="auto"/>
            </w:tcBorders>
            <w:shd w:val="clear" w:color="000000" w:fill="C0C0C0"/>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 xml:space="preserve"> Beneficios Neto en valor presente</w:t>
            </w:r>
          </w:p>
        </w:tc>
        <w:tc>
          <w:tcPr>
            <w:tcW w:w="138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-12,375,875</w:t>
            </w:r>
          </w:p>
        </w:tc>
        <w:tc>
          <w:tcPr>
            <w:tcW w:w="10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-16,404,501</w:t>
            </w:r>
          </w:p>
        </w:tc>
        <w:tc>
          <w:tcPr>
            <w:tcW w:w="10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-13,211,619</w:t>
            </w:r>
          </w:p>
        </w:tc>
        <w:tc>
          <w:tcPr>
            <w:tcW w:w="94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46,028,970</w:t>
            </w:r>
          </w:p>
        </w:tc>
        <w:tc>
          <w:tcPr>
            <w:tcW w:w="11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45,818,153</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38,466,153</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35,010,085</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31,859,549</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28,988,143</w:t>
            </w:r>
          </w:p>
        </w:tc>
        <w:tc>
          <w:tcPr>
            <w:tcW w:w="920" w:type="dxa"/>
            <w:tcBorders>
              <w:top w:val="nil"/>
              <w:left w:val="nil"/>
              <w:bottom w:val="nil"/>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26,371,669</w:t>
            </w:r>
          </w:p>
        </w:tc>
      </w:tr>
      <w:tr w:rsidR="003E4FB1" w:rsidRPr="005C5B91" w:rsidTr="000C7109">
        <w:trPr>
          <w:trHeight w:val="450"/>
        </w:trPr>
        <w:tc>
          <w:tcPr>
            <w:tcW w:w="3420" w:type="dxa"/>
            <w:tcBorders>
              <w:top w:val="nil"/>
              <w:left w:val="single" w:sz="4" w:space="0" w:color="auto"/>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rPr>
                <w:rFonts w:ascii="Arial" w:eastAsia="Times New Roman" w:hAnsi="Arial" w:cs="Arial"/>
                <w:sz w:val="16"/>
                <w:szCs w:val="16"/>
              </w:rPr>
            </w:pPr>
            <w:r w:rsidRPr="005C5B91">
              <w:rPr>
                <w:rFonts w:ascii="Arial" w:eastAsia="Times New Roman" w:hAnsi="Arial" w:cs="Arial"/>
                <w:sz w:val="16"/>
                <w:szCs w:val="16"/>
              </w:rPr>
              <w:t xml:space="preserve"> Beneficios Neto acumulados en valor presente</w:t>
            </w:r>
          </w:p>
        </w:tc>
        <w:tc>
          <w:tcPr>
            <w:tcW w:w="138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-12,375,875</w:t>
            </w:r>
          </w:p>
        </w:tc>
        <w:tc>
          <w:tcPr>
            <w:tcW w:w="104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-28,780,376</w:t>
            </w:r>
          </w:p>
        </w:tc>
        <w:tc>
          <w:tcPr>
            <w:tcW w:w="104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-41,991,994</w:t>
            </w:r>
          </w:p>
        </w:tc>
        <w:tc>
          <w:tcPr>
            <w:tcW w:w="94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4,036,975</w:t>
            </w:r>
          </w:p>
        </w:tc>
        <w:tc>
          <w:tcPr>
            <w:tcW w:w="11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49,855,129</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88,321,281</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123,331,366</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155,190,915</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184,179,058</w:t>
            </w:r>
          </w:p>
        </w:tc>
        <w:tc>
          <w:tcPr>
            <w:tcW w:w="920" w:type="dxa"/>
            <w:tcBorders>
              <w:top w:val="nil"/>
              <w:left w:val="nil"/>
              <w:bottom w:val="single" w:sz="4" w:space="0" w:color="auto"/>
              <w:right w:val="single" w:sz="4" w:space="0" w:color="auto"/>
            </w:tcBorders>
            <w:shd w:val="clear" w:color="000000" w:fill="C0C0C0"/>
            <w:vAlign w:val="bottom"/>
            <w:hideMark/>
          </w:tcPr>
          <w:p w:rsidR="003E4FB1" w:rsidRPr="005C5B91" w:rsidRDefault="003E4FB1" w:rsidP="00CF1BCF">
            <w:pPr>
              <w:spacing w:after="0" w:line="240" w:lineRule="auto"/>
              <w:jc w:val="right"/>
              <w:rPr>
                <w:rFonts w:ascii="Arial" w:eastAsia="Times New Roman" w:hAnsi="Arial" w:cs="Arial"/>
                <w:sz w:val="14"/>
                <w:szCs w:val="14"/>
              </w:rPr>
            </w:pPr>
            <w:r w:rsidRPr="005C5B91">
              <w:rPr>
                <w:rFonts w:ascii="Arial" w:eastAsia="Times New Roman" w:hAnsi="Arial" w:cs="Arial"/>
                <w:sz w:val="14"/>
                <w:szCs w:val="14"/>
              </w:rPr>
              <w:t>210,550,727</w:t>
            </w:r>
          </w:p>
        </w:tc>
      </w:tr>
    </w:tbl>
    <w:p w:rsidR="002B08D3" w:rsidRPr="005C5B91" w:rsidRDefault="002B08D3" w:rsidP="00CF1BCF">
      <w:pPr>
        <w:rPr>
          <w:lang w:eastAsia="es-ES"/>
        </w:rPr>
      </w:pPr>
    </w:p>
    <w:p w:rsidR="00087454" w:rsidRDefault="00087454" w:rsidP="00CF1BCF">
      <w:pPr>
        <w:rPr>
          <w:rFonts w:ascii="Times New Roman" w:hAnsi="Times New Roman" w:cs="Times New Roman"/>
          <w:sz w:val="23"/>
          <w:szCs w:val="23"/>
          <w:lang w:eastAsia="es-ES"/>
        </w:rPr>
      </w:pPr>
      <w:r w:rsidRPr="005C5B91">
        <w:rPr>
          <w:rFonts w:ascii="Times New Roman" w:hAnsi="Times New Roman" w:cs="Times New Roman"/>
          <w:sz w:val="23"/>
          <w:szCs w:val="23"/>
          <w:lang w:eastAsia="es-ES"/>
        </w:rPr>
        <w:t>De acuerdo con el cuadro 9, se estima que en el año 2</w:t>
      </w:r>
      <w:r w:rsidR="00084539" w:rsidRPr="005C5B91">
        <w:rPr>
          <w:rFonts w:ascii="Times New Roman" w:hAnsi="Times New Roman" w:cs="Times New Roman"/>
          <w:sz w:val="23"/>
          <w:szCs w:val="23"/>
          <w:lang w:eastAsia="es-ES"/>
        </w:rPr>
        <w:t>0</w:t>
      </w:r>
      <w:r w:rsidRPr="005C5B91">
        <w:rPr>
          <w:rFonts w:ascii="Times New Roman" w:hAnsi="Times New Roman" w:cs="Times New Roman"/>
          <w:sz w:val="23"/>
          <w:szCs w:val="23"/>
          <w:lang w:eastAsia="es-ES"/>
        </w:rPr>
        <w:t xml:space="preserve">14 el proyecto </w:t>
      </w:r>
      <w:r w:rsidR="00596E1F" w:rsidRPr="005C5B91">
        <w:rPr>
          <w:rFonts w:ascii="Times New Roman" w:hAnsi="Times New Roman" w:cs="Times New Roman"/>
          <w:sz w:val="23"/>
          <w:szCs w:val="23"/>
          <w:lang w:eastAsia="es-ES"/>
        </w:rPr>
        <w:t>ya estará presentando</w:t>
      </w:r>
      <w:r w:rsidRPr="005C5B91">
        <w:rPr>
          <w:rFonts w:ascii="Times New Roman" w:hAnsi="Times New Roman" w:cs="Times New Roman"/>
          <w:sz w:val="23"/>
          <w:szCs w:val="23"/>
          <w:lang w:eastAsia="es-ES"/>
        </w:rPr>
        <w:t xml:space="preserve"> un beneficio líquido acumulado en valor presente en torno</w:t>
      </w:r>
      <w:r w:rsidR="004E55BB" w:rsidRPr="005C5B91">
        <w:rPr>
          <w:rFonts w:ascii="Times New Roman" w:hAnsi="Times New Roman" w:cs="Times New Roman"/>
          <w:sz w:val="23"/>
          <w:szCs w:val="23"/>
          <w:lang w:eastAsia="es-ES"/>
        </w:rPr>
        <w:t xml:space="preserve"> de US$30,</w:t>
      </w:r>
      <w:r w:rsidR="00391EB5" w:rsidRPr="005C5B91">
        <w:rPr>
          <w:rFonts w:ascii="Times New Roman" w:hAnsi="Times New Roman" w:cs="Times New Roman"/>
          <w:sz w:val="23"/>
          <w:szCs w:val="23"/>
          <w:lang w:eastAsia="es-ES"/>
        </w:rPr>
        <w:t>5</w:t>
      </w:r>
      <w:r w:rsidRPr="005C5B91">
        <w:rPr>
          <w:rFonts w:ascii="Times New Roman" w:hAnsi="Times New Roman" w:cs="Times New Roman"/>
          <w:sz w:val="23"/>
          <w:szCs w:val="23"/>
          <w:lang w:eastAsia="es-ES"/>
        </w:rPr>
        <w:t xml:space="preserve"> millones, y </w:t>
      </w:r>
      <w:r w:rsidR="00D34045" w:rsidRPr="005C5B91">
        <w:rPr>
          <w:rFonts w:ascii="Times New Roman" w:hAnsi="Times New Roman" w:cs="Times New Roman"/>
          <w:sz w:val="23"/>
          <w:szCs w:val="23"/>
          <w:lang w:eastAsia="es-ES"/>
        </w:rPr>
        <w:t xml:space="preserve">que </w:t>
      </w:r>
      <w:r w:rsidRPr="005C5B91">
        <w:rPr>
          <w:rFonts w:ascii="Times New Roman" w:hAnsi="Times New Roman" w:cs="Times New Roman"/>
          <w:sz w:val="23"/>
          <w:szCs w:val="23"/>
          <w:lang w:eastAsia="es-ES"/>
        </w:rPr>
        <w:t>en el año 2020 este</w:t>
      </w:r>
      <w:r w:rsidR="00391EB5" w:rsidRPr="005C5B91">
        <w:rPr>
          <w:rFonts w:ascii="Times New Roman" w:hAnsi="Times New Roman" w:cs="Times New Roman"/>
          <w:sz w:val="23"/>
          <w:szCs w:val="23"/>
          <w:lang w:eastAsia="es-ES"/>
        </w:rPr>
        <w:t xml:space="preserve"> beneficio será del orden de </w:t>
      </w:r>
      <w:r w:rsidR="004E55BB" w:rsidRPr="005C5B91">
        <w:rPr>
          <w:rFonts w:ascii="Times New Roman" w:hAnsi="Times New Roman" w:cs="Times New Roman"/>
          <w:sz w:val="23"/>
          <w:szCs w:val="23"/>
          <w:lang w:eastAsia="es-ES"/>
        </w:rPr>
        <w:t>US$</w:t>
      </w:r>
      <w:r w:rsidR="00391EB5" w:rsidRPr="005C5B91">
        <w:rPr>
          <w:rFonts w:ascii="Times New Roman" w:hAnsi="Times New Roman" w:cs="Times New Roman"/>
          <w:sz w:val="23"/>
          <w:szCs w:val="23"/>
          <w:lang w:eastAsia="es-ES"/>
        </w:rPr>
        <w:t>3</w:t>
      </w:r>
      <w:r w:rsidR="004E55BB" w:rsidRPr="005C5B91">
        <w:rPr>
          <w:rFonts w:ascii="Times New Roman" w:hAnsi="Times New Roman" w:cs="Times New Roman"/>
          <w:sz w:val="23"/>
          <w:szCs w:val="23"/>
          <w:lang w:eastAsia="es-ES"/>
        </w:rPr>
        <w:t>47,</w:t>
      </w:r>
      <w:r w:rsidR="00391EB5" w:rsidRPr="005C5B91">
        <w:rPr>
          <w:rFonts w:ascii="Times New Roman" w:hAnsi="Times New Roman" w:cs="Times New Roman"/>
          <w:sz w:val="23"/>
          <w:szCs w:val="23"/>
          <w:lang w:eastAsia="es-ES"/>
        </w:rPr>
        <w:t>3</w:t>
      </w:r>
      <w:r w:rsidR="004E55BB" w:rsidRPr="005C5B91">
        <w:rPr>
          <w:rFonts w:ascii="Times New Roman" w:hAnsi="Times New Roman" w:cs="Times New Roman"/>
          <w:sz w:val="23"/>
          <w:szCs w:val="23"/>
          <w:lang w:eastAsia="es-ES"/>
        </w:rPr>
        <w:t xml:space="preserve"> millones, </w:t>
      </w:r>
      <w:r w:rsidRPr="005C5B91">
        <w:rPr>
          <w:rFonts w:ascii="Times New Roman" w:hAnsi="Times New Roman" w:cs="Times New Roman"/>
          <w:sz w:val="23"/>
          <w:szCs w:val="23"/>
          <w:lang w:eastAsia="es-ES"/>
        </w:rPr>
        <w:t>justi</w:t>
      </w:r>
      <w:r w:rsidR="00391EB5" w:rsidRPr="005C5B91">
        <w:rPr>
          <w:rFonts w:ascii="Times New Roman" w:hAnsi="Times New Roman" w:cs="Times New Roman"/>
          <w:sz w:val="23"/>
          <w:szCs w:val="23"/>
          <w:lang w:eastAsia="es-ES"/>
        </w:rPr>
        <w:t>ficando plenamente la inversión</w:t>
      </w:r>
      <w:r w:rsidR="004E4768">
        <w:rPr>
          <w:rFonts w:ascii="Times New Roman" w:hAnsi="Times New Roman" w:cs="Times New Roman"/>
          <w:sz w:val="23"/>
          <w:szCs w:val="23"/>
          <w:lang w:eastAsia="es-ES"/>
        </w:rPr>
        <w:t xml:space="preserve"> a ser realiza</w:t>
      </w:r>
    </w:p>
    <w:p w:rsidR="009B30C4" w:rsidRPr="005C5B91" w:rsidRDefault="009B30C4" w:rsidP="004E4768">
      <w:pPr>
        <w:tabs>
          <w:tab w:val="left" w:pos="3120"/>
        </w:tabs>
        <w:rPr>
          <w:rFonts w:ascii="Times New Roman" w:hAnsi="Times New Roman" w:cs="Times New Roman"/>
        </w:rPr>
      </w:pPr>
    </w:p>
    <w:sectPr w:rsidR="009B30C4" w:rsidRPr="005C5B91" w:rsidSect="004E476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109" w:rsidRDefault="000C7109" w:rsidP="00D60DB6">
      <w:pPr>
        <w:spacing w:after="0" w:line="240" w:lineRule="auto"/>
      </w:pPr>
      <w:r>
        <w:separator/>
      </w:r>
    </w:p>
  </w:endnote>
  <w:endnote w:type="continuationSeparator" w:id="0">
    <w:p w:rsidR="000C7109" w:rsidRDefault="000C7109" w:rsidP="00D60D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109" w:rsidRDefault="000C7109" w:rsidP="00D60DB6">
      <w:pPr>
        <w:spacing w:after="0" w:line="240" w:lineRule="auto"/>
      </w:pPr>
      <w:r>
        <w:separator/>
      </w:r>
    </w:p>
  </w:footnote>
  <w:footnote w:type="continuationSeparator" w:id="0">
    <w:p w:rsidR="000C7109" w:rsidRDefault="000C7109" w:rsidP="00D60D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43752"/>
      <w:docPartObj>
        <w:docPartGallery w:val="Page Numbers (Top of Page)"/>
        <w:docPartUnique/>
      </w:docPartObj>
    </w:sdtPr>
    <w:sdtContent>
      <w:p w:rsidR="000C7109" w:rsidRDefault="00100B3E">
        <w:pPr>
          <w:pStyle w:val="Header"/>
          <w:jc w:val="center"/>
        </w:pPr>
        <w:fldSimple w:instr=" PAGE   \* MERGEFORMAT ">
          <w:r w:rsidR="00D454BC">
            <w:t>1</w:t>
          </w:r>
        </w:fldSimple>
      </w:p>
    </w:sdtContent>
  </w:sdt>
  <w:p w:rsidR="000C7109" w:rsidRDefault="000C71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273"/>
    <w:multiLevelType w:val="hybridMultilevel"/>
    <w:tmpl w:val="F0D2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220B8"/>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8B1623E"/>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2A0708A8"/>
    <w:multiLevelType w:val="multilevel"/>
    <w:tmpl w:val="7D468392"/>
    <w:lvl w:ilvl="0">
      <w:start w:val="7"/>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318D35A8"/>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Heading9"/>
      <w:lvlText w:val="%9."/>
      <w:lvlJc w:val="left"/>
      <w:pPr>
        <w:tabs>
          <w:tab w:val="num" w:pos="1287"/>
        </w:tabs>
        <w:ind w:left="0" w:firstLine="567"/>
      </w:pPr>
      <w:rPr>
        <w:rFonts w:ascii="Arial" w:hAnsi="Arial" w:hint="default"/>
        <w:b w:val="0"/>
        <w:i w:val="0"/>
        <w:sz w:val="24"/>
      </w:rPr>
    </w:lvl>
  </w:abstractNum>
  <w:abstractNum w:abstractNumId="6">
    <w:nsid w:val="47CC1A7E"/>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nsid w:val="5A292925"/>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nsid w:val="6F5262A9"/>
    <w:multiLevelType w:val="multilevel"/>
    <w:tmpl w:val="760632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09964DF"/>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nsid w:val="720F761D"/>
    <w:multiLevelType w:val="multilevel"/>
    <w:tmpl w:val="1CDA2020"/>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nsid w:val="78733053"/>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0"/>
  </w:num>
  <w:num w:numId="2">
    <w:abstractNumId w:val="10"/>
  </w:num>
  <w:num w:numId="3">
    <w:abstractNumId w:val="2"/>
  </w:num>
  <w:num w:numId="4">
    <w:abstractNumId w:val="9"/>
  </w:num>
  <w:num w:numId="5">
    <w:abstractNumId w:val="11"/>
  </w:num>
  <w:num w:numId="6">
    <w:abstractNumId w:val="5"/>
  </w:num>
  <w:num w:numId="7">
    <w:abstractNumId w:val="7"/>
  </w:num>
  <w:num w:numId="8">
    <w:abstractNumId w:val="3"/>
  </w:num>
  <w:num w:numId="9">
    <w:abstractNumId w:val="8"/>
  </w:num>
  <w:num w:numId="10">
    <w:abstractNumId w:val="1"/>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hyphenationZone w:val="425"/>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rsids>
    <w:rsidRoot w:val="00862434"/>
    <w:rsid w:val="00004B24"/>
    <w:rsid w:val="00005D70"/>
    <w:rsid w:val="00014CAC"/>
    <w:rsid w:val="00040E35"/>
    <w:rsid w:val="0004770A"/>
    <w:rsid w:val="000548B3"/>
    <w:rsid w:val="00077F7F"/>
    <w:rsid w:val="00084539"/>
    <w:rsid w:val="000853E0"/>
    <w:rsid w:val="00087454"/>
    <w:rsid w:val="000A6E8E"/>
    <w:rsid w:val="000C3AB7"/>
    <w:rsid w:val="000C7109"/>
    <w:rsid w:val="000C7848"/>
    <w:rsid w:val="000D674F"/>
    <w:rsid w:val="00100B3E"/>
    <w:rsid w:val="00114300"/>
    <w:rsid w:val="00116430"/>
    <w:rsid w:val="00133057"/>
    <w:rsid w:val="00170345"/>
    <w:rsid w:val="0017289C"/>
    <w:rsid w:val="001E0051"/>
    <w:rsid w:val="001F051C"/>
    <w:rsid w:val="001F1038"/>
    <w:rsid w:val="00202008"/>
    <w:rsid w:val="00214402"/>
    <w:rsid w:val="002176D4"/>
    <w:rsid w:val="00227EDA"/>
    <w:rsid w:val="00260BC5"/>
    <w:rsid w:val="00262986"/>
    <w:rsid w:val="00265154"/>
    <w:rsid w:val="002B08D3"/>
    <w:rsid w:val="002B5C7F"/>
    <w:rsid w:val="002B70A4"/>
    <w:rsid w:val="002C6237"/>
    <w:rsid w:val="002D12C5"/>
    <w:rsid w:val="002D41B7"/>
    <w:rsid w:val="002D4DDD"/>
    <w:rsid w:val="003017DF"/>
    <w:rsid w:val="0031314D"/>
    <w:rsid w:val="00323E14"/>
    <w:rsid w:val="0034382A"/>
    <w:rsid w:val="00346DC5"/>
    <w:rsid w:val="00352B22"/>
    <w:rsid w:val="00363AF9"/>
    <w:rsid w:val="00364457"/>
    <w:rsid w:val="0036722A"/>
    <w:rsid w:val="00391EB5"/>
    <w:rsid w:val="003B27CA"/>
    <w:rsid w:val="003D0EBF"/>
    <w:rsid w:val="003D48BB"/>
    <w:rsid w:val="003E4FB1"/>
    <w:rsid w:val="003E6EA7"/>
    <w:rsid w:val="0040144E"/>
    <w:rsid w:val="00417009"/>
    <w:rsid w:val="0042176B"/>
    <w:rsid w:val="004923A8"/>
    <w:rsid w:val="004A0219"/>
    <w:rsid w:val="004A2760"/>
    <w:rsid w:val="004E4768"/>
    <w:rsid w:val="004E4BD6"/>
    <w:rsid w:val="004E55BB"/>
    <w:rsid w:val="004F402D"/>
    <w:rsid w:val="004F493E"/>
    <w:rsid w:val="00512567"/>
    <w:rsid w:val="005171C5"/>
    <w:rsid w:val="00521E38"/>
    <w:rsid w:val="00536BB4"/>
    <w:rsid w:val="00540E43"/>
    <w:rsid w:val="00596E1F"/>
    <w:rsid w:val="005C13AE"/>
    <w:rsid w:val="005C3BCC"/>
    <w:rsid w:val="005C5B91"/>
    <w:rsid w:val="00602376"/>
    <w:rsid w:val="0061459D"/>
    <w:rsid w:val="0062086B"/>
    <w:rsid w:val="00647CD5"/>
    <w:rsid w:val="00657071"/>
    <w:rsid w:val="00664620"/>
    <w:rsid w:val="006A1DBB"/>
    <w:rsid w:val="006A6D73"/>
    <w:rsid w:val="006B5333"/>
    <w:rsid w:val="006B6C7A"/>
    <w:rsid w:val="006E162B"/>
    <w:rsid w:val="006E2F4E"/>
    <w:rsid w:val="00713F6B"/>
    <w:rsid w:val="007174F6"/>
    <w:rsid w:val="0075283D"/>
    <w:rsid w:val="007570BF"/>
    <w:rsid w:val="0079690E"/>
    <w:rsid w:val="007A4F51"/>
    <w:rsid w:val="007D52BD"/>
    <w:rsid w:val="007F3F0C"/>
    <w:rsid w:val="007F689B"/>
    <w:rsid w:val="008076FE"/>
    <w:rsid w:val="00835681"/>
    <w:rsid w:val="00862434"/>
    <w:rsid w:val="00870117"/>
    <w:rsid w:val="008D1500"/>
    <w:rsid w:val="008D5AD8"/>
    <w:rsid w:val="008D7A70"/>
    <w:rsid w:val="008E24D4"/>
    <w:rsid w:val="008E7EA8"/>
    <w:rsid w:val="008F430F"/>
    <w:rsid w:val="008F72A7"/>
    <w:rsid w:val="0091386C"/>
    <w:rsid w:val="00920082"/>
    <w:rsid w:val="009600ED"/>
    <w:rsid w:val="00970590"/>
    <w:rsid w:val="009A2235"/>
    <w:rsid w:val="009B30C4"/>
    <w:rsid w:val="009D4698"/>
    <w:rsid w:val="009E2FA5"/>
    <w:rsid w:val="00A02DF9"/>
    <w:rsid w:val="00A10D3A"/>
    <w:rsid w:val="00A16736"/>
    <w:rsid w:val="00A23CCD"/>
    <w:rsid w:val="00A33E61"/>
    <w:rsid w:val="00A33F2D"/>
    <w:rsid w:val="00A57859"/>
    <w:rsid w:val="00A6349E"/>
    <w:rsid w:val="00A70A1D"/>
    <w:rsid w:val="00A742E1"/>
    <w:rsid w:val="00A74EE1"/>
    <w:rsid w:val="00AA1A19"/>
    <w:rsid w:val="00AE760B"/>
    <w:rsid w:val="00AF2ABA"/>
    <w:rsid w:val="00B14C92"/>
    <w:rsid w:val="00B433C7"/>
    <w:rsid w:val="00B6396B"/>
    <w:rsid w:val="00B778A9"/>
    <w:rsid w:val="00B80AFB"/>
    <w:rsid w:val="00BC766D"/>
    <w:rsid w:val="00BD0211"/>
    <w:rsid w:val="00BE183E"/>
    <w:rsid w:val="00BE4A1F"/>
    <w:rsid w:val="00C15584"/>
    <w:rsid w:val="00C240B6"/>
    <w:rsid w:val="00C26DB5"/>
    <w:rsid w:val="00C34ED4"/>
    <w:rsid w:val="00C44B53"/>
    <w:rsid w:val="00C648DC"/>
    <w:rsid w:val="00C66F4A"/>
    <w:rsid w:val="00C711F1"/>
    <w:rsid w:val="00C73C05"/>
    <w:rsid w:val="00C76512"/>
    <w:rsid w:val="00C83BD1"/>
    <w:rsid w:val="00C85F56"/>
    <w:rsid w:val="00CC238A"/>
    <w:rsid w:val="00CC52F8"/>
    <w:rsid w:val="00CE1192"/>
    <w:rsid w:val="00CF1BCF"/>
    <w:rsid w:val="00D07DE7"/>
    <w:rsid w:val="00D22071"/>
    <w:rsid w:val="00D34045"/>
    <w:rsid w:val="00D454BC"/>
    <w:rsid w:val="00D46DCA"/>
    <w:rsid w:val="00D47708"/>
    <w:rsid w:val="00D60DB6"/>
    <w:rsid w:val="00D82503"/>
    <w:rsid w:val="00D9400B"/>
    <w:rsid w:val="00DC7DD4"/>
    <w:rsid w:val="00DF230A"/>
    <w:rsid w:val="00E27DC5"/>
    <w:rsid w:val="00E41A01"/>
    <w:rsid w:val="00EB7D6D"/>
    <w:rsid w:val="00EC444A"/>
    <w:rsid w:val="00F13CE2"/>
    <w:rsid w:val="00F13FAF"/>
    <w:rsid w:val="00F16BB4"/>
    <w:rsid w:val="00F21489"/>
    <w:rsid w:val="00F2478B"/>
    <w:rsid w:val="00F35D9E"/>
    <w:rsid w:val="00F44535"/>
    <w:rsid w:val="00F50C5A"/>
    <w:rsid w:val="00F53C06"/>
    <w:rsid w:val="00F56CBA"/>
    <w:rsid w:val="00F657D5"/>
    <w:rsid w:val="00F73A66"/>
    <w:rsid w:val="00F84FA6"/>
    <w:rsid w:val="00F95D5F"/>
    <w:rsid w:val="00FB570F"/>
    <w:rsid w:val="00FC4556"/>
    <w:rsid w:val="00FC5F72"/>
    <w:rsid w:val="00FD4A49"/>
    <w:rsid w:val="00FD6A22"/>
    <w:rsid w:val="00FE51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09"/>
    <w:rPr>
      <w:noProof/>
      <w:lang w:val="es-ES"/>
    </w:rPr>
  </w:style>
  <w:style w:type="paragraph" w:styleId="Heading9">
    <w:name w:val="heading 9"/>
    <w:basedOn w:val="Normal"/>
    <w:next w:val="Normal"/>
    <w:link w:val="Heading9Char"/>
    <w:qFormat/>
    <w:rsid w:val="000853E0"/>
    <w:pPr>
      <w:numPr>
        <w:ilvl w:val="8"/>
        <w:numId w:val="6"/>
      </w:numPr>
      <w:spacing w:before="240" w:after="60" w:line="240" w:lineRule="auto"/>
      <w:outlineLvl w:val="8"/>
    </w:pPr>
    <w:rPr>
      <w:rFonts w:ascii="Arial" w:eastAsia="Times New Roman" w:hAnsi="Arial" w:cs="Arial"/>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434"/>
    <w:pPr>
      <w:ind w:left="720"/>
      <w:contextualSpacing/>
    </w:pPr>
  </w:style>
  <w:style w:type="paragraph" w:customStyle="1" w:styleId="Chapter">
    <w:name w:val="Chapter"/>
    <w:basedOn w:val="Normal"/>
    <w:next w:val="Normal"/>
    <w:link w:val="ChapterChar"/>
    <w:rsid w:val="008E7EA8"/>
    <w:pPr>
      <w:numPr>
        <w:numId w:val="3"/>
      </w:numPr>
      <w:tabs>
        <w:tab w:val="left" w:pos="1440"/>
      </w:tabs>
      <w:spacing w:after="240" w:line="240" w:lineRule="auto"/>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rsid w:val="008E7EA8"/>
    <w:pPr>
      <w:numPr>
        <w:ilvl w:val="1"/>
        <w:numId w:val="3"/>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8E7EA8"/>
    <w:pPr>
      <w:numPr>
        <w:ilvl w:val="2"/>
        <w:numId w:val="3"/>
      </w:numPr>
      <w:tabs>
        <w:tab w:val="clear" w:pos="1152"/>
      </w:tabs>
      <w:ind w:left="360" w:firstLine="0"/>
    </w:pPr>
  </w:style>
  <w:style w:type="paragraph" w:customStyle="1" w:styleId="SubSubPar">
    <w:name w:val="SubSubPar"/>
    <w:basedOn w:val="subpar"/>
    <w:rsid w:val="008E7EA8"/>
    <w:pPr>
      <w:numPr>
        <w:ilvl w:val="3"/>
      </w:numPr>
      <w:tabs>
        <w:tab w:val="clear" w:pos="1584"/>
      </w:tabs>
      <w:ind w:left="360" w:firstLine="0"/>
    </w:pPr>
  </w:style>
  <w:style w:type="character" w:customStyle="1" w:styleId="ChapterChar">
    <w:name w:val="Chapter Char"/>
    <w:basedOn w:val="DefaultParagraphFont"/>
    <w:link w:val="Chapter"/>
    <w:locked/>
    <w:rsid w:val="008E7EA8"/>
    <w:rPr>
      <w:rFonts w:ascii="Times New Roman" w:eastAsia="Times New Roman" w:hAnsi="Times New Roman" w:cs="Times New Roman"/>
      <w:b/>
      <w:smallCaps/>
      <w:sz w:val="24"/>
      <w:szCs w:val="20"/>
      <w:lang w:val="es-ES"/>
    </w:rPr>
  </w:style>
  <w:style w:type="paragraph" w:styleId="BodyTextIndent">
    <w:name w:val="Body Text Indent"/>
    <w:basedOn w:val="Normal"/>
    <w:link w:val="BodyTextIndentChar"/>
    <w:uiPriority w:val="99"/>
    <w:semiHidden/>
    <w:unhideWhenUsed/>
    <w:rsid w:val="008E7EA8"/>
    <w:pPr>
      <w:spacing w:after="120"/>
      <w:ind w:left="360"/>
    </w:pPr>
  </w:style>
  <w:style w:type="character" w:customStyle="1" w:styleId="BodyTextIndentChar">
    <w:name w:val="Body Text Indent Char"/>
    <w:basedOn w:val="DefaultParagraphFont"/>
    <w:link w:val="BodyTextIndent"/>
    <w:uiPriority w:val="99"/>
    <w:semiHidden/>
    <w:rsid w:val="008E7EA8"/>
  </w:style>
  <w:style w:type="paragraph" w:styleId="BodyTextIndent3">
    <w:name w:val="Body Text Indent 3"/>
    <w:basedOn w:val="Normal"/>
    <w:link w:val="BodyTextIndent3Char"/>
    <w:uiPriority w:val="99"/>
    <w:semiHidden/>
    <w:unhideWhenUsed/>
    <w:rsid w:val="008E7EA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E7EA8"/>
    <w:rPr>
      <w:sz w:val="16"/>
      <w:szCs w:val="16"/>
    </w:rPr>
  </w:style>
  <w:style w:type="paragraph" w:styleId="EndnoteText">
    <w:name w:val="endnote text"/>
    <w:basedOn w:val="Normal"/>
    <w:link w:val="EndnoteTextChar"/>
    <w:uiPriority w:val="99"/>
    <w:semiHidden/>
    <w:unhideWhenUsed/>
    <w:rsid w:val="00D60DB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60DB6"/>
    <w:rPr>
      <w:sz w:val="20"/>
      <w:szCs w:val="20"/>
    </w:rPr>
  </w:style>
  <w:style w:type="character" w:styleId="EndnoteReference">
    <w:name w:val="endnote reference"/>
    <w:basedOn w:val="DefaultParagraphFont"/>
    <w:uiPriority w:val="99"/>
    <w:semiHidden/>
    <w:unhideWhenUsed/>
    <w:rsid w:val="00D60DB6"/>
    <w:rPr>
      <w:vertAlign w:val="superscript"/>
    </w:rPr>
  </w:style>
  <w:style w:type="paragraph" w:styleId="FootnoteText">
    <w:name w:val="footnote text"/>
    <w:basedOn w:val="Normal"/>
    <w:link w:val="FootnoteTextChar"/>
    <w:uiPriority w:val="99"/>
    <w:semiHidden/>
    <w:unhideWhenUsed/>
    <w:rsid w:val="00D60D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0DB6"/>
    <w:rPr>
      <w:sz w:val="20"/>
      <w:szCs w:val="20"/>
    </w:rPr>
  </w:style>
  <w:style w:type="character" w:styleId="FootnoteReference">
    <w:name w:val="footnote reference"/>
    <w:basedOn w:val="DefaultParagraphFont"/>
    <w:uiPriority w:val="99"/>
    <w:semiHidden/>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cs="Times New Roman"/>
      <w:b/>
      <w:bCs/>
      <w:sz w:val="20"/>
      <w:szCs w:val="20"/>
      <w:lang w:eastAsia="es-ES"/>
    </w:rPr>
  </w:style>
  <w:style w:type="character" w:customStyle="1" w:styleId="Heading9Char">
    <w:name w:val="Heading 9 Char"/>
    <w:basedOn w:val="DefaultParagraphFont"/>
    <w:link w:val="Heading9"/>
    <w:rsid w:val="000853E0"/>
    <w:rPr>
      <w:rFonts w:ascii="Arial" w:eastAsia="Times New Roman" w:hAnsi="Arial" w:cs="Arial"/>
      <w:lang w:val="es-ES"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basedOn w:val="Normal"/>
    <w:link w:val="FooterChar"/>
    <w:uiPriority w:val="99"/>
    <w:semiHidden/>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2FA5"/>
  </w:style>
  <w:style w:type="paragraph" w:customStyle="1" w:styleId="Default">
    <w:name w:val="Default"/>
    <w:rsid w:val="00970590"/>
    <w:pPr>
      <w:autoSpaceDE w:val="0"/>
      <w:autoSpaceDN w:val="0"/>
      <w:adjustRightInd w:val="0"/>
      <w:spacing w:after="0" w:line="240" w:lineRule="auto"/>
    </w:pPr>
    <w:rPr>
      <w:rFonts w:ascii="Times New Roman" w:hAnsi="Times New Roman" w:cs="Times New Roman"/>
      <w:color w:val="000000"/>
      <w:sz w:val="24"/>
      <w:szCs w:val="24"/>
    </w:rPr>
  </w:style>
  <w:style w:type="table" w:styleId="LightList-Accent2">
    <w:name w:val="Light List Accent 2"/>
    <w:basedOn w:val="TableNormal"/>
    <w:uiPriority w:val="61"/>
    <w:rsid w:val="0075283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6">
    <w:name w:val="Light Shading Accent 6"/>
    <w:basedOn w:val="TableNormal"/>
    <w:uiPriority w:val="60"/>
    <w:rsid w:val="0075283D"/>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Accent5">
    <w:name w:val="Light Shading Accent 5"/>
    <w:basedOn w:val="TableNormal"/>
    <w:uiPriority w:val="60"/>
    <w:rsid w:val="0075283D"/>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752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SubtleReference">
    <w:name w:val="Subtle Reference"/>
    <w:basedOn w:val="DefaultParagraphFont"/>
    <w:uiPriority w:val="31"/>
    <w:qFormat/>
    <w:rsid w:val="007D52BD"/>
    <w:rPr>
      <w:smallCaps/>
      <w:color w:val="C0504D" w:themeColor="accent2"/>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708"/>
    <w:rPr>
      <w:rFonts w:ascii="Tahoma" w:hAnsi="Tahoma" w:cs="Tahoma"/>
      <w:sz w:val="16"/>
      <w:szCs w:val="16"/>
    </w:rPr>
  </w:style>
  <w:style w:type="character" w:customStyle="1" w:styleId="ParagraphChar">
    <w:name w:val="Paragraph Char"/>
    <w:basedOn w:val="DefaultParagraphFont"/>
    <w:link w:val="Paragraph"/>
    <w:locked/>
    <w:rsid w:val="006B5333"/>
    <w:rPr>
      <w:rFonts w:ascii="Times New Roman" w:eastAsia="Times New Roman" w:hAnsi="Times New Roman" w:cs="Times New Roman"/>
      <w:sz w:val="24"/>
      <w:szCs w:val="20"/>
      <w:lang w:val="es-ES"/>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91EB5"/>
    <w:rPr>
      <w:rFonts w:ascii="Arial" w:eastAsia="Times New Roman" w:hAnsi="Arial" w:cs="Arial"/>
      <w:vanish/>
      <w:sz w:val="16"/>
      <w:szCs w:val="16"/>
    </w:rPr>
  </w:style>
  <w:style w:type="paragraph" w:styleId="NoSpacing">
    <w:name w:val="No Spacing"/>
    <w:link w:val="NoSpacingChar"/>
    <w:uiPriority w:val="1"/>
    <w:qFormat/>
    <w:rsid w:val="00114300"/>
    <w:pPr>
      <w:spacing w:after="0" w:line="240" w:lineRule="auto"/>
    </w:pPr>
    <w:rPr>
      <w:rFonts w:eastAsiaTheme="minorEastAsia"/>
      <w:lang w:val="pt-BR"/>
    </w:rPr>
  </w:style>
  <w:style w:type="character" w:customStyle="1" w:styleId="NoSpacingChar">
    <w:name w:val="No Spacing Char"/>
    <w:basedOn w:val="DefaultParagraphFont"/>
    <w:link w:val="NoSpacing"/>
    <w:uiPriority w:val="1"/>
    <w:rsid w:val="00114300"/>
    <w:rPr>
      <w:rFonts w:eastAsiaTheme="minorEastAsia"/>
      <w:lang w:val="pt-BR"/>
    </w:rPr>
  </w:style>
</w:styles>
</file>

<file path=word/webSettings.xml><?xml version="1.0" encoding="utf-8"?>
<w:webSettings xmlns:r="http://schemas.openxmlformats.org/officeDocument/2006/relationships" xmlns:w="http://schemas.openxmlformats.org/wordprocessingml/2006/main">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customXml" Target="../customXml/item5.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43711F99065845BBED2C48CA2AB3CF" ma:contentTypeVersion="0" ma:contentTypeDescription="A content type to manage public (operations) IDB documents" ma:contentTypeScope="" ma:versionID="975cb1f28027e28a7e369da97393fdb3">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2011-05-31T00:00:00</PublishDate>
  <Abstract>El presente estudio fue preparado por Gilberto Chona (ICF/FMM) y Marcio Cracel (Consultor ICF/FMM).</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Region xmlns="9c571b2f-e523-4ab2-ba2e-09e151a03ef4" xsi:nil="true"/>
    <IDBDocs_x0020_Number xmlns="9c571b2f-e523-4ab2-ba2e-09e151a03ef4">36213001</IDBDocs_x0020_Number>
    <Document_x0020_Author xmlns="9c571b2f-e523-4ab2-ba2e-09e151a03ef4">Chona, Gilberto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2011</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PN-L1066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Proposal&lt;/USER_STAGE&gt;&lt;PD_OBJ_TYPE&gt;0&lt;/PD_OBJ_TYPE&gt;&lt;MAKERECORD&gt;N&lt;/MAKERECORD&gt;&lt;PD_FILEPT_NO&gt;PO-PN-L1066-Anl&lt;/PD_FILEPT_NO&gt;&lt;/Data&gt;</Migration_x0020_Info>
    <Approval_x0020_Number xmlns="9c571b2f-e523-4ab2-ba2e-09e151a03ef4">2568/OC-PN</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MA-FIS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91396E0D-DF75-4D41-B801-AF1A9519AE89}"/>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CF5B7658-63EA-4A73-9295-67BADEEF4964}"/>
</file>

<file path=customXml/itemProps4.xml><?xml version="1.0" encoding="utf-8"?>
<ds:datastoreItem xmlns:ds="http://schemas.openxmlformats.org/officeDocument/2006/customXml" ds:itemID="{07F08319-DABD-458F-AB2E-6362F84E8E05}"/>
</file>

<file path=customXml/itemProps5.xml><?xml version="1.0" encoding="utf-8"?>
<ds:datastoreItem xmlns:ds="http://schemas.openxmlformats.org/officeDocument/2006/customXml" ds:itemID="{687B4C25-3369-4E6F-A655-F62E21AD54E1}"/>
</file>

<file path=customXml/itemProps6.xml><?xml version="1.0" encoding="utf-8"?>
<ds:datastoreItem xmlns:ds="http://schemas.openxmlformats.org/officeDocument/2006/customXml" ds:itemID="{9697225A-5A44-48BB-9E3E-5FDF318A6C33}"/>
</file>

<file path=customXml/itemProps7.xml><?xml version="1.0" encoding="utf-8"?>
<ds:datastoreItem xmlns:ds="http://schemas.openxmlformats.org/officeDocument/2006/customXml" ds:itemID="{4A76242B-8067-4408-A539-60D9B9526555}"/>
</file>

<file path=docProps/app.xml><?xml version="1.0" encoding="utf-8"?>
<Properties xmlns="http://schemas.openxmlformats.org/officeDocument/2006/extended-properties" xmlns:vt="http://schemas.openxmlformats.org/officeDocument/2006/docPropsVTypes">
  <Template>Normal.dotm</Template>
  <TotalTime>2</TotalTime>
  <Pages>18</Pages>
  <Words>4800</Words>
  <Characters>26404</Characters>
  <Application>Microsoft Office Word</Application>
  <DocSecurity>0</DocSecurity>
  <Lines>220</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Panamá</vt:lpstr>
      <vt:lpstr>Análisis Económico</vt:lpstr>
    </vt:vector>
  </TitlesOfParts>
  <Company>Grizli777</Company>
  <LinksUpToDate>false</LinksUpToDate>
  <CharactersWithSpaces>31142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dc:title>
  <dc:subject>Programa de Fortalecimiento de la gestión Fiscal (PN-L1066)</dc:subject>
  <dc:creator>Anexo de Análisis Económico</dc:creator>
  <cp:keywords/>
  <dc:description/>
  <cp:lastModifiedBy>IADB</cp:lastModifiedBy>
  <cp:revision>4</cp:revision>
  <cp:lastPrinted>2011-06-07T14:21:00Z</cp:lastPrinted>
  <dcterms:created xsi:type="dcterms:W3CDTF">2011-06-02T20:37:00Z</dcterms:created>
  <dcterms:modified xsi:type="dcterms:W3CDTF">2011-06-07T14:21:00Z</dcterms:modified>
  <cp:category>Estúdio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109476321</vt:i4>
  </property>
  <property fmtid="{D5CDD505-2E9C-101B-9397-08002B2CF9AE}" pid="3" name="_NewReviewCycle">
    <vt:lpwstr/>
  </property>
  <property fmtid="{D5CDD505-2E9C-101B-9397-08002B2CF9AE}" pid="4" name="_EmailSubject">
    <vt:lpwstr>PN-L1066: Apéndice Opcional - Análisis Económico del Proyecto</vt:lpwstr>
  </property>
  <property fmtid="{D5CDD505-2E9C-101B-9397-08002B2CF9AE}" pid="5" name="_AuthorEmail">
    <vt:lpwstr>GILBERTOC@iadb.org</vt:lpwstr>
  </property>
  <property fmtid="{D5CDD505-2E9C-101B-9397-08002B2CF9AE}" pid="6" name="_AuthorEmailDisplayName">
    <vt:lpwstr>Chona, Gilberto E.</vt:lpwstr>
  </property>
  <property fmtid="{D5CDD505-2E9C-101B-9397-08002B2CF9AE}" pid="7" name="_ReviewingToolsShownOnce">
    <vt:lpwstr/>
  </property>
  <property fmtid="{D5CDD505-2E9C-101B-9397-08002B2CF9AE}" pid="8" name="TaxKeyword">
    <vt:lpwstr/>
  </property>
  <property fmtid="{D5CDD505-2E9C-101B-9397-08002B2CF9AE}" pid="9" name="Sub_x002d_Sector">
    <vt:lpwstr/>
  </property>
  <property fmtid="{D5CDD505-2E9C-101B-9397-08002B2CF9AE}" pid="10" name="ContentTypeId">
    <vt:lpwstr>0x01010046CF21643EE8D14686A648AA6DAD089200EC43711F99065845BBED2C48CA2AB3CF</vt:lpwstr>
  </property>
  <property fmtid="{D5CDD505-2E9C-101B-9397-08002B2CF9AE}" pid="11" name="TaxKeywordTaxHTField">
    <vt:lpwstr/>
  </property>
  <property fmtid="{D5CDD505-2E9C-101B-9397-08002B2CF9AE}" pid="12" name="Series Operations IDB">
    <vt:lpwstr>4;#Loan Proposal|6ee86b6f-6e46-485b-8bfb-87a1f44622ac</vt:lpwstr>
  </property>
  <property fmtid="{D5CDD505-2E9C-101B-9397-08002B2CF9AE}" pid="13" name="Sub-Sector">
    <vt:lpwstr/>
  </property>
  <property fmtid="{D5CDD505-2E9C-101B-9397-08002B2CF9AE}" pid="14" name="Country">
    <vt:lpwstr/>
  </property>
  <property fmtid="{D5CDD505-2E9C-101B-9397-08002B2CF9AE}" pid="15" name="Fund IDB">
    <vt:lpwstr/>
  </property>
  <property fmtid="{D5CDD505-2E9C-101B-9397-08002B2CF9AE}" pid="16" name="Series_x0020_Operations_x0020_IDB">
    <vt:lpwstr>4;#Loan Proposal|6ee86b6f-6e46-485b-8bfb-87a1f44622ac</vt:lpwstr>
  </property>
  <property fmtid="{D5CDD505-2E9C-101B-9397-08002B2CF9AE}" pid="17" name="To:">
    <vt:lpwstr/>
  </property>
  <property fmtid="{D5CDD505-2E9C-101B-9397-08002B2CF9AE}" pid="18" name="From:">
    <vt:lpwstr/>
  </property>
  <property fmtid="{D5CDD505-2E9C-101B-9397-08002B2CF9AE}" pid="19" name="Sector IDB">
    <vt:lpwstr/>
  </property>
  <property fmtid="{D5CDD505-2E9C-101B-9397-08002B2CF9AE}" pid="20" name="Function Operations IDB">
    <vt:lpwstr>5;#Project Preparation, Planning and Design|29ca0c72-1fc4-435f-a09c-28585cb5eac9</vt:lpwstr>
  </property>
</Properties>
</file>