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D2EF2" w:rsidR="005D330B" w:rsidP="001D2EF2" w:rsidRDefault="00124040" w14:paraId="3BBAB1B6" w14:textId="5D73DDFB">
      <w:pPr>
        <w:spacing w:before="120" w:after="120" w:line="240" w:lineRule="auto"/>
        <w:jc w:val="center"/>
        <w:rPr>
          <w:rFonts w:ascii="Arial" w:hAnsi="Arial" w:eastAsia="Arial" w:cs="Arial"/>
          <w:b/>
          <w:bCs/>
          <w:sz w:val="24"/>
          <w:szCs w:val="24"/>
        </w:rPr>
      </w:pPr>
      <w:r w:rsidRPr="26B9D784">
        <w:rPr>
          <w:rFonts w:ascii="Arial" w:hAnsi="Arial" w:eastAsia="Arial" w:cs="Arial"/>
          <w:b/>
          <w:bCs/>
          <w:sz w:val="24"/>
          <w:szCs w:val="24"/>
          <w:lang w:val="fr-FR"/>
        </w:rPr>
        <w:t>TC</w:t>
      </w:r>
      <w:r w:rsidRPr="26B9D784" w:rsidR="00340BC1">
        <w:rPr>
          <w:rFonts w:ascii="Arial" w:hAnsi="Arial" w:eastAsia="Arial" w:cs="Arial"/>
          <w:b/>
          <w:bCs/>
          <w:sz w:val="24"/>
          <w:szCs w:val="24"/>
          <w:lang w:val="fr-FR"/>
        </w:rPr>
        <w:t xml:space="preserve"> </w:t>
      </w:r>
      <w:r w:rsidRPr="26B9D784" w:rsidR="00017B41">
        <w:rPr>
          <w:rFonts w:ascii="Arial" w:hAnsi="Arial" w:eastAsia="Arial" w:cs="Arial"/>
          <w:b/>
          <w:bCs/>
          <w:sz w:val="24"/>
          <w:szCs w:val="24"/>
          <w:lang w:val="fr-FR"/>
        </w:rPr>
        <w:t>Document</w:t>
      </w:r>
    </w:p>
    <w:p w:rsidRPr="000F744C" w:rsidR="0095711B" w:rsidP="54260729" w:rsidRDefault="54260729" w14:paraId="3BBAB1BB"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7D29E2E9" w14:paraId="3BBAB1BE" w14:textId="77777777">
        <w:tc>
          <w:tcPr>
            <w:tcW w:w="3456" w:type="dxa"/>
          </w:tcPr>
          <w:p w:rsidRPr="000F744C" w:rsidR="009F33FF" w:rsidP="54260729" w:rsidRDefault="54260729" w14:paraId="3BBAB1BC"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6084"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BRAZIL</w:t>
                </w:r>
              </w:p>
            </w:tc>
          </w:sdtContent>
        </w:sdt>
      </w:tr>
      <w:tr w:rsidRPr="00B811D8" w:rsidR="009F33FF" w:rsidTr="7D29E2E9" w14:paraId="3BBAB1C1" w14:textId="77777777">
        <w:tc>
          <w:tcPr>
            <w:tcW w:w="3456" w:type="dxa"/>
          </w:tcPr>
          <w:p w:rsidRPr="000F744C" w:rsidR="009F33FF" w:rsidP="54260729" w:rsidRDefault="54260729" w14:paraId="3BBAB1BF"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6084" w:type="dxa"/>
              </w:tcPr>
              <w:p w:rsidRPr="00404652" w:rsidR="009F33FF" w:rsidP="0028247E" w:rsidRDefault="0028247E" w14:paraId="3BBAB1C0" w14:textId="7A017364">
                <w:pPr>
                  <w:spacing w:after="60"/>
                  <w:rPr>
                    <w:rFonts w:ascii="Arial" w:hAnsi="Arial" w:cs="Arial"/>
                    <w:sz w:val="18"/>
                    <w:szCs w:val="18"/>
                  </w:rPr>
                </w:pPr>
                <w:r>
                  <w:rPr>
                    <w:rFonts w:ascii="Arial" w:hAnsi="Arial" w:cs="Arial"/>
                    <w:sz w:val="18"/>
                    <w:szCs w:val="18"/>
                  </w:rPr>
                  <w:t>Improvement of Efficiency and Service Delivery of Education in Brazil in times of COVID19</w:t>
                </w:r>
              </w:p>
            </w:tc>
          </w:sdtContent>
        </w:sdt>
      </w:tr>
      <w:tr w:rsidRPr="00B811D8" w:rsidR="009F33FF" w:rsidTr="7D29E2E9" w14:paraId="3BBAB1C4" w14:textId="77777777">
        <w:trPr>
          <w:trHeight w:val="263"/>
        </w:trPr>
        <w:tc>
          <w:tcPr>
            <w:tcW w:w="3456" w:type="dxa"/>
          </w:tcPr>
          <w:p w:rsidRPr="000F744C" w:rsidR="009F33FF" w:rsidP="54260729" w:rsidRDefault="54260729" w14:paraId="3BBAB1C2"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6084" w:type="dxa"/>
          </w:tcPr>
          <w:p w:rsidRPr="00B811D8" w:rsidR="009F33FF" w:rsidP="00EC6CAF" w:rsidRDefault="002658B3" w14:paraId="3BBAB1C3" w14:textId="1DA86BBC">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BR-T1447</w:t>
                </w:r>
              </w:sdtContent>
            </w:sdt>
            <w:r w:rsidR="00423F56">
              <w:rPr>
                <w:rFonts w:ascii="Arial" w:hAnsi="Arial" w:cs="Arial"/>
                <w:sz w:val="18"/>
                <w:szCs w:val="18"/>
              </w:rPr>
              <w:tab/>
            </w:r>
          </w:p>
        </w:tc>
      </w:tr>
      <w:tr w:rsidRPr="00B811D8" w:rsidR="009F33FF" w:rsidTr="7D29E2E9" w14:paraId="3BBAB1C7" w14:textId="77777777">
        <w:trPr>
          <w:trHeight w:val="288"/>
        </w:trPr>
        <w:tc>
          <w:tcPr>
            <w:tcW w:w="3456" w:type="dxa"/>
          </w:tcPr>
          <w:p w:rsidRPr="000F744C" w:rsidR="009F33FF" w:rsidP="26B9D784" w:rsidRDefault="00E85797" w14:paraId="3BBAB1C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6084" w:type="dxa"/>
          </w:tcPr>
          <w:p w:rsidRPr="00404652" w:rsidR="00B83CCE" w:rsidP="009F705D" w:rsidRDefault="002658B3" w14:paraId="3BBAB1C6" w14:textId="0A5F9A59">
            <w:pPr>
              <w:spacing w:after="60"/>
              <w:rPr>
                <w:rFonts w:ascii="Arial" w:hAnsi="Arial" w:eastAsia="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00664574">
                  <w:rPr>
                    <w:rFonts w:ascii="Arial" w:hAnsi="Arial" w:cs="Arial"/>
                    <w:sz w:val="18"/>
                    <w:szCs w:val="18"/>
                  </w:rPr>
                  <w:t xml:space="preserve">Duenas Herrera, Ximena (SCL/EDU) Team Leader; Cossi Fernandes, Joao Paulo (SCL/EDU) Alternate Team Leader; Blasco, Ivana (SCL/EDU); Celeste Marzo, Cristina (LEG/SGO); De Freitas Severino, Ligia (CSC/CBR); Duarte Salcedo, Catalina (SCL/EDU); Holguin Madrinan, Alejandra (SCL/SCL); Perez, Marcisgley Vieira (CSC/CBR); Scannone Chavez, Rodolfo Andres (SCL/EDU) </w:t>
                </w:r>
                <w:proofErr w:type="spellStart"/>
                <w:r w:rsidR="00664574">
                  <w:rPr>
                    <w:rFonts w:ascii="Arial" w:hAnsi="Arial" w:cs="Arial"/>
                    <w:sz w:val="18"/>
                    <w:szCs w:val="18"/>
                  </w:rPr>
                  <w:t>Marcisgley</w:t>
                </w:r>
                <w:proofErr w:type="spellEnd"/>
                <w:r w:rsidR="00664574">
                  <w:rPr>
                    <w:rFonts w:ascii="Arial" w:hAnsi="Arial" w:cs="Arial"/>
                    <w:sz w:val="18"/>
                    <w:szCs w:val="18"/>
                  </w:rPr>
                  <w:t xml:space="preserve"> Vieira (CSC/CBR); Scannone Chavez, Rodolfo Andres (SCL/EDU) </w:t>
                </w:r>
              </w:sdtContent>
            </w:sdt>
          </w:p>
        </w:tc>
      </w:tr>
      <w:tr w:rsidRPr="002D7FB5" w:rsidR="00E85797" w:rsidTr="7D29E2E9" w14:paraId="3BBAB1CA" w14:textId="77777777">
        <w:tc>
          <w:tcPr>
            <w:tcW w:w="3456" w:type="dxa"/>
          </w:tcPr>
          <w:p w:rsidRPr="000F744C" w:rsidR="00E85797" w:rsidP="26B9D784" w:rsidRDefault="00B811D8" w14:paraId="3BBAB1C8"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6084" w:type="dxa"/>
              </w:tcPr>
              <w:p w:rsidRPr="00B811D8" w:rsidR="00E85797" w:rsidP="002D7FB5" w:rsidRDefault="00C70C8B" w14:paraId="3BBAB1C9" w14:textId="14AE1621">
                <w:pPr>
                  <w:spacing w:after="60"/>
                  <w:rPr>
                    <w:rFonts w:ascii="Arial" w:hAnsi="Arial" w:cs="Arial"/>
                    <w:sz w:val="18"/>
                    <w:szCs w:val="18"/>
                    <w:lang w:val="es-ES_tradnl"/>
                  </w:rPr>
                </w:pPr>
                <w:r>
                  <w:rPr>
                    <w:rFonts w:ascii="Arial" w:hAnsi="Arial" w:cs="Arial"/>
                    <w:sz w:val="18"/>
                    <w:szCs w:val="18"/>
                  </w:rPr>
                  <w:t>Client Support</w:t>
                </w:r>
              </w:p>
            </w:tc>
          </w:sdtContent>
        </w:sdt>
      </w:tr>
      <w:tr w:rsidRPr="00B811D8" w:rsidR="00E85797" w:rsidTr="7D29E2E9" w14:paraId="3BBAB1CD" w14:textId="77777777">
        <w:tc>
          <w:tcPr>
            <w:tcW w:w="3456" w:type="dxa"/>
          </w:tcPr>
          <w:p w:rsidRPr="000F744C" w:rsidR="00E85797" w:rsidP="26B9D784" w:rsidRDefault="00E85797" w14:paraId="3BBAB1CB"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6084" w:type="dxa"/>
          </w:tcPr>
          <w:p w:rsidRPr="00B811D8" w:rsidR="00E85797" w:rsidP="00EC6CAF" w:rsidRDefault="002658B3" w14:paraId="3BBAB1CC" w14:textId="29BADCCB">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sdt>
            <w:r w:rsidRPr="00E40AE6" w:rsidR="002E65F5">
              <w:rPr>
                <w:rFonts w:ascii="Arial" w:hAnsi="Arial" w:cs="Arial"/>
                <w:color w:val="000000" w:themeColor="text1"/>
                <w:sz w:val="18"/>
                <w:szCs w:val="18"/>
              </w:rPr>
              <w:t>.</w:t>
            </w:r>
          </w:p>
        </w:tc>
      </w:tr>
      <w:tr w:rsidRPr="00B811D8" w:rsidR="009F33FF" w:rsidTr="7D29E2E9" w14:paraId="3BBAB1D0" w14:textId="77777777">
        <w:tc>
          <w:tcPr>
            <w:tcW w:w="3456" w:type="dxa"/>
          </w:tcPr>
          <w:p w:rsidRPr="000F744C" w:rsidR="009F33FF" w:rsidP="26B9D784" w:rsidRDefault="009F33FF" w14:paraId="3BBAB1CE"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6084" w:type="dxa"/>
          </w:tcPr>
          <w:p w:rsidRPr="00B811D8" w:rsidR="009F33FF" w:rsidP="00EC6CAF" w:rsidRDefault="002658B3" w14:paraId="3BBAB1CF" w14:textId="512DF123">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26 Aug 2020</w:t>
                </w:r>
              </w:sdtContent>
            </w:sdt>
            <w:r w:rsidRPr="00E40AE6" w:rsidR="002E65F5">
              <w:rPr>
                <w:rFonts w:ascii="Arial" w:hAnsi="Arial" w:cs="Arial"/>
                <w:color w:val="000000" w:themeColor="text1"/>
                <w:sz w:val="18"/>
                <w:szCs w:val="18"/>
                <w:lang w:val="es-ES_tradnl"/>
              </w:rPr>
              <w:t>.</w:t>
            </w:r>
          </w:p>
        </w:tc>
      </w:tr>
      <w:tr w:rsidRPr="00B811D8" w:rsidR="009F33FF" w:rsidTr="7D29E2E9" w14:paraId="3BBAB1D3" w14:textId="77777777">
        <w:trPr>
          <w:trHeight w:val="288"/>
        </w:trPr>
        <w:tc>
          <w:tcPr>
            <w:tcW w:w="3456" w:type="dxa"/>
          </w:tcPr>
          <w:p w:rsidRPr="000F744C" w:rsidR="009F33FF" w:rsidP="26B9D784" w:rsidRDefault="009F33FF" w14:paraId="3BBAB1D1"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6084" w:type="dxa"/>
          </w:tcPr>
          <w:p w:rsidRPr="00B811D8" w:rsidR="009F33FF" w:rsidP="00825F8B" w:rsidRDefault="00063474" w14:paraId="3BBAB1D2" w14:textId="5D773B64">
            <w:pPr>
              <w:tabs>
                <w:tab w:val="left" w:pos="3740"/>
                <w:tab w:val="left" w:pos="4256"/>
              </w:tabs>
              <w:spacing w:after="60"/>
              <w:rPr>
                <w:rFonts w:ascii="Arial" w:hAnsi="Arial" w:eastAsia="Arial" w:cs="Arial"/>
                <w:sz w:val="18"/>
                <w:szCs w:val="18"/>
                <w:lang w:val="es-ES"/>
              </w:rPr>
            </w:pPr>
            <w:proofErr w:type="spellStart"/>
            <w:r>
              <w:rPr>
                <w:rFonts w:ascii="Arial" w:hAnsi="Arial" w:eastAsia="Arial" w:cs="Arial"/>
                <w:sz w:val="18"/>
                <w:szCs w:val="18"/>
                <w:lang w:val="es-ES"/>
              </w:rPr>
              <w:t>Manaus</w:t>
            </w:r>
            <w:proofErr w:type="spellEnd"/>
            <w:r>
              <w:rPr>
                <w:rFonts w:ascii="Arial" w:hAnsi="Arial" w:eastAsia="Arial" w:cs="Arial"/>
                <w:sz w:val="18"/>
                <w:szCs w:val="18"/>
                <w:lang w:val="es-ES"/>
              </w:rPr>
              <w:t xml:space="preserve">, </w:t>
            </w:r>
            <w:proofErr w:type="spellStart"/>
            <w:r w:rsidR="00404652">
              <w:rPr>
                <w:rFonts w:ascii="Arial" w:hAnsi="Arial" w:eastAsia="Arial" w:cs="Arial"/>
                <w:sz w:val="18"/>
                <w:szCs w:val="18"/>
                <w:lang w:val="es-ES"/>
              </w:rPr>
              <w:t>Brazil</w:t>
            </w:r>
            <w:proofErr w:type="spellEnd"/>
          </w:p>
        </w:tc>
      </w:tr>
      <w:tr w:rsidRPr="00B811D8" w:rsidR="009F33FF" w:rsidTr="7D29E2E9" w14:paraId="3BBAB1D6" w14:textId="77777777">
        <w:tc>
          <w:tcPr>
            <w:tcW w:w="3456" w:type="dxa"/>
          </w:tcPr>
          <w:p w:rsidRPr="000F744C" w:rsidR="009F33FF" w:rsidP="26B9D784" w:rsidRDefault="009F33FF" w14:paraId="3BBAB1D4"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6084" w:type="dxa"/>
          </w:tcPr>
          <w:p w:rsidRPr="00B811D8" w:rsidR="009F33FF" w:rsidP="000F6D52" w:rsidRDefault="002658B3" w14:paraId="3BBAB1D5" w14:textId="28F4257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B811D8" w:rsidR="00FA40C9" w:rsidTr="7D29E2E9" w14:paraId="3BBAB1D9" w14:textId="77777777">
        <w:trPr>
          <w:trHeight w:val="288"/>
        </w:trPr>
        <w:tc>
          <w:tcPr>
            <w:tcW w:w="3456" w:type="dxa"/>
          </w:tcPr>
          <w:p w:rsidRPr="000F744C" w:rsidR="00FA40C9" w:rsidP="26B9D784" w:rsidRDefault="00FA40C9" w14:paraId="3BBAB1D7"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6084"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OC Strategic Development Program  for Social Development(SOC)</w:t>
                </w:r>
              </w:p>
            </w:tc>
          </w:sdtContent>
        </w:sdt>
      </w:tr>
      <w:tr w:rsidRPr="00B811D8" w:rsidR="009F33FF" w:rsidTr="7D29E2E9" w14:paraId="3BBAB1DC" w14:textId="77777777">
        <w:tc>
          <w:tcPr>
            <w:tcW w:w="3456" w:type="dxa"/>
          </w:tcPr>
          <w:p w:rsidRPr="000F744C" w:rsidR="009F33FF" w:rsidP="26B9D784" w:rsidRDefault="009F33FF" w14:paraId="3BBAB1DA"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3BBAB1DB" w14:textId="2A25C944">
                <w:pPr>
                  <w:spacing w:after="60"/>
                  <w:rPr>
                    <w:rFonts w:ascii="Arial" w:hAnsi="Arial" w:cs="Arial"/>
                    <w:sz w:val="18"/>
                    <w:szCs w:val="18"/>
                    <w:lang w:val="es-ES_tradnl"/>
                  </w:rPr>
                </w:pPr>
                <w:r>
                  <w:rPr>
                    <w:rFonts w:ascii="Arial"/>
                    <w:sz w:val="18"/>
                  </w:rPr>
                  <w:t>US$200,000.00</w:t>
                  <w:br/>
                  <w:t/>
                </w:r>
              </w:p>
            </w:tc>
          </w:sdtContent>
        </w:sdt>
      </w:tr>
      <w:tr w:rsidRPr="00B811D8" w:rsidR="009F33FF" w:rsidTr="7D29E2E9" w14:paraId="3BBAB1DF" w14:textId="77777777">
        <w:tc>
          <w:tcPr>
            <w:tcW w:w="3456" w:type="dxa"/>
          </w:tcPr>
          <w:p w:rsidRPr="000F744C" w:rsidR="009F33FF" w:rsidP="26B9D784" w:rsidRDefault="009F33FF" w14:paraId="3BBAB1DD"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6084"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US$0</w:t>
                </w:r>
              </w:p>
            </w:tc>
          </w:sdtContent>
        </w:sdt>
      </w:tr>
      <w:tr w:rsidRPr="00B811D8" w:rsidR="00825F8B" w:rsidTr="7D29E2E9" w14:paraId="3BBAB1E2" w14:textId="77777777">
        <w:tc>
          <w:tcPr>
            <w:tcW w:w="3456" w:type="dxa"/>
          </w:tcPr>
          <w:p w:rsidRPr="000F744C" w:rsidR="00825F8B" w:rsidP="00825F8B" w:rsidRDefault="00825F8B" w14:paraId="3BBAB1E0"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 (which includes Execution period):</w:t>
            </w:r>
          </w:p>
        </w:tc>
        <w:tc>
          <w:tcPr>
            <w:tcW w:w="6084" w:type="dxa"/>
          </w:tcPr>
          <w:p w:rsidRPr="00F45E82" w:rsidR="00825F8B" w:rsidP="00825F8B" w:rsidRDefault="000B5AFD" w14:paraId="3BBAB1E1" w14:textId="3D03B0F6">
            <w:pPr>
              <w:tabs>
                <w:tab w:val="left" w:pos="3675"/>
              </w:tabs>
              <w:spacing w:after="60"/>
              <w:rPr>
                <w:rFonts w:ascii="Arial" w:hAnsi="Arial" w:eastAsia="Arial" w:cs="Arial"/>
                <w:sz w:val="18"/>
                <w:szCs w:val="18"/>
              </w:rPr>
            </w:pPr>
            <w:r>
              <w:rPr>
                <w:rFonts w:ascii="Arial" w:hAnsi="Arial" w:eastAsia="Arial" w:cs="Arial"/>
                <w:sz w:val="18"/>
                <w:szCs w:val="18"/>
              </w:rPr>
              <w:t>18 months</w:t>
            </w:r>
          </w:p>
        </w:tc>
      </w:tr>
      <w:tr w:rsidRPr="00B811D8" w:rsidR="00825F8B" w:rsidTr="7D29E2E9" w14:paraId="3BBAB1E5" w14:textId="77777777">
        <w:tc>
          <w:tcPr>
            <w:tcW w:w="3456" w:type="dxa"/>
          </w:tcPr>
          <w:p w:rsidRPr="000F744C" w:rsidR="00825F8B" w:rsidP="00825F8B" w:rsidRDefault="00825F8B" w14:paraId="3BBAB1E3" w14:textId="4F4BDB4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6084" w:type="dxa"/>
          </w:tcPr>
          <w:p w:rsidRPr="00B811D8" w:rsidR="00825F8B" w:rsidP="00825F8B" w:rsidRDefault="00541471" w14:paraId="3BBAB1E4" w14:textId="3EC31DEA">
            <w:pPr>
              <w:tabs>
                <w:tab w:val="left" w:pos="3460"/>
                <w:tab w:val="left" w:pos="4900"/>
              </w:tabs>
              <w:spacing w:after="60"/>
              <w:rPr>
                <w:rFonts w:ascii="Arial" w:hAnsi="Arial" w:eastAsia="Arial" w:cs="Arial"/>
                <w:sz w:val="18"/>
                <w:szCs w:val="18"/>
                <w:lang w:val="es-ES"/>
              </w:rPr>
            </w:pPr>
            <w:proofErr w:type="spellStart"/>
            <w:r>
              <w:rPr>
                <w:rFonts w:ascii="Arial" w:hAnsi="Arial" w:eastAsia="Arial" w:cs="Arial"/>
                <w:sz w:val="18"/>
                <w:szCs w:val="18"/>
                <w:lang w:val="es-ES"/>
              </w:rPr>
              <w:t>November</w:t>
            </w:r>
            <w:proofErr w:type="spellEnd"/>
            <w:r w:rsidR="00102F93">
              <w:rPr>
                <w:rFonts w:ascii="Arial" w:hAnsi="Arial" w:eastAsia="Arial" w:cs="Arial"/>
                <w:sz w:val="18"/>
                <w:szCs w:val="18"/>
                <w:lang w:val="es-ES"/>
              </w:rPr>
              <w:t>,</w:t>
            </w:r>
            <w:r w:rsidRPr="3F43E51A" w:rsidR="00F10618">
              <w:rPr>
                <w:rFonts w:ascii="Arial" w:hAnsi="Arial" w:eastAsia="Arial" w:cs="Arial"/>
                <w:sz w:val="18"/>
                <w:szCs w:val="18"/>
                <w:lang w:val="es-ES"/>
              </w:rPr>
              <w:t xml:space="preserve"> 2020</w:t>
            </w:r>
          </w:p>
        </w:tc>
      </w:tr>
      <w:tr w:rsidRPr="00B811D8" w:rsidR="00825F8B" w:rsidTr="7D29E2E9" w14:paraId="3BBAB1E8" w14:textId="77777777">
        <w:tc>
          <w:tcPr>
            <w:tcW w:w="3456" w:type="dxa"/>
          </w:tcPr>
          <w:p w:rsidRPr="000F744C" w:rsidR="00825F8B" w:rsidP="00825F8B" w:rsidRDefault="00825F8B" w14:paraId="3BBAB1E6" w14:textId="4C78BE9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6084" w:type="dxa"/>
          </w:tcPr>
          <w:p w:rsidRPr="00B811D8" w:rsidR="00825F8B" w:rsidP="00825F8B" w:rsidRDefault="00404652" w14:paraId="3BBAB1E7" w14:textId="3B795208">
            <w:pPr>
              <w:tabs>
                <w:tab w:val="left" w:pos="3536"/>
                <w:tab w:val="left" w:pos="4900"/>
              </w:tabs>
              <w:spacing w:after="60"/>
              <w:rPr>
                <w:rFonts w:ascii="Arial" w:hAnsi="Arial" w:eastAsia="Arial" w:cs="Arial"/>
                <w:sz w:val="18"/>
                <w:szCs w:val="18"/>
                <w:lang w:val="es-ES"/>
              </w:rPr>
            </w:pPr>
            <w:proofErr w:type="spellStart"/>
            <w:r>
              <w:rPr>
                <w:rFonts w:ascii="Arial" w:hAnsi="Arial" w:eastAsia="Arial" w:cs="Arial"/>
                <w:sz w:val="18"/>
                <w:szCs w:val="18"/>
                <w:lang w:val="es-ES"/>
              </w:rPr>
              <w:t>Individuals</w:t>
            </w:r>
            <w:proofErr w:type="spellEnd"/>
            <w:r w:rsidR="0005479E">
              <w:rPr>
                <w:rFonts w:ascii="Arial" w:hAnsi="Arial" w:eastAsia="Arial" w:cs="Arial"/>
                <w:sz w:val="18"/>
                <w:szCs w:val="18"/>
                <w:lang w:val="es-ES"/>
              </w:rPr>
              <w:t xml:space="preserve">; </w:t>
            </w:r>
            <w:proofErr w:type="spellStart"/>
            <w:r>
              <w:rPr>
                <w:rFonts w:ascii="Arial" w:hAnsi="Arial" w:eastAsia="Arial" w:cs="Arial"/>
                <w:sz w:val="18"/>
                <w:szCs w:val="18"/>
                <w:lang w:val="es-ES"/>
              </w:rPr>
              <w:t>Firms</w:t>
            </w:r>
            <w:proofErr w:type="spellEnd"/>
          </w:p>
        </w:tc>
      </w:tr>
      <w:tr w:rsidRPr="00B811D8" w:rsidR="009F33FF" w:rsidTr="7D29E2E9" w14:paraId="3BBAB1EB" w14:textId="77777777">
        <w:tc>
          <w:tcPr>
            <w:tcW w:w="3456" w:type="dxa"/>
          </w:tcPr>
          <w:p w:rsidRPr="000F744C" w:rsidR="009F33FF" w:rsidP="26B9D784" w:rsidRDefault="009F33FF" w14:paraId="3BBAB1E9"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6084" w:type="dxa"/>
              </w:tcPr>
              <w:p w:rsidRPr="00B811D8" w:rsidR="009F33FF" w:rsidP="00EC6CAF" w:rsidRDefault="00EC6CAF" w14:paraId="3BBAB1EA" w14:textId="76C265D0">
                <w:pPr>
                  <w:tabs>
                    <w:tab w:val="left" w:pos="3772"/>
                  </w:tabs>
                  <w:spacing w:after="60"/>
                  <w:rPr>
                    <w:rFonts w:ascii="Arial" w:hAnsi="Arial" w:cs="Arial"/>
                    <w:sz w:val="18"/>
                    <w:szCs w:val="18"/>
                    <w:lang w:val="es-ES_tradnl"/>
                  </w:rPr>
                </w:pPr>
                <w:r>
                  <w:rPr>
                    <w:rFonts w:ascii="Arial" w:hAnsi="Arial" w:cs="Arial"/>
                    <w:sz w:val="18"/>
                    <w:szCs w:val="18"/>
                  </w:rPr>
                  <w:t>SCL/EDU-Education</w:t>
                </w:r>
              </w:p>
            </w:tc>
          </w:sdtContent>
        </w:sdt>
      </w:tr>
      <w:tr w:rsidRPr="00B811D8" w:rsidR="009F33FF" w:rsidTr="7D29E2E9" w14:paraId="3BBAB1EE" w14:textId="77777777">
        <w:tc>
          <w:tcPr>
            <w:tcW w:w="3456" w:type="dxa"/>
          </w:tcPr>
          <w:p w:rsidRPr="000F744C" w:rsidR="009F33FF" w:rsidP="26B9D784" w:rsidRDefault="009F33FF" w14:paraId="3BBAB1EC"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tc>
          <w:tcPr>
            <w:tcW w:w="6084" w:type="dxa"/>
          </w:tcPr>
          <w:p w:rsidRPr="00851FCB" w:rsidR="009F33FF" w:rsidP="00EC6CAF" w:rsidRDefault="0005479E" w14:paraId="3BBAB1ED" w14:textId="6A32090F">
            <w:pPr>
              <w:tabs>
                <w:tab w:val="left" w:pos="3772"/>
              </w:tabs>
              <w:spacing w:after="60"/>
              <w:rPr>
                <w:rFonts w:ascii="Arial" w:hAnsi="Arial" w:cs="Arial"/>
                <w:sz w:val="18"/>
                <w:szCs w:val="18"/>
              </w:rPr>
            </w:pPr>
            <w:r>
              <w:rPr>
                <w:rFonts w:ascii="Arial" w:hAnsi="Arial" w:cs="Arial"/>
                <w:sz w:val="18"/>
                <w:szCs w:val="18"/>
              </w:rPr>
              <w:t>CBR</w:t>
            </w:r>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r w:rsidR="00EC6CAF">
                  <w:rPr>
                    <w:rFonts w:ascii="Arial" w:hAnsi="Arial" w:cs="Arial"/>
                    <w:sz w:val="18"/>
                    <w:szCs w:val="18"/>
                  </w:rPr>
                  <w:t>CSC/CBR-Country Office Brazil</w:t>
                </w:r>
              </w:sdtContent>
            </w:sdt>
          </w:p>
        </w:tc>
      </w:tr>
      <w:tr w:rsidRPr="00B811D8" w:rsidR="00825F8B" w:rsidTr="7D29E2E9" w14:paraId="3BBAB1F1" w14:textId="77777777">
        <w:tc>
          <w:tcPr>
            <w:tcW w:w="3456" w:type="dxa"/>
          </w:tcPr>
          <w:p w:rsidRPr="000F744C" w:rsidR="00825F8B" w:rsidP="00825F8B" w:rsidRDefault="00825F8B" w14:paraId="3BBAB1EF" w14:textId="7D762BA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(y/n): </w:t>
            </w:r>
          </w:p>
        </w:tc>
        <w:tc>
          <w:tcPr>
            <w:tcW w:w="6084" w:type="dxa"/>
          </w:tcPr>
          <w:p w:rsidRPr="00F45E82" w:rsidR="00825F8B" w:rsidP="00825F8B" w:rsidRDefault="00E47CA9" w14:paraId="3BBAB1F0" w14:textId="5719ADF8">
            <w:pPr>
              <w:tabs>
                <w:tab w:val="left" w:pos="3976"/>
              </w:tabs>
              <w:spacing w:after="60"/>
              <w:rPr>
                <w:rFonts w:ascii="Arial" w:hAnsi="Arial" w:eastAsia="Arial" w:cs="Arial"/>
                <w:sz w:val="18"/>
                <w:szCs w:val="18"/>
              </w:rPr>
            </w:pPr>
            <w:r>
              <w:rPr>
                <w:rFonts w:ascii="Arial" w:hAnsi="Arial" w:eastAsia="Arial" w:cs="Arial"/>
                <w:sz w:val="18"/>
                <w:szCs w:val="18"/>
              </w:rPr>
              <w:t>Yes</w:t>
            </w:r>
          </w:p>
        </w:tc>
      </w:tr>
      <w:tr w:rsidRPr="00B811D8" w:rsidR="00825F8B" w:rsidTr="7D29E2E9" w14:paraId="3BBAB1F4" w14:textId="77777777">
        <w:tc>
          <w:tcPr>
            <w:tcW w:w="3456" w:type="dxa"/>
          </w:tcPr>
          <w:p w:rsidRPr="000F744C" w:rsidR="00825F8B" w:rsidP="00825F8B" w:rsidRDefault="00825F8B" w14:paraId="3BBAB1F2"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 (y/n):</w:t>
            </w:r>
          </w:p>
        </w:tc>
        <w:tc>
          <w:tcPr>
            <w:tcW w:w="6084" w:type="dxa"/>
          </w:tcPr>
          <w:p w:rsidRPr="00F45E82" w:rsidR="00825F8B" w:rsidP="00825F8B" w:rsidRDefault="002C26B5" w14:paraId="3BBAB1F3" w14:textId="10B103E7">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7D29E2E9" w14:paraId="3BBAB1F7" w14:textId="77777777">
        <w:tc>
          <w:tcPr>
            <w:tcW w:w="3456" w:type="dxa"/>
          </w:tcPr>
          <w:p w:rsidRPr="000F744C" w:rsidR="009F33FF" w:rsidP="26B9D784" w:rsidRDefault="00B811D8" w14:paraId="3BBAB1F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99A63E3B42774C81825E5FE7B46501C1"/>
            </w:placeholder>
            <w:showingPlcHdr/>
            <w:text/>
          </w:sdtPr>
          <w:sdtEndPr/>
          <w:sdtContent>
            <w:tc>
              <w:tcPr>
                <w:tcW w:w="6084" w:type="dxa"/>
              </w:tcPr>
              <w:p w:rsidRPr="00197FE8" w:rsidR="009F33FF" w:rsidP="00F45E82" w:rsidRDefault="00F45E82" w14:paraId="3BBAB1F6" w14:textId="7FB6AE35">
                <w:pPr>
                  <w:tabs>
                    <w:tab w:val="left" w:pos="3772"/>
                  </w:tabs>
                  <w:spacing w:after="60"/>
                  <w:rPr>
                    <w:rFonts w:ascii="Arial" w:hAnsi="Arial" w:eastAsia="Arial" w:cs="Arial"/>
                    <w:sz w:val="18"/>
                    <w:szCs w:val="18"/>
                  </w:rPr>
                </w:pPr>
                <w:r>
                  <w:rPr>
                    <w:rFonts w:ascii="Arial" w:hAnsi="Arial" w:cs="Arial"/>
                    <w:sz w:val="18"/>
                    <w:szCs w:val="18"/>
                  </w:rPr>
                  <w:t xml:space="preserve"> Productivity and innovation; Social inclusion and equality</w:t>
                </w:r>
              </w:p>
            </w:tc>
          </w:sdtContent>
        </w:sdt>
      </w:tr>
    </w:tbl>
    <w:p w:rsidRPr="000F744C" w:rsidR="00065D4D" w:rsidP="0FBA85EA" w:rsidRDefault="0FBA85EA" w14:paraId="3BBAB1FA" w14:textId="0DC3CBEF">
      <w:pPr>
        <w:pStyle w:val="ListParagraph"/>
        <w:numPr>
          <w:ilvl w:val="0"/>
          <w:numId w:val="5"/>
        </w:numPr>
        <w:spacing w:before="240" w:after="120" w:line="240" w:lineRule="auto"/>
        <w:contextualSpacing w:val="0"/>
        <w:rPr>
          <w:rFonts w:ascii="Arial" w:hAnsi="Arial" w:eastAsia="Arial" w:cs="Arial"/>
          <w:b/>
          <w:bCs/>
        </w:rPr>
      </w:pPr>
      <w:r w:rsidRPr="3F43E51A">
        <w:rPr>
          <w:rFonts w:ascii="Arial" w:hAnsi="Arial" w:eastAsia="Arial" w:cs="Arial"/>
          <w:b/>
          <w:bCs/>
        </w:rPr>
        <w:t xml:space="preserve">Objectives and Justification of the TC </w:t>
      </w:r>
      <w:r w:rsidRPr="3F43E51A">
        <w:rPr>
          <w:rFonts w:ascii="Arial" w:hAnsi="Arial" w:eastAsia="Arial" w:cs="Arial"/>
        </w:rPr>
        <w:t xml:space="preserve"> </w:t>
      </w:r>
    </w:p>
    <w:p w:rsidRPr="00C01BE9" w:rsidR="00252082" w:rsidP="007D229E" w:rsidRDefault="00252082" w14:paraId="1995FDE6" w14:textId="261A90A9">
      <w:pPr>
        <w:pStyle w:val="ListParagraph"/>
        <w:numPr>
          <w:ilvl w:val="1"/>
          <w:numId w:val="5"/>
        </w:numPr>
        <w:spacing w:before="120" w:after="120" w:line="240" w:lineRule="auto"/>
        <w:ind w:left="360" w:hanging="540"/>
        <w:contextualSpacing w:val="0"/>
        <w:jc w:val="both"/>
        <w:rPr>
          <w:rFonts w:ascii="Arial" w:hAnsi="Arial" w:cs="Arial"/>
          <w:bCs/>
        </w:rPr>
      </w:pPr>
      <w:r w:rsidRPr="00C01BE9">
        <w:rPr>
          <w:rFonts w:ascii="Arial" w:hAnsi="Arial" w:cs="Arial"/>
          <w:bCs/>
        </w:rPr>
        <w:t xml:space="preserve">58 million students and 2.2 million teachers </w:t>
      </w:r>
      <w:r>
        <w:rPr>
          <w:rFonts w:ascii="Arial" w:hAnsi="Arial" w:cs="Arial"/>
          <w:bCs/>
        </w:rPr>
        <w:t>in Brazil are affected by schools’ closure due to the COVID-19 (CV) pandemic</w:t>
      </w:r>
      <w:r w:rsidRPr="00C01BE9">
        <w:rPr>
          <w:rFonts w:ascii="Arial" w:hAnsi="Arial" w:cs="Arial"/>
          <w:bCs/>
        </w:rPr>
        <w:t xml:space="preserve">. </w:t>
      </w:r>
      <w:r>
        <w:rPr>
          <w:rFonts w:ascii="Arial" w:hAnsi="Arial" w:cs="Arial"/>
          <w:bCs/>
        </w:rPr>
        <w:t xml:space="preserve">The objective of this TC is to support the federal and local governments, </w:t>
      </w:r>
      <w:r w:rsidRPr="00C01BE9">
        <w:rPr>
          <w:rFonts w:ascii="Arial" w:hAnsi="Arial" w:cs="Arial"/>
          <w:bCs/>
        </w:rPr>
        <w:t>led by a coalition of Non-Governmental Organizations (NGOs)</w:t>
      </w:r>
      <w:r>
        <w:rPr>
          <w:rFonts w:ascii="Arial" w:hAnsi="Arial" w:cs="Arial"/>
          <w:bCs/>
        </w:rPr>
        <w:t xml:space="preserve"> denominated </w:t>
      </w:r>
      <w:proofErr w:type="spellStart"/>
      <w:r w:rsidRPr="0093308C">
        <w:rPr>
          <w:rFonts w:ascii="Arial" w:hAnsi="Arial" w:cs="Arial"/>
          <w:bCs/>
          <w:i/>
          <w:iCs/>
        </w:rPr>
        <w:t>Aprendendo</w:t>
      </w:r>
      <w:proofErr w:type="spellEnd"/>
      <w:r w:rsidRPr="0093308C">
        <w:rPr>
          <w:rFonts w:ascii="Arial" w:hAnsi="Arial" w:cs="Arial"/>
          <w:bCs/>
          <w:i/>
          <w:iCs/>
        </w:rPr>
        <w:t xml:space="preserve"> Sempre</w:t>
      </w:r>
      <w:r w:rsidRPr="007D229E">
        <w:rPr>
          <w:rFonts w:ascii="Arial" w:hAnsi="Arial" w:cs="Arial"/>
        </w:rPr>
        <w:t xml:space="preserve"> (AS)</w:t>
      </w:r>
      <w:r w:rsidRPr="007D229E">
        <w:footnoteReference w:id="2"/>
      </w:r>
      <w:r w:rsidRPr="00C01BE9">
        <w:rPr>
          <w:rFonts w:ascii="Arial" w:hAnsi="Arial" w:cs="Arial"/>
          <w:bCs/>
        </w:rPr>
        <w:t xml:space="preserve">, </w:t>
      </w:r>
      <w:r>
        <w:rPr>
          <w:rFonts w:ascii="Arial" w:hAnsi="Arial" w:cs="Arial"/>
          <w:bCs/>
        </w:rPr>
        <w:t xml:space="preserve">to give continuity to </w:t>
      </w:r>
      <w:r w:rsidRPr="00C01BE9">
        <w:rPr>
          <w:rFonts w:ascii="Arial" w:hAnsi="Arial" w:cs="Arial"/>
          <w:bCs/>
        </w:rPr>
        <w:t xml:space="preserve">Brazilian students’ learning process. Additionally, the TC will support </w:t>
      </w:r>
      <w:r w:rsidR="001D2EF2">
        <w:rPr>
          <w:rFonts w:ascii="Arial" w:hAnsi="Arial" w:cs="Arial"/>
          <w:bCs/>
        </w:rPr>
        <w:t>the preparation of a Conditional Credit Line for Investment Project (CCLIP)</w:t>
      </w:r>
      <w:r w:rsidR="009A4821">
        <w:rPr>
          <w:rFonts w:ascii="Arial" w:hAnsi="Arial" w:cs="Arial"/>
          <w:bCs/>
        </w:rPr>
        <w:t xml:space="preserve">, </w:t>
      </w:r>
      <w:proofErr w:type="spellStart"/>
      <w:r w:rsidRPr="00C01BE9">
        <w:rPr>
          <w:rFonts w:ascii="Arial" w:hAnsi="Arial" w:cs="Arial"/>
          <w:bCs/>
        </w:rPr>
        <w:t>ProSocial</w:t>
      </w:r>
      <w:proofErr w:type="spellEnd"/>
      <w:r w:rsidR="009A4821">
        <w:rPr>
          <w:rFonts w:ascii="Arial" w:hAnsi="Arial" w:cs="Arial"/>
          <w:bCs/>
        </w:rPr>
        <w:t xml:space="preserve">, </w:t>
      </w:r>
      <w:r w:rsidRPr="00C01BE9">
        <w:rPr>
          <w:rFonts w:ascii="Arial" w:hAnsi="Arial" w:cs="Arial"/>
          <w:bCs/>
        </w:rPr>
        <w:t>to identify potential projects and to identify the best use of resources for an investment loan</w:t>
      </w:r>
      <w:r>
        <w:rPr>
          <w:rFonts w:ascii="Arial" w:hAnsi="Arial" w:cs="Arial"/>
          <w:bCs/>
        </w:rPr>
        <w:t xml:space="preserve"> given the effect of the pandemic on education spending</w:t>
      </w:r>
      <w:r w:rsidRPr="00C01BE9">
        <w:rPr>
          <w:rFonts w:ascii="Arial" w:hAnsi="Arial" w:cs="Arial"/>
          <w:bCs/>
        </w:rPr>
        <w:t>.</w:t>
      </w:r>
      <w:r>
        <w:rPr>
          <w:rFonts w:ascii="Arial" w:hAnsi="Arial" w:cs="Arial"/>
          <w:bCs/>
        </w:rPr>
        <w:t xml:space="preserve"> </w:t>
      </w:r>
      <w:r w:rsidRPr="00DF08B6">
        <w:rPr>
          <w:rFonts w:ascii="Arial" w:hAnsi="Arial" w:cs="Arial"/>
          <w:bCs/>
        </w:rPr>
        <w:t xml:space="preserve">To meet this objective, the TC will finance </w:t>
      </w:r>
      <w:r>
        <w:rPr>
          <w:rFonts w:ascii="Arial" w:hAnsi="Arial" w:cs="Arial"/>
          <w:bCs/>
        </w:rPr>
        <w:t xml:space="preserve">(1) events and dialogue with the AS coalition; (2) field trials of projects that promote increase in efficiency of spending; and (3) research on the implementation of the </w:t>
      </w:r>
      <w:r w:rsidR="00F37255">
        <w:rPr>
          <w:rFonts w:ascii="Arial" w:hAnsi="Arial" w:cs="Arial"/>
          <w:bCs/>
        </w:rPr>
        <w:t>“</w:t>
      </w:r>
      <w:proofErr w:type="spellStart"/>
      <w:r w:rsidRPr="00F37255">
        <w:rPr>
          <w:rFonts w:ascii="Arial" w:hAnsi="Arial" w:cs="Arial"/>
          <w:iCs/>
        </w:rPr>
        <w:t>Aprendamos</w:t>
      </w:r>
      <w:proofErr w:type="spellEnd"/>
      <w:r w:rsidRPr="00F37255">
        <w:rPr>
          <w:rFonts w:ascii="Arial" w:hAnsi="Arial" w:cs="Arial"/>
          <w:iCs/>
        </w:rPr>
        <w:t xml:space="preserve"> </w:t>
      </w:r>
      <w:proofErr w:type="spellStart"/>
      <w:r w:rsidRPr="00F37255">
        <w:rPr>
          <w:rFonts w:ascii="Arial" w:hAnsi="Arial" w:cs="Arial"/>
          <w:iCs/>
        </w:rPr>
        <w:t>Todos</w:t>
      </w:r>
      <w:proofErr w:type="spellEnd"/>
      <w:r w:rsidRPr="00F37255">
        <w:rPr>
          <w:rFonts w:ascii="Arial" w:hAnsi="Arial" w:cs="Arial"/>
          <w:iCs/>
        </w:rPr>
        <w:t xml:space="preserve"> a Leer</w:t>
      </w:r>
      <w:r w:rsidR="00F37255">
        <w:rPr>
          <w:rFonts w:ascii="Arial" w:hAnsi="Arial" w:cs="Arial"/>
          <w:iCs/>
        </w:rPr>
        <w:t>”</w:t>
      </w:r>
      <w:r>
        <w:rPr>
          <w:rFonts w:ascii="Arial" w:hAnsi="Arial" w:cs="Arial"/>
          <w:bCs/>
        </w:rPr>
        <w:t xml:space="preserve"> (ATAL) program for early literacy in Brazil and research on how has CV affected students and families.</w:t>
      </w:r>
    </w:p>
    <w:p w:rsidRPr="00C343C9" w:rsidR="00252082" w:rsidP="00307200" w:rsidRDefault="00252082" w14:paraId="073B74A4" w14:textId="47B6BF73">
      <w:pPr>
        <w:pStyle w:val="ListParagraph"/>
        <w:numPr>
          <w:ilvl w:val="1"/>
          <w:numId w:val="5"/>
        </w:numPr>
        <w:spacing w:before="120" w:after="120" w:line="240" w:lineRule="auto"/>
        <w:ind w:left="360" w:hanging="540"/>
        <w:contextualSpacing w:val="0"/>
        <w:jc w:val="both"/>
        <w:rPr>
          <w:rFonts w:ascii="Arial" w:hAnsi="Arial" w:cs="Arial"/>
          <w:bCs/>
        </w:rPr>
      </w:pPr>
      <w:r w:rsidRPr="00C343C9">
        <w:rPr>
          <w:rFonts w:ascii="Arial" w:hAnsi="Arial" w:cs="Arial"/>
          <w:bCs/>
        </w:rPr>
        <w:lastRenderedPageBreak/>
        <w:t>Brazil’s school year started (officially) on the first week of March. Classes were suspended because of CV two weeks after the school year began. Brazil’s education system is fragmented and diverse as reflected by heterogeneous responses by local governments to the crisis. For example, according to two survey results presented by CIEB (</w:t>
      </w:r>
      <w:r w:rsidRPr="00A535C3">
        <w:rPr>
          <w:rFonts w:ascii="Arial" w:hAnsi="Arial" w:cs="Arial"/>
          <w:i/>
        </w:rPr>
        <w:t xml:space="preserve">Centro de </w:t>
      </w:r>
      <w:proofErr w:type="spellStart"/>
      <w:r w:rsidRPr="00A535C3">
        <w:rPr>
          <w:rFonts w:ascii="Arial" w:hAnsi="Arial" w:cs="Arial"/>
          <w:i/>
        </w:rPr>
        <w:t>Inovação</w:t>
      </w:r>
      <w:proofErr w:type="spellEnd"/>
      <w:r w:rsidRPr="00A535C3">
        <w:rPr>
          <w:rFonts w:ascii="Arial" w:hAnsi="Arial" w:cs="Arial"/>
          <w:i/>
        </w:rPr>
        <w:t xml:space="preserve"> para a </w:t>
      </w:r>
      <w:proofErr w:type="spellStart"/>
      <w:r w:rsidRPr="00A535C3">
        <w:rPr>
          <w:rFonts w:ascii="Arial" w:hAnsi="Arial" w:cs="Arial"/>
          <w:i/>
        </w:rPr>
        <w:t>Educação</w:t>
      </w:r>
      <w:proofErr w:type="spellEnd"/>
      <w:r w:rsidRPr="00A535C3">
        <w:rPr>
          <w:rFonts w:ascii="Arial" w:hAnsi="Arial" w:cs="Arial"/>
          <w:i/>
        </w:rPr>
        <w:t xml:space="preserve"> </w:t>
      </w:r>
      <w:proofErr w:type="spellStart"/>
      <w:r w:rsidRPr="00A535C3">
        <w:rPr>
          <w:rFonts w:ascii="Arial" w:hAnsi="Arial" w:cs="Arial"/>
          <w:i/>
        </w:rPr>
        <w:t>Brasileira</w:t>
      </w:r>
      <w:proofErr w:type="spellEnd"/>
      <w:r w:rsidRPr="00C343C9">
        <w:rPr>
          <w:rFonts w:ascii="Arial" w:hAnsi="Arial" w:cs="Arial"/>
          <w:bCs/>
        </w:rPr>
        <w:t>), during the first weeks, 40% of states and municipalities suspended classes, 40% anticipated holidays and 20% offered remote learning strategies that include: TV broadcast of classes, class videos using social media, online class videos, online platforms, radio broadcast, printed material sent to students’ homes, and sending material through email or WhatsApp</w:t>
      </w:r>
      <w:r w:rsidR="00F37255">
        <w:rPr>
          <w:rFonts w:ascii="Arial" w:hAnsi="Arial" w:cs="Arial"/>
          <w:bCs/>
        </w:rPr>
        <w:t xml:space="preserve"> application</w:t>
      </w:r>
      <w:r w:rsidRPr="00C343C9">
        <w:rPr>
          <w:rFonts w:ascii="Arial" w:hAnsi="Arial" w:cs="Arial"/>
          <w:bCs/>
        </w:rPr>
        <w:t xml:space="preserve">. </w:t>
      </w:r>
    </w:p>
    <w:p w:rsidRPr="00C343C9" w:rsidR="00252082" w:rsidP="007D229E" w:rsidRDefault="00252082" w14:paraId="14A5DFF9" w14:textId="53C81472">
      <w:pPr>
        <w:pStyle w:val="ListParagraph"/>
        <w:numPr>
          <w:ilvl w:val="1"/>
          <w:numId w:val="5"/>
        </w:numPr>
        <w:spacing w:before="120" w:after="120" w:line="240" w:lineRule="auto"/>
        <w:ind w:left="426" w:hanging="540"/>
        <w:contextualSpacing w:val="0"/>
        <w:jc w:val="both"/>
        <w:rPr>
          <w:rFonts w:ascii="Arial" w:hAnsi="Arial" w:cs="Arial"/>
          <w:bCs/>
        </w:rPr>
      </w:pPr>
      <w:r w:rsidRPr="00C343C9">
        <w:rPr>
          <w:rFonts w:ascii="Arial" w:hAnsi="Arial" w:cs="Arial"/>
          <w:bCs/>
        </w:rPr>
        <w:t xml:space="preserve">Without </w:t>
      </w:r>
      <w:r>
        <w:rPr>
          <w:rFonts w:ascii="Arial" w:hAnsi="Arial" w:cs="Arial"/>
          <w:bCs/>
        </w:rPr>
        <w:t>certainty</w:t>
      </w:r>
      <w:r w:rsidRPr="00C343C9">
        <w:rPr>
          <w:rFonts w:ascii="Arial" w:hAnsi="Arial" w:cs="Arial"/>
          <w:bCs/>
        </w:rPr>
        <w:t xml:space="preserve"> of the extent of school closures, states and municipalities </w:t>
      </w:r>
      <w:r w:rsidR="00F37255">
        <w:rPr>
          <w:rFonts w:ascii="Arial" w:hAnsi="Arial" w:cs="Arial"/>
          <w:bCs/>
        </w:rPr>
        <w:t>requested</w:t>
      </w:r>
      <w:r w:rsidRPr="00C343C9">
        <w:rPr>
          <w:rFonts w:ascii="Arial" w:hAnsi="Arial" w:cs="Arial"/>
          <w:bCs/>
        </w:rPr>
        <w:t xml:space="preserve"> teachers to switch to remote learning using the </w:t>
      </w:r>
      <w:r w:rsidR="00F37255">
        <w:rPr>
          <w:rFonts w:ascii="Arial" w:hAnsi="Arial" w:cs="Arial"/>
          <w:bCs/>
        </w:rPr>
        <w:t xml:space="preserve">available </w:t>
      </w:r>
      <w:r w:rsidRPr="00C343C9">
        <w:rPr>
          <w:rFonts w:ascii="Arial" w:hAnsi="Arial" w:cs="Arial"/>
          <w:bCs/>
        </w:rPr>
        <w:t>resources they had</w:t>
      </w:r>
      <w:r w:rsidR="00FE5EF9">
        <w:rPr>
          <w:rFonts w:ascii="Arial" w:hAnsi="Arial" w:cs="Arial"/>
          <w:bCs/>
        </w:rPr>
        <w:t xml:space="preserve">, </w:t>
      </w:r>
      <w:r>
        <w:rPr>
          <w:rFonts w:ascii="Arial" w:hAnsi="Arial" w:cs="Arial"/>
          <w:bCs/>
        </w:rPr>
        <w:t>and 60% of municipalities had the capacity to do so</w:t>
      </w:r>
      <w:r w:rsidRPr="00C343C9">
        <w:rPr>
          <w:rFonts w:ascii="Arial" w:hAnsi="Arial" w:cs="Arial"/>
          <w:bCs/>
        </w:rPr>
        <w:t>. Instituto Peninsula in Brazil, an NGO focused on teachers, reached out to teachers to understand their feelings</w:t>
      </w:r>
      <w:r>
        <w:rPr>
          <w:rFonts w:ascii="Arial" w:hAnsi="Arial" w:cs="Arial"/>
          <w:bCs/>
        </w:rPr>
        <w:t xml:space="preserve"> and</w:t>
      </w:r>
      <w:r w:rsidRPr="00C343C9">
        <w:rPr>
          <w:rFonts w:ascii="Arial" w:hAnsi="Arial" w:cs="Arial"/>
          <w:bCs/>
        </w:rPr>
        <w:t xml:space="preserve"> fears</w:t>
      </w:r>
      <w:r>
        <w:rPr>
          <w:rFonts w:ascii="Arial" w:hAnsi="Arial" w:cs="Arial"/>
          <w:bCs/>
        </w:rPr>
        <w:t>,</w:t>
      </w:r>
      <w:r w:rsidRPr="00C343C9">
        <w:rPr>
          <w:rFonts w:ascii="Arial" w:hAnsi="Arial" w:cs="Arial"/>
          <w:bCs/>
        </w:rPr>
        <w:t xml:space="preserve"> and </w:t>
      </w:r>
      <w:r>
        <w:rPr>
          <w:rFonts w:ascii="Arial" w:hAnsi="Arial" w:cs="Arial"/>
          <w:bCs/>
        </w:rPr>
        <w:t xml:space="preserve">to </w:t>
      </w:r>
      <w:r w:rsidRPr="00C343C9">
        <w:rPr>
          <w:rFonts w:ascii="Arial" w:hAnsi="Arial" w:cs="Arial"/>
          <w:bCs/>
        </w:rPr>
        <w:t>support demands. Teachers’ responses after schools were closed showed the following priorities: (i) focus on well-being</w:t>
      </w:r>
      <w:r w:rsidR="00FE5EF9">
        <w:rPr>
          <w:rFonts w:ascii="Arial" w:hAnsi="Arial" w:cs="Arial"/>
          <w:bCs/>
        </w:rPr>
        <w:t>;</w:t>
      </w:r>
      <w:r w:rsidRPr="00C343C9">
        <w:rPr>
          <w:rFonts w:ascii="Arial" w:hAnsi="Arial" w:cs="Arial"/>
          <w:bCs/>
        </w:rPr>
        <w:t xml:space="preserve"> (ii) be cautious with the content they shared</w:t>
      </w:r>
      <w:r w:rsidR="00FE5EF9">
        <w:rPr>
          <w:rFonts w:ascii="Arial" w:hAnsi="Arial" w:cs="Arial"/>
          <w:bCs/>
        </w:rPr>
        <w:t>;</w:t>
      </w:r>
      <w:r w:rsidRPr="00C343C9">
        <w:rPr>
          <w:rFonts w:ascii="Arial" w:hAnsi="Arial" w:cs="Arial"/>
          <w:bCs/>
        </w:rPr>
        <w:t xml:space="preserve"> and (iii) establish a communication channel with their students. </w:t>
      </w:r>
    </w:p>
    <w:p w:rsidRPr="00C343C9" w:rsidR="00252082" w:rsidP="007D229E" w:rsidRDefault="00252082" w14:paraId="3A8E10D3"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C343C9">
        <w:rPr>
          <w:rFonts w:ascii="Arial" w:hAnsi="Arial" w:cs="Arial"/>
          <w:bCs/>
        </w:rPr>
        <w:t xml:space="preserve">As the country realized this was not a short-term closure, and with the support of the civil society, structured solutions were designed and have been implemented since. Still there is no clear date for schools’ reopening and although there have been efforts in reaching out to students, the school systems and the civil society have concerns </w:t>
      </w:r>
      <w:r>
        <w:rPr>
          <w:rFonts w:ascii="Arial" w:hAnsi="Arial" w:cs="Arial"/>
          <w:bCs/>
        </w:rPr>
        <w:t xml:space="preserve">about </w:t>
      </w:r>
      <w:r w:rsidRPr="00C343C9">
        <w:rPr>
          <w:rFonts w:ascii="Arial" w:hAnsi="Arial" w:cs="Arial"/>
          <w:bCs/>
        </w:rPr>
        <w:t xml:space="preserve">attrition, students’ and teachers’ socioemotional well-being, and </w:t>
      </w:r>
      <w:r>
        <w:rPr>
          <w:rFonts w:ascii="Arial" w:hAnsi="Arial" w:cs="Arial"/>
          <w:bCs/>
        </w:rPr>
        <w:t xml:space="preserve">students’ </w:t>
      </w:r>
      <w:r w:rsidRPr="00C343C9">
        <w:rPr>
          <w:rFonts w:ascii="Arial" w:hAnsi="Arial" w:cs="Arial"/>
          <w:bCs/>
        </w:rPr>
        <w:t xml:space="preserve">learning outcomes. Unfortunately, given the remote learning strategies’ </w:t>
      </w:r>
      <w:r w:rsidRPr="009773CE">
        <w:rPr>
          <w:rFonts w:ascii="Arial" w:hAnsi="Arial" w:cs="Arial"/>
          <w:bCs/>
        </w:rPr>
        <w:t>multiplicity</w:t>
      </w:r>
      <w:r w:rsidRPr="00C343C9">
        <w:rPr>
          <w:rFonts w:ascii="Arial" w:hAnsi="Arial" w:cs="Arial"/>
          <w:bCs/>
        </w:rPr>
        <w:t>, monitoring and assessment are still challenging because remote learning has been guaranteed from the supply side, but little information has been recorded from the students’ side.</w:t>
      </w:r>
    </w:p>
    <w:p w:rsidRPr="00C343C9" w:rsidR="00252082" w:rsidP="007D229E" w:rsidRDefault="00252082" w14:paraId="77283F6C" w14:textId="0F6B7D84">
      <w:pPr>
        <w:pStyle w:val="ListParagraph"/>
        <w:numPr>
          <w:ilvl w:val="1"/>
          <w:numId w:val="5"/>
        </w:numPr>
        <w:spacing w:before="120" w:after="120" w:line="240" w:lineRule="auto"/>
        <w:ind w:left="426" w:hanging="540"/>
        <w:contextualSpacing w:val="0"/>
        <w:jc w:val="both"/>
        <w:rPr>
          <w:rFonts w:ascii="Arial" w:hAnsi="Arial" w:cs="Arial"/>
          <w:bCs/>
        </w:rPr>
      </w:pPr>
      <w:r w:rsidRPr="00C343C9">
        <w:rPr>
          <w:rFonts w:ascii="Arial" w:hAnsi="Arial" w:cs="Arial"/>
          <w:bCs/>
        </w:rPr>
        <w:t xml:space="preserve">The Brazilian civil society formed a coalition </w:t>
      </w:r>
      <w:r>
        <w:rPr>
          <w:rFonts w:ascii="Arial" w:hAnsi="Arial" w:cs="Arial"/>
          <w:bCs/>
        </w:rPr>
        <w:t>–</w:t>
      </w:r>
      <w:proofErr w:type="spellStart"/>
      <w:r w:rsidRPr="001C6C02">
        <w:rPr>
          <w:rFonts w:ascii="Arial" w:hAnsi="Arial" w:cs="Arial"/>
          <w:i/>
        </w:rPr>
        <w:t>Aprendendo</w:t>
      </w:r>
      <w:proofErr w:type="spellEnd"/>
      <w:r w:rsidRPr="001C6C02">
        <w:rPr>
          <w:rFonts w:ascii="Arial" w:hAnsi="Arial" w:cs="Arial"/>
          <w:i/>
        </w:rPr>
        <w:t xml:space="preserve"> Sempre</w:t>
      </w:r>
      <w:r>
        <w:rPr>
          <w:rFonts w:ascii="Arial" w:hAnsi="Arial" w:cs="Arial"/>
          <w:bCs/>
        </w:rPr>
        <w:t xml:space="preserve"> </w:t>
      </w:r>
      <w:r w:rsidR="00713C82">
        <w:rPr>
          <w:rFonts w:ascii="Arial" w:hAnsi="Arial" w:cs="Arial"/>
          <w:bCs/>
        </w:rPr>
        <w:t>(AS)–</w:t>
      </w:r>
      <w:r>
        <w:rPr>
          <w:rFonts w:ascii="Arial" w:hAnsi="Arial" w:cs="Arial"/>
          <w:bCs/>
        </w:rPr>
        <w:t xml:space="preserve"> </w:t>
      </w:r>
      <w:r w:rsidRPr="00C343C9">
        <w:rPr>
          <w:rFonts w:ascii="Arial" w:hAnsi="Arial" w:cs="Arial"/>
          <w:bCs/>
        </w:rPr>
        <w:t>comp</w:t>
      </w:r>
      <w:r w:rsidR="00713C82">
        <w:rPr>
          <w:rFonts w:ascii="Arial" w:hAnsi="Arial" w:cs="Arial"/>
          <w:bCs/>
        </w:rPr>
        <w:t xml:space="preserve">rise </w:t>
      </w:r>
      <w:r w:rsidRPr="00C343C9">
        <w:rPr>
          <w:rFonts w:ascii="Arial" w:hAnsi="Arial" w:cs="Arial"/>
          <w:bCs/>
        </w:rPr>
        <w:t>of 34 institutions</w:t>
      </w:r>
      <w:r>
        <w:rPr>
          <w:rStyle w:val="FootnoteReference"/>
          <w:rFonts w:ascii="Arial" w:hAnsi="Arial" w:cs="Arial"/>
          <w:bCs/>
        </w:rPr>
        <w:footnoteReference w:id="3"/>
      </w:r>
      <w:r w:rsidRPr="00C343C9">
        <w:rPr>
          <w:rFonts w:ascii="Arial" w:hAnsi="Arial" w:cs="Arial"/>
          <w:bCs/>
        </w:rPr>
        <w:t xml:space="preserve"> to accompany the states and municipalities education sector through the crisis caused by CV</w:t>
      </w:r>
      <w:r>
        <w:rPr>
          <w:rFonts w:ascii="Arial" w:hAnsi="Arial" w:cs="Arial"/>
          <w:bCs/>
        </w:rPr>
        <w:t>. They endeavor</w:t>
      </w:r>
      <w:r w:rsidRPr="00C343C9">
        <w:rPr>
          <w:rFonts w:ascii="Arial" w:hAnsi="Arial" w:cs="Arial"/>
          <w:bCs/>
        </w:rPr>
        <w:t xml:space="preserve"> to streamline the initiatives offered by </w:t>
      </w:r>
      <w:r>
        <w:rPr>
          <w:rFonts w:ascii="Arial" w:hAnsi="Arial" w:cs="Arial"/>
          <w:bCs/>
        </w:rPr>
        <w:t>the members</w:t>
      </w:r>
      <w:r w:rsidRPr="00C343C9">
        <w:rPr>
          <w:rFonts w:ascii="Arial" w:hAnsi="Arial" w:cs="Arial"/>
          <w:bCs/>
        </w:rPr>
        <w:t xml:space="preserve"> or identify best practices implemented by states and municipalities. This unified front has insisted </w:t>
      </w:r>
      <w:r>
        <w:rPr>
          <w:rFonts w:ascii="Arial" w:hAnsi="Arial" w:cs="Arial"/>
          <w:bCs/>
        </w:rPr>
        <w:t xml:space="preserve">on the need to promote collaboration between </w:t>
      </w:r>
      <w:r w:rsidRPr="00C343C9">
        <w:rPr>
          <w:rFonts w:ascii="Arial" w:hAnsi="Arial" w:cs="Arial"/>
          <w:bCs/>
        </w:rPr>
        <w:t xml:space="preserve">states </w:t>
      </w:r>
      <w:r>
        <w:rPr>
          <w:rFonts w:ascii="Arial" w:hAnsi="Arial" w:cs="Arial"/>
          <w:bCs/>
        </w:rPr>
        <w:t xml:space="preserve">and </w:t>
      </w:r>
      <w:r w:rsidRPr="00C343C9">
        <w:rPr>
          <w:rFonts w:ascii="Arial" w:hAnsi="Arial" w:cs="Arial"/>
          <w:bCs/>
        </w:rPr>
        <w:t xml:space="preserve">municipalities because, as identified by the CIEB survey and by </w:t>
      </w:r>
      <w:proofErr w:type="spellStart"/>
      <w:r w:rsidRPr="001C6C02">
        <w:rPr>
          <w:rFonts w:ascii="Arial" w:hAnsi="Arial" w:cs="Arial"/>
          <w:i/>
        </w:rPr>
        <w:t>Movimento</w:t>
      </w:r>
      <w:proofErr w:type="spellEnd"/>
      <w:r w:rsidRPr="001C6C02">
        <w:rPr>
          <w:rFonts w:ascii="Arial" w:hAnsi="Arial" w:cs="Arial"/>
          <w:i/>
        </w:rPr>
        <w:t xml:space="preserve"> </w:t>
      </w:r>
      <w:proofErr w:type="spellStart"/>
      <w:r w:rsidRPr="001C6C02">
        <w:rPr>
          <w:rFonts w:ascii="Arial" w:hAnsi="Arial" w:cs="Arial"/>
          <w:i/>
        </w:rPr>
        <w:t>Colabora</w:t>
      </w:r>
      <w:proofErr w:type="spellEnd"/>
      <w:r w:rsidRPr="00C343C9">
        <w:rPr>
          <w:rFonts w:ascii="Arial" w:hAnsi="Arial" w:cs="Arial"/>
          <w:bCs/>
        </w:rPr>
        <w:t xml:space="preserve">, </w:t>
      </w:r>
      <w:r>
        <w:rPr>
          <w:rFonts w:ascii="Arial" w:hAnsi="Arial" w:cs="Arial"/>
          <w:bCs/>
        </w:rPr>
        <w:t xml:space="preserve">the municipalities’ </w:t>
      </w:r>
      <w:r w:rsidRPr="00C343C9">
        <w:rPr>
          <w:rFonts w:ascii="Arial" w:hAnsi="Arial" w:cs="Arial"/>
          <w:bCs/>
        </w:rPr>
        <w:t>response capacity is fragile</w:t>
      </w:r>
      <w:r>
        <w:rPr>
          <w:rStyle w:val="FootnoteReference"/>
          <w:rFonts w:ascii="Arial" w:hAnsi="Arial" w:cs="Arial"/>
          <w:bCs/>
        </w:rPr>
        <w:footnoteReference w:id="4"/>
      </w:r>
      <w:r w:rsidRPr="00C343C9">
        <w:rPr>
          <w:rFonts w:ascii="Arial" w:hAnsi="Arial" w:cs="Arial"/>
          <w:bCs/>
        </w:rPr>
        <w:t xml:space="preserve">. The objective of the </w:t>
      </w:r>
      <w:r w:rsidR="00201234">
        <w:rPr>
          <w:rFonts w:ascii="Arial" w:hAnsi="Arial" w:cs="Arial"/>
          <w:bCs/>
        </w:rPr>
        <w:t xml:space="preserve">AS </w:t>
      </w:r>
      <w:r w:rsidRPr="00C343C9">
        <w:rPr>
          <w:rFonts w:ascii="Arial" w:hAnsi="Arial" w:cs="Arial"/>
          <w:bCs/>
        </w:rPr>
        <w:t xml:space="preserve">coalition is to support the education </w:t>
      </w:r>
      <w:r>
        <w:rPr>
          <w:rFonts w:ascii="Arial" w:hAnsi="Arial" w:cs="Arial"/>
          <w:bCs/>
        </w:rPr>
        <w:t>secretariats</w:t>
      </w:r>
      <w:r w:rsidRPr="00C343C9">
        <w:rPr>
          <w:rFonts w:ascii="Arial" w:hAnsi="Arial" w:cs="Arial"/>
          <w:bCs/>
        </w:rPr>
        <w:t xml:space="preserve"> by minimizing the </w:t>
      </w:r>
      <w:r>
        <w:rPr>
          <w:rFonts w:ascii="Arial" w:hAnsi="Arial" w:cs="Arial"/>
          <w:bCs/>
        </w:rPr>
        <w:t xml:space="preserve">negative </w:t>
      </w:r>
      <w:r w:rsidRPr="00C343C9">
        <w:rPr>
          <w:rFonts w:ascii="Arial" w:hAnsi="Arial" w:cs="Arial"/>
          <w:bCs/>
        </w:rPr>
        <w:t>effect</w:t>
      </w:r>
      <w:r>
        <w:rPr>
          <w:rFonts w:ascii="Arial" w:hAnsi="Arial" w:cs="Arial"/>
          <w:bCs/>
        </w:rPr>
        <w:t>s</w:t>
      </w:r>
      <w:r w:rsidRPr="00C343C9">
        <w:rPr>
          <w:rFonts w:ascii="Arial" w:hAnsi="Arial" w:cs="Arial"/>
          <w:bCs/>
        </w:rPr>
        <w:t xml:space="preserve"> of this pandemic on </w:t>
      </w:r>
      <w:r>
        <w:rPr>
          <w:rFonts w:ascii="Arial" w:hAnsi="Arial" w:cs="Arial"/>
          <w:bCs/>
        </w:rPr>
        <w:t xml:space="preserve">the </w:t>
      </w:r>
      <w:r w:rsidRPr="00C343C9">
        <w:rPr>
          <w:rFonts w:ascii="Arial" w:hAnsi="Arial" w:cs="Arial"/>
          <w:bCs/>
        </w:rPr>
        <w:t>gain</w:t>
      </w:r>
      <w:r>
        <w:rPr>
          <w:rFonts w:ascii="Arial" w:hAnsi="Arial" w:cs="Arial"/>
          <w:bCs/>
        </w:rPr>
        <w:t>s</w:t>
      </w:r>
      <w:r w:rsidRPr="00C343C9">
        <w:rPr>
          <w:rFonts w:ascii="Arial" w:hAnsi="Arial" w:cs="Arial"/>
          <w:bCs/>
        </w:rPr>
        <w:t xml:space="preserve"> </w:t>
      </w:r>
      <w:r>
        <w:rPr>
          <w:rFonts w:ascii="Arial" w:hAnsi="Arial" w:cs="Arial"/>
          <w:bCs/>
        </w:rPr>
        <w:t xml:space="preserve">made </w:t>
      </w:r>
      <w:r w:rsidRPr="00C343C9">
        <w:rPr>
          <w:rFonts w:ascii="Arial" w:hAnsi="Arial" w:cs="Arial"/>
          <w:bCs/>
        </w:rPr>
        <w:t xml:space="preserve">during the last years and </w:t>
      </w:r>
      <w:r>
        <w:rPr>
          <w:rFonts w:ascii="Arial" w:hAnsi="Arial" w:cs="Arial"/>
          <w:bCs/>
        </w:rPr>
        <w:t xml:space="preserve">to </w:t>
      </w:r>
      <w:r w:rsidRPr="00C343C9">
        <w:rPr>
          <w:rFonts w:ascii="Arial" w:hAnsi="Arial" w:cs="Arial"/>
          <w:bCs/>
        </w:rPr>
        <w:t xml:space="preserve">continue working </w:t>
      </w:r>
      <w:r>
        <w:rPr>
          <w:rFonts w:ascii="Arial" w:hAnsi="Arial" w:cs="Arial"/>
          <w:bCs/>
        </w:rPr>
        <w:t xml:space="preserve">towards </w:t>
      </w:r>
      <w:r w:rsidRPr="00C343C9">
        <w:rPr>
          <w:rFonts w:ascii="Arial" w:hAnsi="Arial" w:cs="Arial"/>
          <w:bCs/>
        </w:rPr>
        <w:t xml:space="preserve">attaining the National Education Plan (PNE) indicators by 2025.  </w:t>
      </w:r>
    </w:p>
    <w:p w:rsidRPr="00C343C9" w:rsidR="00252082" w:rsidP="007D229E" w:rsidRDefault="00252082" w14:paraId="5E160B18" w14:textId="72850451">
      <w:pPr>
        <w:pStyle w:val="ListParagraph"/>
        <w:numPr>
          <w:ilvl w:val="1"/>
          <w:numId w:val="5"/>
        </w:numPr>
        <w:spacing w:before="120" w:after="120" w:line="240" w:lineRule="auto"/>
        <w:ind w:left="426" w:hanging="540"/>
        <w:contextualSpacing w:val="0"/>
        <w:jc w:val="both"/>
        <w:rPr>
          <w:rFonts w:ascii="Arial" w:hAnsi="Arial" w:cs="Arial"/>
          <w:bCs/>
        </w:rPr>
      </w:pPr>
      <w:r>
        <w:rPr>
          <w:rFonts w:ascii="Arial" w:hAnsi="Arial" w:cs="Arial"/>
          <w:bCs/>
        </w:rPr>
        <w:t>AS coalition,</w:t>
      </w:r>
      <w:r w:rsidRPr="00C343C9">
        <w:rPr>
          <w:rFonts w:ascii="Arial" w:hAnsi="Arial" w:cs="Arial"/>
          <w:bCs/>
        </w:rPr>
        <w:t xml:space="preserve"> working with the education sector in Brazil</w:t>
      </w:r>
      <w:r>
        <w:rPr>
          <w:rFonts w:ascii="Arial" w:hAnsi="Arial" w:cs="Arial"/>
          <w:bCs/>
        </w:rPr>
        <w:t>,</w:t>
      </w:r>
      <w:r w:rsidRPr="00C343C9">
        <w:rPr>
          <w:rFonts w:ascii="Arial" w:hAnsi="Arial" w:cs="Arial"/>
          <w:bCs/>
        </w:rPr>
        <w:t xml:space="preserve"> has divided the response to the CV pandemic in three phases</w:t>
      </w:r>
      <w:r>
        <w:rPr>
          <w:rFonts w:ascii="Arial" w:hAnsi="Arial" w:cs="Arial"/>
          <w:bCs/>
        </w:rPr>
        <w:t>:</w:t>
      </w:r>
      <w:r w:rsidRPr="00C343C9">
        <w:rPr>
          <w:rFonts w:ascii="Arial" w:hAnsi="Arial" w:cs="Arial"/>
          <w:bCs/>
        </w:rPr>
        <w:t xml:space="preserve"> </w:t>
      </w:r>
      <w:r>
        <w:rPr>
          <w:rFonts w:ascii="Arial" w:hAnsi="Arial" w:cs="Arial"/>
          <w:bCs/>
        </w:rPr>
        <w:t xml:space="preserve">(i) </w:t>
      </w:r>
      <w:r w:rsidRPr="00C343C9">
        <w:rPr>
          <w:rFonts w:ascii="Arial" w:hAnsi="Arial" w:cs="Arial"/>
          <w:bCs/>
        </w:rPr>
        <w:t>emergency declaration</w:t>
      </w:r>
      <w:r w:rsidR="00201234">
        <w:rPr>
          <w:rFonts w:ascii="Arial" w:hAnsi="Arial" w:cs="Arial"/>
          <w:bCs/>
        </w:rPr>
        <w:t>;</w:t>
      </w:r>
      <w:r w:rsidRPr="00C343C9">
        <w:rPr>
          <w:rFonts w:ascii="Arial" w:hAnsi="Arial" w:cs="Arial"/>
          <w:bCs/>
        </w:rPr>
        <w:t xml:space="preserve"> </w:t>
      </w:r>
      <w:r>
        <w:rPr>
          <w:rFonts w:ascii="Arial" w:hAnsi="Arial" w:cs="Arial"/>
          <w:bCs/>
        </w:rPr>
        <w:t xml:space="preserve">(ii) </w:t>
      </w:r>
      <w:r w:rsidRPr="00C343C9">
        <w:rPr>
          <w:rFonts w:ascii="Arial" w:hAnsi="Arial" w:cs="Arial"/>
          <w:bCs/>
        </w:rPr>
        <w:t>provision of education (and social) services</w:t>
      </w:r>
      <w:r w:rsidR="00201234">
        <w:rPr>
          <w:rFonts w:ascii="Arial" w:hAnsi="Arial" w:cs="Arial"/>
          <w:bCs/>
        </w:rPr>
        <w:t>;</w:t>
      </w:r>
      <w:r w:rsidRPr="00C343C9">
        <w:rPr>
          <w:rFonts w:ascii="Arial" w:hAnsi="Arial" w:cs="Arial"/>
          <w:bCs/>
        </w:rPr>
        <w:t xml:space="preserve"> and </w:t>
      </w:r>
      <w:r>
        <w:rPr>
          <w:rFonts w:ascii="Arial" w:hAnsi="Arial" w:cs="Arial"/>
          <w:bCs/>
        </w:rPr>
        <w:t xml:space="preserve">(iii) </w:t>
      </w:r>
      <w:r w:rsidRPr="00C343C9">
        <w:rPr>
          <w:rFonts w:ascii="Arial" w:hAnsi="Arial" w:cs="Arial"/>
          <w:bCs/>
        </w:rPr>
        <w:t xml:space="preserve">return to classes. Organizations and institutions that joined this initiative </w:t>
      </w:r>
      <w:proofErr w:type="gramStart"/>
      <w:r w:rsidRPr="00C343C9">
        <w:rPr>
          <w:rFonts w:ascii="Arial" w:hAnsi="Arial" w:cs="Arial"/>
          <w:bCs/>
        </w:rPr>
        <w:t>have to</w:t>
      </w:r>
      <w:proofErr w:type="gramEnd"/>
      <w:r w:rsidRPr="00C343C9">
        <w:rPr>
          <w:rFonts w:ascii="Arial" w:hAnsi="Arial" w:cs="Arial"/>
          <w:bCs/>
        </w:rPr>
        <w:t xml:space="preserve"> declare interest in one of the phases and </w:t>
      </w:r>
      <w:r w:rsidRPr="00C343C9">
        <w:rPr>
          <w:rFonts w:ascii="Arial" w:hAnsi="Arial" w:cs="Arial"/>
          <w:bCs/>
        </w:rPr>
        <w:lastRenderedPageBreak/>
        <w:t xml:space="preserve">actively participate in the actions related to it. </w:t>
      </w:r>
      <w:r w:rsidR="00E40812">
        <w:rPr>
          <w:rFonts w:ascii="Arial" w:hAnsi="Arial" w:cs="Arial"/>
          <w:bCs/>
        </w:rPr>
        <w:t>The Bank</w:t>
      </w:r>
      <w:r w:rsidR="00B227B9">
        <w:rPr>
          <w:rFonts w:ascii="Arial" w:hAnsi="Arial" w:cs="Arial"/>
          <w:bCs/>
        </w:rPr>
        <w:t xml:space="preserve">, through the Education Division, </w:t>
      </w:r>
      <w:r w:rsidRPr="00C343C9">
        <w:rPr>
          <w:rFonts w:ascii="Arial" w:hAnsi="Arial" w:cs="Arial"/>
          <w:bCs/>
        </w:rPr>
        <w:t xml:space="preserve">joined phase three (return to classes) subgroup </w:t>
      </w:r>
      <w:r w:rsidR="008B0EA0">
        <w:rPr>
          <w:rFonts w:ascii="Arial" w:hAnsi="Arial" w:cs="Arial"/>
          <w:bCs/>
        </w:rPr>
        <w:t>due to</w:t>
      </w:r>
      <w:r w:rsidRPr="00C343C9">
        <w:rPr>
          <w:rFonts w:ascii="Arial" w:hAnsi="Arial" w:cs="Arial"/>
          <w:bCs/>
        </w:rPr>
        <w:t xml:space="preserve"> its focus on the mid and long-term effects of CV on education linked to the preparation of the </w:t>
      </w:r>
      <w:proofErr w:type="spellStart"/>
      <w:r w:rsidRPr="00C343C9">
        <w:rPr>
          <w:rFonts w:ascii="Arial" w:hAnsi="Arial" w:cs="Arial"/>
          <w:bCs/>
        </w:rPr>
        <w:t>ProSocial</w:t>
      </w:r>
      <w:proofErr w:type="spellEnd"/>
      <w:r w:rsidRPr="00C343C9">
        <w:rPr>
          <w:rFonts w:ascii="Arial" w:hAnsi="Arial" w:cs="Arial"/>
          <w:bCs/>
        </w:rPr>
        <w:t xml:space="preserve"> CCLIP</w:t>
      </w:r>
      <w:r w:rsidR="00012250">
        <w:rPr>
          <w:rStyle w:val="FootnoteReference"/>
          <w:rFonts w:ascii="Arial" w:hAnsi="Arial" w:cs="Arial"/>
          <w:bCs/>
        </w:rPr>
        <w:footnoteReference w:id="5"/>
      </w:r>
      <w:r w:rsidRPr="00C343C9">
        <w:rPr>
          <w:rFonts w:ascii="Arial" w:hAnsi="Arial" w:cs="Arial"/>
          <w:bCs/>
        </w:rPr>
        <w:t xml:space="preserve">. </w:t>
      </w:r>
    </w:p>
    <w:p w:rsidRPr="00C01BE9" w:rsidR="00252082" w:rsidP="007D229E" w:rsidRDefault="00252082" w14:paraId="70BE747E" w14:textId="4CCDCD58">
      <w:pPr>
        <w:pStyle w:val="ListParagraph"/>
        <w:numPr>
          <w:ilvl w:val="1"/>
          <w:numId w:val="5"/>
        </w:numPr>
        <w:spacing w:before="120" w:after="120" w:line="240" w:lineRule="auto"/>
        <w:ind w:left="426" w:hanging="540"/>
        <w:contextualSpacing w:val="0"/>
        <w:jc w:val="both"/>
        <w:rPr>
          <w:rFonts w:ascii="Arial" w:hAnsi="Arial" w:cs="Arial"/>
          <w:bCs/>
        </w:rPr>
      </w:pPr>
      <w:r w:rsidRPr="00252082">
        <w:rPr>
          <w:rFonts w:ascii="Arial" w:hAnsi="Arial" w:cs="Arial"/>
          <w:b/>
        </w:rPr>
        <w:t>Diagnostic Activities.</w:t>
      </w:r>
      <w:r w:rsidRPr="00252082">
        <w:rPr>
          <w:rFonts w:ascii="Arial" w:hAnsi="Arial" w:cs="Arial"/>
          <w:bCs/>
        </w:rPr>
        <w:t xml:space="preserve"> Given the heterogeneity of Brazil’s school system due to their autonomy regarding school closure and reopening, our task force (</w:t>
      </w:r>
      <w:proofErr w:type="spellStart"/>
      <w:r w:rsidRPr="00AE7E51">
        <w:rPr>
          <w:rFonts w:ascii="Arial" w:hAnsi="Arial" w:cs="Arial"/>
          <w:i/>
        </w:rPr>
        <w:t>Fundação</w:t>
      </w:r>
      <w:proofErr w:type="spellEnd"/>
      <w:r w:rsidRPr="00AE7E51">
        <w:rPr>
          <w:rFonts w:ascii="Arial" w:hAnsi="Arial" w:cs="Arial"/>
          <w:i/>
        </w:rPr>
        <w:t xml:space="preserve"> Lemann, Itaú Social, BID, Instituto Natura, and </w:t>
      </w:r>
      <w:proofErr w:type="spellStart"/>
      <w:r w:rsidRPr="00AE7E51">
        <w:rPr>
          <w:rFonts w:ascii="Arial" w:hAnsi="Arial" w:cs="Arial"/>
          <w:i/>
        </w:rPr>
        <w:t>Fundação</w:t>
      </w:r>
      <w:proofErr w:type="spellEnd"/>
      <w:r w:rsidRPr="00AE7E51">
        <w:rPr>
          <w:rFonts w:ascii="Arial" w:hAnsi="Arial" w:cs="Arial"/>
          <w:i/>
        </w:rPr>
        <w:t xml:space="preserve"> Roberto </w:t>
      </w:r>
      <w:proofErr w:type="spellStart"/>
      <w:r w:rsidRPr="00AE7E51">
        <w:rPr>
          <w:rFonts w:ascii="Arial" w:hAnsi="Arial" w:cs="Arial"/>
          <w:i/>
        </w:rPr>
        <w:t>Marinho</w:t>
      </w:r>
      <w:proofErr w:type="spellEnd"/>
      <w:r w:rsidRPr="00252082">
        <w:rPr>
          <w:rFonts w:ascii="Arial" w:hAnsi="Arial" w:cs="Arial"/>
          <w:bCs/>
        </w:rPr>
        <w:t xml:space="preserve">) has been discussing with international and local assessment institutions options to offer a diagnostic assessment once students return to schools. This comprehensive package is intended for teachers use with the overarching objective of reducing the learning gaps caused by CV. </w:t>
      </w:r>
    </w:p>
    <w:p w:rsidRPr="00252082" w:rsidR="00252082" w:rsidP="007D229E" w:rsidRDefault="00252082" w14:paraId="0862CDD0" w14:textId="74039EAB">
      <w:pPr>
        <w:pStyle w:val="ListParagraph"/>
        <w:numPr>
          <w:ilvl w:val="1"/>
          <w:numId w:val="5"/>
        </w:numPr>
        <w:spacing w:before="120" w:after="120" w:line="240" w:lineRule="auto"/>
        <w:ind w:left="426" w:hanging="540"/>
        <w:contextualSpacing w:val="0"/>
        <w:jc w:val="both"/>
        <w:rPr>
          <w:rFonts w:ascii="Arial" w:hAnsi="Arial" w:cs="Arial"/>
          <w:bCs/>
        </w:rPr>
      </w:pPr>
      <w:r w:rsidRPr="00252082">
        <w:rPr>
          <w:rFonts w:ascii="Arial" w:hAnsi="Arial" w:cs="Arial"/>
          <w:bCs/>
        </w:rPr>
        <w:t xml:space="preserve">Furthermore, focusing on the mid and long-term effects of CV on education will also allow for synergies with </w:t>
      </w:r>
      <w:proofErr w:type="spellStart"/>
      <w:r w:rsidRPr="00252082">
        <w:rPr>
          <w:rFonts w:ascii="Arial" w:hAnsi="Arial" w:cs="Arial"/>
          <w:bCs/>
        </w:rPr>
        <w:t>ProSocial</w:t>
      </w:r>
      <w:proofErr w:type="spellEnd"/>
      <w:r w:rsidRPr="00252082">
        <w:rPr>
          <w:rFonts w:ascii="Arial" w:hAnsi="Arial" w:cs="Arial"/>
          <w:bCs/>
        </w:rPr>
        <w:t xml:space="preserve"> CCLIP’s preparation, Brazil’s SCL multisector approach to operations focused on increasing the efficiency in the administration of social spending. One of the great challenges that Brazil will face in the coming years will be to achieve a profound modernization in the administration of social spending without compromising the important social advances achieved in recent decades that will allow it: (i) to ensure the provision of fundamental social services for high quality, (ii) achieve a spending path that ensures the country's fiscal sustainability and (iii) contribute to a sustained growth model. Brazil’s priorities in education were established in 2014 through the National Education Plan (PNE) that establishes goals for 2025. Through </w:t>
      </w:r>
      <w:proofErr w:type="spellStart"/>
      <w:r w:rsidRPr="00252082">
        <w:rPr>
          <w:rFonts w:ascii="Arial" w:hAnsi="Arial" w:cs="Arial"/>
          <w:bCs/>
        </w:rPr>
        <w:t>ProSocial</w:t>
      </w:r>
      <w:proofErr w:type="spellEnd"/>
      <w:r w:rsidRPr="00252082">
        <w:rPr>
          <w:rFonts w:ascii="Arial" w:hAnsi="Arial" w:cs="Arial"/>
          <w:bCs/>
        </w:rPr>
        <w:t xml:space="preserve">, </w:t>
      </w:r>
      <w:r w:rsidR="00BE6ADE">
        <w:rPr>
          <w:rFonts w:ascii="Arial" w:hAnsi="Arial" w:cs="Arial"/>
          <w:bCs/>
        </w:rPr>
        <w:t>the Bank</w:t>
      </w:r>
      <w:r w:rsidRPr="00252082">
        <w:rPr>
          <w:rFonts w:ascii="Arial" w:hAnsi="Arial" w:cs="Arial"/>
          <w:bCs/>
        </w:rPr>
        <w:t xml:space="preserve"> will focus on the following goals</w:t>
      </w:r>
      <w:r w:rsidR="00EF427E">
        <w:rPr>
          <w:rFonts w:ascii="Arial" w:hAnsi="Arial" w:cs="Arial"/>
          <w:bCs/>
        </w:rPr>
        <w:t>:</w:t>
      </w:r>
    </w:p>
    <w:p w:rsidRPr="00C01BE9" w:rsidR="00252082" w:rsidP="007D229E" w:rsidRDefault="00252082" w14:paraId="517E4A2D"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
        </w:rPr>
        <w:t>Increase early education coverage in the 0-3-year-old age group</w:t>
      </w:r>
      <w:r w:rsidRPr="00C01BE9">
        <w:rPr>
          <w:rFonts w:ascii="Arial" w:hAnsi="Arial" w:cs="Arial"/>
          <w:bCs/>
        </w:rPr>
        <w:t>. The National Education Plan’s goal is to attain 50% coverage by 2025</w:t>
      </w:r>
      <w:r>
        <w:rPr>
          <w:rFonts w:ascii="Arial" w:hAnsi="Arial" w:cs="Arial"/>
          <w:bCs/>
        </w:rPr>
        <w:t>;</w:t>
      </w:r>
      <w:r w:rsidRPr="00C01BE9">
        <w:rPr>
          <w:rFonts w:ascii="Arial" w:hAnsi="Arial" w:cs="Arial"/>
          <w:bCs/>
        </w:rPr>
        <w:t xml:space="preserve"> the country is still behind (35.6% in 2018). To reach the objective there is a need for</w:t>
      </w:r>
      <w:r>
        <w:rPr>
          <w:rFonts w:ascii="Arial" w:hAnsi="Arial" w:cs="Arial"/>
          <w:bCs/>
        </w:rPr>
        <w:t xml:space="preserve"> additional</w:t>
      </w:r>
      <w:r w:rsidRPr="00C01BE9">
        <w:rPr>
          <w:rFonts w:ascii="Arial" w:hAnsi="Arial" w:cs="Arial"/>
          <w:bCs/>
        </w:rPr>
        <w:t xml:space="preserve"> infrastructure and </w:t>
      </w:r>
      <w:r>
        <w:rPr>
          <w:rFonts w:ascii="Arial" w:hAnsi="Arial" w:cs="Arial"/>
          <w:bCs/>
        </w:rPr>
        <w:t xml:space="preserve">more </w:t>
      </w:r>
      <w:r w:rsidRPr="00C01BE9">
        <w:rPr>
          <w:rFonts w:ascii="Arial" w:hAnsi="Arial" w:cs="Arial"/>
          <w:bCs/>
        </w:rPr>
        <w:t xml:space="preserve">teachers. This requires important investments of municipal governments. </w:t>
      </w:r>
    </w:p>
    <w:p w:rsidRPr="00C01BE9" w:rsidR="00252082" w:rsidP="007D229E" w:rsidRDefault="00252082" w14:paraId="74F0813A"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
        </w:rPr>
        <w:t>Improve childhood literacy</w:t>
      </w:r>
      <w:r w:rsidRPr="00C01BE9">
        <w:rPr>
          <w:rFonts w:ascii="Arial" w:hAnsi="Arial" w:cs="Arial"/>
          <w:bCs/>
        </w:rPr>
        <w:t xml:space="preserve">. 54.7% of students in Brazil did not meet the minimum expected level in reading comprehension by third grade according to the national literacy assessment applied in 2016. </w:t>
      </w:r>
      <w:r>
        <w:rPr>
          <w:rFonts w:ascii="Arial" w:hAnsi="Arial" w:cs="Arial"/>
          <w:bCs/>
        </w:rPr>
        <w:t>The MEC has implemented several short duration initiatives and thus no impact</w:t>
      </w:r>
      <w:r w:rsidRPr="00C01BE9">
        <w:rPr>
          <w:rFonts w:ascii="Arial" w:hAnsi="Arial" w:cs="Arial"/>
          <w:bCs/>
        </w:rPr>
        <w:t xml:space="preserve">. </w:t>
      </w:r>
      <w:r>
        <w:rPr>
          <w:rFonts w:ascii="Arial" w:hAnsi="Arial" w:cs="Arial"/>
          <w:bCs/>
        </w:rPr>
        <w:t xml:space="preserve">In 2019 the national literacy policy was launched but no programs have been moved forward. Manaus’s education secretary asked for BID’s support in adapting the </w:t>
      </w:r>
      <w:proofErr w:type="spellStart"/>
      <w:r>
        <w:rPr>
          <w:rFonts w:ascii="Arial" w:hAnsi="Arial" w:cs="Arial"/>
          <w:bCs/>
        </w:rPr>
        <w:t>Aprendamos</w:t>
      </w:r>
      <w:proofErr w:type="spellEnd"/>
      <w:r>
        <w:rPr>
          <w:rFonts w:ascii="Arial" w:hAnsi="Arial" w:cs="Arial"/>
          <w:bCs/>
        </w:rPr>
        <w:t xml:space="preserve"> </w:t>
      </w:r>
      <w:proofErr w:type="spellStart"/>
      <w:r>
        <w:rPr>
          <w:rFonts w:ascii="Arial" w:hAnsi="Arial" w:cs="Arial"/>
          <w:bCs/>
        </w:rPr>
        <w:t>Todos</w:t>
      </w:r>
      <w:proofErr w:type="spellEnd"/>
      <w:r>
        <w:rPr>
          <w:rFonts w:ascii="Arial" w:hAnsi="Arial" w:cs="Arial"/>
          <w:bCs/>
        </w:rPr>
        <w:t xml:space="preserve"> a Leer Program to Portuguese </w:t>
      </w:r>
      <w:proofErr w:type="gramStart"/>
      <w:r>
        <w:rPr>
          <w:rFonts w:ascii="Arial" w:hAnsi="Arial" w:cs="Arial"/>
          <w:bCs/>
        </w:rPr>
        <w:t>in an effort to</w:t>
      </w:r>
      <w:proofErr w:type="gramEnd"/>
      <w:r>
        <w:rPr>
          <w:rFonts w:ascii="Arial" w:hAnsi="Arial" w:cs="Arial"/>
          <w:bCs/>
        </w:rPr>
        <w:t xml:space="preserve"> implement the national policy and we will work together with them in this project.</w:t>
      </w:r>
    </w:p>
    <w:p w:rsidRPr="00C01BE9" w:rsidR="00252082" w:rsidP="007D229E" w:rsidRDefault="00252082" w14:paraId="499A88F4"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
        </w:rPr>
        <w:t>Implement High School reform</w:t>
      </w:r>
      <w:r w:rsidRPr="00C01BE9">
        <w:rPr>
          <w:rFonts w:ascii="Arial" w:hAnsi="Arial" w:cs="Arial"/>
          <w:bCs/>
        </w:rPr>
        <w:t>. In 2017</w:t>
      </w:r>
      <w:r>
        <w:rPr>
          <w:rFonts w:ascii="Arial" w:hAnsi="Arial" w:cs="Arial"/>
          <w:bCs/>
        </w:rPr>
        <w:t>,</w:t>
      </w:r>
      <w:r w:rsidRPr="00C01BE9">
        <w:rPr>
          <w:rFonts w:ascii="Arial" w:hAnsi="Arial" w:cs="Arial"/>
          <w:bCs/>
        </w:rPr>
        <w:t xml:space="preserve"> the MEC passed a law that reformed high school education centered on curriculum flexibilization with special interest in TVET.  This will create a demand in the states for: i) the implementation of distance education systems to provide flexibility; ii) the construction of some regional schools with more technology and </w:t>
      </w:r>
      <w:r>
        <w:rPr>
          <w:rFonts w:ascii="Arial" w:hAnsi="Arial" w:cs="Arial"/>
          <w:bCs/>
        </w:rPr>
        <w:t>programs</w:t>
      </w:r>
      <w:r w:rsidRPr="00C01BE9">
        <w:rPr>
          <w:rFonts w:ascii="Arial" w:hAnsi="Arial" w:cs="Arial"/>
          <w:bCs/>
        </w:rPr>
        <w:t xml:space="preserve"> based on the need of each region (technology, agriculture, tourism, </w:t>
      </w:r>
      <w:proofErr w:type="spellStart"/>
      <w:r w:rsidRPr="00C01BE9">
        <w:rPr>
          <w:rFonts w:ascii="Arial" w:hAnsi="Arial" w:cs="Arial"/>
          <w:bCs/>
        </w:rPr>
        <w:t>etc</w:t>
      </w:r>
      <w:proofErr w:type="spellEnd"/>
      <w:r w:rsidRPr="00C01BE9">
        <w:rPr>
          <w:rFonts w:ascii="Arial" w:hAnsi="Arial" w:cs="Arial"/>
          <w:bCs/>
        </w:rPr>
        <w:t xml:space="preserve">). This agenda would be aligned with Brazil's strategy to improve the efficiency of companies, through more skilled labor, and entrepreneurship. </w:t>
      </w:r>
      <w:r>
        <w:rPr>
          <w:rFonts w:ascii="Arial" w:hAnsi="Arial" w:cs="Arial"/>
          <w:bCs/>
        </w:rPr>
        <w:t xml:space="preserve">Additionally, the Paraná education loan that is being prepared </w:t>
      </w:r>
      <w:r w:rsidRPr="00C01BE9">
        <w:rPr>
          <w:rFonts w:ascii="Arial" w:hAnsi="Arial" w:cs="Arial"/>
          <w:bCs/>
        </w:rPr>
        <w:t>(BR-L1551) focuses on the implementation of the Technical Education for High School (TEHS) pathway in the state of Paraná</w:t>
      </w:r>
      <w:r>
        <w:rPr>
          <w:rFonts w:ascii="Arial" w:hAnsi="Arial" w:cs="Arial"/>
          <w:bCs/>
        </w:rPr>
        <w:t xml:space="preserve"> which will be key to </w:t>
      </w:r>
      <w:r w:rsidRPr="00082FB8">
        <w:rPr>
          <w:rFonts w:ascii="Arial" w:hAnsi="Arial" w:cs="Arial"/>
          <w:bCs/>
        </w:rPr>
        <w:t>collect</w:t>
      </w:r>
      <w:r>
        <w:rPr>
          <w:rFonts w:ascii="Arial" w:hAnsi="Arial" w:cs="Arial"/>
          <w:bCs/>
        </w:rPr>
        <w:t xml:space="preserve"> evidence for further operations</w:t>
      </w:r>
      <w:r w:rsidRPr="00C01BE9">
        <w:rPr>
          <w:rFonts w:ascii="Arial" w:hAnsi="Arial" w:cs="Arial"/>
          <w:bCs/>
        </w:rPr>
        <w:t>.</w:t>
      </w:r>
    </w:p>
    <w:p w:rsidRPr="00C01BE9" w:rsidR="00252082" w:rsidP="007D229E" w:rsidRDefault="00252082" w14:paraId="4884CE49"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
        </w:rPr>
        <w:t>Improve management systems at the local level</w:t>
      </w:r>
      <w:r w:rsidRPr="00C01BE9">
        <w:rPr>
          <w:rFonts w:ascii="Arial" w:hAnsi="Arial" w:cs="Arial"/>
          <w:bCs/>
        </w:rPr>
        <w:t xml:space="preserve">. During 2018, through a Regional Technical Cooperation (RG-T3008), an instrument to measure the maturity level of </w:t>
      </w:r>
      <w:r w:rsidRPr="00C01BE9">
        <w:rPr>
          <w:rFonts w:ascii="Arial" w:hAnsi="Arial" w:cs="Arial"/>
          <w:bCs/>
        </w:rPr>
        <w:lastRenderedPageBreak/>
        <w:t>information and management systems</w:t>
      </w:r>
      <w:r>
        <w:rPr>
          <w:rFonts w:ascii="Arial" w:hAnsi="Arial" w:cs="Arial"/>
          <w:bCs/>
        </w:rPr>
        <w:t xml:space="preserve"> (SIGED for its initials in Spanish)</w:t>
      </w:r>
      <w:r w:rsidRPr="00C01BE9">
        <w:rPr>
          <w:rFonts w:ascii="Arial" w:hAnsi="Arial" w:cs="Arial"/>
          <w:bCs/>
        </w:rPr>
        <w:t xml:space="preserve"> was developed and 10 case studies</w:t>
      </w:r>
      <w:r>
        <w:rPr>
          <w:rStyle w:val="FootnoteReference"/>
          <w:rFonts w:ascii="Arial" w:hAnsi="Arial" w:cs="Arial"/>
          <w:bCs/>
        </w:rPr>
        <w:footnoteReference w:id="6"/>
      </w:r>
      <w:r w:rsidRPr="00C01BE9">
        <w:rPr>
          <w:rFonts w:ascii="Arial" w:hAnsi="Arial" w:cs="Arial"/>
          <w:bCs/>
        </w:rPr>
        <w:t xml:space="preserve"> (two in Brazil) were developed revealing interesting findings and recommendations. Due to Brazil’s level of decentralization we are adapting (financed through BR-T1425) the instrument </w:t>
      </w:r>
      <w:proofErr w:type="gramStart"/>
      <w:r w:rsidRPr="00C01BE9">
        <w:rPr>
          <w:rFonts w:ascii="Arial" w:hAnsi="Arial" w:cs="Arial"/>
          <w:bCs/>
        </w:rPr>
        <w:t>in order to</w:t>
      </w:r>
      <w:proofErr w:type="gramEnd"/>
      <w:r w:rsidRPr="00C01BE9">
        <w:rPr>
          <w:rFonts w:ascii="Arial" w:hAnsi="Arial" w:cs="Arial"/>
          <w:bCs/>
        </w:rPr>
        <w:t xml:space="preserve"> reach local governments. We expect to gather helpful information that will allow us to help governments create action plans to become more efficient.</w:t>
      </w:r>
    </w:p>
    <w:p w:rsidRPr="00C01BE9" w:rsidR="00252082" w:rsidP="007D229E" w:rsidRDefault="00252082" w14:paraId="29EA9199"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
        </w:rPr>
        <w:t>Promote a culture of innovation</w:t>
      </w:r>
      <w:r w:rsidRPr="00C01BE9">
        <w:rPr>
          <w:rFonts w:ascii="Arial" w:hAnsi="Arial" w:cs="Arial"/>
          <w:bCs/>
        </w:rPr>
        <w:t>. Brazil faces challenges in education related with how to get quality education to remote areas, teacher allocation, management, and data quality that allows for decision making that can be tackled with innovative solutions. For example, we are working with Pernambuco, through a regional TC (RG-T2997), to implement a centralized</w:t>
      </w:r>
      <w:r>
        <w:rPr>
          <w:rFonts w:ascii="Arial" w:hAnsi="Arial" w:cs="Arial"/>
          <w:bCs/>
        </w:rPr>
        <w:t xml:space="preserve"> student admission </w:t>
      </w:r>
      <w:r w:rsidRPr="00C01BE9">
        <w:rPr>
          <w:rFonts w:ascii="Arial" w:hAnsi="Arial" w:cs="Arial"/>
          <w:bCs/>
        </w:rPr>
        <w:t>system that uses efficient matching algorithms and artificial intelligence paired with behavioral economy insights to improve the efficiency and equity of student assignment. Another TC in Ecuador and Peru (RG-T3443) is working with nudges to incentiv</w:t>
      </w:r>
      <w:r>
        <w:rPr>
          <w:rFonts w:ascii="Arial" w:hAnsi="Arial" w:cs="Arial"/>
          <w:bCs/>
        </w:rPr>
        <w:t>iz</w:t>
      </w:r>
      <w:r w:rsidRPr="00C01BE9">
        <w:rPr>
          <w:rFonts w:ascii="Arial" w:hAnsi="Arial" w:cs="Arial"/>
          <w:bCs/>
        </w:rPr>
        <w:t xml:space="preserve">e teachers to choose </w:t>
      </w:r>
      <w:r>
        <w:rPr>
          <w:rFonts w:ascii="Arial" w:hAnsi="Arial" w:cs="Arial"/>
          <w:bCs/>
        </w:rPr>
        <w:t xml:space="preserve">to work in </w:t>
      </w:r>
      <w:r w:rsidRPr="00C01BE9">
        <w:rPr>
          <w:rFonts w:ascii="Arial" w:hAnsi="Arial" w:cs="Arial"/>
          <w:bCs/>
        </w:rPr>
        <w:t>hard</w:t>
      </w:r>
      <w:r>
        <w:rPr>
          <w:rFonts w:ascii="Arial" w:hAnsi="Arial" w:cs="Arial"/>
          <w:bCs/>
        </w:rPr>
        <w:t>-</w:t>
      </w:r>
      <w:r w:rsidRPr="00C01BE9">
        <w:rPr>
          <w:rFonts w:ascii="Arial" w:hAnsi="Arial" w:cs="Arial"/>
          <w:bCs/>
        </w:rPr>
        <w:t>to</w:t>
      </w:r>
      <w:r>
        <w:rPr>
          <w:rFonts w:ascii="Arial" w:hAnsi="Arial" w:cs="Arial"/>
          <w:bCs/>
        </w:rPr>
        <w:t>-</w:t>
      </w:r>
      <w:r w:rsidRPr="00C01BE9">
        <w:rPr>
          <w:rFonts w:ascii="Arial" w:hAnsi="Arial" w:cs="Arial"/>
          <w:bCs/>
        </w:rPr>
        <w:t>staff schools. The regional SIGED TC helps improve management systems. These and other initiatives in the country should be compiled or incubated to scale them up</w:t>
      </w:r>
      <w:r>
        <w:rPr>
          <w:rFonts w:ascii="Arial" w:hAnsi="Arial" w:cs="Arial"/>
          <w:bCs/>
        </w:rPr>
        <w:t>,</w:t>
      </w:r>
      <w:r w:rsidRPr="00C01BE9">
        <w:rPr>
          <w:rFonts w:ascii="Arial" w:hAnsi="Arial" w:cs="Arial"/>
          <w:bCs/>
        </w:rPr>
        <w:t xml:space="preserve"> and field trials are paramount to bring evidence of </w:t>
      </w:r>
      <w:r>
        <w:rPr>
          <w:rFonts w:ascii="Arial" w:hAnsi="Arial" w:cs="Arial"/>
          <w:bCs/>
        </w:rPr>
        <w:t xml:space="preserve">their </w:t>
      </w:r>
      <w:r w:rsidRPr="00C01BE9">
        <w:rPr>
          <w:rFonts w:ascii="Arial" w:hAnsi="Arial" w:cs="Arial"/>
          <w:bCs/>
        </w:rPr>
        <w:t>success or failure.</w:t>
      </w:r>
    </w:p>
    <w:p w:rsidR="00252082" w:rsidP="007D229E" w:rsidRDefault="00252082" w14:paraId="26E07493"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
        </w:rPr>
        <w:t>Support the civil society’s effort to foster collaboration among federal entities</w:t>
      </w:r>
      <w:r w:rsidRPr="00C01BE9">
        <w:rPr>
          <w:rFonts w:ascii="Arial" w:hAnsi="Arial" w:cs="Arial"/>
          <w:bCs/>
        </w:rPr>
        <w:t xml:space="preserve">. </w:t>
      </w:r>
      <w:r>
        <w:rPr>
          <w:rFonts w:ascii="Arial" w:hAnsi="Arial" w:cs="Arial"/>
          <w:bCs/>
        </w:rPr>
        <w:t xml:space="preserve">The </w:t>
      </w:r>
      <w:proofErr w:type="spellStart"/>
      <w:r w:rsidRPr="00C01BE9">
        <w:rPr>
          <w:rFonts w:ascii="Arial" w:hAnsi="Arial" w:cs="Arial"/>
          <w:bCs/>
        </w:rPr>
        <w:t>Colabora</w:t>
      </w:r>
      <w:proofErr w:type="spellEnd"/>
      <w:r w:rsidRPr="00C01BE9">
        <w:rPr>
          <w:rFonts w:ascii="Arial" w:hAnsi="Arial" w:cs="Arial"/>
          <w:bCs/>
        </w:rPr>
        <w:t xml:space="preserve"> Movement </w:t>
      </w:r>
      <w:r>
        <w:rPr>
          <w:rFonts w:ascii="Arial" w:hAnsi="Arial" w:cs="Arial"/>
          <w:bCs/>
        </w:rPr>
        <w:t xml:space="preserve">is gathering information </w:t>
      </w:r>
      <w:r w:rsidRPr="00C01BE9">
        <w:rPr>
          <w:rFonts w:ascii="Arial" w:hAnsi="Arial" w:cs="Arial"/>
          <w:bCs/>
        </w:rPr>
        <w:t>on the vertical and horizontal cooperation country initiatives. Cooperation among the federal entities has shown evidence of generating efficiencies in public spending (economies of scale in government purchases, aligned goals in educational attainment, synergies in transportation for schools, among others)</w:t>
      </w:r>
      <w:r>
        <w:rPr>
          <w:rFonts w:ascii="Arial" w:hAnsi="Arial" w:cs="Arial"/>
          <w:bCs/>
        </w:rPr>
        <w:t>.</w:t>
      </w:r>
      <w:r w:rsidRPr="00C01BE9">
        <w:rPr>
          <w:rFonts w:ascii="Arial" w:hAnsi="Arial" w:cs="Arial"/>
          <w:bCs/>
        </w:rPr>
        <w:t xml:space="preserve"> </w:t>
      </w:r>
      <w:r>
        <w:rPr>
          <w:rFonts w:ascii="Arial" w:hAnsi="Arial" w:cs="Arial"/>
          <w:bCs/>
        </w:rPr>
        <w:t>The IDB</w:t>
      </w:r>
      <w:r w:rsidRPr="00C01BE9">
        <w:rPr>
          <w:rFonts w:ascii="Arial" w:hAnsi="Arial" w:cs="Arial"/>
          <w:bCs/>
        </w:rPr>
        <w:t xml:space="preserve"> </w:t>
      </w:r>
      <w:r>
        <w:rPr>
          <w:rFonts w:ascii="Arial" w:hAnsi="Arial" w:cs="Arial"/>
          <w:bCs/>
        </w:rPr>
        <w:t xml:space="preserve">will </w:t>
      </w:r>
      <w:r w:rsidRPr="00C01BE9">
        <w:rPr>
          <w:rFonts w:ascii="Arial" w:hAnsi="Arial" w:cs="Arial"/>
          <w:bCs/>
        </w:rPr>
        <w:t>support</w:t>
      </w:r>
      <w:r>
        <w:rPr>
          <w:rFonts w:ascii="Arial" w:hAnsi="Arial" w:cs="Arial"/>
          <w:bCs/>
        </w:rPr>
        <w:t xml:space="preserve"> the</w:t>
      </w:r>
      <w:r w:rsidRPr="00C01BE9">
        <w:rPr>
          <w:rFonts w:ascii="Arial" w:hAnsi="Arial" w:cs="Arial"/>
          <w:bCs/>
        </w:rPr>
        <w:t xml:space="preserve"> research by documenting cooperation cases in Brazil and in other federal countries.</w:t>
      </w:r>
    </w:p>
    <w:p w:rsidRPr="006A1A0D" w:rsidR="009E6360" w:rsidP="007D229E" w:rsidRDefault="00252082" w14:paraId="0E4283E5" w14:textId="7F09E078">
      <w:pPr>
        <w:pStyle w:val="ListParagraph"/>
        <w:numPr>
          <w:ilvl w:val="1"/>
          <w:numId w:val="5"/>
        </w:numPr>
        <w:spacing w:before="120" w:after="120" w:line="240" w:lineRule="auto"/>
        <w:ind w:left="426" w:hanging="540"/>
        <w:contextualSpacing w:val="0"/>
        <w:jc w:val="both"/>
        <w:rPr>
          <w:rFonts w:ascii="Arial" w:hAnsi="Arial" w:cs="Arial"/>
          <w:bCs/>
        </w:rPr>
      </w:pPr>
      <w:r w:rsidRPr="009E6360">
        <w:rPr>
          <w:rFonts w:ascii="Arial" w:hAnsi="Arial" w:cs="Arial"/>
          <w:bCs/>
        </w:rPr>
        <w:t>This TC is consistent with the 2010-2020 Institutional Strategy Update (UIS) (AB-3008) and is aligned with the development challenge of: (i) social inclusion and equality, by promoting equal access to better social services; and (ii) productivity and innovation</w:t>
      </w:r>
      <w:r w:rsidR="00E9781B">
        <w:rPr>
          <w:rFonts w:ascii="Arial" w:hAnsi="Arial" w:cs="Arial"/>
          <w:bCs/>
        </w:rPr>
        <w:t>, by</w:t>
      </w:r>
      <w:r w:rsidRPr="009E6360">
        <w:rPr>
          <w:rFonts w:ascii="Arial" w:hAnsi="Arial" w:cs="Arial"/>
          <w:bCs/>
        </w:rPr>
        <w:t xml:space="preserve"> promoting improvement and innovation in educational management processes. Furthermore, it is also consistent with the </w:t>
      </w:r>
      <w:r w:rsidR="00F248D7">
        <w:rPr>
          <w:rFonts w:ascii="Arial" w:hAnsi="Arial" w:cs="Arial"/>
          <w:bCs/>
        </w:rPr>
        <w:t xml:space="preserve">Country strategy with </w:t>
      </w:r>
      <w:r w:rsidRPr="009E6360">
        <w:rPr>
          <w:rFonts w:ascii="Arial" w:hAnsi="Arial" w:cs="Arial"/>
          <w:bCs/>
        </w:rPr>
        <w:t xml:space="preserve">Brazil 2019-2022 (document GN-2973) as it addresses issues </w:t>
      </w:r>
      <w:r>
        <w:rPr>
          <w:rFonts w:ascii="Arial" w:hAnsi="Arial" w:cs="Arial"/>
          <w:bCs/>
        </w:rPr>
        <w:t xml:space="preserve">to </w:t>
      </w:r>
      <w:r w:rsidRPr="009E6360">
        <w:rPr>
          <w:rFonts w:ascii="Arial" w:hAnsi="Arial" w:cs="Arial"/>
          <w:bCs/>
        </w:rPr>
        <w:t>“Build a more effective public sector that promotes fiscal sustainability” and “Reduce social inequality and inequality of opportunity by enhancing public policy efficiency.” Additionally, the program will contribute to the Corporate Results Framework (CRF) (GN-2727-12) since it seeks to improve the indicator: (i) students benefited by education projects</w:t>
      </w:r>
      <w:r>
        <w:rPr>
          <w:rFonts w:ascii="Arial" w:hAnsi="Arial" w:cs="Arial"/>
          <w:bCs/>
        </w:rPr>
        <w:t>.</w:t>
      </w:r>
      <w:r w:rsidRPr="009E6360">
        <w:rPr>
          <w:rFonts w:ascii="Arial" w:hAnsi="Arial" w:cs="Arial"/>
          <w:bCs/>
        </w:rPr>
        <w:t xml:space="preserve"> </w:t>
      </w:r>
      <w:r>
        <w:rPr>
          <w:rFonts w:ascii="Arial" w:hAnsi="Arial" w:cs="Arial"/>
          <w:bCs/>
        </w:rPr>
        <w:t>A</w:t>
      </w:r>
      <w:r w:rsidRPr="009E6360">
        <w:rPr>
          <w:rFonts w:ascii="Arial" w:hAnsi="Arial" w:cs="Arial"/>
          <w:bCs/>
        </w:rPr>
        <w:t>dditionally, this TC will benefit government entities to improve CRF indicators such as "Government agencies benefited by projects that strengthen technological and managerial tools to improve public service delivery" and "Projects supporting innovation ecosystems". The TC will also contribute to the following objectives of the Ordinary Capital Strategic Development Program For Social Development (GN-2819-1): “(i) enhance the relevance, quality, and volume of Bank lending in support of the social sector; (ii) strengthen public institutions' efforts to become more effective and efficient in social programming, group targeting, and social sector project execution.” Furthermore, it is framed within the priority dimensions of</w:t>
      </w:r>
      <w:r>
        <w:rPr>
          <w:rFonts w:ascii="Arial" w:hAnsi="Arial" w:cs="Arial"/>
          <w:bCs/>
        </w:rPr>
        <w:t xml:space="preserve"> the</w:t>
      </w:r>
      <w:r w:rsidRPr="009E6360">
        <w:rPr>
          <w:rFonts w:ascii="Arial" w:hAnsi="Arial" w:cs="Arial"/>
          <w:bCs/>
        </w:rPr>
        <w:t xml:space="preserve"> Bank</w:t>
      </w:r>
      <w:r>
        <w:rPr>
          <w:rFonts w:ascii="Arial" w:hAnsi="Arial" w:cs="Arial"/>
          <w:bCs/>
        </w:rPr>
        <w:t>’s</w:t>
      </w:r>
      <w:r w:rsidRPr="009E6360">
        <w:rPr>
          <w:rFonts w:ascii="Arial" w:hAnsi="Arial" w:cs="Arial"/>
          <w:bCs/>
        </w:rPr>
        <w:t xml:space="preserve"> intervention in education, according to the Sector Framework Document for Early Childhood Development (document GN-2966) that draws three lines of action</w:t>
      </w:r>
      <w:r>
        <w:rPr>
          <w:rFonts w:ascii="Arial" w:hAnsi="Arial" w:cs="Arial"/>
          <w:bCs/>
        </w:rPr>
        <w:t>:</w:t>
      </w:r>
      <w:r w:rsidRPr="009E6360">
        <w:rPr>
          <w:rFonts w:ascii="Arial" w:hAnsi="Arial" w:cs="Arial"/>
          <w:bCs/>
        </w:rPr>
        <w:t xml:space="preserve"> (i) promote </w:t>
      </w:r>
      <w:r w:rsidRPr="009E6360">
        <w:rPr>
          <w:rFonts w:ascii="Arial" w:hAnsi="Arial" w:cs="Arial"/>
          <w:bCs/>
        </w:rPr>
        <w:lastRenderedPageBreak/>
        <w:t xml:space="preserve">efficient management and well-informed public policy; (ii) implement development services or early infant </w:t>
      </w:r>
      <w:r>
        <w:rPr>
          <w:rFonts w:ascii="Arial" w:hAnsi="Arial" w:cs="Arial"/>
          <w:bCs/>
        </w:rPr>
        <w:t xml:space="preserve">programs </w:t>
      </w:r>
      <w:r w:rsidRPr="009E6360">
        <w:rPr>
          <w:rFonts w:ascii="Arial" w:hAnsi="Arial" w:cs="Arial"/>
          <w:bCs/>
        </w:rPr>
        <w:t>with quality at scale; and (iii) strengthen the quality of the workforce and improve its working conditions. Finally, the program is consistent with the Education and Early Childhood Development Sector Framework Document (GN-2708-5) in Dimension 5 that “all children and young people acquire the necessary skills to be productive and contribute to society,” and with the Labor Sector Framework Document (GN-2741-7) in Dimension 1 “the region’s citizens have more, and more equitable, opportunities to access formal jobs with better wage expectations” and Dimension 2 “workers are more productive and, consequently, obtain higher wages and more stable employment.”</w:t>
      </w:r>
    </w:p>
    <w:p w:rsidRPr="000F744C" w:rsidR="0095711B" w:rsidP="26B9D784" w:rsidRDefault="00D95606" w14:paraId="3BBAB1FF" w14:textId="0005F21A">
      <w:pPr>
        <w:pStyle w:val="ListParagraph"/>
        <w:numPr>
          <w:ilvl w:val="0"/>
          <w:numId w:val="5"/>
        </w:numPr>
        <w:spacing w:before="120" w:after="120" w:line="240" w:lineRule="auto"/>
        <w:contextualSpacing w:val="0"/>
        <w:rPr>
          <w:rFonts w:ascii="Arial" w:hAnsi="Arial" w:eastAsia="Arial" w:cs="Arial"/>
          <w:b/>
          <w:bCs/>
        </w:rPr>
      </w:pPr>
      <w:r w:rsidRPr="3F43E51A">
        <w:rPr>
          <w:rFonts w:ascii="Arial" w:hAnsi="Arial" w:eastAsia="Arial" w:cs="Arial"/>
          <w:b/>
          <w:bCs/>
        </w:rPr>
        <w:t>D</w:t>
      </w:r>
      <w:r w:rsidRPr="3F43E51A" w:rsidR="0095711B">
        <w:rPr>
          <w:rFonts w:ascii="Arial" w:hAnsi="Arial" w:eastAsia="Arial" w:cs="Arial"/>
          <w:b/>
          <w:bCs/>
        </w:rPr>
        <w:t xml:space="preserve">escription </w:t>
      </w:r>
      <w:r w:rsidRPr="3F43E51A" w:rsidR="00A12C27">
        <w:rPr>
          <w:rFonts w:ascii="Arial" w:hAnsi="Arial" w:eastAsia="Arial" w:cs="Arial"/>
          <w:b/>
          <w:bCs/>
        </w:rPr>
        <w:t>of activities</w:t>
      </w:r>
      <w:r w:rsidRPr="3F43E51A" w:rsidR="00F6363D">
        <w:rPr>
          <w:rFonts w:ascii="Arial" w:hAnsi="Arial" w:eastAsia="Arial" w:cs="Arial"/>
          <w:b/>
          <w:bCs/>
        </w:rPr>
        <w:t>/components</w:t>
      </w:r>
      <w:r w:rsidRPr="3F43E51A" w:rsidR="009C5C06">
        <w:rPr>
          <w:rFonts w:ascii="Arial" w:hAnsi="Arial" w:eastAsia="Arial" w:cs="Arial"/>
          <w:b/>
          <w:bCs/>
        </w:rPr>
        <w:t xml:space="preserve"> </w:t>
      </w:r>
      <w:r w:rsidRPr="3F43E51A" w:rsidR="0023302F">
        <w:rPr>
          <w:rFonts w:ascii="Arial" w:hAnsi="Arial" w:eastAsia="Arial" w:cs="Arial"/>
          <w:b/>
          <w:bCs/>
        </w:rPr>
        <w:t>and budget</w:t>
      </w:r>
    </w:p>
    <w:p w:rsidR="00D83255" w:rsidP="007D229E" w:rsidRDefault="00F40909" w14:paraId="3567A745"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E62B50">
        <w:rPr>
          <w:rFonts w:ascii="Arial" w:hAnsi="Arial" w:cs="Arial"/>
          <w:b/>
        </w:rPr>
        <w:t>Component I</w:t>
      </w:r>
      <w:r w:rsidRPr="00E62B50">
        <w:rPr>
          <w:rFonts w:ascii="Arial" w:hAnsi="Arial" w:cs="Arial"/>
          <w:bCs/>
        </w:rPr>
        <w:t xml:space="preserve">: Events/Dialogue. </w:t>
      </w:r>
      <w:r w:rsidR="00D83255">
        <w:rPr>
          <w:rFonts w:ascii="Arial" w:hAnsi="Arial" w:cs="Arial"/>
          <w:bCs/>
        </w:rPr>
        <w:t xml:space="preserve">The objective of this component is to provide technical assistance and enhance </w:t>
      </w:r>
      <w:r w:rsidRPr="00E62B50" w:rsidR="00D83255">
        <w:rPr>
          <w:rFonts w:ascii="Arial" w:hAnsi="Arial" w:cs="Arial"/>
          <w:bCs/>
        </w:rPr>
        <w:t xml:space="preserve">experiences </w:t>
      </w:r>
      <w:r w:rsidR="00D83255">
        <w:rPr>
          <w:rFonts w:ascii="Arial" w:hAnsi="Arial" w:cs="Arial"/>
          <w:bCs/>
        </w:rPr>
        <w:t xml:space="preserve">exchange </w:t>
      </w:r>
      <w:r w:rsidRPr="00E62B50" w:rsidR="00D83255">
        <w:rPr>
          <w:rFonts w:ascii="Arial" w:hAnsi="Arial" w:cs="Arial"/>
          <w:bCs/>
        </w:rPr>
        <w:t>between Brazilian states and municipalities related to the CV pandemic response, High School Reform,</w:t>
      </w:r>
      <w:r w:rsidRPr="00D4749B" w:rsidR="00D83255">
        <w:rPr>
          <w:rFonts w:ascii="Arial" w:hAnsi="Arial" w:cs="Arial"/>
          <w:bCs/>
        </w:rPr>
        <w:t xml:space="preserve"> and Innovation and Assessment task forces. TC funding would </w:t>
      </w:r>
      <w:r w:rsidR="00D83255">
        <w:rPr>
          <w:rFonts w:ascii="Arial" w:hAnsi="Arial" w:cs="Arial"/>
          <w:bCs/>
        </w:rPr>
        <w:t>finance</w:t>
      </w:r>
      <w:r w:rsidRPr="00D4749B" w:rsidR="00D83255">
        <w:rPr>
          <w:rFonts w:ascii="Arial" w:hAnsi="Arial" w:cs="Arial"/>
          <w:bCs/>
        </w:rPr>
        <w:t>: (i)</w:t>
      </w:r>
      <w:r w:rsidR="00D83255">
        <w:rPr>
          <w:rFonts w:ascii="Arial" w:hAnsi="Arial" w:cs="Arial"/>
          <w:bCs/>
        </w:rPr>
        <w:t xml:space="preserve"> </w:t>
      </w:r>
      <w:r w:rsidRPr="00D4749B" w:rsidR="00D83255">
        <w:rPr>
          <w:rFonts w:ascii="Arial" w:hAnsi="Arial" w:cs="Arial"/>
          <w:bCs/>
        </w:rPr>
        <w:t xml:space="preserve">design and implementation of the diagnostic activities proposed for teachers to measure student learning once students return to classes; (ii) </w:t>
      </w:r>
      <w:r w:rsidR="00D83255">
        <w:rPr>
          <w:rFonts w:ascii="Arial" w:hAnsi="Arial" w:cs="Arial"/>
          <w:bCs/>
        </w:rPr>
        <w:t xml:space="preserve">technical assistance </w:t>
      </w:r>
      <w:r w:rsidRPr="00D4749B" w:rsidR="00D83255">
        <w:rPr>
          <w:rFonts w:ascii="Arial" w:hAnsi="Arial" w:cs="Arial"/>
          <w:bCs/>
        </w:rPr>
        <w:t xml:space="preserve"> to states and municipalities during the adjustment process due to </w:t>
      </w:r>
      <w:r w:rsidR="00D83255">
        <w:rPr>
          <w:rFonts w:ascii="Arial" w:hAnsi="Arial" w:cs="Arial"/>
          <w:bCs/>
        </w:rPr>
        <w:t xml:space="preserve">the </w:t>
      </w:r>
      <w:r w:rsidRPr="00D4749B" w:rsidR="00D83255">
        <w:rPr>
          <w:rFonts w:ascii="Arial" w:hAnsi="Arial" w:cs="Arial"/>
          <w:bCs/>
        </w:rPr>
        <w:t xml:space="preserve">suspension of the academic calendar; (iii) </w:t>
      </w:r>
      <w:r w:rsidR="00D83255">
        <w:rPr>
          <w:rFonts w:ascii="Arial" w:hAnsi="Arial" w:cs="Arial"/>
          <w:bCs/>
        </w:rPr>
        <w:t xml:space="preserve">technical assistance to </w:t>
      </w:r>
      <w:r w:rsidRPr="00D4749B" w:rsidR="00D83255">
        <w:rPr>
          <w:rFonts w:ascii="Arial" w:hAnsi="Arial" w:cs="Arial"/>
          <w:bCs/>
        </w:rPr>
        <w:t>coordinate the CONSED and UNDIME</w:t>
      </w:r>
      <w:r w:rsidR="00D83255">
        <w:rPr>
          <w:rStyle w:val="FootnoteReference"/>
          <w:rFonts w:ascii="Arial" w:hAnsi="Arial" w:cs="Arial"/>
          <w:bCs/>
        </w:rPr>
        <w:footnoteReference w:id="7"/>
      </w:r>
      <w:r w:rsidRPr="00D4749B" w:rsidR="00D83255">
        <w:rPr>
          <w:rFonts w:ascii="Arial" w:hAnsi="Arial" w:cs="Arial"/>
          <w:bCs/>
        </w:rPr>
        <w:t xml:space="preserve"> </w:t>
      </w:r>
      <w:r w:rsidR="00D83255">
        <w:rPr>
          <w:rFonts w:ascii="Arial" w:hAnsi="Arial" w:cs="Arial"/>
          <w:bCs/>
        </w:rPr>
        <w:t xml:space="preserve">innovation </w:t>
      </w:r>
      <w:r w:rsidRPr="00D4749B" w:rsidR="00D83255">
        <w:rPr>
          <w:rFonts w:ascii="Arial" w:hAnsi="Arial" w:cs="Arial"/>
          <w:bCs/>
        </w:rPr>
        <w:t>task force meetings; and (iv) organize an event</w:t>
      </w:r>
      <w:r w:rsidR="00D83255">
        <w:rPr>
          <w:rFonts w:ascii="Arial" w:hAnsi="Arial" w:cs="Arial"/>
          <w:bCs/>
        </w:rPr>
        <w:t xml:space="preserve"> in 2021</w:t>
      </w:r>
      <w:r w:rsidRPr="00D4749B" w:rsidR="00D83255">
        <w:rPr>
          <w:rFonts w:ascii="Arial" w:hAnsi="Arial" w:cs="Arial"/>
          <w:bCs/>
        </w:rPr>
        <w:t xml:space="preserve"> </w:t>
      </w:r>
      <w:r w:rsidR="00D83255">
        <w:rPr>
          <w:rFonts w:ascii="Arial" w:hAnsi="Arial" w:cs="Arial"/>
          <w:bCs/>
        </w:rPr>
        <w:t xml:space="preserve">with </w:t>
      </w:r>
      <w:proofErr w:type="spellStart"/>
      <w:r w:rsidRPr="00723E19" w:rsidR="00D83255">
        <w:rPr>
          <w:rFonts w:ascii="Arial" w:hAnsi="Arial" w:cs="Arial"/>
          <w:bCs/>
          <w:i/>
          <w:iCs/>
        </w:rPr>
        <w:t>Funcação</w:t>
      </w:r>
      <w:proofErr w:type="spellEnd"/>
      <w:r w:rsidRPr="00723E19" w:rsidR="00D83255">
        <w:rPr>
          <w:rFonts w:ascii="Arial" w:hAnsi="Arial" w:cs="Arial"/>
          <w:bCs/>
          <w:i/>
          <w:iCs/>
        </w:rPr>
        <w:t xml:space="preserve"> Itaú Social</w:t>
      </w:r>
      <w:r w:rsidR="00D83255">
        <w:rPr>
          <w:rFonts w:ascii="Arial" w:hAnsi="Arial" w:cs="Arial"/>
          <w:bCs/>
        </w:rPr>
        <w:t xml:space="preserve">, the NGO that leads the TVET dialogue, </w:t>
      </w:r>
      <w:r w:rsidRPr="00D4749B" w:rsidR="00D83255">
        <w:rPr>
          <w:rFonts w:ascii="Arial" w:hAnsi="Arial" w:cs="Arial"/>
          <w:bCs/>
        </w:rPr>
        <w:t>to share national and international experiences for the implementation of the Technical Education High School track.</w:t>
      </w:r>
      <w:r w:rsidR="00D83255">
        <w:rPr>
          <w:rFonts w:ascii="Arial" w:hAnsi="Arial" w:cs="Arial"/>
          <w:bCs/>
        </w:rPr>
        <w:t xml:space="preserve"> </w:t>
      </w:r>
    </w:p>
    <w:p w:rsidRPr="00063E51" w:rsidR="001B5D90" w:rsidP="00A44480" w:rsidRDefault="00F40909" w14:paraId="69DFE2CC" w14:textId="6BA65B16">
      <w:pPr>
        <w:pStyle w:val="ListParagraph"/>
        <w:numPr>
          <w:ilvl w:val="1"/>
          <w:numId w:val="5"/>
        </w:numPr>
        <w:spacing w:before="120" w:after="120" w:line="240" w:lineRule="auto"/>
        <w:ind w:left="426" w:hanging="540"/>
        <w:contextualSpacing w:val="0"/>
        <w:jc w:val="both"/>
        <w:rPr>
          <w:rFonts w:ascii="Arial" w:hAnsi="Arial" w:cs="Arial"/>
          <w:bCs/>
        </w:rPr>
      </w:pPr>
      <w:r w:rsidRPr="00063E51">
        <w:rPr>
          <w:rFonts w:ascii="Arial" w:hAnsi="Arial" w:cs="Arial"/>
          <w:b/>
        </w:rPr>
        <w:t>Component II</w:t>
      </w:r>
      <w:r w:rsidRPr="00063E51">
        <w:rPr>
          <w:rFonts w:ascii="Arial" w:hAnsi="Arial" w:cs="Arial"/>
          <w:bCs/>
        </w:rPr>
        <w:t xml:space="preserve">: Field trials. </w:t>
      </w:r>
      <w:r w:rsidRPr="00063E51" w:rsidR="001B5D90">
        <w:rPr>
          <w:rFonts w:ascii="Arial" w:hAnsi="Arial" w:cs="Arial"/>
          <w:bCs/>
        </w:rPr>
        <w:t>The TC will finance activities aligned with the challenges associated with the promotion of a culture of innovation, including innovation on-site trials to improve efficiency in transportation, meal programs, teacher assignment, and security for schools identified by the CONSED task force. Additionally, due to the CV pandemic, the CONSED’s innovation task force has received innovation solutions, and as part of this component the methodology to evaluate these proposals will be financed, so that force members and municipalities can identify which should tested and/or escalated. Products related with this component will include on-site trials reports and the methodology to evaluate innovation proposals to help municipalities decide which programs are most appropriate based on their needs.</w:t>
      </w:r>
    </w:p>
    <w:p w:rsidRPr="00E62B50" w:rsidR="00F40909" w:rsidP="007D229E" w:rsidRDefault="00F40909" w14:paraId="4D113E88" w14:textId="5C8E4C6C">
      <w:pPr>
        <w:pStyle w:val="ListParagraph"/>
        <w:numPr>
          <w:ilvl w:val="1"/>
          <w:numId w:val="5"/>
        </w:numPr>
        <w:spacing w:before="120" w:after="120" w:line="240" w:lineRule="auto"/>
        <w:ind w:left="426" w:hanging="540"/>
        <w:contextualSpacing w:val="0"/>
        <w:jc w:val="both"/>
        <w:rPr>
          <w:rFonts w:ascii="Arial" w:hAnsi="Arial" w:cs="Arial"/>
        </w:rPr>
      </w:pPr>
      <w:r w:rsidRPr="08C3BA5D">
        <w:rPr>
          <w:rFonts w:ascii="Arial" w:hAnsi="Arial" w:cs="Arial"/>
          <w:b/>
          <w:bCs/>
        </w:rPr>
        <w:t>Component III</w:t>
      </w:r>
      <w:r w:rsidRPr="08C3BA5D">
        <w:rPr>
          <w:rFonts w:ascii="Arial" w:hAnsi="Arial" w:cs="Arial"/>
        </w:rPr>
        <w:t xml:space="preserve">: Evidence. The TC will finance: (i) a qualitative and quantitative study on the impact of CV on the learning gaps of Brazilian students; the quantitative component will use administrative data from the education census and state based assessments, and qualitative information will be gathered from phone interviews </w:t>
      </w:r>
      <w:r w:rsidRPr="00234337" w:rsidR="00234337">
        <w:rPr>
          <w:rFonts w:ascii="Arial" w:hAnsi="Arial" w:cs="Arial"/>
        </w:rPr>
        <w:t xml:space="preserve">in Brazil, and (ii) adaptation of the </w:t>
      </w:r>
      <w:proofErr w:type="spellStart"/>
      <w:r w:rsidRPr="00234337" w:rsidR="00234337">
        <w:rPr>
          <w:rFonts w:ascii="Arial" w:hAnsi="Arial" w:cs="Arial"/>
          <w:i/>
          <w:iCs/>
        </w:rPr>
        <w:t>Aprendamos</w:t>
      </w:r>
      <w:proofErr w:type="spellEnd"/>
      <w:r w:rsidRPr="00234337" w:rsidR="00234337">
        <w:rPr>
          <w:rFonts w:ascii="Arial" w:hAnsi="Arial" w:cs="Arial"/>
          <w:i/>
          <w:iCs/>
        </w:rPr>
        <w:t xml:space="preserve"> </w:t>
      </w:r>
      <w:proofErr w:type="spellStart"/>
      <w:r w:rsidRPr="00234337" w:rsidR="00234337">
        <w:rPr>
          <w:rFonts w:ascii="Arial" w:hAnsi="Arial" w:cs="Arial"/>
          <w:i/>
          <w:iCs/>
        </w:rPr>
        <w:t>Todos</w:t>
      </w:r>
      <w:proofErr w:type="spellEnd"/>
      <w:r w:rsidRPr="00234337" w:rsidR="00234337">
        <w:rPr>
          <w:rFonts w:ascii="Arial" w:hAnsi="Arial" w:cs="Arial"/>
          <w:i/>
          <w:iCs/>
        </w:rPr>
        <w:t xml:space="preserve"> a Leer</w:t>
      </w:r>
      <w:r w:rsidRPr="00234337" w:rsidR="00234337">
        <w:rPr>
          <w:rFonts w:ascii="Arial" w:hAnsi="Arial" w:cs="Arial"/>
        </w:rPr>
        <w:t xml:space="preserve"> material to Portuguese and a route to implement it in Brazilian municipalities. Products of this component include a report on CV impacts on Brazilian education and </w:t>
      </w:r>
      <w:proofErr w:type="spellStart"/>
      <w:r w:rsidRPr="00234337" w:rsidR="00234337">
        <w:rPr>
          <w:rFonts w:ascii="Arial" w:hAnsi="Arial" w:cs="Arial"/>
          <w:i/>
          <w:iCs/>
        </w:rPr>
        <w:t>Aprendamos</w:t>
      </w:r>
      <w:proofErr w:type="spellEnd"/>
      <w:r w:rsidRPr="00234337" w:rsidR="00234337">
        <w:rPr>
          <w:rFonts w:ascii="Arial" w:hAnsi="Arial" w:cs="Arial"/>
          <w:i/>
          <w:iCs/>
        </w:rPr>
        <w:t xml:space="preserve"> </w:t>
      </w:r>
      <w:proofErr w:type="spellStart"/>
      <w:r w:rsidRPr="00234337" w:rsidR="00234337">
        <w:rPr>
          <w:rFonts w:ascii="Arial" w:hAnsi="Arial" w:cs="Arial"/>
          <w:i/>
          <w:iCs/>
        </w:rPr>
        <w:t>Todos</w:t>
      </w:r>
      <w:proofErr w:type="spellEnd"/>
      <w:r w:rsidRPr="00234337" w:rsidR="00234337">
        <w:rPr>
          <w:rFonts w:ascii="Arial" w:hAnsi="Arial" w:cs="Arial"/>
          <w:i/>
          <w:iCs/>
        </w:rPr>
        <w:t xml:space="preserve"> a Leer</w:t>
      </w:r>
      <w:r w:rsidRPr="00234337" w:rsidR="00234337">
        <w:rPr>
          <w:rFonts w:ascii="Arial" w:hAnsi="Arial" w:cs="Arial"/>
        </w:rPr>
        <w:t xml:space="preserve"> materials in Portuguese.</w:t>
      </w:r>
    </w:p>
    <w:p w:rsidR="00D3300A" w:rsidP="007D229E" w:rsidRDefault="00F40909" w14:paraId="13FC521B" w14:textId="124051FF">
      <w:pPr>
        <w:pStyle w:val="ListParagraph"/>
        <w:numPr>
          <w:ilvl w:val="1"/>
          <w:numId w:val="5"/>
        </w:numPr>
        <w:spacing w:before="120" w:after="120" w:line="240" w:lineRule="auto"/>
        <w:ind w:left="426" w:hanging="540"/>
        <w:jc w:val="both"/>
      </w:pPr>
      <w:r w:rsidRPr="00E62B50">
        <w:rPr>
          <w:rFonts w:ascii="Arial" w:hAnsi="Arial" w:cs="Arial"/>
        </w:rPr>
        <w:t xml:space="preserve">The total cost of this TC will be US$200,000, which will be financed by the </w:t>
      </w:r>
      <w:r w:rsidRPr="009716BD" w:rsidR="009716BD">
        <w:rPr>
          <w:rFonts w:ascii="Arial" w:hAnsi="Arial" w:cs="Arial"/>
        </w:rPr>
        <w:t>Strategic Program for Social Development Financed with Ordinary Capital</w:t>
      </w:r>
      <w:r>
        <w:rPr>
          <w:rFonts w:ascii="Arial" w:hAnsi="Arial" w:cs="Arial"/>
        </w:rPr>
        <w:t>.</w:t>
      </w:r>
    </w:p>
    <w:p w:rsidR="0F0435C9" w:rsidP="007D229E" w:rsidRDefault="0F0435C9" w14:paraId="2EE2BFE7" w14:textId="60DA93FB">
      <w:pPr>
        <w:pStyle w:val="ListParagraph"/>
        <w:spacing w:before="120" w:after="120" w:line="240" w:lineRule="auto"/>
        <w:ind w:left="426"/>
        <w:jc w:val="both"/>
      </w:pPr>
    </w:p>
    <w:p w:rsidRPr="000F744C" w:rsidR="0023302F" w:rsidP="007D229E" w:rsidRDefault="00F6363D" w14:paraId="3BBAB202" w14:textId="0F28E3AC">
      <w:pPr>
        <w:pStyle w:val="ListParagraph"/>
        <w:spacing w:before="60" w:after="0" w:line="240" w:lineRule="auto"/>
        <w:ind w:left="426"/>
        <w:contextualSpacing w:val="0"/>
        <w:jc w:val="center"/>
        <w:rPr>
          <w:rFonts w:ascii="Arial" w:hAnsi="Arial" w:eastAsia="Arial" w:cs="Arial"/>
          <w:b/>
          <w:bCs/>
        </w:rPr>
      </w:pPr>
      <w:r w:rsidRPr="3F43E51A">
        <w:rPr>
          <w:rFonts w:ascii="Arial" w:hAnsi="Arial" w:eastAsia="Arial" w:cs="Arial"/>
          <w:b/>
          <w:bCs/>
        </w:rPr>
        <w:lastRenderedPageBreak/>
        <w:t>Indicative Budget</w:t>
      </w:r>
    </w:p>
    <w:tbl>
      <w:tblPr>
        <w:tblStyle w:val="TableGrid"/>
        <w:tblW w:w="0" w:type="auto"/>
        <w:jc w:val="center"/>
        <w:tblLook w:val="04A0" w:firstRow="1" w:lastRow="0" w:firstColumn="1" w:lastColumn="0" w:noHBand="0" w:noVBand="1"/>
      </w:tblPr>
      <w:tblGrid>
        <w:gridCol w:w="2910"/>
        <w:gridCol w:w="1765"/>
        <w:gridCol w:w="1660"/>
      </w:tblGrid>
      <w:tr w:rsidRPr="000F744C" w:rsidR="007D3ADD" w:rsidTr="007D3ADD" w14:paraId="3BBAB209" w14:textId="77777777">
        <w:trPr>
          <w:jc w:val="center"/>
        </w:trPr>
        <w:tc>
          <w:tcPr>
            <w:tcW w:w="2910" w:type="dxa"/>
          </w:tcPr>
          <w:p w:rsidRPr="000F744C" w:rsidR="007D3ADD" w:rsidP="007D3ADD" w:rsidRDefault="007D3ADD" w14:paraId="3BBAB204" w14:textId="77777777">
            <w:pPr>
              <w:pStyle w:val="ListParagraph"/>
              <w:spacing w:before="60" w:after="60"/>
              <w:ind w:left="426"/>
              <w:contextualSpacing w:val="0"/>
              <w:rPr>
                <w:rFonts w:ascii="Arial" w:hAnsi="Arial" w:eastAsia="Arial" w:cs="Arial"/>
                <w:b/>
                <w:bCs/>
                <w:sz w:val="18"/>
                <w:szCs w:val="18"/>
              </w:rPr>
            </w:pPr>
            <w:r w:rsidRPr="26B9D784">
              <w:rPr>
                <w:rFonts w:ascii="Arial" w:hAnsi="Arial" w:eastAsia="Arial" w:cs="Arial"/>
                <w:b/>
                <w:bCs/>
                <w:sz w:val="18"/>
                <w:szCs w:val="18"/>
              </w:rPr>
              <w:t>Activity/Component</w:t>
            </w:r>
          </w:p>
        </w:tc>
        <w:tc>
          <w:tcPr>
            <w:tcW w:w="1765" w:type="dxa"/>
          </w:tcPr>
          <w:p w:rsidRPr="000F744C" w:rsidR="007D3ADD" w:rsidP="007D3ADD" w:rsidRDefault="007D3ADD" w14:paraId="3BBAB206" w14:textId="77777777">
            <w:pPr>
              <w:pStyle w:val="ListParagraph"/>
              <w:spacing w:before="60" w:after="60"/>
              <w:ind w:left="426"/>
              <w:contextualSpacing w:val="0"/>
              <w:rPr>
                <w:rFonts w:ascii="Arial" w:hAnsi="Arial" w:eastAsia="Arial" w:cs="Arial"/>
                <w:b/>
                <w:bCs/>
                <w:sz w:val="18"/>
                <w:szCs w:val="18"/>
              </w:rPr>
            </w:pPr>
            <w:r w:rsidRPr="26B9D784">
              <w:rPr>
                <w:rFonts w:ascii="Arial" w:hAnsi="Arial" w:eastAsia="Arial" w:cs="Arial"/>
                <w:b/>
                <w:bCs/>
                <w:sz w:val="18"/>
                <w:szCs w:val="18"/>
              </w:rPr>
              <w:t>IDB/Fund Funding</w:t>
            </w:r>
          </w:p>
        </w:tc>
        <w:tc>
          <w:tcPr>
            <w:tcW w:w="1660" w:type="dxa"/>
          </w:tcPr>
          <w:p w:rsidRPr="000F744C" w:rsidR="007D3ADD" w:rsidP="007D3ADD" w:rsidRDefault="007D3ADD" w14:paraId="3BBAB208" w14:textId="77777777">
            <w:pPr>
              <w:pStyle w:val="ListParagraph"/>
              <w:spacing w:before="60" w:after="60"/>
              <w:ind w:left="426"/>
              <w:contextualSpacing w:val="0"/>
              <w:rPr>
                <w:rFonts w:ascii="Arial" w:hAnsi="Arial" w:eastAsia="Arial" w:cs="Arial"/>
                <w:b/>
                <w:bCs/>
                <w:sz w:val="18"/>
                <w:szCs w:val="18"/>
              </w:rPr>
            </w:pPr>
            <w:r w:rsidRPr="54260729">
              <w:rPr>
                <w:rFonts w:ascii="Arial" w:hAnsi="Arial" w:eastAsia="Arial" w:cs="Arial"/>
                <w:b/>
                <w:bCs/>
                <w:sz w:val="18"/>
                <w:szCs w:val="18"/>
              </w:rPr>
              <w:t>Total Funding</w:t>
            </w:r>
          </w:p>
        </w:tc>
      </w:tr>
      <w:tr w:rsidRPr="000F744C" w:rsidR="007D3ADD" w:rsidTr="007D3ADD" w14:paraId="3BBAB20F" w14:textId="77777777">
        <w:trPr>
          <w:jc w:val="center"/>
        </w:trPr>
        <w:tc>
          <w:tcPr>
            <w:tcW w:w="2910" w:type="dxa"/>
          </w:tcPr>
          <w:p w:rsidRPr="000F744C" w:rsidR="007D3ADD" w:rsidP="007D229E" w:rsidRDefault="007D3ADD" w14:paraId="3BBAB20A" w14:textId="7C9058F9">
            <w:pPr>
              <w:pStyle w:val="ListParagraph"/>
              <w:spacing w:before="60" w:after="60" w:line="276" w:lineRule="auto"/>
              <w:ind w:left="426"/>
              <w:rPr>
                <w:rFonts w:ascii="Arial" w:hAnsi="Arial" w:cs="Arial"/>
                <w:b/>
                <w:bCs/>
                <w:sz w:val="18"/>
                <w:szCs w:val="18"/>
              </w:rPr>
            </w:pPr>
            <w:r w:rsidRPr="3F43E51A">
              <w:rPr>
                <w:rFonts w:ascii="Arial" w:hAnsi="Arial" w:cs="Arial"/>
                <w:b/>
                <w:bCs/>
                <w:sz w:val="18"/>
                <w:szCs w:val="18"/>
              </w:rPr>
              <w:t>Events/Dialogue</w:t>
            </w:r>
          </w:p>
        </w:tc>
        <w:tc>
          <w:tcPr>
            <w:tcW w:w="1765" w:type="dxa"/>
          </w:tcPr>
          <w:p w:rsidRPr="000F744C" w:rsidR="007D3ADD" w:rsidP="007D229E" w:rsidRDefault="007D3ADD" w14:paraId="3BBAB20C" w14:textId="63FE8834">
            <w:pPr>
              <w:pStyle w:val="ListParagraph"/>
              <w:spacing w:before="60" w:after="60"/>
              <w:ind w:left="426"/>
              <w:contextualSpacing w:val="0"/>
              <w:jc w:val="center"/>
              <w:rPr>
                <w:rFonts w:ascii="Arial" w:hAnsi="Arial" w:cs="Arial"/>
                <w:b/>
                <w:bCs/>
                <w:sz w:val="18"/>
                <w:szCs w:val="18"/>
              </w:rPr>
            </w:pPr>
            <w:r w:rsidRPr="3F43E51A">
              <w:rPr>
                <w:rFonts w:ascii="Arial" w:hAnsi="Arial" w:cs="Arial"/>
                <w:b/>
                <w:bCs/>
                <w:sz w:val="18"/>
                <w:szCs w:val="18"/>
              </w:rPr>
              <w:t>95,000</w:t>
            </w:r>
          </w:p>
        </w:tc>
        <w:tc>
          <w:tcPr>
            <w:tcW w:w="1660" w:type="dxa"/>
          </w:tcPr>
          <w:p w:rsidRPr="000F744C" w:rsidR="007D3ADD" w:rsidP="007D229E" w:rsidRDefault="007D3ADD" w14:paraId="3BBAB20E" w14:textId="63DF9A8A">
            <w:pPr>
              <w:pStyle w:val="ListParagraph"/>
              <w:spacing w:before="60" w:after="60"/>
              <w:ind w:left="426"/>
              <w:contextualSpacing w:val="0"/>
              <w:jc w:val="center"/>
              <w:rPr>
                <w:rFonts w:ascii="Arial" w:hAnsi="Arial" w:cs="Arial"/>
                <w:b/>
                <w:bCs/>
                <w:sz w:val="18"/>
                <w:szCs w:val="18"/>
              </w:rPr>
            </w:pPr>
            <w:r w:rsidRPr="3F43E51A">
              <w:rPr>
                <w:rFonts w:ascii="Arial" w:hAnsi="Arial" w:cs="Arial"/>
                <w:b/>
                <w:bCs/>
                <w:sz w:val="18"/>
                <w:szCs w:val="18"/>
              </w:rPr>
              <w:t>95,000</w:t>
            </w:r>
          </w:p>
        </w:tc>
      </w:tr>
      <w:tr w:rsidRPr="000F744C" w:rsidR="007D3ADD" w:rsidTr="007D3ADD" w14:paraId="3BBAB215" w14:textId="77777777">
        <w:trPr>
          <w:jc w:val="center"/>
        </w:trPr>
        <w:tc>
          <w:tcPr>
            <w:tcW w:w="2910" w:type="dxa"/>
          </w:tcPr>
          <w:p w:rsidRPr="000F744C" w:rsidR="007D3ADD" w:rsidP="007D229E" w:rsidRDefault="007D3ADD" w14:paraId="3BBAB210" w14:textId="3BE3F2DD">
            <w:pPr>
              <w:pStyle w:val="ListParagraph"/>
              <w:spacing w:before="60" w:after="60" w:line="276" w:lineRule="auto"/>
              <w:ind w:left="426"/>
            </w:pPr>
            <w:r w:rsidRPr="3F43E51A">
              <w:rPr>
                <w:rFonts w:ascii="Arial" w:hAnsi="Arial" w:cs="Arial"/>
                <w:b/>
                <w:bCs/>
                <w:sz w:val="18"/>
                <w:szCs w:val="18"/>
              </w:rPr>
              <w:t>Field Trials</w:t>
            </w:r>
          </w:p>
        </w:tc>
        <w:tc>
          <w:tcPr>
            <w:tcW w:w="1765" w:type="dxa"/>
          </w:tcPr>
          <w:p w:rsidRPr="000F744C" w:rsidR="007D3ADD" w:rsidP="007D229E" w:rsidRDefault="007D3ADD" w14:paraId="3BBAB212" w14:textId="52BE8A73">
            <w:pPr>
              <w:pStyle w:val="ListParagraph"/>
              <w:spacing w:before="60" w:after="60"/>
              <w:ind w:left="426"/>
              <w:contextualSpacing w:val="0"/>
              <w:jc w:val="center"/>
              <w:rPr>
                <w:rFonts w:ascii="Arial" w:hAnsi="Arial" w:cs="Arial"/>
                <w:b/>
                <w:bCs/>
                <w:sz w:val="18"/>
                <w:szCs w:val="18"/>
              </w:rPr>
            </w:pPr>
            <w:r w:rsidRPr="3F43E51A">
              <w:rPr>
                <w:rFonts w:ascii="Arial" w:hAnsi="Arial" w:cs="Arial"/>
                <w:b/>
                <w:bCs/>
                <w:sz w:val="18"/>
                <w:szCs w:val="18"/>
              </w:rPr>
              <w:t>30,000</w:t>
            </w:r>
          </w:p>
        </w:tc>
        <w:tc>
          <w:tcPr>
            <w:tcW w:w="1660" w:type="dxa"/>
          </w:tcPr>
          <w:p w:rsidRPr="000F744C" w:rsidR="007D3ADD" w:rsidP="007D229E" w:rsidRDefault="007D3ADD" w14:paraId="3BBAB214" w14:textId="0FCFFACA">
            <w:pPr>
              <w:pStyle w:val="ListParagraph"/>
              <w:spacing w:before="60" w:after="60"/>
              <w:ind w:left="426"/>
              <w:contextualSpacing w:val="0"/>
              <w:jc w:val="center"/>
              <w:rPr>
                <w:rFonts w:ascii="Arial" w:hAnsi="Arial" w:cs="Arial"/>
                <w:b/>
                <w:bCs/>
                <w:sz w:val="18"/>
                <w:szCs w:val="18"/>
              </w:rPr>
            </w:pPr>
            <w:r w:rsidRPr="3F43E51A">
              <w:rPr>
                <w:rFonts w:ascii="Arial" w:hAnsi="Arial" w:cs="Arial"/>
                <w:b/>
                <w:bCs/>
                <w:sz w:val="18"/>
                <w:szCs w:val="18"/>
              </w:rPr>
              <w:t>30,000</w:t>
            </w:r>
          </w:p>
        </w:tc>
      </w:tr>
      <w:tr w:rsidRPr="000F744C" w:rsidR="007D3ADD" w:rsidTr="007D3ADD" w14:paraId="3BBAB21B" w14:textId="77777777">
        <w:trPr>
          <w:jc w:val="center"/>
        </w:trPr>
        <w:tc>
          <w:tcPr>
            <w:tcW w:w="2910" w:type="dxa"/>
          </w:tcPr>
          <w:p w:rsidRPr="000F744C" w:rsidR="007D3ADD" w:rsidP="007D229E" w:rsidRDefault="007D3ADD" w14:paraId="3BBAB216" w14:textId="4F40218D">
            <w:pPr>
              <w:pStyle w:val="ListParagraph"/>
              <w:spacing w:before="60" w:after="60" w:line="276" w:lineRule="auto"/>
              <w:ind w:left="426"/>
            </w:pPr>
            <w:r w:rsidRPr="3F43E51A">
              <w:rPr>
                <w:rFonts w:ascii="Arial" w:hAnsi="Arial" w:cs="Arial"/>
                <w:b/>
                <w:bCs/>
                <w:sz w:val="18"/>
                <w:szCs w:val="18"/>
              </w:rPr>
              <w:t>Evidence</w:t>
            </w:r>
          </w:p>
        </w:tc>
        <w:tc>
          <w:tcPr>
            <w:tcW w:w="1765" w:type="dxa"/>
          </w:tcPr>
          <w:p w:rsidRPr="000F744C" w:rsidR="007D3ADD" w:rsidP="007D229E" w:rsidRDefault="007D3ADD" w14:paraId="3BBAB218" w14:textId="69B93793">
            <w:pPr>
              <w:pStyle w:val="ListParagraph"/>
              <w:spacing w:before="60" w:after="60"/>
              <w:ind w:left="426"/>
              <w:contextualSpacing w:val="0"/>
              <w:jc w:val="center"/>
              <w:rPr>
                <w:rFonts w:ascii="Arial" w:hAnsi="Arial" w:cs="Arial"/>
                <w:b/>
                <w:bCs/>
                <w:sz w:val="18"/>
                <w:szCs w:val="18"/>
              </w:rPr>
            </w:pPr>
            <w:r w:rsidRPr="3F43E51A">
              <w:rPr>
                <w:rFonts w:ascii="Arial" w:hAnsi="Arial" w:cs="Arial"/>
                <w:b/>
                <w:bCs/>
                <w:sz w:val="18"/>
                <w:szCs w:val="18"/>
              </w:rPr>
              <w:t>75,000</w:t>
            </w:r>
          </w:p>
        </w:tc>
        <w:tc>
          <w:tcPr>
            <w:tcW w:w="1660" w:type="dxa"/>
          </w:tcPr>
          <w:p w:rsidRPr="000F744C" w:rsidR="007D3ADD" w:rsidP="007D229E" w:rsidRDefault="007D3ADD" w14:paraId="3BBAB21A" w14:textId="1BCDDCC5">
            <w:pPr>
              <w:pStyle w:val="ListParagraph"/>
              <w:spacing w:before="60" w:after="60"/>
              <w:ind w:left="426"/>
              <w:contextualSpacing w:val="0"/>
              <w:jc w:val="center"/>
              <w:rPr>
                <w:rFonts w:ascii="Arial" w:hAnsi="Arial" w:cs="Arial"/>
                <w:b/>
                <w:bCs/>
                <w:sz w:val="18"/>
                <w:szCs w:val="18"/>
              </w:rPr>
            </w:pPr>
            <w:r w:rsidRPr="3F43E51A">
              <w:rPr>
                <w:rFonts w:ascii="Arial" w:hAnsi="Arial" w:cs="Arial"/>
                <w:b/>
                <w:bCs/>
                <w:sz w:val="18"/>
                <w:szCs w:val="18"/>
              </w:rPr>
              <w:t>75,000</w:t>
            </w:r>
          </w:p>
        </w:tc>
      </w:tr>
      <w:tr w:rsidRPr="000F744C" w:rsidR="007D3ADD" w:rsidTr="007D3ADD" w14:paraId="0579A681" w14:textId="77777777">
        <w:trPr>
          <w:jc w:val="center"/>
        </w:trPr>
        <w:tc>
          <w:tcPr>
            <w:tcW w:w="2910" w:type="dxa"/>
          </w:tcPr>
          <w:p w:rsidRPr="3F43E51A" w:rsidR="007D3ADD" w:rsidP="007D229E" w:rsidRDefault="007D3ADD" w14:paraId="3EB9111A" w14:textId="019D65BD">
            <w:pPr>
              <w:pStyle w:val="ListParagraph"/>
              <w:spacing w:before="60" w:after="60"/>
              <w:ind w:left="426"/>
              <w:rPr>
                <w:rFonts w:ascii="Arial" w:hAnsi="Arial" w:cs="Arial"/>
                <w:b/>
                <w:bCs/>
                <w:sz w:val="18"/>
                <w:szCs w:val="18"/>
              </w:rPr>
            </w:pPr>
            <w:r>
              <w:rPr>
                <w:rFonts w:ascii="Arial" w:hAnsi="Arial" w:cs="Arial"/>
                <w:b/>
                <w:bCs/>
                <w:sz w:val="18"/>
                <w:szCs w:val="18"/>
              </w:rPr>
              <w:t>TOTAL</w:t>
            </w:r>
          </w:p>
        </w:tc>
        <w:tc>
          <w:tcPr>
            <w:tcW w:w="1765" w:type="dxa"/>
          </w:tcPr>
          <w:p w:rsidRPr="3F43E51A" w:rsidR="007D3ADD" w:rsidP="007D229E" w:rsidRDefault="007D3ADD" w14:paraId="79BAACD0" w14:textId="0DABD116">
            <w:pPr>
              <w:pStyle w:val="ListParagraph"/>
              <w:spacing w:before="60" w:after="60"/>
              <w:ind w:left="426"/>
              <w:contextualSpacing w:val="0"/>
              <w:jc w:val="center"/>
              <w:rPr>
                <w:rFonts w:ascii="Arial" w:hAnsi="Arial" w:cs="Arial"/>
                <w:b/>
                <w:bCs/>
                <w:sz w:val="18"/>
                <w:szCs w:val="18"/>
              </w:rPr>
            </w:pPr>
            <w:r>
              <w:rPr>
                <w:rFonts w:ascii="Arial" w:hAnsi="Arial" w:cs="Arial"/>
                <w:b/>
                <w:bCs/>
                <w:sz w:val="18"/>
                <w:szCs w:val="18"/>
              </w:rPr>
              <w:t>200,000</w:t>
            </w:r>
          </w:p>
        </w:tc>
        <w:tc>
          <w:tcPr>
            <w:tcW w:w="1660" w:type="dxa"/>
          </w:tcPr>
          <w:p w:rsidRPr="3F43E51A" w:rsidR="007D3ADD" w:rsidP="007D229E" w:rsidRDefault="007D3ADD" w14:paraId="3E2DFE18" w14:textId="5FA1F57C">
            <w:pPr>
              <w:pStyle w:val="ListParagraph"/>
              <w:spacing w:before="60" w:after="60"/>
              <w:ind w:left="426"/>
              <w:contextualSpacing w:val="0"/>
              <w:jc w:val="center"/>
              <w:rPr>
                <w:rFonts w:ascii="Arial" w:hAnsi="Arial" w:cs="Arial"/>
                <w:b/>
                <w:bCs/>
                <w:sz w:val="18"/>
                <w:szCs w:val="18"/>
              </w:rPr>
            </w:pPr>
            <w:r>
              <w:rPr>
                <w:rFonts w:ascii="Arial" w:hAnsi="Arial" w:cs="Arial"/>
                <w:b/>
                <w:bCs/>
                <w:sz w:val="18"/>
                <w:szCs w:val="18"/>
              </w:rPr>
              <w:t>200,000</w:t>
            </w:r>
          </w:p>
        </w:tc>
      </w:tr>
    </w:tbl>
    <w:p w:rsidRPr="000F744C" w:rsidR="00682309" w:rsidP="007D229E" w:rsidRDefault="00682309" w14:paraId="1FC73BE6" w14:textId="77777777">
      <w:pPr>
        <w:pStyle w:val="ListParagraph"/>
        <w:spacing w:before="120" w:after="120" w:line="240" w:lineRule="auto"/>
        <w:ind w:left="426"/>
        <w:contextualSpacing w:val="0"/>
        <w:jc w:val="both"/>
        <w:rPr>
          <w:rFonts w:ascii="Arial" w:hAnsi="Arial" w:cs="Arial"/>
        </w:rPr>
      </w:pPr>
    </w:p>
    <w:p w:rsidRPr="000F744C" w:rsidR="0095711B" w:rsidP="54260729" w:rsidRDefault="0095711B" w14:paraId="3BBAB21F" w14:textId="77777777">
      <w:pPr>
        <w:pStyle w:val="ListParagraph"/>
        <w:numPr>
          <w:ilvl w:val="0"/>
          <w:numId w:val="5"/>
        </w:numPr>
        <w:spacing w:before="120" w:after="120" w:line="240" w:lineRule="auto"/>
        <w:contextualSpacing w:val="0"/>
        <w:rPr>
          <w:rFonts w:ascii="Arial" w:hAnsi="Arial" w:eastAsia="Arial" w:cs="Arial"/>
          <w:b/>
          <w:bCs/>
        </w:rPr>
      </w:pPr>
      <w:r w:rsidRPr="3F43E51A">
        <w:rPr>
          <w:rFonts w:ascii="Arial" w:hAnsi="Arial" w:eastAsia="Arial" w:cs="Arial"/>
          <w:b/>
          <w:bCs/>
        </w:rPr>
        <w:t>Executing agency and execution structure (estimated length:</w:t>
      </w:r>
      <w:r w:rsidRPr="3F43E51A" w:rsidR="00531E51">
        <w:rPr>
          <w:rFonts w:ascii="Arial" w:hAnsi="Arial" w:eastAsia="Arial" w:cs="Arial"/>
          <w:b/>
          <w:bCs/>
        </w:rPr>
        <w:t xml:space="preserve"> </w:t>
      </w:r>
      <w:r w:rsidRPr="3F43E51A" w:rsidR="00E75CB3">
        <w:rPr>
          <w:rFonts w:ascii="Arial" w:hAnsi="Arial" w:eastAsia="Arial" w:cs="Arial"/>
          <w:b/>
          <w:bCs/>
        </w:rPr>
        <w:t>1</w:t>
      </w:r>
      <w:r w:rsidRPr="3F43E51A">
        <w:rPr>
          <w:rFonts w:ascii="Arial" w:hAnsi="Arial" w:eastAsia="Arial" w:cs="Arial"/>
          <w:b/>
          <w:bCs/>
        </w:rPr>
        <w:t xml:space="preserve"> page)</w:t>
      </w:r>
    </w:p>
    <w:p w:rsidR="00491EEC" w:rsidP="001034BB" w:rsidRDefault="008A4FB3" w14:paraId="61EF6143" w14:textId="2450BB7F">
      <w:pPr>
        <w:pStyle w:val="ListParagraph"/>
        <w:numPr>
          <w:ilvl w:val="1"/>
          <w:numId w:val="5"/>
        </w:numPr>
        <w:spacing w:before="120" w:after="120" w:line="240" w:lineRule="auto"/>
        <w:ind w:left="426" w:hanging="540"/>
        <w:contextualSpacing w:val="0"/>
        <w:jc w:val="both"/>
        <w:rPr>
          <w:rFonts w:ascii="Arial" w:hAnsi="Arial" w:cs="Arial"/>
          <w:bCs/>
        </w:rPr>
      </w:pPr>
      <w:r>
        <w:rPr>
          <w:rFonts w:ascii="Arial" w:hAnsi="Arial" w:cs="Arial"/>
          <w:bCs/>
        </w:rPr>
        <w:t xml:space="preserve">This </w:t>
      </w:r>
      <w:r w:rsidRPr="00C01BE9" w:rsidR="00491EEC">
        <w:rPr>
          <w:rFonts w:ascii="Arial" w:hAnsi="Arial" w:cs="Arial"/>
          <w:bCs/>
        </w:rPr>
        <w:t xml:space="preserve">TC will be executed by the IDB </w:t>
      </w:r>
      <w:r w:rsidR="00491EEC">
        <w:rPr>
          <w:rFonts w:ascii="Arial" w:hAnsi="Arial" w:cs="Arial"/>
          <w:bCs/>
        </w:rPr>
        <w:t>as established in the request letter from the Manaus Education Secretariat and approved by Brazil’s Treasury Department (SAIN)</w:t>
      </w:r>
      <w:r w:rsidRPr="00C01BE9" w:rsidR="00491EEC">
        <w:rPr>
          <w:rFonts w:ascii="Arial" w:hAnsi="Arial" w:cs="Arial"/>
          <w:bCs/>
        </w:rPr>
        <w:t xml:space="preserve">. </w:t>
      </w:r>
      <w:r w:rsidRPr="00943A81" w:rsidR="00491EEC">
        <w:rPr>
          <w:rFonts w:ascii="Arial" w:hAnsi="Arial" w:cs="Arial"/>
          <w:bCs/>
        </w:rPr>
        <w:t>Design, coordination and supervision of this TC and its disbursement will be tasked to the IDB’s Education Division</w:t>
      </w:r>
      <w:r w:rsidR="00491EEC">
        <w:rPr>
          <w:rFonts w:ascii="Arial" w:hAnsi="Arial" w:cs="Arial"/>
          <w:bCs/>
        </w:rPr>
        <w:t xml:space="preserve"> </w:t>
      </w:r>
      <w:r w:rsidRPr="00943A81" w:rsidR="00491EEC">
        <w:rPr>
          <w:rFonts w:ascii="Arial" w:hAnsi="Arial" w:cs="Arial"/>
          <w:bCs/>
        </w:rPr>
        <w:t>(SCL/EDU), in accordance with the requirements established in the Bank’s Policy for Technical Cooperation (GN-2470-2) and the Operational Guidelines for Technical Cooperation (GN-2629-1). Disbursement will be tasked to the Brazil Country Office (CSC/CBR).</w:t>
      </w:r>
      <w:r w:rsidR="00491EEC">
        <w:rPr>
          <w:rFonts w:ascii="Arial" w:hAnsi="Arial" w:cs="Arial"/>
          <w:bCs/>
        </w:rPr>
        <w:t xml:space="preserve"> </w:t>
      </w:r>
      <w:r w:rsidRPr="00C01BE9" w:rsidR="00491EEC">
        <w:rPr>
          <w:rFonts w:ascii="Arial" w:hAnsi="Arial" w:cs="Arial"/>
          <w:bCs/>
        </w:rPr>
        <w:t xml:space="preserve">Under </w:t>
      </w:r>
      <w:r w:rsidR="00491EEC">
        <w:rPr>
          <w:rFonts w:ascii="Arial" w:hAnsi="Arial" w:cs="Arial"/>
          <w:bCs/>
        </w:rPr>
        <w:t>t</w:t>
      </w:r>
      <w:r w:rsidRPr="00C01BE9" w:rsidR="00491EEC">
        <w:rPr>
          <w:rFonts w:ascii="Arial" w:hAnsi="Arial" w:cs="Arial"/>
          <w:bCs/>
        </w:rPr>
        <w:t>he fiduciary and technical responsibility of SCL/EDU through the project leader in accordance with the provisions of the TC request letter from the government.</w:t>
      </w:r>
    </w:p>
    <w:p w:rsidRPr="00943A81" w:rsidR="00491EEC" w:rsidP="00305924" w:rsidRDefault="00491EEC" w14:paraId="5482EF31" w14:textId="5D51A556">
      <w:pPr>
        <w:pStyle w:val="ListParagraph"/>
        <w:numPr>
          <w:ilvl w:val="1"/>
          <w:numId w:val="5"/>
        </w:numPr>
        <w:spacing w:before="120" w:after="120" w:line="240" w:lineRule="auto"/>
        <w:ind w:left="426" w:hanging="540"/>
        <w:contextualSpacing w:val="0"/>
        <w:jc w:val="both"/>
        <w:rPr>
          <w:rFonts w:ascii="Arial" w:hAnsi="Arial" w:cs="Arial"/>
          <w:bCs/>
        </w:rPr>
      </w:pPr>
      <w:r>
        <w:rPr>
          <w:rFonts w:ascii="Arial" w:hAnsi="Arial" w:cs="Arial"/>
          <w:bCs/>
          <w:i/>
          <w:iCs/>
        </w:rPr>
        <w:t xml:space="preserve">Fiduciary arrangements: </w:t>
      </w:r>
      <w:r w:rsidRPr="00C01BE9">
        <w:rPr>
          <w:rFonts w:ascii="Arial" w:hAnsi="Arial" w:cs="Arial"/>
          <w:bCs/>
        </w:rPr>
        <w:t xml:space="preserve">All disbursements will be executed through the Bank’s systems and will require approval from SCL/EDU. </w:t>
      </w:r>
      <w:r w:rsidRPr="006474F4" w:rsidR="006474F4">
        <w:rPr>
          <w:rFonts w:ascii="Arial" w:hAnsi="Arial" w:cs="Arial"/>
          <w:bCs/>
        </w:rPr>
        <w:t>All activities to be executed under this TC have been included in the Procurement Plan (see Annex IV) and will be contracted in accordance with Bank policies as follows: (a) AM-650 for Individual consultants; (b) GN-2765-4 and Guidelines OP-1155-4 for Consulting Firms for services of an intellectual nature and; (c) GN-2303-28 for logistics and other related services</w:t>
      </w:r>
      <w:r w:rsidR="00AE3D46">
        <w:rPr>
          <w:rFonts w:ascii="Arial" w:hAnsi="Arial" w:cs="Arial"/>
          <w:bCs/>
        </w:rPr>
        <w:t>.</w:t>
      </w:r>
      <w:r w:rsidR="00E25E08">
        <w:rPr>
          <w:rFonts w:ascii="Arial" w:hAnsi="Arial" w:cs="Arial"/>
          <w:bCs/>
        </w:rPr>
        <w:t xml:space="preserve"> </w:t>
      </w:r>
      <w:r w:rsidRPr="00E25E08" w:rsidR="00E25E08">
        <w:rPr>
          <w:rFonts w:ascii="Arial" w:hAnsi="Arial" w:cs="Arial"/>
          <w:bCs/>
        </w:rPr>
        <w:t xml:space="preserve">Since products will be procured by the IDB, previous the negotiation of terms of reference with the contractors, there are no external causes that can cause delay on delivery. </w:t>
      </w:r>
    </w:p>
    <w:p w:rsidRPr="00C01BE9" w:rsidR="00491EEC" w:rsidP="0BD2B642" w:rsidRDefault="00491EEC" w14:paraId="3E1F19C5" w14:textId="153413D6">
      <w:pPr>
        <w:pStyle w:val="ListParagraph"/>
        <w:numPr>
          <w:ilvl w:val="1"/>
          <w:numId w:val="5"/>
        </w:numPr>
        <w:spacing w:before="120" w:after="120" w:line="240" w:lineRule="auto"/>
        <w:ind w:left="426" w:hanging="540"/>
        <w:contextualSpacing w:val="0"/>
        <w:jc w:val="both"/>
        <w:rPr>
          <w:rFonts w:ascii="Arial" w:hAnsi="Arial" w:cs="Arial"/>
        </w:rPr>
      </w:pPr>
      <w:r w:rsidRPr="0BD2B642" w:rsidR="00491EEC">
        <w:rPr>
          <w:rFonts w:ascii="Arial" w:hAnsi="Arial" w:cs="Arial"/>
        </w:rPr>
        <w:t>Direct contracts. Due to the activities to be executed and their values, there will be several direct contracts. Contracting will follow the Policy for Selection and Contracting of Consultant Companies for Operative Work Executed by the Bank (GN-2765-3) and, for the case of contracting NGOs, in accordance with the Policies for Selection and Contracting of Consultants Financed by the Inter-American Development Bank (GN-23</w:t>
      </w:r>
      <w:r w:rsidRPr="0BD2B642" w:rsidR="262E1E12">
        <w:rPr>
          <w:rFonts w:ascii="Arial" w:hAnsi="Arial" w:cs="Arial"/>
        </w:rPr>
        <w:t>03-28</w:t>
      </w:r>
      <w:r w:rsidRPr="0BD2B642" w:rsidR="00491EEC">
        <w:rPr>
          <w:rFonts w:ascii="Arial" w:hAnsi="Arial" w:cs="Arial"/>
        </w:rPr>
        <w:t>).</w:t>
      </w:r>
    </w:p>
    <w:p w:rsidRPr="00C01BE9" w:rsidR="00491EEC" w:rsidP="00305924" w:rsidRDefault="00491EEC" w14:paraId="4A2C74C8" w14:textId="0A78C70A">
      <w:pPr>
        <w:pStyle w:val="ListParagraph"/>
        <w:numPr>
          <w:ilvl w:val="1"/>
          <w:numId w:val="5"/>
        </w:numPr>
        <w:spacing w:before="120" w:after="120" w:line="240" w:lineRule="auto"/>
        <w:ind w:left="426" w:hanging="540"/>
        <w:contextualSpacing w:val="0"/>
        <w:jc w:val="both"/>
        <w:rPr>
          <w:rFonts w:ascii="Arial" w:hAnsi="Arial" w:cs="Arial"/>
        </w:rPr>
      </w:pPr>
      <w:r w:rsidRPr="08C3BA5D">
        <w:rPr>
          <w:rFonts w:ascii="Arial" w:hAnsi="Arial" w:cs="Arial"/>
        </w:rPr>
        <w:t xml:space="preserve">Each of the following four contracts’ amounts do not exceed US$100,000 and include non-governmental organizations (NGOs), a </w:t>
      </w:r>
      <w:r w:rsidRPr="08C3BA5D" w:rsidR="50FF7071">
        <w:rPr>
          <w:rFonts w:ascii="Arial" w:hAnsi="Arial" w:cs="Arial"/>
        </w:rPr>
        <w:t>firm</w:t>
      </w:r>
      <w:r w:rsidRPr="08C3BA5D">
        <w:rPr>
          <w:rFonts w:ascii="Arial" w:hAnsi="Arial" w:cs="Arial"/>
        </w:rPr>
        <w:t>, and the National Council of Education Secretaries (CONSED). In addition to GN-2765-3, paragraph 3.17 of GN-2350-15 refers to the hiring of NGOs. These NGOs meet “certain unique conditions to assist in the preparation, administration and implementation of projects, essentially due to their participation and the knowledge of local problems, the needs of the community and the participatory approaches”. These contracts are identified as “consultancy services” in the procurement plan.</w:t>
      </w:r>
    </w:p>
    <w:p w:rsidRPr="00C01BE9" w:rsidR="00491EEC" w:rsidP="00305924" w:rsidRDefault="00447A73" w14:paraId="2688EACF" w14:textId="6E2F189B">
      <w:pPr>
        <w:pStyle w:val="ListParagraph"/>
        <w:numPr>
          <w:ilvl w:val="1"/>
          <w:numId w:val="5"/>
        </w:numPr>
        <w:spacing w:before="120" w:after="120" w:line="240" w:lineRule="auto"/>
        <w:ind w:left="426" w:hanging="540"/>
        <w:contextualSpacing w:val="0"/>
        <w:jc w:val="both"/>
        <w:rPr>
          <w:rFonts w:ascii="Arial" w:hAnsi="Arial" w:cs="Arial"/>
          <w:bCs/>
        </w:rPr>
      </w:pPr>
      <w:r>
        <w:rPr>
          <w:rFonts w:ascii="Arial" w:hAnsi="Arial" w:cs="Arial"/>
          <w:bCs/>
        </w:rPr>
        <w:t>First,</w:t>
      </w:r>
      <w:r w:rsidRPr="00C01BE9" w:rsidR="00491EEC">
        <w:rPr>
          <w:rFonts w:ascii="Arial" w:hAnsi="Arial" w:cs="Arial"/>
          <w:bCs/>
        </w:rPr>
        <w:t xml:space="preserve"> </w:t>
      </w:r>
      <w:proofErr w:type="spellStart"/>
      <w:r w:rsidRPr="00C01BE9" w:rsidR="00491EEC">
        <w:rPr>
          <w:rFonts w:ascii="Arial" w:hAnsi="Arial" w:cs="Arial"/>
          <w:bCs/>
          <w:i/>
          <w:iCs/>
        </w:rPr>
        <w:t>Movimento</w:t>
      </w:r>
      <w:proofErr w:type="spellEnd"/>
      <w:r w:rsidRPr="00C01BE9" w:rsidR="00491EEC">
        <w:rPr>
          <w:rFonts w:ascii="Arial" w:hAnsi="Arial" w:cs="Arial"/>
          <w:bCs/>
          <w:i/>
          <w:iCs/>
        </w:rPr>
        <w:t xml:space="preserve"> </w:t>
      </w:r>
      <w:proofErr w:type="spellStart"/>
      <w:r w:rsidRPr="00C01BE9" w:rsidR="00491EEC">
        <w:rPr>
          <w:rFonts w:ascii="Arial" w:hAnsi="Arial" w:cs="Arial"/>
          <w:bCs/>
          <w:i/>
          <w:iCs/>
        </w:rPr>
        <w:t>Colabora</w:t>
      </w:r>
      <w:proofErr w:type="spellEnd"/>
      <w:r w:rsidRPr="00C01BE9" w:rsidR="00491EEC">
        <w:rPr>
          <w:rFonts w:ascii="Arial" w:hAnsi="Arial" w:cs="Arial"/>
          <w:bCs/>
        </w:rPr>
        <w:t xml:space="preserve">, an NGO that </w:t>
      </w:r>
      <w:r w:rsidR="00491EEC">
        <w:rPr>
          <w:rFonts w:ascii="Arial" w:hAnsi="Arial" w:cs="Arial"/>
          <w:bCs/>
        </w:rPr>
        <w:t xml:space="preserve">brings </w:t>
      </w:r>
      <w:r w:rsidRPr="00C01BE9" w:rsidR="00491EEC">
        <w:rPr>
          <w:rFonts w:ascii="Arial" w:hAnsi="Arial" w:cs="Arial"/>
          <w:bCs/>
        </w:rPr>
        <w:t xml:space="preserve">together institutions recognized for their work in education around the topic of promoting collaboration between states and municipalities and between municipalities. This is the only NGO working on collaboration in Brazil, more so during this sanitary crisis where the municipalities’ fragility is evidenced </w:t>
      </w:r>
      <w:r w:rsidR="00491EEC">
        <w:rPr>
          <w:rFonts w:ascii="Arial" w:hAnsi="Arial" w:cs="Arial"/>
          <w:bCs/>
        </w:rPr>
        <w:t>by weak</w:t>
      </w:r>
      <w:r w:rsidRPr="00C01BE9" w:rsidR="00491EEC">
        <w:rPr>
          <w:rFonts w:ascii="Arial" w:hAnsi="Arial" w:cs="Arial"/>
          <w:bCs/>
        </w:rPr>
        <w:t xml:space="preserve"> institutions and fiscal constraints.</w:t>
      </w:r>
    </w:p>
    <w:p w:rsidR="00491EEC" w:rsidP="00305924" w:rsidRDefault="00491EEC" w14:paraId="6DA4CBFB" w14:textId="154E5840">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Cs/>
        </w:rPr>
        <w:lastRenderedPageBreak/>
        <w:t>Second,</w:t>
      </w:r>
      <w:r>
        <w:rPr>
          <w:rFonts w:ascii="Arial" w:hAnsi="Arial" w:cs="Arial"/>
          <w:bCs/>
        </w:rPr>
        <w:t xml:space="preserve"> IDB as a member of the</w:t>
      </w:r>
      <w:r w:rsidRPr="00C01BE9">
        <w:rPr>
          <w:rFonts w:ascii="Arial" w:hAnsi="Arial" w:cs="Arial"/>
          <w:bCs/>
        </w:rPr>
        <w:t xml:space="preserve"> CONSED </w:t>
      </w:r>
      <w:r>
        <w:rPr>
          <w:rFonts w:ascii="Arial" w:hAnsi="Arial" w:cs="Arial"/>
          <w:bCs/>
        </w:rPr>
        <w:t xml:space="preserve">innovation task force will support </w:t>
      </w:r>
      <w:r w:rsidRPr="00C01BE9">
        <w:rPr>
          <w:rFonts w:ascii="Arial" w:hAnsi="Arial" w:cs="Arial"/>
          <w:bCs/>
        </w:rPr>
        <w:t xml:space="preserve">both the assessment and technology and innovation task force meetings that include representatives from the 27 states. </w:t>
      </w:r>
      <w:r>
        <w:rPr>
          <w:rFonts w:ascii="Arial" w:hAnsi="Arial" w:cs="Arial"/>
          <w:bCs/>
        </w:rPr>
        <w:t>C</w:t>
      </w:r>
      <w:r w:rsidRPr="00943A81">
        <w:rPr>
          <w:rFonts w:ascii="Arial" w:hAnsi="Arial" w:cs="Arial"/>
          <w:bCs/>
        </w:rPr>
        <w:t xml:space="preserve">ollaboration activities between local governments, IDB and civil society are initiated to move forward field trials aimed at future scaling up. </w:t>
      </w:r>
      <w:r w:rsidRPr="00C01BE9">
        <w:rPr>
          <w:rFonts w:ascii="Arial" w:hAnsi="Arial" w:cs="Arial"/>
          <w:bCs/>
        </w:rPr>
        <w:t xml:space="preserve">If possible, UNDIME will also be hired to plan and hold the assessment task force meetings. Working with these two organizations is an opportunity to reach vulnerable communities and support them in the recovery process due to CV. </w:t>
      </w:r>
    </w:p>
    <w:p w:rsidRPr="00C01BE9" w:rsidR="00491EEC" w:rsidP="00305924" w:rsidRDefault="00491EEC" w14:paraId="663252A5" w14:textId="4D202595">
      <w:pPr>
        <w:pStyle w:val="ListParagraph"/>
        <w:numPr>
          <w:ilvl w:val="1"/>
          <w:numId w:val="5"/>
        </w:numPr>
        <w:spacing w:before="120" w:after="120" w:line="240" w:lineRule="auto"/>
        <w:ind w:left="426" w:hanging="540"/>
        <w:contextualSpacing w:val="0"/>
        <w:jc w:val="both"/>
        <w:rPr>
          <w:i/>
          <w:iCs/>
        </w:rPr>
      </w:pPr>
      <w:r w:rsidRPr="08C3BA5D">
        <w:rPr>
          <w:rFonts w:ascii="Arial" w:hAnsi="Arial" w:cs="Arial"/>
        </w:rPr>
        <w:t xml:space="preserve">Third, </w:t>
      </w:r>
      <w:r w:rsidRPr="08C3BA5D" w:rsidR="2B4284D0">
        <w:rPr>
          <w:rFonts w:ascii="Arial" w:hAnsi="Arial" w:cs="Arial"/>
        </w:rPr>
        <w:t xml:space="preserve">Renan </w:t>
      </w:r>
      <w:proofErr w:type="spellStart"/>
      <w:r w:rsidRPr="08C3BA5D" w:rsidR="2B4284D0">
        <w:rPr>
          <w:rFonts w:ascii="Arial" w:hAnsi="Arial" w:cs="Arial"/>
        </w:rPr>
        <w:t>Sargiani</w:t>
      </w:r>
      <w:proofErr w:type="spellEnd"/>
      <w:r w:rsidRPr="08C3BA5D" w:rsidR="2B4284D0">
        <w:rPr>
          <w:rFonts w:ascii="Arial" w:hAnsi="Arial" w:cs="Arial"/>
        </w:rPr>
        <w:t xml:space="preserve">: </w:t>
      </w:r>
      <w:proofErr w:type="spellStart"/>
      <w:r w:rsidRPr="08C3BA5D" w:rsidR="2B4284D0">
        <w:rPr>
          <w:rFonts w:ascii="Arial" w:hAnsi="Arial" w:cs="Arial"/>
        </w:rPr>
        <w:t>Educação</w:t>
      </w:r>
      <w:proofErr w:type="spellEnd"/>
      <w:r w:rsidRPr="08C3BA5D" w:rsidR="2B4284D0">
        <w:rPr>
          <w:rFonts w:ascii="Arial" w:hAnsi="Arial" w:cs="Arial"/>
        </w:rPr>
        <w:t xml:space="preserve"> </w:t>
      </w:r>
      <w:proofErr w:type="spellStart"/>
      <w:r w:rsidRPr="08C3BA5D" w:rsidR="2B4284D0">
        <w:rPr>
          <w:rFonts w:ascii="Arial" w:hAnsi="Arial" w:cs="Arial"/>
        </w:rPr>
        <w:t>Baseada</w:t>
      </w:r>
      <w:proofErr w:type="spellEnd"/>
      <w:r w:rsidRPr="08C3BA5D" w:rsidR="2B4284D0">
        <w:rPr>
          <w:rFonts w:ascii="Arial" w:hAnsi="Arial" w:cs="Arial"/>
        </w:rPr>
        <w:t xml:space="preserve"> </w:t>
      </w:r>
      <w:proofErr w:type="spellStart"/>
      <w:r w:rsidRPr="08C3BA5D" w:rsidR="2B4284D0">
        <w:rPr>
          <w:rFonts w:ascii="Arial" w:hAnsi="Arial" w:cs="Arial"/>
        </w:rPr>
        <w:t>em</w:t>
      </w:r>
      <w:proofErr w:type="spellEnd"/>
      <w:r w:rsidRPr="08C3BA5D" w:rsidR="2B4284D0">
        <w:rPr>
          <w:rFonts w:ascii="Arial" w:hAnsi="Arial" w:cs="Arial"/>
        </w:rPr>
        <w:t xml:space="preserve"> </w:t>
      </w:r>
      <w:proofErr w:type="spellStart"/>
      <w:r w:rsidRPr="08C3BA5D" w:rsidR="2B4284D0">
        <w:rPr>
          <w:rFonts w:ascii="Arial" w:hAnsi="Arial" w:cs="Arial"/>
        </w:rPr>
        <w:t>Evidências</w:t>
      </w:r>
      <w:proofErr w:type="spellEnd"/>
      <w:r w:rsidRPr="08C3BA5D">
        <w:rPr>
          <w:rFonts w:ascii="Arial" w:hAnsi="Arial" w:cs="Arial"/>
          <w:i/>
          <w:iCs/>
        </w:rPr>
        <w:t xml:space="preserve">, </w:t>
      </w:r>
      <w:r w:rsidRPr="08C3BA5D">
        <w:rPr>
          <w:rFonts w:ascii="Arial" w:hAnsi="Arial" w:cs="Arial"/>
        </w:rPr>
        <w:t xml:space="preserve">will be hired for the adaptation to Portuguese of the </w:t>
      </w:r>
      <w:proofErr w:type="spellStart"/>
      <w:r w:rsidRPr="08C3BA5D">
        <w:rPr>
          <w:rFonts w:ascii="Arial" w:hAnsi="Arial" w:cs="Arial"/>
        </w:rPr>
        <w:t>Aprendamos</w:t>
      </w:r>
      <w:proofErr w:type="spellEnd"/>
      <w:r w:rsidRPr="08C3BA5D">
        <w:rPr>
          <w:rFonts w:ascii="Arial" w:hAnsi="Arial" w:cs="Arial"/>
        </w:rPr>
        <w:t xml:space="preserve"> </w:t>
      </w:r>
      <w:proofErr w:type="spellStart"/>
      <w:r w:rsidRPr="08C3BA5D">
        <w:rPr>
          <w:rFonts w:ascii="Arial" w:hAnsi="Arial" w:cs="Arial"/>
        </w:rPr>
        <w:t>Todos</w:t>
      </w:r>
      <w:proofErr w:type="spellEnd"/>
      <w:r w:rsidRPr="08C3BA5D">
        <w:rPr>
          <w:rFonts w:ascii="Arial" w:hAnsi="Arial" w:cs="Arial"/>
        </w:rPr>
        <w:t xml:space="preserve"> a Leer material. As identified in the background, one of Brazil’s National Education Plan objectives is early literacy, and </w:t>
      </w:r>
      <w:r w:rsidR="0064318C">
        <w:rPr>
          <w:rFonts w:ascii="Arial" w:hAnsi="Arial" w:cs="Arial"/>
        </w:rPr>
        <w:t>during 2020</w:t>
      </w:r>
      <w:r w:rsidR="00BF5BFC">
        <w:rPr>
          <w:rFonts w:ascii="Arial" w:hAnsi="Arial" w:cs="Arial"/>
        </w:rPr>
        <w:t>.</w:t>
      </w:r>
      <w:r w:rsidRPr="08C3BA5D">
        <w:rPr>
          <w:rFonts w:ascii="Arial" w:hAnsi="Arial" w:cs="Arial"/>
        </w:rPr>
        <w:t xml:space="preserve"> The Bank hired the local consultant, Renan </w:t>
      </w:r>
      <w:proofErr w:type="spellStart"/>
      <w:r w:rsidRPr="08C3BA5D">
        <w:rPr>
          <w:rFonts w:ascii="Arial" w:hAnsi="Arial" w:cs="Arial"/>
        </w:rPr>
        <w:t>Sargiani</w:t>
      </w:r>
      <w:proofErr w:type="spellEnd"/>
      <w:r w:rsidRPr="08C3BA5D">
        <w:rPr>
          <w:rFonts w:ascii="Arial" w:hAnsi="Arial" w:cs="Arial"/>
        </w:rPr>
        <w:t xml:space="preserve">, who was part of the team that designed the early literacy national policy both to facilitate the workshops with the Manaus team and to adapt the phonological table to Portuguese. Given his expertise in early literacy, his knowledge of the national policy and his familiarity with the </w:t>
      </w:r>
      <w:proofErr w:type="spellStart"/>
      <w:r w:rsidRPr="08C3BA5D">
        <w:rPr>
          <w:rFonts w:ascii="Arial" w:hAnsi="Arial" w:cs="Arial"/>
        </w:rPr>
        <w:t>Aprendamos</w:t>
      </w:r>
      <w:proofErr w:type="spellEnd"/>
      <w:r w:rsidRPr="08C3BA5D">
        <w:rPr>
          <w:rFonts w:ascii="Arial" w:hAnsi="Arial" w:cs="Arial"/>
        </w:rPr>
        <w:t xml:space="preserve"> </w:t>
      </w:r>
      <w:proofErr w:type="spellStart"/>
      <w:r w:rsidRPr="08C3BA5D">
        <w:rPr>
          <w:rFonts w:ascii="Arial" w:hAnsi="Arial" w:cs="Arial"/>
        </w:rPr>
        <w:t>Todos</w:t>
      </w:r>
      <w:proofErr w:type="spellEnd"/>
      <w:r w:rsidRPr="08C3BA5D">
        <w:rPr>
          <w:rFonts w:ascii="Arial" w:hAnsi="Arial" w:cs="Arial"/>
        </w:rPr>
        <w:t xml:space="preserve"> a Leer material, he is uniquely qualified to continue working on this project.  </w:t>
      </w:r>
    </w:p>
    <w:p w:rsidRPr="003C5DA6" w:rsidR="003C5DA6" w:rsidP="00305924" w:rsidRDefault="00491EEC" w14:paraId="6AA9828B" w14:textId="314DA3C5">
      <w:pPr>
        <w:pStyle w:val="ListParagraph"/>
        <w:numPr>
          <w:ilvl w:val="1"/>
          <w:numId w:val="5"/>
        </w:numPr>
        <w:spacing w:before="120" w:after="120" w:line="240" w:lineRule="auto"/>
        <w:ind w:left="426" w:hanging="540"/>
        <w:contextualSpacing w:val="0"/>
        <w:jc w:val="both"/>
        <w:rPr>
          <w:rFonts w:ascii="Arial" w:hAnsi="Arial" w:eastAsia="Arial" w:cs="Arial"/>
        </w:rPr>
      </w:pPr>
      <w:r w:rsidRPr="08C3BA5D">
        <w:rPr>
          <w:rFonts w:ascii="Arial" w:hAnsi="Arial" w:cs="Arial"/>
        </w:rPr>
        <w:t>Finally,</w:t>
      </w:r>
      <w:r w:rsidRPr="08C3BA5D">
        <w:rPr>
          <w:rFonts w:ascii="Arial" w:hAnsi="Arial" w:cs="Arial"/>
          <w:i/>
          <w:iCs/>
        </w:rPr>
        <w:t xml:space="preserve"> </w:t>
      </w:r>
      <w:proofErr w:type="spellStart"/>
      <w:r w:rsidRPr="08C3BA5D">
        <w:rPr>
          <w:rFonts w:ascii="Arial" w:hAnsi="Arial" w:cs="Arial"/>
          <w:i/>
          <w:iCs/>
        </w:rPr>
        <w:t>Fundação</w:t>
      </w:r>
      <w:proofErr w:type="spellEnd"/>
      <w:r w:rsidRPr="08C3BA5D">
        <w:rPr>
          <w:rFonts w:ascii="Arial" w:hAnsi="Arial" w:cs="Arial"/>
          <w:i/>
          <w:iCs/>
        </w:rPr>
        <w:t xml:space="preserve"> Lemann</w:t>
      </w:r>
      <w:r w:rsidRPr="08C3BA5D">
        <w:rPr>
          <w:rFonts w:ascii="Arial" w:hAnsi="Arial" w:cs="Arial"/>
        </w:rPr>
        <w:t xml:space="preserve"> led the creation of the AS coalition during the CV crisis. The IDB has joined the coalition and has been actively supporting phase three initiatives, specifically the design of a diagnostic assessment instrument to help teachers identify students’ learning achievement during schools’ closure and define strategies to close the learning gaps exacerbated during this period</w:t>
      </w:r>
      <w:r w:rsidR="00EE1DDF">
        <w:rPr>
          <w:rFonts w:ascii="Arial" w:hAnsi="Arial" w:cs="Arial"/>
        </w:rPr>
        <w:t xml:space="preserve"> in a joint effort with</w:t>
      </w:r>
      <w:r w:rsidRPr="08C3BA5D">
        <w:rPr>
          <w:rFonts w:ascii="Arial" w:hAnsi="Arial" w:cs="Arial"/>
        </w:rPr>
        <w:t xml:space="preserve"> Center for Public Policy and Education Assessment (</w:t>
      </w:r>
      <w:proofErr w:type="spellStart"/>
      <w:r w:rsidRPr="08C3BA5D">
        <w:rPr>
          <w:rFonts w:ascii="Arial" w:hAnsi="Arial" w:cs="Arial"/>
        </w:rPr>
        <w:t>CAEd</w:t>
      </w:r>
      <w:proofErr w:type="spellEnd"/>
      <w:r w:rsidRPr="08C3BA5D">
        <w:rPr>
          <w:rFonts w:ascii="Arial" w:hAnsi="Arial" w:cs="Arial"/>
        </w:rPr>
        <w:t xml:space="preserve">) and Instituto </w:t>
      </w:r>
      <w:proofErr w:type="spellStart"/>
      <w:r w:rsidRPr="08C3BA5D">
        <w:rPr>
          <w:rFonts w:ascii="Arial" w:hAnsi="Arial" w:cs="Arial"/>
        </w:rPr>
        <w:t>Reúna</w:t>
      </w:r>
      <w:proofErr w:type="spellEnd"/>
      <w:r w:rsidR="00EE1DDF">
        <w:rPr>
          <w:rFonts w:ascii="Arial" w:hAnsi="Arial" w:cs="Arial"/>
        </w:rPr>
        <w:t xml:space="preserve"> this contract will support</w:t>
      </w:r>
      <w:r w:rsidR="006D337F">
        <w:rPr>
          <w:rFonts w:ascii="Arial" w:hAnsi="Arial" w:cs="Arial"/>
        </w:rPr>
        <w:t xml:space="preserve"> </w:t>
      </w:r>
      <w:r w:rsidRPr="08C3BA5D">
        <w:rPr>
          <w:rFonts w:ascii="Arial" w:hAnsi="Arial" w:cs="Arial"/>
        </w:rPr>
        <w:t>the design and implementation of Diagnostic Activities, this is focused on embracing students and teachers once schools reopen with a proposed socioemotional skills assessment, language and math assessments from 2</w:t>
      </w:r>
      <w:r w:rsidRPr="08C3BA5D">
        <w:rPr>
          <w:rFonts w:ascii="Arial" w:hAnsi="Arial" w:cs="Arial"/>
          <w:vertAlign w:val="superscript"/>
        </w:rPr>
        <w:t>nd</w:t>
      </w:r>
      <w:r w:rsidRPr="08C3BA5D">
        <w:rPr>
          <w:rFonts w:ascii="Arial" w:hAnsi="Arial" w:cs="Arial"/>
        </w:rPr>
        <w:t xml:space="preserve"> to 12</w:t>
      </w:r>
      <w:r w:rsidRPr="08C3BA5D">
        <w:rPr>
          <w:rFonts w:ascii="Arial" w:hAnsi="Arial" w:cs="Arial"/>
          <w:vertAlign w:val="superscript"/>
        </w:rPr>
        <w:t>th</w:t>
      </w:r>
      <w:r w:rsidRPr="08C3BA5D">
        <w:rPr>
          <w:rFonts w:ascii="Arial" w:hAnsi="Arial" w:cs="Arial"/>
        </w:rPr>
        <w:t xml:space="preserve"> grade based on the essential curriculum (</w:t>
      </w:r>
      <w:proofErr w:type="spellStart"/>
      <w:r w:rsidRPr="08C3BA5D">
        <w:rPr>
          <w:rFonts w:ascii="Arial" w:hAnsi="Arial" w:cs="Arial"/>
        </w:rPr>
        <w:t>mapas</w:t>
      </w:r>
      <w:proofErr w:type="spellEnd"/>
      <w:r w:rsidRPr="08C3BA5D">
        <w:rPr>
          <w:rFonts w:ascii="Arial" w:hAnsi="Arial" w:cs="Arial"/>
        </w:rPr>
        <w:t xml:space="preserve"> de </w:t>
      </w:r>
      <w:proofErr w:type="spellStart"/>
      <w:r w:rsidRPr="08C3BA5D">
        <w:rPr>
          <w:rFonts w:ascii="Arial" w:hAnsi="Arial" w:cs="Arial"/>
        </w:rPr>
        <w:t>foco</w:t>
      </w:r>
      <w:proofErr w:type="spellEnd"/>
      <w:r w:rsidRPr="08C3BA5D">
        <w:rPr>
          <w:rFonts w:ascii="Arial" w:hAnsi="Arial" w:cs="Arial"/>
        </w:rPr>
        <w:t xml:space="preserve">), a guide for results interpretation and pedagogical suggestions for teachers. </w:t>
      </w:r>
    </w:p>
    <w:p w:rsidRPr="000F744C" w:rsidR="0095711B" w:rsidP="54260729" w:rsidRDefault="54260729" w14:paraId="3BBAB22C" w14:textId="4F0463B7">
      <w:pPr>
        <w:pStyle w:val="ListParagraph"/>
        <w:numPr>
          <w:ilvl w:val="0"/>
          <w:numId w:val="5"/>
        </w:numPr>
        <w:spacing w:before="120" w:after="120" w:line="240" w:lineRule="auto"/>
        <w:contextualSpacing w:val="0"/>
        <w:rPr>
          <w:rFonts w:ascii="Arial" w:hAnsi="Arial" w:eastAsia="Arial" w:cs="Arial"/>
          <w:b/>
          <w:bCs/>
        </w:rPr>
      </w:pPr>
      <w:r w:rsidRPr="3F43E51A">
        <w:rPr>
          <w:rFonts w:ascii="Arial" w:hAnsi="Arial" w:eastAsia="Arial" w:cs="Arial"/>
          <w:b/>
          <w:bCs/>
        </w:rPr>
        <w:t xml:space="preserve">Major issues </w:t>
      </w:r>
    </w:p>
    <w:p w:rsidRPr="00C01BE9" w:rsidR="002F0F2E" w:rsidP="00305924" w:rsidRDefault="002F0F2E" w14:paraId="708F7F4F" w14:textId="77777777">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Cs/>
        </w:rPr>
        <w:t>The risks associated with this operation are low. The Bank, through SCL/EDU, has extensive experience in the development of the issues requested by the Government of Brazil, in addition to maintaining a permanent dialogue with both local counterparts with organizations, and with local and international experts to obtain the technical assistance required.</w:t>
      </w:r>
    </w:p>
    <w:p w:rsidRPr="002F0F2E" w:rsidR="009F3CA2" w:rsidP="00305924" w:rsidRDefault="002F0F2E" w14:paraId="3BBAB22E" w14:textId="4C41B028">
      <w:pPr>
        <w:pStyle w:val="ListParagraph"/>
        <w:numPr>
          <w:ilvl w:val="1"/>
          <w:numId w:val="5"/>
        </w:numPr>
        <w:spacing w:before="120" w:after="120" w:line="240" w:lineRule="auto"/>
        <w:ind w:left="426" w:hanging="540"/>
        <w:contextualSpacing w:val="0"/>
        <w:jc w:val="both"/>
        <w:rPr>
          <w:rFonts w:ascii="Arial" w:hAnsi="Arial" w:cs="Arial"/>
          <w:bCs/>
        </w:rPr>
      </w:pPr>
      <w:r w:rsidRPr="00C01BE9">
        <w:rPr>
          <w:rFonts w:ascii="Arial" w:hAnsi="Arial" w:cs="Arial"/>
          <w:bCs/>
        </w:rPr>
        <w:t>The delay in the delivery of products is a potential risk that can be mitigated by establishing a feasible schedule. Additionally, given the CV pandemic and its unpredictable nature, some flexibility and adaptation to varying conditions should be expected which will require permanent supervision in contracts execution.</w:t>
      </w:r>
      <w:r w:rsidRPr="002F0F2E" w:rsidR="54260729">
        <w:rPr>
          <w:rFonts w:ascii="Arial" w:hAnsi="Arial" w:eastAsia="Arial" w:cs="Arial"/>
        </w:rPr>
        <w:t xml:space="preserve">  </w:t>
      </w:r>
    </w:p>
    <w:p w:rsidRPr="000F744C" w:rsidR="00F72899" w:rsidP="54260729" w:rsidRDefault="54260729" w14:paraId="3BBAB22F" w14:textId="77777777">
      <w:pPr>
        <w:pStyle w:val="ListParagraph"/>
        <w:numPr>
          <w:ilvl w:val="0"/>
          <w:numId w:val="5"/>
        </w:numPr>
        <w:spacing w:before="120" w:after="120" w:line="240" w:lineRule="auto"/>
        <w:contextualSpacing w:val="0"/>
        <w:rPr>
          <w:rFonts w:ascii="Arial" w:hAnsi="Arial" w:eastAsia="Arial" w:cs="Arial"/>
          <w:b/>
          <w:bCs/>
        </w:rPr>
      </w:pPr>
      <w:r w:rsidRPr="3F43E51A">
        <w:rPr>
          <w:rFonts w:ascii="Arial" w:hAnsi="Arial" w:eastAsia="Arial" w:cs="Arial"/>
          <w:b/>
          <w:bCs/>
        </w:rPr>
        <w:t>Exceptions to Bank policy</w:t>
      </w:r>
    </w:p>
    <w:p w:rsidRPr="000F744C" w:rsidR="00F72899" w:rsidP="00305924" w:rsidRDefault="00267D1B" w14:paraId="3BBAB230" w14:textId="2531FF9D">
      <w:pPr>
        <w:pStyle w:val="ListParagraph"/>
        <w:numPr>
          <w:ilvl w:val="1"/>
          <w:numId w:val="5"/>
        </w:numPr>
        <w:spacing w:before="120" w:after="120" w:line="240" w:lineRule="auto"/>
        <w:ind w:left="426" w:hanging="540"/>
        <w:contextualSpacing w:val="0"/>
        <w:jc w:val="both"/>
        <w:rPr>
          <w:rFonts w:ascii="Arial" w:hAnsi="Arial" w:eastAsia="Arial" w:cs="Arial"/>
        </w:rPr>
      </w:pPr>
      <w:r>
        <w:rPr>
          <w:rFonts w:ascii="Arial" w:hAnsi="Arial" w:eastAsia="Arial" w:cs="Arial"/>
        </w:rPr>
        <w:t>None.</w:t>
      </w:r>
    </w:p>
    <w:p w:rsidRPr="000F744C" w:rsidR="0095711B" w:rsidP="54260729" w:rsidRDefault="54260729" w14:paraId="3BBAB231" w14:textId="77777777">
      <w:pPr>
        <w:pStyle w:val="ListParagraph"/>
        <w:numPr>
          <w:ilvl w:val="0"/>
          <w:numId w:val="5"/>
        </w:numPr>
        <w:spacing w:before="120" w:after="120" w:line="240" w:lineRule="auto"/>
        <w:contextualSpacing w:val="0"/>
        <w:rPr>
          <w:rFonts w:ascii="Arial" w:hAnsi="Arial" w:eastAsia="Arial" w:cs="Arial"/>
          <w:b/>
          <w:bCs/>
        </w:rPr>
      </w:pPr>
      <w:r w:rsidRPr="3F43E51A">
        <w:rPr>
          <w:rFonts w:ascii="Arial" w:hAnsi="Arial" w:eastAsia="Arial" w:cs="Arial"/>
          <w:b/>
          <w:bCs/>
        </w:rPr>
        <w:t xml:space="preserve">Environmental and Social Strategy </w:t>
      </w:r>
    </w:p>
    <w:p w:rsidRPr="008419A0" w:rsidR="0095711B" w:rsidP="00305924" w:rsidRDefault="008419A0" w14:paraId="3BBAB232" w14:textId="31629711">
      <w:pPr>
        <w:pStyle w:val="ListParagraph"/>
        <w:numPr>
          <w:ilvl w:val="1"/>
          <w:numId w:val="5"/>
        </w:numPr>
        <w:spacing w:before="120" w:after="120" w:line="240" w:lineRule="auto"/>
        <w:ind w:left="426" w:hanging="540"/>
        <w:contextualSpacing w:val="0"/>
        <w:jc w:val="both"/>
        <w:rPr>
          <w:rFonts w:ascii="Arial" w:hAnsi="Arial" w:cs="Arial"/>
        </w:rPr>
      </w:pPr>
      <w:r w:rsidRPr="00C01BE9">
        <w:rPr>
          <w:rFonts w:ascii="Arial" w:hAnsi="Arial" w:cs="Arial"/>
        </w:rPr>
        <w:t>The ESG classification for this operation is "C".</w:t>
      </w:r>
    </w:p>
    <w:p w:rsidRPr="000F744C" w:rsidR="00F72899" w:rsidP="006060EC" w:rsidRDefault="54260729" w14:paraId="3BBAB233" w14:textId="08F43783">
      <w:pPr>
        <w:spacing w:before="120" w:after="120" w:line="240" w:lineRule="auto"/>
        <w:ind w:hanging="270"/>
        <w:jc w:val="both"/>
        <w:rPr>
          <w:rFonts w:ascii="Arial" w:hAnsi="Arial" w:eastAsia="Arial" w:cs="Arial"/>
          <w:b/>
          <w:bCs/>
        </w:rPr>
      </w:pPr>
      <w:r w:rsidRPr="54260729">
        <w:rPr>
          <w:rFonts w:ascii="Arial" w:hAnsi="Arial" w:eastAsia="Arial" w:cs="Arial"/>
          <w:b/>
          <w:bCs/>
        </w:rPr>
        <w:t>Required Annexes:</w:t>
      </w:r>
    </w:p>
    <w:sdt>
      <w:sdtPr>
        <w:alias w:val="ANNEXES"/>
        <w:tag w:val="ANNEXES"/>
        <w:id w:val="918745576"/>
        <w:lock w:val="sdtLocked"/>
        <w:placeholder>
          <w:docPart w:val="DefaultPlaceholder_1081868574"/>
        </w:placeholder>
      </w:sdtPr>
      <w:sdtEndPr/>
      <w:sdtContent>
        <w:p>
          <w:hyperlink w:history="true" r:id="Rdf0cbc6aebc6419f">
            <w:proofErr w:type="gramStart"/>
            <w:r>
              <w:rPr>
                <w:u w:val="single"/>
                <w:color w:themeColor="hyperlink"/>
              </w:rPr>
              <w:t>Request from the Client - BR-T1447</w:t>
            </w:r>
          </w:hyperlink>
        </w:p>
        <w:p>
          <w:hyperlink w:history="true" r:id="R3b413fe226424ca6">
            <w:proofErr w:type="gramStart"/>
            <w:r>
              <w:rPr>
                <w:u w:val="single"/>
                <w:color w:themeColor="hyperlink"/>
              </w:rPr>
              <w:t>Results Matrix - BR-T1447</w:t>
            </w:r>
          </w:hyperlink>
        </w:p>
        <w:p>
          <w:hyperlink w:history="true" r:id="Rc9b3f2bd11a347d5">
            <w:proofErr w:type="gramStart"/>
            <w:r>
              <w:rPr>
                <w:u w:val="single"/>
                <w:color w:themeColor="hyperlink"/>
              </w:rPr>
              <w:t>Terms of Reference - BR-T1447</w:t>
            </w:r>
          </w:hyperlink>
        </w:p>
        <w:p>
          <w:hyperlink w:history="true" r:id="Rf6c2bdc36375456e">
            <w:proofErr w:type="gramStart"/>
            <w:r>
              <w:rPr>
                <w:u w:val="single"/>
                <w:color w:themeColor="hyperlink"/>
              </w:rPr>
              <w:t>Procurement Plan - BR-T1447</w:t>
            </w:r>
          </w:hyperlink>
        </w:p>
      </w:sdtContent>
    </w:sdt>
    <w:p w:rsidR="00472C12" w:rsidP="54260729" w:rsidRDefault="00472C12" w14:paraId="3BBAB237" w14:textId="211FCB70">
      <w:pPr>
        <w:spacing w:before="120" w:after="120" w:line="240" w:lineRule="auto"/>
        <w:jc w:val="both"/>
        <w:rPr>
          <w:rFonts w:ascii="Arial" w:hAnsi="Arial" w:cs="Arial"/>
        </w:rPr>
      </w:pPr>
    </w:p>
    <w:sectPr w:rsidR="00472C12" w:rsidSect="00855325">
      <w:headerReference w:type="default" r:id="rId14"/>
      <w:footerReference w:type="default" r:id="rId15"/>
      <w:pgSz w:w="12240" w:h="15840" w:orient="portrait"/>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658B3" w:rsidP="0095711B" w:rsidRDefault="002658B3" w14:paraId="2820E134" w14:textId="77777777">
      <w:pPr>
        <w:spacing w:after="0" w:line="240" w:lineRule="auto"/>
      </w:pPr>
      <w:r>
        <w:separator/>
      </w:r>
    </w:p>
  </w:endnote>
  <w:endnote w:type="continuationSeparator" w:id="0">
    <w:p w:rsidR="002658B3" w:rsidP="0095711B" w:rsidRDefault="002658B3" w14:paraId="28755A0A" w14:textId="77777777">
      <w:pPr>
        <w:spacing w:after="0" w:line="240" w:lineRule="auto"/>
      </w:pPr>
      <w:r>
        <w:continuationSeparator/>
      </w:r>
    </w:p>
  </w:endnote>
  <w:endnote w:type="continuationNotice" w:id="1">
    <w:p w:rsidR="002658B3" w:rsidRDefault="002658B3" w14:paraId="1B4113B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658B3" w:rsidP="0095711B" w:rsidRDefault="002658B3" w14:paraId="1C093AE8" w14:textId="77777777">
      <w:pPr>
        <w:spacing w:after="0" w:line="240" w:lineRule="auto"/>
      </w:pPr>
      <w:r>
        <w:separator/>
      </w:r>
    </w:p>
  </w:footnote>
  <w:footnote w:type="continuationSeparator" w:id="0">
    <w:p w:rsidR="002658B3" w:rsidP="0095711B" w:rsidRDefault="002658B3" w14:paraId="204DC736" w14:textId="77777777">
      <w:pPr>
        <w:spacing w:after="0" w:line="240" w:lineRule="auto"/>
      </w:pPr>
      <w:r>
        <w:continuationSeparator/>
      </w:r>
    </w:p>
  </w:footnote>
  <w:footnote w:type="continuationNotice" w:id="1">
    <w:p w:rsidR="002658B3" w:rsidRDefault="002658B3" w14:paraId="4BE72F6E" w14:textId="77777777">
      <w:pPr>
        <w:spacing w:after="0" w:line="240" w:lineRule="auto"/>
      </w:pPr>
    </w:p>
  </w:footnote>
  <w:footnote w:id="2">
    <w:p w:rsidR="00252082" w:rsidP="00A801C2" w:rsidRDefault="00252082" w14:paraId="7F20821D" w14:textId="77777777">
      <w:pPr>
        <w:pStyle w:val="FootnoteText"/>
        <w:ind w:left="270" w:hanging="270"/>
      </w:pPr>
      <w:r w:rsidRPr="007D3ADD">
        <w:rPr>
          <w:rStyle w:val="FootnoteReference"/>
        </w:rPr>
        <w:footnoteRef/>
      </w:r>
      <w:r w:rsidRPr="007D3ADD">
        <w:t xml:space="preserve"> </w:t>
      </w:r>
      <w:hyperlink w:history="1" r:id="rId1">
        <w:r w:rsidRPr="007D3ADD">
          <w:rPr>
            <w:rStyle w:val="Hyperlink"/>
          </w:rPr>
          <w:t>https://aprendendosempre.org/</w:t>
        </w:r>
      </w:hyperlink>
      <w:r w:rsidRPr="007D3ADD">
        <w:t xml:space="preserve"> </w:t>
      </w:r>
    </w:p>
  </w:footnote>
  <w:footnote w:id="3">
    <w:p w:rsidRPr="007D3ADD" w:rsidR="00252082" w:rsidP="007D3ADD" w:rsidRDefault="00252082" w14:paraId="1D2C7D9C" w14:textId="2C600CB3">
      <w:pPr>
        <w:pStyle w:val="FootnoteText"/>
        <w:ind w:left="270" w:hanging="270"/>
        <w:jc w:val="both"/>
        <w:rPr>
          <w:rFonts w:ascii="Arial" w:hAnsi="Arial" w:cs="Arial"/>
        </w:rPr>
      </w:pPr>
      <w:r w:rsidRPr="007D3ADD">
        <w:rPr>
          <w:rStyle w:val="FootnoteReference"/>
          <w:rFonts w:ascii="Arial" w:hAnsi="Arial" w:cs="Arial"/>
        </w:rPr>
        <w:footnoteRef/>
      </w:r>
      <w:r w:rsidRPr="007D3ADD">
        <w:rPr>
          <w:rFonts w:ascii="Arial" w:hAnsi="Arial" w:cs="Arial"/>
        </w:rPr>
        <w:t xml:space="preserve"> </w:t>
      </w:r>
      <w:r w:rsidR="007D3ADD">
        <w:rPr>
          <w:rFonts w:ascii="Arial" w:hAnsi="Arial" w:cs="Arial"/>
        </w:rPr>
        <w:tab/>
      </w:r>
      <w:r w:rsidRPr="007D3ADD">
        <w:rPr>
          <w:rFonts w:ascii="Arial" w:hAnsi="Arial" w:cs="Arial"/>
        </w:rPr>
        <w:t xml:space="preserve">Taking advantage of the solid communication bridge between Brazil’s civil society and the states and municipalities; Lemann Foundation led the creation of the </w:t>
      </w:r>
      <w:proofErr w:type="spellStart"/>
      <w:r w:rsidRPr="007D3ADD">
        <w:rPr>
          <w:rFonts w:ascii="Arial" w:hAnsi="Arial" w:cs="Arial"/>
        </w:rPr>
        <w:t>Aprendendo</w:t>
      </w:r>
      <w:proofErr w:type="spellEnd"/>
      <w:r w:rsidRPr="007D3ADD">
        <w:rPr>
          <w:rFonts w:ascii="Arial" w:hAnsi="Arial" w:cs="Arial"/>
        </w:rPr>
        <w:t xml:space="preserve"> Sempre coalition to join forces and support Brazil’s education during the pandemic. https://aprendendosempre.org/sobre/</w:t>
      </w:r>
    </w:p>
  </w:footnote>
  <w:footnote w:id="4">
    <w:p w:rsidR="00252082" w:rsidP="007D3ADD" w:rsidRDefault="00252082" w14:paraId="4EDB92E0" w14:textId="7BD3E8DE">
      <w:pPr>
        <w:pStyle w:val="FootnoteText"/>
        <w:ind w:left="270" w:hanging="270"/>
        <w:jc w:val="both"/>
      </w:pPr>
      <w:r w:rsidRPr="007D3ADD">
        <w:rPr>
          <w:rStyle w:val="FootnoteReference"/>
          <w:rFonts w:ascii="Arial" w:hAnsi="Arial" w:cs="Arial"/>
        </w:rPr>
        <w:footnoteRef/>
      </w:r>
      <w:r w:rsidRPr="007D3ADD">
        <w:rPr>
          <w:rFonts w:ascii="Arial" w:hAnsi="Arial" w:cs="Arial"/>
        </w:rPr>
        <w:t xml:space="preserve"> </w:t>
      </w:r>
      <w:r w:rsidR="007D3ADD">
        <w:rPr>
          <w:rFonts w:ascii="Arial" w:hAnsi="Arial" w:cs="Arial"/>
        </w:rPr>
        <w:tab/>
      </w:r>
      <w:r w:rsidRPr="007D3ADD">
        <w:rPr>
          <w:rFonts w:ascii="Arial" w:hAnsi="Arial" w:cs="Arial"/>
        </w:rPr>
        <w:t xml:space="preserve">Brazil is a federative country where the responsibility for education is a shared among different levels of governments. Regarding basic education, federal government is mainly responsible for </w:t>
      </w:r>
      <w:r w:rsidRPr="007D3ADD" w:rsidR="00483C3C">
        <w:rPr>
          <w:rFonts w:ascii="Arial" w:hAnsi="Arial" w:cs="Arial"/>
        </w:rPr>
        <w:t>policymaking</w:t>
      </w:r>
      <w:r w:rsidRPr="007D3ADD">
        <w:rPr>
          <w:rFonts w:ascii="Arial" w:hAnsi="Arial" w:cs="Arial"/>
        </w:rPr>
        <w:t>, while and state and municipal governments for implementation and provision of the actual services.</w:t>
      </w:r>
    </w:p>
  </w:footnote>
  <w:footnote w:id="5">
    <w:p w:rsidRPr="0001017F" w:rsidR="00012250" w:rsidP="0001017F" w:rsidRDefault="00012250" w14:paraId="29CE52DC" w14:textId="57226575">
      <w:pPr>
        <w:pStyle w:val="FootnoteText"/>
        <w:ind w:left="270" w:hanging="270"/>
        <w:rPr>
          <w:rFonts w:ascii="Arial" w:hAnsi="Arial" w:cs="Arial"/>
        </w:rPr>
      </w:pPr>
      <w:r w:rsidRPr="0001017F">
        <w:rPr>
          <w:rStyle w:val="FootnoteReference"/>
          <w:rFonts w:ascii="Arial" w:hAnsi="Arial" w:cs="Arial"/>
        </w:rPr>
        <w:footnoteRef/>
      </w:r>
      <w:r w:rsidRPr="0001017F">
        <w:rPr>
          <w:rFonts w:ascii="Arial" w:hAnsi="Arial" w:cs="Arial"/>
        </w:rPr>
        <w:t xml:space="preserve"> BR-O0009</w:t>
      </w:r>
    </w:p>
  </w:footnote>
  <w:footnote w:id="6">
    <w:p w:rsidRPr="0001017F" w:rsidR="00252082" w:rsidP="00A801C2" w:rsidRDefault="00252082" w14:paraId="589E86F9" w14:textId="5A747953">
      <w:pPr>
        <w:pStyle w:val="FootnoteText"/>
        <w:ind w:left="270" w:hanging="270"/>
        <w:rPr>
          <w:rFonts w:ascii="Arial" w:hAnsi="Arial" w:cs="Arial"/>
        </w:rPr>
      </w:pPr>
      <w:r w:rsidRPr="0001017F">
        <w:rPr>
          <w:rStyle w:val="FootnoteReference"/>
          <w:rFonts w:ascii="Arial" w:hAnsi="Arial" w:cs="Arial"/>
        </w:rPr>
        <w:footnoteRef/>
      </w:r>
      <w:r w:rsidRPr="0001017F">
        <w:rPr>
          <w:rFonts w:ascii="Arial" w:hAnsi="Arial" w:cs="Arial"/>
        </w:rPr>
        <w:t xml:space="preserve"> </w:t>
      </w:r>
      <w:r w:rsidR="00A801C2">
        <w:rPr>
          <w:rFonts w:ascii="Arial" w:hAnsi="Arial" w:cs="Arial"/>
        </w:rPr>
        <w:tab/>
      </w:r>
      <w:r w:rsidRPr="0001017F">
        <w:rPr>
          <w:rFonts w:ascii="Arial" w:hAnsi="Arial" w:cs="Arial"/>
        </w:rPr>
        <w:t>A total of 18 case studies have been carried out to date, and a report on regional findings has been produced.</w:t>
      </w:r>
    </w:p>
  </w:footnote>
  <w:footnote w:id="7">
    <w:p w:rsidRPr="00A801C2" w:rsidR="00D83255" w:rsidP="00A801C2" w:rsidRDefault="00D83255" w14:paraId="5B141BB4" w14:textId="53AA6A14">
      <w:pPr>
        <w:pStyle w:val="FootnoteText"/>
        <w:ind w:left="270" w:hanging="270"/>
        <w:jc w:val="both"/>
        <w:rPr>
          <w:rFonts w:ascii="Arial" w:hAnsi="Arial" w:cs="Arial"/>
        </w:rPr>
      </w:pPr>
      <w:r w:rsidRPr="00A801C2">
        <w:rPr>
          <w:rStyle w:val="FootnoteReference"/>
          <w:rFonts w:ascii="Arial" w:hAnsi="Arial" w:cs="Arial"/>
        </w:rPr>
        <w:footnoteRef/>
      </w:r>
      <w:r w:rsidRPr="00A801C2">
        <w:rPr>
          <w:rFonts w:ascii="Arial" w:hAnsi="Arial" w:cs="Arial"/>
          <w:lang w:val="pt-BR"/>
        </w:rPr>
        <w:t xml:space="preserve"> </w:t>
      </w:r>
      <w:r w:rsidR="00A801C2">
        <w:rPr>
          <w:rFonts w:ascii="Arial" w:hAnsi="Arial" w:cs="Arial"/>
          <w:lang w:val="pt-BR"/>
        </w:rPr>
        <w:tab/>
      </w:r>
      <w:r w:rsidRPr="00A801C2">
        <w:rPr>
          <w:rFonts w:ascii="Arial" w:hAnsi="Arial" w:cs="Arial"/>
          <w:lang w:val="pt-BR"/>
        </w:rPr>
        <w:t xml:space="preserve">Conselho Nacional de Secretários de Educação – </w:t>
      </w:r>
      <w:proofErr w:type="spellStart"/>
      <w:r w:rsidRPr="00A801C2">
        <w:rPr>
          <w:rFonts w:ascii="Arial" w:hAnsi="Arial" w:cs="Arial"/>
          <w:lang w:val="pt-BR"/>
        </w:rPr>
        <w:t>national</w:t>
      </w:r>
      <w:proofErr w:type="spellEnd"/>
      <w:r w:rsidRPr="00A801C2">
        <w:rPr>
          <w:rFonts w:ascii="Arial" w:hAnsi="Arial" w:cs="Arial"/>
          <w:lang w:val="pt-BR"/>
        </w:rPr>
        <w:t xml:space="preserve"> </w:t>
      </w:r>
      <w:proofErr w:type="spellStart"/>
      <w:r w:rsidRPr="00A801C2">
        <w:rPr>
          <w:rFonts w:ascii="Arial" w:hAnsi="Arial" w:cs="Arial"/>
          <w:lang w:val="pt-BR"/>
        </w:rPr>
        <w:t>education</w:t>
      </w:r>
      <w:proofErr w:type="spellEnd"/>
      <w:r w:rsidRPr="00A801C2">
        <w:rPr>
          <w:rFonts w:ascii="Arial" w:hAnsi="Arial" w:cs="Arial"/>
          <w:lang w:val="pt-BR"/>
        </w:rPr>
        <w:t xml:space="preserve"> secretaries </w:t>
      </w:r>
      <w:proofErr w:type="spellStart"/>
      <w:r w:rsidRPr="00A801C2">
        <w:rPr>
          <w:rFonts w:ascii="Arial" w:hAnsi="Arial" w:cs="Arial"/>
          <w:lang w:val="pt-BR"/>
        </w:rPr>
        <w:t>council</w:t>
      </w:r>
      <w:proofErr w:type="spellEnd"/>
      <w:r w:rsidRPr="00A801C2">
        <w:rPr>
          <w:rFonts w:ascii="Arial" w:hAnsi="Arial" w:cs="Arial"/>
          <w:lang w:val="pt-BR"/>
        </w:rPr>
        <w:t xml:space="preserve"> and União Nacional dos Dirigentes Municipais de Educação – </w:t>
      </w:r>
      <w:proofErr w:type="spellStart"/>
      <w:r w:rsidRPr="00A801C2">
        <w:rPr>
          <w:rFonts w:ascii="Arial" w:hAnsi="Arial" w:cs="Arial"/>
          <w:lang w:val="pt-BR"/>
        </w:rPr>
        <w:t>national</w:t>
      </w:r>
      <w:proofErr w:type="spellEnd"/>
      <w:r w:rsidRPr="00A801C2">
        <w:rPr>
          <w:rFonts w:ascii="Arial" w:hAnsi="Arial" w:cs="Arial"/>
          <w:lang w:val="pt-BR"/>
        </w:rPr>
        <w:t xml:space="preserve"> </w:t>
      </w:r>
      <w:proofErr w:type="spellStart"/>
      <w:r w:rsidRPr="00A801C2">
        <w:rPr>
          <w:rFonts w:ascii="Arial" w:hAnsi="Arial" w:cs="Arial"/>
          <w:lang w:val="pt-BR"/>
        </w:rPr>
        <w:t>education</w:t>
      </w:r>
      <w:proofErr w:type="spellEnd"/>
      <w:r w:rsidRPr="00A801C2">
        <w:rPr>
          <w:rFonts w:ascii="Arial" w:hAnsi="Arial" w:cs="Arial"/>
          <w:lang w:val="pt-BR"/>
        </w:rPr>
        <w:t xml:space="preserve"> municipal </w:t>
      </w:r>
      <w:proofErr w:type="spellStart"/>
      <w:r w:rsidRPr="00A801C2">
        <w:rPr>
          <w:rFonts w:ascii="Arial" w:hAnsi="Arial" w:cs="Arial"/>
          <w:lang w:val="pt-BR"/>
        </w:rPr>
        <w:t>leaders</w:t>
      </w:r>
      <w:proofErr w:type="spellEnd"/>
      <w:r w:rsidRPr="00A801C2">
        <w:rPr>
          <w:rFonts w:ascii="Arial" w:hAnsi="Arial" w:cs="Arial"/>
          <w:lang w:val="pt-BR"/>
        </w:rPr>
        <w:t xml:space="preserve"> </w:t>
      </w:r>
      <w:proofErr w:type="spellStart"/>
      <w:r w:rsidRPr="00A801C2">
        <w:rPr>
          <w:rFonts w:ascii="Arial" w:hAnsi="Arial" w:cs="Arial"/>
          <w:lang w:val="pt-BR"/>
        </w:rPr>
        <w:t>union</w:t>
      </w:r>
      <w:proofErr w:type="spellEnd"/>
      <w:r w:rsidRPr="00A801C2">
        <w:rPr>
          <w:rFonts w:ascii="Arial" w:hAnsi="Arial" w:cs="Arial"/>
          <w:lang w:val="pt-BR"/>
        </w:rPr>
        <w:t xml:space="preserve">. </w:t>
      </w:r>
      <w:r w:rsidRPr="00A801C2">
        <w:rPr>
          <w:rFonts w:ascii="Arial" w:hAnsi="Arial" w:cs="Arial"/>
        </w:rPr>
        <w:t>CONSED is an institution created by law that brings together Education Secretaries from all states where its members revise the strategic objectives following the National Education Plan and, as a group, they have leverage both in their states and at the federal level.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BE579E4"/>
    <w:multiLevelType w:val="multilevel"/>
    <w:tmpl w:val="85B85662"/>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nsid w:val="171A016F"/>
    <w:multiLevelType w:val="hybridMultilevel"/>
    <w:tmpl w:val="85B85662"/>
    <w:lvl w:ilvl="0" w:tplc="13E0EE02">
      <w:start w:val="1"/>
      <w:numFmt w:val="upperRoman"/>
      <w:lvlText w:val="%1."/>
      <w:lvlJc w:val="right"/>
      <w:pPr>
        <w:ind w:left="360" w:hanging="360"/>
      </w:pPr>
      <w:rPr>
        <w:rFonts w:hint="default"/>
      </w:rPr>
    </w:lvl>
    <w:lvl w:ilvl="1" w:tplc="71346338">
      <w:start w:val="1"/>
      <w:numFmt w:val="decimal"/>
      <w:lvlText w:val="%1.%2"/>
      <w:lvlJc w:val="left"/>
      <w:pPr>
        <w:ind w:left="360" w:hanging="360"/>
      </w:pPr>
      <w:rPr>
        <w:rFonts w:hint="default"/>
        <w:b w:val="0"/>
      </w:rPr>
    </w:lvl>
    <w:lvl w:ilvl="2" w:tplc="EC60AFD6">
      <w:start w:val="1"/>
      <w:numFmt w:val="decimal"/>
      <w:lvlText w:val="%1.%2.%3"/>
      <w:lvlJc w:val="left"/>
      <w:pPr>
        <w:ind w:left="720" w:hanging="720"/>
      </w:pPr>
      <w:rPr>
        <w:rFonts w:hint="default"/>
      </w:rPr>
    </w:lvl>
    <w:lvl w:ilvl="3" w:tplc="1ADAA780">
      <w:start w:val="1"/>
      <w:numFmt w:val="decimal"/>
      <w:lvlText w:val="%1.%2.%3.%4"/>
      <w:lvlJc w:val="left"/>
      <w:pPr>
        <w:ind w:left="720" w:hanging="720"/>
      </w:pPr>
      <w:rPr>
        <w:rFonts w:hint="default"/>
      </w:rPr>
    </w:lvl>
    <w:lvl w:ilvl="4" w:tplc="7A28C506">
      <w:start w:val="1"/>
      <w:numFmt w:val="decimal"/>
      <w:lvlText w:val="%1.%2.%3.%4.%5"/>
      <w:lvlJc w:val="left"/>
      <w:pPr>
        <w:ind w:left="1080" w:hanging="1080"/>
      </w:pPr>
      <w:rPr>
        <w:rFonts w:hint="default"/>
      </w:rPr>
    </w:lvl>
    <w:lvl w:ilvl="5" w:tplc="EF30AA48">
      <w:start w:val="1"/>
      <w:numFmt w:val="decimal"/>
      <w:lvlText w:val="%1.%2.%3.%4.%5.%6"/>
      <w:lvlJc w:val="left"/>
      <w:pPr>
        <w:ind w:left="1080" w:hanging="1080"/>
      </w:pPr>
      <w:rPr>
        <w:rFonts w:hint="default"/>
      </w:rPr>
    </w:lvl>
    <w:lvl w:ilvl="6" w:tplc="03AC1BAA">
      <w:start w:val="1"/>
      <w:numFmt w:val="decimal"/>
      <w:lvlText w:val="%1.%2.%3.%4.%5.%6.%7"/>
      <w:lvlJc w:val="left"/>
      <w:pPr>
        <w:ind w:left="1440" w:hanging="1440"/>
      </w:pPr>
      <w:rPr>
        <w:rFonts w:hint="default"/>
      </w:rPr>
    </w:lvl>
    <w:lvl w:ilvl="7" w:tplc="B26EC758">
      <w:start w:val="1"/>
      <w:numFmt w:val="decimal"/>
      <w:lvlText w:val="%1.%2.%3.%4.%5.%6.%7.%8"/>
      <w:lvlJc w:val="left"/>
      <w:pPr>
        <w:ind w:left="1440" w:hanging="1440"/>
      </w:pPr>
      <w:rPr>
        <w:rFonts w:hint="default"/>
      </w:rPr>
    </w:lvl>
    <w:lvl w:ilvl="8" w:tplc="36E2C43A">
      <w:start w:val="1"/>
      <w:numFmt w:val="decimal"/>
      <w:lvlText w:val="%1.%2.%3.%4.%5.%6.%7.%8.%9"/>
      <w:lvlJc w:val="left"/>
      <w:pPr>
        <w:ind w:left="1440" w:hanging="1440"/>
      </w:pPr>
      <w:rPr>
        <w:rFonts w:hint="default"/>
      </w:rPr>
    </w:lvl>
  </w:abstractNum>
  <w:abstractNum w:abstractNumId="3">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4">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6">
    <w:nsid w:val="29351CEB"/>
    <w:multiLevelType w:val="hybridMultilevel"/>
    <w:tmpl w:val="85B85662"/>
    <w:lvl w:ilvl="0" w:tplc="CA6660DC">
      <w:start w:val="1"/>
      <w:numFmt w:val="upperRoman"/>
      <w:lvlText w:val="%1."/>
      <w:lvlJc w:val="right"/>
      <w:pPr>
        <w:ind w:left="360" w:hanging="360"/>
      </w:pPr>
      <w:rPr>
        <w:rFonts w:hint="default"/>
      </w:rPr>
    </w:lvl>
    <w:lvl w:ilvl="1" w:tplc="574EAF12">
      <w:start w:val="1"/>
      <w:numFmt w:val="decimal"/>
      <w:lvlText w:val="%1.%2"/>
      <w:lvlJc w:val="left"/>
      <w:pPr>
        <w:ind w:left="360" w:hanging="360"/>
      </w:pPr>
      <w:rPr>
        <w:rFonts w:hint="default"/>
        <w:b w:val="0"/>
      </w:rPr>
    </w:lvl>
    <w:lvl w:ilvl="2" w:tplc="D1F430FA">
      <w:start w:val="1"/>
      <w:numFmt w:val="decimal"/>
      <w:lvlText w:val="%1.%2.%3"/>
      <w:lvlJc w:val="left"/>
      <w:pPr>
        <w:ind w:left="720" w:hanging="720"/>
      </w:pPr>
      <w:rPr>
        <w:rFonts w:hint="default"/>
      </w:rPr>
    </w:lvl>
    <w:lvl w:ilvl="3" w:tplc="732CF27E">
      <w:start w:val="1"/>
      <w:numFmt w:val="decimal"/>
      <w:lvlText w:val="%1.%2.%3.%4"/>
      <w:lvlJc w:val="left"/>
      <w:pPr>
        <w:ind w:left="720" w:hanging="720"/>
      </w:pPr>
      <w:rPr>
        <w:rFonts w:hint="default"/>
      </w:rPr>
    </w:lvl>
    <w:lvl w:ilvl="4" w:tplc="6D249038">
      <w:start w:val="1"/>
      <w:numFmt w:val="decimal"/>
      <w:lvlText w:val="%1.%2.%3.%4.%5"/>
      <w:lvlJc w:val="left"/>
      <w:pPr>
        <w:ind w:left="1080" w:hanging="1080"/>
      </w:pPr>
      <w:rPr>
        <w:rFonts w:hint="default"/>
      </w:rPr>
    </w:lvl>
    <w:lvl w:ilvl="5" w:tplc="4A82E01E">
      <w:start w:val="1"/>
      <w:numFmt w:val="decimal"/>
      <w:lvlText w:val="%1.%2.%3.%4.%5.%6"/>
      <w:lvlJc w:val="left"/>
      <w:pPr>
        <w:ind w:left="1080" w:hanging="1080"/>
      </w:pPr>
      <w:rPr>
        <w:rFonts w:hint="default"/>
      </w:rPr>
    </w:lvl>
    <w:lvl w:ilvl="6" w:tplc="6EE83F94">
      <w:start w:val="1"/>
      <w:numFmt w:val="decimal"/>
      <w:lvlText w:val="%1.%2.%3.%4.%5.%6.%7"/>
      <w:lvlJc w:val="left"/>
      <w:pPr>
        <w:ind w:left="1440" w:hanging="1440"/>
      </w:pPr>
      <w:rPr>
        <w:rFonts w:hint="default"/>
      </w:rPr>
    </w:lvl>
    <w:lvl w:ilvl="7" w:tplc="8FE864B0">
      <w:start w:val="1"/>
      <w:numFmt w:val="decimal"/>
      <w:lvlText w:val="%1.%2.%3.%4.%5.%6.%7.%8"/>
      <w:lvlJc w:val="left"/>
      <w:pPr>
        <w:ind w:left="1440" w:hanging="1440"/>
      </w:pPr>
      <w:rPr>
        <w:rFonts w:hint="default"/>
      </w:rPr>
    </w:lvl>
    <w:lvl w:ilvl="8" w:tplc="47EC8B0E">
      <w:start w:val="1"/>
      <w:numFmt w:val="decimal"/>
      <w:lvlText w:val="%1.%2.%3.%4.%5.%6.%7.%8.%9"/>
      <w:lvlJc w:val="left"/>
      <w:pPr>
        <w:ind w:left="1440" w:hanging="1440"/>
      </w:pPr>
      <w:rPr>
        <w:rFonts w:hint="default"/>
      </w:rPr>
    </w:lvl>
  </w:abstractNum>
  <w:abstractNum w:abstractNumId="7">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nsid w:val="4103559D"/>
    <w:multiLevelType w:val="hybridMultilevel"/>
    <w:tmpl w:val="85B85662"/>
    <w:lvl w:ilvl="0" w:tplc="807EC64A">
      <w:start w:val="1"/>
      <w:numFmt w:val="upperRoman"/>
      <w:lvlText w:val="%1."/>
      <w:lvlJc w:val="right"/>
      <w:pPr>
        <w:ind w:left="360" w:hanging="360"/>
      </w:pPr>
      <w:rPr>
        <w:rFonts w:hint="default"/>
      </w:rPr>
    </w:lvl>
    <w:lvl w:ilvl="1" w:tplc="BFD4D022">
      <w:start w:val="1"/>
      <w:numFmt w:val="decimal"/>
      <w:lvlText w:val="%1.%2"/>
      <w:lvlJc w:val="left"/>
      <w:pPr>
        <w:ind w:left="360" w:hanging="360"/>
      </w:pPr>
      <w:rPr>
        <w:rFonts w:hint="default"/>
        <w:b w:val="0"/>
      </w:rPr>
    </w:lvl>
    <w:lvl w:ilvl="2" w:tplc="1F8EF820">
      <w:start w:val="1"/>
      <w:numFmt w:val="decimal"/>
      <w:lvlText w:val="%1.%2.%3"/>
      <w:lvlJc w:val="left"/>
      <w:pPr>
        <w:ind w:left="720" w:hanging="720"/>
      </w:pPr>
      <w:rPr>
        <w:rFonts w:hint="default"/>
      </w:rPr>
    </w:lvl>
    <w:lvl w:ilvl="3" w:tplc="681C64F6">
      <w:start w:val="1"/>
      <w:numFmt w:val="decimal"/>
      <w:lvlText w:val="%1.%2.%3.%4"/>
      <w:lvlJc w:val="left"/>
      <w:pPr>
        <w:ind w:left="720" w:hanging="720"/>
      </w:pPr>
      <w:rPr>
        <w:rFonts w:hint="default"/>
      </w:rPr>
    </w:lvl>
    <w:lvl w:ilvl="4" w:tplc="98BAB87A">
      <w:start w:val="1"/>
      <w:numFmt w:val="decimal"/>
      <w:lvlText w:val="%1.%2.%3.%4.%5"/>
      <w:lvlJc w:val="left"/>
      <w:pPr>
        <w:ind w:left="1080" w:hanging="1080"/>
      </w:pPr>
      <w:rPr>
        <w:rFonts w:hint="default"/>
      </w:rPr>
    </w:lvl>
    <w:lvl w:ilvl="5" w:tplc="C47C3CE6">
      <w:start w:val="1"/>
      <w:numFmt w:val="decimal"/>
      <w:lvlText w:val="%1.%2.%3.%4.%5.%6"/>
      <w:lvlJc w:val="left"/>
      <w:pPr>
        <w:ind w:left="1080" w:hanging="1080"/>
      </w:pPr>
      <w:rPr>
        <w:rFonts w:hint="default"/>
      </w:rPr>
    </w:lvl>
    <w:lvl w:ilvl="6" w:tplc="B53C6866">
      <w:start w:val="1"/>
      <w:numFmt w:val="decimal"/>
      <w:lvlText w:val="%1.%2.%3.%4.%5.%6.%7"/>
      <w:lvlJc w:val="left"/>
      <w:pPr>
        <w:ind w:left="1440" w:hanging="1440"/>
      </w:pPr>
      <w:rPr>
        <w:rFonts w:hint="default"/>
      </w:rPr>
    </w:lvl>
    <w:lvl w:ilvl="7" w:tplc="7CCE4A74">
      <w:start w:val="1"/>
      <w:numFmt w:val="decimal"/>
      <w:lvlText w:val="%1.%2.%3.%4.%5.%6.%7.%8"/>
      <w:lvlJc w:val="left"/>
      <w:pPr>
        <w:ind w:left="1440" w:hanging="1440"/>
      </w:pPr>
      <w:rPr>
        <w:rFonts w:hint="default"/>
      </w:rPr>
    </w:lvl>
    <w:lvl w:ilvl="8" w:tplc="D200027C">
      <w:start w:val="1"/>
      <w:numFmt w:val="decimal"/>
      <w:lvlText w:val="%1.%2.%3.%4.%5.%6.%7.%8.%9"/>
      <w:lvlJc w:val="left"/>
      <w:pPr>
        <w:ind w:left="1440" w:hanging="1440"/>
      </w:pPr>
      <w:rPr>
        <w:rFonts w:hint="default"/>
      </w:rPr>
    </w:lvl>
  </w:abstractNum>
  <w:abstractNum w:abstractNumId="12">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596B35F7"/>
    <w:multiLevelType w:val="hybridMultilevel"/>
    <w:tmpl w:val="0409001F"/>
    <w:lvl w:ilvl="0" w:tplc="E1262302">
      <w:start w:val="1"/>
      <w:numFmt w:val="decimal"/>
      <w:lvlText w:val="%1."/>
      <w:lvlJc w:val="left"/>
      <w:pPr>
        <w:ind w:left="360" w:hanging="360"/>
      </w:pPr>
      <w:rPr>
        <w:rFonts w:hint="default"/>
      </w:rPr>
    </w:lvl>
    <w:lvl w:ilvl="1" w:tplc="604CDFE4">
      <w:start w:val="1"/>
      <w:numFmt w:val="decimal"/>
      <w:lvlText w:val="%1.%2."/>
      <w:lvlJc w:val="left"/>
      <w:pPr>
        <w:ind w:left="792" w:hanging="432"/>
      </w:pPr>
      <w:rPr>
        <w:rFonts w:hint="default"/>
        <w:b w:val="0"/>
        <w:i w:val="0"/>
        <w:sz w:val="22"/>
      </w:rPr>
    </w:lvl>
    <w:lvl w:ilvl="2" w:tplc="D804ADDC">
      <w:start w:val="1"/>
      <w:numFmt w:val="decimal"/>
      <w:lvlText w:val="%1.%2.%3."/>
      <w:lvlJc w:val="left"/>
      <w:pPr>
        <w:ind w:left="1224" w:hanging="504"/>
      </w:pPr>
      <w:rPr>
        <w:rFonts w:hint="default"/>
      </w:rPr>
    </w:lvl>
    <w:lvl w:ilvl="3" w:tplc="79E27258">
      <w:start w:val="1"/>
      <w:numFmt w:val="decimal"/>
      <w:lvlText w:val="%1.%2.%3.%4."/>
      <w:lvlJc w:val="left"/>
      <w:pPr>
        <w:ind w:left="1728" w:hanging="648"/>
      </w:pPr>
      <w:rPr>
        <w:rFonts w:hint="default"/>
      </w:rPr>
    </w:lvl>
    <w:lvl w:ilvl="4" w:tplc="3C948466">
      <w:start w:val="1"/>
      <w:numFmt w:val="decimal"/>
      <w:lvlText w:val="%1.%2.%3.%4.%5."/>
      <w:lvlJc w:val="left"/>
      <w:pPr>
        <w:ind w:left="2232" w:hanging="792"/>
      </w:pPr>
      <w:rPr>
        <w:rFonts w:hint="default"/>
      </w:rPr>
    </w:lvl>
    <w:lvl w:ilvl="5" w:tplc="B54EF2A6">
      <w:start w:val="1"/>
      <w:numFmt w:val="decimal"/>
      <w:lvlText w:val="%1.%2.%3.%4.%5.%6."/>
      <w:lvlJc w:val="left"/>
      <w:pPr>
        <w:ind w:left="2736" w:hanging="936"/>
      </w:pPr>
      <w:rPr>
        <w:rFonts w:hint="default"/>
      </w:rPr>
    </w:lvl>
    <w:lvl w:ilvl="6" w:tplc="5A0C194C">
      <w:start w:val="1"/>
      <w:numFmt w:val="decimal"/>
      <w:lvlText w:val="%1.%2.%3.%4.%5.%6.%7."/>
      <w:lvlJc w:val="left"/>
      <w:pPr>
        <w:ind w:left="3240" w:hanging="1080"/>
      </w:pPr>
      <w:rPr>
        <w:rFonts w:hint="default"/>
      </w:rPr>
    </w:lvl>
    <w:lvl w:ilvl="7" w:tplc="C3C4C9B6">
      <w:start w:val="1"/>
      <w:numFmt w:val="decimal"/>
      <w:lvlText w:val="%1.%2.%3.%4.%5.%6.%7.%8."/>
      <w:lvlJc w:val="left"/>
      <w:pPr>
        <w:ind w:left="3744" w:hanging="1224"/>
      </w:pPr>
      <w:rPr>
        <w:rFonts w:hint="default"/>
      </w:rPr>
    </w:lvl>
    <w:lvl w:ilvl="8" w:tplc="D402D392">
      <w:start w:val="1"/>
      <w:numFmt w:val="decimal"/>
      <w:lvlText w:val="%1.%2.%3.%4.%5.%6.%7.%8.%9."/>
      <w:lvlJc w:val="left"/>
      <w:pPr>
        <w:ind w:left="4320" w:hanging="1440"/>
      </w:pPr>
      <w:rPr>
        <w:rFonts w:hint="default"/>
      </w:rPr>
    </w:lvl>
  </w:abstractNum>
  <w:abstractNum w:abstractNumId="18">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F125E1"/>
    <w:multiLevelType w:val="multilevel"/>
    <w:tmpl w:val="74E02474"/>
    <w:lvl w:ilvl="0">
      <w:start w:val="1"/>
      <w:numFmt w:val="upperRoman"/>
      <w:lvlText w:val="%1."/>
      <w:lvlJc w:val="right"/>
      <w:pPr>
        <w:ind w:left="360" w:hanging="360"/>
      </w:pPr>
      <w:rPr>
        <w:rFonts w:hint="default"/>
      </w:rPr>
    </w:lvl>
    <w:lvl w:ilvl="1">
      <w:start w:val="1"/>
      <w:numFmt w:val="decimal"/>
      <w:lvlText w:val="%2.%2"/>
      <w:lvlJc w:val="left"/>
      <w:pPr>
        <w:ind w:left="360" w:hanging="360"/>
      </w:pPr>
      <w:rPr>
        <w:rFonts w:hint="default" w:ascii="Arial" w:hAnsi="Arial"/>
        <w:b w:val="0"/>
        <w:i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73DA472B"/>
    <w:multiLevelType w:val="hybridMultilevel"/>
    <w:tmpl w:val="4F20E50C"/>
    <w:lvl w:ilvl="0" w:tplc="4E42963C">
      <w:start w:val="1"/>
      <w:numFmt w:val="upperRoman"/>
      <w:lvlText w:val="%1."/>
      <w:lvlJc w:val="left"/>
      <w:pPr>
        <w:ind w:left="360" w:hanging="360"/>
      </w:pPr>
      <w:rPr>
        <w:rFonts w:hint="default" w:ascii="Arial" w:hAnsi="Arial"/>
        <w:b/>
        <w:i w:val="0"/>
        <w:sz w:val="22"/>
      </w:rPr>
    </w:lvl>
    <w:lvl w:ilvl="1" w:tplc="160621E8">
      <w:start w:val="1"/>
      <w:numFmt w:val="decimal"/>
      <w:isLgl/>
      <w:lvlText w:val="%1.%2."/>
      <w:lvlJc w:val="left"/>
      <w:pPr>
        <w:ind w:left="792" w:hanging="432"/>
      </w:pPr>
      <w:rPr>
        <w:rFonts w:hint="default"/>
        <w:b w:val="0"/>
        <w:i w:val="0"/>
        <w:sz w:val="22"/>
      </w:rPr>
    </w:lvl>
    <w:lvl w:ilvl="2" w:tplc="0784D046">
      <w:start w:val="1"/>
      <w:numFmt w:val="decimal"/>
      <w:lvlText w:val="%1.%2.%3."/>
      <w:lvlJc w:val="left"/>
      <w:pPr>
        <w:ind w:left="1224" w:hanging="504"/>
      </w:pPr>
      <w:rPr>
        <w:rFonts w:hint="default"/>
      </w:rPr>
    </w:lvl>
    <w:lvl w:ilvl="3" w:tplc="C65A139C">
      <w:start w:val="1"/>
      <w:numFmt w:val="decimal"/>
      <w:lvlText w:val="%1.%2.%3.%4."/>
      <w:lvlJc w:val="left"/>
      <w:pPr>
        <w:ind w:left="1728" w:hanging="648"/>
      </w:pPr>
      <w:rPr>
        <w:rFonts w:hint="default"/>
      </w:rPr>
    </w:lvl>
    <w:lvl w:ilvl="4" w:tplc="C002C112">
      <w:start w:val="1"/>
      <w:numFmt w:val="decimal"/>
      <w:lvlText w:val="%1.%2.%3.%4.%5."/>
      <w:lvlJc w:val="left"/>
      <w:pPr>
        <w:ind w:left="2232" w:hanging="792"/>
      </w:pPr>
      <w:rPr>
        <w:rFonts w:hint="default"/>
      </w:rPr>
    </w:lvl>
    <w:lvl w:ilvl="5" w:tplc="5E9AA9D4">
      <w:start w:val="1"/>
      <w:numFmt w:val="decimal"/>
      <w:lvlText w:val="%1.%2.%3.%4.%5.%6."/>
      <w:lvlJc w:val="left"/>
      <w:pPr>
        <w:ind w:left="2736" w:hanging="936"/>
      </w:pPr>
      <w:rPr>
        <w:rFonts w:hint="default"/>
      </w:rPr>
    </w:lvl>
    <w:lvl w:ilvl="6" w:tplc="D56E9A44">
      <w:start w:val="1"/>
      <w:numFmt w:val="decimal"/>
      <w:lvlText w:val="%1.%2.%3.%4.%5.%6.%7."/>
      <w:lvlJc w:val="left"/>
      <w:pPr>
        <w:ind w:left="3240" w:hanging="1080"/>
      </w:pPr>
      <w:rPr>
        <w:rFonts w:hint="default"/>
      </w:rPr>
    </w:lvl>
    <w:lvl w:ilvl="7" w:tplc="9DE6021C">
      <w:start w:val="1"/>
      <w:numFmt w:val="decimal"/>
      <w:lvlText w:val="%1.%2.%3.%4.%5.%6.%7.%8."/>
      <w:lvlJc w:val="left"/>
      <w:pPr>
        <w:ind w:left="3744" w:hanging="1224"/>
      </w:pPr>
      <w:rPr>
        <w:rFonts w:hint="default"/>
      </w:rPr>
    </w:lvl>
    <w:lvl w:ilvl="8" w:tplc="628C2B2C">
      <w:start w:val="1"/>
      <w:numFmt w:val="decimal"/>
      <w:lvlText w:val="%1.%2.%3.%4.%5.%6.%7.%8.%9."/>
      <w:lvlJc w:val="left"/>
      <w:pPr>
        <w:ind w:left="4320" w:hanging="1440"/>
      </w:pPr>
      <w:rPr>
        <w:rFonts w:hint="default"/>
      </w:rPr>
    </w:lvl>
  </w:abstractNum>
  <w:abstractNum w:abstractNumId="23">
    <w:nsid w:val="7F5C51C3"/>
    <w:multiLevelType w:val="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15"/>
  </w:num>
  <w:num w:numId="4">
    <w:abstractNumId w:val="23"/>
  </w:num>
  <w:num w:numId="5">
    <w:abstractNumId w:val="22"/>
  </w:num>
  <w:num w:numId="6">
    <w:abstractNumId w:val="3"/>
  </w:num>
  <w:num w:numId="7">
    <w:abstractNumId w:val="5"/>
  </w:num>
  <w:num w:numId="8">
    <w:abstractNumId w:val="8"/>
  </w:num>
  <w:num w:numId="9">
    <w:abstractNumId w:val="18"/>
  </w:num>
  <w:num w:numId="10">
    <w:abstractNumId w:val="19"/>
  </w:num>
  <w:num w:numId="11">
    <w:abstractNumId w:val="1"/>
  </w:num>
  <w:num w:numId="12">
    <w:abstractNumId w:val="7"/>
  </w:num>
  <w:num w:numId="13">
    <w:abstractNumId w:val="10"/>
  </w:num>
  <w:num w:numId="14">
    <w:abstractNumId w:val="4"/>
  </w:num>
  <w:num w:numId="15">
    <w:abstractNumId w:val="13"/>
  </w:num>
  <w:num w:numId="16">
    <w:abstractNumId w:val="21"/>
  </w:num>
  <w:num w:numId="17">
    <w:abstractNumId w:val="16"/>
  </w:num>
  <w:num w:numId="18">
    <w:abstractNumId w:val="12"/>
  </w:num>
  <w:num w:numId="19">
    <w:abstractNumId w:val="11"/>
  </w:num>
  <w:num w:numId="20">
    <w:abstractNumId w:val="0"/>
  </w:num>
  <w:num w:numId="21">
    <w:abstractNumId w:val="6"/>
  </w:num>
  <w:num w:numId="22">
    <w:abstractNumId w:val="2"/>
  </w:num>
  <w:num w:numId="23">
    <w:abstractNumId w:val="20"/>
  </w:num>
  <w:num w:numId="24">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017F"/>
    <w:rsid w:val="00011BF1"/>
    <w:rsid w:val="00012250"/>
    <w:rsid w:val="000147E3"/>
    <w:rsid w:val="00017B41"/>
    <w:rsid w:val="0002074F"/>
    <w:rsid w:val="00020F72"/>
    <w:rsid w:val="0002104E"/>
    <w:rsid w:val="000269F9"/>
    <w:rsid w:val="00031562"/>
    <w:rsid w:val="00033CFE"/>
    <w:rsid w:val="00041E0C"/>
    <w:rsid w:val="0004502C"/>
    <w:rsid w:val="0005479E"/>
    <w:rsid w:val="00060E40"/>
    <w:rsid w:val="00063474"/>
    <w:rsid w:val="00063E51"/>
    <w:rsid w:val="00065D4D"/>
    <w:rsid w:val="0006695D"/>
    <w:rsid w:val="0007013F"/>
    <w:rsid w:val="000833B7"/>
    <w:rsid w:val="00084849"/>
    <w:rsid w:val="00086CFF"/>
    <w:rsid w:val="000A4FCC"/>
    <w:rsid w:val="000A578E"/>
    <w:rsid w:val="000A5A39"/>
    <w:rsid w:val="000B5AFD"/>
    <w:rsid w:val="000B71D9"/>
    <w:rsid w:val="000C4FBD"/>
    <w:rsid w:val="000C579D"/>
    <w:rsid w:val="000D21DC"/>
    <w:rsid w:val="000E0C3E"/>
    <w:rsid w:val="000E7D5D"/>
    <w:rsid w:val="000F39D2"/>
    <w:rsid w:val="000F6D52"/>
    <w:rsid w:val="000F744C"/>
    <w:rsid w:val="00102DAE"/>
    <w:rsid w:val="00102F93"/>
    <w:rsid w:val="001034BB"/>
    <w:rsid w:val="00111A8C"/>
    <w:rsid w:val="001127C3"/>
    <w:rsid w:val="001129A4"/>
    <w:rsid w:val="00121691"/>
    <w:rsid w:val="00124040"/>
    <w:rsid w:val="00124DA9"/>
    <w:rsid w:val="001316E2"/>
    <w:rsid w:val="00146B4F"/>
    <w:rsid w:val="001508F1"/>
    <w:rsid w:val="00157483"/>
    <w:rsid w:val="00160ED9"/>
    <w:rsid w:val="00165141"/>
    <w:rsid w:val="001667DA"/>
    <w:rsid w:val="001718A7"/>
    <w:rsid w:val="0017216B"/>
    <w:rsid w:val="0018575B"/>
    <w:rsid w:val="001906C1"/>
    <w:rsid w:val="00197FE8"/>
    <w:rsid w:val="001A6ADD"/>
    <w:rsid w:val="001B4D23"/>
    <w:rsid w:val="001B5D90"/>
    <w:rsid w:val="001C18FD"/>
    <w:rsid w:val="001C3E00"/>
    <w:rsid w:val="001C6C02"/>
    <w:rsid w:val="001D1B01"/>
    <w:rsid w:val="001D2EF2"/>
    <w:rsid w:val="001D3003"/>
    <w:rsid w:val="001D3ECA"/>
    <w:rsid w:val="001E3ED0"/>
    <w:rsid w:val="001E7C65"/>
    <w:rsid w:val="001F1ECA"/>
    <w:rsid w:val="001F31FA"/>
    <w:rsid w:val="001F41E2"/>
    <w:rsid w:val="001F6F0D"/>
    <w:rsid w:val="001F7559"/>
    <w:rsid w:val="00201234"/>
    <w:rsid w:val="00210317"/>
    <w:rsid w:val="002107CC"/>
    <w:rsid w:val="0021470C"/>
    <w:rsid w:val="00214DA3"/>
    <w:rsid w:val="0022369E"/>
    <w:rsid w:val="00225B5A"/>
    <w:rsid w:val="0022634B"/>
    <w:rsid w:val="00226465"/>
    <w:rsid w:val="00231773"/>
    <w:rsid w:val="0023302F"/>
    <w:rsid w:val="00234337"/>
    <w:rsid w:val="002349EE"/>
    <w:rsid w:val="002358DB"/>
    <w:rsid w:val="00236249"/>
    <w:rsid w:val="00240337"/>
    <w:rsid w:val="00242B0C"/>
    <w:rsid w:val="00244170"/>
    <w:rsid w:val="00244A9D"/>
    <w:rsid w:val="00250668"/>
    <w:rsid w:val="00252082"/>
    <w:rsid w:val="00253BB0"/>
    <w:rsid w:val="00257BDD"/>
    <w:rsid w:val="00262A68"/>
    <w:rsid w:val="002658B3"/>
    <w:rsid w:val="00267244"/>
    <w:rsid w:val="00267D1B"/>
    <w:rsid w:val="00270E14"/>
    <w:rsid w:val="00270E92"/>
    <w:rsid w:val="0027764B"/>
    <w:rsid w:val="0028127C"/>
    <w:rsid w:val="0028247E"/>
    <w:rsid w:val="00283316"/>
    <w:rsid w:val="002959D8"/>
    <w:rsid w:val="002C26B5"/>
    <w:rsid w:val="002C37CE"/>
    <w:rsid w:val="002D1979"/>
    <w:rsid w:val="002D387E"/>
    <w:rsid w:val="002D4B50"/>
    <w:rsid w:val="002D6E4B"/>
    <w:rsid w:val="002D7FB5"/>
    <w:rsid w:val="002E65F5"/>
    <w:rsid w:val="002F0F2E"/>
    <w:rsid w:val="002F23D8"/>
    <w:rsid w:val="002F274E"/>
    <w:rsid w:val="002F77BA"/>
    <w:rsid w:val="00302426"/>
    <w:rsid w:val="00305924"/>
    <w:rsid w:val="00307200"/>
    <w:rsid w:val="00320032"/>
    <w:rsid w:val="00334783"/>
    <w:rsid w:val="00335B4C"/>
    <w:rsid w:val="00340BC1"/>
    <w:rsid w:val="003415D8"/>
    <w:rsid w:val="00341ED2"/>
    <w:rsid w:val="00346E79"/>
    <w:rsid w:val="003473BD"/>
    <w:rsid w:val="00353069"/>
    <w:rsid w:val="0035426F"/>
    <w:rsid w:val="0035521C"/>
    <w:rsid w:val="003622D9"/>
    <w:rsid w:val="00364A0B"/>
    <w:rsid w:val="00367E4F"/>
    <w:rsid w:val="00376D05"/>
    <w:rsid w:val="003836F5"/>
    <w:rsid w:val="003842FC"/>
    <w:rsid w:val="003903CC"/>
    <w:rsid w:val="003934DF"/>
    <w:rsid w:val="00395931"/>
    <w:rsid w:val="00395A99"/>
    <w:rsid w:val="003B2D4D"/>
    <w:rsid w:val="003C2106"/>
    <w:rsid w:val="003C3DB3"/>
    <w:rsid w:val="003C5DA6"/>
    <w:rsid w:val="003D2892"/>
    <w:rsid w:val="003D609D"/>
    <w:rsid w:val="003D63A0"/>
    <w:rsid w:val="003D76EB"/>
    <w:rsid w:val="003D7830"/>
    <w:rsid w:val="003F272C"/>
    <w:rsid w:val="00403D49"/>
    <w:rsid w:val="00404652"/>
    <w:rsid w:val="004137C4"/>
    <w:rsid w:val="00416432"/>
    <w:rsid w:val="00417FB9"/>
    <w:rsid w:val="00423F56"/>
    <w:rsid w:val="00425430"/>
    <w:rsid w:val="00426219"/>
    <w:rsid w:val="004311D4"/>
    <w:rsid w:val="00431EE3"/>
    <w:rsid w:val="00432C3D"/>
    <w:rsid w:val="00433246"/>
    <w:rsid w:val="00434698"/>
    <w:rsid w:val="0044236D"/>
    <w:rsid w:val="004428AC"/>
    <w:rsid w:val="0044309B"/>
    <w:rsid w:val="00447A73"/>
    <w:rsid w:val="00451C1B"/>
    <w:rsid w:val="00453E1D"/>
    <w:rsid w:val="00454218"/>
    <w:rsid w:val="00455B4E"/>
    <w:rsid w:val="00466C7E"/>
    <w:rsid w:val="00470DEE"/>
    <w:rsid w:val="00472C12"/>
    <w:rsid w:val="00474706"/>
    <w:rsid w:val="00482240"/>
    <w:rsid w:val="00482340"/>
    <w:rsid w:val="00483C3C"/>
    <w:rsid w:val="00491EEC"/>
    <w:rsid w:val="00494731"/>
    <w:rsid w:val="00497C89"/>
    <w:rsid w:val="004A0A91"/>
    <w:rsid w:val="004B657E"/>
    <w:rsid w:val="004C0628"/>
    <w:rsid w:val="004C6890"/>
    <w:rsid w:val="004D3346"/>
    <w:rsid w:val="004D5823"/>
    <w:rsid w:val="004D7049"/>
    <w:rsid w:val="004E22C5"/>
    <w:rsid w:val="004F11BE"/>
    <w:rsid w:val="004F361C"/>
    <w:rsid w:val="004F386F"/>
    <w:rsid w:val="004F5F46"/>
    <w:rsid w:val="004F7E01"/>
    <w:rsid w:val="0050104A"/>
    <w:rsid w:val="00503285"/>
    <w:rsid w:val="00510DB8"/>
    <w:rsid w:val="00512024"/>
    <w:rsid w:val="005121F3"/>
    <w:rsid w:val="00520594"/>
    <w:rsid w:val="00520F58"/>
    <w:rsid w:val="00523F0B"/>
    <w:rsid w:val="00531E51"/>
    <w:rsid w:val="005337AC"/>
    <w:rsid w:val="00534ED1"/>
    <w:rsid w:val="00535447"/>
    <w:rsid w:val="005364CE"/>
    <w:rsid w:val="00541471"/>
    <w:rsid w:val="00543D1B"/>
    <w:rsid w:val="00544613"/>
    <w:rsid w:val="005503F6"/>
    <w:rsid w:val="0055206F"/>
    <w:rsid w:val="00560C70"/>
    <w:rsid w:val="00561BFE"/>
    <w:rsid w:val="00567CC8"/>
    <w:rsid w:val="00576D5F"/>
    <w:rsid w:val="0058137A"/>
    <w:rsid w:val="005833C9"/>
    <w:rsid w:val="0059194E"/>
    <w:rsid w:val="005A1056"/>
    <w:rsid w:val="005A457D"/>
    <w:rsid w:val="005A59EB"/>
    <w:rsid w:val="005B5A19"/>
    <w:rsid w:val="005C1419"/>
    <w:rsid w:val="005C3928"/>
    <w:rsid w:val="005D330B"/>
    <w:rsid w:val="005E0EE4"/>
    <w:rsid w:val="005E71DB"/>
    <w:rsid w:val="005F1662"/>
    <w:rsid w:val="005F26A1"/>
    <w:rsid w:val="0060089A"/>
    <w:rsid w:val="006060EC"/>
    <w:rsid w:val="00607C68"/>
    <w:rsid w:val="006113E5"/>
    <w:rsid w:val="00620B53"/>
    <w:rsid w:val="0062725A"/>
    <w:rsid w:val="006336A7"/>
    <w:rsid w:val="006339EC"/>
    <w:rsid w:val="006360F8"/>
    <w:rsid w:val="00641ED4"/>
    <w:rsid w:val="0064318C"/>
    <w:rsid w:val="00646B82"/>
    <w:rsid w:val="006474F4"/>
    <w:rsid w:val="00664574"/>
    <w:rsid w:val="00670648"/>
    <w:rsid w:val="00673BF3"/>
    <w:rsid w:val="00675E7A"/>
    <w:rsid w:val="00680FD9"/>
    <w:rsid w:val="00682309"/>
    <w:rsid w:val="006824BB"/>
    <w:rsid w:val="0068269E"/>
    <w:rsid w:val="00690EEA"/>
    <w:rsid w:val="00693225"/>
    <w:rsid w:val="00695166"/>
    <w:rsid w:val="006A1798"/>
    <w:rsid w:val="006A4ECB"/>
    <w:rsid w:val="006B0D3A"/>
    <w:rsid w:val="006C6AC8"/>
    <w:rsid w:val="006D337F"/>
    <w:rsid w:val="006D573A"/>
    <w:rsid w:val="006D7064"/>
    <w:rsid w:val="006E6E0F"/>
    <w:rsid w:val="006F2057"/>
    <w:rsid w:val="007001C8"/>
    <w:rsid w:val="00702A56"/>
    <w:rsid w:val="00710105"/>
    <w:rsid w:val="00713C82"/>
    <w:rsid w:val="00721922"/>
    <w:rsid w:val="00721A0D"/>
    <w:rsid w:val="00723E19"/>
    <w:rsid w:val="0072468F"/>
    <w:rsid w:val="007256CA"/>
    <w:rsid w:val="00725899"/>
    <w:rsid w:val="007262F2"/>
    <w:rsid w:val="007363A8"/>
    <w:rsid w:val="00745FE0"/>
    <w:rsid w:val="00746260"/>
    <w:rsid w:val="007507AF"/>
    <w:rsid w:val="007530CD"/>
    <w:rsid w:val="007563B0"/>
    <w:rsid w:val="007721C1"/>
    <w:rsid w:val="007869F4"/>
    <w:rsid w:val="00786F12"/>
    <w:rsid w:val="0079003E"/>
    <w:rsid w:val="00795776"/>
    <w:rsid w:val="007B0420"/>
    <w:rsid w:val="007B500B"/>
    <w:rsid w:val="007B6B61"/>
    <w:rsid w:val="007C3374"/>
    <w:rsid w:val="007C5F74"/>
    <w:rsid w:val="007D229E"/>
    <w:rsid w:val="007D3ADD"/>
    <w:rsid w:val="007E2785"/>
    <w:rsid w:val="007E6EB7"/>
    <w:rsid w:val="007F1478"/>
    <w:rsid w:val="00801D9C"/>
    <w:rsid w:val="008052A0"/>
    <w:rsid w:val="00807C07"/>
    <w:rsid w:val="00810075"/>
    <w:rsid w:val="00825F8B"/>
    <w:rsid w:val="00830D70"/>
    <w:rsid w:val="008372C2"/>
    <w:rsid w:val="00840F09"/>
    <w:rsid w:val="00841608"/>
    <w:rsid w:val="008419A0"/>
    <w:rsid w:val="00844C94"/>
    <w:rsid w:val="008479C4"/>
    <w:rsid w:val="00851FCB"/>
    <w:rsid w:val="0085412F"/>
    <w:rsid w:val="00855325"/>
    <w:rsid w:val="008564AD"/>
    <w:rsid w:val="00862689"/>
    <w:rsid w:val="00865A6F"/>
    <w:rsid w:val="0087190C"/>
    <w:rsid w:val="008739E3"/>
    <w:rsid w:val="008813B9"/>
    <w:rsid w:val="008902BA"/>
    <w:rsid w:val="008942E1"/>
    <w:rsid w:val="00896FF1"/>
    <w:rsid w:val="008A4FB3"/>
    <w:rsid w:val="008B0EA0"/>
    <w:rsid w:val="008B33F9"/>
    <w:rsid w:val="008B3C6A"/>
    <w:rsid w:val="008C3F58"/>
    <w:rsid w:val="008C4945"/>
    <w:rsid w:val="008D2CC3"/>
    <w:rsid w:val="008D525D"/>
    <w:rsid w:val="008E18B9"/>
    <w:rsid w:val="008E693A"/>
    <w:rsid w:val="00900AD1"/>
    <w:rsid w:val="009011A8"/>
    <w:rsid w:val="0091000E"/>
    <w:rsid w:val="00915206"/>
    <w:rsid w:val="0091715B"/>
    <w:rsid w:val="0092554B"/>
    <w:rsid w:val="00925C27"/>
    <w:rsid w:val="00930A8F"/>
    <w:rsid w:val="009332E2"/>
    <w:rsid w:val="00933A84"/>
    <w:rsid w:val="0093554E"/>
    <w:rsid w:val="00943C1A"/>
    <w:rsid w:val="009454A3"/>
    <w:rsid w:val="009470CD"/>
    <w:rsid w:val="0095122E"/>
    <w:rsid w:val="00953879"/>
    <w:rsid w:val="00955553"/>
    <w:rsid w:val="0095711B"/>
    <w:rsid w:val="00962C68"/>
    <w:rsid w:val="00970799"/>
    <w:rsid w:val="009716BD"/>
    <w:rsid w:val="00994B24"/>
    <w:rsid w:val="009A1D7A"/>
    <w:rsid w:val="009A2D1B"/>
    <w:rsid w:val="009A4821"/>
    <w:rsid w:val="009B767C"/>
    <w:rsid w:val="009C0286"/>
    <w:rsid w:val="009C5C06"/>
    <w:rsid w:val="009C61C4"/>
    <w:rsid w:val="009D73A8"/>
    <w:rsid w:val="009D759E"/>
    <w:rsid w:val="009E1945"/>
    <w:rsid w:val="009E60CE"/>
    <w:rsid w:val="009E6360"/>
    <w:rsid w:val="009F1441"/>
    <w:rsid w:val="009F33FF"/>
    <w:rsid w:val="009F3CA2"/>
    <w:rsid w:val="009F705D"/>
    <w:rsid w:val="00A0625F"/>
    <w:rsid w:val="00A067E6"/>
    <w:rsid w:val="00A07A17"/>
    <w:rsid w:val="00A07BE2"/>
    <w:rsid w:val="00A10CD5"/>
    <w:rsid w:val="00A12C27"/>
    <w:rsid w:val="00A13EE1"/>
    <w:rsid w:val="00A20379"/>
    <w:rsid w:val="00A2474F"/>
    <w:rsid w:val="00A27CFE"/>
    <w:rsid w:val="00A3058E"/>
    <w:rsid w:val="00A31520"/>
    <w:rsid w:val="00A33C43"/>
    <w:rsid w:val="00A357F7"/>
    <w:rsid w:val="00A3678C"/>
    <w:rsid w:val="00A37C9C"/>
    <w:rsid w:val="00A406D0"/>
    <w:rsid w:val="00A44480"/>
    <w:rsid w:val="00A530F6"/>
    <w:rsid w:val="00A535C3"/>
    <w:rsid w:val="00A54370"/>
    <w:rsid w:val="00A57185"/>
    <w:rsid w:val="00A57E42"/>
    <w:rsid w:val="00A71A87"/>
    <w:rsid w:val="00A773E8"/>
    <w:rsid w:val="00A801C2"/>
    <w:rsid w:val="00A8191A"/>
    <w:rsid w:val="00A8462C"/>
    <w:rsid w:val="00A876E7"/>
    <w:rsid w:val="00A944F8"/>
    <w:rsid w:val="00A96B58"/>
    <w:rsid w:val="00AB17F8"/>
    <w:rsid w:val="00AC07CF"/>
    <w:rsid w:val="00AC081B"/>
    <w:rsid w:val="00AC75B9"/>
    <w:rsid w:val="00AC7C95"/>
    <w:rsid w:val="00AD15DC"/>
    <w:rsid w:val="00AD26EF"/>
    <w:rsid w:val="00AD3653"/>
    <w:rsid w:val="00AD3845"/>
    <w:rsid w:val="00AE3D46"/>
    <w:rsid w:val="00AE7E51"/>
    <w:rsid w:val="00AF2F55"/>
    <w:rsid w:val="00AF4F02"/>
    <w:rsid w:val="00AF597D"/>
    <w:rsid w:val="00AF5C75"/>
    <w:rsid w:val="00B00FD6"/>
    <w:rsid w:val="00B02658"/>
    <w:rsid w:val="00B03E1E"/>
    <w:rsid w:val="00B07D92"/>
    <w:rsid w:val="00B1113D"/>
    <w:rsid w:val="00B13125"/>
    <w:rsid w:val="00B15326"/>
    <w:rsid w:val="00B227B9"/>
    <w:rsid w:val="00B24731"/>
    <w:rsid w:val="00B253DA"/>
    <w:rsid w:val="00B307EC"/>
    <w:rsid w:val="00B31B0F"/>
    <w:rsid w:val="00B347ED"/>
    <w:rsid w:val="00B5304C"/>
    <w:rsid w:val="00B60C91"/>
    <w:rsid w:val="00B62107"/>
    <w:rsid w:val="00B65DBF"/>
    <w:rsid w:val="00B811D8"/>
    <w:rsid w:val="00B83CCE"/>
    <w:rsid w:val="00BB2778"/>
    <w:rsid w:val="00BB5BAB"/>
    <w:rsid w:val="00BB612A"/>
    <w:rsid w:val="00BC7F01"/>
    <w:rsid w:val="00BE2B50"/>
    <w:rsid w:val="00BE6ADE"/>
    <w:rsid w:val="00BE7549"/>
    <w:rsid w:val="00BF5BFC"/>
    <w:rsid w:val="00C1501F"/>
    <w:rsid w:val="00C20E5F"/>
    <w:rsid w:val="00C2547F"/>
    <w:rsid w:val="00C273A2"/>
    <w:rsid w:val="00C31ACD"/>
    <w:rsid w:val="00C3492D"/>
    <w:rsid w:val="00C369B8"/>
    <w:rsid w:val="00C4070C"/>
    <w:rsid w:val="00C43E24"/>
    <w:rsid w:val="00C44C30"/>
    <w:rsid w:val="00C51AE8"/>
    <w:rsid w:val="00C527D0"/>
    <w:rsid w:val="00C571D0"/>
    <w:rsid w:val="00C5730B"/>
    <w:rsid w:val="00C662E0"/>
    <w:rsid w:val="00C70AB0"/>
    <w:rsid w:val="00C70BF7"/>
    <w:rsid w:val="00C70C8B"/>
    <w:rsid w:val="00C745F8"/>
    <w:rsid w:val="00C74904"/>
    <w:rsid w:val="00C84B55"/>
    <w:rsid w:val="00C90E25"/>
    <w:rsid w:val="00C91583"/>
    <w:rsid w:val="00C933F0"/>
    <w:rsid w:val="00C964E3"/>
    <w:rsid w:val="00CB32B1"/>
    <w:rsid w:val="00CB5AD1"/>
    <w:rsid w:val="00CC4CF8"/>
    <w:rsid w:val="00CC610D"/>
    <w:rsid w:val="00CD109E"/>
    <w:rsid w:val="00CD5B96"/>
    <w:rsid w:val="00CE22DE"/>
    <w:rsid w:val="00CE3E03"/>
    <w:rsid w:val="00CE7C16"/>
    <w:rsid w:val="00CF2016"/>
    <w:rsid w:val="00D01324"/>
    <w:rsid w:val="00D02F2B"/>
    <w:rsid w:val="00D07EB4"/>
    <w:rsid w:val="00D200F9"/>
    <w:rsid w:val="00D214BA"/>
    <w:rsid w:val="00D2491C"/>
    <w:rsid w:val="00D3300A"/>
    <w:rsid w:val="00D34D8C"/>
    <w:rsid w:val="00D46764"/>
    <w:rsid w:val="00D547E4"/>
    <w:rsid w:val="00D55EA9"/>
    <w:rsid w:val="00D61760"/>
    <w:rsid w:val="00D83255"/>
    <w:rsid w:val="00D84B54"/>
    <w:rsid w:val="00D902D6"/>
    <w:rsid w:val="00D95606"/>
    <w:rsid w:val="00D97AB2"/>
    <w:rsid w:val="00DC14B1"/>
    <w:rsid w:val="00DC1E68"/>
    <w:rsid w:val="00DC22A6"/>
    <w:rsid w:val="00DC5688"/>
    <w:rsid w:val="00DC7BD1"/>
    <w:rsid w:val="00DD3115"/>
    <w:rsid w:val="00DD3E01"/>
    <w:rsid w:val="00DE2731"/>
    <w:rsid w:val="00DF475D"/>
    <w:rsid w:val="00DF58D6"/>
    <w:rsid w:val="00DF650E"/>
    <w:rsid w:val="00E15CC5"/>
    <w:rsid w:val="00E15E1F"/>
    <w:rsid w:val="00E165B8"/>
    <w:rsid w:val="00E16AF9"/>
    <w:rsid w:val="00E20EBD"/>
    <w:rsid w:val="00E22277"/>
    <w:rsid w:val="00E25E08"/>
    <w:rsid w:val="00E31AEC"/>
    <w:rsid w:val="00E40812"/>
    <w:rsid w:val="00E40AE6"/>
    <w:rsid w:val="00E47CA9"/>
    <w:rsid w:val="00E509F7"/>
    <w:rsid w:val="00E52408"/>
    <w:rsid w:val="00E5259A"/>
    <w:rsid w:val="00E65098"/>
    <w:rsid w:val="00E65A5B"/>
    <w:rsid w:val="00E6675A"/>
    <w:rsid w:val="00E702E9"/>
    <w:rsid w:val="00E748C3"/>
    <w:rsid w:val="00E74D1B"/>
    <w:rsid w:val="00E75CB3"/>
    <w:rsid w:val="00E770AA"/>
    <w:rsid w:val="00E81200"/>
    <w:rsid w:val="00E82ADA"/>
    <w:rsid w:val="00E854C9"/>
    <w:rsid w:val="00E8560F"/>
    <w:rsid w:val="00E85797"/>
    <w:rsid w:val="00E909E2"/>
    <w:rsid w:val="00E93186"/>
    <w:rsid w:val="00E944F3"/>
    <w:rsid w:val="00E9781B"/>
    <w:rsid w:val="00EA3919"/>
    <w:rsid w:val="00EB435F"/>
    <w:rsid w:val="00EB5DC4"/>
    <w:rsid w:val="00EC4075"/>
    <w:rsid w:val="00EC44A7"/>
    <w:rsid w:val="00EC6CAF"/>
    <w:rsid w:val="00EC7A27"/>
    <w:rsid w:val="00ED01FA"/>
    <w:rsid w:val="00ED0C09"/>
    <w:rsid w:val="00ED1AE5"/>
    <w:rsid w:val="00ED361D"/>
    <w:rsid w:val="00ED3650"/>
    <w:rsid w:val="00ED4732"/>
    <w:rsid w:val="00ED70D1"/>
    <w:rsid w:val="00EE0122"/>
    <w:rsid w:val="00EE09DF"/>
    <w:rsid w:val="00EE0BAD"/>
    <w:rsid w:val="00EE1DDF"/>
    <w:rsid w:val="00EE46A3"/>
    <w:rsid w:val="00EE7001"/>
    <w:rsid w:val="00EF14E1"/>
    <w:rsid w:val="00EF384A"/>
    <w:rsid w:val="00EF41CE"/>
    <w:rsid w:val="00EF427E"/>
    <w:rsid w:val="00EF5138"/>
    <w:rsid w:val="00F01608"/>
    <w:rsid w:val="00F07D54"/>
    <w:rsid w:val="00F10618"/>
    <w:rsid w:val="00F163D4"/>
    <w:rsid w:val="00F16677"/>
    <w:rsid w:val="00F248D7"/>
    <w:rsid w:val="00F25AC2"/>
    <w:rsid w:val="00F37255"/>
    <w:rsid w:val="00F40909"/>
    <w:rsid w:val="00F433AF"/>
    <w:rsid w:val="00F455F8"/>
    <w:rsid w:val="00F45E82"/>
    <w:rsid w:val="00F547F8"/>
    <w:rsid w:val="00F569BD"/>
    <w:rsid w:val="00F6363D"/>
    <w:rsid w:val="00F70187"/>
    <w:rsid w:val="00F72899"/>
    <w:rsid w:val="00F7391D"/>
    <w:rsid w:val="00F845EB"/>
    <w:rsid w:val="00FA40C9"/>
    <w:rsid w:val="00FB36ED"/>
    <w:rsid w:val="00FC17E2"/>
    <w:rsid w:val="00FE1499"/>
    <w:rsid w:val="00FE1A54"/>
    <w:rsid w:val="00FE2CE6"/>
    <w:rsid w:val="00FE43C7"/>
    <w:rsid w:val="00FE5EF9"/>
    <w:rsid w:val="00FE6607"/>
    <w:rsid w:val="00FF0E64"/>
    <w:rsid w:val="00FF1250"/>
    <w:rsid w:val="00FF1EE7"/>
    <w:rsid w:val="00FF5A10"/>
    <w:rsid w:val="00FF7561"/>
    <w:rsid w:val="06F0528E"/>
    <w:rsid w:val="078BE323"/>
    <w:rsid w:val="07D7A1E9"/>
    <w:rsid w:val="08C3BA5D"/>
    <w:rsid w:val="0A82B042"/>
    <w:rsid w:val="0BD2B642"/>
    <w:rsid w:val="0D0916D4"/>
    <w:rsid w:val="0D3C6B4B"/>
    <w:rsid w:val="0F0435C9"/>
    <w:rsid w:val="0FBA85EA"/>
    <w:rsid w:val="11E37C80"/>
    <w:rsid w:val="19159879"/>
    <w:rsid w:val="1BAF1310"/>
    <w:rsid w:val="1BDA7EB7"/>
    <w:rsid w:val="1C398B54"/>
    <w:rsid w:val="20556B04"/>
    <w:rsid w:val="2298E280"/>
    <w:rsid w:val="23E0EF42"/>
    <w:rsid w:val="262E1E12"/>
    <w:rsid w:val="26B9D784"/>
    <w:rsid w:val="27DF31B5"/>
    <w:rsid w:val="294A9F20"/>
    <w:rsid w:val="2B026BF9"/>
    <w:rsid w:val="2B4284D0"/>
    <w:rsid w:val="2E2C6FC7"/>
    <w:rsid w:val="2ED2E323"/>
    <w:rsid w:val="329E689A"/>
    <w:rsid w:val="3725E961"/>
    <w:rsid w:val="37C36AFA"/>
    <w:rsid w:val="384AE889"/>
    <w:rsid w:val="3A2A83B4"/>
    <w:rsid w:val="3A57FB9E"/>
    <w:rsid w:val="3F43E51A"/>
    <w:rsid w:val="4252552F"/>
    <w:rsid w:val="437F9549"/>
    <w:rsid w:val="44B70FDB"/>
    <w:rsid w:val="49898682"/>
    <w:rsid w:val="4D561B42"/>
    <w:rsid w:val="50DE8CFA"/>
    <w:rsid w:val="50FF7071"/>
    <w:rsid w:val="52C2ED10"/>
    <w:rsid w:val="54260729"/>
    <w:rsid w:val="62BED933"/>
    <w:rsid w:val="654A1C9E"/>
    <w:rsid w:val="66A4D4B0"/>
    <w:rsid w:val="6EB45E53"/>
    <w:rsid w:val="6F45F117"/>
    <w:rsid w:val="700985A5"/>
    <w:rsid w:val="712584EA"/>
    <w:rsid w:val="7368799B"/>
    <w:rsid w:val="73D5AFF6"/>
    <w:rsid w:val="79F4F1DA"/>
    <w:rsid w:val="7B1758E7"/>
    <w:rsid w:val="7C72FA14"/>
    <w:rsid w:val="7D29E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2C26B5"/>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C26B5"/>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C26B5"/>
    <w:pPr>
      <w:keepNext/>
      <w:keepLines/>
      <w:spacing w:before="40" w:after="0"/>
      <w:outlineLvl w:val="2"/>
    </w:pPr>
    <w:rPr>
      <w:rFonts w:asciiTheme="majorHAnsi" w:hAnsiTheme="majorHAnsi" w:eastAsiaTheme="majorEastAsia"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C26B5"/>
    <w:pPr>
      <w:keepNext/>
      <w:keepLines/>
      <w:spacing w:before="40" w:after="0"/>
      <w:outlineLvl w:val="3"/>
    </w:pPr>
    <w:rPr>
      <w:rFonts w:asciiTheme="majorHAnsi" w:hAnsiTheme="majorHAnsi"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2C26B5"/>
    <w:pPr>
      <w:keepNext/>
      <w:keepLines/>
      <w:spacing w:before="40" w:after="0"/>
      <w:outlineLvl w:val="4"/>
    </w:pPr>
    <w:rPr>
      <w:rFonts w:asciiTheme="majorHAnsi" w:hAnsiTheme="majorHAnsi"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2C26B5"/>
    <w:pPr>
      <w:keepNext/>
      <w:keepLines/>
      <w:spacing w:before="40" w:after="0"/>
      <w:outlineLvl w:val="5"/>
    </w:pPr>
    <w:rPr>
      <w:rFonts w:asciiTheme="majorHAnsi" w:hAnsiTheme="majorHAnsi" w:eastAsiaTheme="majorEastAsia" w:cstheme="majorBidi"/>
      <w:color w:val="243F60" w:themeColor="accent1" w:themeShade="7F"/>
    </w:rPr>
  </w:style>
  <w:style w:type="paragraph" w:styleId="Heading7">
    <w:name w:val="heading 7"/>
    <w:basedOn w:val="Normal"/>
    <w:next w:val="Normal"/>
    <w:link w:val="Heading7Char"/>
    <w:uiPriority w:val="9"/>
    <w:semiHidden/>
    <w:unhideWhenUsed/>
    <w:qFormat/>
    <w:rsid w:val="002C26B5"/>
    <w:pPr>
      <w:keepNext/>
      <w:keepLines/>
      <w:spacing w:before="40" w:after="0"/>
      <w:outlineLvl w:val="6"/>
    </w:pPr>
    <w:rPr>
      <w:rFonts w:asciiTheme="majorHAnsi" w:hAnsiTheme="majorHAnsi" w:eastAsiaTheme="majorEastAsia" w:cstheme="majorBidi"/>
      <w:i/>
      <w:iCs/>
      <w:color w:val="243F60" w:themeColor="accent1" w:themeShade="7F"/>
    </w:rPr>
  </w:style>
  <w:style w:type="paragraph" w:styleId="Heading8">
    <w:name w:val="heading 8"/>
    <w:basedOn w:val="Normal"/>
    <w:next w:val="Normal"/>
    <w:link w:val="Heading8Char"/>
    <w:uiPriority w:val="9"/>
    <w:semiHidden/>
    <w:unhideWhenUsed/>
    <w:qFormat/>
    <w:rsid w:val="002C26B5"/>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C26B5"/>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paragraph" w:styleId="FootnoteText">
    <w:name w:val="footnote text"/>
    <w:basedOn w:val="Normal"/>
    <w:link w:val="FootnoteTextChar"/>
    <w:uiPriority w:val="99"/>
    <w:semiHidden/>
    <w:unhideWhenUsed/>
    <w:rsid w:val="00252082"/>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252082"/>
    <w:rPr>
      <w:sz w:val="20"/>
      <w:szCs w:val="20"/>
    </w:rPr>
  </w:style>
  <w:style w:type="character" w:styleId="FootnoteReference">
    <w:name w:val="footnote reference"/>
    <w:basedOn w:val="DefaultParagraphFont"/>
    <w:uiPriority w:val="99"/>
    <w:semiHidden/>
    <w:unhideWhenUsed/>
    <w:rsid w:val="00252082"/>
    <w:rPr>
      <w:vertAlign w:val="superscript"/>
    </w:rPr>
  </w:style>
  <w:style w:type="character" w:styleId="Hyperlink">
    <w:name w:val="Hyperlink"/>
    <w:basedOn w:val="DefaultParagraphFont"/>
    <w:uiPriority w:val="99"/>
    <w:unhideWhenUsed/>
    <w:rsid w:val="00252082"/>
    <w:rPr>
      <w:color w:val="0000FF" w:themeColor="hyperlink"/>
      <w:u w:val="single"/>
    </w:rPr>
  </w:style>
  <w:style w:type="character" w:styleId="Heading1Char" w:customStyle="1">
    <w:name w:val="Heading 1 Char"/>
    <w:basedOn w:val="DefaultParagraphFont"/>
    <w:link w:val="Heading1"/>
    <w:uiPriority w:val="9"/>
    <w:rsid w:val="002C26B5"/>
    <w:rPr>
      <w:rFonts w:asciiTheme="majorHAnsi" w:hAnsiTheme="majorHAnsi" w:eastAsiaTheme="majorEastAsia" w:cstheme="majorBidi"/>
      <w:color w:val="365F91" w:themeColor="accent1" w:themeShade="BF"/>
      <w:sz w:val="32"/>
      <w:szCs w:val="32"/>
    </w:rPr>
  </w:style>
  <w:style w:type="character" w:styleId="Heading2Char" w:customStyle="1">
    <w:name w:val="Heading 2 Char"/>
    <w:basedOn w:val="DefaultParagraphFont"/>
    <w:link w:val="Heading2"/>
    <w:uiPriority w:val="9"/>
    <w:rsid w:val="002C26B5"/>
    <w:rPr>
      <w:rFonts w:asciiTheme="majorHAnsi" w:hAnsiTheme="majorHAnsi" w:eastAsiaTheme="majorEastAsia" w:cstheme="majorBidi"/>
      <w:color w:val="365F91" w:themeColor="accent1" w:themeShade="BF"/>
      <w:sz w:val="26"/>
      <w:szCs w:val="26"/>
    </w:rPr>
  </w:style>
  <w:style w:type="character" w:styleId="Heading3Char" w:customStyle="1">
    <w:name w:val="Heading 3 Char"/>
    <w:basedOn w:val="DefaultParagraphFont"/>
    <w:link w:val="Heading3"/>
    <w:uiPriority w:val="9"/>
    <w:semiHidden/>
    <w:rsid w:val="002C26B5"/>
    <w:rPr>
      <w:rFonts w:asciiTheme="majorHAnsi" w:hAnsiTheme="majorHAnsi" w:eastAsiaTheme="majorEastAsia" w:cstheme="majorBidi"/>
      <w:color w:val="243F60" w:themeColor="accent1" w:themeShade="7F"/>
      <w:sz w:val="24"/>
      <w:szCs w:val="24"/>
    </w:rPr>
  </w:style>
  <w:style w:type="character" w:styleId="Heading4Char" w:customStyle="1">
    <w:name w:val="Heading 4 Char"/>
    <w:basedOn w:val="DefaultParagraphFont"/>
    <w:link w:val="Heading4"/>
    <w:uiPriority w:val="9"/>
    <w:semiHidden/>
    <w:rsid w:val="002C26B5"/>
    <w:rPr>
      <w:rFonts w:asciiTheme="majorHAnsi" w:hAnsiTheme="majorHAnsi" w:eastAsiaTheme="majorEastAsia" w:cstheme="majorBidi"/>
      <w:i/>
      <w:iCs/>
      <w:color w:val="365F91" w:themeColor="accent1" w:themeShade="BF"/>
    </w:rPr>
  </w:style>
  <w:style w:type="character" w:styleId="Heading5Char" w:customStyle="1">
    <w:name w:val="Heading 5 Char"/>
    <w:basedOn w:val="DefaultParagraphFont"/>
    <w:link w:val="Heading5"/>
    <w:uiPriority w:val="9"/>
    <w:semiHidden/>
    <w:rsid w:val="002C26B5"/>
    <w:rPr>
      <w:rFonts w:asciiTheme="majorHAnsi" w:hAnsiTheme="majorHAnsi" w:eastAsiaTheme="majorEastAsia" w:cstheme="majorBidi"/>
      <w:color w:val="365F91" w:themeColor="accent1" w:themeShade="BF"/>
    </w:rPr>
  </w:style>
  <w:style w:type="character" w:styleId="Heading6Char" w:customStyle="1">
    <w:name w:val="Heading 6 Char"/>
    <w:basedOn w:val="DefaultParagraphFont"/>
    <w:link w:val="Heading6"/>
    <w:uiPriority w:val="9"/>
    <w:semiHidden/>
    <w:rsid w:val="002C26B5"/>
    <w:rPr>
      <w:rFonts w:asciiTheme="majorHAnsi" w:hAnsiTheme="majorHAnsi" w:eastAsiaTheme="majorEastAsia" w:cstheme="majorBidi"/>
      <w:color w:val="243F60" w:themeColor="accent1" w:themeShade="7F"/>
    </w:rPr>
  </w:style>
  <w:style w:type="character" w:styleId="Heading7Char" w:customStyle="1">
    <w:name w:val="Heading 7 Char"/>
    <w:basedOn w:val="DefaultParagraphFont"/>
    <w:link w:val="Heading7"/>
    <w:uiPriority w:val="9"/>
    <w:semiHidden/>
    <w:rsid w:val="002C26B5"/>
    <w:rPr>
      <w:rFonts w:asciiTheme="majorHAnsi" w:hAnsiTheme="majorHAnsi" w:eastAsiaTheme="majorEastAsia" w:cstheme="majorBidi"/>
      <w:i/>
      <w:iCs/>
      <w:color w:val="243F60" w:themeColor="accent1" w:themeShade="7F"/>
    </w:rPr>
  </w:style>
  <w:style w:type="character" w:styleId="Heading8Char" w:customStyle="1">
    <w:name w:val="Heading 8 Char"/>
    <w:basedOn w:val="DefaultParagraphFont"/>
    <w:link w:val="Heading8"/>
    <w:uiPriority w:val="9"/>
    <w:semiHidden/>
    <w:rsid w:val="002C26B5"/>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2C26B5"/>
    <w:rPr>
      <w:rFonts w:asciiTheme="majorHAnsi" w:hAnsiTheme="majorHAnsi" w:eastAsiaTheme="majorEastAsia"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58974575">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26" Type="http://schemas.openxmlformats.org/officeDocument/2006/relationships/customXml" Target="../customXml/item8.xml"/><Relationship Id="rId21"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glossaryDocument" Target="glossary/document.xml"/><Relationship Id="rId25" Type="http://schemas.openxmlformats.org/officeDocument/2006/relationships/customXml" Target="../customXml/item7.xml"/><Relationship Id="rId16" Type="http://schemas.openxmlformats.org/officeDocument/2006/relationships/fontTable" Target="fontTable.xml"/><Relationship Id="Rc9b3f2bd11a347d5" Type="http://schemas.openxmlformats.org/officeDocument/2006/relationships/hyperlink" Target="https://idbdocs.iadb.org/wsdocs/getDocument.aspx?DOCNUM=EZSHARE-2112802388-3" TargetMode="External"/><Relationship Id="rId11" Type="http://schemas.openxmlformats.org/officeDocument/2006/relationships/webSettings" Target="webSettings.xml"/><Relationship Id="R3b413fe226424ca6" Type="http://schemas.openxmlformats.org/officeDocument/2006/relationships/hyperlink" Target="https://idbdocs.iadb.org/wsdocs/getDocument.aspx?DOCNUM=EZSHARE-2112802388-5" TargetMode="External"/><Relationship Id="rId24" Type="http://schemas.openxmlformats.org/officeDocument/2006/relationships/customXml" Target="../customXml/item6.xml"/><Relationship Id="rId15" Type="http://schemas.openxmlformats.org/officeDocument/2006/relationships/footer" Target="footer1.xml"/><Relationship Id="rId10" Type="http://schemas.openxmlformats.org/officeDocument/2006/relationships/settings" Target="settings.xml"/><Relationship Id="Rdf0cbc6aebc6419f" Type="http://schemas.openxmlformats.org/officeDocument/2006/relationships/hyperlink" Target="https://idbdocs.iadb.org/wsdocs/getDocument.aspx?DOCNUM=EZSHARE-2112802388-6" TargetMode="External"/><Relationship Id="rId9" Type="http://schemas.openxmlformats.org/officeDocument/2006/relationships/styles" Target="styles.xml"/><Relationship Id="rId14" Type="http://schemas.openxmlformats.org/officeDocument/2006/relationships/header" Target="header1.xml"/><Relationship Id="Rf6c2bdc36375456e" Type="http://schemas.openxmlformats.org/officeDocument/2006/relationships/hyperlink" Target="https://idbdocs.iadb.org/wsdocs/getDocument.aspx?DOCNUM=EZSHARE-2112802388-4"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aprendendosempre.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F547F8" w:rsidRDefault="00F547F8">
          <w:pPr>
            <w:pStyle w:val="DefaultPlaceholder108206515880"/>
          </w:pPr>
          <w:r>
            <w:rPr>
              <w:rFonts w:ascii="Arial" w:hAnsi="Arial" w:cs="Arial"/>
              <w:sz w:val="18"/>
              <w:szCs w:val="18"/>
            </w:rPr>
            <w:t>BRASIL</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F547F8" w:rsidRDefault="00F547F8">
          <w:pPr>
            <w:pStyle w:val="44C358C58149445BA2755ADBB9F4F8AF30"/>
          </w:pPr>
          <w:r>
            <w:rPr>
              <w:rFonts w:ascii="Arial" w:hAnsi="Arial" w:cs="Arial"/>
              <w:sz w:val="18"/>
              <w:szCs w:val="18"/>
            </w:rPr>
            <w:t>Prosocial - Improvement of Efficiency and Service Delivery of Education in Brazil</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F547F8" w:rsidRDefault="00F547F8">
          <w:pPr>
            <w:pStyle w:val="F21B320DC5CC4CA29D18953BBE653F7728"/>
          </w:pPr>
          <w:r>
            <w:rPr>
              <w:rFonts w:ascii="Arial" w:hAnsi="Arial" w:cs="Arial"/>
              <w:sz w:val="18"/>
              <w:szCs w:val="18"/>
            </w:rPr>
            <w:t>BR-L1551</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F547F8" w:rsidRDefault="00F547F8">
          <w:pPr>
            <w:pStyle w:val="19F5288FE7CC4C80A1FC8C20A439351A28"/>
          </w:pPr>
          <w:r>
            <w:rPr>
              <w:rFonts w:ascii="Arial" w:hAnsi="Arial" w:cs="Arial"/>
              <w:sz w:val="18"/>
              <w:szCs w:val="18"/>
            </w:rPr>
            <w:t xml:space="preserve"> </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F547F8" w:rsidRDefault="00F547F8">
          <w:pPr>
            <w:pStyle w:val="D43C05E765C742E5A882436BE6D57E8E16"/>
          </w:pPr>
          <w:r>
            <w:rPr>
              <w:rStyle w:val="PlaceholderText"/>
              <w:rFonts w:ascii="Arial" w:hAnsi="Arial" w:cs="Arial"/>
              <w:sz w:val="18"/>
              <w:szCs w:val="18"/>
            </w:rPr>
            <w:t>US$200,000.00</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F547F8" w:rsidRDefault="00F547F8">
          <w:pPr>
            <w:pStyle w:val="9A70A810BF2C48C0A541AB223DAB358716"/>
          </w:pPr>
          <w:r>
            <w:rPr>
              <w:rFonts w:ascii="Arial" w:hAnsi="Arial" w:cs="Arial"/>
              <w:sz w:val="18"/>
              <w:szCs w:val="18"/>
            </w:rPr>
            <w:t>SCL/EDU-Education</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F547F8" w:rsidRDefault="00F547F8">
          <w:pPr>
            <w:pStyle w:val="D40DDF1DE070443EBC57BF857042D2F116"/>
          </w:pPr>
          <w:r>
            <w:rPr>
              <w:rFonts w:ascii="Arial" w:hAnsi="Arial" w:cs="Arial"/>
              <w:sz w:val="18"/>
              <w:szCs w:val="18"/>
            </w:rPr>
            <w:t xml:space="preserve"> </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F547F8" w:rsidRDefault="00F547F8">
          <w:pPr>
            <w:pStyle w:val="6055CACF63754C38AEFAE0ADE58AB52F9"/>
          </w:pPr>
          <w:r>
            <w:rPr>
              <w:rFonts w:ascii="Arial" w:hAnsi="Arial" w:cs="Arial"/>
              <w:sz w:val="18"/>
              <w:szCs w:val="18"/>
            </w:rPr>
            <w:t xml:space="preserve"> TO BE DETERMINED(TBD)</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F547F8" w:rsidRDefault="00F547F8">
          <w:pPr>
            <w:pStyle w:val="F1F45581D58E40429AD189DD80ED40075"/>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F547F8" w:rsidRDefault="00F547F8">
          <w:pPr>
            <w:pStyle w:val="CF15AFC5698F4E5498FB27BD95CD782F2"/>
          </w:pPr>
          <w:r>
            <w:rPr>
              <w:rFonts w:ascii="Arial" w:hAnsi="Arial" w:cs="Arial"/>
              <w:sz w:val="18"/>
              <w:szCs w:val="18"/>
            </w:rPr>
            <w:t>Operational Support</w:t>
          </w:r>
        </w:p>
      </w:docPartBody>
    </w:docPart>
    <w:docPart>
      <w:docPartPr>
        <w:name w:val="99A63E3B42774C81825E5FE7B46501C1"/>
        <w:category>
          <w:name w:val="General"/>
          <w:gallery w:val="placeholder"/>
        </w:category>
        <w:types>
          <w:type w:val="bbPlcHdr"/>
        </w:types>
        <w:behaviors>
          <w:behavior w:val="content"/>
        </w:behaviors>
        <w:guid w:val="{47E674FA-3D63-4C0C-A92D-1B235A5E18B9}"/>
      </w:docPartPr>
      <w:docPartBody>
        <w:p w:rsidR="00000000" w:rsidRDefault="00F547F8">
          <w:pPr>
            <w:pStyle w:val="99A63E3B42774C81825E5FE7B46501C1"/>
          </w:pPr>
          <w:r>
            <w:rPr>
              <w:rFonts w:ascii="Arial" w:hAnsi="Arial" w:cs="Arial"/>
              <w:sz w:val="18"/>
              <w:szCs w:val="18"/>
            </w:rPr>
            <w:t xml:space="preserve"> Social inclusion and equality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42182"/>
    <w:rsid w:val="001850C8"/>
    <w:rsid w:val="00185B34"/>
    <w:rsid w:val="001B45EE"/>
    <w:rsid w:val="001B661B"/>
    <w:rsid w:val="001D373F"/>
    <w:rsid w:val="0022103E"/>
    <w:rsid w:val="002452C2"/>
    <w:rsid w:val="00254F74"/>
    <w:rsid w:val="002D632A"/>
    <w:rsid w:val="00315B57"/>
    <w:rsid w:val="00320348"/>
    <w:rsid w:val="003F15C7"/>
    <w:rsid w:val="003F3B06"/>
    <w:rsid w:val="00412BB1"/>
    <w:rsid w:val="004843B9"/>
    <w:rsid w:val="004F3C3C"/>
    <w:rsid w:val="00534ED1"/>
    <w:rsid w:val="0056121F"/>
    <w:rsid w:val="00561BFE"/>
    <w:rsid w:val="0057065C"/>
    <w:rsid w:val="00587CDD"/>
    <w:rsid w:val="005B3BA8"/>
    <w:rsid w:val="005B4532"/>
    <w:rsid w:val="006602A4"/>
    <w:rsid w:val="006804EF"/>
    <w:rsid w:val="006A5A9B"/>
    <w:rsid w:val="006B16B6"/>
    <w:rsid w:val="007315FF"/>
    <w:rsid w:val="007C4340"/>
    <w:rsid w:val="007E1F65"/>
    <w:rsid w:val="00822346"/>
    <w:rsid w:val="00832CE1"/>
    <w:rsid w:val="00860CBB"/>
    <w:rsid w:val="0086276C"/>
    <w:rsid w:val="00880451"/>
    <w:rsid w:val="008D30CC"/>
    <w:rsid w:val="008D3E48"/>
    <w:rsid w:val="00902C26"/>
    <w:rsid w:val="00906F30"/>
    <w:rsid w:val="00907F97"/>
    <w:rsid w:val="0094446A"/>
    <w:rsid w:val="00963A2D"/>
    <w:rsid w:val="009728D2"/>
    <w:rsid w:val="0098510C"/>
    <w:rsid w:val="009A3780"/>
    <w:rsid w:val="00A12E80"/>
    <w:rsid w:val="00A15DA7"/>
    <w:rsid w:val="00A20006"/>
    <w:rsid w:val="00A233A9"/>
    <w:rsid w:val="00A33D69"/>
    <w:rsid w:val="00A5613E"/>
    <w:rsid w:val="00A76337"/>
    <w:rsid w:val="00AC6B54"/>
    <w:rsid w:val="00AD306F"/>
    <w:rsid w:val="00B1113D"/>
    <w:rsid w:val="00BB4250"/>
    <w:rsid w:val="00BB6B78"/>
    <w:rsid w:val="00C00479"/>
    <w:rsid w:val="00C023D8"/>
    <w:rsid w:val="00C07D3D"/>
    <w:rsid w:val="00C47B93"/>
    <w:rsid w:val="00C51ABA"/>
    <w:rsid w:val="00C5691A"/>
    <w:rsid w:val="00C57A44"/>
    <w:rsid w:val="00C60618"/>
    <w:rsid w:val="00C8492A"/>
    <w:rsid w:val="00C84E28"/>
    <w:rsid w:val="00CA6E8F"/>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4873"/>
    <w:rsid w:val="00EC5915"/>
    <w:rsid w:val="00ED6A68"/>
    <w:rsid w:val="00F24AFF"/>
    <w:rsid w:val="00F34310"/>
    <w:rsid w:val="00F547F8"/>
    <w:rsid w:val="00FE67F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F547F8"/>
    <w:rPr>
      <w:color w:val="808080"/>
    </w:rPr>
  </w:style>
  <w:style w:type="paragraph" w:styleId="99A63E3B42774C81825E5FE7B46501C1" w:customStyle="1">
    <w:name w:val="99A63E3B42774C81825E5FE7B46501C1"/>
    <w:pPr>
      <w:spacing w:after="160" w:line="259" w:lineRule="auto"/>
    </w:pPr>
    <w:rPr>
      <w:lang w:val="es-CO" w:eastAsia="es-CO"/>
    </w:rPr>
  </w:style>
  <w:style w:type="paragraph" w:styleId="1826176F614340649BFAC28C3B63B78317" w:customStyle="1">
    <w:name w:val="1826176F614340649BFAC28C3B63B78317"/>
    <w:rsid w:val="00B1113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80" w:customStyle="1">
    <w:name w:val="DefaultPlaceholder_108206515880"/>
    <w:rsid w:val="00F547F8"/>
    <w:rPr>
      <w:lang w:val="en-US" w:eastAsia="en-US"/>
    </w:rPr>
  </w:style>
  <w:style w:type="paragraph" w:styleId="44C358C58149445BA2755ADBB9F4F8AF30" w:customStyle="1">
    <w:name w:val="44C358C58149445BA2755ADBB9F4F8AF30"/>
    <w:rsid w:val="00F547F8"/>
    <w:rPr>
      <w:lang w:val="en-US" w:eastAsia="en-US"/>
    </w:rPr>
  </w:style>
  <w:style w:type="paragraph" w:styleId="CF15AFC5698F4E5498FB27BD95CD782F2" w:customStyle="1">
    <w:name w:val="CF15AFC5698F4E5498FB27BD95CD782F2"/>
    <w:rsid w:val="00F547F8"/>
    <w:rPr>
      <w:lang w:val="en-US" w:eastAsia="en-US"/>
    </w:rPr>
  </w:style>
  <w:style w:type="paragraph" w:styleId="F21B320DC5CC4CA29D18953BBE653F7728" w:customStyle="1">
    <w:name w:val="F21B320DC5CC4CA29D18953BBE653F7728"/>
    <w:rsid w:val="00F547F8"/>
    <w:rPr>
      <w:lang w:val="en-US" w:eastAsia="en-US"/>
    </w:rPr>
  </w:style>
  <w:style w:type="paragraph" w:styleId="19F5288FE7CC4C80A1FC8C20A439351A28" w:customStyle="1">
    <w:name w:val="19F5288FE7CC4C80A1FC8C20A439351A28"/>
    <w:rsid w:val="00F547F8"/>
    <w:rPr>
      <w:lang w:val="en-US" w:eastAsia="en-US"/>
    </w:rPr>
  </w:style>
  <w:style w:type="paragraph" w:styleId="6055CACF63754C38AEFAE0ADE58AB52F9" w:customStyle="1">
    <w:name w:val="6055CACF63754C38AEFAE0ADE58AB52F9"/>
    <w:rsid w:val="00F547F8"/>
    <w:rPr>
      <w:lang w:val="en-US" w:eastAsia="en-US"/>
    </w:rPr>
  </w:style>
  <w:style w:type="paragraph" w:styleId="D43C05E765C742E5A882436BE6D57E8E16" w:customStyle="1">
    <w:name w:val="D43C05E765C742E5A882436BE6D57E8E16"/>
    <w:rsid w:val="00F547F8"/>
    <w:rPr>
      <w:lang w:val="en-US" w:eastAsia="en-US"/>
    </w:rPr>
  </w:style>
  <w:style w:type="paragraph" w:styleId="F1F45581D58E40429AD189DD80ED40075" w:customStyle="1">
    <w:name w:val="F1F45581D58E40429AD189DD80ED40075"/>
    <w:rsid w:val="00F547F8"/>
    <w:rPr>
      <w:lang w:val="en-US" w:eastAsia="en-US"/>
    </w:rPr>
  </w:style>
  <w:style w:type="paragraph" w:styleId="9A70A810BF2C48C0A541AB223DAB358716" w:customStyle="1">
    <w:name w:val="9A70A810BF2C48C0A541AB223DAB358716"/>
    <w:rsid w:val="00F547F8"/>
    <w:rPr>
      <w:lang w:val="en-US" w:eastAsia="en-US"/>
    </w:rPr>
  </w:style>
  <w:style w:type="paragraph" w:styleId="D40DDF1DE070443EBC57BF857042D2F116" w:customStyle="1">
    <w:name w:val="D40DDF1DE070443EBC57BF857042D2F116"/>
    <w:rsid w:val="00F547F8"/>
    <w:rPr>
      <w:lang w:val="en-US" w:eastAsia="en-US"/>
    </w:rPr>
  </w:style>
  <w:style w:type="paragraph" w:styleId="0003491FDAF3450DA841F91B1428BBB710" w:customStyle="1">
    <w:name w:val="0003491FDAF3450DA841F91B1428BBB710"/>
    <w:rsid w:val="00F547F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F1B34BF3B74BE42B90B06A4BBE0D0CA" ma:contentTypeVersion="0" ma:contentTypeDescription="The base project type from which other project content types inherit their information." ma:contentTypeScope="" ma:versionID="fbd6e1114fd4d7c868201af18ceb6d37">
  <xsd:schema xmlns:xsd="http://www.w3.org/2001/XMLSchema" xmlns:xs="http://www.w3.org/2001/XMLSchema" xmlns:p="http://schemas.microsoft.com/office/2006/metadata/properties" xmlns:ns2="cdc7663a-08f0-4737-9e8c-148ce897a09c" targetNamespace="http://schemas.microsoft.com/office/2006/metadata/properties" ma:root="true" ma:fieldsID="95ec17c7414f59760b85d8c06c881ea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T144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4F1B34BF3B74BE42B90B06A4BBE0D0CA" ma:contentTypeVersion="2897" ma:contentTypeDescription="The base project type from which other project content types inherit their information." ma:contentTypeScope="" ma:versionID="c371b5f543e60973b02c117e659d0b2a">
  <xsd:schema xmlns:xsd="http://www.w3.org/2001/XMLSchema" xmlns:xs="http://www.w3.org/2001/XMLSchema" xmlns:p="http://schemas.microsoft.com/office/2006/metadata/properties" xmlns:ns2="cdc7663a-08f0-4737-9e8c-148ce897a09c" targetNamespace="http://schemas.microsoft.com/office/2006/metadata/properties" ma:root="true" ma:fieldsID="4ea677f9fc8d034032ea74c94419f7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T144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Rieble-Aubourg Sabine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e-EDUCATION</TermName>
          <TermId xmlns="http://schemas.microsoft.com/office/infopath/2007/PartnerControls">4d9ef545-94a9-4116-8003-369e6f4acfac</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41</Value>
      <Value>428</Value>
      <Value>113</Value>
      <Value>32</Value>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BR-T1447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EZSHARE-2112802388-14</_dlc_DocId>
    <_dlc_DocIdUrl xmlns="cdc7663a-08f0-4737-9e8c-148ce897a09c">
      <Url>https://idbg.sharepoint.com/teams/EZ-BR-TCP/BR-T1447/_layouts/15/DocIdRedir.aspx?ID=EZSHARE-2112802388-14</Url>
      <Description>EZSHARE-2112802388-14</Description>
    </_dlc_DocIdUrl>
    <Extracted_x0020_Keywords xmlns="cdc7663a-08f0-4737-9e8c-148ce897a09c">
      <Value>implementation</Value>
      <Value>Social Development</Value>
      <Value>local governments</Value>
      <Value>Aprendamos Todos</Value>
      <Value>AS coalition</Value>
      <Value>SCL/EDU</Value>
      <Value>states</Value>
      <Value>The Bank</Value>
      <Value>learning gaps</Value>
      <Value>students</Value>
      <Value>teachers</Value>
      <Value>Portuguese</Value>
      <Value>early literacy</Value>
      <Value>Movimento Colabora</Value>
      <Value>schools closure</Value>
      <Value>innovation</Value>
      <Value>NGOs</Value>
      <Value>preparation</Value>
      <Value>research</Value>
      <Value>example</Value>
      <Value>need</Value>
      <Value>collaboration</Value>
      <Value>Fundação Lemann</Value>
      <Value>national policy</Value>
      <Value>Diagnostic Activities</Value>
    </Extracted_x0020_Keywords>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0388D94DADFFE4082E130C7F26FBF82" ma:contentTypeVersion="2712" ma:contentTypeDescription="A content type to manage public (operations) IDB documents" ma:contentTypeScope="" ma:versionID="2739a4a22e177b67a01454ac182eb3df">
  <xsd:schema xmlns:xsd="http://www.w3.org/2001/XMLSchema" xmlns:xs="http://www.w3.org/2001/XMLSchema" xmlns:p="http://schemas.microsoft.com/office/2006/metadata/properties" xmlns:ns2="cdc7663a-08f0-4737-9e8c-148ce897a09c" targetNamespace="http://schemas.microsoft.com/office/2006/metadata/properties" ma:root="true" ma:fieldsID="de9e7d0ba7fa8a1b2b7264fb06b5467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T144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ACA7CE-A922-4199-99A3-43FEEBFDFB21}"/>
</file>

<file path=customXml/itemProps2.xml><?xml version="1.0" encoding="utf-8"?>
<ds:datastoreItem xmlns:ds="http://schemas.openxmlformats.org/officeDocument/2006/customXml" ds:itemID="{BFBBBD9D-7C17-48B8-A1CE-648712D7666C}"/>
</file>

<file path=customXml/itemProps3.xml><?xml version="1.0" encoding="utf-8"?>
<ds:datastoreItem xmlns:ds="http://schemas.openxmlformats.org/officeDocument/2006/customXml" ds:itemID="{2775C627-CD6E-44EF-AA7F-0088336BC68A}"/>
</file>

<file path=customXml/itemProps4.xml><?xml version="1.0" encoding="utf-8"?>
<ds:datastoreItem xmlns:ds="http://schemas.openxmlformats.org/officeDocument/2006/customXml" ds:itemID="{D30CCE29-FBEE-4CDB-A85F-4C6367AE0D7C}"/>
</file>

<file path=customXml/itemProps5.xml><?xml version="1.0" encoding="utf-8"?>
<ds:datastoreItem xmlns:ds="http://schemas.openxmlformats.org/officeDocument/2006/customXml" ds:itemID="{2351F0E7-27D0-4635-A763-8A89C95B398D}"/>
</file>

<file path=customXml/itemProps6.xml><?xml version="1.0" encoding="utf-8"?>
<ds:datastoreItem xmlns:ds="http://schemas.openxmlformats.org/officeDocument/2006/customXml" ds:itemID="{7216E772-F06B-4584-A5CC-E697753C7FD0}"/>
</file>

<file path=customXml/itemProps7.xml><?xml version="1.0" encoding="utf-8"?>
<ds:datastoreItem xmlns:ds="http://schemas.openxmlformats.org/officeDocument/2006/customXml" ds:itemID="{904455EB-E443-4644-BBF0-F7DFA7440E09}"/>
</file>

<file path=customXml/itemProps8.xml><?xml version="1.0" encoding="utf-8"?>
<ds:datastoreItem xmlns:ds="http://schemas.openxmlformats.org/officeDocument/2006/customXml" ds:itemID="{FA70845C-4AC5-4C07-A379-062DA2BD078D}"/>
</file>

<file path=docProps/app.xml><?xml version="1.0" encoding="utf-8"?>
<ap: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Strachan;Viraj Kanjee</dc:creator>
  <cp:keywords/>
  <cp:lastModifiedBy>Duenas Herrera, Ximena</cp:lastModifiedBy>
  <cp:revision>114</cp:revision>
  <cp:lastPrinted>2011-03-28T14:34:00Z</cp:lastPrinted>
  <dcterms:created xsi:type="dcterms:W3CDTF">2019-05-21T18:01:00Z</dcterms:created>
  <dcterms:modified xsi:type="dcterms:W3CDTF">2020-10-22T00:55:55Z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32;#Brazil|7deb27ec-6837-4974-9aa8-6cfbac841ef8</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428;#e-EDUCATION|4d9ef545-94a9-4116-8003-369e6f4acfac</vt:lpwstr>
  </property>
  <property fmtid="{D5CDD505-2E9C-101B-9397-08002B2CF9AE}" pid="13" name="Fund IDB">
    <vt:lpwstr>113;#SOC|3086ce3f-38db-462a-ad79-6fb1ca9264c8</vt:lpwstr>
  </property>
  <property fmtid="{D5CDD505-2E9C-101B-9397-08002B2CF9AE}" pid="14" name="Sector IDB">
    <vt:lpwstr>41;#EDUCATION|e61db9d8-dcb9-423f-a737-53d6e603e7c4</vt:lpwstr>
  </property>
  <property fmtid="{D5CDD505-2E9C-101B-9397-08002B2CF9AE}" pid="15" name="_dlc_DocIdItemGuid">
    <vt:lpwstr>4f7d9f4a-13a4-4c10-be2a-d5cc566a2e08</vt:lpwstr>
  </property>
  <property fmtid="{D5CDD505-2E9C-101B-9397-08002B2CF9AE}" pid="17" name="ContentTypeId">
    <vt:lpwstr>0x0101001A458A224826124E8B45B1D613300CFC0000388D94DADFFE4082E130C7F26FBF82</vt:lpwstr>
  </property>
  <property fmtid="{D5CDD505-2E9C-101B-9397-08002B2CF9AE}" pid="18" name="Series Operations IDB">
    <vt:lpwstr/>
  </property>
</Properties>
</file>