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273" w:rsidRPr="00853273" w:rsidRDefault="00853273" w:rsidP="00853273"/>
    <w:p w:rsidR="009F4670" w:rsidRPr="00236360" w:rsidRDefault="009F4670" w:rsidP="009F4670">
      <w:pPr>
        <w:pStyle w:val="Caption"/>
        <w:jc w:val="center"/>
        <w:rPr>
          <w:rStyle w:val="Emphasis"/>
          <w:i w:val="0"/>
          <w:sz w:val="24"/>
        </w:rPr>
      </w:pPr>
      <w:r>
        <w:rPr>
          <w:rStyle w:val="Emphasis"/>
          <w:i w:val="0"/>
          <w:sz w:val="24"/>
        </w:rPr>
        <w:t>Financiamiento Suplementario para el Sistema Integrado de Transporte Masivo de Pasajeros par Santiago de Cali  (CO-L1101)</w:t>
      </w:r>
    </w:p>
    <w:p w:rsidR="009F4670" w:rsidRDefault="009F4670" w:rsidP="009F4670">
      <w:pPr>
        <w:pStyle w:val="Caption"/>
        <w:jc w:val="center"/>
        <w:rPr>
          <w:rStyle w:val="Emphasis"/>
          <w:i w:val="0"/>
          <w:sz w:val="24"/>
        </w:rPr>
      </w:pPr>
    </w:p>
    <w:p w:rsidR="00853273" w:rsidRDefault="00853273" w:rsidP="00853273"/>
    <w:p w:rsidR="00853273" w:rsidRDefault="00853273" w:rsidP="00853273"/>
    <w:p w:rsidR="003876AF" w:rsidRDefault="003876AF" w:rsidP="00853273"/>
    <w:p w:rsidR="003876AF" w:rsidRDefault="003876AF" w:rsidP="00853273"/>
    <w:p w:rsidR="003876AF" w:rsidRDefault="003876AF" w:rsidP="00853273"/>
    <w:p w:rsidR="003876AF" w:rsidRDefault="003876AF" w:rsidP="00853273"/>
    <w:p w:rsidR="003876AF" w:rsidRDefault="003876AF" w:rsidP="00853273"/>
    <w:p w:rsidR="003876AF" w:rsidRDefault="003876AF" w:rsidP="00853273"/>
    <w:p w:rsidR="003876AF" w:rsidRDefault="003876AF" w:rsidP="00853273"/>
    <w:p w:rsidR="003876AF" w:rsidRDefault="003876AF" w:rsidP="00853273"/>
    <w:p w:rsidR="003876AF" w:rsidRPr="00853273" w:rsidRDefault="003876AF" w:rsidP="00853273"/>
    <w:p w:rsidR="009F4670" w:rsidRPr="00236360" w:rsidRDefault="009F4670" w:rsidP="009F4670">
      <w:pPr>
        <w:pStyle w:val="Caption"/>
        <w:jc w:val="center"/>
        <w:rPr>
          <w:rStyle w:val="Emphasis"/>
          <w:i w:val="0"/>
          <w:sz w:val="24"/>
        </w:rPr>
      </w:pPr>
    </w:p>
    <w:p w:rsidR="009F4670" w:rsidRPr="00236360" w:rsidRDefault="009F4670" w:rsidP="009F4670">
      <w:pPr>
        <w:pStyle w:val="Caption"/>
        <w:jc w:val="center"/>
        <w:rPr>
          <w:rStyle w:val="Emphasis"/>
          <w:i w:val="0"/>
          <w:sz w:val="24"/>
        </w:rPr>
      </w:pPr>
    </w:p>
    <w:p w:rsidR="009F4670" w:rsidRPr="00847C8C" w:rsidRDefault="009F4670" w:rsidP="009F4670">
      <w:pPr>
        <w:pStyle w:val="Caption"/>
        <w:jc w:val="center"/>
        <w:rPr>
          <w:rStyle w:val="Emphasis"/>
          <w:b/>
          <w:i w:val="0"/>
          <w:sz w:val="36"/>
        </w:rPr>
      </w:pPr>
      <w:r w:rsidRPr="00847C8C">
        <w:rPr>
          <w:rStyle w:val="Emphasis"/>
          <w:b/>
          <w:i w:val="0"/>
          <w:sz w:val="36"/>
        </w:rPr>
        <w:t xml:space="preserve">Actualización de la Evaluación Económica del Sistema Integrado de Transporte Público para Santiago de Cali </w:t>
      </w:r>
    </w:p>
    <w:p w:rsidR="003876AF" w:rsidRDefault="003876AF" w:rsidP="003876AF"/>
    <w:p w:rsidR="003876AF" w:rsidRDefault="003876AF" w:rsidP="003876AF"/>
    <w:p w:rsidR="003876AF" w:rsidRPr="003876AF" w:rsidRDefault="003876AF" w:rsidP="003876AF"/>
    <w:p w:rsidR="009F4670" w:rsidRPr="00236360" w:rsidRDefault="009F4670" w:rsidP="009F4670">
      <w:pPr>
        <w:pStyle w:val="Caption"/>
        <w:jc w:val="center"/>
        <w:rPr>
          <w:rStyle w:val="Emphasis"/>
          <w:i w:val="0"/>
          <w:sz w:val="24"/>
        </w:rPr>
      </w:pPr>
    </w:p>
    <w:p w:rsidR="009F4670" w:rsidRDefault="009F4670" w:rsidP="009F4670">
      <w:pPr>
        <w:pStyle w:val="Caption"/>
        <w:jc w:val="center"/>
        <w:rPr>
          <w:rStyle w:val="Emphasis"/>
          <w:i w:val="0"/>
          <w:sz w:val="24"/>
        </w:rPr>
      </w:pPr>
    </w:p>
    <w:p w:rsidR="009F4670" w:rsidRPr="00236360" w:rsidRDefault="009F4670" w:rsidP="009F4670">
      <w:pPr>
        <w:pStyle w:val="Caption"/>
        <w:jc w:val="center"/>
        <w:rPr>
          <w:rStyle w:val="Emphasis"/>
          <w:i w:val="0"/>
          <w:sz w:val="24"/>
        </w:rPr>
      </w:pPr>
    </w:p>
    <w:p w:rsidR="009F4670" w:rsidRDefault="009F4670" w:rsidP="009F4670">
      <w:pPr>
        <w:pStyle w:val="Caption"/>
        <w:jc w:val="center"/>
        <w:rPr>
          <w:rStyle w:val="Emphasis"/>
          <w:i w:val="0"/>
          <w:sz w:val="24"/>
        </w:rPr>
      </w:pPr>
    </w:p>
    <w:p w:rsidR="00061176" w:rsidRDefault="00061176" w:rsidP="00061176"/>
    <w:p w:rsidR="003876AF" w:rsidRDefault="003876AF" w:rsidP="00061176"/>
    <w:p w:rsidR="003876AF" w:rsidRPr="00061176" w:rsidRDefault="003876AF" w:rsidP="00061176"/>
    <w:p w:rsidR="009F4670" w:rsidRPr="00236360" w:rsidRDefault="009F4670" w:rsidP="009F4670">
      <w:pPr>
        <w:pStyle w:val="Caption"/>
        <w:jc w:val="center"/>
        <w:rPr>
          <w:rStyle w:val="Emphasis"/>
          <w:i w:val="0"/>
          <w:sz w:val="24"/>
        </w:rPr>
      </w:pPr>
    </w:p>
    <w:p w:rsidR="008D304E" w:rsidRDefault="008D304E" w:rsidP="00D27713">
      <w:pPr>
        <w:jc w:val="center"/>
      </w:pPr>
    </w:p>
    <w:p w:rsidR="00D27713" w:rsidRDefault="00D27713" w:rsidP="009F4670">
      <w:pPr>
        <w:jc w:val="center"/>
        <w:rPr>
          <w:rStyle w:val="Emphasis"/>
          <w:i w:val="0"/>
          <w:sz w:val="24"/>
        </w:rPr>
      </w:pPr>
      <w:r>
        <w:t>J</w:t>
      </w:r>
      <w:r w:rsidRPr="00EE4408">
        <w:rPr>
          <w:rStyle w:val="Emphasis"/>
          <w:i w:val="0"/>
          <w:sz w:val="24"/>
        </w:rPr>
        <w:t>unio</w:t>
      </w:r>
      <w:r w:rsidR="009F4670">
        <w:rPr>
          <w:rStyle w:val="Emphasis"/>
          <w:i w:val="0"/>
          <w:sz w:val="24"/>
        </w:rPr>
        <w:t xml:space="preserve"> 30</w:t>
      </w:r>
      <w:r w:rsidRPr="00EE4408">
        <w:rPr>
          <w:rStyle w:val="Emphasis"/>
          <w:i w:val="0"/>
          <w:sz w:val="24"/>
        </w:rPr>
        <w:t xml:space="preserve"> 2011</w:t>
      </w:r>
    </w:p>
    <w:p w:rsidR="003876AF" w:rsidRDefault="003876AF" w:rsidP="009F4670">
      <w:pPr>
        <w:jc w:val="center"/>
        <w:rPr>
          <w:rStyle w:val="Emphasis"/>
          <w:i w:val="0"/>
          <w:sz w:val="24"/>
        </w:rPr>
      </w:pPr>
    </w:p>
    <w:p w:rsidR="00CE66A7" w:rsidRDefault="00CE66A7" w:rsidP="009F4670">
      <w:pPr>
        <w:jc w:val="center"/>
        <w:rPr>
          <w:rStyle w:val="Emphasis"/>
          <w:i w:val="0"/>
          <w:sz w:val="24"/>
        </w:rPr>
        <w:sectPr w:rsidR="00CE66A7" w:rsidSect="00CE66A7">
          <w:headerReference w:type="even" r:id="rId8"/>
          <w:headerReference w:type="default" r:id="rId9"/>
          <w:pgSz w:w="12240" w:h="15840" w:code="119"/>
          <w:pgMar w:top="1560" w:right="1420" w:bottom="1417" w:left="1420" w:header="708" w:footer="1166" w:gutter="0"/>
          <w:cols w:space="708"/>
          <w:docGrid w:linePitch="360"/>
        </w:sectPr>
      </w:pPr>
    </w:p>
    <w:p w:rsidR="009F4670" w:rsidRDefault="008817F0">
      <w:pPr>
        <w:pStyle w:val="TOC1"/>
      </w:pPr>
      <w:bookmarkStart w:id="0" w:name="_Toc159649889"/>
      <w:bookmarkStart w:id="1" w:name="_Toc165218746"/>
      <w:bookmarkStart w:id="2" w:name="_Toc223787138"/>
      <w:r>
        <w:lastRenderedPageBreak/>
        <w:t>tABLA DE cONTENIDO</w:t>
      </w:r>
    </w:p>
    <w:p w:rsidR="008817F0" w:rsidRPr="008817F0" w:rsidRDefault="008817F0" w:rsidP="008817F0"/>
    <w:p w:rsidR="00375AC5" w:rsidRDefault="00B27127">
      <w:pPr>
        <w:pStyle w:val="TOC1"/>
        <w:rPr>
          <w:rFonts w:asciiTheme="minorHAnsi" w:eastAsiaTheme="minorEastAsia" w:hAnsiTheme="minorHAnsi" w:cstheme="minorBidi"/>
          <w:bCs w:val="0"/>
          <w:caps w:val="0"/>
          <w:noProof/>
          <w:szCs w:val="22"/>
          <w:lang w:eastAsia="es-CO"/>
        </w:rPr>
      </w:pPr>
      <w:r w:rsidRPr="00B27127">
        <w:fldChar w:fldCharType="begin"/>
      </w:r>
      <w:r w:rsidR="00D27713">
        <w:instrText xml:space="preserve"> TOC \o "1-3" \h \z \u </w:instrText>
      </w:r>
      <w:r w:rsidRPr="00B27127">
        <w:fldChar w:fldCharType="separate"/>
      </w:r>
      <w:hyperlink w:anchor="_Toc298144730" w:history="1">
        <w:r w:rsidR="00375AC5" w:rsidRPr="00FD6319">
          <w:rPr>
            <w:rStyle w:val="Hyperlink"/>
            <w:noProof/>
          </w:rPr>
          <w:t>1</w:t>
        </w:r>
        <w:r w:rsidR="00375AC5">
          <w:rPr>
            <w:rFonts w:asciiTheme="minorHAnsi" w:eastAsiaTheme="minorEastAsia" w:hAnsiTheme="minorHAnsi" w:cstheme="minorBidi"/>
            <w:bCs w:val="0"/>
            <w:caps w:val="0"/>
            <w:noProof/>
            <w:szCs w:val="22"/>
            <w:lang w:eastAsia="es-CO"/>
          </w:rPr>
          <w:tab/>
        </w:r>
        <w:r w:rsidR="00375AC5" w:rsidRPr="00FD6319">
          <w:rPr>
            <w:rStyle w:val="Hyperlink"/>
            <w:noProof/>
          </w:rPr>
          <w:t>Introducción</w:t>
        </w:r>
        <w:r w:rsidR="00375AC5">
          <w:rPr>
            <w:noProof/>
            <w:webHidden/>
          </w:rPr>
          <w:tab/>
        </w:r>
        <w:r>
          <w:rPr>
            <w:noProof/>
            <w:webHidden/>
          </w:rPr>
          <w:fldChar w:fldCharType="begin"/>
        </w:r>
        <w:r w:rsidR="00375AC5">
          <w:rPr>
            <w:noProof/>
            <w:webHidden/>
          </w:rPr>
          <w:instrText xml:space="preserve"> PAGEREF _Toc298144730 \h </w:instrText>
        </w:r>
        <w:r>
          <w:rPr>
            <w:noProof/>
            <w:webHidden/>
          </w:rPr>
        </w:r>
        <w:r>
          <w:rPr>
            <w:noProof/>
            <w:webHidden/>
          </w:rPr>
          <w:fldChar w:fldCharType="separate"/>
        </w:r>
        <w:r w:rsidR="00375AC5">
          <w:rPr>
            <w:noProof/>
            <w:webHidden/>
          </w:rPr>
          <w:t>3</w:t>
        </w:r>
        <w:r>
          <w:rPr>
            <w:noProof/>
            <w:webHidden/>
          </w:rPr>
          <w:fldChar w:fldCharType="end"/>
        </w:r>
      </w:hyperlink>
    </w:p>
    <w:p w:rsidR="00375AC5" w:rsidRDefault="00B27127">
      <w:pPr>
        <w:pStyle w:val="TOC1"/>
        <w:rPr>
          <w:rFonts w:asciiTheme="minorHAnsi" w:eastAsiaTheme="minorEastAsia" w:hAnsiTheme="minorHAnsi" w:cstheme="minorBidi"/>
          <w:bCs w:val="0"/>
          <w:caps w:val="0"/>
          <w:noProof/>
          <w:szCs w:val="22"/>
          <w:lang w:eastAsia="es-CO"/>
        </w:rPr>
      </w:pPr>
      <w:hyperlink w:anchor="_Toc298144731" w:history="1">
        <w:r w:rsidR="00375AC5" w:rsidRPr="00FD6319">
          <w:rPr>
            <w:rStyle w:val="Hyperlink"/>
            <w:noProof/>
          </w:rPr>
          <w:t>2</w:t>
        </w:r>
        <w:r w:rsidR="00375AC5">
          <w:rPr>
            <w:rFonts w:asciiTheme="minorHAnsi" w:eastAsiaTheme="minorEastAsia" w:hAnsiTheme="minorHAnsi" w:cstheme="minorBidi"/>
            <w:bCs w:val="0"/>
            <w:caps w:val="0"/>
            <w:noProof/>
            <w:szCs w:val="22"/>
            <w:lang w:eastAsia="es-CO"/>
          </w:rPr>
          <w:tab/>
        </w:r>
        <w:r w:rsidR="00375AC5" w:rsidRPr="00FD6319">
          <w:rPr>
            <w:rStyle w:val="Hyperlink"/>
            <w:noProof/>
          </w:rPr>
          <w:t>Antecedentes</w:t>
        </w:r>
        <w:r w:rsidR="00375AC5">
          <w:rPr>
            <w:noProof/>
            <w:webHidden/>
          </w:rPr>
          <w:tab/>
        </w:r>
        <w:r>
          <w:rPr>
            <w:noProof/>
            <w:webHidden/>
          </w:rPr>
          <w:fldChar w:fldCharType="begin"/>
        </w:r>
        <w:r w:rsidR="00375AC5">
          <w:rPr>
            <w:noProof/>
            <w:webHidden/>
          </w:rPr>
          <w:instrText xml:space="preserve"> PAGEREF _Toc298144731 \h </w:instrText>
        </w:r>
        <w:r>
          <w:rPr>
            <w:noProof/>
            <w:webHidden/>
          </w:rPr>
        </w:r>
        <w:r>
          <w:rPr>
            <w:noProof/>
            <w:webHidden/>
          </w:rPr>
          <w:fldChar w:fldCharType="separate"/>
        </w:r>
        <w:r w:rsidR="00375AC5">
          <w:rPr>
            <w:noProof/>
            <w:webHidden/>
          </w:rPr>
          <w:t>3</w:t>
        </w:r>
        <w:r>
          <w:rPr>
            <w:noProof/>
            <w:webHidden/>
          </w:rPr>
          <w:fldChar w:fldCharType="end"/>
        </w:r>
      </w:hyperlink>
    </w:p>
    <w:p w:rsidR="00375AC5" w:rsidRDefault="00B27127">
      <w:pPr>
        <w:pStyle w:val="TOC1"/>
        <w:rPr>
          <w:rFonts w:asciiTheme="minorHAnsi" w:eastAsiaTheme="minorEastAsia" w:hAnsiTheme="minorHAnsi" w:cstheme="minorBidi"/>
          <w:bCs w:val="0"/>
          <w:caps w:val="0"/>
          <w:noProof/>
          <w:szCs w:val="22"/>
          <w:lang w:eastAsia="es-CO"/>
        </w:rPr>
      </w:pPr>
      <w:hyperlink w:anchor="_Toc298144732" w:history="1">
        <w:r w:rsidR="00375AC5" w:rsidRPr="00FD6319">
          <w:rPr>
            <w:rStyle w:val="Hyperlink"/>
            <w:noProof/>
          </w:rPr>
          <w:t>3</w:t>
        </w:r>
        <w:r w:rsidR="00375AC5">
          <w:rPr>
            <w:rFonts w:asciiTheme="minorHAnsi" w:eastAsiaTheme="minorEastAsia" w:hAnsiTheme="minorHAnsi" w:cstheme="minorBidi"/>
            <w:bCs w:val="0"/>
            <w:caps w:val="0"/>
            <w:noProof/>
            <w:szCs w:val="22"/>
            <w:lang w:eastAsia="es-CO"/>
          </w:rPr>
          <w:tab/>
        </w:r>
        <w:r w:rsidR="00375AC5" w:rsidRPr="00FD6319">
          <w:rPr>
            <w:rStyle w:val="Hyperlink"/>
            <w:noProof/>
          </w:rPr>
          <w:t>Metodología de análisis</w:t>
        </w:r>
        <w:r w:rsidR="00375AC5">
          <w:rPr>
            <w:noProof/>
            <w:webHidden/>
          </w:rPr>
          <w:tab/>
        </w:r>
        <w:r>
          <w:rPr>
            <w:noProof/>
            <w:webHidden/>
          </w:rPr>
          <w:fldChar w:fldCharType="begin"/>
        </w:r>
        <w:r w:rsidR="00375AC5">
          <w:rPr>
            <w:noProof/>
            <w:webHidden/>
          </w:rPr>
          <w:instrText xml:space="preserve"> PAGEREF _Toc298144732 \h </w:instrText>
        </w:r>
        <w:r>
          <w:rPr>
            <w:noProof/>
            <w:webHidden/>
          </w:rPr>
        </w:r>
        <w:r>
          <w:rPr>
            <w:noProof/>
            <w:webHidden/>
          </w:rPr>
          <w:fldChar w:fldCharType="separate"/>
        </w:r>
        <w:r w:rsidR="00375AC5">
          <w:rPr>
            <w:noProof/>
            <w:webHidden/>
          </w:rPr>
          <w:t>4</w:t>
        </w:r>
        <w:r>
          <w:rPr>
            <w:noProof/>
            <w:webHidden/>
          </w:rPr>
          <w:fldChar w:fldCharType="end"/>
        </w:r>
      </w:hyperlink>
    </w:p>
    <w:p w:rsidR="00375AC5" w:rsidRDefault="00B27127">
      <w:pPr>
        <w:pStyle w:val="TOC2"/>
        <w:rPr>
          <w:rFonts w:asciiTheme="minorHAnsi" w:eastAsiaTheme="minorEastAsia" w:hAnsiTheme="minorHAnsi" w:cstheme="minorBidi"/>
          <w:smallCaps w:val="0"/>
          <w:szCs w:val="22"/>
          <w:lang w:val="es-CO" w:eastAsia="es-CO"/>
        </w:rPr>
      </w:pPr>
      <w:hyperlink w:anchor="_Toc298144733" w:history="1">
        <w:r w:rsidR="00375AC5" w:rsidRPr="00FD6319">
          <w:rPr>
            <w:rStyle w:val="Hyperlink"/>
            <w:b/>
          </w:rPr>
          <w:t>3.1</w:t>
        </w:r>
        <w:r w:rsidR="00375AC5">
          <w:rPr>
            <w:rFonts w:asciiTheme="minorHAnsi" w:eastAsiaTheme="minorEastAsia" w:hAnsiTheme="minorHAnsi" w:cstheme="minorBidi"/>
            <w:smallCaps w:val="0"/>
            <w:szCs w:val="22"/>
            <w:lang w:val="es-CO" w:eastAsia="es-CO"/>
          </w:rPr>
          <w:tab/>
        </w:r>
        <w:r w:rsidR="00375AC5" w:rsidRPr="00FD6319">
          <w:rPr>
            <w:rStyle w:val="Hyperlink"/>
            <w:b/>
          </w:rPr>
          <w:t>Revisión del estado actual del proyecto</w:t>
        </w:r>
        <w:r w:rsidR="00375AC5">
          <w:rPr>
            <w:webHidden/>
          </w:rPr>
          <w:tab/>
        </w:r>
        <w:r>
          <w:rPr>
            <w:webHidden/>
          </w:rPr>
          <w:fldChar w:fldCharType="begin"/>
        </w:r>
        <w:r w:rsidR="00375AC5">
          <w:rPr>
            <w:webHidden/>
          </w:rPr>
          <w:instrText xml:space="preserve"> PAGEREF _Toc298144733 \h </w:instrText>
        </w:r>
        <w:r>
          <w:rPr>
            <w:webHidden/>
          </w:rPr>
        </w:r>
        <w:r>
          <w:rPr>
            <w:webHidden/>
          </w:rPr>
          <w:fldChar w:fldCharType="separate"/>
        </w:r>
        <w:r w:rsidR="00375AC5">
          <w:rPr>
            <w:webHidden/>
          </w:rPr>
          <w:t>4</w:t>
        </w:r>
        <w:r>
          <w:rPr>
            <w:webHidden/>
          </w:rPr>
          <w:fldChar w:fldCharType="end"/>
        </w:r>
      </w:hyperlink>
    </w:p>
    <w:p w:rsidR="00375AC5" w:rsidRDefault="00B27127">
      <w:pPr>
        <w:pStyle w:val="TOC2"/>
        <w:rPr>
          <w:rFonts w:asciiTheme="minorHAnsi" w:eastAsiaTheme="minorEastAsia" w:hAnsiTheme="minorHAnsi" w:cstheme="minorBidi"/>
          <w:smallCaps w:val="0"/>
          <w:szCs w:val="22"/>
          <w:lang w:val="es-CO" w:eastAsia="es-CO"/>
        </w:rPr>
      </w:pPr>
      <w:hyperlink w:anchor="_Toc298144734" w:history="1">
        <w:r w:rsidR="00375AC5" w:rsidRPr="00FD6319">
          <w:rPr>
            <w:rStyle w:val="Hyperlink"/>
            <w:b/>
          </w:rPr>
          <w:t>3.2</w:t>
        </w:r>
        <w:r w:rsidR="00375AC5">
          <w:rPr>
            <w:rFonts w:asciiTheme="minorHAnsi" w:eastAsiaTheme="minorEastAsia" w:hAnsiTheme="minorHAnsi" w:cstheme="minorBidi"/>
            <w:smallCaps w:val="0"/>
            <w:szCs w:val="22"/>
            <w:lang w:val="es-CO" w:eastAsia="es-CO"/>
          </w:rPr>
          <w:tab/>
        </w:r>
        <w:r w:rsidR="00375AC5" w:rsidRPr="00FD6319">
          <w:rPr>
            <w:rStyle w:val="Hyperlink"/>
            <w:b/>
          </w:rPr>
          <w:t>Revisión de las evaluaciones realizadas en la documentación existente</w:t>
        </w:r>
        <w:r w:rsidR="00375AC5">
          <w:rPr>
            <w:webHidden/>
          </w:rPr>
          <w:tab/>
        </w:r>
        <w:r>
          <w:rPr>
            <w:webHidden/>
          </w:rPr>
          <w:fldChar w:fldCharType="begin"/>
        </w:r>
        <w:r w:rsidR="00375AC5">
          <w:rPr>
            <w:webHidden/>
          </w:rPr>
          <w:instrText xml:space="preserve"> PAGEREF _Toc298144734 \h </w:instrText>
        </w:r>
        <w:r>
          <w:rPr>
            <w:webHidden/>
          </w:rPr>
        </w:r>
        <w:r>
          <w:rPr>
            <w:webHidden/>
          </w:rPr>
          <w:fldChar w:fldCharType="separate"/>
        </w:r>
        <w:r w:rsidR="00375AC5">
          <w:rPr>
            <w:webHidden/>
          </w:rPr>
          <w:t>4</w:t>
        </w:r>
        <w:r>
          <w:rPr>
            <w:webHidden/>
          </w:rPr>
          <w:fldChar w:fldCharType="end"/>
        </w:r>
      </w:hyperlink>
    </w:p>
    <w:p w:rsidR="00375AC5" w:rsidRDefault="00B27127">
      <w:pPr>
        <w:pStyle w:val="TOC2"/>
        <w:rPr>
          <w:rFonts w:asciiTheme="minorHAnsi" w:eastAsiaTheme="minorEastAsia" w:hAnsiTheme="minorHAnsi" w:cstheme="minorBidi"/>
          <w:smallCaps w:val="0"/>
          <w:szCs w:val="22"/>
          <w:lang w:val="es-CO" w:eastAsia="es-CO"/>
        </w:rPr>
      </w:pPr>
      <w:hyperlink w:anchor="_Toc298144735" w:history="1">
        <w:r w:rsidR="00375AC5" w:rsidRPr="00FD6319">
          <w:rPr>
            <w:rStyle w:val="Hyperlink"/>
            <w:b/>
          </w:rPr>
          <w:t>3.3</w:t>
        </w:r>
        <w:r w:rsidR="00375AC5">
          <w:rPr>
            <w:rFonts w:asciiTheme="minorHAnsi" w:eastAsiaTheme="minorEastAsia" w:hAnsiTheme="minorHAnsi" w:cstheme="minorBidi"/>
            <w:smallCaps w:val="0"/>
            <w:szCs w:val="22"/>
            <w:lang w:val="es-CO" w:eastAsia="es-CO"/>
          </w:rPr>
          <w:tab/>
        </w:r>
        <w:r w:rsidR="00375AC5" w:rsidRPr="00FD6319">
          <w:rPr>
            <w:rStyle w:val="Hyperlink"/>
            <w:b/>
          </w:rPr>
          <w:t>Datos básicos – Insumos de análisis</w:t>
        </w:r>
        <w:r w:rsidR="00375AC5">
          <w:rPr>
            <w:webHidden/>
          </w:rPr>
          <w:tab/>
        </w:r>
        <w:r>
          <w:rPr>
            <w:webHidden/>
          </w:rPr>
          <w:fldChar w:fldCharType="begin"/>
        </w:r>
        <w:r w:rsidR="00375AC5">
          <w:rPr>
            <w:webHidden/>
          </w:rPr>
          <w:instrText xml:space="preserve"> PAGEREF _Toc298144735 \h </w:instrText>
        </w:r>
        <w:r>
          <w:rPr>
            <w:webHidden/>
          </w:rPr>
        </w:r>
        <w:r>
          <w:rPr>
            <w:webHidden/>
          </w:rPr>
          <w:fldChar w:fldCharType="separate"/>
        </w:r>
        <w:r w:rsidR="00375AC5">
          <w:rPr>
            <w:webHidden/>
          </w:rPr>
          <w:t>5</w:t>
        </w:r>
        <w:r>
          <w:rPr>
            <w:webHidden/>
          </w:rPr>
          <w:fldChar w:fldCharType="end"/>
        </w:r>
      </w:hyperlink>
    </w:p>
    <w:p w:rsidR="00375AC5" w:rsidRDefault="00B27127">
      <w:pPr>
        <w:pStyle w:val="TOC1"/>
        <w:rPr>
          <w:rFonts w:asciiTheme="minorHAnsi" w:eastAsiaTheme="minorEastAsia" w:hAnsiTheme="minorHAnsi" w:cstheme="minorBidi"/>
          <w:bCs w:val="0"/>
          <w:caps w:val="0"/>
          <w:noProof/>
          <w:szCs w:val="22"/>
          <w:lang w:eastAsia="es-CO"/>
        </w:rPr>
      </w:pPr>
      <w:hyperlink w:anchor="_Toc298144736" w:history="1">
        <w:r w:rsidR="00375AC5" w:rsidRPr="00FD6319">
          <w:rPr>
            <w:rStyle w:val="Hyperlink"/>
            <w:noProof/>
          </w:rPr>
          <w:t>4</w:t>
        </w:r>
        <w:r w:rsidR="00375AC5">
          <w:rPr>
            <w:rFonts w:asciiTheme="minorHAnsi" w:eastAsiaTheme="minorEastAsia" w:hAnsiTheme="minorHAnsi" w:cstheme="minorBidi"/>
            <w:bCs w:val="0"/>
            <w:caps w:val="0"/>
            <w:noProof/>
            <w:szCs w:val="22"/>
            <w:lang w:eastAsia="es-CO"/>
          </w:rPr>
          <w:tab/>
        </w:r>
        <w:r w:rsidR="00375AC5" w:rsidRPr="00FD6319">
          <w:rPr>
            <w:rStyle w:val="Hyperlink"/>
            <w:noProof/>
          </w:rPr>
          <w:t>Evaluación Económica</w:t>
        </w:r>
        <w:r w:rsidR="00375AC5">
          <w:rPr>
            <w:noProof/>
            <w:webHidden/>
          </w:rPr>
          <w:tab/>
        </w:r>
        <w:r>
          <w:rPr>
            <w:noProof/>
            <w:webHidden/>
          </w:rPr>
          <w:fldChar w:fldCharType="begin"/>
        </w:r>
        <w:r w:rsidR="00375AC5">
          <w:rPr>
            <w:noProof/>
            <w:webHidden/>
          </w:rPr>
          <w:instrText xml:space="preserve"> PAGEREF _Toc298144736 \h </w:instrText>
        </w:r>
        <w:r>
          <w:rPr>
            <w:noProof/>
            <w:webHidden/>
          </w:rPr>
        </w:r>
        <w:r>
          <w:rPr>
            <w:noProof/>
            <w:webHidden/>
          </w:rPr>
          <w:fldChar w:fldCharType="separate"/>
        </w:r>
        <w:r w:rsidR="00375AC5">
          <w:rPr>
            <w:noProof/>
            <w:webHidden/>
          </w:rPr>
          <w:t>5</w:t>
        </w:r>
        <w:r>
          <w:rPr>
            <w:noProof/>
            <w:webHidden/>
          </w:rPr>
          <w:fldChar w:fldCharType="end"/>
        </w:r>
      </w:hyperlink>
    </w:p>
    <w:p w:rsidR="00375AC5" w:rsidRDefault="00B27127">
      <w:pPr>
        <w:pStyle w:val="TOC2"/>
        <w:rPr>
          <w:rFonts w:asciiTheme="minorHAnsi" w:eastAsiaTheme="minorEastAsia" w:hAnsiTheme="minorHAnsi" w:cstheme="minorBidi"/>
          <w:smallCaps w:val="0"/>
          <w:szCs w:val="22"/>
          <w:lang w:val="es-CO" w:eastAsia="es-CO"/>
        </w:rPr>
      </w:pPr>
      <w:hyperlink w:anchor="_Toc298144737" w:history="1">
        <w:r w:rsidR="00375AC5" w:rsidRPr="00FD6319">
          <w:rPr>
            <w:rStyle w:val="Hyperlink"/>
            <w:b/>
          </w:rPr>
          <w:t>4.1</w:t>
        </w:r>
        <w:r w:rsidR="00375AC5">
          <w:rPr>
            <w:rFonts w:asciiTheme="minorHAnsi" w:eastAsiaTheme="minorEastAsia" w:hAnsiTheme="minorHAnsi" w:cstheme="minorBidi"/>
            <w:smallCaps w:val="0"/>
            <w:szCs w:val="22"/>
            <w:lang w:val="es-CO" w:eastAsia="es-CO"/>
          </w:rPr>
          <w:tab/>
        </w:r>
        <w:r w:rsidR="00375AC5" w:rsidRPr="00FD6319">
          <w:rPr>
            <w:rStyle w:val="Hyperlink"/>
            <w:b/>
          </w:rPr>
          <w:t>Intervenciones y costos considerados en el análisis</w:t>
        </w:r>
        <w:r w:rsidR="00375AC5">
          <w:rPr>
            <w:webHidden/>
          </w:rPr>
          <w:tab/>
        </w:r>
        <w:r>
          <w:rPr>
            <w:webHidden/>
          </w:rPr>
          <w:fldChar w:fldCharType="begin"/>
        </w:r>
        <w:r w:rsidR="00375AC5">
          <w:rPr>
            <w:webHidden/>
          </w:rPr>
          <w:instrText xml:space="preserve"> PAGEREF _Toc298144737 \h </w:instrText>
        </w:r>
        <w:r>
          <w:rPr>
            <w:webHidden/>
          </w:rPr>
        </w:r>
        <w:r>
          <w:rPr>
            <w:webHidden/>
          </w:rPr>
          <w:fldChar w:fldCharType="separate"/>
        </w:r>
        <w:r w:rsidR="00375AC5">
          <w:rPr>
            <w:webHidden/>
          </w:rPr>
          <w:t>6</w:t>
        </w:r>
        <w:r>
          <w:rPr>
            <w:webHidden/>
          </w:rPr>
          <w:fldChar w:fldCharType="end"/>
        </w:r>
      </w:hyperlink>
    </w:p>
    <w:p w:rsidR="00375AC5" w:rsidRDefault="00B27127">
      <w:pPr>
        <w:pStyle w:val="TOC2"/>
        <w:rPr>
          <w:rFonts w:asciiTheme="minorHAnsi" w:eastAsiaTheme="minorEastAsia" w:hAnsiTheme="minorHAnsi" w:cstheme="minorBidi"/>
          <w:smallCaps w:val="0"/>
          <w:szCs w:val="22"/>
          <w:lang w:val="es-CO" w:eastAsia="es-CO"/>
        </w:rPr>
      </w:pPr>
      <w:hyperlink w:anchor="_Toc298144738" w:history="1">
        <w:r w:rsidR="00375AC5" w:rsidRPr="00FD6319">
          <w:rPr>
            <w:rStyle w:val="Hyperlink"/>
            <w:b/>
          </w:rPr>
          <w:t>4.2</w:t>
        </w:r>
        <w:r w:rsidR="00375AC5">
          <w:rPr>
            <w:rFonts w:asciiTheme="minorHAnsi" w:eastAsiaTheme="minorEastAsia" w:hAnsiTheme="minorHAnsi" w:cstheme="minorBidi"/>
            <w:smallCaps w:val="0"/>
            <w:szCs w:val="22"/>
            <w:lang w:val="es-CO" w:eastAsia="es-CO"/>
          </w:rPr>
          <w:tab/>
        </w:r>
        <w:r w:rsidR="00375AC5" w:rsidRPr="00FD6319">
          <w:rPr>
            <w:rStyle w:val="Hyperlink"/>
            <w:b/>
          </w:rPr>
          <w:t>Temas a considerar en la cuantificación de beneficios</w:t>
        </w:r>
        <w:r w:rsidR="00375AC5">
          <w:rPr>
            <w:webHidden/>
          </w:rPr>
          <w:tab/>
        </w:r>
        <w:r>
          <w:rPr>
            <w:webHidden/>
          </w:rPr>
          <w:fldChar w:fldCharType="begin"/>
        </w:r>
        <w:r w:rsidR="00375AC5">
          <w:rPr>
            <w:webHidden/>
          </w:rPr>
          <w:instrText xml:space="preserve"> PAGEREF _Toc298144738 \h </w:instrText>
        </w:r>
        <w:r>
          <w:rPr>
            <w:webHidden/>
          </w:rPr>
        </w:r>
        <w:r>
          <w:rPr>
            <w:webHidden/>
          </w:rPr>
          <w:fldChar w:fldCharType="separate"/>
        </w:r>
        <w:r w:rsidR="00375AC5">
          <w:rPr>
            <w:webHidden/>
          </w:rPr>
          <w:t>7</w:t>
        </w:r>
        <w:r>
          <w:rPr>
            <w:webHidden/>
          </w:rPr>
          <w:fldChar w:fldCharType="end"/>
        </w:r>
      </w:hyperlink>
    </w:p>
    <w:p w:rsidR="00375AC5" w:rsidRDefault="00B27127">
      <w:pPr>
        <w:pStyle w:val="TOC3"/>
        <w:tabs>
          <w:tab w:val="left" w:pos="1320"/>
          <w:tab w:val="right" w:leader="dot" w:pos="9390"/>
        </w:tabs>
        <w:rPr>
          <w:rFonts w:asciiTheme="minorHAnsi" w:eastAsiaTheme="minorEastAsia" w:hAnsiTheme="minorHAnsi" w:cstheme="minorBidi"/>
          <w:iCs w:val="0"/>
          <w:noProof/>
          <w:szCs w:val="22"/>
          <w:lang w:eastAsia="es-CO"/>
        </w:rPr>
      </w:pPr>
      <w:hyperlink w:anchor="_Toc298144739" w:history="1">
        <w:r w:rsidR="00375AC5" w:rsidRPr="00FD6319">
          <w:rPr>
            <w:rStyle w:val="Hyperlink"/>
            <w:noProof/>
          </w:rPr>
          <w:t>4.2.1</w:t>
        </w:r>
        <w:r w:rsidR="00375AC5">
          <w:rPr>
            <w:rFonts w:asciiTheme="minorHAnsi" w:eastAsiaTheme="minorEastAsia" w:hAnsiTheme="minorHAnsi" w:cstheme="minorBidi"/>
            <w:iCs w:val="0"/>
            <w:noProof/>
            <w:szCs w:val="22"/>
            <w:lang w:eastAsia="es-CO"/>
          </w:rPr>
          <w:tab/>
        </w:r>
        <w:r w:rsidR="00375AC5" w:rsidRPr="00FD6319">
          <w:rPr>
            <w:rStyle w:val="Hyperlink"/>
            <w:noProof/>
          </w:rPr>
          <w:t>Ahorro en tiempo de viaje de usuarios del MIO - Costo generalizado de viaje</w:t>
        </w:r>
        <w:r w:rsidR="00375AC5">
          <w:rPr>
            <w:noProof/>
            <w:webHidden/>
          </w:rPr>
          <w:tab/>
        </w:r>
        <w:r>
          <w:rPr>
            <w:noProof/>
            <w:webHidden/>
          </w:rPr>
          <w:fldChar w:fldCharType="begin"/>
        </w:r>
        <w:r w:rsidR="00375AC5">
          <w:rPr>
            <w:noProof/>
            <w:webHidden/>
          </w:rPr>
          <w:instrText xml:space="preserve"> PAGEREF _Toc298144739 \h </w:instrText>
        </w:r>
        <w:r>
          <w:rPr>
            <w:noProof/>
            <w:webHidden/>
          </w:rPr>
        </w:r>
        <w:r>
          <w:rPr>
            <w:noProof/>
            <w:webHidden/>
          </w:rPr>
          <w:fldChar w:fldCharType="separate"/>
        </w:r>
        <w:r w:rsidR="00375AC5">
          <w:rPr>
            <w:noProof/>
            <w:webHidden/>
          </w:rPr>
          <w:t>8</w:t>
        </w:r>
        <w:r>
          <w:rPr>
            <w:noProof/>
            <w:webHidden/>
          </w:rPr>
          <w:fldChar w:fldCharType="end"/>
        </w:r>
      </w:hyperlink>
    </w:p>
    <w:p w:rsidR="00375AC5" w:rsidRDefault="00B27127">
      <w:pPr>
        <w:pStyle w:val="TOC3"/>
        <w:tabs>
          <w:tab w:val="left" w:pos="1320"/>
          <w:tab w:val="right" w:leader="dot" w:pos="9390"/>
        </w:tabs>
        <w:rPr>
          <w:rFonts w:asciiTheme="minorHAnsi" w:eastAsiaTheme="minorEastAsia" w:hAnsiTheme="minorHAnsi" w:cstheme="minorBidi"/>
          <w:iCs w:val="0"/>
          <w:noProof/>
          <w:szCs w:val="22"/>
          <w:lang w:eastAsia="es-CO"/>
        </w:rPr>
      </w:pPr>
      <w:hyperlink w:anchor="_Toc298144740" w:history="1">
        <w:r w:rsidR="00375AC5" w:rsidRPr="00FD6319">
          <w:rPr>
            <w:rStyle w:val="Hyperlink"/>
            <w:noProof/>
          </w:rPr>
          <w:t>4.2.2</w:t>
        </w:r>
        <w:r w:rsidR="00375AC5">
          <w:rPr>
            <w:rFonts w:asciiTheme="minorHAnsi" w:eastAsiaTheme="minorEastAsia" w:hAnsiTheme="minorHAnsi" w:cstheme="minorBidi"/>
            <w:iCs w:val="0"/>
            <w:noProof/>
            <w:szCs w:val="22"/>
            <w:lang w:eastAsia="es-CO"/>
          </w:rPr>
          <w:tab/>
        </w:r>
        <w:r w:rsidR="00375AC5" w:rsidRPr="00FD6319">
          <w:rPr>
            <w:rStyle w:val="Hyperlink"/>
            <w:noProof/>
          </w:rPr>
          <w:t>Reducción de costo de operación para vehículos de transporte público</w:t>
        </w:r>
        <w:r w:rsidR="00375AC5">
          <w:rPr>
            <w:noProof/>
            <w:webHidden/>
          </w:rPr>
          <w:tab/>
        </w:r>
        <w:r>
          <w:rPr>
            <w:noProof/>
            <w:webHidden/>
          </w:rPr>
          <w:fldChar w:fldCharType="begin"/>
        </w:r>
        <w:r w:rsidR="00375AC5">
          <w:rPr>
            <w:noProof/>
            <w:webHidden/>
          </w:rPr>
          <w:instrText xml:space="preserve"> PAGEREF _Toc298144740 \h </w:instrText>
        </w:r>
        <w:r>
          <w:rPr>
            <w:noProof/>
            <w:webHidden/>
          </w:rPr>
        </w:r>
        <w:r>
          <w:rPr>
            <w:noProof/>
            <w:webHidden/>
          </w:rPr>
          <w:fldChar w:fldCharType="separate"/>
        </w:r>
        <w:r w:rsidR="00375AC5">
          <w:rPr>
            <w:noProof/>
            <w:webHidden/>
          </w:rPr>
          <w:t>8</w:t>
        </w:r>
        <w:r>
          <w:rPr>
            <w:noProof/>
            <w:webHidden/>
          </w:rPr>
          <w:fldChar w:fldCharType="end"/>
        </w:r>
      </w:hyperlink>
    </w:p>
    <w:p w:rsidR="00375AC5" w:rsidRDefault="00B27127">
      <w:pPr>
        <w:pStyle w:val="TOC3"/>
        <w:tabs>
          <w:tab w:val="left" w:pos="1320"/>
          <w:tab w:val="right" w:leader="dot" w:pos="9390"/>
        </w:tabs>
        <w:rPr>
          <w:rFonts w:asciiTheme="minorHAnsi" w:eastAsiaTheme="minorEastAsia" w:hAnsiTheme="minorHAnsi" w:cstheme="minorBidi"/>
          <w:iCs w:val="0"/>
          <w:noProof/>
          <w:szCs w:val="22"/>
          <w:lang w:eastAsia="es-CO"/>
        </w:rPr>
      </w:pPr>
      <w:hyperlink w:anchor="_Toc298144741" w:history="1">
        <w:r w:rsidR="00375AC5" w:rsidRPr="00FD6319">
          <w:rPr>
            <w:rStyle w:val="Hyperlink"/>
            <w:noProof/>
          </w:rPr>
          <w:t>4.2.3</w:t>
        </w:r>
        <w:r w:rsidR="00375AC5">
          <w:rPr>
            <w:rFonts w:asciiTheme="minorHAnsi" w:eastAsiaTheme="minorEastAsia" w:hAnsiTheme="minorHAnsi" w:cstheme="minorBidi"/>
            <w:iCs w:val="0"/>
            <w:noProof/>
            <w:szCs w:val="22"/>
            <w:lang w:eastAsia="es-CO"/>
          </w:rPr>
          <w:tab/>
        </w:r>
        <w:r w:rsidR="00375AC5" w:rsidRPr="00FD6319">
          <w:rPr>
            <w:rStyle w:val="Hyperlink"/>
            <w:noProof/>
          </w:rPr>
          <w:t>Cambio Modal, de automóvil a bus</w:t>
        </w:r>
        <w:r w:rsidR="00375AC5">
          <w:rPr>
            <w:noProof/>
            <w:webHidden/>
          </w:rPr>
          <w:tab/>
        </w:r>
        <w:r>
          <w:rPr>
            <w:noProof/>
            <w:webHidden/>
          </w:rPr>
          <w:fldChar w:fldCharType="begin"/>
        </w:r>
        <w:r w:rsidR="00375AC5">
          <w:rPr>
            <w:noProof/>
            <w:webHidden/>
          </w:rPr>
          <w:instrText xml:space="preserve"> PAGEREF _Toc298144741 \h </w:instrText>
        </w:r>
        <w:r>
          <w:rPr>
            <w:noProof/>
            <w:webHidden/>
          </w:rPr>
        </w:r>
        <w:r>
          <w:rPr>
            <w:noProof/>
            <w:webHidden/>
          </w:rPr>
          <w:fldChar w:fldCharType="separate"/>
        </w:r>
        <w:r w:rsidR="00375AC5">
          <w:rPr>
            <w:noProof/>
            <w:webHidden/>
          </w:rPr>
          <w:t>8</w:t>
        </w:r>
        <w:r>
          <w:rPr>
            <w:noProof/>
            <w:webHidden/>
          </w:rPr>
          <w:fldChar w:fldCharType="end"/>
        </w:r>
      </w:hyperlink>
    </w:p>
    <w:p w:rsidR="00375AC5" w:rsidRDefault="00B27127">
      <w:pPr>
        <w:pStyle w:val="TOC3"/>
        <w:tabs>
          <w:tab w:val="left" w:pos="1320"/>
          <w:tab w:val="right" w:leader="dot" w:pos="9390"/>
        </w:tabs>
        <w:rPr>
          <w:rFonts w:asciiTheme="minorHAnsi" w:eastAsiaTheme="minorEastAsia" w:hAnsiTheme="minorHAnsi" w:cstheme="minorBidi"/>
          <w:iCs w:val="0"/>
          <w:noProof/>
          <w:szCs w:val="22"/>
          <w:lang w:eastAsia="es-CO"/>
        </w:rPr>
      </w:pPr>
      <w:hyperlink w:anchor="_Toc298144742" w:history="1">
        <w:r w:rsidR="00375AC5" w:rsidRPr="00FD6319">
          <w:rPr>
            <w:rStyle w:val="Hyperlink"/>
            <w:noProof/>
          </w:rPr>
          <w:t>4.2.4</w:t>
        </w:r>
        <w:r w:rsidR="00375AC5">
          <w:rPr>
            <w:rFonts w:asciiTheme="minorHAnsi" w:eastAsiaTheme="minorEastAsia" w:hAnsiTheme="minorHAnsi" w:cstheme="minorBidi"/>
            <w:iCs w:val="0"/>
            <w:noProof/>
            <w:szCs w:val="22"/>
            <w:lang w:eastAsia="es-CO"/>
          </w:rPr>
          <w:tab/>
        </w:r>
        <w:r w:rsidR="00375AC5" w:rsidRPr="00FD6319">
          <w:rPr>
            <w:rStyle w:val="Hyperlink"/>
            <w:noProof/>
          </w:rPr>
          <w:t>Beneficios derivados de viajes generados por la implantación del MIO</w:t>
        </w:r>
        <w:r w:rsidR="00375AC5">
          <w:rPr>
            <w:noProof/>
            <w:webHidden/>
          </w:rPr>
          <w:tab/>
        </w:r>
        <w:r>
          <w:rPr>
            <w:noProof/>
            <w:webHidden/>
          </w:rPr>
          <w:fldChar w:fldCharType="begin"/>
        </w:r>
        <w:r w:rsidR="00375AC5">
          <w:rPr>
            <w:noProof/>
            <w:webHidden/>
          </w:rPr>
          <w:instrText xml:space="preserve"> PAGEREF _Toc298144742 \h </w:instrText>
        </w:r>
        <w:r>
          <w:rPr>
            <w:noProof/>
            <w:webHidden/>
          </w:rPr>
        </w:r>
        <w:r>
          <w:rPr>
            <w:noProof/>
            <w:webHidden/>
          </w:rPr>
          <w:fldChar w:fldCharType="separate"/>
        </w:r>
        <w:r w:rsidR="00375AC5">
          <w:rPr>
            <w:noProof/>
            <w:webHidden/>
          </w:rPr>
          <w:t>8</w:t>
        </w:r>
        <w:r>
          <w:rPr>
            <w:noProof/>
            <w:webHidden/>
          </w:rPr>
          <w:fldChar w:fldCharType="end"/>
        </w:r>
      </w:hyperlink>
    </w:p>
    <w:p w:rsidR="00375AC5" w:rsidRDefault="00B27127">
      <w:pPr>
        <w:pStyle w:val="TOC3"/>
        <w:tabs>
          <w:tab w:val="left" w:pos="1320"/>
          <w:tab w:val="right" w:leader="dot" w:pos="9390"/>
        </w:tabs>
        <w:rPr>
          <w:rFonts w:asciiTheme="minorHAnsi" w:eastAsiaTheme="minorEastAsia" w:hAnsiTheme="minorHAnsi" w:cstheme="minorBidi"/>
          <w:iCs w:val="0"/>
          <w:noProof/>
          <w:szCs w:val="22"/>
          <w:lang w:eastAsia="es-CO"/>
        </w:rPr>
      </w:pPr>
      <w:hyperlink w:anchor="_Toc298144743" w:history="1">
        <w:r w:rsidR="00375AC5" w:rsidRPr="00FD6319">
          <w:rPr>
            <w:rStyle w:val="Hyperlink"/>
            <w:noProof/>
          </w:rPr>
          <w:t>4.2.5</w:t>
        </w:r>
        <w:r w:rsidR="00375AC5">
          <w:rPr>
            <w:rFonts w:asciiTheme="minorHAnsi" w:eastAsiaTheme="minorEastAsia" w:hAnsiTheme="minorHAnsi" w:cstheme="minorBidi"/>
            <w:iCs w:val="0"/>
            <w:noProof/>
            <w:szCs w:val="22"/>
            <w:lang w:eastAsia="es-CO"/>
          </w:rPr>
          <w:tab/>
        </w:r>
        <w:r w:rsidR="00375AC5" w:rsidRPr="00FD6319">
          <w:rPr>
            <w:rStyle w:val="Hyperlink"/>
            <w:noProof/>
          </w:rPr>
          <w:t>Reducción de la accidentalidad por la introducción del MIO</w:t>
        </w:r>
        <w:r w:rsidR="00375AC5">
          <w:rPr>
            <w:noProof/>
            <w:webHidden/>
          </w:rPr>
          <w:tab/>
        </w:r>
        <w:r>
          <w:rPr>
            <w:noProof/>
            <w:webHidden/>
          </w:rPr>
          <w:fldChar w:fldCharType="begin"/>
        </w:r>
        <w:r w:rsidR="00375AC5">
          <w:rPr>
            <w:noProof/>
            <w:webHidden/>
          </w:rPr>
          <w:instrText xml:space="preserve"> PAGEREF _Toc298144743 \h </w:instrText>
        </w:r>
        <w:r>
          <w:rPr>
            <w:noProof/>
            <w:webHidden/>
          </w:rPr>
        </w:r>
        <w:r>
          <w:rPr>
            <w:noProof/>
            <w:webHidden/>
          </w:rPr>
          <w:fldChar w:fldCharType="separate"/>
        </w:r>
        <w:r w:rsidR="00375AC5">
          <w:rPr>
            <w:noProof/>
            <w:webHidden/>
          </w:rPr>
          <w:t>9</w:t>
        </w:r>
        <w:r>
          <w:rPr>
            <w:noProof/>
            <w:webHidden/>
          </w:rPr>
          <w:fldChar w:fldCharType="end"/>
        </w:r>
      </w:hyperlink>
    </w:p>
    <w:p w:rsidR="00375AC5" w:rsidRDefault="00B27127">
      <w:pPr>
        <w:pStyle w:val="TOC3"/>
        <w:tabs>
          <w:tab w:val="left" w:pos="1320"/>
          <w:tab w:val="right" w:leader="dot" w:pos="9390"/>
        </w:tabs>
        <w:rPr>
          <w:rFonts w:asciiTheme="minorHAnsi" w:eastAsiaTheme="minorEastAsia" w:hAnsiTheme="minorHAnsi" w:cstheme="minorBidi"/>
          <w:iCs w:val="0"/>
          <w:noProof/>
          <w:szCs w:val="22"/>
          <w:lang w:eastAsia="es-CO"/>
        </w:rPr>
      </w:pPr>
      <w:hyperlink w:anchor="_Toc298144744" w:history="1">
        <w:r w:rsidR="00375AC5" w:rsidRPr="00FD6319">
          <w:rPr>
            <w:rStyle w:val="Hyperlink"/>
            <w:noProof/>
          </w:rPr>
          <w:t>4.2.6</w:t>
        </w:r>
        <w:r w:rsidR="00375AC5">
          <w:rPr>
            <w:rFonts w:asciiTheme="minorHAnsi" w:eastAsiaTheme="minorEastAsia" w:hAnsiTheme="minorHAnsi" w:cstheme="minorBidi"/>
            <w:iCs w:val="0"/>
            <w:noProof/>
            <w:szCs w:val="22"/>
            <w:lang w:eastAsia="es-CO"/>
          </w:rPr>
          <w:tab/>
        </w:r>
        <w:r w:rsidR="00375AC5" w:rsidRPr="00FD6319">
          <w:rPr>
            <w:rStyle w:val="Hyperlink"/>
            <w:noProof/>
          </w:rPr>
          <w:t>Beneficios por reducción de emisiones</w:t>
        </w:r>
        <w:r w:rsidR="00375AC5">
          <w:rPr>
            <w:noProof/>
            <w:webHidden/>
          </w:rPr>
          <w:tab/>
        </w:r>
        <w:r>
          <w:rPr>
            <w:noProof/>
            <w:webHidden/>
          </w:rPr>
          <w:fldChar w:fldCharType="begin"/>
        </w:r>
        <w:r w:rsidR="00375AC5">
          <w:rPr>
            <w:noProof/>
            <w:webHidden/>
          </w:rPr>
          <w:instrText xml:space="preserve"> PAGEREF _Toc298144744 \h </w:instrText>
        </w:r>
        <w:r>
          <w:rPr>
            <w:noProof/>
            <w:webHidden/>
          </w:rPr>
        </w:r>
        <w:r>
          <w:rPr>
            <w:noProof/>
            <w:webHidden/>
          </w:rPr>
          <w:fldChar w:fldCharType="separate"/>
        </w:r>
        <w:r w:rsidR="00375AC5">
          <w:rPr>
            <w:noProof/>
            <w:webHidden/>
          </w:rPr>
          <w:t>9</w:t>
        </w:r>
        <w:r>
          <w:rPr>
            <w:noProof/>
            <w:webHidden/>
          </w:rPr>
          <w:fldChar w:fldCharType="end"/>
        </w:r>
      </w:hyperlink>
    </w:p>
    <w:p w:rsidR="00375AC5" w:rsidRDefault="00B27127">
      <w:pPr>
        <w:pStyle w:val="TOC1"/>
        <w:rPr>
          <w:rFonts w:asciiTheme="minorHAnsi" w:eastAsiaTheme="minorEastAsia" w:hAnsiTheme="minorHAnsi" w:cstheme="minorBidi"/>
          <w:bCs w:val="0"/>
          <w:caps w:val="0"/>
          <w:noProof/>
          <w:szCs w:val="22"/>
          <w:lang w:eastAsia="es-CO"/>
        </w:rPr>
      </w:pPr>
      <w:hyperlink w:anchor="_Toc298144745" w:history="1">
        <w:r w:rsidR="00375AC5" w:rsidRPr="00FD6319">
          <w:rPr>
            <w:rStyle w:val="Hyperlink"/>
            <w:noProof/>
          </w:rPr>
          <w:t>5</w:t>
        </w:r>
        <w:r w:rsidR="00375AC5">
          <w:rPr>
            <w:rFonts w:asciiTheme="minorHAnsi" w:eastAsiaTheme="minorEastAsia" w:hAnsiTheme="minorHAnsi" w:cstheme="minorBidi"/>
            <w:bCs w:val="0"/>
            <w:caps w:val="0"/>
            <w:noProof/>
            <w:szCs w:val="22"/>
            <w:lang w:eastAsia="es-CO"/>
          </w:rPr>
          <w:tab/>
        </w:r>
        <w:r w:rsidR="00375AC5" w:rsidRPr="00FD6319">
          <w:rPr>
            <w:rStyle w:val="Hyperlink"/>
            <w:noProof/>
          </w:rPr>
          <w:t>Resultados del análisis</w:t>
        </w:r>
        <w:r w:rsidR="00375AC5">
          <w:rPr>
            <w:noProof/>
            <w:webHidden/>
          </w:rPr>
          <w:tab/>
        </w:r>
        <w:r>
          <w:rPr>
            <w:noProof/>
            <w:webHidden/>
          </w:rPr>
          <w:fldChar w:fldCharType="begin"/>
        </w:r>
        <w:r w:rsidR="00375AC5">
          <w:rPr>
            <w:noProof/>
            <w:webHidden/>
          </w:rPr>
          <w:instrText xml:space="preserve"> PAGEREF _Toc298144745 \h </w:instrText>
        </w:r>
        <w:r>
          <w:rPr>
            <w:noProof/>
            <w:webHidden/>
          </w:rPr>
        </w:r>
        <w:r>
          <w:rPr>
            <w:noProof/>
            <w:webHidden/>
          </w:rPr>
          <w:fldChar w:fldCharType="separate"/>
        </w:r>
        <w:r w:rsidR="00375AC5">
          <w:rPr>
            <w:noProof/>
            <w:webHidden/>
          </w:rPr>
          <w:t>9</w:t>
        </w:r>
        <w:r>
          <w:rPr>
            <w:noProof/>
            <w:webHidden/>
          </w:rPr>
          <w:fldChar w:fldCharType="end"/>
        </w:r>
      </w:hyperlink>
    </w:p>
    <w:p w:rsidR="00375AC5" w:rsidRDefault="00B27127">
      <w:pPr>
        <w:pStyle w:val="TOC1"/>
        <w:rPr>
          <w:rFonts w:asciiTheme="minorHAnsi" w:eastAsiaTheme="minorEastAsia" w:hAnsiTheme="minorHAnsi" w:cstheme="minorBidi"/>
          <w:bCs w:val="0"/>
          <w:caps w:val="0"/>
          <w:noProof/>
          <w:szCs w:val="22"/>
          <w:lang w:eastAsia="es-CO"/>
        </w:rPr>
      </w:pPr>
      <w:hyperlink w:anchor="_Toc298144746" w:history="1">
        <w:r w:rsidR="00375AC5" w:rsidRPr="00FD6319">
          <w:rPr>
            <w:rStyle w:val="Hyperlink"/>
            <w:noProof/>
          </w:rPr>
          <w:t>6</w:t>
        </w:r>
        <w:r w:rsidR="00375AC5">
          <w:rPr>
            <w:rFonts w:asciiTheme="minorHAnsi" w:eastAsiaTheme="minorEastAsia" w:hAnsiTheme="minorHAnsi" w:cstheme="minorBidi"/>
            <w:bCs w:val="0"/>
            <w:caps w:val="0"/>
            <w:noProof/>
            <w:szCs w:val="22"/>
            <w:lang w:eastAsia="es-CO"/>
          </w:rPr>
          <w:tab/>
        </w:r>
        <w:r w:rsidR="00375AC5" w:rsidRPr="00FD6319">
          <w:rPr>
            <w:rStyle w:val="Hyperlink"/>
            <w:noProof/>
          </w:rPr>
          <w:t>Análisis de sensibilidad</w:t>
        </w:r>
        <w:r w:rsidR="00375AC5">
          <w:rPr>
            <w:noProof/>
            <w:webHidden/>
          </w:rPr>
          <w:tab/>
        </w:r>
        <w:r>
          <w:rPr>
            <w:noProof/>
            <w:webHidden/>
          </w:rPr>
          <w:fldChar w:fldCharType="begin"/>
        </w:r>
        <w:r w:rsidR="00375AC5">
          <w:rPr>
            <w:noProof/>
            <w:webHidden/>
          </w:rPr>
          <w:instrText xml:space="preserve"> PAGEREF _Toc298144746 \h </w:instrText>
        </w:r>
        <w:r>
          <w:rPr>
            <w:noProof/>
            <w:webHidden/>
          </w:rPr>
        </w:r>
        <w:r>
          <w:rPr>
            <w:noProof/>
            <w:webHidden/>
          </w:rPr>
          <w:fldChar w:fldCharType="separate"/>
        </w:r>
        <w:r w:rsidR="00375AC5">
          <w:rPr>
            <w:noProof/>
            <w:webHidden/>
          </w:rPr>
          <w:t>11</w:t>
        </w:r>
        <w:r>
          <w:rPr>
            <w:noProof/>
            <w:webHidden/>
          </w:rPr>
          <w:fldChar w:fldCharType="end"/>
        </w:r>
      </w:hyperlink>
    </w:p>
    <w:p w:rsidR="00375AC5" w:rsidRDefault="00B27127">
      <w:pPr>
        <w:pStyle w:val="TOC1"/>
        <w:rPr>
          <w:rFonts w:asciiTheme="minorHAnsi" w:eastAsiaTheme="minorEastAsia" w:hAnsiTheme="minorHAnsi" w:cstheme="minorBidi"/>
          <w:bCs w:val="0"/>
          <w:caps w:val="0"/>
          <w:noProof/>
          <w:szCs w:val="22"/>
          <w:lang w:eastAsia="es-CO"/>
        </w:rPr>
      </w:pPr>
      <w:hyperlink w:anchor="_Toc298144747" w:history="1">
        <w:r w:rsidR="00375AC5" w:rsidRPr="00FD6319">
          <w:rPr>
            <w:rStyle w:val="Hyperlink"/>
            <w:noProof/>
          </w:rPr>
          <w:t>7</w:t>
        </w:r>
        <w:r w:rsidR="00375AC5">
          <w:rPr>
            <w:rFonts w:asciiTheme="minorHAnsi" w:eastAsiaTheme="minorEastAsia" w:hAnsiTheme="minorHAnsi" w:cstheme="minorBidi"/>
            <w:bCs w:val="0"/>
            <w:caps w:val="0"/>
            <w:noProof/>
            <w:szCs w:val="22"/>
            <w:lang w:eastAsia="es-CO"/>
          </w:rPr>
          <w:tab/>
        </w:r>
        <w:r w:rsidR="00375AC5" w:rsidRPr="00FD6319">
          <w:rPr>
            <w:rStyle w:val="Hyperlink"/>
            <w:noProof/>
          </w:rPr>
          <w:t>Conclusiones</w:t>
        </w:r>
        <w:r w:rsidR="00375AC5">
          <w:rPr>
            <w:noProof/>
            <w:webHidden/>
          </w:rPr>
          <w:tab/>
        </w:r>
        <w:r>
          <w:rPr>
            <w:noProof/>
            <w:webHidden/>
          </w:rPr>
          <w:fldChar w:fldCharType="begin"/>
        </w:r>
        <w:r w:rsidR="00375AC5">
          <w:rPr>
            <w:noProof/>
            <w:webHidden/>
          </w:rPr>
          <w:instrText xml:space="preserve"> PAGEREF _Toc298144747 \h </w:instrText>
        </w:r>
        <w:r>
          <w:rPr>
            <w:noProof/>
            <w:webHidden/>
          </w:rPr>
        </w:r>
        <w:r>
          <w:rPr>
            <w:noProof/>
            <w:webHidden/>
          </w:rPr>
          <w:fldChar w:fldCharType="separate"/>
        </w:r>
        <w:r w:rsidR="00375AC5">
          <w:rPr>
            <w:noProof/>
            <w:webHidden/>
          </w:rPr>
          <w:t>12</w:t>
        </w:r>
        <w:r>
          <w:rPr>
            <w:noProof/>
            <w:webHidden/>
          </w:rPr>
          <w:fldChar w:fldCharType="end"/>
        </w:r>
      </w:hyperlink>
    </w:p>
    <w:p w:rsidR="004E15DE" w:rsidRDefault="00B27127" w:rsidP="004E15DE">
      <w:pPr>
        <w:pStyle w:val="Heading1"/>
        <w:numPr>
          <w:ilvl w:val="0"/>
          <w:numId w:val="0"/>
        </w:numPr>
        <w:ind w:left="431"/>
      </w:pPr>
      <w:r>
        <w:fldChar w:fldCharType="end"/>
      </w:r>
      <w:bookmarkStart w:id="3" w:name="_Ref286877181"/>
      <w:bookmarkStart w:id="4" w:name="_Toc286885239"/>
      <w:bookmarkStart w:id="5" w:name="_Toc297104627"/>
    </w:p>
    <w:p w:rsidR="004E15DE" w:rsidRDefault="004E15DE" w:rsidP="004E15DE">
      <w:pPr>
        <w:pStyle w:val="Heading1"/>
        <w:numPr>
          <w:ilvl w:val="0"/>
          <w:numId w:val="0"/>
        </w:numPr>
        <w:ind w:left="431"/>
      </w:pPr>
    </w:p>
    <w:p w:rsidR="004E15DE" w:rsidRDefault="004E15DE" w:rsidP="004E15DE">
      <w:pPr>
        <w:pStyle w:val="Heading1"/>
        <w:numPr>
          <w:ilvl w:val="0"/>
          <w:numId w:val="0"/>
        </w:numPr>
        <w:ind w:left="431"/>
      </w:pPr>
    </w:p>
    <w:p w:rsidR="004E15DE" w:rsidRDefault="004E15DE">
      <w:pPr>
        <w:spacing w:after="0"/>
        <w:jc w:val="left"/>
        <w:rPr>
          <w:rFonts w:cs="Arial"/>
          <w:b/>
          <w:bCs w:val="0"/>
          <w:caps/>
          <w:kern w:val="32"/>
        </w:rPr>
      </w:pPr>
      <w:r>
        <w:br w:type="page"/>
      </w:r>
    </w:p>
    <w:p w:rsidR="004E15DE" w:rsidRDefault="004E15DE" w:rsidP="004E15DE">
      <w:pPr>
        <w:pStyle w:val="Heading1"/>
        <w:numPr>
          <w:ilvl w:val="0"/>
          <w:numId w:val="0"/>
        </w:numPr>
        <w:ind w:left="431"/>
      </w:pPr>
    </w:p>
    <w:p w:rsidR="00794982" w:rsidRPr="00D67A43" w:rsidRDefault="00ED7021" w:rsidP="001C37A7">
      <w:pPr>
        <w:pStyle w:val="Heading1"/>
        <w:spacing w:before="0" w:after="0"/>
      </w:pPr>
      <w:bookmarkStart w:id="6" w:name="_Toc298144730"/>
      <w:r w:rsidRPr="00D67A43">
        <w:t>I</w:t>
      </w:r>
      <w:r w:rsidR="000E31DF" w:rsidRPr="00D67A43">
        <w:t>ntroduc</w:t>
      </w:r>
      <w:r w:rsidRPr="00D67A43">
        <w:t>ción</w:t>
      </w:r>
      <w:bookmarkEnd w:id="0"/>
      <w:bookmarkEnd w:id="1"/>
      <w:bookmarkEnd w:id="2"/>
      <w:bookmarkEnd w:id="3"/>
      <w:bookmarkEnd w:id="4"/>
      <w:bookmarkEnd w:id="5"/>
      <w:bookmarkEnd w:id="6"/>
    </w:p>
    <w:p w:rsidR="00A46623" w:rsidRDefault="00A46623" w:rsidP="001C37A7">
      <w:pPr>
        <w:spacing w:after="0"/>
      </w:pPr>
    </w:p>
    <w:p w:rsidR="00E039CB" w:rsidRPr="00960AB9" w:rsidRDefault="009E76F2" w:rsidP="001C37A7">
      <w:pPr>
        <w:spacing w:after="0"/>
        <w:rPr>
          <w:lang w:val="es-MX"/>
        </w:rPr>
      </w:pPr>
      <w:r w:rsidRPr="00960AB9">
        <w:t>El</w:t>
      </w:r>
      <w:r w:rsidRPr="00960AB9">
        <w:rPr>
          <w:lang w:val="es-MX"/>
        </w:rPr>
        <w:t xml:space="preserve"> Banco Interamericano de Desarrollo </w:t>
      </w:r>
      <w:r w:rsidR="00E039CB" w:rsidRPr="00960AB9">
        <w:rPr>
          <w:lang w:val="es-MX"/>
        </w:rPr>
        <w:t xml:space="preserve">(BID) ha apoyado la ejecución del proyecto del Sistema Integrado de Transporte Urbano Masivo de Pasajeros (SITM) de Santiago de Cali, también conocido como el MIO de Cali. Este proyecto se ejecuta dentro de la política de transporte urbano del Gobierno Nacional, la cual </w:t>
      </w:r>
      <w:r w:rsidR="00AB7720" w:rsidRPr="00960AB9">
        <w:rPr>
          <w:lang w:val="es-MX"/>
        </w:rPr>
        <w:t>define</w:t>
      </w:r>
      <w:r w:rsidR="00E039CB" w:rsidRPr="00960AB9">
        <w:rPr>
          <w:lang w:val="es-MX"/>
        </w:rPr>
        <w:t xml:space="preserve"> la realización de SITM en las ciudades mayores de </w:t>
      </w:r>
      <w:r w:rsidR="009A1664" w:rsidRPr="00960AB9">
        <w:rPr>
          <w:lang w:val="es-MX"/>
        </w:rPr>
        <w:t xml:space="preserve">600.000 habitantes </w:t>
      </w:r>
      <w:r w:rsidR="00E039CB" w:rsidRPr="00960AB9">
        <w:rPr>
          <w:lang w:val="es-MX"/>
        </w:rPr>
        <w:t xml:space="preserve">y de Sistemas </w:t>
      </w:r>
      <w:r w:rsidR="00C90BD9" w:rsidRPr="00960AB9">
        <w:rPr>
          <w:lang w:val="es-MX"/>
        </w:rPr>
        <w:t>Estratégicos</w:t>
      </w:r>
      <w:r w:rsidR="00E039CB" w:rsidRPr="00960AB9">
        <w:rPr>
          <w:lang w:val="es-MX"/>
        </w:rPr>
        <w:t xml:space="preserve"> de Transporte Público (SETP) en las ciudades menores.</w:t>
      </w:r>
    </w:p>
    <w:p w:rsidR="00AB7720" w:rsidRPr="00960AB9" w:rsidRDefault="00AB7720" w:rsidP="00894C18">
      <w:pPr>
        <w:rPr>
          <w:lang w:val="es-MX"/>
        </w:rPr>
      </w:pPr>
      <w:r w:rsidRPr="00960AB9">
        <w:rPr>
          <w:lang w:val="es-MX"/>
        </w:rPr>
        <w:t xml:space="preserve">El objetivo de este informe consiste en realizar una </w:t>
      </w:r>
      <w:r w:rsidR="009A1664" w:rsidRPr="00960AB9">
        <w:rPr>
          <w:lang w:val="es-MX"/>
        </w:rPr>
        <w:t xml:space="preserve">revisión </w:t>
      </w:r>
      <w:r w:rsidRPr="00960AB9">
        <w:rPr>
          <w:lang w:val="es-MX"/>
        </w:rPr>
        <w:t xml:space="preserve">de la evaluación económica del proyecto, </w:t>
      </w:r>
      <w:r w:rsidR="00CE66A7">
        <w:rPr>
          <w:lang w:val="es-MX"/>
        </w:rPr>
        <w:t xml:space="preserve">para incorporar dentro del análisis los ajustes que se han hecho al mismo desde el momento en que se hizo la evaluación del mismo para la operación inicial de crédito por US$ 200 Millones, en aspectos como </w:t>
      </w:r>
      <w:r w:rsidRPr="00960AB9">
        <w:rPr>
          <w:lang w:val="es-MX"/>
        </w:rPr>
        <w:t xml:space="preserve">inversiones </w:t>
      </w:r>
      <w:r w:rsidR="00CE66A7">
        <w:rPr>
          <w:lang w:val="es-MX"/>
        </w:rPr>
        <w:t xml:space="preserve">en infraestructura, en material rodante y en el sistema de recaudo y control de la operación. </w:t>
      </w:r>
    </w:p>
    <w:p w:rsidR="00F41D8E" w:rsidRPr="00EE4408" w:rsidRDefault="00F41D8E" w:rsidP="00F41D8E">
      <w:pPr>
        <w:rPr>
          <w:b/>
          <w:lang w:val="es-MX"/>
        </w:rPr>
      </w:pPr>
      <w:r w:rsidRPr="00EE4408">
        <w:rPr>
          <w:lang w:val="es-MX"/>
        </w:rPr>
        <w:t>El M</w:t>
      </w:r>
      <w:r>
        <w:rPr>
          <w:lang w:val="es-MX"/>
        </w:rPr>
        <w:t>asivo Integrado de Occidente (M</w:t>
      </w:r>
      <w:r w:rsidRPr="00EE4408">
        <w:rPr>
          <w:lang w:val="es-MX"/>
        </w:rPr>
        <w:t>IO</w:t>
      </w:r>
      <w:r>
        <w:rPr>
          <w:lang w:val="es-MX"/>
        </w:rPr>
        <w:t>)</w:t>
      </w:r>
      <w:r w:rsidRPr="00EE4408">
        <w:rPr>
          <w:lang w:val="es-MX"/>
        </w:rPr>
        <w:t xml:space="preserve"> de Cali inici</w:t>
      </w:r>
      <w:r>
        <w:rPr>
          <w:lang w:val="es-MX"/>
        </w:rPr>
        <w:t>ó</w:t>
      </w:r>
      <w:r w:rsidRPr="00EE4408">
        <w:rPr>
          <w:lang w:val="es-MX"/>
        </w:rPr>
        <w:t xml:space="preserve"> pruebas en el mes de noviembre de 2008 y entró en operación en marzo de 2009. Desde entonces su cubrimiento de la demanda se ha ido incrementando poco a poco, y se espera que cuando se complete plenamente, </w:t>
      </w:r>
      <w:r>
        <w:rPr>
          <w:lang w:val="es-MX"/>
        </w:rPr>
        <w:t>atienda e</w:t>
      </w:r>
      <w:r w:rsidRPr="00EE4408">
        <w:rPr>
          <w:lang w:val="es-MX"/>
        </w:rPr>
        <w:t>l 100% de la demanda</w:t>
      </w:r>
      <w:r>
        <w:rPr>
          <w:lang w:val="es-MX"/>
        </w:rPr>
        <w:t xml:space="preserve"> de transporte público en la ciudad</w:t>
      </w:r>
      <w:r w:rsidRPr="00EE4408">
        <w:rPr>
          <w:lang w:val="es-MX"/>
        </w:rPr>
        <w:t xml:space="preserve">. </w:t>
      </w:r>
    </w:p>
    <w:p w:rsidR="002D158A" w:rsidRPr="00960AB9" w:rsidRDefault="00450685" w:rsidP="00894C18">
      <w:pPr>
        <w:rPr>
          <w:lang w:val="es-MX"/>
        </w:rPr>
      </w:pPr>
      <w:r>
        <w:rPr>
          <w:lang w:val="es-MX"/>
        </w:rPr>
        <w:t>El alcance</w:t>
      </w:r>
      <w:r w:rsidR="00CE66A7">
        <w:rPr>
          <w:lang w:val="es-MX"/>
        </w:rPr>
        <w:t xml:space="preserve"> actual del proyecto contempla su desarrollo</w:t>
      </w:r>
      <w:r w:rsidR="006B6135" w:rsidRPr="00960AB9">
        <w:rPr>
          <w:lang w:val="es-MX"/>
        </w:rPr>
        <w:t xml:space="preserve"> en dos fases las cuales incluyen la construcción de </w:t>
      </w:r>
      <w:r w:rsidR="00E03FC8" w:rsidRPr="00960AB9">
        <w:rPr>
          <w:lang w:val="es-MX"/>
        </w:rPr>
        <w:t xml:space="preserve">un total de </w:t>
      </w:r>
      <w:r w:rsidR="006B6135" w:rsidRPr="00960AB9">
        <w:rPr>
          <w:lang w:val="es-MX"/>
        </w:rPr>
        <w:t xml:space="preserve">38,9 km de </w:t>
      </w:r>
      <w:r w:rsidR="00E03FC8" w:rsidRPr="00960AB9">
        <w:rPr>
          <w:lang w:val="es-MX"/>
        </w:rPr>
        <w:t xml:space="preserve">corredores </w:t>
      </w:r>
      <w:r w:rsidR="006B6135" w:rsidRPr="00960AB9">
        <w:rPr>
          <w:lang w:val="es-MX"/>
        </w:rPr>
        <w:t xml:space="preserve">troncales y 243 km de </w:t>
      </w:r>
      <w:r w:rsidR="00E03FC8" w:rsidRPr="00960AB9">
        <w:rPr>
          <w:lang w:val="es-MX"/>
        </w:rPr>
        <w:t xml:space="preserve">corredores </w:t>
      </w:r>
      <w:r w:rsidR="00C90BD9" w:rsidRPr="00960AB9">
        <w:rPr>
          <w:lang w:val="es-MX"/>
        </w:rPr>
        <w:t>pre troncales</w:t>
      </w:r>
      <w:r w:rsidR="006B6135" w:rsidRPr="00960AB9">
        <w:rPr>
          <w:lang w:val="es-MX"/>
        </w:rPr>
        <w:t xml:space="preserve"> y </w:t>
      </w:r>
      <w:r w:rsidR="00E03FC8" w:rsidRPr="00960AB9">
        <w:rPr>
          <w:lang w:val="es-MX"/>
        </w:rPr>
        <w:t>complementarios, 7 estaciones terminales (portales), 4 estaciones de transferencia, 55 estaciones</w:t>
      </w:r>
      <w:r w:rsidR="006A6C11" w:rsidRPr="00960AB9">
        <w:rPr>
          <w:lang w:val="es-MX"/>
        </w:rPr>
        <w:t xml:space="preserve"> sencilla, </w:t>
      </w:r>
      <w:r w:rsidR="00E03FC8" w:rsidRPr="00960AB9">
        <w:rPr>
          <w:lang w:val="es-MX"/>
        </w:rPr>
        <w:t xml:space="preserve"> 9 </w:t>
      </w:r>
      <w:r w:rsidR="006A6C11" w:rsidRPr="00960AB9">
        <w:rPr>
          <w:lang w:val="es-MX"/>
        </w:rPr>
        <w:t xml:space="preserve">intersecciones a desnivel </w:t>
      </w:r>
      <w:r w:rsidR="00E03FC8" w:rsidRPr="00960AB9">
        <w:rPr>
          <w:lang w:val="es-MX"/>
        </w:rPr>
        <w:t xml:space="preserve"> y 17 pasos peatonales. </w:t>
      </w:r>
    </w:p>
    <w:p w:rsidR="008D304E" w:rsidRDefault="00C90BD9" w:rsidP="001C37A7">
      <w:pPr>
        <w:spacing w:after="0"/>
        <w:rPr>
          <w:lang w:val="es-MX"/>
        </w:rPr>
      </w:pPr>
      <w:r w:rsidRPr="00960AB9">
        <w:rPr>
          <w:lang w:val="es-MX"/>
        </w:rPr>
        <w:t xml:space="preserve">En cuanto a flota de vehículos, el proyecto, en pleno funcionamiento, contempla la utilización de 937 </w:t>
      </w:r>
      <w:r w:rsidR="009A1664" w:rsidRPr="00960AB9">
        <w:rPr>
          <w:lang w:val="es-MX"/>
        </w:rPr>
        <w:t>buses</w:t>
      </w:r>
      <w:r w:rsidRPr="00960AB9">
        <w:rPr>
          <w:lang w:val="es-MX"/>
        </w:rPr>
        <w:t xml:space="preserve"> articulados, padrones y corrientes, una cifra </w:t>
      </w:r>
      <w:r w:rsidR="009A1664" w:rsidRPr="00960AB9">
        <w:rPr>
          <w:lang w:val="es-MX"/>
        </w:rPr>
        <w:t xml:space="preserve">muy </w:t>
      </w:r>
      <w:r w:rsidRPr="00960AB9">
        <w:rPr>
          <w:lang w:val="es-MX"/>
        </w:rPr>
        <w:t>inferior a</w:t>
      </w:r>
      <w:r w:rsidR="00AB7720" w:rsidRPr="00960AB9">
        <w:rPr>
          <w:lang w:val="es-MX"/>
        </w:rPr>
        <w:t>l total de</w:t>
      </w:r>
      <w:r w:rsidRPr="00960AB9">
        <w:rPr>
          <w:lang w:val="es-MX"/>
        </w:rPr>
        <w:t xml:space="preserve"> los 4.3</w:t>
      </w:r>
      <w:r w:rsidR="00AB7720" w:rsidRPr="00960AB9">
        <w:rPr>
          <w:lang w:val="es-MX"/>
        </w:rPr>
        <w:t>89</w:t>
      </w:r>
      <w:r w:rsidRPr="00960AB9">
        <w:rPr>
          <w:lang w:val="es-MX"/>
        </w:rPr>
        <w:t xml:space="preserve"> existentes</w:t>
      </w:r>
      <w:r w:rsidR="009A1664" w:rsidRPr="00960AB9">
        <w:rPr>
          <w:lang w:val="es-MX"/>
        </w:rPr>
        <w:t xml:space="preserve"> en la ciudad en el año 2007</w:t>
      </w:r>
      <w:r w:rsidRPr="00960AB9">
        <w:rPr>
          <w:lang w:val="es-MX"/>
        </w:rPr>
        <w:t xml:space="preserve">. </w:t>
      </w:r>
      <w:r w:rsidR="00AB7720" w:rsidRPr="00960AB9">
        <w:rPr>
          <w:lang w:val="es-MX"/>
        </w:rPr>
        <w:t>Esto conlleva</w:t>
      </w:r>
      <w:r w:rsidR="00CE66A7">
        <w:rPr>
          <w:lang w:val="es-MX"/>
        </w:rPr>
        <w:t>,</w:t>
      </w:r>
      <w:r w:rsidRPr="00960AB9">
        <w:rPr>
          <w:lang w:val="es-MX"/>
        </w:rPr>
        <w:t xml:space="preserve"> necesariamente</w:t>
      </w:r>
      <w:r w:rsidR="00AB7720" w:rsidRPr="00960AB9">
        <w:rPr>
          <w:lang w:val="es-MX"/>
        </w:rPr>
        <w:t>,</w:t>
      </w:r>
      <w:r w:rsidRPr="00960AB9">
        <w:rPr>
          <w:lang w:val="es-MX"/>
        </w:rPr>
        <w:t xml:space="preserve"> a la adquisición de vehículos nuevos </w:t>
      </w:r>
      <w:r w:rsidR="00AB7720" w:rsidRPr="00960AB9">
        <w:rPr>
          <w:lang w:val="es-MX"/>
        </w:rPr>
        <w:t xml:space="preserve">(articulados y padrones) </w:t>
      </w:r>
      <w:r w:rsidRPr="00960AB9">
        <w:rPr>
          <w:lang w:val="es-MX"/>
        </w:rPr>
        <w:t xml:space="preserve">y la salida del servicio de un gran número de los buses </w:t>
      </w:r>
      <w:r w:rsidR="009A1664" w:rsidRPr="00960AB9">
        <w:rPr>
          <w:lang w:val="es-MX"/>
        </w:rPr>
        <w:t>que prestaban el servicio colectivo de pasajeros</w:t>
      </w:r>
      <w:r w:rsidRPr="00960AB9">
        <w:rPr>
          <w:lang w:val="es-MX"/>
        </w:rPr>
        <w:t>.</w:t>
      </w:r>
    </w:p>
    <w:p w:rsidR="001C37A7" w:rsidRPr="00960AB9" w:rsidRDefault="001C37A7" w:rsidP="001C37A7">
      <w:pPr>
        <w:spacing w:after="0"/>
        <w:rPr>
          <w:lang w:val="es-MX"/>
        </w:rPr>
      </w:pPr>
    </w:p>
    <w:p w:rsidR="009E76F2" w:rsidRDefault="009E76F2" w:rsidP="001C37A7">
      <w:pPr>
        <w:pStyle w:val="Heading1"/>
        <w:spacing w:before="0" w:after="0"/>
      </w:pPr>
      <w:bookmarkStart w:id="7" w:name="_Toc286885240"/>
      <w:bookmarkStart w:id="8" w:name="_Toc297104628"/>
      <w:bookmarkStart w:id="9" w:name="_Toc298144731"/>
      <w:r w:rsidRPr="00D67A43">
        <w:t>Antecedentes</w:t>
      </w:r>
      <w:bookmarkEnd w:id="7"/>
      <w:bookmarkEnd w:id="8"/>
      <w:bookmarkEnd w:id="9"/>
    </w:p>
    <w:p w:rsidR="0066141C" w:rsidRPr="0066141C" w:rsidRDefault="0066141C" w:rsidP="001C37A7">
      <w:pPr>
        <w:spacing w:after="0"/>
      </w:pPr>
    </w:p>
    <w:p w:rsidR="00F41D8E" w:rsidRDefault="00F41D8E" w:rsidP="001C37A7">
      <w:pPr>
        <w:spacing w:after="0"/>
      </w:pPr>
      <w:r w:rsidRPr="00EE4408">
        <w:t>Tradicionalmente el transporte público de pasajeros urbanos en Cali, como en la mayoría de las ciudades colombianas, estuvo basado en la utilización de un gran número de buses de servicio colectivo grandes y pequeños los cuales operaban en carriles mixtos de la malla vial de la ciudad. Esta operación se caracterizaba</w:t>
      </w:r>
      <w:r>
        <w:t>,</w:t>
      </w:r>
      <w:r w:rsidRPr="00EE4408">
        <w:t xml:space="preserve"> entre otros aspectos, por el alto número de empresas</w:t>
      </w:r>
      <w:r>
        <w:t xml:space="preserve"> y </w:t>
      </w:r>
      <w:r w:rsidRPr="00EE4408">
        <w:t>vehículos</w:t>
      </w:r>
      <w:r>
        <w:t xml:space="preserve">, un gran </w:t>
      </w:r>
      <w:r w:rsidRPr="00EE4408">
        <w:t xml:space="preserve">número de rutas </w:t>
      </w:r>
      <w:r>
        <w:t xml:space="preserve">con </w:t>
      </w:r>
      <w:r w:rsidRPr="00EE4408">
        <w:t>recorridos</w:t>
      </w:r>
      <w:r>
        <w:t xml:space="preserve"> innecesariamente largos</w:t>
      </w:r>
      <w:r w:rsidRPr="00EE4408">
        <w:t xml:space="preserve">, </w:t>
      </w:r>
      <w:r>
        <w:t xml:space="preserve">y competencia en el mercado. Estas características, en conjunto, llevaban a una baja calidad del servicio, una </w:t>
      </w:r>
      <w:r w:rsidRPr="00EE4408">
        <w:t xml:space="preserve">alta accidentalidad y </w:t>
      </w:r>
      <w:r>
        <w:t xml:space="preserve">otra serie de externalidades negativas sobre el entorno y la movilidad urbana como una mayor </w:t>
      </w:r>
      <w:r w:rsidRPr="00EE4408">
        <w:t xml:space="preserve">congestión </w:t>
      </w:r>
      <w:r>
        <w:t xml:space="preserve">vehicular, una mayor emisión de agentes contaminantes y altos niveles de ruido. </w:t>
      </w:r>
    </w:p>
    <w:p w:rsidR="002950B3" w:rsidRPr="00EE4408" w:rsidRDefault="002950B3" w:rsidP="001C37A7">
      <w:pPr>
        <w:spacing w:after="0"/>
        <w:rPr>
          <w:b/>
        </w:rPr>
      </w:pPr>
    </w:p>
    <w:p w:rsidR="00597015" w:rsidRPr="00960AB9" w:rsidRDefault="00A63F74" w:rsidP="00894C18">
      <w:r w:rsidRPr="00960AB9">
        <w:t xml:space="preserve">Conscientes de lo anterior, distintas administraciones municipales propusieron </w:t>
      </w:r>
      <w:r w:rsidR="0027327F" w:rsidRPr="00960AB9">
        <w:t xml:space="preserve">una reorganización del transporte público urbano mediante </w:t>
      </w:r>
      <w:r w:rsidRPr="00960AB9">
        <w:t>la construcción de un sistema de transporte m</w:t>
      </w:r>
      <w:r w:rsidR="00F41D8E">
        <w:t>asivo. Inicialmente se contempló</w:t>
      </w:r>
      <w:r w:rsidRPr="00960AB9">
        <w:t xml:space="preserve"> un tren ligero y posteriormente, se evolucionó hacia un sistema </w:t>
      </w:r>
      <w:r w:rsidR="00597015" w:rsidRPr="00960AB9">
        <w:t xml:space="preserve">moderno, basado </w:t>
      </w:r>
      <w:r w:rsidR="0027327F" w:rsidRPr="00960AB9">
        <w:t xml:space="preserve">en troncales y </w:t>
      </w:r>
      <w:r w:rsidR="00597015" w:rsidRPr="00960AB9">
        <w:t>buses</w:t>
      </w:r>
      <w:r w:rsidR="0027327F" w:rsidRPr="00960AB9">
        <w:t xml:space="preserve"> de gran capacidad</w:t>
      </w:r>
      <w:r w:rsidR="00597015" w:rsidRPr="00960AB9">
        <w:t xml:space="preserve">, </w:t>
      </w:r>
      <w:r w:rsidRPr="00960AB9">
        <w:t xml:space="preserve">similar al </w:t>
      </w:r>
      <w:r w:rsidR="00F41D8E">
        <w:t>Sistema TransM</w:t>
      </w:r>
      <w:r w:rsidRPr="00960AB9">
        <w:t xml:space="preserve">ilenio </w:t>
      </w:r>
      <w:r w:rsidR="00F41D8E">
        <w:t xml:space="preserve">de </w:t>
      </w:r>
      <w:r w:rsidRPr="00960AB9">
        <w:t xml:space="preserve">Bogotá. Esta evolución se plasmó en los documentos CONPES 3166 del 23 de mayo de 2002 “Sistema Integrado de Transporte Masivo de Pasajeros para Santiago de Cali – Seguimiento”, CONPES 3369 del 1 de agosto de 2005 “Sistema Integrado de Servicio Público Urbano de Transporte Masivo de Pasajeros para Santiago de Cali – Seguimiento” y CONPES 3504 del 17 de diciembre de 2007 “Sistema Integrado de Servicio </w:t>
      </w:r>
      <w:r w:rsidR="00725566" w:rsidRPr="00960AB9">
        <w:t>Público</w:t>
      </w:r>
      <w:r w:rsidRPr="00960AB9">
        <w:t xml:space="preserve"> Urbano de Transporte Masivo de pasajeros para Cali – Seguimiento”. En cada uno d</w:t>
      </w:r>
      <w:r w:rsidR="0027327F" w:rsidRPr="00960AB9">
        <w:t xml:space="preserve">e estos documentos se presenta la historia del proyecto y </w:t>
      </w:r>
      <w:r w:rsidRPr="00960AB9">
        <w:t xml:space="preserve">las distintas actualizaciones </w:t>
      </w:r>
      <w:r w:rsidR="0027327F" w:rsidRPr="00960AB9">
        <w:t xml:space="preserve">que se han realizado </w:t>
      </w:r>
      <w:r w:rsidRPr="00960AB9">
        <w:t xml:space="preserve">en lo que respecta a su cobertura física, fases de ejecución y contenido, costo actualizado con una discriminación entre inversión pública e inversión privada, impacto socioeconómico y ambiental  y, finalmente, una revisión de la evaluación económica del proyecto. </w:t>
      </w:r>
    </w:p>
    <w:p w:rsidR="00F41D8E" w:rsidRDefault="0027327F" w:rsidP="00894C18">
      <w:r w:rsidRPr="00960AB9">
        <w:t xml:space="preserve">Metrocali </w:t>
      </w:r>
      <w:r w:rsidR="00F41D8E">
        <w:t xml:space="preserve">S.A. </w:t>
      </w:r>
      <w:r w:rsidRPr="00960AB9">
        <w:t xml:space="preserve">también ha realizado evaluaciones sobre la rentabilidad del proyecto y mantiene actualizada una base de datos sobre el avance del proyecto y la operación del Sistema. </w:t>
      </w:r>
      <w:r w:rsidR="00F41D8E" w:rsidRPr="00EE4408">
        <w:t xml:space="preserve">En el año 2006 por ejemplo, Metrocali preparó  un “Documento Técnico de Revisión y Ajuste” </w:t>
      </w:r>
      <w:r w:rsidR="00F41D8E">
        <w:t>a partir del cual se replantearon los alcances físicos del proyecto que fueron incorporados mediante Documento CONPES 3504. Estas modificaciones, además de contribuir a mejorar el ambiente urbano y la movilidad de la ciudad, mejorarían el acceso a las zonas de ladera mediante un sistema de Cable, denominado Metrocable, que se integraría con el SITM en la estación de Cañaveralejo. Esta revisión también estuvo acompañada de una revisión de la evaluación económica del proyecto.</w:t>
      </w:r>
    </w:p>
    <w:p w:rsidR="0027327F" w:rsidRDefault="0027327F" w:rsidP="00894C18">
      <w:r w:rsidRPr="00960AB9">
        <w:t>El Ministerio de Transporte (MT) mantiene actualizada una  hoja resumen sobre el proyecto</w:t>
      </w:r>
      <w:r w:rsidR="00450685">
        <w:t xml:space="preserve"> (ficha)</w:t>
      </w:r>
      <w:r w:rsidRPr="00960AB9">
        <w:t>, en la cual se incluye</w:t>
      </w:r>
      <w:r w:rsidR="008D304E">
        <w:t>n</w:t>
      </w:r>
      <w:r w:rsidRPr="00960AB9">
        <w:t xml:space="preserve"> las cifras y los desarrollo más importantes con respecto al avance </w:t>
      </w:r>
      <w:r w:rsidR="008D304E">
        <w:t xml:space="preserve">del proyecto en materia de  obras y </w:t>
      </w:r>
      <w:r w:rsidRPr="00960AB9">
        <w:t xml:space="preserve"> operación del sistema.</w:t>
      </w:r>
    </w:p>
    <w:p w:rsidR="00373217" w:rsidRPr="00960AB9" w:rsidRDefault="00373217" w:rsidP="00894C18">
      <w:r>
        <w:t xml:space="preserve">El DNP por su parte, </w:t>
      </w:r>
      <w:r w:rsidR="0066141C">
        <w:t>está</w:t>
      </w:r>
      <w:r>
        <w:t xml:space="preserve"> adelantando un estudio de post-evaluación del proyecto de Cali con una firma consultora.</w:t>
      </w:r>
    </w:p>
    <w:p w:rsidR="008D304E" w:rsidRDefault="00945087" w:rsidP="00894C18">
      <w:r>
        <w:t xml:space="preserve">En este informe se realizó una evaluación  siguiendo la metodología comúnmente utilizada en este tipo de proyectos. </w:t>
      </w:r>
      <w:r w:rsidR="00F41D8E">
        <w:t xml:space="preserve">Algunos de los resultados </w:t>
      </w:r>
      <w:r>
        <w:t xml:space="preserve">se presentan en el capítulo 5 y se detallan en la hoja de </w:t>
      </w:r>
      <w:r w:rsidR="00131C1B">
        <w:t>cálculo</w:t>
      </w:r>
      <w:r>
        <w:t xml:space="preserve"> adjunta.</w:t>
      </w:r>
    </w:p>
    <w:p w:rsidR="00BB0FCC" w:rsidRPr="00D67A43" w:rsidRDefault="003A1930" w:rsidP="00D67A43">
      <w:pPr>
        <w:pStyle w:val="Heading1"/>
      </w:pPr>
      <w:bookmarkStart w:id="10" w:name="_Toc297104629"/>
      <w:bookmarkStart w:id="11" w:name="_Toc298144732"/>
      <w:bookmarkStart w:id="12" w:name="_Ref286877500"/>
      <w:bookmarkStart w:id="13" w:name="_Toc286885241"/>
      <w:r w:rsidRPr="00D67A43">
        <w:t>Metodología de análisis</w:t>
      </w:r>
      <w:bookmarkEnd w:id="10"/>
      <w:bookmarkEnd w:id="11"/>
      <w:r w:rsidRPr="00D67A43">
        <w:t xml:space="preserve"> </w:t>
      </w:r>
      <w:bookmarkEnd w:id="12"/>
      <w:bookmarkEnd w:id="13"/>
      <w:r w:rsidR="00604DA3" w:rsidRPr="00D67A43">
        <w:t xml:space="preserve"> </w:t>
      </w:r>
    </w:p>
    <w:p w:rsidR="00073156" w:rsidRPr="00674A2E" w:rsidRDefault="008D304E" w:rsidP="00894C18">
      <w:pPr>
        <w:pStyle w:val="Heading2"/>
        <w:rPr>
          <w:b/>
          <w:lang w:val="es-MX"/>
        </w:rPr>
      </w:pPr>
      <w:bookmarkStart w:id="14" w:name="_Toc297104630"/>
      <w:bookmarkStart w:id="15" w:name="_Toc298144733"/>
      <w:r w:rsidRPr="00674A2E">
        <w:rPr>
          <w:b/>
          <w:lang w:val="es-MX"/>
        </w:rPr>
        <w:t>Revisión del e</w:t>
      </w:r>
      <w:r w:rsidR="005745F7" w:rsidRPr="00674A2E">
        <w:rPr>
          <w:b/>
          <w:lang w:val="es-MX"/>
        </w:rPr>
        <w:t>stado actual del proyecto</w:t>
      </w:r>
      <w:bookmarkEnd w:id="14"/>
      <w:bookmarkEnd w:id="15"/>
    </w:p>
    <w:p w:rsidR="00A279BC" w:rsidRPr="00960AB9" w:rsidRDefault="00F41D8E" w:rsidP="00894C18">
      <w:pPr>
        <w:rPr>
          <w:lang w:val="es-MX"/>
        </w:rPr>
      </w:pPr>
      <w:r w:rsidRPr="00EE4408">
        <w:rPr>
          <w:lang w:val="es-MX"/>
        </w:rPr>
        <w:t xml:space="preserve">Inicialmente se identificaron y revisaron los documentos, informes y fichas mencionadas en el capitulo anterior. Como conclusión puede afirmarse que el proyecto está plenamente definido y ya se encuentra en operación. Sin embargo, la infraestructura básica aun no se ha concluido (la construcción de las troncales y pre troncales está muy avanzadas pero la construcción de </w:t>
      </w:r>
      <w:r>
        <w:rPr>
          <w:lang w:val="es-MX"/>
        </w:rPr>
        <w:t xml:space="preserve">los portales y estaciones de </w:t>
      </w:r>
      <w:r w:rsidRPr="00EE4408">
        <w:rPr>
          <w:lang w:val="es-MX"/>
        </w:rPr>
        <w:t>transferencia está retrasada - solo hay una en operación) y la flota vehicular de buses troncales,  padrones y alimentadores solo llega, aproximadamente, al 50% de lo previsto (96 articulados,  224 padrones y  119 complementarios/alimentadores). Consecuentemente, aun hay un alto número de buses de transporte colectivo en operación y el cubrimiento por parte del MIO de la demanda es de</w:t>
      </w:r>
      <w:r w:rsidR="00373217">
        <w:rPr>
          <w:lang w:val="es-MX"/>
        </w:rPr>
        <w:t xml:space="preserve"> aproximadamente</w:t>
      </w:r>
      <w:r w:rsidRPr="00EE4408">
        <w:rPr>
          <w:lang w:val="es-MX"/>
        </w:rPr>
        <w:t xml:space="preserve">  31 % (estimación con base en ficha MT). </w:t>
      </w:r>
    </w:p>
    <w:p w:rsidR="00A279BC" w:rsidRPr="00674A2E" w:rsidRDefault="005807D9" w:rsidP="0066141C">
      <w:pPr>
        <w:pStyle w:val="Heading2"/>
        <w:spacing w:before="0" w:after="0"/>
        <w:rPr>
          <w:b/>
          <w:lang w:val="es-MX"/>
        </w:rPr>
      </w:pPr>
      <w:bookmarkStart w:id="16" w:name="_Toc297104631"/>
      <w:bookmarkStart w:id="17" w:name="_Toc298144734"/>
      <w:r w:rsidRPr="00674A2E">
        <w:rPr>
          <w:b/>
          <w:lang w:val="es-MX"/>
        </w:rPr>
        <w:t xml:space="preserve">Revisión de las evaluaciones realizadas en la </w:t>
      </w:r>
      <w:r w:rsidR="00A279BC" w:rsidRPr="00674A2E">
        <w:rPr>
          <w:b/>
          <w:lang w:val="es-MX"/>
        </w:rPr>
        <w:t>documentación existente</w:t>
      </w:r>
      <w:bookmarkEnd w:id="16"/>
      <w:bookmarkEnd w:id="17"/>
    </w:p>
    <w:p w:rsidR="001932C5" w:rsidRDefault="001932C5" w:rsidP="0066141C">
      <w:pPr>
        <w:spacing w:after="0"/>
      </w:pPr>
    </w:p>
    <w:p w:rsidR="0066141C" w:rsidRDefault="00F41D8E" w:rsidP="0066141C">
      <w:pPr>
        <w:spacing w:after="0"/>
      </w:pPr>
      <w:r w:rsidRPr="00EE4408">
        <w:t>Todos los ejercicios realizados en diferentes años y por diferentes entidades señalan una rentabilidad económica positiva</w:t>
      </w:r>
      <w:r w:rsidR="00217253">
        <w:t>, tal como se detalla en los diferentes informes y documentos oficiales.</w:t>
      </w:r>
    </w:p>
    <w:p w:rsidR="00217253" w:rsidRPr="00EE4408" w:rsidRDefault="00217253" w:rsidP="0066141C">
      <w:pPr>
        <w:spacing w:after="0"/>
        <w:rPr>
          <w:b/>
        </w:rPr>
      </w:pPr>
    </w:p>
    <w:p w:rsidR="00F41D8E" w:rsidRPr="00EE4408" w:rsidRDefault="00F41D8E" w:rsidP="00F41D8E">
      <w:pPr>
        <w:rPr>
          <w:b/>
        </w:rPr>
      </w:pPr>
      <w:r w:rsidRPr="00EE4408">
        <w:t>Para efectos de la evaluación económica en todos los casos se consideran los costos asociados a la infraestructura y los equipos necesarios para la operación (buses y otros equipos), los costos que se producen como consecuencia de las demoras que se presentan durante la construcción, los ahorros en materia de costos de operación entre la flota nueva y la anterior en transporte colectivo, los ahorros en tiempo de viaje de los usuarios, los ahorros por una menor accidentalidad y, en algunos casos, los ahorros por una menor contaminación ambiental. Cabe señalar que aquellos beneficios por ahorros en tiempo o costos por demoras en la construcción se convirtieron en beneficios económicos usando un factor de conversión denominado “valor del tiempo”, indicador que es calculado como un promedio ponderado de los ingresos mensuales que perciben distintos grupos de usuarios del transporte público.</w:t>
      </w:r>
    </w:p>
    <w:p w:rsidR="00F41D8E" w:rsidRPr="00EE4408" w:rsidRDefault="00F41D8E" w:rsidP="00F41D8E">
      <w:pPr>
        <w:rPr>
          <w:b/>
        </w:rPr>
      </w:pPr>
      <w:r>
        <w:t xml:space="preserve">Al no contar con información detallada sobre los tráficos por las principales vías del sistema, no fue posible estimar aquellos beneficios derivados de </w:t>
      </w:r>
      <w:r w:rsidRPr="00EE4408">
        <w:t>ahorro</w:t>
      </w:r>
      <w:r>
        <w:t>s</w:t>
      </w:r>
      <w:r w:rsidRPr="00EE4408">
        <w:t xml:space="preserve"> en tiempo de viaje del transporte particular, ahorros por menores costos de operación del transporte privado ni tampoco ahorros  originados en cambios modales (transporte particular – transporte público).  </w:t>
      </w:r>
    </w:p>
    <w:p w:rsidR="00F41D8E" w:rsidRPr="00F41D8E" w:rsidRDefault="00F41D8E" w:rsidP="00F41D8E">
      <w:r w:rsidRPr="00F41D8E">
        <w:t xml:space="preserve">Todas las evaluaciones se realizaron siguiendo los criterios de la tasa interna de retorno económico (TIRE),  el VPN y la relación Beneficio/Costo del proyecto, considerando para estos dos últimos una tasa económica de descuento del 12%.  </w:t>
      </w:r>
    </w:p>
    <w:p w:rsidR="00992473" w:rsidRPr="00674A2E" w:rsidRDefault="00674A2E" w:rsidP="00F41D8E">
      <w:pPr>
        <w:pStyle w:val="Heading2"/>
        <w:rPr>
          <w:b/>
          <w:lang w:val="es-MX"/>
        </w:rPr>
      </w:pPr>
      <w:bookmarkStart w:id="18" w:name="_Toc298144735"/>
      <w:r>
        <w:rPr>
          <w:b/>
          <w:lang w:val="es-MX"/>
        </w:rPr>
        <w:t>Datos básicos</w:t>
      </w:r>
      <w:r w:rsidR="00554B0D">
        <w:rPr>
          <w:b/>
          <w:lang w:val="es-MX"/>
        </w:rPr>
        <w:t xml:space="preserve"> – Insumos de </w:t>
      </w:r>
      <w:r w:rsidR="00B04338">
        <w:rPr>
          <w:b/>
          <w:lang w:val="es-MX"/>
        </w:rPr>
        <w:t>análisis</w:t>
      </w:r>
      <w:bookmarkEnd w:id="18"/>
    </w:p>
    <w:p w:rsidR="00A66095" w:rsidRDefault="00A66095" w:rsidP="001C37A7">
      <w:pPr>
        <w:spacing w:after="0"/>
        <w:rPr>
          <w:lang w:val="es-MX"/>
        </w:rPr>
      </w:pPr>
      <w:r>
        <w:rPr>
          <w:lang w:val="es-MX"/>
        </w:rPr>
        <w:t>El presente documento se concentra en</w:t>
      </w:r>
      <w:r w:rsidR="00217253">
        <w:rPr>
          <w:lang w:val="es-MX"/>
        </w:rPr>
        <w:t xml:space="preserve"> una revisión de</w:t>
      </w:r>
      <w:r>
        <w:rPr>
          <w:lang w:val="es-MX"/>
        </w:rPr>
        <w:t xml:space="preserve"> la evaluación económica del SITM de Santiago de Cali y en esa medida se basa </w:t>
      </w:r>
      <w:r w:rsidR="00217253">
        <w:rPr>
          <w:lang w:val="es-MX"/>
        </w:rPr>
        <w:t xml:space="preserve">por una parte, </w:t>
      </w:r>
      <w:r>
        <w:rPr>
          <w:lang w:val="es-MX"/>
        </w:rPr>
        <w:t xml:space="preserve">en </w:t>
      </w:r>
      <w:r w:rsidR="00373217">
        <w:rPr>
          <w:lang w:val="es-MX"/>
        </w:rPr>
        <w:t xml:space="preserve">el alcance revisado por las autoridades locales y nacionales </w:t>
      </w:r>
      <w:r>
        <w:rPr>
          <w:lang w:val="es-MX"/>
        </w:rPr>
        <w:t xml:space="preserve">y </w:t>
      </w:r>
      <w:r w:rsidR="00217253">
        <w:rPr>
          <w:lang w:val="es-MX"/>
        </w:rPr>
        <w:t xml:space="preserve">por otra, </w:t>
      </w:r>
      <w:r w:rsidR="00373217">
        <w:rPr>
          <w:lang w:val="es-MX"/>
        </w:rPr>
        <w:t>en las expectativas definida</w:t>
      </w:r>
      <w:r>
        <w:rPr>
          <w:lang w:val="es-MX"/>
        </w:rPr>
        <w:t xml:space="preserve">s en documentos de política o en acuerdos vigentes entre el gobierno nacional y local. En consecuencia, las principales fuentes de información </w:t>
      </w:r>
      <w:r w:rsidR="00373217">
        <w:rPr>
          <w:lang w:val="es-MX"/>
        </w:rPr>
        <w:t>son los d</w:t>
      </w:r>
      <w:r>
        <w:rPr>
          <w:lang w:val="es-MX"/>
        </w:rPr>
        <w:t xml:space="preserve">ocumentos CONPES vigentes sobre la materia y </w:t>
      </w:r>
      <w:r w:rsidR="00373217">
        <w:rPr>
          <w:lang w:val="es-MX"/>
        </w:rPr>
        <w:t xml:space="preserve">los </w:t>
      </w:r>
      <w:r>
        <w:rPr>
          <w:lang w:val="es-MX"/>
        </w:rPr>
        <w:t xml:space="preserve">estudios y/o programas de desarrollo </w:t>
      </w:r>
      <w:r w:rsidR="00E13A04">
        <w:rPr>
          <w:lang w:val="es-MX"/>
        </w:rPr>
        <w:t xml:space="preserve">del proyecto que tengan alguna aprobación o aval del Gobierno Nacional y de Metro Cali. </w:t>
      </w:r>
    </w:p>
    <w:p w:rsidR="001C37A7" w:rsidRDefault="001C37A7" w:rsidP="001C37A7">
      <w:pPr>
        <w:spacing w:after="0"/>
        <w:rPr>
          <w:lang w:val="es-MX"/>
        </w:rPr>
      </w:pPr>
    </w:p>
    <w:p w:rsidR="004813E6" w:rsidRDefault="0010022A" w:rsidP="001C37A7">
      <w:pPr>
        <w:pStyle w:val="Heading1"/>
        <w:spacing w:before="0" w:after="0"/>
      </w:pPr>
      <w:bookmarkStart w:id="19" w:name="_Toc297104632"/>
      <w:bookmarkStart w:id="20" w:name="_Toc298144736"/>
      <w:r w:rsidRPr="00D67A43">
        <w:t>Evaluación</w:t>
      </w:r>
      <w:r w:rsidR="004813E6" w:rsidRPr="00D67A43">
        <w:t xml:space="preserve"> </w:t>
      </w:r>
      <w:r w:rsidR="00894C18" w:rsidRPr="00D67A43">
        <w:t>Económica</w:t>
      </w:r>
      <w:bookmarkEnd w:id="19"/>
      <w:bookmarkEnd w:id="20"/>
    </w:p>
    <w:p w:rsidR="001C37A7" w:rsidRPr="001C37A7" w:rsidRDefault="001C37A7" w:rsidP="001C37A7"/>
    <w:p w:rsidR="00894C18" w:rsidRDefault="0010516D" w:rsidP="001C37A7">
      <w:pPr>
        <w:spacing w:after="0"/>
      </w:pPr>
      <w:r>
        <w:t xml:space="preserve">La evaluación económica tuvo en cuenta los costos y beneficios que se indican en la </w:t>
      </w:r>
      <w:r w:rsidR="00217253">
        <w:t>Tabla1</w:t>
      </w:r>
      <w:r>
        <w:t xml:space="preserve">. Como puede observarse, los beneficios asociados al </w:t>
      </w:r>
      <w:r w:rsidR="00131C1B">
        <w:t>tráfico</w:t>
      </w:r>
      <w:r>
        <w:t xml:space="preserve"> mixto en las vías que se mejoran no se consideraron</w:t>
      </w:r>
      <w:r w:rsidR="00C25E92">
        <w:t xml:space="preserve">, toda vez que  no se obtuvo información confiable sobre los volúmenes vehiculares de las vías que permitieran determinar el número de beneficiarios. </w:t>
      </w:r>
      <w:bookmarkStart w:id="21" w:name="_Toc286885243"/>
    </w:p>
    <w:p w:rsidR="00217253" w:rsidRDefault="00217253" w:rsidP="004C6D1F">
      <w:pPr>
        <w:pStyle w:val="Caption"/>
        <w:keepNext/>
      </w:pPr>
      <w:bookmarkStart w:id="22" w:name="_Ref297146781"/>
    </w:p>
    <w:p w:rsidR="004C6D1F" w:rsidRDefault="004C6D1F" w:rsidP="004C6D1F">
      <w:pPr>
        <w:pStyle w:val="Caption"/>
        <w:keepNext/>
      </w:pPr>
      <w:r>
        <w:t xml:space="preserve">Tabla </w:t>
      </w:r>
      <w:bookmarkEnd w:id="22"/>
      <w:r w:rsidR="00217253">
        <w:t>1</w:t>
      </w:r>
      <w:r>
        <w:t xml:space="preserve"> – Costos y beneficios considerados para la Evaluación Económica.</w:t>
      </w:r>
    </w:p>
    <w:tbl>
      <w:tblPr>
        <w:tblStyle w:val="TableGrid"/>
        <w:tblW w:w="0" w:type="auto"/>
        <w:tblLook w:val="04A0"/>
      </w:tblPr>
      <w:tblGrid>
        <w:gridCol w:w="4770"/>
        <w:gridCol w:w="4770"/>
      </w:tblGrid>
      <w:tr w:rsidR="009474E2" w:rsidTr="00EA1010">
        <w:tc>
          <w:tcPr>
            <w:tcW w:w="9540" w:type="dxa"/>
            <w:gridSpan w:val="2"/>
            <w:shd w:val="clear" w:color="auto" w:fill="D9D9D9" w:themeFill="background1" w:themeFillShade="D9"/>
            <w:vAlign w:val="center"/>
          </w:tcPr>
          <w:p w:rsidR="009474E2" w:rsidRPr="0010516D" w:rsidRDefault="009474E2" w:rsidP="002607F0">
            <w:pPr>
              <w:spacing w:line="240" w:lineRule="auto"/>
              <w:jc w:val="center"/>
              <w:rPr>
                <w:rFonts w:cs="Arial"/>
                <w:b/>
                <w:bCs w:val="0"/>
                <w:iCs/>
                <w:lang w:val="es-MX"/>
              </w:rPr>
            </w:pPr>
            <w:r w:rsidRPr="0010516D">
              <w:rPr>
                <w:rFonts w:cs="Arial"/>
                <w:b/>
                <w:bCs w:val="0"/>
                <w:iCs/>
                <w:lang w:val="es-MX"/>
              </w:rPr>
              <w:t>Cuantificación de Costos</w:t>
            </w:r>
          </w:p>
        </w:tc>
      </w:tr>
      <w:tr w:rsidR="009474E2" w:rsidTr="00EA1010">
        <w:tc>
          <w:tcPr>
            <w:tcW w:w="4770" w:type="dxa"/>
            <w:shd w:val="clear" w:color="auto" w:fill="D9D9D9" w:themeFill="background1" w:themeFillShade="D9"/>
            <w:vAlign w:val="center"/>
          </w:tcPr>
          <w:p w:rsidR="009474E2" w:rsidRPr="0010516D" w:rsidRDefault="009474E2" w:rsidP="002607F0">
            <w:pPr>
              <w:spacing w:line="240" w:lineRule="auto"/>
              <w:jc w:val="center"/>
              <w:rPr>
                <w:rFonts w:cs="Arial"/>
                <w:b/>
                <w:bCs w:val="0"/>
                <w:iCs/>
                <w:lang w:val="es-MX"/>
              </w:rPr>
            </w:pPr>
            <w:r w:rsidRPr="0010516D">
              <w:rPr>
                <w:rFonts w:cs="Arial"/>
                <w:b/>
                <w:bCs w:val="0"/>
                <w:iCs/>
                <w:lang w:val="es-MX"/>
              </w:rPr>
              <w:t>Considerado</w:t>
            </w:r>
            <w:r w:rsidR="0010516D">
              <w:rPr>
                <w:rFonts w:cs="Arial"/>
                <w:b/>
                <w:bCs w:val="0"/>
                <w:iCs/>
                <w:lang w:val="es-MX"/>
              </w:rPr>
              <w:t>s</w:t>
            </w:r>
          </w:p>
        </w:tc>
        <w:tc>
          <w:tcPr>
            <w:tcW w:w="4770" w:type="dxa"/>
            <w:shd w:val="clear" w:color="auto" w:fill="D9D9D9" w:themeFill="background1" w:themeFillShade="D9"/>
            <w:vAlign w:val="center"/>
          </w:tcPr>
          <w:p w:rsidR="009474E2" w:rsidRPr="0010516D" w:rsidRDefault="009474E2" w:rsidP="002607F0">
            <w:pPr>
              <w:spacing w:line="240" w:lineRule="auto"/>
              <w:jc w:val="center"/>
              <w:rPr>
                <w:rFonts w:cs="Arial"/>
                <w:b/>
                <w:bCs w:val="0"/>
                <w:iCs/>
                <w:lang w:val="es-MX"/>
              </w:rPr>
            </w:pPr>
            <w:r w:rsidRPr="0010516D">
              <w:rPr>
                <w:rFonts w:cs="Arial"/>
                <w:b/>
                <w:bCs w:val="0"/>
                <w:iCs/>
                <w:lang w:val="es-MX"/>
              </w:rPr>
              <w:t>No considerado</w:t>
            </w:r>
            <w:r w:rsidR="0010516D">
              <w:rPr>
                <w:rFonts w:cs="Arial"/>
                <w:b/>
                <w:bCs w:val="0"/>
                <w:iCs/>
                <w:lang w:val="es-MX"/>
              </w:rPr>
              <w:t>s</w:t>
            </w:r>
          </w:p>
        </w:tc>
      </w:tr>
      <w:tr w:rsidR="009474E2" w:rsidTr="00EA1010">
        <w:tc>
          <w:tcPr>
            <w:tcW w:w="4770" w:type="dxa"/>
            <w:vAlign w:val="center"/>
          </w:tcPr>
          <w:p w:rsidR="009474E2" w:rsidRDefault="009474E2" w:rsidP="002607F0">
            <w:pPr>
              <w:spacing w:line="240" w:lineRule="auto"/>
              <w:jc w:val="left"/>
            </w:pPr>
            <w:r>
              <w:t xml:space="preserve">Infraestructura y operación </w:t>
            </w:r>
            <w:r w:rsidR="0010516D">
              <w:t xml:space="preserve">(troncales, buses, </w:t>
            </w:r>
            <w:r w:rsidR="00131C1B">
              <w:t>etc.</w:t>
            </w:r>
            <w:r w:rsidR="0010516D">
              <w:t>)</w:t>
            </w:r>
          </w:p>
        </w:tc>
        <w:tc>
          <w:tcPr>
            <w:tcW w:w="4770" w:type="dxa"/>
            <w:vAlign w:val="center"/>
          </w:tcPr>
          <w:p w:rsidR="009474E2" w:rsidRDefault="009474E2" w:rsidP="002607F0">
            <w:pPr>
              <w:spacing w:line="240" w:lineRule="auto"/>
              <w:jc w:val="left"/>
            </w:pPr>
            <w:r>
              <w:t>Costos asociados a demoras en la ejecución de obras</w:t>
            </w:r>
          </w:p>
        </w:tc>
      </w:tr>
    </w:tbl>
    <w:p w:rsidR="008E2CAE" w:rsidRDefault="008E2CAE"/>
    <w:tbl>
      <w:tblPr>
        <w:tblStyle w:val="TableGrid"/>
        <w:tblW w:w="0" w:type="auto"/>
        <w:tblLook w:val="04A0"/>
      </w:tblPr>
      <w:tblGrid>
        <w:gridCol w:w="4770"/>
        <w:gridCol w:w="4770"/>
      </w:tblGrid>
      <w:tr w:rsidR="009474E2" w:rsidTr="00EA1010">
        <w:tc>
          <w:tcPr>
            <w:tcW w:w="9540" w:type="dxa"/>
            <w:gridSpan w:val="2"/>
            <w:shd w:val="clear" w:color="auto" w:fill="D9D9D9" w:themeFill="background1" w:themeFillShade="D9"/>
          </w:tcPr>
          <w:p w:rsidR="009474E2" w:rsidRPr="0010516D" w:rsidRDefault="009474E2" w:rsidP="002607F0">
            <w:pPr>
              <w:spacing w:line="240" w:lineRule="auto"/>
              <w:jc w:val="center"/>
              <w:rPr>
                <w:rFonts w:cs="Arial"/>
                <w:b/>
                <w:bCs w:val="0"/>
                <w:iCs/>
                <w:lang w:val="es-MX"/>
              </w:rPr>
            </w:pPr>
            <w:r w:rsidRPr="0010516D">
              <w:rPr>
                <w:rFonts w:cs="Arial"/>
                <w:b/>
                <w:bCs w:val="0"/>
                <w:iCs/>
                <w:lang w:val="es-MX"/>
              </w:rPr>
              <w:t>Cuantificación de Beneficios</w:t>
            </w:r>
          </w:p>
        </w:tc>
      </w:tr>
      <w:tr w:rsidR="009474E2" w:rsidTr="00EA1010">
        <w:tc>
          <w:tcPr>
            <w:tcW w:w="4770" w:type="dxa"/>
            <w:shd w:val="clear" w:color="auto" w:fill="D9D9D9" w:themeFill="background1" w:themeFillShade="D9"/>
          </w:tcPr>
          <w:p w:rsidR="009474E2" w:rsidRPr="0010516D" w:rsidRDefault="009474E2" w:rsidP="002607F0">
            <w:pPr>
              <w:spacing w:line="240" w:lineRule="auto"/>
              <w:jc w:val="center"/>
              <w:rPr>
                <w:rFonts w:cs="Arial"/>
                <w:b/>
                <w:bCs w:val="0"/>
                <w:iCs/>
                <w:lang w:val="es-MX"/>
              </w:rPr>
            </w:pPr>
            <w:r w:rsidRPr="0010516D">
              <w:rPr>
                <w:rFonts w:cs="Arial"/>
                <w:b/>
                <w:bCs w:val="0"/>
                <w:iCs/>
                <w:lang w:val="es-MX"/>
              </w:rPr>
              <w:t>Considerado</w:t>
            </w:r>
            <w:r w:rsidR="0010516D">
              <w:rPr>
                <w:rFonts w:cs="Arial"/>
                <w:b/>
                <w:bCs w:val="0"/>
                <w:iCs/>
                <w:lang w:val="es-MX"/>
              </w:rPr>
              <w:t>s</w:t>
            </w:r>
          </w:p>
        </w:tc>
        <w:tc>
          <w:tcPr>
            <w:tcW w:w="4770" w:type="dxa"/>
            <w:shd w:val="clear" w:color="auto" w:fill="D9D9D9" w:themeFill="background1" w:themeFillShade="D9"/>
          </w:tcPr>
          <w:p w:rsidR="009474E2" w:rsidRPr="0010516D" w:rsidRDefault="009474E2" w:rsidP="002607F0">
            <w:pPr>
              <w:spacing w:line="240" w:lineRule="auto"/>
              <w:jc w:val="center"/>
              <w:rPr>
                <w:rFonts w:cs="Arial"/>
                <w:b/>
                <w:bCs w:val="0"/>
                <w:iCs/>
                <w:lang w:val="es-MX"/>
              </w:rPr>
            </w:pPr>
            <w:r w:rsidRPr="0010516D">
              <w:rPr>
                <w:rFonts w:cs="Arial"/>
                <w:b/>
                <w:bCs w:val="0"/>
                <w:iCs/>
                <w:lang w:val="es-MX"/>
              </w:rPr>
              <w:t>No considerado</w:t>
            </w:r>
            <w:r w:rsidR="0010516D">
              <w:rPr>
                <w:rFonts w:cs="Arial"/>
                <w:b/>
                <w:bCs w:val="0"/>
                <w:iCs/>
                <w:lang w:val="es-MX"/>
              </w:rPr>
              <w:t>s</w:t>
            </w:r>
          </w:p>
        </w:tc>
      </w:tr>
      <w:tr w:rsidR="009474E2" w:rsidTr="009474E2">
        <w:tc>
          <w:tcPr>
            <w:tcW w:w="4770" w:type="dxa"/>
          </w:tcPr>
          <w:p w:rsidR="009474E2" w:rsidRDefault="009474E2" w:rsidP="002607F0">
            <w:pPr>
              <w:spacing w:line="240" w:lineRule="auto"/>
            </w:pPr>
            <w:r>
              <w:t>Reducción generalizado de viaje</w:t>
            </w:r>
          </w:p>
        </w:tc>
        <w:tc>
          <w:tcPr>
            <w:tcW w:w="4770" w:type="dxa"/>
          </w:tcPr>
          <w:p w:rsidR="009474E2" w:rsidRDefault="0010516D" w:rsidP="002607F0">
            <w:pPr>
              <w:spacing w:line="240" w:lineRule="auto"/>
            </w:pPr>
            <w:r>
              <w:t>Ahorro en tiempo para el transito mixto</w:t>
            </w:r>
            <w:r w:rsidR="00814FC1">
              <w:t xml:space="preserve"> (transporte privado)</w:t>
            </w:r>
          </w:p>
        </w:tc>
      </w:tr>
      <w:tr w:rsidR="009474E2" w:rsidTr="009474E2">
        <w:tc>
          <w:tcPr>
            <w:tcW w:w="4770" w:type="dxa"/>
          </w:tcPr>
          <w:p w:rsidR="009474E2" w:rsidRDefault="009474E2" w:rsidP="002607F0">
            <w:pPr>
              <w:spacing w:line="240" w:lineRule="auto"/>
            </w:pPr>
            <w:r>
              <w:t>Ahorro costo de operación vehicular transporte publico</w:t>
            </w:r>
          </w:p>
        </w:tc>
        <w:tc>
          <w:tcPr>
            <w:tcW w:w="4770" w:type="dxa"/>
          </w:tcPr>
          <w:p w:rsidR="009474E2" w:rsidRDefault="0010516D" w:rsidP="002607F0">
            <w:pPr>
              <w:spacing w:line="240" w:lineRule="auto"/>
            </w:pPr>
            <w:r>
              <w:t>Ahorro en costo de operación y mantenimiento para el transporte privado</w:t>
            </w:r>
          </w:p>
        </w:tc>
      </w:tr>
      <w:tr w:rsidR="009474E2" w:rsidTr="009474E2">
        <w:tc>
          <w:tcPr>
            <w:tcW w:w="4770" w:type="dxa"/>
          </w:tcPr>
          <w:p w:rsidR="009474E2" w:rsidRDefault="009474E2" w:rsidP="002607F0">
            <w:pPr>
              <w:spacing w:line="240" w:lineRule="auto"/>
            </w:pPr>
            <w:r>
              <w:t xml:space="preserve">Beneficios por cambio modal de </w:t>
            </w:r>
            <w:r w:rsidR="0010516D">
              <w:t>vehículo</w:t>
            </w:r>
            <w:r>
              <w:t xml:space="preserve"> privado a bus</w:t>
            </w:r>
          </w:p>
        </w:tc>
        <w:tc>
          <w:tcPr>
            <w:tcW w:w="4770" w:type="dxa"/>
          </w:tcPr>
          <w:p w:rsidR="009474E2" w:rsidRDefault="009474E2" w:rsidP="002607F0">
            <w:pPr>
              <w:spacing w:line="240" w:lineRule="auto"/>
            </w:pPr>
          </w:p>
        </w:tc>
      </w:tr>
      <w:tr w:rsidR="009474E2" w:rsidTr="009474E2">
        <w:tc>
          <w:tcPr>
            <w:tcW w:w="4770" w:type="dxa"/>
          </w:tcPr>
          <w:p w:rsidR="009474E2" w:rsidRDefault="009474E2" w:rsidP="002607F0">
            <w:pPr>
              <w:spacing w:line="240" w:lineRule="auto"/>
            </w:pPr>
            <w:r>
              <w:t>Beneficios por reducción de accidentalidad</w:t>
            </w:r>
          </w:p>
        </w:tc>
        <w:tc>
          <w:tcPr>
            <w:tcW w:w="4770" w:type="dxa"/>
          </w:tcPr>
          <w:p w:rsidR="009474E2" w:rsidRDefault="009474E2" w:rsidP="002607F0">
            <w:pPr>
              <w:spacing w:line="240" w:lineRule="auto"/>
            </w:pPr>
          </w:p>
        </w:tc>
      </w:tr>
      <w:tr w:rsidR="009474E2" w:rsidTr="009474E2">
        <w:tc>
          <w:tcPr>
            <w:tcW w:w="4770" w:type="dxa"/>
          </w:tcPr>
          <w:p w:rsidR="009474E2" w:rsidRDefault="009474E2" w:rsidP="002607F0">
            <w:pPr>
              <w:spacing w:line="240" w:lineRule="auto"/>
            </w:pPr>
            <w:r>
              <w:t>Beneficios por reducción de emisiones</w:t>
            </w:r>
          </w:p>
        </w:tc>
        <w:tc>
          <w:tcPr>
            <w:tcW w:w="4770" w:type="dxa"/>
          </w:tcPr>
          <w:p w:rsidR="009474E2" w:rsidRDefault="009474E2" w:rsidP="002607F0">
            <w:pPr>
              <w:spacing w:line="240" w:lineRule="auto"/>
            </w:pPr>
          </w:p>
        </w:tc>
      </w:tr>
    </w:tbl>
    <w:p w:rsidR="009474E2" w:rsidRDefault="0010516D" w:rsidP="009C7735">
      <w:pPr>
        <w:pStyle w:val="Piedetabla-grfico"/>
      </w:pPr>
      <w:r>
        <w:t>Fuente: Elaboración propia</w:t>
      </w:r>
    </w:p>
    <w:p w:rsidR="000404AB" w:rsidRPr="00674A2E" w:rsidRDefault="008E2CAE" w:rsidP="00894C18">
      <w:pPr>
        <w:pStyle w:val="Heading2"/>
        <w:rPr>
          <w:b/>
        </w:rPr>
      </w:pPr>
      <w:bookmarkStart w:id="23" w:name="_Toc297104633"/>
      <w:bookmarkStart w:id="24" w:name="_Toc298144737"/>
      <w:r>
        <w:rPr>
          <w:b/>
        </w:rPr>
        <w:t xml:space="preserve">Intervenciones y costos </w:t>
      </w:r>
      <w:r w:rsidR="00C25E92">
        <w:rPr>
          <w:b/>
        </w:rPr>
        <w:t>considerados en el análisis</w:t>
      </w:r>
      <w:bookmarkEnd w:id="21"/>
      <w:bookmarkEnd w:id="23"/>
      <w:bookmarkEnd w:id="24"/>
    </w:p>
    <w:p w:rsidR="00DC642D" w:rsidRDefault="009976DE" w:rsidP="00894C18">
      <w:r w:rsidRPr="00960AB9">
        <w:t>L</w:t>
      </w:r>
      <w:r w:rsidR="00DC642D" w:rsidRPr="00960AB9">
        <w:t xml:space="preserve">as diferentes intervenciones </w:t>
      </w:r>
      <w:r w:rsidRPr="00960AB9">
        <w:t xml:space="preserve">en infraestructura y operación </w:t>
      </w:r>
      <w:r w:rsidR="00DC642D" w:rsidRPr="00960AB9">
        <w:t xml:space="preserve">generaran una serie de impactos, que bien pueden ser beneficios o costos, sobre diferentes actores vinculados directa o indirectamente con el transporte público </w:t>
      </w:r>
      <w:r w:rsidRPr="00960AB9">
        <w:t>en Cali</w:t>
      </w:r>
      <w:r w:rsidR="00DC642D" w:rsidRPr="00960AB9">
        <w:t xml:space="preserve">. A continuación se describen los </w:t>
      </w:r>
      <w:r w:rsidR="00131C1B">
        <w:t>ítems</w:t>
      </w:r>
      <w:r w:rsidR="00DC642D" w:rsidRPr="00960AB9">
        <w:t xml:space="preserve"> analizados y la forma como los impactos se contabilizan. </w:t>
      </w:r>
      <w:r w:rsidR="00554B0D">
        <w:t xml:space="preserve">El </w:t>
      </w:r>
      <w:r w:rsidR="008E2CAE">
        <w:t xml:space="preserve">alcance físico de las intervenciones se presenta en la </w:t>
      </w:r>
      <w:r w:rsidR="00B27127">
        <w:fldChar w:fldCharType="begin"/>
      </w:r>
      <w:r w:rsidR="008E2CAE">
        <w:instrText xml:space="preserve"> REF _Ref297147107 \h </w:instrText>
      </w:r>
      <w:r w:rsidR="00B27127">
        <w:fldChar w:fldCharType="separate"/>
      </w:r>
      <w:r w:rsidR="008E2CAE">
        <w:t xml:space="preserve">Tabla </w:t>
      </w:r>
      <w:r w:rsidR="00B27127">
        <w:fldChar w:fldCharType="end"/>
      </w:r>
      <w:r w:rsidR="00217253">
        <w:t>2</w:t>
      </w:r>
      <w:r w:rsidR="00554B0D">
        <w:t>.</w:t>
      </w:r>
    </w:p>
    <w:p w:rsidR="008E2CAE" w:rsidRDefault="008E2CAE" w:rsidP="008E2CAE">
      <w:pPr>
        <w:pStyle w:val="Caption"/>
      </w:pPr>
      <w:bookmarkStart w:id="25" w:name="_Ref297147107"/>
      <w:r>
        <w:t xml:space="preserve">Tabla </w:t>
      </w:r>
      <w:bookmarkEnd w:id="25"/>
      <w:r w:rsidR="00217253">
        <w:t>2</w:t>
      </w:r>
      <w:r>
        <w:t xml:space="preserve"> – Alcance físico del SITM para Santiago de Cali (Cualitativo)</w:t>
      </w:r>
    </w:p>
    <w:tbl>
      <w:tblPr>
        <w:tblW w:w="8400" w:type="dxa"/>
        <w:tblInd w:w="98" w:type="dxa"/>
        <w:tblLook w:val="04A0"/>
      </w:tblPr>
      <w:tblGrid>
        <w:gridCol w:w="4520"/>
        <w:gridCol w:w="1940"/>
        <w:gridCol w:w="1940"/>
      </w:tblGrid>
      <w:tr w:rsidR="00B5612A" w:rsidRPr="00B5612A" w:rsidTr="00B5612A">
        <w:trPr>
          <w:trHeight w:val="300"/>
        </w:trPr>
        <w:tc>
          <w:tcPr>
            <w:tcW w:w="4520" w:type="dxa"/>
            <w:vMerge w:val="restart"/>
            <w:tcBorders>
              <w:top w:val="single" w:sz="8" w:space="0" w:color="auto"/>
              <w:left w:val="single" w:sz="8" w:space="0" w:color="auto"/>
              <w:bottom w:val="single" w:sz="8" w:space="0" w:color="000000"/>
              <w:right w:val="single" w:sz="8" w:space="0" w:color="000000"/>
            </w:tcBorders>
            <w:shd w:val="clear" w:color="000000" w:fill="D8D8D8"/>
            <w:vAlign w:val="center"/>
            <w:hideMark/>
          </w:tcPr>
          <w:p w:rsidR="00B5612A" w:rsidRPr="00B5612A" w:rsidRDefault="00B5612A" w:rsidP="00B5612A">
            <w:pPr>
              <w:spacing w:after="0"/>
              <w:jc w:val="center"/>
              <w:rPr>
                <w:rFonts w:ascii="Arial" w:hAnsi="Arial" w:cs="Arial"/>
                <w:b/>
                <w:i/>
                <w:iCs/>
                <w:sz w:val="20"/>
                <w:szCs w:val="20"/>
                <w:lang w:val="en-US" w:eastAsia="en-US"/>
              </w:rPr>
            </w:pPr>
            <w:r w:rsidRPr="00B5612A">
              <w:rPr>
                <w:rFonts w:ascii="Arial" w:hAnsi="Arial" w:cs="Arial"/>
                <w:b/>
                <w:i/>
                <w:iCs/>
                <w:sz w:val="20"/>
                <w:szCs w:val="20"/>
                <w:lang w:val="en-US" w:eastAsia="en-US"/>
              </w:rPr>
              <w:t>Componente</w:t>
            </w:r>
          </w:p>
        </w:tc>
        <w:tc>
          <w:tcPr>
            <w:tcW w:w="3880" w:type="dxa"/>
            <w:gridSpan w:val="2"/>
            <w:tcBorders>
              <w:top w:val="single" w:sz="8" w:space="0" w:color="auto"/>
              <w:left w:val="nil"/>
              <w:bottom w:val="single" w:sz="4" w:space="0" w:color="auto"/>
              <w:right w:val="single" w:sz="8" w:space="0" w:color="000000"/>
            </w:tcBorders>
            <w:shd w:val="clear" w:color="000000" w:fill="D8D8D8"/>
            <w:noWrap/>
            <w:vAlign w:val="center"/>
            <w:hideMark/>
          </w:tcPr>
          <w:p w:rsidR="00B5612A" w:rsidRPr="00B5612A" w:rsidRDefault="00B5612A" w:rsidP="00B5612A">
            <w:pPr>
              <w:spacing w:after="0"/>
              <w:jc w:val="center"/>
              <w:rPr>
                <w:rFonts w:ascii="Arial" w:hAnsi="Arial" w:cs="Arial"/>
                <w:bCs w:val="0"/>
                <w:i/>
                <w:iCs/>
                <w:color w:val="000000"/>
                <w:sz w:val="20"/>
                <w:szCs w:val="20"/>
                <w:lang w:val="en-US" w:eastAsia="en-US"/>
              </w:rPr>
            </w:pPr>
            <w:r w:rsidRPr="00B5612A">
              <w:rPr>
                <w:rFonts w:ascii="Arial" w:hAnsi="Arial" w:cs="Arial"/>
                <w:bCs w:val="0"/>
                <w:i/>
                <w:iCs/>
                <w:color w:val="000000"/>
                <w:sz w:val="20"/>
                <w:szCs w:val="20"/>
                <w:lang w:val="en-US" w:eastAsia="en-US"/>
              </w:rPr>
              <w:t>Alternativa para implantación SITM</w:t>
            </w:r>
          </w:p>
        </w:tc>
      </w:tr>
      <w:tr w:rsidR="00B5612A" w:rsidRPr="00B5612A" w:rsidTr="00B5612A">
        <w:trPr>
          <w:trHeight w:val="598"/>
        </w:trPr>
        <w:tc>
          <w:tcPr>
            <w:tcW w:w="4520" w:type="dxa"/>
            <w:vMerge/>
            <w:tcBorders>
              <w:top w:val="single" w:sz="8" w:space="0" w:color="auto"/>
              <w:left w:val="single" w:sz="8" w:space="0" w:color="auto"/>
              <w:bottom w:val="single" w:sz="8" w:space="0" w:color="000000"/>
              <w:right w:val="single" w:sz="8" w:space="0" w:color="000000"/>
            </w:tcBorders>
            <w:vAlign w:val="center"/>
            <w:hideMark/>
          </w:tcPr>
          <w:p w:rsidR="00B5612A" w:rsidRPr="00B5612A" w:rsidRDefault="00B5612A" w:rsidP="00B5612A">
            <w:pPr>
              <w:spacing w:after="0"/>
              <w:jc w:val="left"/>
              <w:rPr>
                <w:rFonts w:ascii="Arial" w:hAnsi="Arial" w:cs="Arial"/>
                <w:b/>
                <w:i/>
                <w:iCs/>
                <w:sz w:val="20"/>
                <w:szCs w:val="20"/>
                <w:lang w:val="en-US" w:eastAsia="en-US"/>
              </w:rPr>
            </w:pPr>
          </w:p>
        </w:tc>
        <w:tc>
          <w:tcPr>
            <w:tcW w:w="1940" w:type="dxa"/>
            <w:tcBorders>
              <w:top w:val="nil"/>
              <w:left w:val="nil"/>
              <w:bottom w:val="single" w:sz="8" w:space="0" w:color="auto"/>
              <w:right w:val="single" w:sz="4" w:space="0" w:color="auto"/>
            </w:tcBorders>
            <w:shd w:val="clear" w:color="000000" w:fill="D8D8D8"/>
            <w:vAlign w:val="center"/>
            <w:hideMark/>
          </w:tcPr>
          <w:p w:rsidR="00B5612A" w:rsidRPr="00B5612A" w:rsidRDefault="00B5612A" w:rsidP="00B5612A">
            <w:pPr>
              <w:spacing w:after="0"/>
              <w:jc w:val="center"/>
              <w:rPr>
                <w:rFonts w:ascii="Arial" w:hAnsi="Arial" w:cs="Arial"/>
                <w:bCs w:val="0"/>
                <w:i/>
                <w:iCs/>
                <w:color w:val="000000"/>
                <w:sz w:val="20"/>
                <w:szCs w:val="20"/>
                <w:lang w:val="en-US" w:eastAsia="en-US"/>
              </w:rPr>
            </w:pPr>
            <w:r w:rsidRPr="00B5612A">
              <w:rPr>
                <w:rFonts w:ascii="Arial" w:hAnsi="Arial" w:cs="Arial"/>
                <w:bCs w:val="0"/>
                <w:i/>
                <w:iCs/>
                <w:color w:val="000000"/>
                <w:sz w:val="20"/>
                <w:szCs w:val="20"/>
                <w:lang w:val="en-US" w:eastAsia="en-US"/>
              </w:rPr>
              <w:t>SITM Cali Actual</w:t>
            </w:r>
          </w:p>
        </w:tc>
        <w:tc>
          <w:tcPr>
            <w:tcW w:w="1940" w:type="dxa"/>
            <w:tcBorders>
              <w:top w:val="nil"/>
              <w:left w:val="nil"/>
              <w:bottom w:val="single" w:sz="8" w:space="0" w:color="auto"/>
              <w:right w:val="single" w:sz="8" w:space="0" w:color="auto"/>
            </w:tcBorders>
            <w:shd w:val="clear" w:color="000000" w:fill="D8D8D8"/>
            <w:vAlign w:val="center"/>
            <w:hideMark/>
          </w:tcPr>
          <w:p w:rsidR="00B5612A" w:rsidRPr="00B5612A" w:rsidRDefault="00B5612A" w:rsidP="00B5612A">
            <w:pPr>
              <w:spacing w:after="0"/>
              <w:jc w:val="center"/>
              <w:rPr>
                <w:rFonts w:ascii="Arial" w:hAnsi="Arial" w:cs="Arial"/>
                <w:bCs w:val="0"/>
                <w:i/>
                <w:iCs/>
                <w:color w:val="000000"/>
                <w:sz w:val="20"/>
                <w:szCs w:val="20"/>
                <w:lang w:val="en-US" w:eastAsia="en-US"/>
              </w:rPr>
            </w:pPr>
            <w:r w:rsidRPr="00B5612A">
              <w:rPr>
                <w:rFonts w:ascii="Arial" w:hAnsi="Arial" w:cs="Arial"/>
                <w:bCs w:val="0"/>
                <w:i/>
                <w:iCs/>
                <w:color w:val="000000"/>
                <w:sz w:val="20"/>
                <w:szCs w:val="20"/>
                <w:lang w:val="en-US" w:eastAsia="en-US"/>
              </w:rPr>
              <w:t>SITM Cali Inicial</w:t>
            </w:r>
          </w:p>
        </w:tc>
      </w:tr>
      <w:tr w:rsidR="00B5612A" w:rsidRPr="00B5612A" w:rsidTr="00B5612A">
        <w:trPr>
          <w:trHeight w:val="465"/>
        </w:trPr>
        <w:tc>
          <w:tcPr>
            <w:tcW w:w="4520" w:type="dxa"/>
            <w:tcBorders>
              <w:top w:val="nil"/>
              <w:left w:val="single" w:sz="8" w:space="0" w:color="auto"/>
              <w:bottom w:val="single" w:sz="4" w:space="0" w:color="auto"/>
              <w:right w:val="single" w:sz="8" w:space="0" w:color="auto"/>
            </w:tcBorders>
            <w:shd w:val="clear" w:color="auto" w:fill="auto"/>
            <w:vAlign w:val="center"/>
            <w:hideMark/>
          </w:tcPr>
          <w:p w:rsidR="00B5612A" w:rsidRPr="00B5612A" w:rsidRDefault="00B5612A" w:rsidP="00B5612A">
            <w:pPr>
              <w:spacing w:after="0"/>
              <w:jc w:val="left"/>
              <w:outlineLvl w:val="0"/>
              <w:rPr>
                <w:rFonts w:ascii="Arial" w:hAnsi="Arial" w:cs="Arial"/>
                <w:bCs w:val="0"/>
                <w:sz w:val="20"/>
                <w:szCs w:val="20"/>
                <w:lang w:val="en-US" w:eastAsia="en-US"/>
              </w:rPr>
            </w:pPr>
            <w:r w:rsidRPr="00B5612A">
              <w:rPr>
                <w:rFonts w:ascii="Arial" w:hAnsi="Arial" w:cs="Arial"/>
                <w:bCs w:val="0"/>
                <w:sz w:val="20"/>
                <w:szCs w:val="20"/>
                <w:lang w:val="en-US" w:eastAsia="en-US"/>
              </w:rPr>
              <w:t>Corredores troncales (km)</w:t>
            </w:r>
          </w:p>
        </w:tc>
        <w:tc>
          <w:tcPr>
            <w:tcW w:w="1940" w:type="dxa"/>
            <w:tcBorders>
              <w:top w:val="nil"/>
              <w:left w:val="nil"/>
              <w:bottom w:val="single" w:sz="4" w:space="0" w:color="auto"/>
              <w:right w:val="single" w:sz="4" w:space="0" w:color="auto"/>
            </w:tcBorders>
            <w:shd w:val="clear" w:color="auto" w:fill="auto"/>
            <w:noWrap/>
            <w:vAlign w:val="center"/>
            <w:hideMark/>
          </w:tcPr>
          <w:p w:rsidR="00B5612A" w:rsidRPr="00B5612A" w:rsidRDefault="00B5612A" w:rsidP="00B5612A">
            <w:pPr>
              <w:spacing w:after="0"/>
              <w:jc w:val="center"/>
              <w:outlineLvl w:val="0"/>
              <w:rPr>
                <w:rFonts w:ascii="Arial" w:hAnsi="Arial" w:cs="Arial"/>
                <w:bCs w:val="0"/>
                <w:color w:val="000000"/>
                <w:sz w:val="20"/>
                <w:szCs w:val="20"/>
                <w:lang w:val="en-US" w:eastAsia="en-US"/>
              </w:rPr>
            </w:pPr>
            <w:r w:rsidRPr="00B5612A">
              <w:rPr>
                <w:rFonts w:ascii="Arial" w:hAnsi="Arial" w:cs="Arial"/>
                <w:bCs w:val="0"/>
                <w:color w:val="000000"/>
                <w:sz w:val="20"/>
                <w:szCs w:val="20"/>
                <w:lang w:val="en-US" w:eastAsia="en-US"/>
              </w:rPr>
              <w:t>38.9</w:t>
            </w:r>
          </w:p>
        </w:tc>
        <w:tc>
          <w:tcPr>
            <w:tcW w:w="1940" w:type="dxa"/>
            <w:tcBorders>
              <w:top w:val="nil"/>
              <w:left w:val="nil"/>
              <w:bottom w:val="single" w:sz="4" w:space="0" w:color="auto"/>
              <w:right w:val="single" w:sz="8" w:space="0" w:color="auto"/>
            </w:tcBorders>
            <w:shd w:val="clear" w:color="auto" w:fill="auto"/>
            <w:noWrap/>
            <w:vAlign w:val="center"/>
            <w:hideMark/>
          </w:tcPr>
          <w:p w:rsidR="00B5612A" w:rsidRPr="00B5612A" w:rsidRDefault="00B5612A" w:rsidP="00B5612A">
            <w:pPr>
              <w:spacing w:after="0"/>
              <w:jc w:val="center"/>
              <w:outlineLvl w:val="0"/>
              <w:rPr>
                <w:rFonts w:ascii="Arial" w:hAnsi="Arial" w:cs="Arial"/>
                <w:bCs w:val="0"/>
                <w:color w:val="000000"/>
                <w:sz w:val="20"/>
                <w:szCs w:val="20"/>
                <w:lang w:val="en-US" w:eastAsia="en-US"/>
              </w:rPr>
            </w:pPr>
            <w:r w:rsidRPr="00B5612A">
              <w:rPr>
                <w:rFonts w:ascii="Arial" w:hAnsi="Arial" w:cs="Arial"/>
                <w:bCs w:val="0"/>
                <w:color w:val="000000"/>
                <w:sz w:val="20"/>
                <w:szCs w:val="20"/>
                <w:lang w:val="en-US" w:eastAsia="en-US"/>
              </w:rPr>
              <w:t>49</w:t>
            </w:r>
          </w:p>
        </w:tc>
      </w:tr>
      <w:tr w:rsidR="00B5612A" w:rsidRPr="00B5612A" w:rsidTr="00B5612A">
        <w:trPr>
          <w:trHeight w:val="465"/>
        </w:trPr>
        <w:tc>
          <w:tcPr>
            <w:tcW w:w="4520" w:type="dxa"/>
            <w:tcBorders>
              <w:top w:val="nil"/>
              <w:left w:val="single" w:sz="8" w:space="0" w:color="auto"/>
              <w:bottom w:val="single" w:sz="4" w:space="0" w:color="auto"/>
              <w:right w:val="single" w:sz="8" w:space="0" w:color="auto"/>
            </w:tcBorders>
            <w:shd w:val="clear" w:color="auto" w:fill="auto"/>
            <w:vAlign w:val="center"/>
            <w:hideMark/>
          </w:tcPr>
          <w:p w:rsidR="00B5612A" w:rsidRPr="00B5612A" w:rsidRDefault="00B5612A" w:rsidP="00B5612A">
            <w:pPr>
              <w:spacing w:after="0"/>
              <w:jc w:val="left"/>
              <w:outlineLvl w:val="0"/>
              <w:rPr>
                <w:rFonts w:ascii="Arial" w:hAnsi="Arial" w:cs="Arial"/>
                <w:bCs w:val="0"/>
                <w:color w:val="000000"/>
                <w:sz w:val="20"/>
                <w:szCs w:val="20"/>
                <w:lang w:val="en-US" w:eastAsia="en-US"/>
              </w:rPr>
            </w:pPr>
            <w:r w:rsidRPr="00B5612A">
              <w:rPr>
                <w:rFonts w:ascii="Arial" w:hAnsi="Arial" w:cs="Arial"/>
                <w:bCs w:val="0"/>
                <w:color w:val="000000"/>
                <w:sz w:val="20"/>
                <w:szCs w:val="20"/>
                <w:lang w:val="en-US" w:eastAsia="en-US"/>
              </w:rPr>
              <w:t>Otros corredores (km)</w:t>
            </w:r>
          </w:p>
        </w:tc>
        <w:tc>
          <w:tcPr>
            <w:tcW w:w="1940" w:type="dxa"/>
            <w:tcBorders>
              <w:top w:val="nil"/>
              <w:left w:val="nil"/>
              <w:bottom w:val="single" w:sz="4" w:space="0" w:color="auto"/>
              <w:right w:val="single" w:sz="4" w:space="0" w:color="auto"/>
            </w:tcBorders>
            <w:shd w:val="clear" w:color="auto" w:fill="auto"/>
            <w:noWrap/>
            <w:vAlign w:val="center"/>
            <w:hideMark/>
          </w:tcPr>
          <w:p w:rsidR="00B5612A" w:rsidRPr="00B5612A" w:rsidRDefault="00B5612A" w:rsidP="00B5612A">
            <w:pPr>
              <w:spacing w:after="0"/>
              <w:jc w:val="center"/>
              <w:outlineLvl w:val="0"/>
              <w:rPr>
                <w:rFonts w:ascii="Arial" w:hAnsi="Arial" w:cs="Arial"/>
                <w:bCs w:val="0"/>
                <w:color w:val="000000"/>
                <w:sz w:val="20"/>
                <w:szCs w:val="20"/>
                <w:lang w:val="en-US" w:eastAsia="en-US"/>
              </w:rPr>
            </w:pPr>
            <w:r w:rsidRPr="00B5612A">
              <w:rPr>
                <w:rFonts w:ascii="Arial" w:hAnsi="Arial" w:cs="Arial"/>
                <w:bCs w:val="0"/>
                <w:color w:val="000000"/>
                <w:sz w:val="20"/>
                <w:szCs w:val="20"/>
                <w:lang w:val="en-US" w:eastAsia="en-US"/>
              </w:rPr>
              <w:t>243</w:t>
            </w:r>
          </w:p>
        </w:tc>
        <w:tc>
          <w:tcPr>
            <w:tcW w:w="1940" w:type="dxa"/>
            <w:tcBorders>
              <w:top w:val="nil"/>
              <w:left w:val="nil"/>
              <w:bottom w:val="single" w:sz="4" w:space="0" w:color="auto"/>
              <w:right w:val="single" w:sz="8" w:space="0" w:color="auto"/>
            </w:tcBorders>
            <w:shd w:val="clear" w:color="auto" w:fill="auto"/>
            <w:noWrap/>
            <w:vAlign w:val="center"/>
            <w:hideMark/>
          </w:tcPr>
          <w:p w:rsidR="00B5612A" w:rsidRPr="00B5612A" w:rsidRDefault="00B5612A" w:rsidP="00B5612A">
            <w:pPr>
              <w:spacing w:after="0"/>
              <w:jc w:val="center"/>
              <w:outlineLvl w:val="0"/>
              <w:rPr>
                <w:rFonts w:ascii="Arial" w:hAnsi="Arial" w:cs="Arial"/>
                <w:bCs w:val="0"/>
                <w:color w:val="000000"/>
                <w:sz w:val="20"/>
                <w:szCs w:val="20"/>
                <w:lang w:val="en-US" w:eastAsia="en-US"/>
              </w:rPr>
            </w:pPr>
            <w:r w:rsidRPr="00B5612A">
              <w:rPr>
                <w:rFonts w:ascii="Arial" w:hAnsi="Arial" w:cs="Arial"/>
                <w:bCs w:val="0"/>
                <w:color w:val="000000"/>
                <w:sz w:val="20"/>
                <w:szCs w:val="20"/>
                <w:lang w:val="en-US" w:eastAsia="en-US"/>
              </w:rPr>
              <w:t>194</w:t>
            </w:r>
          </w:p>
        </w:tc>
      </w:tr>
      <w:tr w:rsidR="00B5612A" w:rsidRPr="00B5612A" w:rsidTr="00B5612A">
        <w:trPr>
          <w:trHeight w:val="465"/>
        </w:trPr>
        <w:tc>
          <w:tcPr>
            <w:tcW w:w="4520" w:type="dxa"/>
            <w:tcBorders>
              <w:top w:val="nil"/>
              <w:left w:val="single" w:sz="8" w:space="0" w:color="auto"/>
              <w:bottom w:val="single" w:sz="4" w:space="0" w:color="auto"/>
              <w:right w:val="single" w:sz="8" w:space="0" w:color="auto"/>
            </w:tcBorders>
            <w:shd w:val="clear" w:color="auto" w:fill="auto"/>
            <w:vAlign w:val="center"/>
            <w:hideMark/>
          </w:tcPr>
          <w:p w:rsidR="00B5612A" w:rsidRPr="00B5612A" w:rsidRDefault="00B5612A" w:rsidP="00B5612A">
            <w:pPr>
              <w:spacing w:after="0"/>
              <w:jc w:val="left"/>
              <w:outlineLvl w:val="0"/>
              <w:rPr>
                <w:rFonts w:ascii="Arial" w:hAnsi="Arial" w:cs="Arial"/>
                <w:bCs w:val="0"/>
                <w:sz w:val="20"/>
                <w:szCs w:val="20"/>
                <w:lang w:val="es-AR" w:eastAsia="en-US"/>
              </w:rPr>
            </w:pPr>
            <w:r w:rsidRPr="00B5612A">
              <w:rPr>
                <w:rFonts w:ascii="Arial" w:hAnsi="Arial" w:cs="Arial"/>
                <w:bCs w:val="0"/>
                <w:sz w:val="20"/>
                <w:szCs w:val="20"/>
                <w:lang w:val="es-AR" w:eastAsia="en-US"/>
              </w:rPr>
              <w:t>Estaciones (validación fuera de bus) (Unidades)</w:t>
            </w:r>
          </w:p>
        </w:tc>
        <w:tc>
          <w:tcPr>
            <w:tcW w:w="1940" w:type="dxa"/>
            <w:tcBorders>
              <w:top w:val="nil"/>
              <w:left w:val="nil"/>
              <w:bottom w:val="single" w:sz="4" w:space="0" w:color="auto"/>
              <w:right w:val="single" w:sz="4" w:space="0" w:color="auto"/>
            </w:tcBorders>
            <w:shd w:val="clear" w:color="auto" w:fill="auto"/>
            <w:noWrap/>
            <w:vAlign w:val="center"/>
            <w:hideMark/>
          </w:tcPr>
          <w:p w:rsidR="00B5612A" w:rsidRPr="00B5612A" w:rsidRDefault="00B5612A" w:rsidP="00B5612A">
            <w:pPr>
              <w:spacing w:after="0"/>
              <w:jc w:val="center"/>
              <w:outlineLvl w:val="0"/>
              <w:rPr>
                <w:rFonts w:ascii="Arial" w:hAnsi="Arial" w:cs="Arial"/>
                <w:bCs w:val="0"/>
                <w:color w:val="000000"/>
                <w:sz w:val="20"/>
                <w:szCs w:val="20"/>
                <w:lang w:val="en-US" w:eastAsia="en-US"/>
              </w:rPr>
            </w:pPr>
            <w:bookmarkStart w:id="26" w:name="RANGE!C5"/>
            <w:r w:rsidRPr="00B5612A">
              <w:rPr>
                <w:rFonts w:ascii="Arial" w:hAnsi="Arial" w:cs="Arial"/>
                <w:bCs w:val="0"/>
                <w:color w:val="000000"/>
                <w:sz w:val="20"/>
                <w:szCs w:val="20"/>
                <w:lang w:val="en-US" w:eastAsia="en-US"/>
              </w:rPr>
              <w:t>56</w:t>
            </w:r>
            <w:bookmarkEnd w:id="26"/>
          </w:p>
        </w:tc>
        <w:tc>
          <w:tcPr>
            <w:tcW w:w="1940" w:type="dxa"/>
            <w:tcBorders>
              <w:top w:val="nil"/>
              <w:left w:val="nil"/>
              <w:bottom w:val="single" w:sz="4" w:space="0" w:color="auto"/>
              <w:right w:val="single" w:sz="8" w:space="0" w:color="auto"/>
            </w:tcBorders>
            <w:shd w:val="clear" w:color="auto" w:fill="auto"/>
            <w:noWrap/>
            <w:vAlign w:val="center"/>
            <w:hideMark/>
          </w:tcPr>
          <w:p w:rsidR="00B5612A" w:rsidRPr="00B5612A" w:rsidRDefault="00B5612A" w:rsidP="00B5612A">
            <w:pPr>
              <w:spacing w:after="0"/>
              <w:jc w:val="center"/>
              <w:outlineLvl w:val="0"/>
              <w:rPr>
                <w:rFonts w:ascii="Arial" w:hAnsi="Arial" w:cs="Arial"/>
                <w:bCs w:val="0"/>
                <w:color w:val="000000"/>
                <w:sz w:val="20"/>
                <w:szCs w:val="20"/>
                <w:lang w:val="en-US" w:eastAsia="en-US"/>
              </w:rPr>
            </w:pPr>
            <w:bookmarkStart w:id="27" w:name="RANGE!D5"/>
            <w:r w:rsidRPr="00B5612A">
              <w:rPr>
                <w:rFonts w:ascii="Arial" w:hAnsi="Arial" w:cs="Arial"/>
                <w:bCs w:val="0"/>
                <w:color w:val="000000"/>
                <w:sz w:val="20"/>
                <w:szCs w:val="20"/>
                <w:lang w:val="en-US" w:eastAsia="en-US"/>
              </w:rPr>
              <w:t>77</w:t>
            </w:r>
            <w:bookmarkEnd w:id="27"/>
          </w:p>
        </w:tc>
      </w:tr>
      <w:tr w:rsidR="00B5612A" w:rsidRPr="00B5612A" w:rsidTr="00B5612A">
        <w:trPr>
          <w:trHeight w:val="465"/>
        </w:trPr>
        <w:tc>
          <w:tcPr>
            <w:tcW w:w="4520" w:type="dxa"/>
            <w:tcBorders>
              <w:top w:val="nil"/>
              <w:left w:val="single" w:sz="8" w:space="0" w:color="auto"/>
              <w:bottom w:val="single" w:sz="4" w:space="0" w:color="auto"/>
              <w:right w:val="single" w:sz="8" w:space="0" w:color="auto"/>
            </w:tcBorders>
            <w:shd w:val="clear" w:color="auto" w:fill="auto"/>
            <w:vAlign w:val="center"/>
            <w:hideMark/>
          </w:tcPr>
          <w:p w:rsidR="00B5612A" w:rsidRPr="00B5612A" w:rsidRDefault="00B5612A" w:rsidP="00B5612A">
            <w:pPr>
              <w:spacing w:after="0"/>
              <w:jc w:val="left"/>
              <w:outlineLvl w:val="0"/>
              <w:rPr>
                <w:rFonts w:ascii="Arial" w:hAnsi="Arial" w:cs="Arial"/>
                <w:bCs w:val="0"/>
                <w:sz w:val="20"/>
                <w:szCs w:val="20"/>
                <w:lang w:val="en-US" w:eastAsia="en-US"/>
              </w:rPr>
            </w:pPr>
            <w:r w:rsidRPr="00B5612A">
              <w:rPr>
                <w:rFonts w:ascii="Arial" w:hAnsi="Arial" w:cs="Arial"/>
                <w:bCs w:val="0"/>
                <w:sz w:val="20"/>
                <w:szCs w:val="20"/>
                <w:lang w:val="en-US" w:eastAsia="en-US"/>
              </w:rPr>
              <w:t>Paradas (Unidades)</w:t>
            </w:r>
          </w:p>
        </w:tc>
        <w:tc>
          <w:tcPr>
            <w:tcW w:w="1940" w:type="dxa"/>
            <w:tcBorders>
              <w:top w:val="nil"/>
              <w:left w:val="nil"/>
              <w:bottom w:val="single" w:sz="4" w:space="0" w:color="auto"/>
              <w:right w:val="single" w:sz="4" w:space="0" w:color="auto"/>
            </w:tcBorders>
            <w:shd w:val="clear" w:color="auto" w:fill="auto"/>
            <w:noWrap/>
            <w:vAlign w:val="center"/>
            <w:hideMark/>
          </w:tcPr>
          <w:p w:rsidR="00B5612A" w:rsidRPr="00B5612A" w:rsidRDefault="00B5612A" w:rsidP="00B5612A">
            <w:pPr>
              <w:spacing w:after="0"/>
              <w:jc w:val="center"/>
              <w:outlineLvl w:val="0"/>
              <w:rPr>
                <w:rFonts w:ascii="Arial" w:hAnsi="Arial" w:cs="Arial"/>
                <w:bCs w:val="0"/>
                <w:color w:val="000000"/>
                <w:sz w:val="20"/>
                <w:szCs w:val="20"/>
                <w:lang w:val="en-US" w:eastAsia="en-US"/>
              </w:rPr>
            </w:pPr>
            <w:r w:rsidRPr="00B5612A">
              <w:rPr>
                <w:rFonts w:ascii="Arial" w:hAnsi="Arial" w:cs="Arial"/>
                <w:bCs w:val="0"/>
                <w:color w:val="000000"/>
                <w:sz w:val="20"/>
                <w:szCs w:val="20"/>
                <w:lang w:val="en-US" w:eastAsia="en-US"/>
              </w:rPr>
              <w:t>882</w:t>
            </w:r>
          </w:p>
        </w:tc>
        <w:tc>
          <w:tcPr>
            <w:tcW w:w="1940" w:type="dxa"/>
            <w:tcBorders>
              <w:top w:val="nil"/>
              <w:left w:val="nil"/>
              <w:bottom w:val="single" w:sz="4" w:space="0" w:color="auto"/>
              <w:right w:val="single" w:sz="8" w:space="0" w:color="auto"/>
            </w:tcBorders>
            <w:shd w:val="clear" w:color="auto" w:fill="auto"/>
            <w:noWrap/>
            <w:vAlign w:val="center"/>
            <w:hideMark/>
          </w:tcPr>
          <w:p w:rsidR="00B5612A" w:rsidRPr="00B5612A" w:rsidRDefault="00B5612A" w:rsidP="00B5612A">
            <w:pPr>
              <w:spacing w:after="0"/>
              <w:jc w:val="center"/>
              <w:outlineLvl w:val="0"/>
              <w:rPr>
                <w:rFonts w:ascii="Arial" w:hAnsi="Arial" w:cs="Arial"/>
                <w:bCs w:val="0"/>
                <w:color w:val="000000"/>
                <w:sz w:val="20"/>
                <w:szCs w:val="20"/>
                <w:lang w:val="en-US" w:eastAsia="en-US"/>
              </w:rPr>
            </w:pPr>
            <w:r w:rsidRPr="00B5612A">
              <w:rPr>
                <w:rFonts w:ascii="Arial" w:hAnsi="Arial" w:cs="Arial"/>
                <w:bCs w:val="0"/>
                <w:color w:val="000000"/>
                <w:sz w:val="20"/>
                <w:szCs w:val="20"/>
                <w:lang w:val="en-US" w:eastAsia="en-US"/>
              </w:rPr>
              <w:t>655</w:t>
            </w:r>
          </w:p>
        </w:tc>
      </w:tr>
      <w:tr w:rsidR="00B5612A" w:rsidRPr="00B5612A" w:rsidTr="00B5612A">
        <w:trPr>
          <w:trHeight w:val="465"/>
        </w:trPr>
        <w:tc>
          <w:tcPr>
            <w:tcW w:w="4520" w:type="dxa"/>
            <w:tcBorders>
              <w:top w:val="nil"/>
              <w:left w:val="single" w:sz="8" w:space="0" w:color="auto"/>
              <w:bottom w:val="single" w:sz="4" w:space="0" w:color="auto"/>
              <w:right w:val="single" w:sz="8" w:space="0" w:color="auto"/>
            </w:tcBorders>
            <w:shd w:val="clear" w:color="auto" w:fill="auto"/>
            <w:vAlign w:val="center"/>
            <w:hideMark/>
          </w:tcPr>
          <w:p w:rsidR="00B5612A" w:rsidRPr="00B5612A" w:rsidRDefault="00B5612A" w:rsidP="00B5612A">
            <w:pPr>
              <w:spacing w:after="0"/>
              <w:jc w:val="left"/>
              <w:outlineLvl w:val="0"/>
              <w:rPr>
                <w:rFonts w:ascii="Arial" w:hAnsi="Arial" w:cs="Arial"/>
                <w:bCs w:val="0"/>
                <w:sz w:val="20"/>
                <w:szCs w:val="20"/>
                <w:lang w:val="en-US" w:eastAsia="en-US"/>
              </w:rPr>
            </w:pPr>
            <w:r w:rsidRPr="00B5612A">
              <w:rPr>
                <w:rFonts w:ascii="Arial" w:hAnsi="Arial" w:cs="Arial"/>
                <w:bCs w:val="0"/>
                <w:sz w:val="20"/>
                <w:szCs w:val="20"/>
                <w:lang w:val="en-US" w:eastAsia="en-US"/>
              </w:rPr>
              <w:t>Terminales (Unidades)</w:t>
            </w:r>
          </w:p>
        </w:tc>
        <w:tc>
          <w:tcPr>
            <w:tcW w:w="1940" w:type="dxa"/>
            <w:tcBorders>
              <w:top w:val="nil"/>
              <w:left w:val="nil"/>
              <w:bottom w:val="single" w:sz="4" w:space="0" w:color="auto"/>
              <w:right w:val="single" w:sz="4" w:space="0" w:color="auto"/>
            </w:tcBorders>
            <w:shd w:val="clear" w:color="auto" w:fill="auto"/>
            <w:noWrap/>
            <w:vAlign w:val="center"/>
            <w:hideMark/>
          </w:tcPr>
          <w:p w:rsidR="00B5612A" w:rsidRPr="00B5612A" w:rsidRDefault="00B5612A" w:rsidP="00B5612A">
            <w:pPr>
              <w:spacing w:after="0"/>
              <w:jc w:val="center"/>
              <w:outlineLvl w:val="0"/>
              <w:rPr>
                <w:rFonts w:ascii="Arial" w:hAnsi="Arial" w:cs="Arial"/>
                <w:bCs w:val="0"/>
                <w:color w:val="000000"/>
                <w:sz w:val="20"/>
                <w:szCs w:val="20"/>
                <w:lang w:val="en-US" w:eastAsia="en-US"/>
              </w:rPr>
            </w:pPr>
            <w:r w:rsidRPr="00B5612A">
              <w:rPr>
                <w:rFonts w:ascii="Arial" w:hAnsi="Arial" w:cs="Arial"/>
                <w:bCs w:val="0"/>
                <w:color w:val="000000"/>
                <w:sz w:val="20"/>
                <w:szCs w:val="20"/>
                <w:lang w:val="en-US" w:eastAsia="en-US"/>
              </w:rPr>
              <w:t>7</w:t>
            </w:r>
          </w:p>
        </w:tc>
        <w:tc>
          <w:tcPr>
            <w:tcW w:w="1940" w:type="dxa"/>
            <w:tcBorders>
              <w:top w:val="nil"/>
              <w:left w:val="nil"/>
              <w:bottom w:val="single" w:sz="4" w:space="0" w:color="auto"/>
              <w:right w:val="single" w:sz="8" w:space="0" w:color="auto"/>
            </w:tcBorders>
            <w:shd w:val="clear" w:color="auto" w:fill="auto"/>
            <w:noWrap/>
            <w:vAlign w:val="center"/>
            <w:hideMark/>
          </w:tcPr>
          <w:p w:rsidR="00B5612A" w:rsidRPr="00B5612A" w:rsidRDefault="00B5612A" w:rsidP="00B5612A">
            <w:pPr>
              <w:spacing w:after="0"/>
              <w:jc w:val="center"/>
              <w:outlineLvl w:val="0"/>
              <w:rPr>
                <w:rFonts w:ascii="Arial" w:hAnsi="Arial" w:cs="Arial"/>
                <w:bCs w:val="0"/>
                <w:color w:val="000000"/>
                <w:sz w:val="20"/>
                <w:szCs w:val="20"/>
                <w:lang w:val="en-US" w:eastAsia="en-US"/>
              </w:rPr>
            </w:pPr>
            <w:r w:rsidRPr="00B5612A">
              <w:rPr>
                <w:rFonts w:ascii="Arial" w:hAnsi="Arial" w:cs="Arial"/>
                <w:bCs w:val="0"/>
                <w:color w:val="000000"/>
                <w:sz w:val="20"/>
                <w:szCs w:val="20"/>
                <w:lang w:val="en-US" w:eastAsia="en-US"/>
              </w:rPr>
              <w:t>5</w:t>
            </w:r>
          </w:p>
        </w:tc>
      </w:tr>
      <w:tr w:rsidR="00B5612A" w:rsidRPr="00B5612A" w:rsidTr="00B5612A">
        <w:trPr>
          <w:trHeight w:val="465"/>
        </w:trPr>
        <w:tc>
          <w:tcPr>
            <w:tcW w:w="4520" w:type="dxa"/>
            <w:tcBorders>
              <w:top w:val="nil"/>
              <w:left w:val="single" w:sz="8" w:space="0" w:color="auto"/>
              <w:bottom w:val="single" w:sz="4" w:space="0" w:color="auto"/>
              <w:right w:val="single" w:sz="8" w:space="0" w:color="auto"/>
            </w:tcBorders>
            <w:shd w:val="clear" w:color="auto" w:fill="auto"/>
            <w:vAlign w:val="center"/>
            <w:hideMark/>
          </w:tcPr>
          <w:p w:rsidR="00B5612A" w:rsidRPr="00B5612A" w:rsidRDefault="00B5612A" w:rsidP="00B5612A">
            <w:pPr>
              <w:spacing w:after="0"/>
              <w:jc w:val="left"/>
              <w:outlineLvl w:val="0"/>
              <w:rPr>
                <w:rFonts w:ascii="Arial" w:hAnsi="Arial" w:cs="Arial"/>
                <w:bCs w:val="0"/>
                <w:sz w:val="20"/>
                <w:szCs w:val="20"/>
                <w:lang w:val="en-US" w:eastAsia="en-US"/>
              </w:rPr>
            </w:pPr>
            <w:r w:rsidRPr="00B5612A">
              <w:rPr>
                <w:rFonts w:ascii="Arial" w:hAnsi="Arial" w:cs="Arial"/>
                <w:bCs w:val="0"/>
                <w:sz w:val="20"/>
                <w:szCs w:val="20"/>
                <w:lang w:val="en-US" w:eastAsia="en-US"/>
              </w:rPr>
              <w:t>Estaciones de transferencia (Unidades)</w:t>
            </w:r>
          </w:p>
        </w:tc>
        <w:tc>
          <w:tcPr>
            <w:tcW w:w="1940" w:type="dxa"/>
            <w:tcBorders>
              <w:top w:val="nil"/>
              <w:left w:val="nil"/>
              <w:bottom w:val="single" w:sz="4" w:space="0" w:color="auto"/>
              <w:right w:val="single" w:sz="4" w:space="0" w:color="auto"/>
            </w:tcBorders>
            <w:shd w:val="clear" w:color="auto" w:fill="auto"/>
            <w:noWrap/>
            <w:vAlign w:val="center"/>
            <w:hideMark/>
          </w:tcPr>
          <w:p w:rsidR="00B5612A" w:rsidRPr="00B5612A" w:rsidRDefault="00B5612A" w:rsidP="00B5612A">
            <w:pPr>
              <w:spacing w:after="0"/>
              <w:jc w:val="center"/>
              <w:outlineLvl w:val="0"/>
              <w:rPr>
                <w:rFonts w:ascii="Arial" w:hAnsi="Arial" w:cs="Arial"/>
                <w:bCs w:val="0"/>
                <w:color w:val="000000"/>
                <w:sz w:val="20"/>
                <w:szCs w:val="20"/>
                <w:lang w:val="en-US" w:eastAsia="en-US"/>
              </w:rPr>
            </w:pPr>
            <w:r w:rsidRPr="00B5612A">
              <w:rPr>
                <w:rFonts w:ascii="Arial" w:hAnsi="Arial" w:cs="Arial"/>
                <w:bCs w:val="0"/>
                <w:color w:val="000000"/>
                <w:sz w:val="20"/>
                <w:szCs w:val="20"/>
                <w:lang w:val="en-US" w:eastAsia="en-US"/>
              </w:rPr>
              <w:t>4</w:t>
            </w:r>
          </w:p>
        </w:tc>
        <w:tc>
          <w:tcPr>
            <w:tcW w:w="1940" w:type="dxa"/>
            <w:tcBorders>
              <w:top w:val="nil"/>
              <w:left w:val="nil"/>
              <w:bottom w:val="single" w:sz="4" w:space="0" w:color="auto"/>
              <w:right w:val="single" w:sz="8" w:space="0" w:color="auto"/>
            </w:tcBorders>
            <w:shd w:val="clear" w:color="auto" w:fill="auto"/>
            <w:noWrap/>
            <w:vAlign w:val="center"/>
            <w:hideMark/>
          </w:tcPr>
          <w:p w:rsidR="00B5612A" w:rsidRPr="00B5612A" w:rsidRDefault="00B5612A" w:rsidP="00B5612A">
            <w:pPr>
              <w:spacing w:after="0"/>
              <w:jc w:val="center"/>
              <w:outlineLvl w:val="0"/>
              <w:rPr>
                <w:rFonts w:ascii="Arial" w:hAnsi="Arial" w:cs="Arial"/>
                <w:bCs w:val="0"/>
                <w:color w:val="000000"/>
                <w:sz w:val="20"/>
                <w:szCs w:val="20"/>
                <w:lang w:val="en-US" w:eastAsia="en-US"/>
              </w:rPr>
            </w:pPr>
            <w:r w:rsidRPr="00B5612A">
              <w:rPr>
                <w:rFonts w:ascii="Arial" w:hAnsi="Arial" w:cs="Arial"/>
                <w:bCs w:val="0"/>
                <w:color w:val="000000"/>
                <w:sz w:val="20"/>
                <w:szCs w:val="20"/>
                <w:lang w:val="en-US" w:eastAsia="en-US"/>
              </w:rPr>
              <w:t>4</w:t>
            </w:r>
          </w:p>
        </w:tc>
      </w:tr>
      <w:tr w:rsidR="00B5612A" w:rsidRPr="00B5612A" w:rsidTr="00B5612A">
        <w:trPr>
          <w:trHeight w:val="465"/>
        </w:trPr>
        <w:tc>
          <w:tcPr>
            <w:tcW w:w="4520" w:type="dxa"/>
            <w:tcBorders>
              <w:top w:val="nil"/>
              <w:left w:val="single" w:sz="8" w:space="0" w:color="auto"/>
              <w:bottom w:val="single" w:sz="4" w:space="0" w:color="auto"/>
              <w:right w:val="single" w:sz="8" w:space="0" w:color="auto"/>
            </w:tcBorders>
            <w:shd w:val="clear" w:color="auto" w:fill="auto"/>
            <w:vAlign w:val="center"/>
            <w:hideMark/>
          </w:tcPr>
          <w:p w:rsidR="00B5612A" w:rsidRPr="00B5612A" w:rsidRDefault="00B5612A" w:rsidP="00B5612A">
            <w:pPr>
              <w:spacing w:after="0"/>
              <w:jc w:val="left"/>
              <w:outlineLvl w:val="0"/>
              <w:rPr>
                <w:rFonts w:ascii="Arial" w:hAnsi="Arial" w:cs="Arial"/>
                <w:bCs w:val="0"/>
                <w:sz w:val="20"/>
                <w:szCs w:val="20"/>
                <w:lang w:val="en-US" w:eastAsia="en-US"/>
              </w:rPr>
            </w:pPr>
            <w:r w:rsidRPr="00B5612A">
              <w:rPr>
                <w:rFonts w:ascii="Arial" w:hAnsi="Arial" w:cs="Arial"/>
                <w:bCs w:val="0"/>
                <w:sz w:val="20"/>
                <w:szCs w:val="20"/>
                <w:lang w:val="en-US" w:eastAsia="en-US"/>
              </w:rPr>
              <w:t>Patios y talleres (Unidades)</w:t>
            </w:r>
          </w:p>
        </w:tc>
        <w:tc>
          <w:tcPr>
            <w:tcW w:w="1940" w:type="dxa"/>
            <w:tcBorders>
              <w:top w:val="nil"/>
              <w:left w:val="nil"/>
              <w:bottom w:val="single" w:sz="4" w:space="0" w:color="auto"/>
              <w:right w:val="single" w:sz="4" w:space="0" w:color="auto"/>
            </w:tcBorders>
            <w:shd w:val="clear" w:color="auto" w:fill="auto"/>
            <w:noWrap/>
            <w:vAlign w:val="center"/>
            <w:hideMark/>
          </w:tcPr>
          <w:p w:rsidR="00B5612A" w:rsidRPr="00B5612A" w:rsidRDefault="00B5612A" w:rsidP="00B5612A">
            <w:pPr>
              <w:spacing w:after="0"/>
              <w:jc w:val="center"/>
              <w:outlineLvl w:val="0"/>
              <w:rPr>
                <w:rFonts w:ascii="Arial" w:hAnsi="Arial" w:cs="Arial"/>
                <w:bCs w:val="0"/>
                <w:color w:val="000000"/>
                <w:sz w:val="20"/>
                <w:szCs w:val="20"/>
                <w:lang w:val="en-US" w:eastAsia="en-US"/>
              </w:rPr>
            </w:pPr>
            <w:r w:rsidRPr="00B5612A">
              <w:rPr>
                <w:rFonts w:ascii="Arial" w:hAnsi="Arial" w:cs="Arial"/>
                <w:bCs w:val="0"/>
                <w:color w:val="000000"/>
                <w:sz w:val="20"/>
                <w:szCs w:val="20"/>
                <w:lang w:val="en-US" w:eastAsia="en-US"/>
              </w:rPr>
              <w:t>5</w:t>
            </w:r>
          </w:p>
        </w:tc>
        <w:tc>
          <w:tcPr>
            <w:tcW w:w="1940" w:type="dxa"/>
            <w:tcBorders>
              <w:top w:val="nil"/>
              <w:left w:val="nil"/>
              <w:bottom w:val="single" w:sz="4" w:space="0" w:color="auto"/>
              <w:right w:val="single" w:sz="8" w:space="0" w:color="auto"/>
            </w:tcBorders>
            <w:shd w:val="clear" w:color="auto" w:fill="auto"/>
            <w:noWrap/>
            <w:vAlign w:val="center"/>
            <w:hideMark/>
          </w:tcPr>
          <w:p w:rsidR="00B5612A" w:rsidRPr="00B5612A" w:rsidRDefault="00B5612A" w:rsidP="00B5612A">
            <w:pPr>
              <w:spacing w:after="0"/>
              <w:jc w:val="center"/>
              <w:outlineLvl w:val="0"/>
              <w:rPr>
                <w:rFonts w:ascii="Arial" w:hAnsi="Arial" w:cs="Arial"/>
                <w:bCs w:val="0"/>
                <w:color w:val="000000"/>
                <w:sz w:val="20"/>
                <w:szCs w:val="20"/>
                <w:lang w:val="en-US" w:eastAsia="en-US"/>
              </w:rPr>
            </w:pPr>
            <w:r w:rsidRPr="00B5612A">
              <w:rPr>
                <w:rFonts w:ascii="Arial" w:hAnsi="Arial" w:cs="Arial"/>
                <w:bCs w:val="0"/>
                <w:color w:val="000000"/>
                <w:sz w:val="20"/>
                <w:szCs w:val="20"/>
                <w:lang w:val="en-US" w:eastAsia="en-US"/>
              </w:rPr>
              <w:t>0</w:t>
            </w:r>
          </w:p>
        </w:tc>
      </w:tr>
      <w:tr w:rsidR="00B5612A" w:rsidRPr="00B5612A" w:rsidTr="00B5612A">
        <w:trPr>
          <w:trHeight w:val="465"/>
        </w:trPr>
        <w:tc>
          <w:tcPr>
            <w:tcW w:w="4520" w:type="dxa"/>
            <w:tcBorders>
              <w:top w:val="nil"/>
              <w:left w:val="single" w:sz="8" w:space="0" w:color="auto"/>
              <w:bottom w:val="single" w:sz="4" w:space="0" w:color="auto"/>
              <w:right w:val="single" w:sz="8" w:space="0" w:color="auto"/>
            </w:tcBorders>
            <w:shd w:val="clear" w:color="auto" w:fill="auto"/>
            <w:vAlign w:val="center"/>
            <w:hideMark/>
          </w:tcPr>
          <w:p w:rsidR="00B5612A" w:rsidRPr="00B5612A" w:rsidRDefault="00B5612A" w:rsidP="00B5612A">
            <w:pPr>
              <w:spacing w:after="0"/>
              <w:jc w:val="left"/>
              <w:outlineLvl w:val="0"/>
              <w:rPr>
                <w:rFonts w:ascii="Arial" w:hAnsi="Arial" w:cs="Arial"/>
                <w:bCs w:val="0"/>
                <w:sz w:val="20"/>
                <w:szCs w:val="20"/>
                <w:lang w:val="en-US" w:eastAsia="en-US"/>
              </w:rPr>
            </w:pPr>
            <w:r w:rsidRPr="00B5612A">
              <w:rPr>
                <w:rFonts w:ascii="Arial" w:hAnsi="Arial" w:cs="Arial"/>
                <w:bCs w:val="0"/>
                <w:sz w:val="20"/>
                <w:szCs w:val="20"/>
                <w:lang w:val="en-US" w:eastAsia="en-US"/>
              </w:rPr>
              <w:t>Intersecciones a desnivel (Unidades)</w:t>
            </w:r>
          </w:p>
        </w:tc>
        <w:tc>
          <w:tcPr>
            <w:tcW w:w="1940" w:type="dxa"/>
            <w:tcBorders>
              <w:top w:val="nil"/>
              <w:left w:val="nil"/>
              <w:bottom w:val="single" w:sz="4" w:space="0" w:color="auto"/>
              <w:right w:val="single" w:sz="4" w:space="0" w:color="auto"/>
            </w:tcBorders>
            <w:shd w:val="clear" w:color="auto" w:fill="auto"/>
            <w:noWrap/>
            <w:vAlign w:val="center"/>
            <w:hideMark/>
          </w:tcPr>
          <w:p w:rsidR="00B5612A" w:rsidRPr="00B5612A" w:rsidRDefault="00B5612A" w:rsidP="00B5612A">
            <w:pPr>
              <w:spacing w:after="0"/>
              <w:jc w:val="center"/>
              <w:outlineLvl w:val="0"/>
              <w:rPr>
                <w:rFonts w:ascii="Arial" w:hAnsi="Arial" w:cs="Arial"/>
                <w:bCs w:val="0"/>
                <w:color w:val="000000"/>
                <w:sz w:val="20"/>
                <w:szCs w:val="20"/>
                <w:lang w:val="en-US" w:eastAsia="en-US"/>
              </w:rPr>
            </w:pPr>
            <w:r w:rsidRPr="00B5612A">
              <w:rPr>
                <w:rFonts w:ascii="Arial" w:hAnsi="Arial" w:cs="Arial"/>
                <w:bCs w:val="0"/>
                <w:color w:val="000000"/>
                <w:sz w:val="20"/>
                <w:szCs w:val="20"/>
                <w:lang w:val="en-US" w:eastAsia="en-US"/>
              </w:rPr>
              <w:t>9</w:t>
            </w:r>
          </w:p>
        </w:tc>
        <w:tc>
          <w:tcPr>
            <w:tcW w:w="1940" w:type="dxa"/>
            <w:tcBorders>
              <w:top w:val="nil"/>
              <w:left w:val="nil"/>
              <w:bottom w:val="single" w:sz="4" w:space="0" w:color="auto"/>
              <w:right w:val="single" w:sz="8" w:space="0" w:color="auto"/>
            </w:tcBorders>
            <w:shd w:val="clear" w:color="auto" w:fill="auto"/>
            <w:noWrap/>
            <w:vAlign w:val="center"/>
            <w:hideMark/>
          </w:tcPr>
          <w:p w:rsidR="00B5612A" w:rsidRPr="00B5612A" w:rsidRDefault="00B5612A" w:rsidP="00B5612A">
            <w:pPr>
              <w:spacing w:after="0"/>
              <w:jc w:val="center"/>
              <w:outlineLvl w:val="0"/>
              <w:rPr>
                <w:rFonts w:ascii="Arial" w:hAnsi="Arial" w:cs="Arial"/>
                <w:bCs w:val="0"/>
                <w:color w:val="000000"/>
                <w:sz w:val="20"/>
                <w:szCs w:val="20"/>
                <w:lang w:val="en-US" w:eastAsia="en-US"/>
              </w:rPr>
            </w:pPr>
            <w:r w:rsidRPr="00B5612A">
              <w:rPr>
                <w:rFonts w:ascii="Arial" w:hAnsi="Arial" w:cs="Arial"/>
                <w:bCs w:val="0"/>
                <w:color w:val="000000"/>
                <w:sz w:val="20"/>
                <w:szCs w:val="20"/>
                <w:lang w:val="en-US" w:eastAsia="en-US"/>
              </w:rPr>
              <w:t>6</w:t>
            </w:r>
          </w:p>
        </w:tc>
      </w:tr>
      <w:tr w:rsidR="00B5612A" w:rsidRPr="00B5612A" w:rsidTr="00B5612A">
        <w:trPr>
          <w:trHeight w:val="465"/>
        </w:trPr>
        <w:tc>
          <w:tcPr>
            <w:tcW w:w="4520" w:type="dxa"/>
            <w:tcBorders>
              <w:top w:val="nil"/>
              <w:left w:val="single" w:sz="8" w:space="0" w:color="auto"/>
              <w:bottom w:val="single" w:sz="4" w:space="0" w:color="auto"/>
              <w:right w:val="single" w:sz="8" w:space="0" w:color="auto"/>
            </w:tcBorders>
            <w:shd w:val="clear" w:color="auto" w:fill="auto"/>
            <w:vAlign w:val="center"/>
            <w:hideMark/>
          </w:tcPr>
          <w:p w:rsidR="00B5612A" w:rsidRPr="00B5612A" w:rsidRDefault="00B5612A" w:rsidP="00B5612A">
            <w:pPr>
              <w:spacing w:after="0"/>
              <w:jc w:val="left"/>
              <w:outlineLvl w:val="0"/>
              <w:rPr>
                <w:rFonts w:ascii="Arial" w:hAnsi="Arial" w:cs="Arial"/>
                <w:bCs w:val="0"/>
                <w:sz w:val="20"/>
                <w:szCs w:val="20"/>
                <w:lang w:val="en-US" w:eastAsia="en-US"/>
              </w:rPr>
            </w:pPr>
            <w:r w:rsidRPr="00B5612A">
              <w:rPr>
                <w:rFonts w:ascii="Arial" w:hAnsi="Arial" w:cs="Arial"/>
                <w:bCs w:val="0"/>
                <w:sz w:val="20"/>
                <w:szCs w:val="20"/>
                <w:lang w:val="en-US" w:eastAsia="en-US"/>
              </w:rPr>
              <w:t>Pasos peatonales (Unidades)</w:t>
            </w:r>
          </w:p>
        </w:tc>
        <w:tc>
          <w:tcPr>
            <w:tcW w:w="1940" w:type="dxa"/>
            <w:tcBorders>
              <w:top w:val="nil"/>
              <w:left w:val="nil"/>
              <w:bottom w:val="single" w:sz="4" w:space="0" w:color="auto"/>
              <w:right w:val="single" w:sz="4" w:space="0" w:color="auto"/>
            </w:tcBorders>
            <w:shd w:val="clear" w:color="auto" w:fill="auto"/>
            <w:noWrap/>
            <w:vAlign w:val="center"/>
            <w:hideMark/>
          </w:tcPr>
          <w:p w:rsidR="00B5612A" w:rsidRPr="00B5612A" w:rsidRDefault="00B5612A" w:rsidP="00B5612A">
            <w:pPr>
              <w:spacing w:after="0"/>
              <w:jc w:val="center"/>
              <w:outlineLvl w:val="0"/>
              <w:rPr>
                <w:rFonts w:ascii="Arial" w:hAnsi="Arial" w:cs="Arial"/>
                <w:bCs w:val="0"/>
                <w:color w:val="000000"/>
                <w:sz w:val="20"/>
                <w:szCs w:val="20"/>
                <w:lang w:val="en-US" w:eastAsia="en-US"/>
              </w:rPr>
            </w:pPr>
            <w:r w:rsidRPr="00B5612A">
              <w:rPr>
                <w:rFonts w:ascii="Arial" w:hAnsi="Arial" w:cs="Arial"/>
                <w:bCs w:val="0"/>
                <w:color w:val="000000"/>
                <w:sz w:val="20"/>
                <w:szCs w:val="20"/>
                <w:lang w:val="en-US" w:eastAsia="en-US"/>
              </w:rPr>
              <w:t>17</w:t>
            </w:r>
          </w:p>
        </w:tc>
        <w:tc>
          <w:tcPr>
            <w:tcW w:w="1940" w:type="dxa"/>
            <w:tcBorders>
              <w:top w:val="nil"/>
              <w:left w:val="nil"/>
              <w:bottom w:val="single" w:sz="4" w:space="0" w:color="auto"/>
              <w:right w:val="single" w:sz="8" w:space="0" w:color="auto"/>
            </w:tcBorders>
            <w:shd w:val="clear" w:color="auto" w:fill="auto"/>
            <w:noWrap/>
            <w:vAlign w:val="center"/>
            <w:hideMark/>
          </w:tcPr>
          <w:p w:rsidR="00B5612A" w:rsidRPr="00B5612A" w:rsidRDefault="00B5612A" w:rsidP="00B5612A">
            <w:pPr>
              <w:spacing w:after="0"/>
              <w:jc w:val="center"/>
              <w:outlineLvl w:val="0"/>
              <w:rPr>
                <w:rFonts w:ascii="Arial" w:hAnsi="Arial" w:cs="Arial"/>
                <w:bCs w:val="0"/>
                <w:color w:val="000000"/>
                <w:sz w:val="20"/>
                <w:szCs w:val="20"/>
                <w:lang w:val="en-US" w:eastAsia="en-US"/>
              </w:rPr>
            </w:pPr>
            <w:r w:rsidRPr="00B5612A">
              <w:rPr>
                <w:rFonts w:ascii="Arial" w:hAnsi="Arial" w:cs="Arial"/>
                <w:bCs w:val="0"/>
                <w:color w:val="000000"/>
                <w:sz w:val="20"/>
                <w:szCs w:val="20"/>
                <w:lang w:val="en-US" w:eastAsia="en-US"/>
              </w:rPr>
              <w:t>3</w:t>
            </w:r>
          </w:p>
        </w:tc>
      </w:tr>
    </w:tbl>
    <w:p w:rsidR="008E2CAE" w:rsidRDefault="008E2CAE" w:rsidP="00894C18"/>
    <w:p w:rsidR="008E2CAE" w:rsidRDefault="008E2CAE" w:rsidP="009C7735">
      <w:pPr>
        <w:pStyle w:val="Piedetabla-grfico"/>
      </w:pPr>
      <w:r>
        <w:t>Fuente: Elaboración propia con base en información de Documentos CONPES 3166, 3369 y 3504.</w:t>
      </w:r>
    </w:p>
    <w:p w:rsidR="00A474EE" w:rsidRDefault="00554B0D" w:rsidP="00C25E92">
      <w:r>
        <w:t xml:space="preserve">Los datos de </w:t>
      </w:r>
      <w:r w:rsidR="009C7735">
        <w:t>inversiones públicas y privadas se presentan en la</w:t>
      </w:r>
      <w:r w:rsidR="00217253">
        <w:t>s</w:t>
      </w:r>
      <w:r w:rsidR="009C7735">
        <w:t xml:space="preserve"> </w:t>
      </w:r>
      <w:r w:rsidR="00B27127">
        <w:fldChar w:fldCharType="begin"/>
      </w:r>
      <w:r w:rsidR="009C7735">
        <w:instrText xml:space="preserve"> REF _Ref297147495 \h </w:instrText>
      </w:r>
      <w:r w:rsidR="00B27127">
        <w:fldChar w:fldCharType="separate"/>
      </w:r>
      <w:r w:rsidR="009C7735">
        <w:t>Tabla</w:t>
      </w:r>
      <w:r w:rsidR="00217253">
        <w:t>s 3</w:t>
      </w:r>
      <w:r w:rsidR="00B27127">
        <w:fldChar w:fldCharType="end"/>
      </w:r>
      <w:r w:rsidR="009C7735">
        <w:t xml:space="preserve"> y </w:t>
      </w:r>
      <w:r w:rsidR="00217253">
        <w:t>4</w:t>
      </w:r>
      <w:r w:rsidR="009C7735">
        <w:t xml:space="preserve"> respectivamente.</w:t>
      </w:r>
      <w:r w:rsidR="00217253">
        <w:t xml:space="preserve"> </w:t>
      </w:r>
      <w:r>
        <w:t>En estas tablas se detalla la inversión pública y la privada tanto de capital como de operación. Se incluyen temas como estudios, adquisición de predios, adecuación/construcción de troncales y otras vías, adquisición de vehículos nuevos y chatarrización de buses de transporte colectivo, entre otros.</w:t>
      </w:r>
      <w:r w:rsidR="008D6ABB">
        <w:t xml:space="preserve"> Se incluye también, el mantenimiento de la infraestructura.</w:t>
      </w:r>
      <w:r w:rsidR="009474E2">
        <w:t xml:space="preserve"> </w:t>
      </w:r>
      <w:r w:rsidR="00C25E92">
        <w:t xml:space="preserve">Debido a la ausencia de información sobre los volúmenes vehiculares, no se analizó </w:t>
      </w:r>
      <w:r w:rsidR="009474E2">
        <w:t xml:space="preserve">el costo </w:t>
      </w:r>
      <w:r w:rsidR="00C25E92">
        <w:t xml:space="preserve">que los usuarios de vehículos particulares podrían sufrir debido a las obras de infraestructura para la adecuación de los corredores SITM. La consideración de estas demoras resulta conveniente dentro de análisis de este tipo, toda vez que los costos que imponen a los usuarios de las vías, tanto en tiempo de viaje como en costos de operación, pueden ser relevantes en la medida en que los volúmenes de vehículos sean significativos, y la duración de las obras se prolongue por un largo tiempo. </w:t>
      </w:r>
    </w:p>
    <w:p w:rsidR="008E2CAE" w:rsidRDefault="008E2CAE" w:rsidP="008E2CAE">
      <w:pPr>
        <w:pStyle w:val="Caption"/>
      </w:pPr>
      <w:bookmarkStart w:id="28" w:name="_Ref297147495"/>
      <w:r>
        <w:t xml:space="preserve">Tabla </w:t>
      </w:r>
      <w:bookmarkEnd w:id="28"/>
      <w:r w:rsidR="00217253">
        <w:t>3</w:t>
      </w:r>
      <w:r>
        <w:t xml:space="preserve"> – Valor de las inversiones públicas en el SITM para Santiago de Cali </w:t>
      </w:r>
    </w:p>
    <w:p w:rsidR="008E2CAE" w:rsidRDefault="00EA1010" w:rsidP="008E2CAE">
      <w:r w:rsidRPr="00EA1010">
        <w:rPr>
          <w:noProof/>
          <w:lang w:val="es-ES_tradnl" w:eastAsia="es-ES_tradnl"/>
        </w:rPr>
        <w:drawing>
          <wp:inline distT="0" distB="0" distL="0" distR="0">
            <wp:extent cx="5455474" cy="1761743"/>
            <wp:effectExtent l="1905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srcRect/>
                    <a:stretch>
                      <a:fillRect/>
                    </a:stretch>
                  </pic:blipFill>
                  <pic:spPr bwMode="auto">
                    <a:xfrm>
                      <a:off x="0" y="0"/>
                      <a:ext cx="5466179" cy="1765200"/>
                    </a:xfrm>
                    <a:prstGeom prst="rect">
                      <a:avLst/>
                    </a:prstGeom>
                    <a:noFill/>
                    <a:ln w="9525">
                      <a:noFill/>
                      <a:miter lim="800000"/>
                      <a:headEnd/>
                      <a:tailEnd/>
                    </a:ln>
                  </pic:spPr>
                </pic:pic>
              </a:graphicData>
            </a:graphic>
          </wp:inline>
        </w:drawing>
      </w:r>
    </w:p>
    <w:p w:rsidR="008E2CAE" w:rsidRPr="00960AB9" w:rsidRDefault="008E2CAE" w:rsidP="009C7735">
      <w:pPr>
        <w:pStyle w:val="Piedetabla-grfico"/>
      </w:pPr>
      <w:r>
        <w:t>Fuente: Elaboración propia con base en información de Documentos CONPES 3166, 3369 y 3504.</w:t>
      </w:r>
    </w:p>
    <w:p w:rsidR="004C6D1F" w:rsidRDefault="004C6D1F" w:rsidP="00C25E92"/>
    <w:p w:rsidR="008E2CAE" w:rsidRDefault="008E2CAE" w:rsidP="008E2CAE">
      <w:pPr>
        <w:pStyle w:val="Caption"/>
      </w:pPr>
      <w:bookmarkStart w:id="29" w:name="_Ref297147502"/>
      <w:r>
        <w:t xml:space="preserve">Tabla </w:t>
      </w:r>
      <w:bookmarkEnd w:id="29"/>
      <w:r w:rsidR="00217253">
        <w:t>4</w:t>
      </w:r>
      <w:r>
        <w:t xml:space="preserve"> – Valor de las inversiones privadas en el SITM para Santiago de Cali </w:t>
      </w:r>
    </w:p>
    <w:p w:rsidR="008E2CAE" w:rsidRDefault="008E2CAE" w:rsidP="00C25E92">
      <w:r w:rsidRPr="008E2CAE">
        <w:rPr>
          <w:noProof/>
          <w:lang w:val="es-ES_tradnl" w:eastAsia="es-ES_tradnl"/>
        </w:rPr>
        <w:drawing>
          <wp:inline distT="0" distB="0" distL="0" distR="0">
            <wp:extent cx="5362045" cy="2909455"/>
            <wp:effectExtent l="1905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srcRect/>
                    <a:stretch>
                      <a:fillRect/>
                    </a:stretch>
                  </pic:blipFill>
                  <pic:spPr bwMode="auto">
                    <a:xfrm>
                      <a:off x="0" y="0"/>
                      <a:ext cx="5364640" cy="2910863"/>
                    </a:xfrm>
                    <a:prstGeom prst="rect">
                      <a:avLst/>
                    </a:prstGeom>
                    <a:noFill/>
                    <a:ln w="9525">
                      <a:noFill/>
                      <a:miter lim="800000"/>
                      <a:headEnd/>
                      <a:tailEnd/>
                    </a:ln>
                  </pic:spPr>
                </pic:pic>
              </a:graphicData>
            </a:graphic>
          </wp:inline>
        </w:drawing>
      </w:r>
    </w:p>
    <w:p w:rsidR="008E2CAE" w:rsidRPr="00960AB9" w:rsidRDefault="008E2CAE" w:rsidP="009C7735">
      <w:pPr>
        <w:pStyle w:val="Piedetabla-grfico"/>
      </w:pPr>
      <w:bookmarkStart w:id="30" w:name="_Toc297104636"/>
      <w:r>
        <w:t>Fuente: Elaboración propia con base en información de Documentos CONPES 3166, 3369 y 3504.</w:t>
      </w:r>
    </w:p>
    <w:p w:rsidR="00B1146F" w:rsidRPr="00674A2E" w:rsidRDefault="008D6ABB" w:rsidP="00894C18">
      <w:pPr>
        <w:pStyle w:val="Heading2"/>
        <w:rPr>
          <w:b/>
        </w:rPr>
      </w:pPr>
      <w:bookmarkStart w:id="31" w:name="_Toc298144738"/>
      <w:r>
        <w:rPr>
          <w:b/>
        </w:rPr>
        <w:t xml:space="preserve">Temas </w:t>
      </w:r>
      <w:r w:rsidR="00B1146F" w:rsidRPr="00674A2E">
        <w:rPr>
          <w:b/>
        </w:rPr>
        <w:t>a considerar en la cuantificación de beneficios</w:t>
      </w:r>
      <w:bookmarkEnd w:id="30"/>
      <w:bookmarkEnd w:id="31"/>
    </w:p>
    <w:p w:rsidR="008D6ABB" w:rsidRDefault="00E13A04" w:rsidP="00894C18">
      <w:bookmarkStart w:id="32" w:name="_Toc286885247"/>
      <w:r>
        <w:t xml:space="preserve">Tradicionalmente, las evaluaciones económicas de los SITM han buscado cuantificar el impacto económico de estos importantes proyectos urbanos sobre los indicadores abajo presentados. </w:t>
      </w:r>
      <w:r w:rsidR="00217253">
        <w:t>Desafortunadamente</w:t>
      </w:r>
      <w:r>
        <w:t xml:space="preserve">, en algunos casos no es posible </w:t>
      </w:r>
      <w:r w:rsidR="00217253">
        <w:t xml:space="preserve">medir </w:t>
      </w:r>
      <w:r>
        <w:t xml:space="preserve">todos los impactos o beneficios debido a la falencia de alguna información clave para el cálculo del impacto. En el caso de la presente evaluación, la dificultad para conseguir información sobre los volúmenes vehiculares por las vías que serían afectadas por el MIO imposibilitó la estimación de los beneficios y costos sobre los vehículos privados y las personas que se transportan en ellos. </w:t>
      </w:r>
    </w:p>
    <w:p w:rsidR="00DC642D" w:rsidRPr="00C25E92" w:rsidRDefault="008D6ABB" w:rsidP="00C25E92">
      <w:pPr>
        <w:pStyle w:val="Heading3"/>
      </w:pPr>
      <w:bookmarkStart w:id="33" w:name="_Toc297104637"/>
      <w:bookmarkStart w:id="34" w:name="_Toc298144739"/>
      <w:r w:rsidRPr="00C25E92">
        <w:t>A</w:t>
      </w:r>
      <w:r w:rsidR="00A474EE" w:rsidRPr="00C25E92">
        <w:t xml:space="preserve">horro en tiempo de viaje de usuarios del MIO - </w:t>
      </w:r>
      <w:r w:rsidR="001B00DF" w:rsidRPr="00C25E92">
        <w:t>Costo g</w:t>
      </w:r>
      <w:r w:rsidR="00DC642D" w:rsidRPr="00C25E92">
        <w:t>eneralizado de viaje</w:t>
      </w:r>
      <w:bookmarkEnd w:id="33"/>
      <w:bookmarkEnd w:id="34"/>
      <w:r w:rsidR="00DC642D" w:rsidRPr="00C25E92">
        <w:t xml:space="preserve"> </w:t>
      </w:r>
      <w:bookmarkEnd w:id="32"/>
    </w:p>
    <w:p w:rsidR="009976DE" w:rsidRPr="00960AB9" w:rsidRDefault="001B00DF" w:rsidP="00894C18">
      <w:r w:rsidRPr="00960AB9">
        <w:t>El costo generalizado de viaje recoge todos los costos en que el usuario incurre para la realización del viaje. De acuerdo con el nivel de detalle y los supuestos con los cuales s</w:t>
      </w:r>
      <w:r w:rsidR="007319C8">
        <w:t>e trabaje para el análisis, el Costo G</w:t>
      </w:r>
      <w:r w:rsidRPr="00960AB9">
        <w:t xml:space="preserve">eneralizado de </w:t>
      </w:r>
      <w:r w:rsidR="007319C8">
        <w:t>V</w:t>
      </w:r>
      <w:r w:rsidRPr="00960AB9">
        <w:t xml:space="preserve">iaje </w:t>
      </w:r>
      <w:r w:rsidR="007319C8">
        <w:t xml:space="preserve">(CGV) </w:t>
      </w:r>
      <w:r w:rsidRPr="00960AB9">
        <w:t>puede incluir todos los tiempos asociados al desplazamiento del origen hasta el destino, como son los caminata a la parada/estación, tiempo de espera a la llegada del bus, tiempo en el vehículo, y tiempos posteriores de caminata para llegar al destino</w:t>
      </w:r>
      <w:r w:rsidR="0007532F" w:rsidRPr="00960AB9">
        <w:t xml:space="preserve">. </w:t>
      </w:r>
      <w:r w:rsidR="00C25E92">
        <w:t xml:space="preserve">Considerando los impactos “incrementales” de la implantación del SITM, el análisis se concentró sobre la reducción de tiempos de viaje y el mayor tiempo de caminata en que incurren los usuarios debido a la eliminación del esquema de “guerra del centavo”. </w:t>
      </w:r>
    </w:p>
    <w:p w:rsidR="00690436" w:rsidRPr="003864C9" w:rsidRDefault="00690436" w:rsidP="003864C9">
      <w:pPr>
        <w:pStyle w:val="Heading3"/>
      </w:pPr>
      <w:bookmarkStart w:id="35" w:name="_Toc286885249"/>
      <w:bookmarkStart w:id="36" w:name="_Toc297104639"/>
      <w:bookmarkStart w:id="37" w:name="_Toc298144740"/>
      <w:r w:rsidRPr="003864C9">
        <w:t>Reducción de costo de operación para vehículos de transporte público</w:t>
      </w:r>
      <w:bookmarkEnd w:id="35"/>
      <w:bookmarkEnd w:id="36"/>
      <w:bookmarkEnd w:id="37"/>
    </w:p>
    <w:p w:rsidR="000E5D75" w:rsidRPr="00960AB9" w:rsidRDefault="00690436" w:rsidP="00894C18">
      <w:r w:rsidRPr="00960AB9">
        <w:t xml:space="preserve">El beneficio esperado en la reducción de los costos de operación de transporte público se </w:t>
      </w:r>
      <w:r w:rsidR="005B5C1A" w:rsidRPr="00960AB9">
        <w:t>de</w:t>
      </w:r>
      <w:r w:rsidR="00F811EA" w:rsidRPr="00960AB9">
        <w:t xml:space="preserve">riva </w:t>
      </w:r>
      <w:r w:rsidRPr="00960AB9">
        <w:t xml:space="preserve">regularmente de medidas que buscan hacer un uso más eficiente de los vehículos existentes, eliminando de esa manera la sobreoferta de vehículos y la causación de costos variables innecesarios. Desde la perspectiva de los escenarios analizados, los ahorros están atados a la cantidad total de kilómetros que </w:t>
      </w:r>
      <w:r w:rsidR="00E47FA9" w:rsidRPr="00960AB9">
        <w:t>los vehículos recorren en un año. La teoría considera que los incrementos en velocidad de los vehículos generan una reducción en la flota que permite compensar el mayor número de kilómetros que deben recorrer los autobuses del nuevo sistema</w:t>
      </w:r>
      <w:r w:rsidR="00217253">
        <w:t>,</w:t>
      </w:r>
      <w:r w:rsidR="00E47FA9" w:rsidRPr="00960AB9">
        <w:t xml:space="preserve"> debido a la mayor velocidad de operación permitida por las intervenciones de infraestructura. </w:t>
      </w:r>
    </w:p>
    <w:p w:rsidR="000E5D75" w:rsidRPr="00960AB9" w:rsidRDefault="000E5D75" w:rsidP="00894C18">
      <w:r w:rsidRPr="00960AB9">
        <w:t xml:space="preserve">Los ahorros se calculan entonces calculando la diferencia entre el producto de los kilómetros recorridos al año por los vehículos del sistema anterior y sus costos operativos por kilómetro, y los costos totales de operación del nuevo sistema, con sus nuevos vehículos y sus costos de operación respectivos. </w:t>
      </w:r>
    </w:p>
    <w:p w:rsidR="000E5D75" w:rsidRPr="003864C9" w:rsidRDefault="000E5D75" w:rsidP="003864C9">
      <w:pPr>
        <w:pStyle w:val="Heading3"/>
      </w:pPr>
      <w:bookmarkStart w:id="38" w:name="_Toc286885250"/>
      <w:bookmarkStart w:id="39" w:name="_Toc297104640"/>
      <w:bookmarkStart w:id="40" w:name="_Toc298144741"/>
      <w:r w:rsidRPr="003864C9">
        <w:t xml:space="preserve">Cambio Modal, </w:t>
      </w:r>
      <w:r w:rsidR="009976DE" w:rsidRPr="003864C9">
        <w:t>de a</w:t>
      </w:r>
      <w:r w:rsidRPr="003864C9">
        <w:t>utomóvil a bus</w:t>
      </w:r>
      <w:bookmarkEnd w:id="38"/>
      <w:bookmarkEnd w:id="39"/>
      <w:bookmarkEnd w:id="40"/>
    </w:p>
    <w:p w:rsidR="000E5D75" w:rsidRPr="00960AB9" w:rsidRDefault="000E5D75" w:rsidP="00894C18">
      <w:r w:rsidRPr="00960AB9">
        <w:t xml:space="preserve">El mejoramiento de los servicios de transporte público, más aún cuando tienen beneficios de acceso a algunas zonas donde los automóviles no pueden </w:t>
      </w:r>
      <w:r w:rsidR="007349F4" w:rsidRPr="00960AB9">
        <w:t xml:space="preserve">llegar, fomentan un cambio modal de los automóviles al bus. </w:t>
      </w:r>
    </w:p>
    <w:p w:rsidR="007349F4" w:rsidRPr="00960AB9" w:rsidRDefault="007349F4" w:rsidP="00894C18">
      <w:r w:rsidRPr="00960AB9">
        <w:t xml:space="preserve">Los beneficios de este cambio modal se calculan como los ahorros en tiempo que pueden lograr los usuarios del transporte privado por cambiar al bus, sobre todo en aquellas ciudades donde debido a una priorización del transporte público, éste puede desplazarse más rápidamente que el transporte particular. </w:t>
      </w:r>
    </w:p>
    <w:p w:rsidR="007349F4" w:rsidRPr="00292F53" w:rsidRDefault="007349F4" w:rsidP="00292F53">
      <w:pPr>
        <w:pStyle w:val="Heading3"/>
      </w:pPr>
      <w:bookmarkStart w:id="41" w:name="_Toc286885252"/>
      <w:bookmarkStart w:id="42" w:name="_Toc297104642"/>
      <w:bookmarkStart w:id="43" w:name="_Toc298144742"/>
      <w:r w:rsidRPr="00292F53">
        <w:t>Beneficios derivados de viajes generados por la implantación de</w:t>
      </w:r>
      <w:r w:rsidR="009976DE" w:rsidRPr="00292F53">
        <w:t>l MIO</w:t>
      </w:r>
      <w:bookmarkEnd w:id="41"/>
      <w:bookmarkEnd w:id="42"/>
      <w:bookmarkEnd w:id="43"/>
    </w:p>
    <w:p w:rsidR="007349F4" w:rsidRPr="00960AB9" w:rsidRDefault="007349F4" w:rsidP="00894C18">
      <w:r w:rsidRPr="00960AB9">
        <w:t xml:space="preserve">Intervenciones que faciliten los esquemas de movilización en transporte público, </w:t>
      </w:r>
      <w:r w:rsidR="008B08FD" w:rsidRPr="00960AB9">
        <w:t>permiten la realización de viajes que tradicionalmente no se realizaban por diversos motivos</w:t>
      </w:r>
      <w:r w:rsidR="00006CFE">
        <w:t>. A partir de información obtenida de Bogotá y Pereira, se estima que cerca de un 5% de los viajes del SITM eran viajes que no se habrían realizado de no existir éste. El beneficio de estos viajes se estima como un medio de la diferencia entre el valor</w:t>
      </w:r>
      <w:r w:rsidR="008B08FD" w:rsidRPr="00960AB9">
        <w:t xml:space="preserve">, uno de los cuales podía ser el valor del pasaje o los valores de los pasajes en el caso de que se requiriera transbordar. </w:t>
      </w:r>
    </w:p>
    <w:p w:rsidR="008B08FD" w:rsidRPr="00006CFE" w:rsidRDefault="008B08FD" w:rsidP="00006CFE">
      <w:pPr>
        <w:pStyle w:val="Heading3"/>
      </w:pPr>
      <w:bookmarkStart w:id="44" w:name="_Toc286885253"/>
      <w:bookmarkStart w:id="45" w:name="_Toc297104643"/>
      <w:bookmarkStart w:id="46" w:name="_Toc298144743"/>
      <w:r w:rsidRPr="00006CFE">
        <w:t>Reducción de la accidentalidad por la introducción de</w:t>
      </w:r>
      <w:r w:rsidR="009976DE" w:rsidRPr="00006CFE">
        <w:t>l MIO</w:t>
      </w:r>
      <w:bookmarkEnd w:id="44"/>
      <w:bookmarkEnd w:id="45"/>
      <w:bookmarkEnd w:id="46"/>
    </w:p>
    <w:p w:rsidR="008B08FD" w:rsidRPr="00960AB9" w:rsidRDefault="008B08FD" w:rsidP="00894C18">
      <w:r w:rsidRPr="00960AB9">
        <w:t xml:space="preserve">La reducción en el número de vehículos, pero sobre todo del número de kilómetros recorridos por la flota se considera </w:t>
      </w:r>
      <w:r w:rsidR="00006CFE">
        <w:t xml:space="preserve">guarda relación directa con la exposición que tienen los vehículos de transporte público de verse involucrados en accidentes de transporte público. El beneficio se calcula como la diferencia en el costo económico de los accidentes en que se veían involucrados los vehículos del TPC y las expectativas de accidentalidad, que se calculan a partir del mismo indicador de accidentes, heridos y muertes por millón de km recorridos por el TPC, pero multiplicado por los kilómetros recorridos específicamente por aquellos vehículos del SITM que operan por corredores mixtos. </w:t>
      </w:r>
    </w:p>
    <w:p w:rsidR="008B08FD" w:rsidRPr="00006CFE" w:rsidRDefault="00AB5DDE" w:rsidP="00006CFE">
      <w:pPr>
        <w:pStyle w:val="Heading3"/>
      </w:pPr>
      <w:bookmarkStart w:id="47" w:name="_Toc286885254"/>
      <w:bookmarkStart w:id="48" w:name="_Toc297104644"/>
      <w:bookmarkStart w:id="49" w:name="_Toc298144744"/>
      <w:r w:rsidRPr="00006CFE">
        <w:t>Beneficios por reducción de emisiones</w:t>
      </w:r>
      <w:bookmarkEnd w:id="47"/>
      <w:bookmarkEnd w:id="48"/>
      <w:bookmarkEnd w:id="49"/>
      <w:r w:rsidRPr="00006CFE">
        <w:t xml:space="preserve"> </w:t>
      </w:r>
    </w:p>
    <w:p w:rsidR="009D2AFC" w:rsidRDefault="00006CFE" w:rsidP="001C37A7">
      <w:pPr>
        <w:spacing w:after="0"/>
      </w:pPr>
      <w:r>
        <w:t xml:space="preserve">En la medida en que se optimiza el uso de la flota, se hace más eficiente el uso energético de la misma y las emisiones contaminantes asociadas a su generación. Pero la reducción en emisiones no solo se basan en el uso total de energía, sino en el nivel de actualización de las tecnologías utilizadas para su generación. Vehículos más modernos cumplen con estándares de emisiones más estrictos, contaminando menos. De esta manera, los </w:t>
      </w:r>
      <w:r w:rsidR="00AB5DDE" w:rsidRPr="00960AB9">
        <w:t xml:space="preserve">beneficios por reducción de emisiones se calculan con base en factores de emisión </w:t>
      </w:r>
      <w:r>
        <w:t xml:space="preserve">de diferentes contaminantes </w:t>
      </w:r>
      <w:r w:rsidR="00AB5DDE" w:rsidRPr="00960AB9">
        <w:t xml:space="preserve">por kilómetro para diferentes </w:t>
      </w:r>
      <w:r>
        <w:t xml:space="preserve">tipologías y edades de vehículo, los cuales son luego monetizados con base en estudios realizados sobre el tema. </w:t>
      </w:r>
      <w:r w:rsidR="00AB5DDE" w:rsidRPr="00960AB9">
        <w:t xml:space="preserve">La estimación total de las emisiones se obtiene del producto entre el número total de kilómetros recorridos en el año por un tipo determinado de bus, y el respectivo factor de emisiones. </w:t>
      </w:r>
      <w:bookmarkStart w:id="50" w:name="_Toc286885256"/>
      <w:bookmarkStart w:id="51" w:name="_Toc297104645"/>
    </w:p>
    <w:p w:rsidR="001C37A7" w:rsidRDefault="001C37A7" w:rsidP="001C37A7">
      <w:pPr>
        <w:spacing w:after="0"/>
      </w:pPr>
    </w:p>
    <w:p w:rsidR="00682A64" w:rsidRDefault="008E603F" w:rsidP="001C37A7">
      <w:pPr>
        <w:pStyle w:val="Heading1"/>
        <w:spacing w:before="0" w:after="0"/>
      </w:pPr>
      <w:bookmarkStart w:id="52" w:name="_Toc298144745"/>
      <w:r w:rsidRPr="00D67A43">
        <w:t>Resultados del análisis</w:t>
      </w:r>
      <w:bookmarkEnd w:id="50"/>
      <w:bookmarkEnd w:id="51"/>
      <w:bookmarkEnd w:id="52"/>
      <w:r w:rsidRPr="00D67A43">
        <w:t xml:space="preserve"> </w:t>
      </w:r>
    </w:p>
    <w:p w:rsidR="001C37A7" w:rsidRPr="001C37A7" w:rsidRDefault="001C37A7" w:rsidP="001C37A7"/>
    <w:p w:rsidR="009976DE" w:rsidRDefault="00587A97" w:rsidP="001C37A7">
      <w:pPr>
        <w:spacing w:after="0"/>
      </w:pPr>
      <w:r>
        <w:t xml:space="preserve">Para </w:t>
      </w:r>
      <w:r w:rsidR="00006CFE">
        <w:t>facilitar la identificación de los impactos más relevantes de los ajustes al SITM MIO sobre la evaluación económica del proyecto, se pre</w:t>
      </w:r>
      <w:r w:rsidR="00C3667F">
        <w:t xml:space="preserve">sentan lado a lado, y bajo esquemas similares y análisis, los resultados de la evaluación económica del proyecto ajustado y los resultados obtenidos para una nueva iteración de los alcances originales. En </w:t>
      </w:r>
      <w:r w:rsidR="009C7735">
        <w:t xml:space="preserve">la </w:t>
      </w:r>
      <w:r w:rsidR="007319C8">
        <w:t>Tabla 5</w:t>
      </w:r>
      <w:r w:rsidR="009C7735">
        <w:t xml:space="preserve"> </w:t>
      </w:r>
      <w:r w:rsidR="00C3667F">
        <w:t xml:space="preserve">se presentan los resultados de dichas evaluaciones. </w:t>
      </w:r>
    </w:p>
    <w:p w:rsidR="002950B3" w:rsidRDefault="002950B3" w:rsidP="001C37A7">
      <w:pPr>
        <w:spacing w:after="0"/>
      </w:pPr>
    </w:p>
    <w:p w:rsidR="009C7735" w:rsidRDefault="009C7735" w:rsidP="00894C18">
      <w:r>
        <w:t>Hay varias diferencias entre la evaluación económica del nuevo alcance y el del original. Una primera diferencia se puede identificar en el incremento de los ahorros de costo de operación vehicular del transporte público y la reducción de emisiones contaminantes, ahorros que se derivan de la salida de prácticamente todos los vehículos de TPC que operaban en la ciudad, algunos de los cuales habrían permanecido operando bajo el alcance inicial para movilizar el 28% no atendido por el SITM.</w:t>
      </w:r>
    </w:p>
    <w:p w:rsidR="009C7735" w:rsidRDefault="009C7735" w:rsidP="009C7735"/>
    <w:p w:rsidR="004C6D1F" w:rsidRDefault="004C6D1F" w:rsidP="004C6D1F">
      <w:pPr>
        <w:pStyle w:val="Caption"/>
        <w:keepNext/>
      </w:pPr>
      <w:bookmarkStart w:id="53" w:name="_Ref297147593"/>
      <w:r>
        <w:t xml:space="preserve">Tabla </w:t>
      </w:r>
      <w:r w:rsidR="007319C8">
        <w:t>5</w:t>
      </w:r>
      <w:bookmarkEnd w:id="53"/>
      <w:r>
        <w:t xml:space="preserve"> - Resultados de la Evaluación Económica</w:t>
      </w:r>
    </w:p>
    <w:p w:rsidR="00C3667F" w:rsidRDefault="00C3667F" w:rsidP="00894C18">
      <w:r w:rsidRPr="00C3667F">
        <w:rPr>
          <w:noProof/>
          <w:lang w:val="es-ES_tradnl" w:eastAsia="es-ES_tradnl"/>
        </w:rPr>
        <w:drawing>
          <wp:inline distT="0" distB="0" distL="0" distR="0">
            <wp:extent cx="5969000" cy="3846062"/>
            <wp:effectExtent l="19050" t="19050" r="12700" b="21088"/>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5969000" cy="3846062"/>
                    </a:xfrm>
                    <a:prstGeom prst="rect">
                      <a:avLst/>
                    </a:prstGeom>
                    <a:noFill/>
                    <a:ln w="9525">
                      <a:solidFill>
                        <a:schemeClr val="tx1"/>
                      </a:solidFill>
                      <a:miter lim="800000"/>
                      <a:headEnd/>
                      <a:tailEnd/>
                    </a:ln>
                  </pic:spPr>
                </pic:pic>
              </a:graphicData>
            </a:graphic>
          </wp:inline>
        </w:drawing>
      </w:r>
    </w:p>
    <w:p w:rsidR="00C3667F" w:rsidRDefault="00C3667F" w:rsidP="009C7735">
      <w:pPr>
        <w:pStyle w:val="Piedetabla-grfico"/>
      </w:pPr>
      <w:r>
        <w:t>Fuente: Elaboración Propia.</w:t>
      </w:r>
    </w:p>
    <w:p w:rsidR="009D2AFC" w:rsidRDefault="009D2AFC" w:rsidP="00894C18"/>
    <w:p w:rsidR="00E13A04" w:rsidRDefault="00E13A04" w:rsidP="00894C18">
      <w:r>
        <w:t>Una segunda diferencia, que resulta interesante, proviene de los menores valores de ahorro en C</w:t>
      </w:r>
      <w:r w:rsidR="007319C8">
        <w:t>GV</w:t>
      </w:r>
      <w:r>
        <w:t>, cambio modal y viajes generados por el SITM, los cuales debían haber aumentado en la medida en que el nuevo sistema contempla un alcance mayor. Una revisión detallada de las cifras revela dos causas de esta reducción. La primera de ellas tiene que ver con el hecho de que las proyecciones de demanda total de transporte público cambiaron significativamente entre uno y otro escenario de análisis: mientras que en el escenario original se pensaba que la demanda de viajes en transporte público para 2010 sería de casi 1.5 millones de viajes por día, los estimativos actuales de MetroCali S.A. hablan de 1,000,000 de viajes al día. La segunda causa tiene que ver con la reducción de la velocidad media de operación del sistema de 18.6 Km/h en el alcance original a 16.7 Km/h en el nuevo alcance, haciendo que el beneficio para cada uno de los pasajeros del sistema sea menor.</w:t>
      </w:r>
    </w:p>
    <w:p w:rsidR="00DA5FC8" w:rsidRDefault="00DA5FC8" w:rsidP="00894C18">
      <w:r>
        <w:t xml:space="preserve">Una tercera y última diferencia interesante tiene que ver con la reducción en el ahorro de costos económicos de los accidentes, que se deriva de una reducción significativa de los accidentes entre 2005, fecha considerada como base para el escenario inicial, y 2007, fecha considerada como base para el nuevo alcance. </w:t>
      </w:r>
    </w:p>
    <w:p w:rsidR="00DA5FC8" w:rsidRDefault="00DA5FC8" w:rsidP="00894C18">
      <w:r>
        <w:t xml:space="preserve">La comparación del nuevo escenario actual y el escenario inicial señalan que aunque las mayores inversiones del nuevo alcance tienen un impacto adverso sobre el desempeño económico del proyecto inicial, mantienen su viabilidad económica. </w:t>
      </w:r>
    </w:p>
    <w:p w:rsidR="00DA5FC8" w:rsidRDefault="00DA5FC8" w:rsidP="002950B3">
      <w:pPr>
        <w:spacing w:after="0"/>
      </w:pPr>
      <w:r>
        <w:t xml:space="preserve">Los resultados obtenidos del nuevo proceso de evaluación son muy cercanos a los resultados obtenidos en la evaluación económica incluida en un anexo del Documento CONPES 3504, aunque son sustancialmente mayores que los beneficios calculados por Cal y Mayor en su evaluación económica reciente, concentrándose las principales diferencias en la magnitud de los ahorros obtenidos </w:t>
      </w:r>
      <w:r w:rsidR="00D67A43">
        <w:t xml:space="preserve">de la reducción en el costo generalizado de viaje. </w:t>
      </w:r>
    </w:p>
    <w:p w:rsidR="002950B3" w:rsidRDefault="002950B3" w:rsidP="002950B3">
      <w:pPr>
        <w:spacing w:after="0"/>
      </w:pPr>
    </w:p>
    <w:p w:rsidR="00F10E02" w:rsidRDefault="00F10E02" w:rsidP="002950B3">
      <w:pPr>
        <w:pStyle w:val="Heading1"/>
        <w:spacing w:before="0" w:after="0"/>
      </w:pPr>
      <w:bookmarkStart w:id="54" w:name="_Toc286885257"/>
      <w:bookmarkStart w:id="55" w:name="_Toc297104646"/>
      <w:bookmarkStart w:id="56" w:name="_Toc298144746"/>
      <w:r w:rsidRPr="00D67A43">
        <w:t>Análisis de sensibilidad</w:t>
      </w:r>
      <w:bookmarkEnd w:id="54"/>
      <w:bookmarkEnd w:id="55"/>
      <w:bookmarkEnd w:id="56"/>
    </w:p>
    <w:p w:rsidR="002950B3" w:rsidRPr="002950B3" w:rsidRDefault="002950B3" w:rsidP="002950B3"/>
    <w:p w:rsidR="006207F3" w:rsidRDefault="00D67A43" w:rsidP="002950B3">
      <w:pPr>
        <w:spacing w:after="0"/>
      </w:pPr>
      <w:r>
        <w:t>Con el fin de identificar la solidez del proyecto, se realizaron variaciones a algunas variables claves del proyecto con el fin de determinar el impacto sobre su viabilidad económica. Las variables modificadas fueron (i</w:t>
      </w:r>
      <w:r w:rsidR="006207F3">
        <w:t>)  incremento del 20</w:t>
      </w:r>
      <w:r>
        <w:t>% en los costos de inversión, (ii</w:t>
      </w:r>
      <w:r w:rsidR="006207F3">
        <w:t>) incremento del 20% en los costos administrativos</w:t>
      </w:r>
      <w:r>
        <w:t xml:space="preserve"> del proyecto,  (iii</w:t>
      </w:r>
      <w:r w:rsidR="006207F3">
        <w:t xml:space="preserve">) demora de 3 años en el ejecución de las obras </w:t>
      </w:r>
      <w:r>
        <w:t xml:space="preserve">y en el inicio de la operación del SITM y (iv) incremento del tiempo de caminata para llegar a la parada del bus de 10 a 12.25 minutos. </w:t>
      </w:r>
      <w:r w:rsidR="006207F3">
        <w:t>Los resultados de este ejercicio se presenta</w:t>
      </w:r>
      <w:r w:rsidR="007319C8">
        <w:t>n</w:t>
      </w:r>
      <w:r w:rsidR="006207F3">
        <w:t xml:space="preserve"> a continuación en la </w:t>
      </w:r>
      <w:r w:rsidR="007319C8">
        <w:t>Tabla 6</w:t>
      </w:r>
      <w:r w:rsidR="006207F3">
        <w:t>.</w:t>
      </w:r>
    </w:p>
    <w:p w:rsidR="009D2AFC" w:rsidRDefault="009D2AFC" w:rsidP="00894C18"/>
    <w:p w:rsidR="008E2CAE" w:rsidRDefault="008E2CAE" w:rsidP="008E2CAE">
      <w:pPr>
        <w:pStyle w:val="Caption"/>
        <w:keepNext/>
      </w:pPr>
      <w:bookmarkStart w:id="57" w:name="_Ref297146980"/>
      <w:r>
        <w:t xml:space="preserve">Tabla </w:t>
      </w:r>
      <w:r w:rsidR="007319C8">
        <w:t>6</w:t>
      </w:r>
      <w:bookmarkEnd w:id="57"/>
      <w:r>
        <w:t xml:space="preserve"> – Análisis de Sensibilidad</w:t>
      </w:r>
    </w:p>
    <w:p w:rsidR="00D67A43" w:rsidRDefault="00D67A43" w:rsidP="00894C18">
      <w:r w:rsidRPr="00D67A43">
        <w:rPr>
          <w:noProof/>
          <w:lang w:val="es-ES_tradnl" w:eastAsia="es-ES_tradnl"/>
        </w:rPr>
        <w:drawing>
          <wp:inline distT="0" distB="0" distL="0" distR="0">
            <wp:extent cx="5969000" cy="976246"/>
            <wp:effectExtent l="1905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srcRect/>
                    <a:stretch>
                      <a:fillRect/>
                    </a:stretch>
                  </pic:blipFill>
                  <pic:spPr bwMode="auto">
                    <a:xfrm>
                      <a:off x="0" y="0"/>
                      <a:ext cx="5969000" cy="976246"/>
                    </a:xfrm>
                    <a:prstGeom prst="rect">
                      <a:avLst/>
                    </a:prstGeom>
                    <a:noFill/>
                    <a:ln w="9525">
                      <a:noFill/>
                      <a:miter lim="800000"/>
                      <a:headEnd/>
                      <a:tailEnd/>
                    </a:ln>
                  </pic:spPr>
                </pic:pic>
              </a:graphicData>
            </a:graphic>
          </wp:inline>
        </w:drawing>
      </w:r>
    </w:p>
    <w:p w:rsidR="003E47E9" w:rsidRPr="00960AB9" w:rsidRDefault="00131C1B" w:rsidP="009C7735">
      <w:pPr>
        <w:pStyle w:val="Piedetabla-grfico"/>
      </w:pPr>
      <w:r>
        <w:t xml:space="preserve">Fuente: </w:t>
      </w:r>
      <w:r w:rsidR="009C7735">
        <w:t>Elaboración propia</w:t>
      </w:r>
    </w:p>
    <w:p w:rsidR="009D2AFC" w:rsidRDefault="009D2AFC" w:rsidP="00894C18">
      <w:r>
        <w:t xml:space="preserve">El análisis de sensibilidad muestra que los beneficios previstos del proyecto le brindan suficiente robustez para tolerar mayores costos de capital o costos administrativos o demoras en la ejecución de las obras sin que se sacrifique la viabilidad del proyecto. Sin embargo los retrasos sobre todo aquellos en la entrada en funcionamiento del proyecto o sus diferentes fases, pueden tener impactos significativos sobre los beneficios del proyecto, tal como se puede apreciar en el análisis de sensibilidad (iii), en el cual se consideran retrasos de 3 años en la construcción de la infraestructura del SITM y su puesta en funcionamiento, observándose una caída casi a la mitad del VPN del escenario base ajustado y ello a pesar de que las demoras en la ejecución de las inversiones de capital también reduce el VPN de los costos del mismo. </w:t>
      </w:r>
    </w:p>
    <w:p w:rsidR="0057531A" w:rsidRDefault="009D2AFC" w:rsidP="00894C18">
      <w:r>
        <w:t xml:space="preserve">Los análisis de sensibilidad no pretenden servir como justificaciones o paliativos a incrementos en las inversiones de capital o en los costos administrativos de los proyectos. </w:t>
      </w:r>
      <w:r w:rsidR="0057531A">
        <w:t xml:space="preserve">Aunque teóricamente el SITM estaría en capacidad de soportar incrementos en estos costos sin perder su viabilidad, permitir incrementos en los costos frente a los valores presupuestados puede generar condiciones que pongan en riesgo la ejecución de los proyectos, pues será necesario buscar nuevas fuentes de financiación por encima de las ya aseguradas para completar las inversiones de infraestructura. Un adecuado control de los gastos es, entonces, un aspecto indispensable para llevar a feliz término los proyectos. </w:t>
      </w:r>
    </w:p>
    <w:p w:rsidR="0057531A" w:rsidRDefault="0057531A" w:rsidP="001C37A7">
      <w:pPr>
        <w:spacing w:after="0"/>
      </w:pPr>
      <w:r>
        <w:t xml:space="preserve">El menor VPN del análisis de sensibilidad (iv) frente al escenario de base se debe principalmente a un mayor tiempo de caminata de poco más de 2 minutos entre el origen del viaje y el sitio donde se toma el transporte particular. Resulta interesante observar cómo esos 2 minutos (en promedio) adicionales por pasajero se traducen en una reducción de poco más de US$70 millones de dólares durante los 20 años de horizonte de análisis utilizados. Este componente del costo generalizado de viaje resulta particularmente relevante para medir el impacto de las transiciones entre el TPC y los SITM, toda vez que los nuevos sistemas no operarán bajo el esquema de la guerra del centavo, que si bien generaba externalidades negativas para la ciudad, si generaba un beneficio importante para los usuarios al minimizar sus tiempos de caminata para llegar al punto en que tomaban el bus. Las personas encargadas de la definición de las rutas de transporte público deben analizar este aspecto con cuidado al plantear nuevos trazados de rutas o modificaciones a los existentes, pues incrementos demasiado grandes de estos tiempos pueden desincentivar el uso del SITM. </w:t>
      </w:r>
    </w:p>
    <w:p w:rsidR="001C37A7" w:rsidRPr="00E13A04" w:rsidRDefault="001C37A7" w:rsidP="001C37A7">
      <w:pPr>
        <w:spacing w:after="0"/>
        <w:rPr>
          <w:sz w:val="20"/>
        </w:rPr>
      </w:pPr>
    </w:p>
    <w:p w:rsidR="00C3448C" w:rsidRDefault="00C3448C" w:rsidP="001C37A7">
      <w:pPr>
        <w:pStyle w:val="Heading1"/>
        <w:spacing w:before="0" w:after="0"/>
      </w:pPr>
      <w:bookmarkStart w:id="58" w:name="_Toc286885258"/>
      <w:bookmarkStart w:id="59" w:name="_Toc297104647"/>
      <w:bookmarkStart w:id="60" w:name="_Toc298144747"/>
      <w:r w:rsidRPr="00D67A43">
        <w:t>Conclusiones</w:t>
      </w:r>
      <w:bookmarkEnd w:id="58"/>
      <w:bookmarkEnd w:id="59"/>
      <w:bookmarkEnd w:id="60"/>
    </w:p>
    <w:p w:rsidR="001C37A7" w:rsidRPr="001C37A7" w:rsidRDefault="001C37A7" w:rsidP="001C37A7"/>
    <w:p w:rsidR="007F255B" w:rsidRDefault="0057531A" w:rsidP="001C37A7">
      <w:pPr>
        <w:spacing w:after="0"/>
      </w:pPr>
      <w:r>
        <w:t xml:space="preserve">El análisis comparativo entre el alcance </w:t>
      </w:r>
      <w:r w:rsidR="007F255B">
        <w:t xml:space="preserve">nuevo y el alcance </w:t>
      </w:r>
      <w:r>
        <w:t>original de las inversiones y acciones del SITM para Santiago de Cali</w:t>
      </w:r>
      <w:r w:rsidR="007F255B">
        <w:t xml:space="preserve"> muestran que las inversiones adicionales y la mayor cobertura de la demanda, al menos en términos relativos, mantienen en altos indicadores la viabilidad económica del nuevo esquema de transporte. </w:t>
      </w:r>
    </w:p>
    <w:p w:rsidR="007F255B" w:rsidRDefault="007F255B" w:rsidP="007F255B">
      <w:r>
        <w:t xml:space="preserve">Un análisis de sensibilidad realizado modificando algunas variables clave del proyecto demuestran su robustez económica ante diferentes incrementos de precios, o ante diferentes cambios en los esquemas de ejecución o de atención al público. No obstante el SITM mantuvo positivos sus indicadores económicos, es indispensable para el proyecto que se lleven a cabo seguimientos detallados de sus costos y gastos, así como de sus cronogramas de implantación. </w:t>
      </w:r>
    </w:p>
    <w:p w:rsidR="007F255B" w:rsidRDefault="007F255B">
      <w:pPr>
        <w:spacing w:after="0"/>
        <w:jc w:val="left"/>
      </w:pPr>
    </w:p>
    <w:p w:rsidR="00BB6503" w:rsidRDefault="00BB6503" w:rsidP="00894C18"/>
    <w:p w:rsidR="007F255B" w:rsidRDefault="007F255B" w:rsidP="00894C18"/>
    <w:p w:rsidR="00EA4337" w:rsidRDefault="00EA4337" w:rsidP="00EA4337">
      <w:pPr>
        <w:rPr>
          <w:color w:val="1F497D"/>
          <w:sz w:val="18"/>
          <w:szCs w:val="18"/>
        </w:rPr>
      </w:pPr>
      <w:r>
        <w:t xml:space="preserve">Adjunto cuadro y planillas </w:t>
      </w:r>
    </w:p>
    <w:p w:rsidR="00EA4337" w:rsidRDefault="00B27127" w:rsidP="00EA4337">
      <w:pPr>
        <w:rPr>
          <w:sz w:val="18"/>
          <w:szCs w:val="18"/>
        </w:rPr>
      </w:pPr>
      <w:hyperlink r:id="rId14" w:history="1">
        <w:r w:rsidR="00EA4337">
          <w:rPr>
            <w:rStyle w:val="Hyperlink"/>
            <w:sz w:val="18"/>
            <w:szCs w:val="18"/>
          </w:rPr>
          <w:t>http://idbdocs.iadb.org/WSDocs/getDocument.aspx?DOCNUM=36367068</w:t>
        </w:r>
      </w:hyperlink>
      <w:r w:rsidR="00EA4337">
        <w:rPr>
          <w:sz w:val="18"/>
          <w:szCs w:val="18"/>
        </w:rPr>
        <w:tab/>
      </w:r>
    </w:p>
    <w:sectPr w:rsidR="00EA4337" w:rsidSect="00CE66A7">
      <w:headerReference w:type="default" r:id="rId15"/>
      <w:footerReference w:type="default" r:id="rId16"/>
      <w:pgSz w:w="12240" w:h="15840" w:code="119"/>
      <w:pgMar w:top="1560" w:right="1420" w:bottom="1417" w:left="1420" w:header="708" w:footer="116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57DD" w:rsidRDefault="002657DD" w:rsidP="00894C18">
      <w:r>
        <w:separator/>
      </w:r>
    </w:p>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p w:rsidR="002657DD" w:rsidRDefault="002657DD"/>
    <w:p w:rsidR="002657DD" w:rsidRDefault="002657DD" w:rsidP="009474E2"/>
    <w:p w:rsidR="002657DD" w:rsidRDefault="002657DD"/>
  </w:endnote>
  <w:endnote w:type="continuationSeparator" w:id="0">
    <w:p w:rsidR="002657DD" w:rsidRDefault="002657DD" w:rsidP="00894C18">
      <w:r>
        <w:continuationSeparator/>
      </w:r>
    </w:p>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p w:rsidR="002657DD" w:rsidRDefault="002657DD"/>
    <w:p w:rsidR="002657DD" w:rsidRDefault="002657DD" w:rsidP="009474E2"/>
    <w:p w:rsidR="002657DD" w:rsidRDefault="002657DD"/>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61002BDF"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MS Reference Sans Serif">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8519350"/>
      <w:docPartObj>
        <w:docPartGallery w:val="Page Numbers (Bottom of Page)"/>
        <w:docPartUnique/>
      </w:docPartObj>
    </w:sdtPr>
    <w:sdtContent>
      <w:p w:rsidR="00A66095" w:rsidRDefault="00B27127" w:rsidP="00A46623">
        <w:pPr>
          <w:pStyle w:val="Footer"/>
          <w:jc w:val="right"/>
        </w:pPr>
        <w:fldSimple w:instr=" PAGE   \* MERGEFORMAT ">
          <w:r w:rsidR="00847C8C">
            <w:rPr>
              <w:noProof/>
            </w:rPr>
            <w:t>2</w:t>
          </w:r>
        </w:fldSimple>
      </w:p>
    </w:sdtContent>
  </w:sdt>
  <w:p w:rsidR="00CD19C4" w:rsidRDefault="00CD19C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57DD" w:rsidRDefault="002657DD" w:rsidP="00894C18">
      <w:r>
        <w:separator/>
      </w:r>
    </w:p>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p w:rsidR="002657DD" w:rsidRDefault="002657DD"/>
    <w:p w:rsidR="002657DD" w:rsidRDefault="002657DD" w:rsidP="009474E2"/>
    <w:p w:rsidR="002657DD" w:rsidRDefault="002657DD"/>
  </w:footnote>
  <w:footnote w:type="continuationSeparator" w:id="0">
    <w:p w:rsidR="002657DD" w:rsidRDefault="002657DD" w:rsidP="00894C18">
      <w:r>
        <w:continuationSeparator/>
      </w:r>
    </w:p>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rsidP="00894C18"/>
    <w:p w:rsidR="002657DD" w:rsidRDefault="002657DD"/>
    <w:p w:rsidR="002657DD" w:rsidRDefault="002657DD"/>
    <w:p w:rsidR="002657DD" w:rsidRDefault="002657DD" w:rsidP="009474E2"/>
    <w:p w:rsidR="002657DD" w:rsidRDefault="002657DD"/>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095" w:rsidRDefault="00A66095" w:rsidP="00894C18"/>
  <w:p w:rsidR="00A66095" w:rsidRDefault="00A66095" w:rsidP="00894C18"/>
  <w:p w:rsidR="00A66095" w:rsidRDefault="00A66095" w:rsidP="00894C18"/>
  <w:p w:rsidR="00A66095" w:rsidRDefault="00A66095" w:rsidP="00894C18"/>
  <w:p w:rsidR="00A66095" w:rsidRDefault="00A66095" w:rsidP="00894C18"/>
  <w:p w:rsidR="00A66095" w:rsidRDefault="00A66095" w:rsidP="00894C18"/>
  <w:p w:rsidR="00A66095" w:rsidRDefault="00A66095" w:rsidP="00894C18"/>
  <w:p w:rsidR="00A66095" w:rsidRDefault="00A66095" w:rsidP="00894C18"/>
  <w:p w:rsidR="00A66095" w:rsidRDefault="00A66095" w:rsidP="00894C18"/>
  <w:p w:rsidR="00A66095" w:rsidRDefault="00A66095" w:rsidP="00894C18"/>
  <w:p w:rsidR="00A66095" w:rsidRDefault="00A66095" w:rsidP="00894C18"/>
  <w:p w:rsidR="00A66095" w:rsidRDefault="00A66095" w:rsidP="00894C18"/>
  <w:p w:rsidR="00A66095" w:rsidRDefault="00A66095" w:rsidP="00894C18"/>
  <w:p w:rsidR="00A66095" w:rsidRDefault="00A66095" w:rsidP="00894C18"/>
  <w:p w:rsidR="00A66095" w:rsidRDefault="00A66095" w:rsidP="00894C18"/>
  <w:p w:rsidR="00A66095" w:rsidRDefault="00A66095" w:rsidP="00894C18"/>
  <w:p w:rsidR="00A66095" w:rsidRDefault="00A66095" w:rsidP="00894C18"/>
  <w:p w:rsidR="00A66095" w:rsidRDefault="00A66095" w:rsidP="00894C18"/>
  <w:p w:rsidR="00A66095" w:rsidRDefault="00A66095" w:rsidP="00894C18"/>
  <w:p w:rsidR="00A66095" w:rsidRDefault="00A66095" w:rsidP="00894C18"/>
  <w:p w:rsidR="00A66095" w:rsidRDefault="00A66095" w:rsidP="00894C18"/>
  <w:p w:rsidR="00A66095" w:rsidRDefault="00A66095" w:rsidP="00894C18"/>
  <w:p w:rsidR="00A66095" w:rsidRDefault="00A66095" w:rsidP="00894C18"/>
  <w:p w:rsidR="00A66095" w:rsidRDefault="00A66095" w:rsidP="00894C18"/>
  <w:p w:rsidR="00A66095" w:rsidRDefault="00A66095"/>
  <w:p w:rsidR="00A66095" w:rsidRDefault="00A66095"/>
  <w:p w:rsidR="00A66095" w:rsidRDefault="00A66095" w:rsidP="009474E2"/>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095" w:rsidRDefault="00A66095" w:rsidP="00CE66A7"/>
  <w:p w:rsidR="00A66095" w:rsidRDefault="00A66095" w:rsidP="00CE66A7"/>
  <w:p w:rsidR="00A66095" w:rsidRDefault="00A6609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095" w:rsidRPr="00B21D9E" w:rsidRDefault="00A66095" w:rsidP="00CE66A7">
    <w:pPr>
      <w:pStyle w:val="Header"/>
      <w:jc w:val="center"/>
      <w:rPr>
        <w:b/>
      </w:rPr>
    </w:pPr>
    <w:r w:rsidRPr="00CE66A7">
      <w:rPr>
        <w:b/>
      </w:rPr>
      <w:t>Actualización de la Evaluación Económica del Sistema Integrado de Transporte Público para Santiago de Cali</w:t>
    </w:r>
  </w:p>
  <w:p w:rsidR="00A66095" w:rsidRDefault="00B27127" w:rsidP="00CE66A7">
    <w:r w:rsidRPr="00B27127">
      <w:rPr>
        <w:noProof/>
        <w:lang w:val="es-ES"/>
      </w:rPr>
      <w:pict>
        <v:shapetype id="_x0000_t32" coordsize="21600,21600" o:spt="32" o:oned="t" path="m,l21600,21600e" filled="f">
          <v:path arrowok="t" fillok="f" o:connecttype="none"/>
          <o:lock v:ext="edit" shapetype="t"/>
        </v:shapetype>
        <v:shape id="_x0000_s45058" type="#_x0000_t32" style="position:absolute;left:0;text-align:left;margin-left:-16.25pt;margin-top:6.95pt;width:513.75pt;height:0;z-index:251662336" o:connectortype="straight"/>
      </w:pict>
    </w:r>
  </w:p>
  <w:p w:rsidR="00CD19C4" w:rsidRDefault="00CD19C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1B0319"/>
    <w:multiLevelType w:val="hybridMultilevel"/>
    <w:tmpl w:val="F9AA91BC"/>
    <w:lvl w:ilvl="0" w:tplc="86F87444">
      <w:numFmt w:val="bullet"/>
      <w:lvlText w:val="-"/>
      <w:lvlJc w:val="left"/>
      <w:pPr>
        <w:ind w:left="720" w:hanging="360"/>
      </w:pPr>
      <w:rPr>
        <w:rFonts w:ascii="Calibri" w:eastAsia="Times New Roman"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73DD42FF"/>
    <w:multiLevelType w:val="multilevel"/>
    <w:tmpl w:val="240A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
  </w:num>
  <w:num w:numId="2">
    <w:abstractNumId w:val="0"/>
  </w:num>
  <w:num w:numId="3">
    <w:abstractNumId w:val="1"/>
  </w:num>
  <w:num w:numId="4">
    <w:abstractNumId w:val="1"/>
  </w:num>
  <w:num w:numId="5">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stylePaneFormatFilter w:val="1F08"/>
  <w:defaultTabStop w:val="708"/>
  <w:hyphenationZone w:val="425"/>
  <w:drawingGridHorizontalSpacing w:val="120"/>
  <w:displayHorizontalDrawingGridEvery w:val="2"/>
  <w:characterSpacingControl w:val="doNotCompress"/>
  <w:hdrShapeDefaults>
    <o:shapedefaults v:ext="edit" spidmax="45059"/>
    <o:shapelayout v:ext="edit">
      <o:idmap v:ext="edit" data="44"/>
      <o:rules v:ext="edit">
        <o:r id="V:Rule2" type="connector" idref="#_x0000_s45058"/>
      </o:rules>
    </o:shapelayout>
  </w:hdrShapeDefaults>
  <w:footnotePr>
    <w:footnote w:id="-1"/>
    <w:footnote w:id="0"/>
  </w:footnotePr>
  <w:endnotePr>
    <w:endnote w:id="-1"/>
    <w:endnote w:id="0"/>
  </w:endnotePr>
  <w:compat/>
  <w:rsids>
    <w:rsidRoot w:val="00794982"/>
    <w:rsid w:val="00005E35"/>
    <w:rsid w:val="000063C9"/>
    <w:rsid w:val="00006860"/>
    <w:rsid w:val="00006CFE"/>
    <w:rsid w:val="000120E3"/>
    <w:rsid w:val="00013A14"/>
    <w:rsid w:val="00016F0F"/>
    <w:rsid w:val="00022E1A"/>
    <w:rsid w:val="00025622"/>
    <w:rsid w:val="00026DA9"/>
    <w:rsid w:val="00040010"/>
    <w:rsid w:val="000404AB"/>
    <w:rsid w:val="000404DE"/>
    <w:rsid w:val="00042D52"/>
    <w:rsid w:val="00042FF6"/>
    <w:rsid w:val="00045326"/>
    <w:rsid w:val="00045AF9"/>
    <w:rsid w:val="00053D38"/>
    <w:rsid w:val="000578B2"/>
    <w:rsid w:val="000578E8"/>
    <w:rsid w:val="000579BF"/>
    <w:rsid w:val="00061176"/>
    <w:rsid w:val="00061451"/>
    <w:rsid w:val="00061E27"/>
    <w:rsid w:val="00061EC3"/>
    <w:rsid w:val="00061F55"/>
    <w:rsid w:val="000628C5"/>
    <w:rsid w:val="00064881"/>
    <w:rsid w:val="00065BBB"/>
    <w:rsid w:val="0006735A"/>
    <w:rsid w:val="00072437"/>
    <w:rsid w:val="00073156"/>
    <w:rsid w:val="0007532F"/>
    <w:rsid w:val="00075602"/>
    <w:rsid w:val="00080FE1"/>
    <w:rsid w:val="00082F82"/>
    <w:rsid w:val="00084353"/>
    <w:rsid w:val="00090BB0"/>
    <w:rsid w:val="00091024"/>
    <w:rsid w:val="000956E9"/>
    <w:rsid w:val="000A1D13"/>
    <w:rsid w:val="000A1E81"/>
    <w:rsid w:val="000A2849"/>
    <w:rsid w:val="000A3620"/>
    <w:rsid w:val="000B14EF"/>
    <w:rsid w:val="000B1510"/>
    <w:rsid w:val="000B2750"/>
    <w:rsid w:val="000B3D6C"/>
    <w:rsid w:val="000B48E4"/>
    <w:rsid w:val="000B7F71"/>
    <w:rsid w:val="000D304D"/>
    <w:rsid w:val="000D482A"/>
    <w:rsid w:val="000D5954"/>
    <w:rsid w:val="000D62B8"/>
    <w:rsid w:val="000D63CE"/>
    <w:rsid w:val="000E1B06"/>
    <w:rsid w:val="000E29B8"/>
    <w:rsid w:val="000E2FE3"/>
    <w:rsid w:val="000E31DF"/>
    <w:rsid w:val="000E5D75"/>
    <w:rsid w:val="000E68D7"/>
    <w:rsid w:val="000F6783"/>
    <w:rsid w:val="0010022A"/>
    <w:rsid w:val="00100C26"/>
    <w:rsid w:val="00101134"/>
    <w:rsid w:val="00101789"/>
    <w:rsid w:val="0010444A"/>
    <w:rsid w:val="0010516D"/>
    <w:rsid w:val="0010691B"/>
    <w:rsid w:val="00117158"/>
    <w:rsid w:val="00121650"/>
    <w:rsid w:val="00121F2B"/>
    <w:rsid w:val="0012263B"/>
    <w:rsid w:val="001227BF"/>
    <w:rsid w:val="00126431"/>
    <w:rsid w:val="00131C1B"/>
    <w:rsid w:val="00134846"/>
    <w:rsid w:val="00136946"/>
    <w:rsid w:val="00137A2E"/>
    <w:rsid w:val="00140500"/>
    <w:rsid w:val="0014110B"/>
    <w:rsid w:val="001435A6"/>
    <w:rsid w:val="001503FF"/>
    <w:rsid w:val="00155DFE"/>
    <w:rsid w:val="00157C5D"/>
    <w:rsid w:val="0016254D"/>
    <w:rsid w:val="00162C06"/>
    <w:rsid w:val="00166544"/>
    <w:rsid w:val="0017136B"/>
    <w:rsid w:val="00173AAD"/>
    <w:rsid w:val="00174FB7"/>
    <w:rsid w:val="001762FB"/>
    <w:rsid w:val="001772B8"/>
    <w:rsid w:val="00177AD4"/>
    <w:rsid w:val="00180B58"/>
    <w:rsid w:val="00180D4D"/>
    <w:rsid w:val="00182BDA"/>
    <w:rsid w:val="00184542"/>
    <w:rsid w:val="00186E85"/>
    <w:rsid w:val="0018715D"/>
    <w:rsid w:val="0019275C"/>
    <w:rsid w:val="00192795"/>
    <w:rsid w:val="00192E72"/>
    <w:rsid w:val="001932C5"/>
    <w:rsid w:val="00195BA0"/>
    <w:rsid w:val="00196E5D"/>
    <w:rsid w:val="00197ACB"/>
    <w:rsid w:val="001A16E6"/>
    <w:rsid w:val="001A7F30"/>
    <w:rsid w:val="001B00DF"/>
    <w:rsid w:val="001B0652"/>
    <w:rsid w:val="001B1305"/>
    <w:rsid w:val="001B1F18"/>
    <w:rsid w:val="001B3A9F"/>
    <w:rsid w:val="001B5577"/>
    <w:rsid w:val="001B70D8"/>
    <w:rsid w:val="001C1492"/>
    <w:rsid w:val="001C267E"/>
    <w:rsid w:val="001C36AC"/>
    <w:rsid w:val="001C37A7"/>
    <w:rsid w:val="001C3AD0"/>
    <w:rsid w:val="001D0966"/>
    <w:rsid w:val="001D3187"/>
    <w:rsid w:val="001D5854"/>
    <w:rsid w:val="001D5F36"/>
    <w:rsid w:val="001D7280"/>
    <w:rsid w:val="001E7224"/>
    <w:rsid w:val="001E7CC0"/>
    <w:rsid w:val="001F2265"/>
    <w:rsid w:val="001F3C88"/>
    <w:rsid w:val="001F47EB"/>
    <w:rsid w:val="001F5899"/>
    <w:rsid w:val="001F7DDE"/>
    <w:rsid w:val="00203E47"/>
    <w:rsid w:val="00203E98"/>
    <w:rsid w:val="002067B8"/>
    <w:rsid w:val="00207063"/>
    <w:rsid w:val="00207CA2"/>
    <w:rsid w:val="00212B40"/>
    <w:rsid w:val="002166BF"/>
    <w:rsid w:val="00217253"/>
    <w:rsid w:val="002178B9"/>
    <w:rsid w:val="002178D4"/>
    <w:rsid w:val="00217BB4"/>
    <w:rsid w:val="002206E3"/>
    <w:rsid w:val="0022160C"/>
    <w:rsid w:val="00223415"/>
    <w:rsid w:val="002249D9"/>
    <w:rsid w:val="00225041"/>
    <w:rsid w:val="002253A4"/>
    <w:rsid w:val="00226D3D"/>
    <w:rsid w:val="00232B8E"/>
    <w:rsid w:val="002339A9"/>
    <w:rsid w:val="00234901"/>
    <w:rsid w:val="00236360"/>
    <w:rsid w:val="00237D8B"/>
    <w:rsid w:val="00241084"/>
    <w:rsid w:val="00241612"/>
    <w:rsid w:val="0024633D"/>
    <w:rsid w:val="0025031B"/>
    <w:rsid w:val="002506F3"/>
    <w:rsid w:val="00251AFB"/>
    <w:rsid w:val="002520A8"/>
    <w:rsid w:val="00254D7D"/>
    <w:rsid w:val="00255146"/>
    <w:rsid w:val="002607F0"/>
    <w:rsid w:val="002620E1"/>
    <w:rsid w:val="0026335B"/>
    <w:rsid w:val="002657DD"/>
    <w:rsid w:val="0026655C"/>
    <w:rsid w:val="00266BD7"/>
    <w:rsid w:val="00267464"/>
    <w:rsid w:val="0027067A"/>
    <w:rsid w:val="00272010"/>
    <w:rsid w:val="0027327F"/>
    <w:rsid w:val="00274CA3"/>
    <w:rsid w:val="00274F3F"/>
    <w:rsid w:val="00275493"/>
    <w:rsid w:val="00275F37"/>
    <w:rsid w:val="002762EC"/>
    <w:rsid w:val="00276FB3"/>
    <w:rsid w:val="00282144"/>
    <w:rsid w:val="0028283E"/>
    <w:rsid w:val="00285C44"/>
    <w:rsid w:val="00286232"/>
    <w:rsid w:val="00287F96"/>
    <w:rsid w:val="00292F53"/>
    <w:rsid w:val="002943D9"/>
    <w:rsid w:val="002950B3"/>
    <w:rsid w:val="00297262"/>
    <w:rsid w:val="002A1A56"/>
    <w:rsid w:val="002A7840"/>
    <w:rsid w:val="002B4875"/>
    <w:rsid w:val="002B5EE1"/>
    <w:rsid w:val="002B666B"/>
    <w:rsid w:val="002C28AE"/>
    <w:rsid w:val="002C4205"/>
    <w:rsid w:val="002C582A"/>
    <w:rsid w:val="002C61EA"/>
    <w:rsid w:val="002D158A"/>
    <w:rsid w:val="002D19BF"/>
    <w:rsid w:val="002D3207"/>
    <w:rsid w:val="002D5360"/>
    <w:rsid w:val="002D768D"/>
    <w:rsid w:val="002E2C31"/>
    <w:rsid w:val="002E34EE"/>
    <w:rsid w:val="002E4E40"/>
    <w:rsid w:val="002E7442"/>
    <w:rsid w:val="002F0A95"/>
    <w:rsid w:val="002F0D80"/>
    <w:rsid w:val="002F1300"/>
    <w:rsid w:val="002F41C7"/>
    <w:rsid w:val="00301204"/>
    <w:rsid w:val="00301397"/>
    <w:rsid w:val="003023AA"/>
    <w:rsid w:val="00305008"/>
    <w:rsid w:val="0030793B"/>
    <w:rsid w:val="003107B4"/>
    <w:rsid w:val="003116F3"/>
    <w:rsid w:val="0031255C"/>
    <w:rsid w:val="00312EE8"/>
    <w:rsid w:val="003218CA"/>
    <w:rsid w:val="00322E12"/>
    <w:rsid w:val="00323B1D"/>
    <w:rsid w:val="00330B01"/>
    <w:rsid w:val="00330BED"/>
    <w:rsid w:val="00335A4A"/>
    <w:rsid w:val="00342081"/>
    <w:rsid w:val="00342EED"/>
    <w:rsid w:val="00342F2C"/>
    <w:rsid w:val="003558AF"/>
    <w:rsid w:val="003567E1"/>
    <w:rsid w:val="00360496"/>
    <w:rsid w:val="0036187C"/>
    <w:rsid w:val="00364323"/>
    <w:rsid w:val="00371B96"/>
    <w:rsid w:val="00373217"/>
    <w:rsid w:val="00375AC5"/>
    <w:rsid w:val="00377579"/>
    <w:rsid w:val="0038259A"/>
    <w:rsid w:val="003845D6"/>
    <w:rsid w:val="00385927"/>
    <w:rsid w:val="003864C9"/>
    <w:rsid w:val="00386F18"/>
    <w:rsid w:val="003876AF"/>
    <w:rsid w:val="00387CA3"/>
    <w:rsid w:val="003905DF"/>
    <w:rsid w:val="003937E1"/>
    <w:rsid w:val="00394B51"/>
    <w:rsid w:val="00396E22"/>
    <w:rsid w:val="003A0FF4"/>
    <w:rsid w:val="003A1930"/>
    <w:rsid w:val="003A27E0"/>
    <w:rsid w:val="003A5CF1"/>
    <w:rsid w:val="003A7EDE"/>
    <w:rsid w:val="003B4247"/>
    <w:rsid w:val="003C04AE"/>
    <w:rsid w:val="003C1E41"/>
    <w:rsid w:val="003D1871"/>
    <w:rsid w:val="003D234E"/>
    <w:rsid w:val="003D261E"/>
    <w:rsid w:val="003D369A"/>
    <w:rsid w:val="003D465E"/>
    <w:rsid w:val="003D4F49"/>
    <w:rsid w:val="003D5C89"/>
    <w:rsid w:val="003D6243"/>
    <w:rsid w:val="003E07EF"/>
    <w:rsid w:val="003E44AF"/>
    <w:rsid w:val="003E47E9"/>
    <w:rsid w:val="003E4EBD"/>
    <w:rsid w:val="003F4029"/>
    <w:rsid w:val="003F5BBA"/>
    <w:rsid w:val="0040022E"/>
    <w:rsid w:val="004008AA"/>
    <w:rsid w:val="00406B7E"/>
    <w:rsid w:val="00407055"/>
    <w:rsid w:val="004109FF"/>
    <w:rsid w:val="00413D14"/>
    <w:rsid w:val="0041739E"/>
    <w:rsid w:val="0042108B"/>
    <w:rsid w:val="00424535"/>
    <w:rsid w:val="00425EBC"/>
    <w:rsid w:val="0042633D"/>
    <w:rsid w:val="00434C36"/>
    <w:rsid w:val="0044330C"/>
    <w:rsid w:val="00444316"/>
    <w:rsid w:val="00444F14"/>
    <w:rsid w:val="00450685"/>
    <w:rsid w:val="00452315"/>
    <w:rsid w:val="004539FE"/>
    <w:rsid w:val="004577DE"/>
    <w:rsid w:val="00457A47"/>
    <w:rsid w:val="00462645"/>
    <w:rsid w:val="00466831"/>
    <w:rsid w:val="004672B3"/>
    <w:rsid w:val="00467329"/>
    <w:rsid w:val="0047106E"/>
    <w:rsid w:val="00471AAD"/>
    <w:rsid w:val="004813E6"/>
    <w:rsid w:val="00484A31"/>
    <w:rsid w:val="0049079B"/>
    <w:rsid w:val="00492AA7"/>
    <w:rsid w:val="004942C5"/>
    <w:rsid w:val="004957A9"/>
    <w:rsid w:val="004970DB"/>
    <w:rsid w:val="004A0BF0"/>
    <w:rsid w:val="004A18FC"/>
    <w:rsid w:val="004A3141"/>
    <w:rsid w:val="004A5DAB"/>
    <w:rsid w:val="004A69FE"/>
    <w:rsid w:val="004B06A4"/>
    <w:rsid w:val="004B1583"/>
    <w:rsid w:val="004B5DEA"/>
    <w:rsid w:val="004C02A5"/>
    <w:rsid w:val="004C21B0"/>
    <w:rsid w:val="004C3219"/>
    <w:rsid w:val="004C406C"/>
    <w:rsid w:val="004C4D38"/>
    <w:rsid w:val="004C5844"/>
    <w:rsid w:val="004C5C1B"/>
    <w:rsid w:val="004C6D1F"/>
    <w:rsid w:val="004C79BF"/>
    <w:rsid w:val="004C7DDA"/>
    <w:rsid w:val="004D27BF"/>
    <w:rsid w:val="004D2FFE"/>
    <w:rsid w:val="004D5CD4"/>
    <w:rsid w:val="004E15DE"/>
    <w:rsid w:val="004E241B"/>
    <w:rsid w:val="004E29CD"/>
    <w:rsid w:val="004E30B0"/>
    <w:rsid w:val="004E4EE6"/>
    <w:rsid w:val="004F089F"/>
    <w:rsid w:val="004F122A"/>
    <w:rsid w:val="004F12E7"/>
    <w:rsid w:val="004F46D4"/>
    <w:rsid w:val="004F58C6"/>
    <w:rsid w:val="004F6985"/>
    <w:rsid w:val="0050045A"/>
    <w:rsid w:val="00501FEA"/>
    <w:rsid w:val="00505A6C"/>
    <w:rsid w:val="00506BA0"/>
    <w:rsid w:val="00511F44"/>
    <w:rsid w:val="00514000"/>
    <w:rsid w:val="0051563C"/>
    <w:rsid w:val="00523A04"/>
    <w:rsid w:val="00524E13"/>
    <w:rsid w:val="00537F14"/>
    <w:rsid w:val="00541397"/>
    <w:rsid w:val="00542169"/>
    <w:rsid w:val="00551DAC"/>
    <w:rsid w:val="00554B0D"/>
    <w:rsid w:val="005561F5"/>
    <w:rsid w:val="00561AF4"/>
    <w:rsid w:val="005635F2"/>
    <w:rsid w:val="00564253"/>
    <w:rsid w:val="00570D7E"/>
    <w:rsid w:val="00571414"/>
    <w:rsid w:val="00571998"/>
    <w:rsid w:val="00572DDB"/>
    <w:rsid w:val="00573192"/>
    <w:rsid w:val="005745F7"/>
    <w:rsid w:val="00574FCE"/>
    <w:rsid w:val="0057531A"/>
    <w:rsid w:val="005807D9"/>
    <w:rsid w:val="0058331C"/>
    <w:rsid w:val="00583B4B"/>
    <w:rsid w:val="00584443"/>
    <w:rsid w:val="0058578D"/>
    <w:rsid w:val="00587A97"/>
    <w:rsid w:val="00590998"/>
    <w:rsid w:val="00590EFD"/>
    <w:rsid w:val="0059325E"/>
    <w:rsid w:val="005949B1"/>
    <w:rsid w:val="005959BB"/>
    <w:rsid w:val="00595D02"/>
    <w:rsid w:val="00596538"/>
    <w:rsid w:val="00597015"/>
    <w:rsid w:val="00597C52"/>
    <w:rsid w:val="005A4D8C"/>
    <w:rsid w:val="005A6070"/>
    <w:rsid w:val="005A64C7"/>
    <w:rsid w:val="005B30D5"/>
    <w:rsid w:val="005B5C1A"/>
    <w:rsid w:val="005B5FB8"/>
    <w:rsid w:val="005C4278"/>
    <w:rsid w:val="005C7483"/>
    <w:rsid w:val="005C7614"/>
    <w:rsid w:val="005D0980"/>
    <w:rsid w:val="005D3649"/>
    <w:rsid w:val="005D45B3"/>
    <w:rsid w:val="005D61BB"/>
    <w:rsid w:val="005D675A"/>
    <w:rsid w:val="005D78C1"/>
    <w:rsid w:val="005E00E9"/>
    <w:rsid w:val="005E11BF"/>
    <w:rsid w:val="005E36AF"/>
    <w:rsid w:val="005F41FE"/>
    <w:rsid w:val="005F4F06"/>
    <w:rsid w:val="006013F8"/>
    <w:rsid w:val="006038A5"/>
    <w:rsid w:val="00603A05"/>
    <w:rsid w:val="0060485E"/>
    <w:rsid w:val="00604DA3"/>
    <w:rsid w:val="00614F7E"/>
    <w:rsid w:val="006207F3"/>
    <w:rsid w:val="006235D2"/>
    <w:rsid w:val="00627D04"/>
    <w:rsid w:val="00633A8F"/>
    <w:rsid w:val="00643647"/>
    <w:rsid w:val="006437E5"/>
    <w:rsid w:val="00644807"/>
    <w:rsid w:val="00646C98"/>
    <w:rsid w:val="00651BEB"/>
    <w:rsid w:val="00652B37"/>
    <w:rsid w:val="00653647"/>
    <w:rsid w:val="00655F27"/>
    <w:rsid w:val="00660331"/>
    <w:rsid w:val="00660433"/>
    <w:rsid w:val="0066141C"/>
    <w:rsid w:val="0066185D"/>
    <w:rsid w:val="00662792"/>
    <w:rsid w:val="00662982"/>
    <w:rsid w:val="00663C18"/>
    <w:rsid w:val="006704A9"/>
    <w:rsid w:val="0067061C"/>
    <w:rsid w:val="00673465"/>
    <w:rsid w:val="0067402E"/>
    <w:rsid w:val="00674A2E"/>
    <w:rsid w:val="00675832"/>
    <w:rsid w:val="006759F2"/>
    <w:rsid w:val="00675C94"/>
    <w:rsid w:val="00677F8E"/>
    <w:rsid w:val="00680C66"/>
    <w:rsid w:val="00682A64"/>
    <w:rsid w:val="00682E82"/>
    <w:rsid w:val="006831D7"/>
    <w:rsid w:val="006832C9"/>
    <w:rsid w:val="00685ECC"/>
    <w:rsid w:val="00690436"/>
    <w:rsid w:val="0069280F"/>
    <w:rsid w:val="00693628"/>
    <w:rsid w:val="006973D2"/>
    <w:rsid w:val="006A19A8"/>
    <w:rsid w:val="006A45A0"/>
    <w:rsid w:val="006A579B"/>
    <w:rsid w:val="006A6C11"/>
    <w:rsid w:val="006B1C7A"/>
    <w:rsid w:val="006B3F03"/>
    <w:rsid w:val="006B48EF"/>
    <w:rsid w:val="006B4CA8"/>
    <w:rsid w:val="006B50ED"/>
    <w:rsid w:val="006B606D"/>
    <w:rsid w:val="006B6135"/>
    <w:rsid w:val="006B78F1"/>
    <w:rsid w:val="006B7FA9"/>
    <w:rsid w:val="006C189B"/>
    <w:rsid w:val="006C1AAF"/>
    <w:rsid w:val="006C2481"/>
    <w:rsid w:val="006C5322"/>
    <w:rsid w:val="006C55E5"/>
    <w:rsid w:val="006D3538"/>
    <w:rsid w:val="006D3D95"/>
    <w:rsid w:val="006D4002"/>
    <w:rsid w:val="006D71A9"/>
    <w:rsid w:val="006D7358"/>
    <w:rsid w:val="006E2C18"/>
    <w:rsid w:val="006E7C06"/>
    <w:rsid w:val="006E7DDD"/>
    <w:rsid w:val="006F26C7"/>
    <w:rsid w:val="006F4144"/>
    <w:rsid w:val="006F729C"/>
    <w:rsid w:val="006F7CB0"/>
    <w:rsid w:val="00702CDF"/>
    <w:rsid w:val="007031D7"/>
    <w:rsid w:val="00710B13"/>
    <w:rsid w:val="00720648"/>
    <w:rsid w:val="00720976"/>
    <w:rsid w:val="0072141D"/>
    <w:rsid w:val="00723175"/>
    <w:rsid w:val="007232F3"/>
    <w:rsid w:val="00725566"/>
    <w:rsid w:val="00730D65"/>
    <w:rsid w:val="007319C8"/>
    <w:rsid w:val="007349F4"/>
    <w:rsid w:val="00740CAA"/>
    <w:rsid w:val="00740EA5"/>
    <w:rsid w:val="00741B08"/>
    <w:rsid w:val="00741B29"/>
    <w:rsid w:val="00741DEB"/>
    <w:rsid w:val="00742EE6"/>
    <w:rsid w:val="00746BE0"/>
    <w:rsid w:val="0075099D"/>
    <w:rsid w:val="00751C11"/>
    <w:rsid w:val="00752DBC"/>
    <w:rsid w:val="00762977"/>
    <w:rsid w:val="007668FE"/>
    <w:rsid w:val="00774E0C"/>
    <w:rsid w:val="007809DF"/>
    <w:rsid w:val="00781848"/>
    <w:rsid w:val="00791018"/>
    <w:rsid w:val="00791730"/>
    <w:rsid w:val="00791B02"/>
    <w:rsid w:val="00794982"/>
    <w:rsid w:val="007959C8"/>
    <w:rsid w:val="007A36F5"/>
    <w:rsid w:val="007A509D"/>
    <w:rsid w:val="007A5C25"/>
    <w:rsid w:val="007A6690"/>
    <w:rsid w:val="007B1CA5"/>
    <w:rsid w:val="007C06BB"/>
    <w:rsid w:val="007C3026"/>
    <w:rsid w:val="007C397E"/>
    <w:rsid w:val="007C484F"/>
    <w:rsid w:val="007C7A99"/>
    <w:rsid w:val="007C7B5F"/>
    <w:rsid w:val="007D2731"/>
    <w:rsid w:val="007D3823"/>
    <w:rsid w:val="007D461D"/>
    <w:rsid w:val="007D5F4B"/>
    <w:rsid w:val="007D6489"/>
    <w:rsid w:val="007E13E5"/>
    <w:rsid w:val="007E327A"/>
    <w:rsid w:val="007E4461"/>
    <w:rsid w:val="007E68B9"/>
    <w:rsid w:val="007F08EB"/>
    <w:rsid w:val="007F1F49"/>
    <w:rsid w:val="007F255B"/>
    <w:rsid w:val="007F2E5C"/>
    <w:rsid w:val="007F7153"/>
    <w:rsid w:val="0080359B"/>
    <w:rsid w:val="00803B9F"/>
    <w:rsid w:val="00805014"/>
    <w:rsid w:val="008102F8"/>
    <w:rsid w:val="00811C66"/>
    <w:rsid w:val="0081276B"/>
    <w:rsid w:val="0081305B"/>
    <w:rsid w:val="00814FC1"/>
    <w:rsid w:val="00817087"/>
    <w:rsid w:val="00817946"/>
    <w:rsid w:val="008205F4"/>
    <w:rsid w:val="0082216F"/>
    <w:rsid w:val="008227D7"/>
    <w:rsid w:val="0082626C"/>
    <w:rsid w:val="0082720D"/>
    <w:rsid w:val="00830B41"/>
    <w:rsid w:val="00830F53"/>
    <w:rsid w:val="0083213C"/>
    <w:rsid w:val="0083315E"/>
    <w:rsid w:val="00833FE5"/>
    <w:rsid w:val="0083447B"/>
    <w:rsid w:val="008355F4"/>
    <w:rsid w:val="00841A12"/>
    <w:rsid w:val="0084255C"/>
    <w:rsid w:val="00847084"/>
    <w:rsid w:val="00847C8C"/>
    <w:rsid w:val="00847F27"/>
    <w:rsid w:val="00851647"/>
    <w:rsid w:val="00853273"/>
    <w:rsid w:val="00855798"/>
    <w:rsid w:val="0085789B"/>
    <w:rsid w:val="00860636"/>
    <w:rsid w:val="00867318"/>
    <w:rsid w:val="008714BB"/>
    <w:rsid w:val="00871E6D"/>
    <w:rsid w:val="0087210A"/>
    <w:rsid w:val="00873153"/>
    <w:rsid w:val="0087353B"/>
    <w:rsid w:val="008741E7"/>
    <w:rsid w:val="0087534D"/>
    <w:rsid w:val="008817F0"/>
    <w:rsid w:val="00881B27"/>
    <w:rsid w:val="00886A9B"/>
    <w:rsid w:val="00886DE0"/>
    <w:rsid w:val="008871F7"/>
    <w:rsid w:val="008879C2"/>
    <w:rsid w:val="00890F8A"/>
    <w:rsid w:val="008936BE"/>
    <w:rsid w:val="00894C18"/>
    <w:rsid w:val="008955FF"/>
    <w:rsid w:val="008A35A3"/>
    <w:rsid w:val="008A3D0B"/>
    <w:rsid w:val="008A4578"/>
    <w:rsid w:val="008A5A41"/>
    <w:rsid w:val="008A65DF"/>
    <w:rsid w:val="008A7025"/>
    <w:rsid w:val="008B0596"/>
    <w:rsid w:val="008B08B8"/>
    <w:rsid w:val="008B08FD"/>
    <w:rsid w:val="008B2477"/>
    <w:rsid w:val="008B48B2"/>
    <w:rsid w:val="008B656E"/>
    <w:rsid w:val="008C16C2"/>
    <w:rsid w:val="008C1B5B"/>
    <w:rsid w:val="008C2AA2"/>
    <w:rsid w:val="008C4477"/>
    <w:rsid w:val="008C633B"/>
    <w:rsid w:val="008C6EE6"/>
    <w:rsid w:val="008D304E"/>
    <w:rsid w:val="008D4D16"/>
    <w:rsid w:val="008D6ABB"/>
    <w:rsid w:val="008D7F3E"/>
    <w:rsid w:val="008E1CBD"/>
    <w:rsid w:val="008E2CAE"/>
    <w:rsid w:val="008E5D65"/>
    <w:rsid w:val="008E603F"/>
    <w:rsid w:val="008E67F1"/>
    <w:rsid w:val="008E794D"/>
    <w:rsid w:val="008E7B2F"/>
    <w:rsid w:val="008E7C73"/>
    <w:rsid w:val="008F16C7"/>
    <w:rsid w:val="008F23A1"/>
    <w:rsid w:val="008F27BE"/>
    <w:rsid w:val="008F6A2C"/>
    <w:rsid w:val="00903FDB"/>
    <w:rsid w:val="00907510"/>
    <w:rsid w:val="00910F2D"/>
    <w:rsid w:val="00916AA0"/>
    <w:rsid w:val="00920DCF"/>
    <w:rsid w:val="00925C18"/>
    <w:rsid w:val="00926539"/>
    <w:rsid w:val="00926D16"/>
    <w:rsid w:val="00927DB1"/>
    <w:rsid w:val="00936B40"/>
    <w:rsid w:val="0093731B"/>
    <w:rsid w:val="00943B0B"/>
    <w:rsid w:val="00945087"/>
    <w:rsid w:val="009474E2"/>
    <w:rsid w:val="00950B45"/>
    <w:rsid w:val="009518CD"/>
    <w:rsid w:val="00956508"/>
    <w:rsid w:val="00960AB9"/>
    <w:rsid w:val="009616CE"/>
    <w:rsid w:val="009670FF"/>
    <w:rsid w:val="009704FA"/>
    <w:rsid w:val="009728ED"/>
    <w:rsid w:val="00973201"/>
    <w:rsid w:val="00975A45"/>
    <w:rsid w:val="00975E42"/>
    <w:rsid w:val="009812CC"/>
    <w:rsid w:val="0098132B"/>
    <w:rsid w:val="0098280E"/>
    <w:rsid w:val="009837A1"/>
    <w:rsid w:val="009855D2"/>
    <w:rsid w:val="00992473"/>
    <w:rsid w:val="0099483D"/>
    <w:rsid w:val="009956BB"/>
    <w:rsid w:val="009976DE"/>
    <w:rsid w:val="009A066A"/>
    <w:rsid w:val="009A1664"/>
    <w:rsid w:val="009A61C7"/>
    <w:rsid w:val="009A7A7D"/>
    <w:rsid w:val="009B1981"/>
    <w:rsid w:val="009B38F4"/>
    <w:rsid w:val="009B3EDF"/>
    <w:rsid w:val="009B4B92"/>
    <w:rsid w:val="009B4E2C"/>
    <w:rsid w:val="009B7122"/>
    <w:rsid w:val="009C0E7A"/>
    <w:rsid w:val="009C3C66"/>
    <w:rsid w:val="009C7735"/>
    <w:rsid w:val="009D1423"/>
    <w:rsid w:val="009D1ACB"/>
    <w:rsid w:val="009D29C7"/>
    <w:rsid w:val="009D2AFC"/>
    <w:rsid w:val="009D709E"/>
    <w:rsid w:val="009E28E3"/>
    <w:rsid w:val="009E2C55"/>
    <w:rsid w:val="009E2C71"/>
    <w:rsid w:val="009E47DD"/>
    <w:rsid w:val="009E76F2"/>
    <w:rsid w:val="009F16DB"/>
    <w:rsid w:val="009F26F0"/>
    <w:rsid w:val="009F3330"/>
    <w:rsid w:val="009F3B23"/>
    <w:rsid w:val="009F4286"/>
    <w:rsid w:val="009F4670"/>
    <w:rsid w:val="009F4DD1"/>
    <w:rsid w:val="00A02CA6"/>
    <w:rsid w:val="00A03A2E"/>
    <w:rsid w:val="00A1775E"/>
    <w:rsid w:val="00A20E54"/>
    <w:rsid w:val="00A21AD1"/>
    <w:rsid w:val="00A23B05"/>
    <w:rsid w:val="00A279BC"/>
    <w:rsid w:val="00A32A22"/>
    <w:rsid w:val="00A343D8"/>
    <w:rsid w:val="00A36ABE"/>
    <w:rsid w:val="00A403E2"/>
    <w:rsid w:val="00A41EB3"/>
    <w:rsid w:val="00A44FFC"/>
    <w:rsid w:val="00A46623"/>
    <w:rsid w:val="00A474EE"/>
    <w:rsid w:val="00A47D31"/>
    <w:rsid w:val="00A5224B"/>
    <w:rsid w:val="00A5371C"/>
    <w:rsid w:val="00A53B54"/>
    <w:rsid w:val="00A545C4"/>
    <w:rsid w:val="00A63CBA"/>
    <w:rsid w:val="00A63F74"/>
    <w:rsid w:val="00A64D03"/>
    <w:rsid w:val="00A66095"/>
    <w:rsid w:val="00A71362"/>
    <w:rsid w:val="00A7157F"/>
    <w:rsid w:val="00A71F6E"/>
    <w:rsid w:val="00A72FEC"/>
    <w:rsid w:val="00A75ED5"/>
    <w:rsid w:val="00A83B69"/>
    <w:rsid w:val="00A85A10"/>
    <w:rsid w:val="00A85D85"/>
    <w:rsid w:val="00A90443"/>
    <w:rsid w:val="00A90DED"/>
    <w:rsid w:val="00A91A0D"/>
    <w:rsid w:val="00A922F9"/>
    <w:rsid w:val="00A96A1D"/>
    <w:rsid w:val="00A97BE3"/>
    <w:rsid w:val="00AA08D8"/>
    <w:rsid w:val="00AA1028"/>
    <w:rsid w:val="00AA19EC"/>
    <w:rsid w:val="00AA1B98"/>
    <w:rsid w:val="00AA2270"/>
    <w:rsid w:val="00AA4679"/>
    <w:rsid w:val="00AA6663"/>
    <w:rsid w:val="00AB0463"/>
    <w:rsid w:val="00AB5DDE"/>
    <w:rsid w:val="00AB7720"/>
    <w:rsid w:val="00AC01AA"/>
    <w:rsid w:val="00AC2B66"/>
    <w:rsid w:val="00AC7EFE"/>
    <w:rsid w:val="00AD192C"/>
    <w:rsid w:val="00AD44BE"/>
    <w:rsid w:val="00AD4A18"/>
    <w:rsid w:val="00AD4F5B"/>
    <w:rsid w:val="00AD6113"/>
    <w:rsid w:val="00AE143A"/>
    <w:rsid w:val="00AE567A"/>
    <w:rsid w:val="00AF191E"/>
    <w:rsid w:val="00AF30CB"/>
    <w:rsid w:val="00AF3951"/>
    <w:rsid w:val="00AF4882"/>
    <w:rsid w:val="00AF531A"/>
    <w:rsid w:val="00B00187"/>
    <w:rsid w:val="00B002FA"/>
    <w:rsid w:val="00B006D8"/>
    <w:rsid w:val="00B01746"/>
    <w:rsid w:val="00B04338"/>
    <w:rsid w:val="00B05D50"/>
    <w:rsid w:val="00B106E6"/>
    <w:rsid w:val="00B1146F"/>
    <w:rsid w:val="00B14848"/>
    <w:rsid w:val="00B14A87"/>
    <w:rsid w:val="00B16BC6"/>
    <w:rsid w:val="00B173E8"/>
    <w:rsid w:val="00B21D9E"/>
    <w:rsid w:val="00B2432B"/>
    <w:rsid w:val="00B24FB9"/>
    <w:rsid w:val="00B253AE"/>
    <w:rsid w:val="00B27127"/>
    <w:rsid w:val="00B304BE"/>
    <w:rsid w:val="00B31825"/>
    <w:rsid w:val="00B322FB"/>
    <w:rsid w:val="00B35196"/>
    <w:rsid w:val="00B373A0"/>
    <w:rsid w:val="00B37AF3"/>
    <w:rsid w:val="00B37D46"/>
    <w:rsid w:val="00B4049C"/>
    <w:rsid w:val="00B42338"/>
    <w:rsid w:val="00B4345E"/>
    <w:rsid w:val="00B46C4C"/>
    <w:rsid w:val="00B51851"/>
    <w:rsid w:val="00B5277E"/>
    <w:rsid w:val="00B5612A"/>
    <w:rsid w:val="00B57009"/>
    <w:rsid w:val="00B579AE"/>
    <w:rsid w:val="00B60895"/>
    <w:rsid w:val="00B65AFA"/>
    <w:rsid w:val="00B671F3"/>
    <w:rsid w:val="00B71993"/>
    <w:rsid w:val="00B724D2"/>
    <w:rsid w:val="00B73814"/>
    <w:rsid w:val="00B7427A"/>
    <w:rsid w:val="00B86006"/>
    <w:rsid w:val="00B86BFD"/>
    <w:rsid w:val="00B8754C"/>
    <w:rsid w:val="00B8795F"/>
    <w:rsid w:val="00B90AEB"/>
    <w:rsid w:val="00B91AEB"/>
    <w:rsid w:val="00B92238"/>
    <w:rsid w:val="00B94AAD"/>
    <w:rsid w:val="00B97E0A"/>
    <w:rsid w:val="00BA247A"/>
    <w:rsid w:val="00BA2D82"/>
    <w:rsid w:val="00BA3AB4"/>
    <w:rsid w:val="00BB0EC9"/>
    <w:rsid w:val="00BB0FCC"/>
    <w:rsid w:val="00BB1CCA"/>
    <w:rsid w:val="00BB2BD3"/>
    <w:rsid w:val="00BB6503"/>
    <w:rsid w:val="00BC5266"/>
    <w:rsid w:val="00BC78FB"/>
    <w:rsid w:val="00BD0761"/>
    <w:rsid w:val="00BD317E"/>
    <w:rsid w:val="00BD56C9"/>
    <w:rsid w:val="00BD77E7"/>
    <w:rsid w:val="00BE0007"/>
    <w:rsid w:val="00BE15AE"/>
    <w:rsid w:val="00BE49C0"/>
    <w:rsid w:val="00BF0188"/>
    <w:rsid w:val="00BF0BFF"/>
    <w:rsid w:val="00BF2C53"/>
    <w:rsid w:val="00BF3D7E"/>
    <w:rsid w:val="00BF5017"/>
    <w:rsid w:val="00BF557B"/>
    <w:rsid w:val="00C04FEC"/>
    <w:rsid w:val="00C07DFC"/>
    <w:rsid w:val="00C104D6"/>
    <w:rsid w:val="00C11699"/>
    <w:rsid w:val="00C131CC"/>
    <w:rsid w:val="00C13448"/>
    <w:rsid w:val="00C14019"/>
    <w:rsid w:val="00C20C0A"/>
    <w:rsid w:val="00C25E92"/>
    <w:rsid w:val="00C31494"/>
    <w:rsid w:val="00C323BF"/>
    <w:rsid w:val="00C3448C"/>
    <w:rsid w:val="00C3667F"/>
    <w:rsid w:val="00C37251"/>
    <w:rsid w:val="00C422AC"/>
    <w:rsid w:val="00C42A01"/>
    <w:rsid w:val="00C454E3"/>
    <w:rsid w:val="00C4555E"/>
    <w:rsid w:val="00C46B2B"/>
    <w:rsid w:val="00C5009C"/>
    <w:rsid w:val="00C56B16"/>
    <w:rsid w:val="00C604D2"/>
    <w:rsid w:val="00C6134F"/>
    <w:rsid w:val="00C67A4B"/>
    <w:rsid w:val="00C71BD2"/>
    <w:rsid w:val="00C723AE"/>
    <w:rsid w:val="00C757F1"/>
    <w:rsid w:val="00C76CC6"/>
    <w:rsid w:val="00C80030"/>
    <w:rsid w:val="00C805D8"/>
    <w:rsid w:val="00C80BFE"/>
    <w:rsid w:val="00C8529D"/>
    <w:rsid w:val="00C90BD9"/>
    <w:rsid w:val="00C94AD0"/>
    <w:rsid w:val="00C95CDF"/>
    <w:rsid w:val="00C9795B"/>
    <w:rsid w:val="00C97DC6"/>
    <w:rsid w:val="00CA1083"/>
    <w:rsid w:val="00CA1094"/>
    <w:rsid w:val="00CA2AED"/>
    <w:rsid w:val="00CA5238"/>
    <w:rsid w:val="00CA569B"/>
    <w:rsid w:val="00CA691A"/>
    <w:rsid w:val="00CC209B"/>
    <w:rsid w:val="00CC318F"/>
    <w:rsid w:val="00CD19C4"/>
    <w:rsid w:val="00CD5F4C"/>
    <w:rsid w:val="00CD714F"/>
    <w:rsid w:val="00CD7802"/>
    <w:rsid w:val="00CE10E9"/>
    <w:rsid w:val="00CE1ABF"/>
    <w:rsid w:val="00CE66A7"/>
    <w:rsid w:val="00CF0B99"/>
    <w:rsid w:val="00CF35F8"/>
    <w:rsid w:val="00CF6DF8"/>
    <w:rsid w:val="00D007DC"/>
    <w:rsid w:val="00D01FA3"/>
    <w:rsid w:val="00D02D80"/>
    <w:rsid w:val="00D07152"/>
    <w:rsid w:val="00D14992"/>
    <w:rsid w:val="00D154F6"/>
    <w:rsid w:val="00D16EF4"/>
    <w:rsid w:val="00D16FF6"/>
    <w:rsid w:val="00D20D25"/>
    <w:rsid w:val="00D268E8"/>
    <w:rsid w:val="00D27713"/>
    <w:rsid w:val="00D32A67"/>
    <w:rsid w:val="00D32DCC"/>
    <w:rsid w:val="00D33716"/>
    <w:rsid w:val="00D35356"/>
    <w:rsid w:val="00D37BC9"/>
    <w:rsid w:val="00D41583"/>
    <w:rsid w:val="00D430A6"/>
    <w:rsid w:val="00D44CA4"/>
    <w:rsid w:val="00D46115"/>
    <w:rsid w:val="00D46BE5"/>
    <w:rsid w:val="00D5051A"/>
    <w:rsid w:val="00D509F6"/>
    <w:rsid w:val="00D52110"/>
    <w:rsid w:val="00D52E63"/>
    <w:rsid w:val="00D54814"/>
    <w:rsid w:val="00D54910"/>
    <w:rsid w:val="00D55795"/>
    <w:rsid w:val="00D61489"/>
    <w:rsid w:val="00D67A43"/>
    <w:rsid w:val="00D67B9B"/>
    <w:rsid w:val="00D747F3"/>
    <w:rsid w:val="00D754AC"/>
    <w:rsid w:val="00D80578"/>
    <w:rsid w:val="00D81F0D"/>
    <w:rsid w:val="00D831EF"/>
    <w:rsid w:val="00D86934"/>
    <w:rsid w:val="00D91D57"/>
    <w:rsid w:val="00D92F8A"/>
    <w:rsid w:val="00D93E51"/>
    <w:rsid w:val="00D9435B"/>
    <w:rsid w:val="00D9533F"/>
    <w:rsid w:val="00D95DB9"/>
    <w:rsid w:val="00D97EF1"/>
    <w:rsid w:val="00DA4E48"/>
    <w:rsid w:val="00DA5FC8"/>
    <w:rsid w:val="00DA743B"/>
    <w:rsid w:val="00DA7D78"/>
    <w:rsid w:val="00DB37DB"/>
    <w:rsid w:val="00DB4D47"/>
    <w:rsid w:val="00DC48E4"/>
    <w:rsid w:val="00DC577F"/>
    <w:rsid w:val="00DC6372"/>
    <w:rsid w:val="00DC63BD"/>
    <w:rsid w:val="00DC642D"/>
    <w:rsid w:val="00DC69EB"/>
    <w:rsid w:val="00DD3568"/>
    <w:rsid w:val="00DD3BEA"/>
    <w:rsid w:val="00DD4435"/>
    <w:rsid w:val="00DD63E7"/>
    <w:rsid w:val="00DD67F0"/>
    <w:rsid w:val="00DD7914"/>
    <w:rsid w:val="00DE4823"/>
    <w:rsid w:val="00DE6E1F"/>
    <w:rsid w:val="00DF08C5"/>
    <w:rsid w:val="00DF407A"/>
    <w:rsid w:val="00DF73B4"/>
    <w:rsid w:val="00E01861"/>
    <w:rsid w:val="00E0235E"/>
    <w:rsid w:val="00E039CB"/>
    <w:rsid w:val="00E03DB4"/>
    <w:rsid w:val="00E03FC8"/>
    <w:rsid w:val="00E05FCA"/>
    <w:rsid w:val="00E06BE0"/>
    <w:rsid w:val="00E06CC0"/>
    <w:rsid w:val="00E11B2B"/>
    <w:rsid w:val="00E12B47"/>
    <w:rsid w:val="00E13A04"/>
    <w:rsid w:val="00E1666F"/>
    <w:rsid w:val="00E16CD7"/>
    <w:rsid w:val="00E212B3"/>
    <w:rsid w:val="00E22B9B"/>
    <w:rsid w:val="00E24CB3"/>
    <w:rsid w:val="00E25AB8"/>
    <w:rsid w:val="00E25D94"/>
    <w:rsid w:val="00E27FF0"/>
    <w:rsid w:val="00E307A9"/>
    <w:rsid w:val="00E37FEF"/>
    <w:rsid w:val="00E4064E"/>
    <w:rsid w:val="00E41D9F"/>
    <w:rsid w:val="00E42503"/>
    <w:rsid w:val="00E43918"/>
    <w:rsid w:val="00E43E59"/>
    <w:rsid w:val="00E4468F"/>
    <w:rsid w:val="00E44E32"/>
    <w:rsid w:val="00E45373"/>
    <w:rsid w:val="00E4672C"/>
    <w:rsid w:val="00E475F4"/>
    <w:rsid w:val="00E47FA9"/>
    <w:rsid w:val="00E52B8B"/>
    <w:rsid w:val="00E57D9F"/>
    <w:rsid w:val="00E611A6"/>
    <w:rsid w:val="00E6222B"/>
    <w:rsid w:val="00E6406E"/>
    <w:rsid w:val="00E64A47"/>
    <w:rsid w:val="00E65320"/>
    <w:rsid w:val="00E66B82"/>
    <w:rsid w:val="00E67781"/>
    <w:rsid w:val="00E678D5"/>
    <w:rsid w:val="00E71574"/>
    <w:rsid w:val="00E74245"/>
    <w:rsid w:val="00E74EC7"/>
    <w:rsid w:val="00E754BD"/>
    <w:rsid w:val="00E76166"/>
    <w:rsid w:val="00E82130"/>
    <w:rsid w:val="00E84870"/>
    <w:rsid w:val="00E94EFD"/>
    <w:rsid w:val="00E96EEF"/>
    <w:rsid w:val="00EA014E"/>
    <w:rsid w:val="00EA1010"/>
    <w:rsid w:val="00EA2036"/>
    <w:rsid w:val="00EA20A6"/>
    <w:rsid w:val="00EA3DFC"/>
    <w:rsid w:val="00EA4337"/>
    <w:rsid w:val="00EA44D3"/>
    <w:rsid w:val="00EA602D"/>
    <w:rsid w:val="00EB3951"/>
    <w:rsid w:val="00EB625B"/>
    <w:rsid w:val="00EC1F5B"/>
    <w:rsid w:val="00EC2D3E"/>
    <w:rsid w:val="00EC41A6"/>
    <w:rsid w:val="00EC5464"/>
    <w:rsid w:val="00EC6260"/>
    <w:rsid w:val="00EC7600"/>
    <w:rsid w:val="00EC7661"/>
    <w:rsid w:val="00EC7683"/>
    <w:rsid w:val="00ED3C7B"/>
    <w:rsid w:val="00ED5033"/>
    <w:rsid w:val="00ED7021"/>
    <w:rsid w:val="00ED73B8"/>
    <w:rsid w:val="00ED7B4D"/>
    <w:rsid w:val="00EE0918"/>
    <w:rsid w:val="00EE4408"/>
    <w:rsid w:val="00EE5EAD"/>
    <w:rsid w:val="00EF351E"/>
    <w:rsid w:val="00EF4DF1"/>
    <w:rsid w:val="00EF5223"/>
    <w:rsid w:val="00EF5621"/>
    <w:rsid w:val="00EF6B19"/>
    <w:rsid w:val="00EF7DB1"/>
    <w:rsid w:val="00F047B3"/>
    <w:rsid w:val="00F05A02"/>
    <w:rsid w:val="00F07E5C"/>
    <w:rsid w:val="00F10E02"/>
    <w:rsid w:val="00F2104E"/>
    <w:rsid w:val="00F25366"/>
    <w:rsid w:val="00F265A2"/>
    <w:rsid w:val="00F26A73"/>
    <w:rsid w:val="00F34A77"/>
    <w:rsid w:val="00F3690C"/>
    <w:rsid w:val="00F36BCB"/>
    <w:rsid w:val="00F37F75"/>
    <w:rsid w:val="00F41D8E"/>
    <w:rsid w:val="00F527D3"/>
    <w:rsid w:val="00F57150"/>
    <w:rsid w:val="00F60E42"/>
    <w:rsid w:val="00F62407"/>
    <w:rsid w:val="00F726A9"/>
    <w:rsid w:val="00F77768"/>
    <w:rsid w:val="00F811EA"/>
    <w:rsid w:val="00F82896"/>
    <w:rsid w:val="00F84A44"/>
    <w:rsid w:val="00F8753B"/>
    <w:rsid w:val="00F90081"/>
    <w:rsid w:val="00F92552"/>
    <w:rsid w:val="00F9371B"/>
    <w:rsid w:val="00F968BA"/>
    <w:rsid w:val="00F96FBA"/>
    <w:rsid w:val="00F97B29"/>
    <w:rsid w:val="00F97E06"/>
    <w:rsid w:val="00FA5527"/>
    <w:rsid w:val="00FB14BA"/>
    <w:rsid w:val="00FB36ED"/>
    <w:rsid w:val="00FD0636"/>
    <w:rsid w:val="00FD0916"/>
    <w:rsid w:val="00FD46AF"/>
    <w:rsid w:val="00FD554B"/>
    <w:rsid w:val="00FE0FF5"/>
    <w:rsid w:val="00FE43BD"/>
    <w:rsid w:val="00FF06A9"/>
    <w:rsid w:val="00FF435E"/>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autoRedefine/>
    <w:qFormat/>
    <w:rsid w:val="00894C18"/>
    <w:pPr>
      <w:spacing w:after="120"/>
      <w:jc w:val="both"/>
    </w:pPr>
    <w:rPr>
      <w:rFonts w:ascii="Microsoft Sans Serif" w:hAnsi="Microsoft Sans Serif"/>
      <w:bCs/>
      <w:sz w:val="22"/>
      <w:szCs w:val="28"/>
      <w:lang w:val="es-CO"/>
    </w:rPr>
  </w:style>
  <w:style w:type="paragraph" w:styleId="Heading1">
    <w:name w:val="heading 1"/>
    <w:basedOn w:val="Normal"/>
    <w:next w:val="Normal"/>
    <w:link w:val="Heading1Char"/>
    <w:qFormat/>
    <w:rsid w:val="00D67A43"/>
    <w:pPr>
      <w:keepNext/>
      <w:numPr>
        <w:numId w:val="1"/>
      </w:numPr>
      <w:spacing w:before="240" w:after="60"/>
      <w:outlineLvl w:val="0"/>
    </w:pPr>
    <w:rPr>
      <w:rFonts w:cs="Arial"/>
      <w:b/>
      <w:bCs w:val="0"/>
      <w:caps/>
      <w:kern w:val="32"/>
    </w:rPr>
  </w:style>
  <w:style w:type="paragraph" w:styleId="Heading2">
    <w:name w:val="heading 2"/>
    <w:basedOn w:val="Normal"/>
    <w:next w:val="Normal"/>
    <w:link w:val="Heading2Char"/>
    <w:qFormat/>
    <w:rsid w:val="00C25E92"/>
    <w:pPr>
      <w:keepNext/>
      <w:numPr>
        <w:ilvl w:val="1"/>
        <w:numId w:val="1"/>
      </w:numPr>
      <w:spacing w:before="240" w:after="60"/>
      <w:outlineLvl w:val="1"/>
    </w:pPr>
    <w:rPr>
      <w:rFonts w:cs="Arial"/>
      <w:bCs w:val="0"/>
      <w:i/>
      <w:iCs/>
      <w:u w:val="single"/>
    </w:rPr>
  </w:style>
  <w:style w:type="paragraph" w:styleId="Heading3">
    <w:name w:val="heading 3"/>
    <w:basedOn w:val="Normal"/>
    <w:next w:val="Normal"/>
    <w:qFormat/>
    <w:rsid w:val="00C25E92"/>
    <w:pPr>
      <w:keepNext/>
      <w:numPr>
        <w:ilvl w:val="2"/>
        <w:numId w:val="1"/>
      </w:numPr>
      <w:spacing w:before="240" w:after="60"/>
      <w:outlineLvl w:val="2"/>
    </w:pPr>
    <w:rPr>
      <w:rFonts w:cs="Arial"/>
      <w:bCs w:val="0"/>
      <w:i/>
      <w:szCs w:val="26"/>
    </w:rPr>
  </w:style>
  <w:style w:type="paragraph" w:styleId="Heading4">
    <w:name w:val="heading 4"/>
    <w:basedOn w:val="Normal"/>
    <w:next w:val="Normal"/>
    <w:qFormat/>
    <w:rsid w:val="00537F14"/>
    <w:pPr>
      <w:keepNext/>
      <w:numPr>
        <w:ilvl w:val="3"/>
        <w:numId w:val="1"/>
      </w:numPr>
      <w:spacing w:before="240" w:after="60"/>
      <w:outlineLvl w:val="3"/>
    </w:pPr>
    <w:rPr>
      <w:bCs w:val="0"/>
    </w:rPr>
  </w:style>
  <w:style w:type="paragraph" w:styleId="Heading5">
    <w:name w:val="heading 5"/>
    <w:basedOn w:val="Normal"/>
    <w:next w:val="Normal"/>
    <w:link w:val="Heading5Char"/>
    <w:qFormat/>
    <w:rsid w:val="000E31DF"/>
    <w:pPr>
      <w:numPr>
        <w:ilvl w:val="4"/>
        <w:numId w:val="1"/>
      </w:numPr>
      <w:spacing w:before="240" w:after="60"/>
      <w:outlineLvl w:val="4"/>
    </w:pPr>
    <w:rPr>
      <w:bCs w:val="0"/>
      <w:i/>
      <w:iCs/>
      <w:sz w:val="26"/>
      <w:szCs w:val="26"/>
    </w:rPr>
  </w:style>
  <w:style w:type="paragraph" w:styleId="Heading6">
    <w:name w:val="heading 6"/>
    <w:basedOn w:val="Normal"/>
    <w:next w:val="Normal"/>
    <w:link w:val="Heading6Char"/>
    <w:qFormat/>
    <w:rsid w:val="000E31DF"/>
    <w:pPr>
      <w:numPr>
        <w:ilvl w:val="5"/>
        <w:numId w:val="1"/>
      </w:numPr>
      <w:spacing w:before="240" w:after="60"/>
      <w:outlineLvl w:val="5"/>
    </w:pPr>
    <w:rPr>
      <w:bCs w:val="0"/>
      <w:szCs w:val="22"/>
    </w:rPr>
  </w:style>
  <w:style w:type="paragraph" w:styleId="Heading7">
    <w:name w:val="heading 7"/>
    <w:basedOn w:val="Normal"/>
    <w:next w:val="Normal"/>
    <w:link w:val="Heading7Char"/>
    <w:qFormat/>
    <w:rsid w:val="000E31DF"/>
    <w:pPr>
      <w:numPr>
        <w:ilvl w:val="6"/>
        <w:numId w:val="1"/>
      </w:numPr>
      <w:spacing w:before="240" w:after="60"/>
      <w:outlineLvl w:val="6"/>
    </w:pPr>
    <w:rPr>
      <w:szCs w:val="24"/>
    </w:rPr>
  </w:style>
  <w:style w:type="paragraph" w:styleId="Heading8">
    <w:name w:val="heading 8"/>
    <w:basedOn w:val="Normal"/>
    <w:next w:val="Normal"/>
    <w:link w:val="Heading8Char"/>
    <w:qFormat/>
    <w:rsid w:val="000E31DF"/>
    <w:pPr>
      <w:numPr>
        <w:ilvl w:val="7"/>
        <w:numId w:val="1"/>
      </w:numPr>
      <w:spacing w:before="240" w:after="60"/>
      <w:outlineLvl w:val="7"/>
    </w:pPr>
    <w:rPr>
      <w:i/>
      <w:iCs/>
      <w:szCs w:val="24"/>
    </w:rPr>
  </w:style>
  <w:style w:type="paragraph" w:styleId="Heading9">
    <w:name w:val="heading 9"/>
    <w:basedOn w:val="Normal"/>
    <w:next w:val="Normal"/>
    <w:link w:val="Heading9Char"/>
    <w:qFormat/>
    <w:rsid w:val="000E31DF"/>
    <w:pPr>
      <w:numPr>
        <w:ilvl w:val="8"/>
        <w:numId w:val="1"/>
      </w:num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3">
    <w:name w:val="toc 3"/>
    <w:basedOn w:val="Normal"/>
    <w:next w:val="Normal"/>
    <w:autoRedefine/>
    <w:uiPriority w:val="39"/>
    <w:qFormat/>
    <w:rsid w:val="00A46623"/>
    <w:pPr>
      <w:spacing w:after="0"/>
      <w:ind w:left="440"/>
      <w:jc w:val="left"/>
    </w:pPr>
    <w:rPr>
      <w:rFonts w:cstheme="minorHAnsi"/>
      <w:bCs w:val="0"/>
      <w:iCs/>
      <w:szCs w:val="20"/>
    </w:rPr>
  </w:style>
  <w:style w:type="paragraph" w:styleId="TOC4">
    <w:name w:val="toc 4"/>
    <w:basedOn w:val="Normal"/>
    <w:next w:val="Normal"/>
    <w:autoRedefine/>
    <w:semiHidden/>
    <w:rsid w:val="00537F14"/>
    <w:pPr>
      <w:spacing w:after="0"/>
      <w:ind w:left="660"/>
      <w:jc w:val="left"/>
    </w:pPr>
    <w:rPr>
      <w:rFonts w:asciiTheme="minorHAnsi" w:hAnsiTheme="minorHAnsi" w:cstheme="minorHAnsi"/>
      <w:bCs w:val="0"/>
      <w:sz w:val="18"/>
      <w:szCs w:val="18"/>
    </w:rPr>
  </w:style>
  <w:style w:type="character" w:styleId="Hyperlink">
    <w:name w:val="Hyperlink"/>
    <w:basedOn w:val="DefaultParagraphFont"/>
    <w:uiPriority w:val="99"/>
    <w:rsid w:val="00794982"/>
    <w:rPr>
      <w:color w:val="0000FF"/>
      <w:u w:val="single"/>
    </w:rPr>
  </w:style>
  <w:style w:type="table" w:styleId="TableGrid1">
    <w:name w:val="Table Grid 1"/>
    <w:basedOn w:val="TableNormal"/>
    <w:rsid w:val="001D5854"/>
    <w:pPr>
      <w:spacing w:line="36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Footer">
    <w:name w:val="footer"/>
    <w:basedOn w:val="Normal"/>
    <w:link w:val="FooterChar"/>
    <w:uiPriority w:val="99"/>
    <w:rsid w:val="002520A8"/>
    <w:pPr>
      <w:tabs>
        <w:tab w:val="center" w:pos="4252"/>
        <w:tab w:val="right" w:pos="8504"/>
      </w:tabs>
    </w:pPr>
  </w:style>
  <w:style w:type="character" w:styleId="PageNumber">
    <w:name w:val="page number"/>
    <w:basedOn w:val="DefaultParagraphFont"/>
    <w:rsid w:val="002520A8"/>
  </w:style>
  <w:style w:type="paragraph" w:styleId="FootnoteText">
    <w:name w:val="footnote text"/>
    <w:basedOn w:val="Normal"/>
    <w:semiHidden/>
    <w:rsid w:val="008879C2"/>
    <w:rPr>
      <w:sz w:val="20"/>
    </w:rPr>
  </w:style>
  <w:style w:type="character" w:styleId="FootnoteReference">
    <w:name w:val="footnote reference"/>
    <w:basedOn w:val="DefaultParagraphFont"/>
    <w:semiHidden/>
    <w:rsid w:val="008879C2"/>
    <w:rPr>
      <w:vertAlign w:val="superscript"/>
    </w:rPr>
  </w:style>
  <w:style w:type="paragraph" w:styleId="TOC1">
    <w:name w:val="toc 1"/>
    <w:basedOn w:val="Normal"/>
    <w:next w:val="Normal"/>
    <w:autoRedefine/>
    <w:uiPriority w:val="39"/>
    <w:qFormat/>
    <w:rsid w:val="00A46623"/>
    <w:pPr>
      <w:tabs>
        <w:tab w:val="left" w:pos="440"/>
        <w:tab w:val="right" w:leader="dot" w:pos="9390"/>
      </w:tabs>
      <w:spacing w:before="120"/>
      <w:jc w:val="left"/>
    </w:pPr>
    <w:rPr>
      <w:rFonts w:cstheme="minorHAnsi"/>
      <w:caps/>
      <w:szCs w:val="20"/>
    </w:rPr>
  </w:style>
  <w:style w:type="paragraph" w:styleId="TOC2">
    <w:name w:val="toc 2"/>
    <w:basedOn w:val="Normal"/>
    <w:next w:val="Normal"/>
    <w:autoRedefine/>
    <w:uiPriority w:val="39"/>
    <w:qFormat/>
    <w:rsid w:val="00D27713"/>
    <w:pPr>
      <w:tabs>
        <w:tab w:val="left" w:pos="880"/>
        <w:tab w:val="right" w:leader="dot" w:pos="9390"/>
      </w:tabs>
      <w:spacing w:after="0"/>
      <w:ind w:left="220"/>
      <w:jc w:val="left"/>
    </w:pPr>
    <w:rPr>
      <w:rFonts w:ascii="MS Reference Sans Serif" w:hAnsi="MS Reference Sans Serif" w:cstheme="minorHAnsi"/>
      <w:bCs w:val="0"/>
      <w:smallCaps/>
      <w:noProof/>
      <w:szCs w:val="20"/>
      <w:lang w:val="es-MX"/>
    </w:rPr>
  </w:style>
  <w:style w:type="paragraph" w:styleId="Header">
    <w:name w:val="header"/>
    <w:basedOn w:val="Normal"/>
    <w:link w:val="HeaderChar"/>
    <w:uiPriority w:val="99"/>
    <w:rsid w:val="002B5EE1"/>
    <w:pPr>
      <w:tabs>
        <w:tab w:val="center" w:pos="4252"/>
        <w:tab w:val="right" w:pos="8504"/>
      </w:tabs>
    </w:pPr>
  </w:style>
  <w:style w:type="table" w:customStyle="1" w:styleId="Estilodetabla1">
    <w:name w:val="Estilo de tabla1"/>
    <w:basedOn w:val="TableNormal"/>
    <w:rsid w:val="00E06BE0"/>
    <w:tblPr>
      <w:tblInd w:w="0" w:type="dxa"/>
      <w:tblCellMar>
        <w:top w:w="0" w:type="dxa"/>
        <w:left w:w="108" w:type="dxa"/>
        <w:bottom w:w="0" w:type="dxa"/>
        <w:right w:w="108" w:type="dxa"/>
      </w:tblCellMar>
    </w:tblPr>
  </w:style>
  <w:style w:type="table" w:styleId="TableGrid">
    <w:name w:val="Table Grid"/>
    <w:basedOn w:val="TableNormal"/>
    <w:rsid w:val="00EF5223"/>
    <w:pPr>
      <w:spacing w:line="360" w:lineRule="auto"/>
      <w:jc w:val="center"/>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DC6372"/>
    <w:rPr>
      <w:rFonts w:ascii="Tahoma" w:hAnsi="Tahoma" w:cs="Tahoma"/>
      <w:sz w:val="16"/>
      <w:szCs w:val="16"/>
    </w:rPr>
  </w:style>
  <w:style w:type="character" w:customStyle="1" w:styleId="BalloonTextChar">
    <w:name w:val="Balloon Text Char"/>
    <w:basedOn w:val="DefaultParagraphFont"/>
    <w:link w:val="BalloonText"/>
    <w:rsid w:val="00DC6372"/>
    <w:rPr>
      <w:rFonts w:ascii="Tahoma" w:hAnsi="Tahoma" w:cs="Tahoma"/>
      <w:sz w:val="16"/>
      <w:szCs w:val="16"/>
      <w:lang w:val="en-US" w:eastAsia="es-ES"/>
    </w:rPr>
  </w:style>
  <w:style w:type="character" w:customStyle="1" w:styleId="Heading5Char">
    <w:name w:val="Heading 5 Char"/>
    <w:basedOn w:val="DefaultParagraphFont"/>
    <w:link w:val="Heading5"/>
    <w:rsid w:val="000E31DF"/>
    <w:rPr>
      <w:rFonts w:ascii="Calibri" w:hAnsi="Calibri"/>
      <w:b/>
      <w:i/>
      <w:iCs/>
      <w:sz w:val="26"/>
      <w:szCs w:val="26"/>
      <w:lang w:val="es-CO"/>
    </w:rPr>
  </w:style>
  <w:style w:type="character" w:customStyle="1" w:styleId="Heading6Char">
    <w:name w:val="Heading 6 Char"/>
    <w:basedOn w:val="DefaultParagraphFont"/>
    <w:link w:val="Heading6"/>
    <w:rsid w:val="000E31DF"/>
    <w:rPr>
      <w:rFonts w:ascii="Calibri" w:hAnsi="Calibri"/>
      <w:b/>
      <w:sz w:val="22"/>
      <w:szCs w:val="22"/>
      <w:lang w:val="es-CO"/>
    </w:rPr>
  </w:style>
  <w:style w:type="character" w:customStyle="1" w:styleId="Heading7Char">
    <w:name w:val="Heading 7 Char"/>
    <w:basedOn w:val="DefaultParagraphFont"/>
    <w:link w:val="Heading7"/>
    <w:rsid w:val="000E31DF"/>
    <w:rPr>
      <w:rFonts w:ascii="Calibri" w:hAnsi="Calibri"/>
      <w:bCs/>
      <w:sz w:val="22"/>
      <w:szCs w:val="24"/>
      <w:lang w:val="es-CO"/>
    </w:rPr>
  </w:style>
  <w:style w:type="character" w:customStyle="1" w:styleId="Heading8Char">
    <w:name w:val="Heading 8 Char"/>
    <w:basedOn w:val="DefaultParagraphFont"/>
    <w:link w:val="Heading8"/>
    <w:rsid w:val="000E31DF"/>
    <w:rPr>
      <w:rFonts w:ascii="Calibri" w:hAnsi="Calibri"/>
      <w:bCs/>
      <w:i/>
      <w:iCs/>
      <w:sz w:val="22"/>
      <w:szCs w:val="24"/>
      <w:lang w:val="es-CO"/>
    </w:rPr>
  </w:style>
  <w:style w:type="character" w:customStyle="1" w:styleId="Heading9Char">
    <w:name w:val="Heading 9 Char"/>
    <w:basedOn w:val="DefaultParagraphFont"/>
    <w:link w:val="Heading9"/>
    <w:rsid w:val="000E31DF"/>
    <w:rPr>
      <w:rFonts w:ascii="Cambria" w:hAnsi="Cambria"/>
      <w:bCs/>
      <w:sz w:val="22"/>
      <w:szCs w:val="22"/>
      <w:lang w:val="es-CO"/>
    </w:rPr>
  </w:style>
  <w:style w:type="character" w:styleId="CommentReference">
    <w:name w:val="annotation reference"/>
    <w:basedOn w:val="DefaultParagraphFont"/>
    <w:rsid w:val="00EB625B"/>
    <w:rPr>
      <w:sz w:val="16"/>
      <w:szCs w:val="16"/>
    </w:rPr>
  </w:style>
  <w:style w:type="paragraph" w:styleId="CommentText">
    <w:name w:val="annotation text"/>
    <w:basedOn w:val="Normal"/>
    <w:link w:val="CommentTextChar"/>
    <w:rsid w:val="00EB625B"/>
    <w:rPr>
      <w:sz w:val="20"/>
    </w:rPr>
  </w:style>
  <w:style w:type="character" w:customStyle="1" w:styleId="CommentTextChar">
    <w:name w:val="Comment Text Char"/>
    <w:basedOn w:val="DefaultParagraphFont"/>
    <w:link w:val="CommentText"/>
    <w:rsid w:val="00EB625B"/>
    <w:rPr>
      <w:rFonts w:ascii="Calibri" w:hAnsi="Calibri"/>
      <w:lang w:val="en-US" w:eastAsia="es-ES"/>
    </w:rPr>
  </w:style>
  <w:style w:type="paragraph" w:styleId="CommentSubject">
    <w:name w:val="annotation subject"/>
    <w:basedOn w:val="CommentText"/>
    <w:next w:val="CommentText"/>
    <w:link w:val="CommentSubjectChar"/>
    <w:rsid w:val="00EB625B"/>
    <w:rPr>
      <w:bCs w:val="0"/>
    </w:rPr>
  </w:style>
  <w:style w:type="character" w:customStyle="1" w:styleId="CommentSubjectChar">
    <w:name w:val="Comment Subject Char"/>
    <w:basedOn w:val="CommentTextChar"/>
    <w:link w:val="CommentSubject"/>
    <w:rsid w:val="00EB625B"/>
    <w:rPr>
      <w:b/>
      <w:bCs/>
    </w:rPr>
  </w:style>
  <w:style w:type="paragraph" w:styleId="Revision">
    <w:name w:val="Revision"/>
    <w:hidden/>
    <w:uiPriority w:val="99"/>
    <w:semiHidden/>
    <w:rsid w:val="00524E13"/>
    <w:rPr>
      <w:rFonts w:ascii="Calibri" w:hAnsi="Calibri"/>
      <w:sz w:val="24"/>
      <w:lang w:val="en-US"/>
    </w:rPr>
  </w:style>
  <w:style w:type="character" w:customStyle="1" w:styleId="Heading2Char">
    <w:name w:val="Heading 2 Char"/>
    <w:basedOn w:val="DefaultParagraphFont"/>
    <w:link w:val="Heading2"/>
    <w:rsid w:val="00C25E92"/>
    <w:rPr>
      <w:rFonts w:ascii="Microsoft Sans Serif" w:hAnsi="Microsoft Sans Serif" w:cs="Arial"/>
      <w:i/>
      <w:iCs/>
      <w:sz w:val="22"/>
      <w:szCs w:val="28"/>
      <w:u w:val="single"/>
      <w:lang w:val="es-CO"/>
    </w:rPr>
  </w:style>
  <w:style w:type="character" w:customStyle="1" w:styleId="Heading1Char">
    <w:name w:val="Heading 1 Char"/>
    <w:basedOn w:val="DefaultParagraphFont"/>
    <w:link w:val="Heading1"/>
    <w:rsid w:val="00D67A43"/>
    <w:rPr>
      <w:rFonts w:ascii="Microsoft Sans Serif" w:hAnsi="Microsoft Sans Serif" w:cs="Arial"/>
      <w:b/>
      <w:caps/>
      <w:kern w:val="32"/>
      <w:sz w:val="22"/>
      <w:szCs w:val="28"/>
      <w:lang w:val="es-CO"/>
    </w:rPr>
  </w:style>
  <w:style w:type="paragraph" w:styleId="TOCHeading">
    <w:name w:val="TOC Heading"/>
    <w:basedOn w:val="Heading1"/>
    <w:next w:val="Normal"/>
    <w:uiPriority w:val="39"/>
    <w:qFormat/>
    <w:rsid w:val="00CA569B"/>
    <w:pPr>
      <w:keepLines/>
      <w:numPr>
        <w:numId w:val="0"/>
      </w:numPr>
      <w:spacing w:before="480" w:after="0"/>
      <w:outlineLvl w:val="9"/>
    </w:pPr>
    <w:rPr>
      <w:rFonts w:ascii="Cambria" w:hAnsi="Cambria" w:cs="Times New Roman"/>
      <w:color w:val="365F91"/>
      <w:kern w:val="0"/>
      <w:lang w:val="es-ES" w:eastAsia="en-US"/>
    </w:rPr>
  </w:style>
  <w:style w:type="paragraph" w:styleId="Title">
    <w:name w:val="Title"/>
    <w:basedOn w:val="Normal"/>
    <w:qFormat/>
    <w:rsid w:val="00BF0188"/>
    <w:pPr>
      <w:spacing w:before="240" w:after="60"/>
      <w:outlineLvl w:val="0"/>
    </w:pPr>
    <w:rPr>
      <w:rFonts w:cs="Arial"/>
      <w:kern w:val="28"/>
    </w:rPr>
  </w:style>
  <w:style w:type="paragraph" w:styleId="Caption">
    <w:name w:val="caption"/>
    <w:basedOn w:val="Normal"/>
    <w:next w:val="Normal"/>
    <w:unhideWhenUsed/>
    <w:qFormat/>
    <w:rsid w:val="008227D7"/>
    <w:rPr>
      <w:sz w:val="20"/>
      <w:szCs w:val="20"/>
    </w:rPr>
  </w:style>
  <w:style w:type="character" w:customStyle="1" w:styleId="FooterChar">
    <w:name w:val="Footer Char"/>
    <w:basedOn w:val="DefaultParagraphFont"/>
    <w:link w:val="Footer"/>
    <w:uiPriority w:val="99"/>
    <w:rsid w:val="001503FF"/>
    <w:rPr>
      <w:rFonts w:ascii="Calibri" w:hAnsi="Calibri"/>
      <w:bCs/>
      <w:sz w:val="24"/>
      <w:szCs w:val="32"/>
      <w:lang w:val="es-CO"/>
    </w:rPr>
  </w:style>
  <w:style w:type="paragraph" w:styleId="EndnoteText">
    <w:name w:val="endnote text"/>
    <w:basedOn w:val="Normal"/>
    <w:link w:val="EndnoteTextChar"/>
    <w:rsid w:val="00AD192C"/>
    <w:rPr>
      <w:sz w:val="20"/>
      <w:szCs w:val="20"/>
    </w:rPr>
  </w:style>
  <w:style w:type="character" w:customStyle="1" w:styleId="EndnoteTextChar">
    <w:name w:val="Endnote Text Char"/>
    <w:basedOn w:val="DefaultParagraphFont"/>
    <w:link w:val="EndnoteText"/>
    <w:rsid w:val="00AD192C"/>
    <w:rPr>
      <w:rFonts w:ascii="Calibri" w:hAnsi="Calibri"/>
      <w:bCs/>
      <w:lang w:val="es-CO"/>
    </w:rPr>
  </w:style>
  <w:style w:type="character" w:styleId="EndnoteReference">
    <w:name w:val="endnote reference"/>
    <w:basedOn w:val="DefaultParagraphFont"/>
    <w:rsid w:val="00AD192C"/>
    <w:rPr>
      <w:vertAlign w:val="superscript"/>
    </w:rPr>
  </w:style>
  <w:style w:type="paragraph" w:styleId="DocumentMap">
    <w:name w:val="Document Map"/>
    <w:basedOn w:val="Normal"/>
    <w:link w:val="DocumentMapChar"/>
    <w:rsid w:val="00833FE5"/>
    <w:rPr>
      <w:rFonts w:ascii="Tahoma" w:hAnsi="Tahoma" w:cs="Tahoma"/>
      <w:sz w:val="16"/>
      <w:szCs w:val="16"/>
    </w:rPr>
  </w:style>
  <w:style w:type="character" w:customStyle="1" w:styleId="DocumentMapChar">
    <w:name w:val="Document Map Char"/>
    <w:basedOn w:val="DefaultParagraphFont"/>
    <w:link w:val="DocumentMap"/>
    <w:rsid w:val="00833FE5"/>
    <w:rPr>
      <w:rFonts w:ascii="Tahoma" w:hAnsi="Tahoma" w:cs="Tahoma"/>
      <w:bCs/>
      <w:sz w:val="16"/>
      <w:szCs w:val="16"/>
      <w:lang w:val="es-CO"/>
    </w:rPr>
  </w:style>
  <w:style w:type="character" w:styleId="Emphasis">
    <w:name w:val="Emphasis"/>
    <w:basedOn w:val="DefaultParagraphFont"/>
    <w:qFormat/>
    <w:rsid w:val="00236360"/>
    <w:rPr>
      <w:i/>
      <w:iCs/>
    </w:rPr>
  </w:style>
  <w:style w:type="paragraph" w:styleId="ListParagraph">
    <w:name w:val="List Paragraph"/>
    <w:basedOn w:val="Normal"/>
    <w:uiPriority w:val="34"/>
    <w:qFormat/>
    <w:rsid w:val="008C16C2"/>
    <w:pPr>
      <w:spacing w:after="200" w:line="276" w:lineRule="auto"/>
      <w:ind w:left="720"/>
      <w:contextualSpacing/>
    </w:pPr>
    <w:rPr>
      <w:rFonts w:eastAsia="Calibri"/>
      <w:bCs w:val="0"/>
      <w:szCs w:val="22"/>
      <w:lang w:val="es-ES" w:eastAsia="en-US"/>
    </w:rPr>
  </w:style>
  <w:style w:type="paragraph" w:customStyle="1" w:styleId="Basetablaofigura">
    <w:name w:val="Base tabla o figura"/>
    <w:basedOn w:val="Normal"/>
    <w:autoRedefine/>
    <w:qFormat/>
    <w:rsid w:val="00FD0636"/>
    <w:pPr>
      <w:contextualSpacing/>
    </w:pPr>
    <w:rPr>
      <w:sz w:val="18"/>
    </w:rPr>
  </w:style>
  <w:style w:type="paragraph" w:customStyle="1" w:styleId="Piedetabla-grfico">
    <w:name w:val="Pie de tabla-gráfico"/>
    <w:basedOn w:val="Normal"/>
    <w:autoRedefine/>
    <w:qFormat/>
    <w:rsid w:val="00817946"/>
    <w:pPr>
      <w:tabs>
        <w:tab w:val="left" w:pos="1515"/>
      </w:tabs>
    </w:pPr>
    <w:rPr>
      <w:sz w:val="18"/>
    </w:rPr>
  </w:style>
  <w:style w:type="character" w:customStyle="1" w:styleId="HeaderChar">
    <w:name w:val="Header Char"/>
    <w:basedOn w:val="DefaultParagraphFont"/>
    <w:link w:val="Header"/>
    <w:uiPriority w:val="99"/>
    <w:rsid w:val="00E039CB"/>
    <w:rPr>
      <w:rFonts w:ascii="Calibri" w:hAnsi="Calibri"/>
      <w:bCs/>
      <w:sz w:val="22"/>
      <w:szCs w:val="32"/>
      <w:lang w:val="es-CO"/>
    </w:rPr>
  </w:style>
  <w:style w:type="paragraph" w:styleId="TOC5">
    <w:name w:val="toc 5"/>
    <w:basedOn w:val="Normal"/>
    <w:next w:val="Normal"/>
    <w:autoRedefine/>
    <w:rsid w:val="00D27713"/>
    <w:pPr>
      <w:spacing w:after="0"/>
      <w:ind w:left="880"/>
      <w:jc w:val="left"/>
    </w:pPr>
    <w:rPr>
      <w:rFonts w:asciiTheme="minorHAnsi" w:hAnsiTheme="minorHAnsi" w:cstheme="minorHAnsi"/>
      <w:bCs w:val="0"/>
      <w:sz w:val="18"/>
      <w:szCs w:val="18"/>
    </w:rPr>
  </w:style>
  <w:style w:type="paragraph" w:styleId="TOC6">
    <w:name w:val="toc 6"/>
    <w:basedOn w:val="Normal"/>
    <w:next w:val="Normal"/>
    <w:autoRedefine/>
    <w:rsid w:val="00D27713"/>
    <w:pPr>
      <w:spacing w:after="0"/>
      <w:ind w:left="1100"/>
      <w:jc w:val="left"/>
    </w:pPr>
    <w:rPr>
      <w:rFonts w:asciiTheme="minorHAnsi" w:hAnsiTheme="minorHAnsi" w:cstheme="minorHAnsi"/>
      <w:bCs w:val="0"/>
      <w:sz w:val="18"/>
      <w:szCs w:val="18"/>
    </w:rPr>
  </w:style>
  <w:style w:type="paragraph" w:styleId="TOC7">
    <w:name w:val="toc 7"/>
    <w:basedOn w:val="Normal"/>
    <w:next w:val="Normal"/>
    <w:autoRedefine/>
    <w:rsid w:val="00D27713"/>
    <w:pPr>
      <w:spacing w:after="0"/>
      <w:ind w:left="1320"/>
      <w:jc w:val="left"/>
    </w:pPr>
    <w:rPr>
      <w:rFonts w:asciiTheme="minorHAnsi" w:hAnsiTheme="minorHAnsi" w:cstheme="minorHAnsi"/>
      <w:bCs w:val="0"/>
      <w:sz w:val="18"/>
      <w:szCs w:val="18"/>
    </w:rPr>
  </w:style>
  <w:style w:type="paragraph" w:styleId="TOC8">
    <w:name w:val="toc 8"/>
    <w:basedOn w:val="Normal"/>
    <w:next w:val="Normal"/>
    <w:autoRedefine/>
    <w:rsid w:val="00D27713"/>
    <w:pPr>
      <w:spacing w:after="0"/>
      <w:ind w:left="1540"/>
      <w:jc w:val="left"/>
    </w:pPr>
    <w:rPr>
      <w:rFonts w:asciiTheme="minorHAnsi" w:hAnsiTheme="minorHAnsi" w:cstheme="minorHAnsi"/>
      <w:bCs w:val="0"/>
      <w:sz w:val="18"/>
      <w:szCs w:val="18"/>
    </w:rPr>
  </w:style>
  <w:style w:type="paragraph" w:styleId="TOC9">
    <w:name w:val="toc 9"/>
    <w:basedOn w:val="Normal"/>
    <w:next w:val="Normal"/>
    <w:autoRedefine/>
    <w:rsid w:val="00D27713"/>
    <w:pPr>
      <w:spacing w:after="0"/>
      <w:ind w:left="1760"/>
      <w:jc w:val="left"/>
    </w:pPr>
    <w:rPr>
      <w:rFonts w:asciiTheme="minorHAnsi" w:hAnsiTheme="minorHAnsi" w:cstheme="minorHAnsi"/>
      <w:bCs w:val="0"/>
      <w:sz w:val="18"/>
      <w:szCs w:val="18"/>
    </w:rPr>
  </w:style>
</w:styles>
</file>

<file path=word/webSettings.xml><?xml version="1.0" encoding="utf-8"?>
<w:webSettings xmlns:r="http://schemas.openxmlformats.org/officeDocument/2006/relationships" xmlns:w="http://schemas.openxmlformats.org/wordprocessingml/2006/main">
  <w:divs>
    <w:div w:id="23949496">
      <w:bodyDiv w:val="1"/>
      <w:marLeft w:val="0"/>
      <w:marRight w:val="0"/>
      <w:marTop w:val="0"/>
      <w:marBottom w:val="0"/>
      <w:divBdr>
        <w:top w:val="none" w:sz="0" w:space="0" w:color="auto"/>
        <w:left w:val="none" w:sz="0" w:space="0" w:color="auto"/>
        <w:bottom w:val="none" w:sz="0" w:space="0" w:color="auto"/>
        <w:right w:val="none" w:sz="0" w:space="0" w:color="auto"/>
      </w:divBdr>
    </w:div>
    <w:div w:id="39718480">
      <w:bodyDiv w:val="1"/>
      <w:marLeft w:val="0"/>
      <w:marRight w:val="0"/>
      <w:marTop w:val="0"/>
      <w:marBottom w:val="0"/>
      <w:divBdr>
        <w:top w:val="none" w:sz="0" w:space="0" w:color="auto"/>
        <w:left w:val="none" w:sz="0" w:space="0" w:color="auto"/>
        <w:bottom w:val="none" w:sz="0" w:space="0" w:color="auto"/>
        <w:right w:val="none" w:sz="0" w:space="0" w:color="auto"/>
      </w:divBdr>
    </w:div>
    <w:div w:id="58408772">
      <w:bodyDiv w:val="1"/>
      <w:marLeft w:val="0"/>
      <w:marRight w:val="0"/>
      <w:marTop w:val="0"/>
      <w:marBottom w:val="0"/>
      <w:divBdr>
        <w:top w:val="none" w:sz="0" w:space="0" w:color="auto"/>
        <w:left w:val="none" w:sz="0" w:space="0" w:color="auto"/>
        <w:bottom w:val="none" w:sz="0" w:space="0" w:color="auto"/>
        <w:right w:val="none" w:sz="0" w:space="0" w:color="auto"/>
      </w:divBdr>
    </w:div>
    <w:div w:id="78599347">
      <w:bodyDiv w:val="1"/>
      <w:marLeft w:val="0"/>
      <w:marRight w:val="0"/>
      <w:marTop w:val="0"/>
      <w:marBottom w:val="0"/>
      <w:divBdr>
        <w:top w:val="none" w:sz="0" w:space="0" w:color="auto"/>
        <w:left w:val="none" w:sz="0" w:space="0" w:color="auto"/>
        <w:bottom w:val="none" w:sz="0" w:space="0" w:color="auto"/>
        <w:right w:val="none" w:sz="0" w:space="0" w:color="auto"/>
      </w:divBdr>
    </w:div>
    <w:div w:id="79178816">
      <w:bodyDiv w:val="1"/>
      <w:marLeft w:val="0"/>
      <w:marRight w:val="0"/>
      <w:marTop w:val="0"/>
      <w:marBottom w:val="0"/>
      <w:divBdr>
        <w:top w:val="none" w:sz="0" w:space="0" w:color="auto"/>
        <w:left w:val="none" w:sz="0" w:space="0" w:color="auto"/>
        <w:bottom w:val="none" w:sz="0" w:space="0" w:color="auto"/>
        <w:right w:val="none" w:sz="0" w:space="0" w:color="auto"/>
      </w:divBdr>
    </w:div>
    <w:div w:id="181624658">
      <w:bodyDiv w:val="1"/>
      <w:marLeft w:val="0"/>
      <w:marRight w:val="0"/>
      <w:marTop w:val="0"/>
      <w:marBottom w:val="0"/>
      <w:divBdr>
        <w:top w:val="none" w:sz="0" w:space="0" w:color="auto"/>
        <w:left w:val="none" w:sz="0" w:space="0" w:color="auto"/>
        <w:bottom w:val="none" w:sz="0" w:space="0" w:color="auto"/>
        <w:right w:val="none" w:sz="0" w:space="0" w:color="auto"/>
      </w:divBdr>
    </w:div>
    <w:div w:id="194074989">
      <w:bodyDiv w:val="1"/>
      <w:marLeft w:val="0"/>
      <w:marRight w:val="0"/>
      <w:marTop w:val="0"/>
      <w:marBottom w:val="0"/>
      <w:divBdr>
        <w:top w:val="none" w:sz="0" w:space="0" w:color="auto"/>
        <w:left w:val="none" w:sz="0" w:space="0" w:color="auto"/>
        <w:bottom w:val="none" w:sz="0" w:space="0" w:color="auto"/>
        <w:right w:val="none" w:sz="0" w:space="0" w:color="auto"/>
      </w:divBdr>
    </w:div>
    <w:div w:id="265579711">
      <w:bodyDiv w:val="1"/>
      <w:marLeft w:val="0"/>
      <w:marRight w:val="0"/>
      <w:marTop w:val="0"/>
      <w:marBottom w:val="0"/>
      <w:divBdr>
        <w:top w:val="none" w:sz="0" w:space="0" w:color="auto"/>
        <w:left w:val="none" w:sz="0" w:space="0" w:color="auto"/>
        <w:bottom w:val="none" w:sz="0" w:space="0" w:color="auto"/>
        <w:right w:val="none" w:sz="0" w:space="0" w:color="auto"/>
      </w:divBdr>
    </w:div>
    <w:div w:id="283659204">
      <w:bodyDiv w:val="1"/>
      <w:marLeft w:val="0"/>
      <w:marRight w:val="0"/>
      <w:marTop w:val="0"/>
      <w:marBottom w:val="0"/>
      <w:divBdr>
        <w:top w:val="none" w:sz="0" w:space="0" w:color="auto"/>
        <w:left w:val="none" w:sz="0" w:space="0" w:color="auto"/>
        <w:bottom w:val="none" w:sz="0" w:space="0" w:color="auto"/>
        <w:right w:val="none" w:sz="0" w:space="0" w:color="auto"/>
      </w:divBdr>
    </w:div>
    <w:div w:id="283846844">
      <w:bodyDiv w:val="1"/>
      <w:marLeft w:val="0"/>
      <w:marRight w:val="0"/>
      <w:marTop w:val="0"/>
      <w:marBottom w:val="0"/>
      <w:divBdr>
        <w:top w:val="none" w:sz="0" w:space="0" w:color="auto"/>
        <w:left w:val="none" w:sz="0" w:space="0" w:color="auto"/>
        <w:bottom w:val="none" w:sz="0" w:space="0" w:color="auto"/>
        <w:right w:val="none" w:sz="0" w:space="0" w:color="auto"/>
      </w:divBdr>
    </w:div>
    <w:div w:id="322197886">
      <w:bodyDiv w:val="1"/>
      <w:marLeft w:val="0"/>
      <w:marRight w:val="0"/>
      <w:marTop w:val="0"/>
      <w:marBottom w:val="0"/>
      <w:divBdr>
        <w:top w:val="none" w:sz="0" w:space="0" w:color="auto"/>
        <w:left w:val="none" w:sz="0" w:space="0" w:color="auto"/>
        <w:bottom w:val="none" w:sz="0" w:space="0" w:color="auto"/>
        <w:right w:val="none" w:sz="0" w:space="0" w:color="auto"/>
      </w:divBdr>
    </w:div>
    <w:div w:id="323170350">
      <w:bodyDiv w:val="1"/>
      <w:marLeft w:val="0"/>
      <w:marRight w:val="0"/>
      <w:marTop w:val="0"/>
      <w:marBottom w:val="0"/>
      <w:divBdr>
        <w:top w:val="none" w:sz="0" w:space="0" w:color="auto"/>
        <w:left w:val="none" w:sz="0" w:space="0" w:color="auto"/>
        <w:bottom w:val="none" w:sz="0" w:space="0" w:color="auto"/>
        <w:right w:val="none" w:sz="0" w:space="0" w:color="auto"/>
      </w:divBdr>
    </w:div>
    <w:div w:id="332226138">
      <w:bodyDiv w:val="1"/>
      <w:marLeft w:val="0"/>
      <w:marRight w:val="0"/>
      <w:marTop w:val="0"/>
      <w:marBottom w:val="0"/>
      <w:divBdr>
        <w:top w:val="none" w:sz="0" w:space="0" w:color="auto"/>
        <w:left w:val="none" w:sz="0" w:space="0" w:color="auto"/>
        <w:bottom w:val="none" w:sz="0" w:space="0" w:color="auto"/>
        <w:right w:val="none" w:sz="0" w:space="0" w:color="auto"/>
      </w:divBdr>
    </w:div>
    <w:div w:id="351150999">
      <w:bodyDiv w:val="1"/>
      <w:marLeft w:val="0"/>
      <w:marRight w:val="0"/>
      <w:marTop w:val="0"/>
      <w:marBottom w:val="0"/>
      <w:divBdr>
        <w:top w:val="none" w:sz="0" w:space="0" w:color="auto"/>
        <w:left w:val="none" w:sz="0" w:space="0" w:color="auto"/>
        <w:bottom w:val="none" w:sz="0" w:space="0" w:color="auto"/>
        <w:right w:val="none" w:sz="0" w:space="0" w:color="auto"/>
      </w:divBdr>
    </w:div>
    <w:div w:id="445122252">
      <w:bodyDiv w:val="1"/>
      <w:marLeft w:val="0"/>
      <w:marRight w:val="0"/>
      <w:marTop w:val="0"/>
      <w:marBottom w:val="0"/>
      <w:divBdr>
        <w:top w:val="none" w:sz="0" w:space="0" w:color="auto"/>
        <w:left w:val="none" w:sz="0" w:space="0" w:color="auto"/>
        <w:bottom w:val="none" w:sz="0" w:space="0" w:color="auto"/>
        <w:right w:val="none" w:sz="0" w:space="0" w:color="auto"/>
      </w:divBdr>
    </w:div>
    <w:div w:id="457376595">
      <w:bodyDiv w:val="1"/>
      <w:marLeft w:val="0"/>
      <w:marRight w:val="0"/>
      <w:marTop w:val="0"/>
      <w:marBottom w:val="0"/>
      <w:divBdr>
        <w:top w:val="none" w:sz="0" w:space="0" w:color="auto"/>
        <w:left w:val="none" w:sz="0" w:space="0" w:color="auto"/>
        <w:bottom w:val="none" w:sz="0" w:space="0" w:color="auto"/>
        <w:right w:val="none" w:sz="0" w:space="0" w:color="auto"/>
      </w:divBdr>
    </w:div>
    <w:div w:id="476455191">
      <w:bodyDiv w:val="1"/>
      <w:marLeft w:val="0"/>
      <w:marRight w:val="0"/>
      <w:marTop w:val="0"/>
      <w:marBottom w:val="0"/>
      <w:divBdr>
        <w:top w:val="none" w:sz="0" w:space="0" w:color="auto"/>
        <w:left w:val="none" w:sz="0" w:space="0" w:color="auto"/>
        <w:bottom w:val="none" w:sz="0" w:space="0" w:color="auto"/>
        <w:right w:val="none" w:sz="0" w:space="0" w:color="auto"/>
      </w:divBdr>
    </w:div>
    <w:div w:id="490947645">
      <w:bodyDiv w:val="1"/>
      <w:marLeft w:val="0"/>
      <w:marRight w:val="0"/>
      <w:marTop w:val="0"/>
      <w:marBottom w:val="0"/>
      <w:divBdr>
        <w:top w:val="none" w:sz="0" w:space="0" w:color="auto"/>
        <w:left w:val="none" w:sz="0" w:space="0" w:color="auto"/>
        <w:bottom w:val="none" w:sz="0" w:space="0" w:color="auto"/>
        <w:right w:val="none" w:sz="0" w:space="0" w:color="auto"/>
      </w:divBdr>
    </w:div>
    <w:div w:id="496388872">
      <w:bodyDiv w:val="1"/>
      <w:marLeft w:val="0"/>
      <w:marRight w:val="0"/>
      <w:marTop w:val="0"/>
      <w:marBottom w:val="0"/>
      <w:divBdr>
        <w:top w:val="none" w:sz="0" w:space="0" w:color="auto"/>
        <w:left w:val="none" w:sz="0" w:space="0" w:color="auto"/>
        <w:bottom w:val="none" w:sz="0" w:space="0" w:color="auto"/>
        <w:right w:val="none" w:sz="0" w:space="0" w:color="auto"/>
      </w:divBdr>
    </w:div>
    <w:div w:id="507446629">
      <w:bodyDiv w:val="1"/>
      <w:marLeft w:val="0"/>
      <w:marRight w:val="0"/>
      <w:marTop w:val="0"/>
      <w:marBottom w:val="0"/>
      <w:divBdr>
        <w:top w:val="none" w:sz="0" w:space="0" w:color="auto"/>
        <w:left w:val="none" w:sz="0" w:space="0" w:color="auto"/>
        <w:bottom w:val="none" w:sz="0" w:space="0" w:color="auto"/>
        <w:right w:val="none" w:sz="0" w:space="0" w:color="auto"/>
      </w:divBdr>
    </w:div>
    <w:div w:id="522476305">
      <w:bodyDiv w:val="1"/>
      <w:marLeft w:val="0"/>
      <w:marRight w:val="0"/>
      <w:marTop w:val="0"/>
      <w:marBottom w:val="0"/>
      <w:divBdr>
        <w:top w:val="none" w:sz="0" w:space="0" w:color="auto"/>
        <w:left w:val="none" w:sz="0" w:space="0" w:color="auto"/>
        <w:bottom w:val="none" w:sz="0" w:space="0" w:color="auto"/>
        <w:right w:val="none" w:sz="0" w:space="0" w:color="auto"/>
      </w:divBdr>
    </w:div>
    <w:div w:id="578321444">
      <w:bodyDiv w:val="1"/>
      <w:marLeft w:val="0"/>
      <w:marRight w:val="0"/>
      <w:marTop w:val="0"/>
      <w:marBottom w:val="0"/>
      <w:divBdr>
        <w:top w:val="none" w:sz="0" w:space="0" w:color="auto"/>
        <w:left w:val="none" w:sz="0" w:space="0" w:color="auto"/>
        <w:bottom w:val="none" w:sz="0" w:space="0" w:color="auto"/>
        <w:right w:val="none" w:sz="0" w:space="0" w:color="auto"/>
      </w:divBdr>
    </w:div>
    <w:div w:id="583807096">
      <w:bodyDiv w:val="1"/>
      <w:marLeft w:val="0"/>
      <w:marRight w:val="0"/>
      <w:marTop w:val="0"/>
      <w:marBottom w:val="0"/>
      <w:divBdr>
        <w:top w:val="none" w:sz="0" w:space="0" w:color="auto"/>
        <w:left w:val="none" w:sz="0" w:space="0" w:color="auto"/>
        <w:bottom w:val="none" w:sz="0" w:space="0" w:color="auto"/>
        <w:right w:val="none" w:sz="0" w:space="0" w:color="auto"/>
      </w:divBdr>
    </w:div>
    <w:div w:id="641888854">
      <w:bodyDiv w:val="1"/>
      <w:marLeft w:val="0"/>
      <w:marRight w:val="0"/>
      <w:marTop w:val="0"/>
      <w:marBottom w:val="0"/>
      <w:divBdr>
        <w:top w:val="none" w:sz="0" w:space="0" w:color="auto"/>
        <w:left w:val="none" w:sz="0" w:space="0" w:color="auto"/>
        <w:bottom w:val="none" w:sz="0" w:space="0" w:color="auto"/>
        <w:right w:val="none" w:sz="0" w:space="0" w:color="auto"/>
      </w:divBdr>
    </w:div>
    <w:div w:id="664092197">
      <w:bodyDiv w:val="1"/>
      <w:marLeft w:val="0"/>
      <w:marRight w:val="0"/>
      <w:marTop w:val="0"/>
      <w:marBottom w:val="0"/>
      <w:divBdr>
        <w:top w:val="none" w:sz="0" w:space="0" w:color="auto"/>
        <w:left w:val="none" w:sz="0" w:space="0" w:color="auto"/>
        <w:bottom w:val="none" w:sz="0" w:space="0" w:color="auto"/>
        <w:right w:val="none" w:sz="0" w:space="0" w:color="auto"/>
      </w:divBdr>
    </w:div>
    <w:div w:id="673339908">
      <w:bodyDiv w:val="1"/>
      <w:marLeft w:val="0"/>
      <w:marRight w:val="0"/>
      <w:marTop w:val="0"/>
      <w:marBottom w:val="0"/>
      <w:divBdr>
        <w:top w:val="none" w:sz="0" w:space="0" w:color="auto"/>
        <w:left w:val="none" w:sz="0" w:space="0" w:color="auto"/>
        <w:bottom w:val="none" w:sz="0" w:space="0" w:color="auto"/>
        <w:right w:val="none" w:sz="0" w:space="0" w:color="auto"/>
      </w:divBdr>
    </w:div>
    <w:div w:id="692222749">
      <w:bodyDiv w:val="1"/>
      <w:marLeft w:val="0"/>
      <w:marRight w:val="0"/>
      <w:marTop w:val="0"/>
      <w:marBottom w:val="0"/>
      <w:divBdr>
        <w:top w:val="none" w:sz="0" w:space="0" w:color="auto"/>
        <w:left w:val="none" w:sz="0" w:space="0" w:color="auto"/>
        <w:bottom w:val="none" w:sz="0" w:space="0" w:color="auto"/>
        <w:right w:val="none" w:sz="0" w:space="0" w:color="auto"/>
      </w:divBdr>
    </w:div>
    <w:div w:id="744953577">
      <w:bodyDiv w:val="1"/>
      <w:marLeft w:val="0"/>
      <w:marRight w:val="0"/>
      <w:marTop w:val="0"/>
      <w:marBottom w:val="0"/>
      <w:divBdr>
        <w:top w:val="none" w:sz="0" w:space="0" w:color="auto"/>
        <w:left w:val="none" w:sz="0" w:space="0" w:color="auto"/>
        <w:bottom w:val="none" w:sz="0" w:space="0" w:color="auto"/>
        <w:right w:val="none" w:sz="0" w:space="0" w:color="auto"/>
      </w:divBdr>
    </w:div>
    <w:div w:id="767501732">
      <w:bodyDiv w:val="1"/>
      <w:marLeft w:val="0"/>
      <w:marRight w:val="0"/>
      <w:marTop w:val="0"/>
      <w:marBottom w:val="0"/>
      <w:divBdr>
        <w:top w:val="none" w:sz="0" w:space="0" w:color="auto"/>
        <w:left w:val="none" w:sz="0" w:space="0" w:color="auto"/>
        <w:bottom w:val="none" w:sz="0" w:space="0" w:color="auto"/>
        <w:right w:val="none" w:sz="0" w:space="0" w:color="auto"/>
      </w:divBdr>
    </w:div>
    <w:div w:id="774713637">
      <w:bodyDiv w:val="1"/>
      <w:marLeft w:val="0"/>
      <w:marRight w:val="0"/>
      <w:marTop w:val="0"/>
      <w:marBottom w:val="0"/>
      <w:divBdr>
        <w:top w:val="none" w:sz="0" w:space="0" w:color="auto"/>
        <w:left w:val="none" w:sz="0" w:space="0" w:color="auto"/>
        <w:bottom w:val="none" w:sz="0" w:space="0" w:color="auto"/>
        <w:right w:val="none" w:sz="0" w:space="0" w:color="auto"/>
      </w:divBdr>
    </w:div>
    <w:div w:id="783769669">
      <w:bodyDiv w:val="1"/>
      <w:marLeft w:val="0"/>
      <w:marRight w:val="0"/>
      <w:marTop w:val="0"/>
      <w:marBottom w:val="0"/>
      <w:divBdr>
        <w:top w:val="none" w:sz="0" w:space="0" w:color="auto"/>
        <w:left w:val="none" w:sz="0" w:space="0" w:color="auto"/>
        <w:bottom w:val="none" w:sz="0" w:space="0" w:color="auto"/>
        <w:right w:val="none" w:sz="0" w:space="0" w:color="auto"/>
      </w:divBdr>
    </w:div>
    <w:div w:id="804127142">
      <w:bodyDiv w:val="1"/>
      <w:marLeft w:val="0"/>
      <w:marRight w:val="0"/>
      <w:marTop w:val="0"/>
      <w:marBottom w:val="0"/>
      <w:divBdr>
        <w:top w:val="none" w:sz="0" w:space="0" w:color="auto"/>
        <w:left w:val="none" w:sz="0" w:space="0" w:color="auto"/>
        <w:bottom w:val="none" w:sz="0" w:space="0" w:color="auto"/>
        <w:right w:val="none" w:sz="0" w:space="0" w:color="auto"/>
      </w:divBdr>
    </w:div>
    <w:div w:id="862674328">
      <w:bodyDiv w:val="1"/>
      <w:marLeft w:val="0"/>
      <w:marRight w:val="0"/>
      <w:marTop w:val="0"/>
      <w:marBottom w:val="0"/>
      <w:divBdr>
        <w:top w:val="none" w:sz="0" w:space="0" w:color="auto"/>
        <w:left w:val="none" w:sz="0" w:space="0" w:color="auto"/>
        <w:bottom w:val="none" w:sz="0" w:space="0" w:color="auto"/>
        <w:right w:val="none" w:sz="0" w:space="0" w:color="auto"/>
      </w:divBdr>
    </w:div>
    <w:div w:id="896404795">
      <w:bodyDiv w:val="1"/>
      <w:marLeft w:val="0"/>
      <w:marRight w:val="0"/>
      <w:marTop w:val="0"/>
      <w:marBottom w:val="0"/>
      <w:divBdr>
        <w:top w:val="none" w:sz="0" w:space="0" w:color="auto"/>
        <w:left w:val="none" w:sz="0" w:space="0" w:color="auto"/>
        <w:bottom w:val="none" w:sz="0" w:space="0" w:color="auto"/>
        <w:right w:val="none" w:sz="0" w:space="0" w:color="auto"/>
      </w:divBdr>
    </w:div>
    <w:div w:id="907961901">
      <w:bodyDiv w:val="1"/>
      <w:marLeft w:val="0"/>
      <w:marRight w:val="0"/>
      <w:marTop w:val="0"/>
      <w:marBottom w:val="0"/>
      <w:divBdr>
        <w:top w:val="none" w:sz="0" w:space="0" w:color="auto"/>
        <w:left w:val="none" w:sz="0" w:space="0" w:color="auto"/>
        <w:bottom w:val="none" w:sz="0" w:space="0" w:color="auto"/>
        <w:right w:val="none" w:sz="0" w:space="0" w:color="auto"/>
      </w:divBdr>
    </w:div>
    <w:div w:id="924344751">
      <w:bodyDiv w:val="1"/>
      <w:marLeft w:val="0"/>
      <w:marRight w:val="0"/>
      <w:marTop w:val="0"/>
      <w:marBottom w:val="0"/>
      <w:divBdr>
        <w:top w:val="none" w:sz="0" w:space="0" w:color="auto"/>
        <w:left w:val="none" w:sz="0" w:space="0" w:color="auto"/>
        <w:bottom w:val="none" w:sz="0" w:space="0" w:color="auto"/>
        <w:right w:val="none" w:sz="0" w:space="0" w:color="auto"/>
      </w:divBdr>
    </w:div>
    <w:div w:id="943922963">
      <w:bodyDiv w:val="1"/>
      <w:marLeft w:val="0"/>
      <w:marRight w:val="0"/>
      <w:marTop w:val="0"/>
      <w:marBottom w:val="0"/>
      <w:divBdr>
        <w:top w:val="none" w:sz="0" w:space="0" w:color="auto"/>
        <w:left w:val="none" w:sz="0" w:space="0" w:color="auto"/>
        <w:bottom w:val="none" w:sz="0" w:space="0" w:color="auto"/>
        <w:right w:val="none" w:sz="0" w:space="0" w:color="auto"/>
      </w:divBdr>
    </w:div>
    <w:div w:id="1020738417">
      <w:bodyDiv w:val="1"/>
      <w:marLeft w:val="0"/>
      <w:marRight w:val="0"/>
      <w:marTop w:val="0"/>
      <w:marBottom w:val="0"/>
      <w:divBdr>
        <w:top w:val="none" w:sz="0" w:space="0" w:color="auto"/>
        <w:left w:val="none" w:sz="0" w:space="0" w:color="auto"/>
        <w:bottom w:val="none" w:sz="0" w:space="0" w:color="auto"/>
        <w:right w:val="none" w:sz="0" w:space="0" w:color="auto"/>
      </w:divBdr>
    </w:div>
    <w:div w:id="1021904357">
      <w:bodyDiv w:val="1"/>
      <w:marLeft w:val="0"/>
      <w:marRight w:val="0"/>
      <w:marTop w:val="0"/>
      <w:marBottom w:val="0"/>
      <w:divBdr>
        <w:top w:val="none" w:sz="0" w:space="0" w:color="auto"/>
        <w:left w:val="none" w:sz="0" w:space="0" w:color="auto"/>
        <w:bottom w:val="none" w:sz="0" w:space="0" w:color="auto"/>
        <w:right w:val="none" w:sz="0" w:space="0" w:color="auto"/>
      </w:divBdr>
    </w:div>
    <w:div w:id="1027751321">
      <w:bodyDiv w:val="1"/>
      <w:marLeft w:val="0"/>
      <w:marRight w:val="0"/>
      <w:marTop w:val="0"/>
      <w:marBottom w:val="0"/>
      <w:divBdr>
        <w:top w:val="none" w:sz="0" w:space="0" w:color="auto"/>
        <w:left w:val="none" w:sz="0" w:space="0" w:color="auto"/>
        <w:bottom w:val="none" w:sz="0" w:space="0" w:color="auto"/>
        <w:right w:val="none" w:sz="0" w:space="0" w:color="auto"/>
      </w:divBdr>
    </w:div>
    <w:div w:id="1079254041">
      <w:bodyDiv w:val="1"/>
      <w:marLeft w:val="0"/>
      <w:marRight w:val="0"/>
      <w:marTop w:val="0"/>
      <w:marBottom w:val="0"/>
      <w:divBdr>
        <w:top w:val="none" w:sz="0" w:space="0" w:color="auto"/>
        <w:left w:val="none" w:sz="0" w:space="0" w:color="auto"/>
        <w:bottom w:val="none" w:sz="0" w:space="0" w:color="auto"/>
        <w:right w:val="none" w:sz="0" w:space="0" w:color="auto"/>
      </w:divBdr>
    </w:div>
    <w:div w:id="1112091180">
      <w:bodyDiv w:val="1"/>
      <w:marLeft w:val="0"/>
      <w:marRight w:val="0"/>
      <w:marTop w:val="0"/>
      <w:marBottom w:val="0"/>
      <w:divBdr>
        <w:top w:val="none" w:sz="0" w:space="0" w:color="auto"/>
        <w:left w:val="none" w:sz="0" w:space="0" w:color="auto"/>
        <w:bottom w:val="none" w:sz="0" w:space="0" w:color="auto"/>
        <w:right w:val="none" w:sz="0" w:space="0" w:color="auto"/>
      </w:divBdr>
    </w:div>
    <w:div w:id="1116560467">
      <w:bodyDiv w:val="1"/>
      <w:marLeft w:val="0"/>
      <w:marRight w:val="0"/>
      <w:marTop w:val="0"/>
      <w:marBottom w:val="0"/>
      <w:divBdr>
        <w:top w:val="none" w:sz="0" w:space="0" w:color="auto"/>
        <w:left w:val="none" w:sz="0" w:space="0" w:color="auto"/>
        <w:bottom w:val="none" w:sz="0" w:space="0" w:color="auto"/>
        <w:right w:val="none" w:sz="0" w:space="0" w:color="auto"/>
      </w:divBdr>
    </w:div>
    <w:div w:id="1161314092">
      <w:bodyDiv w:val="1"/>
      <w:marLeft w:val="0"/>
      <w:marRight w:val="0"/>
      <w:marTop w:val="0"/>
      <w:marBottom w:val="0"/>
      <w:divBdr>
        <w:top w:val="none" w:sz="0" w:space="0" w:color="auto"/>
        <w:left w:val="none" w:sz="0" w:space="0" w:color="auto"/>
        <w:bottom w:val="none" w:sz="0" w:space="0" w:color="auto"/>
        <w:right w:val="none" w:sz="0" w:space="0" w:color="auto"/>
      </w:divBdr>
    </w:div>
    <w:div w:id="1184245107">
      <w:bodyDiv w:val="1"/>
      <w:marLeft w:val="0"/>
      <w:marRight w:val="0"/>
      <w:marTop w:val="0"/>
      <w:marBottom w:val="0"/>
      <w:divBdr>
        <w:top w:val="none" w:sz="0" w:space="0" w:color="auto"/>
        <w:left w:val="none" w:sz="0" w:space="0" w:color="auto"/>
        <w:bottom w:val="none" w:sz="0" w:space="0" w:color="auto"/>
        <w:right w:val="none" w:sz="0" w:space="0" w:color="auto"/>
      </w:divBdr>
    </w:div>
    <w:div w:id="1199511308">
      <w:bodyDiv w:val="1"/>
      <w:marLeft w:val="0"/>
      <w:marRight w:val="0"/>
      <w:marTop w:val="0"/>
      <w:marBottom w:val="0"/>
      <w:divBdr>
        <w:top w:val="none" w:sz="0" w:space="0" w:color="auto"/>
        <w:left w:val="none" w:sz="0" w:space="0" w:color="auto"/>
        <w:bottom w:val="none" w:sz="0" w:space="0" w:color="auto"/>
        <w:right w:val="none" w:sz="0" w:space="0" w:color="auto"/>
      </w:divBdr>
    </w:div>
    <w:div w:id="1303727153">
      <w:bodyDiv w:val="1"/>
      <w:marLeft w:val="0"/>
      <w:marRight w:val="0"/>
      <w:marTop w:val="0"/>
      <w:marBottom w:val="0"/>
      <w:divBdr>
        <w:top w:val="none" w:sz="0" w:space="0" w:color="auto"/>
        <w:left w:val="none" w:sz="0" w:space="0" w:color="auto"/>
        <w:bottom w:val="none" w:sz="0" w:space="0" w:color="auto"/>
        <w:right w:val="none" w:sz="0" w:space="0" w:color="auto"/>
      </w:divBdr>
    </w:div>
    <w:div w:id="1360275283">
      <w:bodyDiv w:val="1"/>
      <w:marLeft w:val="0"/>
      <w:marRight w:val="0"/>
      <w:marTop w:val="0"/>
      <w:marBottom w:val="0"/>
      <w:divBdr>
        <w:top w:val="none" w:sz="0" w:space="0" w:color="auto"/>
        <w:left w:val="none" w:sz="0" w:space="0" w:color="auto"/>
        <w:bottom w:val="none" w:sz="0" w:space="0" w:color="auto"/>
        <w:right w:val="none" w:sz="0" w:space="0" w:color="auto"/>
      </w:divBdr>
    </w:div>
    <w:div w:id="1361004416">
      <w:bodyDiv w:val="1"/>
      <w:marLeft w:val="0"/>
      <w:marRight w:val="0"/>
      <w:marTop w:val="0"/>
      <w:marBottom w:val="0"/>
      <w:divBdr>
        <w:top w:val="none" w:sz="0" w:space="0" w:color="auto"/>
        <w:left w:val="none" w:sz="0" w:space="0" w:color="auto"/>
        <w:bottom w:val="none" w:sz="0" w:space="0" w:color="auto"/>
        <w:right w:val="none" w:sz="0" w:space="0" w:color="auto"/>
      </w:divBdr>
    </w:div>
    <w:div w:id="1388843056">
      <w:bodyDiv w:val="1"/>
      <w:marLeft w:val="0"/>
      <w:marRight w:val="0"/>
      <w:marTop w:val="0"/>
      <w:marBottom w:val="0"/>
      <w:divBdr>
        <w:top w:val="none" w:sz="0" w:space="0" w:color="auto"/>
        <w:left w:val="none" w:sz="0" w:space="0" w:color="auto"/>
        <w:bottom w:val="none" w:sz="0" w:space="0" w:color="auto"/>
        <w:right w:val="none" w:sz="0" w:space="0" w:color="auto"/>
      </w:divBdr>
    </w:div>
    <w:div w:id="1393232483">
      <w:bodyDiv w:val="1"/>
      <w:marLeft w:val="0"/>
      <w:marRight w:val="0"/>
      <w:marTop w:val="0"/>
      <w:marBottom w:val="0"/>
      <w:divBdr>
        <w:top w:val="none" w:sz="0" w:space="0" w:color="auto"/>
        <w:left w:val="none" w:sz="0" w:space="0" w:color="auto"/>
        <w:bottom w:val="none" w:sz="0" w:space="0" w:color="auto"/>
        <w:right w:val="none" w:sz="0" w:space="0" w:color="auto"/>
      </w:divBdr>
    </w:div>
    <w:div w:id="1412971562">
      <w:bodyDiv w:val="1"/>
      <w:marLeft w:val="0"/>
      <w:marRight w:val="0"/>
      <w:marTop w:val="0"/>
      <w:marBottom w:val="0"/>
      <w:divBdr>
        <w:top w:val="none" w:sz="0" w:space="0" w:color="auto"/>
        <w:left w:val="none" w:sz="0" w:space="0" w:color="auto"/>
        <w:bottom w:val="none" w:sz="0" w:space="0" w:color="auto"/>
        <w:right w:val="none" w:sz="0" w:space="0" w:color="auto"/>
      </w:divBdr>
    </w:div>
    <w:div w:id="1414007994">
      <w:bodyDiv w:val="1"/>
      <w:marLeft w:val="0"/>
      <w:marRight w:val="0"/>
      <w:marTop w:val="0"/>
      <w:marBottom w:val="0"/>
      <w:divBdr>
        <w:top w:val="none" w:sz="0" w:space="0" w:color="auto"/>
        <w:left w:val="none" w:sz="0" w:space="0" w:color="auto"/>
        <w:bottom w:val="none" w:sz="0" w:space="0" w:color="auto"/>
        <w:right w:val="none" w:sz="0" w:space="0" w:color="auto"/>
      </w:divBdr>
    </w:div>
    <w:div w:id="1434394977">
      <w:bodyDiv w:val="1"/>
      <w:marLeft w:val="0"/>
      <w:marRight w:val="0"/>
      <w:marTop w:val="0"/>
      <w:marBottom w:val="0"/>
      <w:divBdr>
        <w:top w:val="none" w:sz="0" w:space="0" w:color="auto"/>
        <w:left w:val="none" w:sz="0" w:space="0" w:color="auto"/>
        <w:bottom w:val="none" w:sz="0" w:space="0" w:color="auto"/>
        <w:right w:val="none" w:sz="0" w:space="0" w:color="auto"/>
      </w:divBdr>
    </w:div>
    <w:div w:id="1518303234">
      <w:bodyDiv w:val="1"/>
      <w:marLeft w:val="0"/>
      <w:marRight w:val="0"/>
      <w:marTop w:val="0"/>
      <w:marBottom w:val="0"/>
      <w:divBdr>
        <w:top w:val="none" w:sz="0" w:space="0" w:color="auto"/>
        <w:left w:val="none" w:sz="0" w:space="0" w:color="auto"/>
        <w:bottom w:val="none" w:sz="0" w:space="0" w:color="auto"/>
        <w:right w:val="none" w:sz="0" w:space="0" w:color="auto"/>
      </w:divBdr>
    </w:div>
    <w:div w:id="1524324695">
      <w:bodyDiv w:val="1"/>
      <w:marLeft w:val="0"/>
      <w:marRight w:val="0"/>
      <w:marTop w:val="0"/>
      <w:marBottom w:val="0"/>
      <w:divBdr>
        <w:top w:val="none" w:sz="0" w:space="0" w:color="auto"/>
        <w:left w:val="none" w:sz="0" w:space="0" w:color="auto"/>
        <w:bottom w:val="none" w:sz="0" w:space="0" w:color="auto"/>
        <w:right w:val="none" w:sz="0" w:space="0" w:color="auto"/>
      </w:divBdr>
    </w:div>
    <w:div w:id="1528710439">
      <w:bodyDiv w:val="1"/>
      <w:marLeft w:val="0"/>
      <w:marRight w:val="0"/>
      <w:marTop w:val="0"/>
      <w:marBottom w:val="0"/>
      <w:divBdr>
        <w:top w:val="none" w:sz="0" w:space="0" w:color="auto"/>
        <w:left w:val="none" w:sz="0" w:space="0" w:color="auto"/>
        <w:bottom w:val="none" w:sz="0" w:space="0" w:color="auto"/>
        <w:right w:val="none" w:sz="0" w:space="0" w:color="auto"/>
      </w:divBdr>
    </w:div>
    <w:div w:id="1534077440">
      <w:bodyDiv w:val="1"/>
      <w:marLeft w:val="0"/>
      <w:marRight w:val="0"/>
      <w:marTop w:val="0"/>
      <w:marBottom w:val="0"/>
      <w:divBdr>
        <w:top w:val="none" w:sz="0" w:space="0" w:color="auto"/>
        <w:left w:val="none" w:sz="0" w:space="0" w:color="auto"/>
        <w:bottom w:val="none" w:sz="0" w:space="0" w:color="auto"/>
        <w:right w:val="none" w:sz="0" w:space="0" w:color="auto"/>
      </w:divBdr>
    </w:div>
    <w:div w:id="1627813350">
      <w:bodyDiv w:val="1"/>
      <w:marLeft w:val="0"/>
      <w:marRight w:val="0"/>
      <w:marTop w:val="0"/>
      <w:marBottom w:val="0"/>
      <w:divBdr>
        <w:top w:val="none" w:sz="0" w:space="0" w:color="auto"/>
        <w:left w:val="none" w:sz="0" w:space="0" w:color="auto"/>
        <w:bottom w:val="none" w:sz="0" w:space="0" w:color="auto"/>
        <w:right w:val="none" w:sz="0" w:space="0" w:color="auto"/>
      </w:divBdr>
    </w:div>
    <w:div w:id="1657105919">
      <w:bodyDiv w:val="1"/>
      <w:marLeft w:val="0"/>
      <w:marRight w:val="0"/>
      <w:marTop w:val="0"/>
      <w:marBottom w:val="0"/>
      <w:divBdr>
        <w:top w:val="none" w:sz="0" w:space="0" w:color="auto"/>
        <w:left w:val="none" w:sz="0" w:space="0" w:color="auto"/>
        <w:bottom w:val="none" w:sz="0" w:space="0" w:color="auto"/>
        <w:right w:val="none" w:sz="0" w:space="0" w:color="auto"/>
      </w:divBdr>
    </w:div>
    <w:div w:id="1687558601">
      <w:bodyDiv w:val="1"/>
      <w:marLeft w:val="0"/>
      <w:marRight w:val="0"/>
      <w:marTop w:val="0"/>
      <w:marBottom w:val="0"/>
      <w:divBdr>
        <w:top w:val="none" w:sz="0" w:space="0" w:color="auto"/>
        <w:left w:val="none" w:sz="0" w:space="0" w:color="auto"/>
        <w:bottom w:val="none" w:sz="0" w:space="0" w:color="auto"/>
        <w:right w:val="none" w:sz="0" w:space="0" w:color="auto"/>
      </w:divBdr>
    </w:div>
    <w:div w:id="1710836318">
      <w:bodyDiv w:val="1"/>
      <w:marLeft w:val="0"/>
      <w:marRight w:val="0"/>
      <w:marTop w:val="0"/>
      <w:marBottom w:val="0"/>
      <w:divBdr>
        <w:top w:val="none" w:sz="0" w:space="0" w:color="auto"/>
        <w:left w:val="none" w:sz="0" w:space="0" w:color="auto"/>
        <w:bottom w:val="none" w:sz="0" w:space="0" w:color="auto"/>
        <w:right w:val="none" w:sz="0" w:space="0" w:color="auto"/>
      </w:divBdr>
    </w:div>
    <w:div w:id="1839222885">
      <w:bodyDiv w:val="1"/>
      <w:marLeft w:val="0"/>
      <w:marRight w:val="0"/>
      <w:marTop w:val="0"/>
      <w:marBottom w:val="0"/>
      <w:divBdr>
        <w:top w:val="none" w:sz="0" w:space="0" w:color="auto"/>
        <w:left w:val="none" w:sz="0" w:space="0" w:color="auto"/>
        <w:bottom w:val="none" w:sz="0" w:space="0" w:color="auto"/>
        <w:right w:val="none" w:sz="0" w:space="0" w:color="auto"/>
      </w:divBdr>
    </w:div>
    <w:div w:id="1850675724">
      <w:bodyDiv w:val="1"/>
      <w:marLeft w:val="0"/>
      <w:marRight w:val="0"/>
      <w:marTop w:val="0"/>
      <w:marBottom w:val="0"/>
      <w:divBdr>
        <w:top w:val="none" w:sz="0" w:space="0" w:color="auto"/>
        <w:left w:val="none" w:sz="0" w:space="0" w:color="auto"/>
        <w:bottom w:val="none" w:sz="0" w:space="0" w:color="auto"/>
        <w:right w:val="none" w:sz="0" w:space="0" w:color="auto"/>
      </w:divBdr>
    </w:div>
    <w:div w:id="1881672264">
      <w:bodyDiv w:val="1"/>
      <w:marLeft w:val="0"/>
      <w:marRight w:val="0"/>
      <w:marTop w:val="0"/>
      <w:marBottom w:val="0"/>
      <w:divBdr>
        <w:top w:val="none" w:sz="0" w:space="0" w:color="auto"/>
        <w:left w:val="none" w:sz="0" w:space="0" w:color="auto"/>
        <w:bottom w:val="none" w:sz="0" w:space="0" w:color="auto"/>
        <w:right w:val="none" w:sz="0" w:space="0" w:color="auto"/>
      </w:divBdr>
    </w:div>
    <w:div w:id="1892502020">
      <w:bodyDiv w:val="1"/>
      <w:marLeft w:val="0"/>
      <w:marRight w:val="0"/>
      <w:marTop w:val="0"/>
      <w:marBottom w:val="0"/>
      <w:divBdr>
        <w:top w:val="none" w:sz="0" w:space="0" w:color="auto"/>
        <w:left w:val="none" w:sz="0" w:space="0" w:color="auto"/>
        <w:bottom w:val="none" w:sz="0" w:space="0" w:color="auto"/>
        <w:right w:val="none" w:sz="0" w:space="0" w:color="auto"/>
      </w:divBdr>
    </w:div>
    <w:div w:id="1917744967">
      <w:bodyDiv w:val="1"/>
      <w:marLeft w:val="0"/>
      <w:marRight w:val="0"/>
      <w:marTop w:val="0"/>
      <w:marBottom w:val="0"/>
      <w:divBdr>
        <w:top w:val="none" w:sz="0" w:space="0" w:color="auto"/>
        <w:left w:val="none" w:sz="0" w:space="0" w:color="auto"/>
        <w:bottom w:val="none" w:sz="0" w:space="0" w:color="auto"/>
        <w:right w:val="none" w:sz="0" w:space="0" w:color="auto"/>
      </w:divBdr>
    </w:div>
    <w:div w:id="1945767513">
      <w:bodyDiv w:val="1"/>
      <w:marLeft w:val="0"/>
      <w:marRight w:val="0"/>
      <w:marTop w:val="0"/>
      <w:marBottom w:val="0"/>
      <w:divBdr>
        <w:top w:val="none" w:sz="0" w:space="0" w:color="auto"/>
        <w:left w:val="none" w:sz="0" w:space="0" w:color="auto"/>
        <w:bottom w:val="none" w:sz="0" w:space="0" w:color="auto"/>
        <w:right w:val="none" w:sz="0" w:space="0" w:color="auto"/>
      </w:divBdr>
    </w:div>
    <w:div w:id="1967850427">
      <w:bodyDiv w:val="1"/>
      <w:marLeft w:val="0"/>
      <w:marRight w:val="0"/>
      <w:marTop w:val="0"/>
      <w:marBottom w:val="0"/>
      <w:divBdr>
        <w:top w:val="none" w:sz="0" w:space="0" w:color="auto"/>
        <w:left w:val="none" w:sz="0" w:space="0" w:color="auto"/>
        <w:bottom w:val="none" w:sz="0" w:space="0" w:color="auto"/>
        <w:right w:val="none" w:sz="0" w:space="0" w:color="auto"/>
      </w:divBdr>
    </w:div>
    <w:div w:id="2017727961">
      <w:bodyDiv w:val="1"/>
      <w:marLeft w:val="0"/>
      <w:marRight w:val="0"/>
      <w:marTop w:val="0"/>
      <w:marBottom w:val="0"/>
      <w:divBdr>
        <w:top w:val="none" w:sz="0" w:space="0" w:color="auto"/>
        <w:left w:val="none" w:sz="0" w:space="0" w:color="auto"/>
        <w:bottom w:val="none" w:sz="0" w:space="0" w:color="auto"/>
        <w:right w:val="none" w:sz="0" w:space="0" w:color="auto"/>
      </w:divBdr>
    </w:div>
    <w:div w:id="2056852147">
      <w:bodyDiv w:val="1"/>
      <w:marLeft w:val="0"/>
      <w:marRight w:val="0"/>
      <w:marTop w:val="0"/>
      <w:marBottom w:val="0"/>
      <w:divBdr>
        <w:top w:val="none" w:sz="0" w:space="0" w:color="auto"/>
        <w:left w:val="none" w:sz="0" w:space="0" w:color="auto"/>
        <w:bottom w:val="none" w:sz="0" w:space="0" w:color="auto"/>
        <w:right w:val="none" w:sz="0" w:space="0" w:color="auto"/>
      </w:divBdr>
    </w:div>
    <w:div w:id="2092004731">
      <w:bodyDiv w:val="1"/>
      <w:marLeft w:val="0"/>
      <w:marRight w:val="0"/>
      <w:marTop w:val="0"/>
      <w:marBottom w:val="0"/>
      <w:divBdr>
        <w:top w:val="none" w:sz="0" w:space="0" w:color="auto"/>
        <w:left w:val="none" w:sz="0" w:space="0" w:color="auto"/>
        <w:bottom w:val="none" w:sz="0" w:space="0" w:color="auto"/>
        <w:right w:val="none" w:sz="0" w:space="0" w:color="auto"/>
      </w:divBdr>
    </w:div>
    <w:div w:id="2097900165">
      <w:bodyDiv w:val="1"/>
      <w:marLeft w:val="0"/>
      <w:marRight w:val="0"/>
      <w:marTop w:val="0"/>
      <w:marBottom w:val="0"/>
      <w:divBdr>
        <w:top w:val="none" w:sz="0" w:space="0" w:color="auto"/>
        <w:left w:val="none" w:sz="0" w:space="0" w:color="auto"/>
        <w:bottom w:val="none" w:sz="0" w:space="0" w:color="auto"/>
        <w:right w:val="none" w:sz="0" w:space="0" w:color="auto"/>
      </w:divBdr>
    </w:div>
    <w:div w:id="2106881912">
      <w:bodyDiv w:val="1"/>
      <w:marLeft w:val="0"/>
      <w:marRight w:val="0"/>
      <w:marTop w:val="0"/>
      <w:marBottom w:val="0"/>
      <w:divBdr>
        <w:top w:val="none" w:sz="0" w:space="0" w:color="auto"/>
        <w:left w:val="none" w:sz="0" w:space="0" w:color="auto"/>
        <w:bottom w:val="none" w:sz="0" w:space="0" w:color="auto"/>
        <w:right w:val="none" w:sz="0" w:space="0" w:color="auto"/>
      </w:divBdr>
    </w:div>
    <w:div w:id="2115123978">
      <w:bodyDiv w:val="1"/>
      <w:marLeft w:val="0"/>
      <w:marRight w:val="0"/>
      <w:marTop w:val="0"/>
      <w:marBottom w:val="0"/>
      <w:divBdr>
        <w:top w:val="none" w:sz="0" w:space="0" w:color="auto"/>
        <w:left w:val="none" w:sz="0" w:space="0" w:color="auto"/>
        <w:bottom w:val="none" w:sz="0" w:space="0" w:color="auto"/>
        <w:right w:val="none" w:sz="0" w:space="0" w:color="auto"/>
      </w:divBdr>
    </w:div>
    <w:div w:id="2125154473">
      <w:bodyDiv w:val="1"/>
      <w:marLeft w:val="0"/>
      <w:marRight w:val="0"/>
      <w:marTop w:val="0"/>
      <w:marBottom w:val="0"/>
      <w:divBdr>
        <w:top w:val="none" w:sz="0" w:space="0" w:color="auto"/>
        <w:left w:val="none" w:sz="0" w:space="0" w:color="auto"/>
        <w:bottom w:val="none" w:sz="0" w:space="0" w:color="auto"/>
        <w:right w:val="none" w:sz="0" w:space="0" w:color="auto"/>
      </w:divBdr>
    </w:div>
    <w:div w:id="2136018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wmf"/><Relationship Id="rId18" Type="http://schemas.openxmlformats.org/officeDocument/2006/relationships/theme" Target="theme/theme1.xml"/><Relationship Id="rId26" Type="http://schemas.openxmlformats.org/officeDocument/2006/relationships/customXml" Target="../customXml/item9.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ustomXml" Target="../customXml/item3.xml"/><Relationship Id="rId24" Type="http://schemas.openxmlformats.org/officeDocument/2006/relationships/customXml" Target="../customXml/item7.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customXml" Target="../customXml/item6.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idbdocs.iadb.org/WSDocs/getDocument.aspx?DOCNUM=36367068" TargetMode="External"/><Relationship Id="rId22" Type="http://schemas.openxmlformats.org/officeDocument/2006/relationships/customXml" Target="../customXml/item5.xml"/><Relationship Id="rId27" Type="http://schemas.openxmlformats.org/officeDocument/2006/relationships/customXml" Target="../customXml/item10.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7D78596A17E13F4B874BA5AED8875E25" ma:contentTypeVersion="450" ma:contentTypeDescription="The base project type from which other project content types inherit their information." ma:contentTypeScope="" ma:versionID="2de6c07e0caa239b4d7ec8b730941a02">
  <xsd:schema xmlns:xsd="http://www.w3.org/2001/XMLSchema" xmlns:xs="http://www.w3.org/2001/XMLSchema" xmlns:p="http://schemas.microsoft.com/office/2006/metadata/properties" xmlns:ns2="cdc7663a-08f0-4737-9e8c-148ce897a09c" targetNamespace="http://schemas.microsoft.com/office/2006/metadata/properties" ma:root="true" ma:fieldsID="f7e235ab9b5fa7c807f9bd565e74bd2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36371071</IDBDocs_x0020_Number>
    <TaxCatchAll xmlns="cdc7663a-08f0-4737-9e8c-148ce897a09c"/>
    <Phase xmlns="cdc7663a-08f0-4737-9e8c-148ce897a09c" xsi:nil="true"/>
    <SISCOR_x0020_Number xmlns="cdc7663a-08f0-4737-9e8c-148ce897a09c" xsi:nil="true"/>
    <Division_x0020_or_x0020_Unit xmlns="cdc7663a-08f0-4737-9e8c-148ce897a09c">INE/TSP</Division_x0020_or_x0020_Unit>
    <Approval_x0020_Number xmlns="cdc7663a-08f0-4737-9e8c-148ce897a09c" xsi:nil="true"/>
    <Document_x0020_Author xmlns="cdc7663a-08f0-4737-9e8c-148ce897a09c">Nevo, Miroslava Errazuriz De</Document_x0020_Author>
    <Fiscal_x0020_Year_x0020_IDB xmlns="cdc7663a-08f0-4737-9e8c-148ce897a09c">2011</Fiscal_x0020_Year_x0020_IDB>
    <Other_x0020_Author xmlns="cdc7663a-08f0-4737-9e8c-148ce897a09c" xsi:nil="true"/>
    <Project_x0020_Number xmlns="cdc7663a-08f0-4737-9e8c-148ce897a09c">CO-L1101</Project_x0020_Number>
    <Package_x0020_Code xmlns="cdc7663a-08f0-4737-9e8c-148ce897a09c" xsi:nil="true"/>
    <Key_x0020_Document xmlns="cdc7663a-08f0-4737-9e8c-148ce897a09c">false</Key_x0020_Document>
    <Migration_x0020_Info xmlns="cdc7663a-08f0-4737-9e8c-148ce897a09c">MS WORDLPLoan ProposalOPOperations Policy Committee0Feb 15 2012 12&amp;#58;00AMYSouth America;Southern ConePO-CO-L1101-Anl112398566</Migration_x0020_Info>
    <Operation_x0020_Type xmlns="cdc7663a-08f0-4737-9e8c-148ce897a09c" xsi:nil="true"/>
    <Record_x0020_Number xmlns="cdc7663a-08f0-4737-9e8c-148ce897a09c">R0002733350</Record_x0020_Number>
    <Document_x0020_Language_x0020_IDB xmlns="cdc7663a-08f0-4737-9e8c-148ce897a09c">Spanish</Document_x0020_Language_x0020_IDB>
    <Identifier xmlns="cdc7663a-08f0-4737-9e8c-148ce897a09c">Caterina Vecco x.2460 TECFILE</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EZSHARE-2114985439-55</_dlc_DocId>
    <From_x003a_ xmlns="cdc7663a-08f0-4737-9e8c-148ce897a09c" xsi:nil="true"/>
    <To_x003a_ xmlns="cdc7663a-08f0-4737-9e8c-148ce897a09c" xsi:nil="true"/>
    <_dlc_DocIdUrl xmlns="cdc7663a-08f0-4737-9e8c-148ce897a09c">
      <Url>https://idbg.sharepoint.com/teams/EZ-CO-LON/CO-L1101/_layouts/15/DocIdRedir.aspx?ID=EZSHARE-2114985439-55</Url>
      <Description>EZSHARE-2114985439-55</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b:Source>
    <b:Tag>LOG03</b:Tag>
    <b:SourceType>Report</b:SourceType>
    <b:Guid>{8B9919C7-806E-4D70-BB83-048A65776335}</b:Guid>
    <b:LCID>0</b:LCID>
    <b:Author>
      <b:Author>
        <b:Corporate>LOGIT</b:Corporate>
      </b:Author>
    </b:Author>
    <b:Title>Informe de Diagnóstico - Estudio de Estructuración del Transporte Público para la Ciudad de Mérida Yuc.</b:Title>
    <b:Year>2003</b:Year>
    <b:City>México D.F.</b:City>
    <b:RefOrder>1</b:RefOrder>
  </b:Source>
  <b:Source>
    <b:Tag>BID10</b:Tag>
    <b:SourceType>Book</b:SourceType>
    <b:Guid>{251C595A-B08C-4D67-B249-C30B15592B21}</b:Guid>
    <b:LCID>0</b:LCID>
    <b:Author>
      <b:Author>
        <b:Corporate>BID</b:Corporate>
      </b:Author>
    </b:Author>
    <b:Title>Programa Integral de Movilidad Urbana Sustentable de Mérida y la Red Integrada de Transporte Público</b:Title>
    <b:Year>2010</b:Year>
    <b:RefOrder>2</b:RefOrder>
  </b:Source>
</b:Sourc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SharedContentType xmlns="Microsoft.SharePoint.Taxonomy.ContentTypeSync" SourceId="ae61f9b1-e23d-4f49-b3d7-56b991556c4b" ContentTypeId="0x010100ACF722E9F6B0B149B0CD8BE2560A6672" PreviousValue="false"/>
</file>

<file path=customXml/item8.xml><?xml version="1.0" encoding="utf-8"?>
<ct:contentTypeSchema xmlns:ct="http://schemas.microsoft.com/office/2006/metadata/contentType" xmlns:ma="http://schemas.microsoft.com/office/2006/metadata/properties/metaAttributes" ct:_="" ma:_="" ma:contentTypeName="ez-Operations" ma:contentTypeID="0x010100ACF722E9F6B0B149B0CD8BE2560A6672007D78596A17E13F4B874BA5AED8875E25" ma:contentTypeVersion="487" ma:contentTypeDescription="The base project type from which other project content types inherit their information." ma:contentTypeScope="" ma:versionID="0ab23d21cead730c8b06ac175197da2a">
  <xsd:schema xmlns:xsd="http://www.w3.org/2001/XMLSchema" xmlns:xs="http://www.w3.org/2001/XMLSchema" xmlns:p="http://schemas.microsoft.com/office/2006/metadata/properties" xmlns:ns2="cdc7663a-08f0-4737-9e8c-148ce897a09c" targetNamespace="http://schemas.microsoft.com/office/2006/metadata/properties" ma:root="true" ma:fieldsID="f7e235ab9b5fa7c807f9bd565e74bd2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ct:contentTypeSchema xmlns:ct="http://schemas.microsoft.com/office/2006/metadata/contentType" xmlns:ma="http://schemas.microsoft.com/office/2006/metadata/properties/metaAttributes" ct:_="" ma:_="" ma:contentTypeName="ez-Operations" ma:contentTypeID="0x010100ACF722E9F6B0B149B0CD8BE2560A6672007D78596A17E13F4B874BA5AED8875E25" ma:contentTypeVersion="1671" ma:contentTypeDescription="The base project type from which other project content types inherit their information." ma:contentTypeScope="" ma:versionID="83f8de18b5be347767a8ebae12e58867">
  <xsd:schema xmlns:xsd="http://www.w3.org/2001/XMLSchema" xmlns:xs="http://www.w3.org/2001/XMLSchema" xmlns:p="http://schemas.microsoft.com/office/2006/metadata/properties" xmlns:ns2="cdc7663a-08f0-4737-9e8c-148ce897a09c" targetNamespace="http://schemas.microsoft.com/office/2006/metadata/properties" ma:root="true" ma:fieldsID="debd62a969ab0658bee3269b05fb97a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EE4855-97A4-4BE7-A3A8-50C6B6763D20}"/>
</file>

<file path=customXml/itemProps10.xml><?xml version="1.0" encoding="utf-8"?>
<ds:datastoreItem xmlns:ds="http://schemas.openxmlformats.org/officeDocument/2006/customXml" ds:itemID="{91FD9CB1-EAEA-4C7D-825A-5D142FFEC51F}"/>
</file>

<file path=customXml/itemProps2.xml><?xml version="1.0" encoding="utf-8"?>
<ds:datastoreItem xmlns:ds="http://schemas.openxmlformats.org/officeDocument/2006/customXml" ds:itemID="{2980A360-EE7B-4BBF-BA6B-C9BA81D5090E}"/>
</file>

<file path=customXml/itemProps3.xml><?xml version="1.0" encoding="utf-8"?>
<ds:datastoreItem xmlns:ds="http://schemas.openxmlformats.org/officeDocument/2006/customXml" ds:itemID="{3F00FDB1-7D54-4080-8201-5BF54F4F015C}"/>
</file>

<file path=customXml/itemProps4.xml><?xml version="1.0" encoding="utf-8"?>
<ds:datastoreItem xmlns:ds="http://schemas.openxmlformats.org/officeDocument/2006/customXml" ds:itemID="{B27FAF3A-C932-4524-9D10-9FE7850DFBD1}"/>
</file>

<file path=customXml/itemProps5.xml><?xml version="1.0" encoding="utf-8"?>
<ds:datastoreItem xmlns:ds="http://schemas.openxmlformats.org/officeDocument/2006/customXml" ds:itemID="{EDA43909-A087-4B5D-9025-15B840C9E184}"/>
</file>

<file path=customXml/itemProps6.xml><?xml version="1.0" encoding="utf-8"?>
<ds:datastoreItem xmlns:ds="http://schemas.openxmlformats.org/officeDocument/2006/customXml" ds:itemID="{BD36B101-9849-4ADB-9C06-734B69A9AB43}"/>
</file>

<file path=customXml/itemProps7.xml><?xml version="1.0" encoding="utf-8"?>
<ds:datastoreItem xmlns:ds="http://schemas.openxmlformats.org/officeDocument/2006/customXml" ds:itemID="{2E29283F-9584-431B-AA32-BB9B5B098A25}"/>
</file>

<file path=customXml/itemProps8.xml><?xml version="1.0" encoding="utf-8"?>
<ds:datastoreItem xmlns:ds="http://schemas.openxmlformats.org/officeDocument/2006/customXml" ds:itemID="{195018B3-7741-4E60-8EED-470F96AAAD22}"/>
</file>

<file path=customXml/itemProps9.xml><?xml version="1.0" encoding="utf-8"?>
<ds:datastoreItem xmlns:ds="http://schemas.openxmlformats.org/officeDocument/2006/customXml" ds:itemID="{9123EB9E-6311-4888-991E-B57AFA2A79A9}"/>
</file>

<file path=docProps/app.xml><?xml version="1.0" encoding="utf-8"?>
<Properties xmlns="http://schemas.openxmlformats.org/officeDocument/2006/extended-properties" xmlns:vt="http://schemas.openxmlformats.org/officeDocument/2006/docPropsVTypes">
  <Template>Normal.dotm</Template>
  <TotalTime>0</TotalTime>
  <Pages>12</Pages>
  <Words>4068</Words>
  <Characters>23170</Characters>
  <Application>Microsoft Office Word</Application>
  <DocSecurity>0</DocSecurity>
  <Lines>193</Lines>
  <Paragraphs>54</Paragraphs>
  <ScaleCrop>false</ScaleCrop>
  <HeadingPairs>
    <vt:vector size="2" baseType="variant">
      <vt:variant>
        <vt:lpstr>Título</vt:lpstr>
      </vt:variant>
      <vt:variant>
        <vt:i4>1</vt:i4>
      </vt:variant>
    </vt:vector>
  </HeadingPairs>
  <TitlesOfParts>
    <vt:vector size="1" baseType="lpstr">
      <vt:lpstr>THE WORLD BANK</vt:lpstr>
    </vt:vector>
  </TitlesOfParts>
  <Company>UNIVERSIDAD DE LOS ANDES</Company>
  <LinksUpToDate>false</LinksUpToDate>
  <CharactersWithSpaces>27184</CharactersWithSpaces>
  <SharedDoc>false</SharedDoc>
  <HLinks>
    <vt:vector size="132" baseType="variant">
      <vt:variant>
        <vt:i4>1507390</vt:i4>
      </vt:variant>
      <vt:variant>
        <vt:i4>122</vt:i4>
      </vt:variant>
      <vt:variant>
        <vt:i4>0</vt:i4>
      </vt:variant>
      <vt:variant>
        <vt:i4>5</vt:i4>
      </vt:variant>
      <vt:variant>
        <vt:lpwstr/>
      </vt:variant>
      <vt:variant>
        <vt:lpwstr>_Toc286885258</vt:lpwstr>
      </vt:variant>
      <vt:variant>
        <vt:i4>1507390</vt:i4>
      </vt:variant>
      <vt:variant>
        <vt:i4>116</vt:i4>
      </vt:variant>
      <vt:variant>
        <vt:i4>0</vt:i4>
      </vt:variant>
      <vt:variant>
        <vt:i4>5</vt:i4>
      </vt:variant>
      <vt:variant>
        <vt:lpwstr/>
      </vt:variant>
      <vt:variant>
        <vt:lpwstr>_Toc286885257</vt:lpwstr>
      </vt:variant>
      <vt:variant>
        <vt:i4>1507390</vt:i4>
      </vt:variant>
      <vt:variant>
        <vt:i4>110</vt:i4>
      </vt:variant>
      <vt:variant>
        <vt:i4>0</vt:i4>
      </vt:variant>
      <vt:variant>
        <vt:i4>5</vt:i4>
      </vt:variant>
      <vt:variant>
        <vt:lpwstr/>
      </vt:variant>
      <vt:variant>
        <vt:lpwstr>_Toc286885256</vt:lpwstr>
      </vt:variant>
      <vt:variant>
        <vt:i4>1507390</vt:i4>
      </vt:variant>
      <vt:variant>
        <vt:i4>104</vt:i4>
      </vt:variant>
      <vt:variant>
        <vt:i4>0</vt:i4>
      </vt:variant>
      <vt:variant>
        <vt:i4>5</vt:i4>
      </vt:variant>
      <vt:variant>
        <vt:lpwstr/>
      </vt:variant>
      <vt:variant>
        <vt:lpwstr>_Toc286885255</vt:lpwstr>
      </vt:variant>
      <vt:variant>
        <vt:i4>1507390</vt:i4>
      </vt:variant>
      <vt:variant>
        <vt:i4>98</vt:i4>
      </vt:variant>
      <vt:variant>
        <vt:i4>0</vt:i4>
      </vt:variant>
      <vt:variant>
        <vt:i4>5</vt:i4>
      </vt:variant>
      <vt:variant>
        <vt:lpwstr/>
      </vt:variant>
      <vt:variant>
        <vt:lpwstr>_Toc286885254</vt:lpwstr>
      </vt:variant>
      <vt:variant>
        <vt:i4>1507390</vt:i4>
      </vt:variant>
      <vt:variant>
        <vt:i4>92</vt:i4>
      </vt:variant>
      <vt:variant>
        <vt:i4>0</vt:i4>
      </vt:variant>
      <vt:variant>
        <vt:i4>5</vt:i4>
      </vt:variant>
      <vt:variant>
        <vt:lpwstr/>
      </vt:variant>
      <vt:variant>
        <vt:lpwstr>_Toc286885253</vt:lpwstr>
      </vt:variant>
      <vt:variant>
        <vt:i4>1507390</vt:i4>
      </vt:variant>
      <vt:variant>
        <vt:i4>86</vt:i4>
      </vt:variant>
      <vt:variant>
        <vt:i4>0</vt:i4>
      </vt:variant>
      <vt:variant>
        <vt:i4>5</vt:i4>
      </vt:variant>
      <vt:variant>
        <vt:lpwstr/>
      </vt:variant>
      <vt:variant>
        <vt:lpwstr>_Toc286885252</vt:lpwstr>
      </vt:variant>
      <vt:variant>
        <vt:i4>1507390</vt:i4>
      </vt:variant>
      <vt:variant>
        <vt:i4>80</vt:i4>
      </vt:variant>
      <vt:variant>
        <vt:i4>0</vt:i4>
      </vt:variant>
      <vt:variant>
        <vt:i4>5</vt:i4>
      </vt:variant>
      <vt:variant>
        <vt:lpwstr/>
      </vt:variant>
      <vt:variant>
        <vt:lpwstr>_Toc286885251</vt:lpwstr>
      </vt:variant>
      <vt:variant>
        <vt:i4>1507390</vt:i4>
      </vt:variant>
      <vt:variant>
        <vt:i4>74</vt:i4>
      </vt:variant>
      <vt:variant>
        <vt:i4>0</vt:i4>
      </vt:variant>
      <vt:variant>
        <vt:i4>5</vt:i4>
      </vt:variant>
      <vt:variant>
        <vt:lpwstr/>
      </vt:variant>
      <vt:variant>
        <vt:lpwstr>_Toc286885250</vt:lpwstr>
      </vt:variant>
      <vt:variant>
        <vt:i4>1441854</vt:i4>
      </vt:variant>
      <vt:variant>
        <vt:i4>68</vt:i4>
      </vt:variant>
      <vt:variant>
        <vt:i4>0</vt:i4>
      </vt:variant>
      <vt:variant>
        <vt:i4>5</vt:i4>
      </vt:variant>
      <vt:variant>
        <vt:lpwstr/>
      </vt:variant>
      <vt:variant>
        <vt:lpwstr>_Toc286885249</vt:lpwstr>
      </vt:variant>
      <vt:variant>
        <vt:i4>1441854</vt:i4>
      </vt:variant>
      <vt:variant>
        <vt:i4>62</vt:i4>
      </vt:variant>
      <vt:variant>
        <vt:i4>0</vt:i4>
      </vt:variant>
      <vt:variant>
        <vt:i4>5</vt:i4>
      </vt:variant>
      <vt:variant>
        <vt:lpwstr/>
      </vt:variant>
      <vt:variant>
        <vt:lpwstr>_Toc286885248</vt:lpwstr>
      </vt:variant>
      <vt:variant>
        <vt:i4>1441854</vt:i4>
      </vt:variant>
      <vt:variant>
        <vt:i4>56</vt:i4>
      </vt:variant>
      <vt:variant>
        <vt:i4>0</vt:i4>
      </vt:variant>
      <vt:variant>
        <vt:i4>5</vt:i4>
      </vt:variant>
      <vt:variant>
        <vt:lpwstr/>
      </vt:variant>
      <vt:variant>
        <vt:lpwstr>_Toc286885247</vt:lpwstr>
      </vt:variant>
      <vt:variant>
        <vt:i4>1441854</vt:i4>
      </vt:variant>
      <vt:variant>
        <vt:i4>50</vt:i4>
      </vt:variant>
      <vt:variant>
        <vt:i4>0</vt:i4>
      </vt:variant>
      <vt:variant>
        <vt:i4>5</vt:i4>
      </vt:variant>
      <vt:variant>
        <vt:lpwstr/>
      </vt:variant>
      <vt:variant>
        <vt:lpwstr>_Toc286885246</vt:lpwstr>
      </vt:variant>
      <vt:variant>
        <vt:i4>1441854</vt:i4>
      </vt:variant>
      <vt:variant>
        <vt:i4>44</vt:i4>
      </vt:variant>
      <vt:variant>
        <vt:i4>0</vt:i4>
      </vt:variant>
      <vt:variant>
        <vt:i4>5</vt:i4>
      </vt:variant>
      <vt:variant>
        <vt:lpwstr/>
      </vt:variant>
      <vt:variant>
        <vt:lpwstr>_Toc286885245</vt:lpwstr>
      </vt:variant>
      <vt:variant>
        <vt:i4>1441854</vt:i4>
      </vt:variant>
      <vt:variant>
        <vt:i4>38</vt:i4>
      </vt:variant>
      <vt:variant>
        <vt:i4>0</vt:i4>
      </vt:variant>
      <vt:variant>
        <vt:i4>5</vt:i4>
      </vt:variant>
      <vt:variant>
        <vt:lpwstr/>
      </vt:variant>
      <vt:variant>
        <vt:lpwstr>_Toc286885244</vt:lpwstr>
      </vt:variant>
      <vt:variant>
        <vt:i4>1441854</vt:i4>
      </vt:variant>
      <vt:variant>
        <vt:i4>32</vt:i4>
      </vt:variant>
      <vt:variant>
        <vt:i4>0</vt:i4>
      </vt:variant>
      <vt:variant>
        <vt:i4>5</vt:i4>
      </vt:variant>
      <vt:variant>
        <vt:lpwstr/>
      </vt:variant>
      <vt:variant>
        <vt:lpwstr>_Toc286885243</vt:lpwstr>
      </vt:variant>
      <vt:variant>
        <vt:i4>1441854</vt:i4>
      </vt:variant>
      <vt:variant>
        <vt:i4>26</vt:i4>
      </vt:variant>
      <vt:variant>
        <vt:i4>0</vt:i4>
      </vt:variant>
      <vt:variant>
        <vt:i4>5</vt:i4>
      </vt:variant>
      <vt:variant>
        <vt:lpwstr/>
      </vt:variant>
      <vt:variant>
        <vt:lpwstr>_Toc286885242</vt:lpwstr>
      </vt:variant>
      <vt:variant>
        <vt:i4>1441854</vt:i4>
      </vt:variant>
      <vt:variant>
        <vt:i4>20</vt:i4>
      </vt:variant>
      <vt:variant>
        <vt:i4>0</vt:i4>
      </vt:variant>
      <vt:variant>
        <vt:i4>5</vt:i4>
      </vt:variant>
      <vt:variant>
        <vt:lpwstr/>
      </vt:variant>
      <vt:variant>
        <vt:lpwstr>_Toc286885241</vt:lpwstr>
      </vt:variant>
      <vt:variant>
        <vt:i4>1441854</vt:i4>
      </vt:variant>
      <vt:variant>
        <vt:i4>14</vt:i4>
      </vt:variant>
      <vt:variant>
        <vt:i4>0</vt:i4>
      </vt:variant>
      <vt:variant>
        <vt:i4>5</vt:i4>
      </vt:variant>
      <vt:variant>
        <vt:lpwstr/>
      </vt:variant>
      <vt:variant>
        <vt:lpwstr>_Toc286885240</vt:lpwstr>
      </vt:variant>
      <vt:variant>
        <vt:i4>1114174</vt:i4>
      </vt:variant>
      <vt:variant>
        <vt:i4>8</vt:i4>
      </vt:variant>
      <vt:variant>
        <vt:i4>0</vt:i4>
      </vt:variant>
      <vt:variant>
        <vt:i4>5</vt:i4>
      </vt:variant>
      <vt:variant>
        <vt:lpwstr/>
      </vt:variant>
      <vt:variant>
        <vt:lpwstr>_Toc286885239</vt:lpwstr>
      </vt:variant>
      <vt:variant>
        <vt:i4>8257615</vt:i4>
      </vt:variant>
      <vt:variant>
        <vt:i4>3</vt:i4>
      </vt:variant>
      <vt:variant>
        <vt:i4>0</vt:i4>
      </vt:variant>
      <vt:variant>
        <vt:i4>5</vt:i4>
      </vt:variant>
      <vt:variant>
        <vt:lpwstr>mailto:afbaquero@gmail.com</vt:lpwstr>
      </vt:variant>
      <vt:variant>
        <vt:lpwstr/>
      </vt:variant>
      <vt:variant>
        <vt:i4>3080263</vt:i4>
      </vt:variant>
      <vt:variant>
        <vt:i4>0</vt:i4>
      </vt:variant>
      <vt:variant>
        <vt:i4>0</vt:i4>
      </vt:variant>
      <vt:variant>
        <vt:i4>5</vt:i4>
      </vt:variant>
      <vt:variant>
        <vt:lpwstr>mailto:go.geosov@gmail.com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 Electronico_ Evaluación Económica del Sistema Integrado de Transporte Público para Santiago de Cali _  POD </dc:title>
  <dc:creator>Arturo Ardila Gomez</dc:creator>
  <cp:lastModifiedBy>Caterina Vecco</cp:lastModifiedBy>
  <cp:revision>2</cp:revision>
  <dcterms:created xsi:type="dcterms:W3CDTF">2011-08-29T20:14:00Z</dcterms:created>
  <dcterms:modified xsi:type="dcterms:W3CDTF">2011-08-29T20:14:00Z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0x010100ACF722E9F6B0B149B0CD8BE2560A6672007D78596A17E13F4B874BA5AED8875E25</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14;#Loan Proposal|6ee86b6f-6e46-485b-8bfb-87a1f44622ac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14;#Loan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5500</vt:r8>
  </property>
  <property fmtid="{D5CDD505-2E9C-101B-9397-08002B2CF9AE}" pid="18" name="Disclosure Activity">
    <vt:lpwstr>Loan Proposal</vt:lpwstr>
  </property>
  <property fmtid="{D5CDD505-2E9C-101B-9397-08002B2CF9AE}" pid="21" name="Webtopic">
    <vt:lpwstr>Urban Mass Transport;Transportation</vt:lpwstr>
  </property>
  <property fmtid="{D5CDD505-2E9C-101B-9397-08002B2CF9AE}" pid="23" name="Disclosed">
    <vt:bool>true</vt:bool>
  </property>
  <property fmtid="{D5CDD505-2E9C-101B-9397-08002B2CF9AE}" pid="27" name="_dlc_DocIdItemGuid">
    <vt:lpwstr>536d96f5-ab87-42d4-81be-5c9553f5c039</vt:lpwstr>
  </property>
</Properties>
</file>