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8EA7E" w14:textId="77777777" w:rsidR="007E1F04" w:rsidRDefault="007E1F04" w:rsidP="00E31A56">
      <w:pPr>
        <w:jc w:val="center"/>
        <w:rPr>
          <w:rFonts w:ascii="Arial" w:hAnsi="Arial" w:cs="Arial"/>
          <w:smallCaps/>
          <w:sz w:val="24"/>
          <w:szCs w:val="24"/>
        </w:rPr>
      </w:pPr>
    </w:p>
    <w:p w14:paraId="5965FA85" w14:textId="77777777" w:rsidR="007E1F04" w:rsidRDefault="007E1F04" w:rsidP="00E31A56">
      <w:pPr>
        <w:jc w:val="center"/>
        <w:rPr>
          <w:rFonts w:ascii="Arial" w:hAnsi="Arial" w:cs="Arial"/>
          <w:smallCaps/>
          <w:sz w:val="24"/>
          <w:szCs w:val="24"/>
        </w:rPr>
      </w:pPr>
    </w:p>
    <w:p w14:paraId="3907A64D" w14:textId="3848AB04" w:rsidR="00E31A56" w:rsidRPr="00AD2CA6" w:rsidRDefault="00E31A56" w:rsidP="00E31A56">
      <w:pPr>
        <w:jc w:val="center"/>
        <w:rPr>
          <w:rFonts w:ascii="Arial" w:hAnsi="Arial" w:cs="Arial"/>
          <w:smallCaps/>
          <w:sz w:val="24"/>
          <w:szCs w:val="24"/>
        </w:rPr>
      </w:pPr>
      <w:r w:rsidRPr="00AD2CA6">
        <w:rPr>
          <w:rFonts w:ascii="Arial" w:hAnsi="Arial" w:cs="Arial"/>
          <w:smallCaps/>
          <w:sz w:val="24"/>
          <w:szCs w:val="24"/>
        </w:rPr>
        <w:t>Document of the Inter-American Development Bank</w:t>
      </w:r>
    </w:p>
    <w:p w14:paraId="4A6CF374" w14:textId="77777777" w:rsidR="00E31A56" w:rsidRPr="00AD2CA6" w:rsidRDefault="00E31A56" w:rsidP="00E31A56">
      <w:pPr>
        <w:jc w:val="center"/>
        <w:rPr>
          <w:rFonts w:ascii="Arial" w:hAnsi="Arial" w:cs="Arial"/>
          <w:sz w:val="24"/>
          <w:szCs w:val="24"/>
        </w:rPr>
      </w:pPr>
    </w:p>
    <w:p w14:paraId="2632EB00" w14:textId="77777777" w:rsidR="00E31A56" w:rsidRPr="00AD2CA6" w:rsidRDefault="00E31A56" w:rsidP="00E31A56">
      <w:pPr>
        <w:jc w:val="center"/>
        <w:rPr>
          <w:rFonts w:ascii="Arial" w:hAnsi="Arial" w:cs="Arial"/>
          <w:sz w:val="24"/>
          <w:szCs w:val="24"/>
        </w:rPr>
      </w:pPr>
    </w:p>
    <w:p w14:paraId="0A6E2450" w14:textId="77777777" w:rsidR="00E31A56" w:rsidRPr="00AD2CA6" w:rsidRDefault="00E31A56" w:rsidP="00E31A56">
      <w:pPr>
        <w:jc w:val="center"/>
        <w:rPr>
          <w:rFonts w:ascii="Arial" w:hAnsi="Arial" w:cs="Arial"/>
          <w:b/>
          <w:smallCaps/>
          <w:sz w:val="24"/>
          <w:szCs w:val="24"/>
        </w:rPr>
      </w:pPr>
    </w:p>
    <w:p w14:paraId="3E73C537" w14:textId="0C484519" w:rsidR="00E31A56" w:rsidRPr="00AD2CA6" w:rsidRDefault="001C7AD0" w:rsidP="00E31A56">
      <w:pPr>
        <w:jc w:val="center"/>
        <w:rPr>
          <w:rFonts w:ascii="Arial" w:hAnsi="Arial" w:cs="Arial"/>
          <w:b/>
          <w:smallCaps/>
          <w:sz w:val="24"/>
          <w:szCs w:val="24"/>
        </w:rPr>
      </w:pPr>
      <w:r w:rsidRPr="00AD2CA6">
        <w:rPr>
          <w:rFonts w:ascii="Arial" w:hAnsi="Arial" w:cs="Arial"/>
          <w:b/>
          <w:smallCaps/>
          <w:sz w:val="24"/>
          <w:szCs w:val="24"/>
        </w:rPr>
        <w:t>Bahamas</w:t>
      </w:r>
    </w:p>
    <w:p w14:paraId="7A6192A3" w14:textId="77777777" w:rsidR="00E31A56" w:rsidRPr="00AD2CA6" w:rsidRDefault="00E31A56" w:rsidP="00E31A56">
      <w:pPr>
        <w:jc w:val="center"/>
        <w:rPr>
          <w:rFonts w:ascii="Arial" w:hAnsi="Arial" w:cs="Arial"/>
          <w:b/>
          <w:smallCaps/>
          <w:sz w:val="24"/>
          <w:szCs w:val="24"/>
        </w:rPr>
      </w:pPr>
    </w:p>
    <w:p w14:paraId="3ACF6EB4" w14:textId="7DB65F17" w:rsidR="00E31A56" w:rsidRDefault="00E31A56" w:rsidP="00E31A56">
      <w:pPr>
        <w:jc w:val="center"/>
        <w:rPr>
          <w:rFonts w:ascii="Arial" w:hAnsi="Arial" w:cs="Arial"/>
          <w:b/>
          <w:smallCaps/>
          <w:sz w:val="24"/>
          <w:szCs w:val="24"/>
        </w:rPr>
      </w:pPr>
    </w:p>
    <w:p w14:paraId="586AF27C" w14:textId="77777777" w:rsidR="00AD2CA6" w:rsidRPr="00AD2CA6" w:rsidRDefault="00AD2CA6" w:rsidP="00E31A56">
      <w:pPr>
        <w:jc w:val="center"/>
        <w:rPr>
          <w:rFonts w:ascii="Arial" w:hAnsi="Arial" w:cs="Arial"/>
          <w:b/>
          <w:smallCaps/>
          <w:sz w:val="24"/>
          <w:szCs w:val="24"/>
        </w:rPr>
      </w:pPr>
    </w:p>
    <w:p w14:paraId="42D6BB85" w14:textId="77777777" w:rsidR="00E31A56" w:rsidRPr="00AD2CA6" w:rsidRDefault="00E31A56" w:rsidP="00E31A56">
      <w:pPr>
        <w:jc w:val="center"/>
        <w:rPr>
          <w:rFonts w:ascii="Arial" w:hAnsi="Arial" w:cs="Arial"/>
          <w:b/>
          <w:smallCaps/>
          <w:sz w:val="24"/>
          <w:szCs w:val="24"/>
        </w:rPr>
      </w:pPr>
    </w:p>
    <w:p w14:paraId="42E4A5C6" w14:textId="3E0BC387" w:rsidR="00E31A56" w:rsidRPr="00B8390E" w:rsidRDefault="004F4C95" w:rsidP="00B8390E">
      <w:pPr>
        <w:jc w:val="center"/>
        <w:rPr>
          <w:rFonts w:ascii="Arial" w:hAnsi="Arial" w:cs="Arial"/>
          <w:b/>
          <w:smallCaps/>
          <w:sz w:val="28"/>
          <w:szCs w:val="24"/>
        </w:rPr>
      </w:pPr>
      <w:r w:rsidRPr="00426AD3">
        <w:rPr>
          <w:rFonts w:ascii="Arial" w:hAnsi="Arial" w:cs="Arial"/>
          <w:b/>
          <w:smallCaps/>
          <w:sz w:val="28"/>
          <w:szCs w:val="24"/>
        </w:rPr>
        <w:t xml:space="preserve">Government Digital Transformation to Strengthen Competitiveness </w:t>
      </w:r>
    </w:p>
    <w:p w14:paraId="58B86935" w14:textId="77777777" w:rsidR="00E31A56" w:rsidRPr="00AD2CA6" w:rsidRDefault="00E31A56" w:rsidP="00E31A56">
      <w:pPr>
        <w:jc w:val="center"/>
        <w:rPr>
          <w:rFonts w:ascii="Arial" w:hAnsi="Arial" w:cs="Arial"/>
          <w:b/>
          <w:smallCaps/>
          <w:sz w:val="24"/>
          <w:szCs w:val="24"/>
        </w:rPr>
      </w:pPr>
    </w:p>
    <w:p w14:paraId="35A8ECA6" w14:textId="77777777" w:rsidR="00E31A56" w:rsidRPr="00AD2CA6" w:rsidRDefault="00E31A56" w:rsidP="00E31A56">
      <w:pPr>
        <w:jc w:val="center"/>
        <w:rPr>
          <w:rFonts w:ascii="Arial" w:hAnsi="Arial" w:cs="Arial"/>
          <w:b/>
          <w:smallCaps/>
          <w:sz w:val="24"/>
          <w:szCs w:val="24"/>
        </w:rPr>
      </w:pPr>
    </w:p>
    <w:p w14:paraId="2C8B6057" w14:textId="26CE19A0" w:rsidR="00E31A56" w:rsidRPr="00AD2CA6" w:rsidRDefault="00E31A56" w:rsidP="00E31A56">
      <w:pPr>
        <w:jc w:val="center"/>
        <w:rPr>
          <w:rFonts w:ascii="Arial" w:hAnsi="Arial" w:cs="Arial"/>
          <w:b/>
          <w:smallCaps/>
          <w:sz w:val="24"/>
          <w:szCs w:val="24"/>
        </w:rPr>
      </w:pPr>
      <w:bookmarkStart w:id="0" w:name="Text7"/>
      <w:r w:rsidRPr="00AD2CA6">
        <w:rPr>
          <w:rFonts w:ascii="Arial" w:hAnsi="Arial" w:cs="Arial"/>
          <w:b/>
          <w:smallCaps/>
          <w:sz w:val="24"/>
          <w:szCs w:val="24"/>
        </w:rPr>
        <w:t>(</w:t>
      </w:r>
      <w:bookmarkEnd w:id="0"/>
      <w:r w:rsidR="001C7AD0" w:rsidRPr="00AD2CA6">
        <w:rPr>
          <w:rFonts w:ascii="Arial" w:hAnsi="Arial" w:cs="Arial"/>
          <w:b/>
          <w:smallCaps/>
          <w:sz w:val="24"/>
          <w:szCs w:val="24"/>
        </w:rPr>
        <w:t>BH</w:t>
      </w:r>
      <w:r w:rsidRPr="00AD2CA6">
        <w:rPr>
          <w:rFonts w:ascii="Arial" w:hAnsi="Arial" w:cs="Arial"/>
          <w:b/>
          <w:smallCaps/>
          <w:sz w:val="24"/>
          <w:szCs w:val="24"/>
        </w:rPr>
        <w:t>-L10</w:t>
      </w:r>
      <w:r w:rsidR="001C7AD0" w:rsidRPr="00AD2CA6">
        <w:rPr>
          <w:rFonts w:ascii="Arial" w:hAnsi="Arial" w:cs="Arial"/>
          <w:b/>
          <w:smallCaps/>
          <w:sz w:val="24"/>
          <w:szCs w:val="24"/>
        </w:rPr>
        <w:t>45</w:t>
      </w:r>
      <w:r w:rsidRPr="00AD2CA6">
        <w:rPr>
          <w:rFonts w:ascii="Arial" w:hAnsi="Arial" w:cs="Arial"/>
          <w:b/>
          <w:smallCaps/>
          <w:sz w:val="24"/>
          <w:szCs w:val="24"/>
        </w:rPr>
        <w:t>)</w:t>
      </w:r>
    </w:p>
    <w:p w14:paraId="4A1E42BE" w14:textId="19E56613" w:rsidR="00E31A56" w:rsidRDefault="00E31A56" w:rsidP="00E31A56">
      <w:pPr>
        <w:jc w:val="center"/>
        <w:rPr>
          <w:rFonts w:ascii="Arial" w:hAnsi="Arial" w:cs="Arial"/>
          <w:sz w:val="24"/>
          <w:szCs w:val="24"/>
        </w:rPr>
      </w:pPr>
    </w:p>
    <w:p w14:paraId="1089B761" w14:textId="77777777" w:rsidR="00AD2CA6" w:rsidRPr="00AD2CA6" w:rsidRDefault="00AD2CA6" w:rsidP="00E31A56">
      <w:pPr>
        <w:jc w:val="center"/>
        <w:rPr>
          <w:rFonts w:ascii="Arial" w:hAnsi="Arial" w:cs="Arial"/>
          <w:sz w:val="24"/>
          <w:szCs w:val="24"/>
        </w:rPr>
      </w:pPr>
    </w:p>
    <w:p w14:paraId="47B04744" w14:textId="164781DE" w:rsidR="00E31A56" w:rsidRPr="00AD2CA6" w:rsidRDefault="00152823" w:rsidP="00E31A56">
      <w:pPr>
        <w:jc w:val="center"/>
        <w:rPr>
          <w:rFonts w:ascii="Arial" w:hAnsi="Arial" w:cs="Arial"/>
          <w:b/>
          <w:smallCaps/>
          <w:sz w:val="24"/>
          <w:szCs w:val="24"/>
        </w:rPr>
      </w:pPr>
      <w:r w:rsidRPr="00AD2CA6">
        <w:rPr>
          <w:rFonts w:ascii="Arial" w:hAnsi="Arial" w:cs="Arial"/>
          <w:b/>
          <w:smallCaps/>
          <w:sz w:val="24"/>
          <w:szCs w:val="24"/>
        </w:rPr>
        <w:t xml:space="preserve">Economic Analysis </w:t>
      </w:r>
    </w:p>
    <w:p w14:paraId="5CF8BC1F" w14:textId="77777777" w:rsidR="00E31A56" w:rsidRPr="00AD2CA6" w:rsidRDefault="00E31A56" w:rsidP="00E31A56">
      <w:pPr>
        <w:jc w:val="center"/>
        <w:rPr>
          <w:rFonts w:ascii="Arial" w:hAnsi="Arial" w:cs="Arial"/>
          <w:sz w:val="24"/>
          <w:szCs w:val="24"/>
        </w:rPr>
      </w:pPr>
    </w:p>
    <w:p w14:paraId="4D55C6D4" w14:textId="77777777" w:rsidR="00E31A56" w:rsidRPr="00AD2CA6" w:rsidRDefault="00E31A56" w:rsidP="00E31A56">
      <w:pPr>
        <w:jc w:val="center"/>
        <w:rPr>
          <w:rFonts w:ascii="Arial" w:hAnsi="Arial" w:cs="Arial"/>
          <w:sz w:val="24"/>
          <w:szCs w:val="24"/>
        </w:rPr>
      </w:pPr>
    </w:p>
    <w:p w14:paraId="6EB99D7C" w14:textId="77777777" w:rsidR="00E31A56" w:rsidRPr="00AD2CA6" w:rsidRDefault="00E31A56" w:rsidP="00E31A56">
      <w:pPr>
        <w:jc w:val="center"/>
        <w:rPr>
          <w:rFonts w:ascii="Arial" w:hAnsi="Arial" w:cs="Arial"/>
          <w:sz w:val="24"/>
          <w:szCs w:val="24"/>
        </w:rPr>
      </w:pPr>
    </w:p>
    <w:p w14:paraId="61DBA285" w14:textId="2F0CD34D" w:rsidR="00E31A56" w:rsidRPr="00A51A5F" w:rsidRDefault="00E31A56" w:rsidP="00E31A56">
      <w:pPr>
        <w:pBdr>
          <w:top w:val="single" w:sz="4" w:space="1" w:color="auto"/>
          <w:left w:val="single" w:sz="4" w:space="4" w:color="auto"/>
          <w:bottom w:val="single" w:sz="4" w:space="1" w:color="auto"/>
          <w:right w:val="single" w:sz="4" w:space="4" w:color="auto"/>
        </w:pBdr>
        <w:rPr>
          <w:rFonts w:ascii="Arial" w:hAnsi="Arial" w:cs="Arial"/>
        </w:rPr>
      </w:pPr>
      <w:r w:rsidRPr="00A51A5F">
        <w:rPr>
          <w:rFonts w:ascii="Arial" w:hAnsi="Arial" w:cs="Arial"/>
        </w:rPr>
        <w:t xml:space="preserve">This document was prepared by: Benjamin Roseth (IFD/ICS) and </w:t>
      </w:r>
      <w:r w:rsidR="001C7AD0" w:rsidRPr="00A51A5F">
        <w:rPr>
          <w:rFonts w:ascii="Arial" w:hAnsi="Arial" w:cs="Arial"/>
        </w:rPr>
        <w:t xml:space="preserve">Miguel </w:t>
      </w:r>
      <w:proofErr w:type="spellStart"/>
      <w:r w:rsidR="001C7AD0" w:rsidRPr="00A51A5F">
        <w:rPr>
          <w:rFonts w:ascii="Arial" w:hAnsi="Arial" w:cs="Arial"/>
        </w:rPr>
        <w:t>Porrúa</w:t>
      </w:r>
      <w:proofErr w:type="spellEnd"/>
      <w:r w:rsidRPr="00A51A5F">
        <w:rPr>
          <w:rFonts w:ascii="Arial" w:hAnsi="Arial" w:cs="Arial"/>
        </w:rPr>
        <w:t xml:space="preserve"> (</w:t>
      </w:r>
      <w:r w:rsidR="001C7AD0" w:rsidRPr="00A51A5F">
        <w:rPr>
          <w:rFonts w:ascii="Arial" w:hAnsi="Arial" w:cs="Arial"/>
        </w:rPr>
        <w:t>IFD/ICS</w:t>
      </w:r>
      <w:r w:rsidRPr="00A51A5F">
        <w:rPr>
          <w:rFonts w:ascii="Arial" w:hAnsi="Arial" w:cs="Arial"/>
        </w:rPr>
        <w:t>)</w:t>
      </w:r>
      <w:r w:rsidR="00A51A5F">
        <w:rPr>
          <w:rFonts w:ascii="Arial" w:hAnsi="Arial" w:cs="Arial"/>
        </w:rPr>
        <w:t>.</w:t>
      </w:r>
    </w:p>
    <w:p w14:paraId="04B92CD8" w14:textId="77777777" w:rsidR="00E31A56" w:rsidRPr="00AD2CA6" w:rsidRDefault="00E31A56" w:rsidP="00E31A56">
      <w:pPr>
        <w:jc w:val="center"/>
        <w:rPr>
          <w:rFonts w:ascii="Arial" w:hAnsi="Arial" w:cs="Arial"/>
          <w:b/>
          <w:smallCaps/>
          <w:sz w:val="24"/>
          <w:szCs w:val="24"/>
        </w:rPr>
      </w:pPr>
    </w:p>
    <w:p w14:paraId="69ADF1D1" w14:textId="77777777" w:rsidR="00E31A56" w:rsidRPr="0081782B" w:rsidRDefault="00E31A56" w:rsidP="00E31A56">
      <w:pPr>
        <w:jc w:val="center"/>
        <w:rPr>
          <w:rFonts w:ascii="Times New Roman" w:hAnsi="Times New Roman"/>
          <w:b/>
          <w:smallCaps/>
          <w:sz w:val="24"/>
          <w:szCs w:val="24"/>
        </w:rPr>
      </w:pPr>
    </w:p>
    <w:p w14:paraId="41F6A78D" w14:textId="4EFA0C12" w:rsidR="00E31A56" w:rsidRPr="0081782B" w:rsidRDefault="00E31A56" w:rsidP="00E31A56">
      <w:pPr>
        <w:jc w:val="center"/>
        <w:rPr>
          <w:rFonts w:ascii="Times New Roman" w:hAnsi="Times New Roman"/>
          <w:b/>
          <w:smallCaps/>
          <w:sz w:val="24"/>
          <w:szCs w:val="24"/>
        </w:rPr>
      </w:pPr>
      <w:r w:rsidRPr="0081782B">
        <w:rPr>
          <w:rFonts w:ascii="Times New Roman" w:hAnsi="Times New Roman"/>
          <w:b/>
          <w:smallCaps/>
          <w:sz w:val="24"/>
          <w:szCs w:val="24"/>
        </w:rPr>
        <w:t xml:space="preserve"> </w:t>
      </w:r>
    </w:p>
    <w:p w14:paraId="0EC1B9F5" w14:textId="5122D29D" w:rsidR="00E31A56" w:rsidRPr="0081782B" w:rsidRDefault="00E31A56" w:rsidP="004A31CD">
      <w:pPr>
        <w:pStyle w:val="Title"/>
        <w:tabs>
          <w:tab w:val="clear" w:pos="1440"/>
          <w:tab w:val="clear" w:pos="3060"/>
        </w:tabs>
        <w:ind w:left="567" w:hanging="567"/>
        <w:jc w:val="left"/>
        <w:outlineLvl w:val="9"/>
        <w:rPr>
          <w:b/>
          <w:smallCaps/>
          <w:szCs w:val="24"/>
        </w:rPr>
      </w:pPr>
    </w:p>
    <w:p w14:paraId="3FF6BC42" w14:textId="77A1070A" w:rsidR="00E31A56" w:rsidRPr="0081782B" w:rsidRDefault="00E31A56" w:rsidP="004A31CD">
      <w:pPr>
        <w:pStyle w:val="Title"/>
        <w:tabs>
          <w:tab w:val="clear" w:pos="1440"/>
          <w:tab w:val="clear" w:pos="3060"/>
        </w:tabs>
        <w:ind w:left="567" w:hanging="567"/>
        <w:jc w:val="left"/>
        <w:outlineLvl w:val="9"/>
        <w:rPr>
          <w:b/>
          <w:smallCaps/>
          <w:szCs w:val="24"/>
        </w:rPr>
      </w:pPr>
    </w:p>
    <w:p w14:paraId="680A5355" w14:textId="77777777" w:rsidR="00A51A5F" w:rsidRDefault="00A51A5F" w:rsidP="00A51A5F">
      <w:pPr>
        <w:sectPr w:rsidR="00A51A5F" w:rsidSect="00214954">
          <w:pgSz w:w="11907" w:h="16839" w:code="9"/>
          <w:pgMar w:top="1440" w:right="1800" w:bottom="1440" w:left="1800" w:header="720" w:footer="720" w:gutter="0"/>
          <w:cols w:space="720"/>
          <w:docGrid w:linePitch="360"/>
        </w:sectPr>
      </w:pPr>
    </w:p>
    <w:p w14:paraId="4A741AEB" w14:textId="499EB173" w:rsidR="00B84211" w:rsidRPr="0081782B" w:rsidRDefault="007A1860" w:rsidP="00A51A5F">
      <w:pPr>
        <w:pStyle w:val="Chapter"/>
      </w:pPr>
      <w:proofErr w:type="spellStart"/>
      <w:r w:rsidRPr="0081782B">
        <w:t>Introduc</w:t>
      </w:r>
      <w:r w:rsidR="006C3007" w:rsidRPr="0081782B">
        <w:t>tion</w:t>
      </w:r>
      <w:proofErr w:type="spellEnd"/>
      <w:r w:rsidR="006C3007" w:rsidRPr="0081782B">
        <w:t xml:space="preserve"> </w:t>
      </w:r>
    </w:p>
    <w:p w14:paraId="175FD4A4" w14:textId="16939DC7" w:rsidR="006C3007" w:rsidRPr="0081782B" w:rsidRDefault="006C3007" w:rsidP="00193BF8">
      <w:pPr>
        <w:pStyle w:val="Paragraph"/>
        <w:numPr>
          <w:ilvl w:val="1"/>
          <w:numId w:val="1"/>
        </w:numPr>
        <w:rPr>
          <w:kern w:val="28"/>
          <w:szCs w:val="24"/>
          <w:lang w:val="en-US"/>
        </w:rPr>
      </w:pPr>
      <w:r w:rsidRPr="0081782B">
        <w:rPr>
          <w:kern w:val="28"/>
          <w:szCs w:val="24"/>
          <w:lang w:val="en-US"/>
        </w:rPr>
        <w:t>The present document presents a</w:t>
      </w:r>
      <w:r w:rsidR="00A4633D" w:rsidRPr="0081782B">
        <w:rPr>
          <w:kern w:val="28"/>
          <w:szCs w:val="24"/>
          <w:lang w:val="en-US"/>
        </w:rPr>
        <w:t>n</w:t>
      </w:r>
      <w:r w:rsidRPr="0081782B">
        <w:rPr>
          <w:kern w:val="28"/>
          <w:szCs w:val="24"/>
          <w:lang w:val="en-US"/>
        </w:rPr>
        <w:t xml:space="preserve"> ex</w:t>
      </w:r>
      <w:r w:rsidR="00A4633D" w:rsidRPr="0081782B">
        <w:rPr>
          <w:kern w:val="28"/>
          <w:szCs w:val="24"/>
          <w:lang w:val="en-US"/>
        </w:rPr>
        <w:t xml:space="preserve"> </w:t>
      </w:r>
      <w:r w:rsidRPr="0081782B">
        <w:rPr>
          <w:kern w:val="28"/>
          <w:szCs w:val="24"/>
          <w:lang w:val="en-US"/>
        </w:rPr>
        <w:t>ant</w:t>
      </w:r>
      <w:r w:rsidR="00A4633D" w:rsidRPr="0081782B">
        <w:rPr>
          <w:kern w:val="28"/>
          <w:szCs w:val="24"/>
          <w:lang w:val="en-US"/>
        </w:rPr>
        <w:t>e</w:t>
      </w:r>
      <w:r w:rsidRPr="0081782B">
        <w:rPr>
          <w:kern w:val="28"/>
          <w:szCs w:val="24"/>
          <w:lang w:val="en-US"/>
        </w:rPr>
        <w:t xml:space="preserve"> economic analysis of the </w:t>
      </w:r>
      <w:r w:rsidR="00193BF8" w:rsidRPr="00193BF8">
        <w:rPr>
          <w:kern w:val="28"/>
          <w:szCs w:val="24"/>
          <w:lang w:val="en-US"/>
        </w:rPr>
        <w:t xml:space="preserve">Government Digital Transformation to Strengthen Competitiveness </w:t>
      </w:r>
      <w:r w:rsidR="001C7AD0" w:rsidRPr="0081782B">
        <w:rPr>
          <w:kern w:val="28"/>
          <w:szCs w:val="24"/>
          <w:lang w:val="en-US"/>
        </w:rPr>
        <w:t>(“the program”) (BH-L1045)</w:t>
      </w:r>
      <w:r w:rsidR="00903AEB" w:rsidRPr="0081782B">
        <w:rPr>
          <w:kern w:val="28"/>
          <w:szCs w:val="24"/>
          <w:lang w:val="en-US"/>
        </w:rPr>
        <w:t>, planned</w:t>
      </w:r>
      <w:r w:rsidR="001B7A96" w:rsidRPr="0081782B">
        <w:rPr>
          <w:kern w:val="28"/>
          <w:szCs w:val="24"/>
          <w:lang w:val="en-US"/>
        </w:rPr>
        <w:t xml:space="preserve"> to be executed</w:t>
      </w:r>
      <w:r w:rsidR="00903AEB" w:rsidRPr="0081782B">
        <w:rPr>
          <w:kern w:val="28"/>
          <w:szCs w:val="24"/>
          <w:lang w:val="en-US"/>
        </w:rPr>
        <w:t xml:space="preserve"> </w:t>
      </w:r>
      <w:r w:rsidR="00B80600" w:rsidRPr="0081782B">
        <w:rPr>
          <w:kern w:val="28"/>
          <w:szCs w:val="24"/>
          <w:lang w:val="en-US"/>
        </w:rPr>
        <w:t xml:space="preserve">in </w:t>
      </w:r>
      <w:r w:rsidR="00903AEB" w:rsidRPr="0081782B">
        <w:rPr>
          <w:kern w:val="28"/>
          <w:szCs w:val="24"/>
          <w:lang w:val="en-US"/>
        </w:rPr>
        <w:t>the period 201</w:t>
      </w:r>
      <w:r w:rsidR="001C7AD0" w:rsidRPr="0081782B">
        <w:rPr>
          <w:kern w:val="28"/>
          <w:szCs w:val="24"/>
          <w:lang w:val="en-US"/>
        </w:rPr>
        <w:t>8</w:t>
      </w:r>
      <w:r w:rsidR="00903AEB" w:rsidRPr="0081782B">
        <w:rPr>
          <w:kern w:val="28"/>
          <w:szCs w:val="24"/>
          <w:lang w:val="en-US"/>
        </w:rPr>
        <w:t>-</w:t>
      </w:r>
      <w:r w:rsidR="001B7A96" w:rsidRPr="0081782B">
        <w:rPr>
          <w:kern w:val="28"/>
          <w:szCs w:val="24"/>
          <w:lang w:val="en-US"/>
        </w:rPr>
        <w:t>2023</w:t>
      </w:r>
      <w:r w:rsidR="00903AEB" w:rsidRPr="0081782B">
        <w:rPr>
          <w:kern w:val="28"/>
          <w:szCs w:val="24"/>
          <w:lang w:val="en-US"/>
        </w:rPr>
        <w:t xml:space="preserve">. The methodology used </w:t>
      </w:r>
      <w:r w:rsidR="004A31CD" w:rsidRPr="0081782B">
        <w:rPr>
          <w:kern w:val="28"/>
          <w:szCs w:val="24"/>
          <w:lang w:val="en-US"/>
        </w:rPr>
        <w:t xml:space="preserve">was </w:t>
      </w:r>
      <w:r w:rsidR="00903AEB" w:rsidRPr="0081782B">
        <w:rPr>
          <w:kern w:val="28"/>
          <w:szCs w:val="24"/>
          <w:lang w:val="en-US"/>
        </w:rPr>
        <w:t>cost</w:t>
      </w:r>
      <w:r w:rsidR="004A31CD" w:rsidRPr="0081782B">
        <w:rPr>
          <w:kern w:val="28"/>
          <w:szCs w:val="24"/>
          <w:lang w:val="en-US"/>
        </w:rPr>
        <w:t>-</w:t>
      </w:r>
      <w:r w:rsidR="00903AEB" w:rsidRPr="0081782B">
        <w:rPr>
          <w:kern w:val="28"/>
          <w:szCs w:val="24"/>
          <w:lang w:val="en-US"/>
        </w:rPr>
        <w:t>benefit</w:t>
      </w:r>
      <w:r w:rsidR="001B7A96" w:rsidRPr="0081782B">
        <w:rPr>
          <w:kern w:val="28"/>
          <w:szCs w:val="24"/>
          <w:lang w:val="en-US"/>
        </w:rPr>
        <w:t xml:space="preserve"> analysis</w:t>
      </w:r>
      <w:r w:rsidR="00903AEB" w:rsidRPr="0081782B">
        <w:rPr>
          <w:kern w:val="28"/>
          <w:szCs w:val="24"/>
          <w:lang w:val="en-US"/>
        </w:rPr>
        <w:t>.</w:t>
      </w:r>
    </w:p>
    <w:p w14:paraId="1686C55F" w14:textId="1AF72249" w:rsidR="00F05AA6" w:rsidRPr="0081782B" w:rsidRDefault="00903AEB" w:rsidP="00F05AA6">
      <w:pPr>
        <w:pStyle w:val="Paragraph"/>
        <w:numPr>
          <w:ilvl w:val="1"/>
          <w:numId w:val="1"/>
        </w:numPr>
        <w:rPr>
          <w:kern w:val="28"/>
          <w:szCs w:val="24"/>
          <w:lang w:val="en-US"/>
        </w:rPr>
      </w:pPr>
      <w:r w:rsidRPr="0081782B">
        <w:rPr>
          <w:kern w:val="28"/>
          <w:szCs w:val="24"/>
          <w:lang w:val="en-US"/>
        </w:rPr>
        <w:t xml:space="preserve">The </w:t>
      </w:r>
      <w:r w:rsidR="001B7A96" w:rsidRPr="0081782B">
        <w:rPr>
          <w:kern w:val="28"/>
          <w:szCs w:val="24"/>
          <w:lang w:val="en-US"/>
        </w:rPr>
        <w:t xml:space="preserve">main </w:t>
      </w:r>
      <w:r w:rsidRPr="0081782B">
        <w:rPr>
          <w:kern w:val="28"/>
          <w:szCs w:val="24"/>
          <w:lang w:val="en-US"/>
        </w:rPr>
        <w:t xml:space="preserve">objective of </w:t>
      </w:r>
      <w:r w:rsidR="001B7A96" w:rsidRPr="0081782B">
        <w:rPr>
          <w:kern w:val="28"/>
          <w:szCs w:val="24"/>
          <w:lang w:val="en-US"/>
        </w:rPr>
        <w:t xml:space="preserve">the </w:t>
      </w:r>
      <w:r w:rsidR="001C7AD0" w:rsidRPr="0081782B">
        <w:rPr>
          <w:kern w:val="28"/>
          <w:szCs w:val="24"/>
          <w:lang w:val="en-US"/>
        </w:rPr>
        <w:t xml:space="preserve">program </w:t>
      </w:r>
      <w:r w:rsidR="00B80600" w:rsidRPr="0081782B">
        <w:rPr>
          <w:kern w:val="28"/>
          <w:szCs w:val="24"/>
          <w:lang w:val="en-US"/>
        </w:rPr>
        <w:t>is</w:t>
      </w:r>
      <w:r w:rsidRPr="0081782B">
        <w:rPr>
          <w:kern w:val="28"/>
          <w:szCs w:val="24"/>
          <w:lang w:val="en-US"/>
        </w:rPr>
        <w:t xml:space="preserve"> </w:t>
      </w:r>
      <w:r w:rsidR="00F05AA6" w:rsidRPr="0081782B">
        <w:rPr>
          <w:kern w:val="28"/>
          <w:szCs w:val="24"/>
          <w:lang w:val="en-US"/>
        </w:rPr>
        <w:t xml:space="preserve">to foster the competitiveness of The Bahamas by reducing the costs of conducting business with the government. </w:t>
      </w:r>
      <w:r w:rsidR="009C36C3" w:rsidRPr="0081782B">
        <w:rPr>
          <w:kern w:val="28"/>
          <w:szCs w:val="24"/>
          <w:lang w:val="en-US"/>
        </w:rPr>
        <w:t xml:space="preserve"> </w:t>
      </w:r>
      <w:r w:rsidR="00F05AA6" w:rsidRPr="0081782B">
        <w:rPr>
          <w:kern w:val="28"/>
          <w:szCs w:val="24"/>
          <w:lang w:val="en-US"/>
        </w:rPr>
        <w:t xml:space="preserve">This general objective will be accomplished by achieving the following specific objectives: (i) streamlining government procedures and making them available online to reduce the cost of government bureaucracy; (ii) increasing the use of ICTs in the public sector; and (iii) increasing transparency of government activities and strengthening auditing and control mechanisms. </w:t>
      </w:r>
    </w:p>
    <w:p w14:paraId="6FF73BB5" w14:textId="1EA67666" w:rsidR="0048244D" w:rsidRPr="0081782B" w:rsidRDefault="00B80600" w:rsidP="00B861FC">
      <w:pPr>
        <w:pStyle w:val="Paragraph"/>
        <w:numPr>
          <w:ilvl w:val="1"/>
          <w:numId w:val="1"/>
        </w:numPr>
        <w:rPr>
          <w:kern w:val="28"/>
          <w:szCs w:val="24"/>
          <w:lang w:val="en-US"/>
        </w:rPr>
      </w:pPr>
      <w:r w:rsidRPr="0081782B">
        <w:rPr>
          <w:kern w:val="28"/>
          <w:szCs w:val="24"/>
          <w:lang w:val="en-US"/>
        </w:rPr>
        <w:t>T</w:t>
      </w:r>
      <w:r w:rsidR="00A4633D" w:rsidRPr="0081782B">
        <w:rPr>
          <w:kern w:val="28"/>
          <w:szCs w:val="24"/>
          <w:lang w:val="en-US"/>
        </w:rPr>
        <w:t>he expected impact</w:t>
      </w:r>
      <w:r w:rsidR="00F05AA6" w:rsidRPr="0081782B">
        <w:rPr>
          <w:kern w:val="28"/>
          <w:szCs w:val="24"/>
          <w:lang w:val="en-US"/>
        </w:rPr>
        <w:t xml:space="preserve"> is the reduction of time spent by businesspeople doing government procedures.</w:t>
      </w:r>
    </w:p>
    <w:p w14:paraId="30EAD9BD" w14:textId="74B070E8" w:rsidR="00F66FE3" w:rsidRPr="0081782B" w:rsidRDefault="00B80600" w:rsidP="007E1F04">
      <w:pPr>
        <w:pStyle w:val="Paragraph"/>
        <w:numPr>
          <w:ilvl w:val="1"/>
          <w:numId w:val="1"/>
        </w:numPr>
        <w:spacing w:after="240"/>
        <w:ind w:left="562" w:hanging="562"/>
        <w:rPr>
          <w:szCs w:val="24"/>
          <w:lang w:val="en-CA"/>
        </w:rPr>
      </w:pPr>
      <w:r w:rsidRPr="0081782B">
        <w:rPr>
          <w:kern w:val="28"/>
          <w:szCs w:val="24"/>
          <w:lang w:val="en-US"/>
        </w:rPr>
        <w:t>T</w:t>
      </w:r>
      <w:r w:rsidR="009C36C3" w:rsidRPr="0081782B">
        <w:rPr>
          <w:kern w:val="28"/>
          <w:szCs w:val="24"/>
          <w:lang w:val="en-US"/>
        </w:rPr>
        <w:t>he program is structured in the following components</w:t>
      </w:r>
      <w:r w:rsidR="001F52BD" w:rsidRPr="0081782B">
        <w:rPr>
          <w:kern w:val="28"/>
          <w:szCs w:val="24"/>
          <w:lang w:val="en-US"/>
        </w:rPr>
        <w:t xml:space="preserve">: </w:t>
      </w:r>
      <w:r w:rsidR="00F05AA6" w:rsidRPr="0081782B">
        <w:rPr>
          <w:kern w:val="28"/>
          <w:szCs w:val="24"/>
          <w:lang w:val="en-US"/>
        </w:rPr>
        <w:t>(i) Simplifying and digitizing government procedures (US$1</w:t>
      </w:r>
      <w:r w:rsidR="00B515BF">
        <w:rPr>
          <w:kern w:val="28"/>
          <w:szCs w:val="24"/>
          <w:lang w:val="en-US"/>
        </w:rPr>
        <w:t>3.8</w:t>
      </w:r>
      <w:r w:rsidR="00F05AA6" w:rsidRPr="0081782B">
        <w:rPr>
          <w:kern w:val="28"/>
          <w:szCs w:val="24"/>
          <w:lang w:val="en-US"/>
        </w:rPr>
        <w:t> million); (ii) Strengthening institutional capacity for a digital government (US$</w:t>
      </w:r>
      <w:r w:rsidR="00B515BF">
        <w:rPr>
          <w:kern w:val="28"/>
          <w:szCs w:val="24"/>
          <w:lang w:val="en-US"/>
        </w:rPr>
        <w:t>9</w:t>
      </w:r>
      <w:r w:rsidR="00F05AA6" w:rsidRPr="0081782B">
        <w:rPr>
          <w:kern w:val="28"/>
          <w:szCs w:val="24"/>
          <w:lang w:val="en-US"/>
        </w:rPr>
        <w:t>.</w:t>
      </w:r>
      <w:r w:rsidR="00B515BF">
        <w:rPr>
          <w:kern w:val="28"/>
          <w:szCs w:val="24"/>
          <w:lang w:val="en-US"/>
        </w:rPr>
        <w:t>9</w:t>
      </w:r>
      <w:r w:rsidR="00F05AA6" w:rsidRPr="0081782B">
        <w:rPr>
          <w:kern w:val="28"/>
          <w:szCs w:val="24"/>
          <w:lang w:val="en-US"/>
        </w:rPr>
        <w:t> million); (iii) Enhancing transparency and integrity in government (US$3 million). Project management, monitoring, evaluation, audit and contingences amount at US$</w:t>
      </w:r>
      <w:r w:rsidR="00B515BF">
        <w:rPr>
          <w:kern w:val="28"/>
          <w:szCs w:val="24"/>
          <w:lang w:val="en-US"/>
        </w:rPr>
        <w:t>3</w:t>
      </w:r>
      <w:r w:rsidR="00F05AA6" w:rsidRPr="0081782B">
        <w:rPr>
          <w:kern w:val="28"/>
          <w:szCs w:val="24"/>
          <w:lang w:val="en-US"/>
        </w:rPr>
        <w:t>.</w:t>
      </w:r>
      <w:r w:rsidR="00B515BF">
        <w:rPr>
          <w:kern w:val="28"/>
          <w:szCs w:val="24"/>
          <w:lang w:val="en-US"/>
        </w:rPr>
        <w:t>3</w:t>
      </w:r>
      <w:r w:rsidR="00F05AA6" w:rsidRPr="0081782B">
        <w:rPr>
          <w:kern w:val="28"/>
          <w:szCs w:val="24"/>
          <w:lang w:val="en-US"/>
        </w:rPr>
        <w:t xml:space="preserve"> million</w:t>
      </w:r>
      <w:r w:rsidR="00E1793D" w:rsidRPr="0081782B">
        <w:rPr>
          <w:kern w:val="28"/>
          <w:szCs w:val="24"/>
          <w:lang w:val="en-US"/>
        </w:rPr>
        <w:t>.</w:t>
      </w:r>
      <w:r w:rsidR="00E1793D" w:rsidRPr="0081782B">
        <w:rPr>
          <w:b/>
          <w:kern w:val="28"/>
          <w:szCs w:val="24"/>
          <w:lang w:val="en-US"/>
        </w:rPr>
        <w:t xml:space="preserve"> </w:t>
      </w:r>
      <w:r w:rsidR="00685A56" w:rsidRPr="0081782B">
        <w:rPr>
          <w:kern w:val="28"/>
          <w:szCs w:val="24"/>
          <w:lang w:val="en-US"/>
        </w:rPr>
        <w:t>The results matrix</w:t>
      </w:r>
      <w:r w:rsidR="00A23981" w:rsidRPr="0081782B">
        <w:rPr>
          <w:kern w:val="28"/>
          <w:szCs w:val="24"/>
          <w:lang w:val="en-US"/>
        </w:rPr>
        <w:t>,</w:t>
      </w:r>
      <w:r w:rsidR="00685A56" w:rsidRPr="0081782B">
        <w:rPr>
          <w:kern w:val="28"/>
          <w:szCs w:val="24"/>
          <w:lang w:val="en-US"/>
        </w:rPr>
        <w:t xml:space="preserve"> </w:t>
      </w:r>
      <w:r w:rsidR="00B861FC" w:rsidRPr="0081782B">
        <w:rPr>
          <w:kern w:val="28"/>
          <w:szCs w:val="24"/>
          <w:lang w:val="en-US"/>
        </w:rPr>
        <w:t>included in the POD</w:t>
      </w:r>
      <w:r w:rsidR="00A23981" w:rsidRPr="0081782B">
        <w:rPr>
          <w:kern w:val="28"/>
          <w:szCs w:val="24"/>
          <w:lang w:val="en-US"/>
        </w:rPr>
        <w:t>,</w:t>
      </w:r>
      <w:r w:rsidR="00B861FC" w:rsidRPr="0081782B">
        <w:rPr>
          <w:kern w:val="28"/>
          <w:szCs w:val="24"/>
          <w:lang w:val="en-US"/>
        </w:rPr>
        <w:t xml:space="preserve"> </w:t>
      </w:r>
      <w:r w:rsidR="00A23981" w:rsidRPr="0081782B">
        <w:rPr>
          <w:kern w:val="28"/>
          <w:szCs w:val="24"/>
          <w:lang w:val="en-US"/>
        </w:rPr>
        <w:t>indicates</w:t>
      </w:r>
      <w:r w:rsidR="00B861FC" w:rsidRPr="0081782B">
        <w:rPr>
          <w:kern w:val="28"/>
          <w:szCs w:val="24"/>
          <w:lang w:val="en-US"/>
        </w:rPr>
        <w:t xml:space="preserve"> the </w:t>
      </w:r>
      <w:r w:rsidR="00A23981" w:rsidRPr="0081782B">
        <w:rPr>
          <w:kern w:val="28"/>
          <w:szCs w:val="24"/>
          <w:lang w:val="en-US"/>
        </w:rPr>
        <w:t>corresponding variables, indicators, baseline and target values</w:t>
      </w:r>
      <w:r w:rsidR="001F52BD" w:rsidRPr="0081782B">
        <w:rPr>
          <w:kern w:val="28"/>
          <w:szCs w:val="24"/>
          <w:lang w:val="en-US"/>
        </w:rPr>
        <w:t>.</w:t>
      </w:r>
      <w:r w:rsidR="00A23981" w:rsidRPr="0081782B">
        <w:rPr>
          <w:kern w:val="28"/>
          <w:szCs w:val="24"/>
          <w:lang w:val="en-US"/>
        </w:rPr>
        <w:t xml:space="preserve"> </w:t>
      </w:r>
      <w:r w:rsidR="00F66FE3" w:rsidRPr="0081782B">
        <w:rPr>
          <w:kern w:val="28"/>
          <w:szCs w:val="24"/>
          <w:lang w:val="en-US"/>
        </w:rPr>
        <w:t xml:space="preserve">The economic analysis is associated with two indicators from the results matrix: (i) People obtaining a certified copy of birth registration online; and (ii) government Institutions connected to the interoperability platform. </w:t>
      </w:r>
    </w:p>
    <w:p w14:paraId="615606D2" w14:textId="671F7C11" w:rsidR="00B84211" w:rsidRPr="007E1F04" w:rsidRDefault="00A23981" w:rsidP="007E1F04">
      <w:pPr>
        <w:pStyle w:val="Chapter"/>
        <w:spacing w:before="360"/>
      </w:pPr>
      <w:proofErr w:type="spellStart"/>
      <w:r w:rsidRPr="007E1F04">
        <w:t>Assumptions</w:t>
      </w:r>
      <w:proofErr w:type="spellEnd"/>
      <w:r w:rsidRPr="007E1F04">
        <w:t xml:space="preserve"> and </w:t>
      </w:r>
      <w:proofErr w:type="spellStart"/>
      <w:r w:rsidR="00C355F9" w:rsidRPr="007E1F04">
        <w:t>Met</w:t>
      </w:r>
      <w:r w:rsidR="000D673C" w:rsidRPr="007E1F04">
        <w:t>hodology</w:t>
      </w:r>
      <w:proofErr w:type="spellEnd"/>
    </w:p>
    <w:p w14:paraId="182729EB" w14:textId="31660DE4" w:rsidR="007E1F04" w:rsidRPr="008F5F3E" w:rsidRDefault="00FA7569" w:rsidP="007E1F04">
      <w:pPr>
        <w:pStyle w:val="Paragraph"/>
        <w:rPr>
          <w:b/>
          <w:lang w:val="en-US"/>
        </w:rPr>
      </w:pPr>
      <w:r w:rsidRPr="007E1F04">
        <w:rPr>
          <w:lang w:val="en-US"/>
        </w:rPr>
        <w:t xml:space="preserve">To quantify the </w:t>
      </w:r>
      <w:r w:rsidR="001C7AD0" w:rsidRPr="007E1F04">
        <w:rPr>
          <w:lang w:val="en-US"/>
        </w:rPr>
        <w:t>economic benefits produced by the program, five types of savings were analyzed: (i) use of online services, of services not currently online</w:t>
      </w:r>
      <w:r w:rsidR="006704E8" w:rsidRPr="007E1F04">
        <w:rPr>
          <w:lang w:val="en-US"/>
        </w:rPr>
        <w:t xml:space="preserve"> and increased use of </w:t>
      </w:r>
      <w:r w:rsidR="00AD726A" w:rsidRPr="007E1F04">
        <w:rPr>
          <w:lang w:val="en-US"/>
        </w:rPr>
        <w:t>the online option for services currently available online</w:t>
      </w:r>
      <w:r w:rsidR="001C7AD0" w:rsidRPr="007E1F04">
        <w:rPr>
          <w:lang w:val="en-US"/>
        </w:rPr>
        <w:t xml:space="preserve">; (ii) </w:t>
      </w:r>
      <w:r w:rsidR="00DD5BB5" w:rsidRPr="007E1F04">
        <w:rPr>
          <w:lang w:val="en-US"/>
        </w:rPr>
        <w:t>elimination of required transactions</w:t>
      </w:r>
      <w:r w:rsidR="001C7AD0" w:rsidRPr="007E1F04">
        <w:rPr>
          <w:lang w:val="en-US"/>
        </w:rPr>
        <w:t>; (iii) reduced government expenditure on staff to attend in-person service requests;</w:t>
      </w:r>
      <w:r w:rsidR="00D71C0E">
        <w:rPr>
          <w:rStyle w:val="FootnoteReference"/>
          <w:lang w:val="en-US"/>
        </w:rPr>
        <w:footnoteReference w:id="1"/>
      </w:r>
      <w:r w:rsidR="001C7AD0" w:rsidRPr="007E1F04">
        <w:rPr>
          <w:lang w:val="en-US"/>
        </w:rPr>
        <w:t xml:space="preserve"> (iv) reduced government expenditure on staff to conduct data exchange among government agencies; and (v) reduced government expenditure on paper and ink. </w:t>
      </w:r>
      <w:r w:rsidR="001C7AD0" w:rsidRPr="008F5F3E">
        <w:rPr>
          <w:lang w:val="en-US"/>
        </w:rPr>
        <w:t xml:space="preserve">Three sources of information were used: administrative data (on the availability and use of online services as well as government expenditure on different cost centers), interviews with government personnel (to quantify staff time dedicated to different tasks), and citizen surveys (to quantify time and transport burden in accessing government services). </w:t>
      </w:r>
    </w:p>
    <w:p w14:paraId="0067CF18" w14:textId="46DAD5C0" w:rsidR="00A34518" w:rsidRPr="00A34518" w:rsidRDefault="001C7AD0" w:rsidP="00A34518">
      <w:pPr>
        <w:pStyle w:val="Paragraph"/>
        <w:spacing w:after="240"/>
        <w:rPr>
          <w:b/>
          <w:lang w:val="en-US"/>
        </w:rPr>
      </w:pPr>
      <w:r w:rsidRPr="007E1F04">
        <w:rPr>
          <w:szCs w:val="24"/>
          <w:lang w:val="en-US"/>
        </w:rPr>
        <w:t xml:space="preserve">Thirteen different services at four different government agencies were studied. This approach </w:t>
      </w:r>
      <w:r w:rsidR="00EF4FDD" w:rsidRPr="007E1F04">
        <w:rPr>
          <w:szCs w:val="24"/>
          <w:lang w:val="en-US"/>
        </w:rPr>
        <w:t>is necessarily conservative in terms of cost-benefit estimates, as the government has approximately 90 different agencies and nearly 400</w:t>
      </w:r>
      <w:r w:rsidR="007E1F04">
        <w:rPr>
          <w:szCs w:val="24"/>
          <w:lang w:val="en-US"/>
        </w:rPr>
        <w:t> </w:t>
      </w:r>
      <w:r w:rsidR="00EF4FDD" w:rsidRPr="007E1F04">
        <w:rPr>
          <w:szCs w:val="24"/>
          <w:lang w:val="en-US"/>
        </w:rPr>
        <w:t>services, many of which will be benefited by the program</w:t>
      </w:r>
      <w:r w:rsidR="006C6F1F" w:rsidRPr="007E1F04">
        <w:rPr>
          <w:szCs w:val="24"/>
          <w:lang w:val="en-US"/>
        </w:rPr>
        <w:t xml:space="preserve"> – not only the </w:t>
      </w:r>
      <w:r w:rsidR="006C6F1F" w:rsidRPr="007E1F04">
        <w:rPr>
          <w:szCs w:val="24"/>
          <w:lang w:val="en-US"/>
        </w:rPr>
        <w:lastRenderedPageBreak/>
        <w:t>13</w:t>
      </w:r>
      <w:r w:rsidR="007E1F04">
        <w:rPr>
          <w:szCs w:val="24"/>
          <w:lang w:val="en-US"/>
        </w:rPr>
        <w:t> </w:t>
      </w:r>
      <w:r w:rsidR="006C6F1F" w:rsidRPr="007E1F04">
        <w:rPr>
          <w:szCs w:val="24"/>
          <w:lang w:val="en-US"/>
        </w:rPr>
        <w:t>services and four agencies analyzed herein. The agencies and services analyzed include:</w:t>
      </w:r>
    </w:p>
    <w:p w14:paraId="7F5BFF0A" w14:textId="77777777" w:rsidR="007E1F04" w:rsidRPr="007E1F04" w:rsidRDefault="006C6F1F" w:rsidP="007E1F04">
      <w:pPr>
        <w:pStyle w:val="subpar"/>
        <w:rPr>
          <w:b/>
          <w:lang w:val="en-US"/>
        </w:rPr>
      </w:pPr>
      <w:r w:rsidRPr="007E1F04">
        <w:rPr>
          <w:b/>
          <w:lang w:val="en-US"/>
        </w:rPr>
        <w:t xml:space="preserve">Registrar General’s Department: </w:t>
      </w:r>
      <w:r w:rsidR="00763788" w:rsidRPr="007E1F04">
        <w:rPr>
          <w:lang w:val="en-US"/>
        </w:rPr>
        <w:t>birth registration, death certification, marriage license, Certificate of Good Standing</w:t>
      </w:r>
      <w:r w:rsidR="007E1F04" w:rsidRPr="007E1F04">
        <w:rPr>
          <w:lang w:val="en-US"/>
        </w:rPr>
        <w:t>.</w:t>
      </w:r>
    </w:p>
    <w:p w14:paraId="3962DDC7" w14:textId="77777777" w:rsidR="007E1F04" w:rsidRPr="007E1F04" w:rsidRDefault="006C6F1F" w:rsidP="007E1F04">
      <w:pPr>
        <w:pStyle w:val="subpar"/>
        <w:rPr>
          <w:b/>
          <w:lang w:val="en-US"/>
        </w:rPr>
      </w:pPr>
      <w:r w:rsidRPr="007E1F04">
        <w:rPr>
          <w:b/>
          <w:szCs w:val="24"/>
          <w:lang w:val="en-US"/>
        </w:rPr>
        <w:t xml:space="preserve">National Insurance Board: </w:t>
      </w:r>
      <w:r w:rsidR="00763788" w:rsidRPr="007E1F04">
        <w:rPr>
          <w:szCs w:val="24"/>
          <w:lang w:val="en-US"/>
        </w:rPr>
        <w:t>pensioner life verification</w:t>
      </w:r>
      <w:r w:rsidR="007D3627" w:rsidRPr="007E1F04">
        <w:rPr>
          <w:szCs w:val="24"/>
          <w:lang w:val="en-US"/>
        </w:rPr>
        <w:t xml:space="preserve">; </w:t>
      </w:r>
      <w:proofErr w:type="gramStart"/>
      <w:r w:rsidR="007D3627" w:rsidRPr="007E1F04">
        <w:rPr>
          <w:szCs w:val="24"/>
          <w:lang w:val="en-US"/>
        </w:rPr>
        <w:t>new registration</w:t>
      </w:r>
      <w:proofErr w:type="gramEnd"/>
      <w:r w:rsidR="007D3627" w:rsidRPr="007E1F04">
        <w:rPr>
          <w:szCs w:val="24"/>
          <w:lang w:val="en-US"/>
        </w:rPr>
        <w:t xml:space="preserve"> of employers &amp; self-employed persons, new registration of insured persons, benefit &amp; assistance claims</w:t>
      </w:r>
      <w:r w:rsidR="007E1F04">
        <w:rPr>
          <w:szCs w:val="24"/>
          <w:lang w:val="en-US"/>
        </w:rPr>
        <w:t>.</w:t>
      </w:r>
    </w:p>
    <w:p w14:paraId="05A99F2B" w14:textId="77777777" w:rsidR="007E1F04" w:rsidRPr="007E1F04" w:rsidRDefault="006C6F1F" w:rsidP="007E1F04">
      <w:pPr>
        <w:pStyle w:val="subpar"/>
        <w:rPr>
          <w:b/>
          <w:lang w:val="en-US"/>
        </w:rPr>
      </w:pPr>
      <w:r w:rsidRPr="007E1F04">
        <w:rPr>
          <w:b/>
          <w:szCs w:val="24"/>
          <w:lang w:val="en-US"/>
        </w:rPr>
        <w:t xml:space="preserve">Inland Revenue Department: </w:t>
      </w:r>
      <w:r w:rsidR="00763788" w:rsidRPr="007E1F04">
        <w:rPr>
          <w:szCs w:val="24"/>
          <w:lang w:val="en-US"/>
        </w:rPr>
        <w:t xml:space="preserve">Value Added Tax payment, </w:t>
      </w:r>
      <w:r w:rsidR="007D3627" w:rsidRPr="007E1F04">
        <w:rPr>
          <w:szCs w:val="24"/>
          <w:lang w:val="en-US"/>
        </w:rPr>
        <w:t>business license renewal, property tax payment, business registration</w:t>
      </w:r>
      <w:r w:rsidR="007E1F04">
        <w:rPr>
          <w:szCs w:val="24"/>
          <w:lang w:val="en-US"/>
        </w:rPr>
        <w:t>.</w:t>
      </w:r>
    </w:p>
    <w:p w14:paraId="27BA143A" w14:textId="158F9EB5" w:rsidR="006C6F1F" w:rsidRPr="007E1F04" w:rsidRDefault="006C6F1F" w:rsidP="007E1F04">
      <w:pPr>
        <w:pStyle w:val="subpar"/>
        <w:rPr>
          <w:b/>
          <w:lang w:val="en-US"/>
        </w:rPr>
      </w:pPr>
      <w:r w:rsidRPr="007E1F04">
        <w:rPr>
          <w:b/>
          <w:szCs w:val="24"/>
          <w:lang w:val="en-US"/>
        </w:rPr>
        <w:t>Road Traffic Department:</w:t>
      </w:r>
      <w:r w:rsidR="007D3627" w:rsidRPr="007E1F04">
        <w:rPr>
          <w:b/>
          <w:szCs w:val="24"/>
          <w:lang w:val="en-US"/>
        </w:rPr>
        <w:t xml:space="preserve"> </w:t>
      </w:r>
      <w:r w:rsidR="007D3627" w:rsidRPr="007E1F04">
        <w:rPr>
          <w:szCs w:val="24"/>
          <w:lang w:val="en-US"/>
        </w:rPr>
        <w:t>Driver’s license renewal</w:t>
      </w:r>
      <w:r w:rsidR="007E1F04">
        <w:rPr>
          <w:szCs w:val="24"/>
          <w:lang w:val="en-US"/>
        </w:rPr>
        <w:t>.</w:t>
      </w:r>
    </w:p>
    <w:p w14:paraId="41C83688" w14:textId="77777777" w:rsidR="007E1F04" w:rsidRPr="007E1F04" w:rsidRDefault="007E1F04" w:rsidP="007E1F04">
      <w:pPr>
        <w:pStyle w:val="subpar"/>
        <w:numPr>
          <w:ilvl w:val="0"/>
          <w:numId w:val="0"/>
        </w:numPr>
        <w:ind w:left="1152"/>
        <w:rPr>
          <w:b/>
          <w:lang w:val="en-US"/>
        </w:rPr>
      </w:pPr>
    </w:p>
    <w:p w14:paraId="40B143C5" w14:textId="4B8B18BE" w:rsidR="006C6F1F" w:rsidRPr="008F5F3E" w:rsidRDefault="006C6F1F" w:rsidP="007E1F04">
      <w:pPr>
        <w:pStyle w:val="Paragraph"/>
        <w:rPr>
          <w:b/>
          <w:lang w:val="en-US"/>
        </w:rPr>
      </w:pPr>
      <w:r w:rsidRPr="008F5F3E">
        <w:rPr>
          <w:lang w:val="en-US"/>
        </w:rPr>
        <w:t>At each agency, the following data was gathered:</w:t>
      </w:r>
    </w:p>
    <w:p w14:paraId="1090497C" w14:textId="77777777" w:rsidR="007E1F04" w:rsidRDefault="006C6F1F" w:rsidP="007E1F04">
      <w:pPr>
        <w:pStyle w:val="subpar"/>
        <w:rPr>
          <w:lang w:val="en-US"/>
        </w:rPr>
      </w:pPr>
      <w:r w:rsidRPr="007E1F04">
        <w:rPr>
          <w:lang w:val="en-US"/>
        </w:rPr>
        <w:t>Transactional services offered</w:t>
      </w:r>
      <w:r w:rsidR="007E1F04" w:rsidRPr="007E1F04">
        <w:rPr>
          <w:lang w:val="en-US"/>
        </w:rPr>
        <w:t>.</w:t>
      </w:r>
    </w:p>
    <w:p w14:paraId="0AD0DA67" w14:textId="77777777" w:rsidR="007E1F04" w:rsidRPr="007E1F04" w:rsidRDefault="00763788" w:rsidP="007E1F04">
      <w:pPr>
        <w:pStyle w:val="subpar"/>
        <w:rPr>
          <w:lang w:val="en-US"/>
        </w:rPr>
      </w:pPr>
      <w:r w:rsidRPr="007E1F04">
        <w:rPr>
          <w:szCs w:val="24"/>
          <w:lang w:val="en-US"/>
        </w:rPr>
        <w:t>Current and potential future online availability (to start or complete online)</w:t>
      </w:r>
      <w:r w:rsidR="007E1F04">
        <w:rPr>
          <w:szCs w:val="24"/>
          <w:lang w:val="en-US"/>
        </w:rPr>
        <w:t>.</w:t>
      </w:r>
    </w:p>
    <w:p w14:paraId="3FC15DAF" w14:textId="77777777" w:rsidR="007E1F04" w:rsidRPr="007E1F04" w:rsidRDefault="00763788" w:rsidP="007E1F04">
      <w:pPr>
        <w:pStyle w:val="subpar"/>
        <w:rPr>
          <w:lang w:val="en-US"/>
        </w:rPr>
      </w:pPr>
      <w:r w:rsidRPr="007E1F04">
        <w:rPr>
          <w:szCs w:val="24"/>
          <w:lang w:val="en-US"/>
        </w:rPr>
        <w:t>Current online usage as a percentage of total service requests</w:t>
      </w:r>
      <w:r w:rsidR="007E1F04">
        <w:rPr>
          <w:szCs w:val="24"/>
          <w:lang w:val="en-US"/>
        </w:rPr>
        <w:t>.</w:t>
      </w:r>
    </w:p>
    <w:p w14:paraId="3E2DAF8C" w14:textId="77777777" w:rsidR="007E1F04" w:rsidRPr="007E1F04" w:rsidRDefault="00763788" w:rsidP="007E1F04">
      <w:pPr>
        <w:pStyle w:val="subpar"/>
        <w:rPr>
          <w:lang w:val="en-US"/>
        </w:rPr>
      </w:pPr>
      <w:r w:rsidRPr="007E1F04">
        <w:rPr>
          <w:szCs w:val="24"/>
          <w:lang w:val="en-US"/>
        </w:rPr>
        <w:t>Front-line staff involved in delivering the service to citizens</w:t>
      </w:r>
      <w:r w:rsidR="007E1F04">
        <w:rPr>
          <w:szCs w:val="24"/>
          <w:lang w:val="en-US"/>
        </w:rPr>
        <w:t>.</w:t>
      </w:r>
    </w:p>
    <w:p w14:paraId="2ECD66ED" w14:textId="180C7A70" w:rsidR="00763788" w:rsidRPr="007E1F04" w:rsidRDefault="00763788" w:rsidP="007E1F04">
      <w:pPr>
        <w:pStyle w:val="subpar"/>
        <w:rPr>
          <w:lang w:val="en-US"/>
        </w:rPr>
      </w:pPr>
      <w:r w:rsidRPr="007E1F04">
        <w:rPr>
          <w:szCs w:val="24"/>
          <w:lang w:val="en-US"/>
        </w:rPr>
        <w:t>Back-office staff involved in inter-agency data exchange necessary for service delivery</w:t>
      </w:r>
      <w:r w:rsidR="007E1F04">
        <w:rPr>
          <w:szCs w:val="24"/>
          <w:lang w:val="en-US"/>
        </w:rPr>
        <w:t>.</w:t>
      </w:r>
    </w:p>
    <w:p w14:paraId="31C1CA91" w14:textId="77777777" w:rsidR="007E1F04" w:rsidRPr="007E1F04" w:rsidRDefault="007E1F04" w:rsidP="007E1F04">
      <w:pPr>
        <w:pStyle w:val="subpar"/>
        <w:numPr>
          <w:ilvl w:val="0"/>
          <w:numId w:val="0"/>
        </w:numPr>
        <w:ind w:left="1152"/>
        <w:rPr>
          <w:lang w:val="en-US"/>
        </w:rPr>
      </w:pPr>
    </w:p>
    <w:p w14:paraId="6B1AECA2" w14:textId="2A6B0FF4" w:rsidR="00763788" w:rsidRPr="0081782B" w:rsidRDefault="00763788" w:rsidP="007E1F04">
      <w:pPr>
        <w:pStyle w:val="Paragraph"/>
      </w:pPr>
      <w:r w:rsidRPr="008F5F3E">
        <w:rPr>
          <w:lang w:val="en-US"/>
        </w:rPr>
        <w:t>Additionally, to establish a baseline for the costs citizens currently face when accessing public services</w:t>
      </w:r>
      <w:r w:rsidR="009A7FAC" w:rsidRPr="008F5F3E">
        <w:rPr>
          <w:lang w:val="en-US"/>
        </w:rPr>
        <w:t xml:space="preserve"> (</w:t>
      </w:r>
      <w:r w:rsidR="0071434D" w:rsidRPr="008F5F3E">
        <w:rPr>
          <w:lang w:val="en-US"/>
        </w:rPr>
        <w:t>the “without project” scenario)</w:t>
      </w:r>
      <w:r w:rsidRPr="008F5F3E">
        <w:rPr>
          <w:lang w:val="en-US"/>
        </w:rPr>
        <w:t xml:space="preserve">, a survey was conducted of 19 citizens completing a variety of services at the Registrar General’s Department. </w:t>
      </w:r>
      <w:r w:rsidRPr="0081782B">
        <w:t xml:space="preserve">The </w:t>
      </w:r>
      <w:proofErr w:type="spellStart"/>
      <w:r w:rsidRPr="0081782B">
        <w:t>survey</w:t>
      </w:r>
      <w:proofErr w:type="spellEnd"/>
      <w:r w:rsidRPr="0081782B">
        <w:t xml:space="preserve"> </w:t>
      </w:r>
      <w:proofErr w:type="spellStart"/>
      <w:r w:rsidRPr="0081782B">
        <w:t>gathered</w:t>
      </w:r>
      <w:proofErr w:type="spellEnd"/>
      <w:r w:rsidRPr="0081782B">
        <w:t xml:space="preserve"> the </w:t>
      </w:r>
      <w:proofErr w:type="spellStart"/>
      <w:r w:rsidRPr="0081782B">
        <w:t>following</w:t>
      </w:r>
      <w:proofErr w:type="spellEnd"/>
      <w:r w:rsidRPr="0081782B">
        <w:t xml:space="preserve"> </w:t>
      </w:r>
      <w:proofErr w:type="spellStart"/>
      <w:r w:rsidRPr="0081782B">
        <w:t>information</w:t>
      </w:r>
      <w:proofErr w:type="spellEnd"/>
      <w:r w:rsidRPr="0081782B">
        <w:t>:</w:t>
      </w:r>
    </w:p>
    <w:p w14:paraId="71A4EB4F" w14:textId="77777777" w:rsidR="007E1F04" w:rsidRDefault="00763788" w:rsidP="007E1F04">
      <w:pPr>
        <w:pStyle w:val="subpar"/>
        <w:rPr>
          <w:lang w:val="en-US"/>
        </w:rPr>
      </w:pPr>
      <w:r w:rsidRPr="007E1F04">
        <w:rPr>
          <w:lang w:val="en-US"/>
        </w:rPr>
        <w:t>Service requested</w:t>
      </w:r>
      <w:r w:rsidR="007E1F04" w:rsidRPr="007E1F04">
        <w:rPr>
          <w:lang w:val="en-US"/>
        </w:rPr>
        <w:t>.</w:t>
      </w:r>
    </w:p>
    <w:p w14:paraId="79E63B5D" w14:textId="77777777" w:rsidR="007E1F04" w:rsidRPr="007E1F04" w:rsidRDefault="00763788" w:rsidP="007E1F04">
      <w:pPr>
        <w:pStyle w:val="subpar"/>
        <w:rPr>
          <w:lang w:val="en-US"/>
        </w:rPr>
      </w:pPr>
      <w:r w:rsidRPr="007E1F04">
        <w:rPr>
          <w:szCs w:val="24"/>
          <w:lang w:val="en-US"/>
        </w:rPr>
        <w:t>Number of trips to the office required to obtain the service</w:t>
      </w:r>
      <w:r w:rsidR="007E1F04">
        <w:rPr>
          <w:szCs w:val="24"/>
          <w:lang w:val="en-US"/>
        </w:rPr>
        <w:t>.</w:t>
      </w:r>
    </w:p>
    <w:p w14:paraId="50A44845" w14:textId="77777777" w:rsidR="007E1F04" w:rsidRPr="007E1F04" w:rsidRDefault="00763788" w:rsidP="007E1F04">
      <w:pPr>
        <w:pStyle w:val="subpar"/>
        <w:rPr>
          <w:lang w:val="en-US"/>
        </w:rPr>
      </w:pPr>
      <w:r w:rsidRPr="007E1F04">
        <w:rPr>
          <w:szCs w:val="24"/>
          <w:lang w:val="en-US"/>
        </w:rPr>
        <w:t>Mode of transportation used</w:t>
      </w:r>
      <w:r w:rsidR="007E1F04">
        <w:rPr>
          <w:szCs w:val="24"/>
          <w:lang w:val="en-US"/>
        </w:rPr>
        <w:t>.</w:t>
      </w:r>
    </w:p>
    <w:p w14:paraId="6266CFC4" w14:textId="77777777" w:rsidR="007E1F04" w:rsidRPr="007E1F04" w:rsidRDefault="00ED0948" w:rsidP="007E1F04">
      <w:pPr>
        <w:pStyle w:val="subpar"/>
        <w:rPr>
          <w:lang w:val="en-US"/>
        </w:rPr>
      </w:pPr>
      <w:r w:rsidRPr="007E1F04">
        <w:rPr>
          <w:szCs w:val="24"/>
          <w:lang w:val="en-US"/>
        </w:rPr>
        <w:t>Time spent in transport</w:t>
      </w:r>
      <w:r w:rsidR="007E1F04">
        <w:rPr>
          <w:szCs w:val="24"/>
          <w:lang w:val="en-US"/>
        </w:rPr>
        <w:t>.</w:t>
      </w:r>
    </w:p>
    <w:p w14:paraId="167BAF12" w14:textId="5B8E7ACA" w:rsidR="00ED0948" w:rsidRPr="007E1F04" w:rsidRDefault="00ED0948" w:rsidP="007E1F04">
      <w:pPr>
        <w:pStyle w:val="subpar"/>
        <w:rPr>
          <w:lang w:val="en-US"/>
        </w:rPr>
      </w:pPr>
      <w:r w:rsidRPr="007E1F04">
        <w:rPr>
          <w:szCs w:val="24"/>
          <w:lang w:val="en-US"/>
        </w:rPr>
        <w:t>Time spent in the office</w:t>
      </w:r>
      <w:r w:rsidR="007E1F04">
        <w:rPr>
          <w:szCs w:val="24"/>
          <w:lang w:val="en-US"/>
        </w:rPr>
        <w:t>.</w:t>
      </w:r>
    </w:p>
    <w:p w14:paraId="04098801" w14:textId="77777777" w:rsidR="007E1F04" w:rsidRPr="007E1F04" w:rsidRDefault="007E1F04" w:rsidP="007E1F04">
      <w:pPr>
        <w:pStyle w:val="subpar"/>
        <w:numPr>
          <w:ilvl w:val="0"/>
          <w:numId w:val="0"/>
        </w:numPr>
        <w:ind w:left="1152"/>
        <w:rPr>
          <w:lang w:val="en-US"/>
        </w:rPr>
      </w:pPr>
    </w:p>
    <w:p w14:paraId="4BDD3501" w14:textId="77777777" w:rsidR="007E1F04" w:rsidRPr="008F5F3E" w:rsidRDefault="00A655F7" w:rsidP="007E1F04">
      <w:pPr>
        <w:pStyle w:val="Paragraph"/>
        <w:rPr>
          <w:lang w:val="en-US"/>
        </w:rPr>
      </w:pPr>
      <w:r w:rsidRPr="008F5F3E">
        <w:rPr>
          <w:lang w:val="en-US"/>
        </w:rPr>
        <w:t xml:space="preserve">The calculation of the benefits derived from </w:t>
      </w:r>
      <w:r w:rsidR="00D05863" w:rsidRPr="008F5F3E">
        <w:rPr>
          <w:lang w:val="en-US"/>
        </w:rPr>
        <w:t xml:space="preserve">the interventions supported by the program were based on </w:t>
      </w:r>
      <w:proofErr w:type="gramStart"/>
      <w:r w:rsidR="00D05863" w:rsidRPr="008F5F3E">
        <w:rPr>
          <w:lang w:val="en-US"/>
        </w:rPr>
        <w:t>a number of</w:t>
      </w:r>
      <w:proofErr w:type="gramEnd"/>
      <w:r w:rsidR="00D05863" w:rsidRPr="008F5F3E">
        <w:rPr>
          <w:lang w:val="en-US"/>
        </w:rPr>
        <w:t xml:space="preserve"> assumptions. The assumptions can be divided into those applicable to all calculations, those applicable to benefits of online service provision, and those applicable to benefits of interoperability. </w:t>
      </w:r>
    </w:p>
    <w:p w14:paraId="420D38F3" w14:textId="4B3F0630" w:rsidR="00A70F6A" w:rsidRPr="007E1F04" w:rsidRDefault="0014079B" w:rsidP="007E1F04">
      <w:pPr>
        <w:pStyle w:val="Paragraph"/>
        <w:spacing w:before="240"/>
        <w:rPr>
          <w:lang w:val="en-US"/>
        </w:rPr>
      </w:pPr>
      <w:r w:rsidRPr="007E1F04">
        <w:rPr>
          <w:szCs w:val="24"/>
          <w:lang w:val="en-US"/>
        </w:rPr>
        <w:t>The assumptions applicable to all calculations include:</w:t>
      </w:r>
      <w:r w:rsidR="00B80600" w:rsidRPr="007E1F04">
        <w:rPr>
          <w:szCs w:val="24"/>
          <w:lang w:val="en-US"/>
        </w:rPr>
        <w:t xml:space="preserve"> </w:t>
      </w:r>
    </w:p>
    <w:p w14:paraId="3E8D3486" w14:textId="77777777" w:rsidR="007E1F04" w:rsidRPr="008F5F3E" w:rsidRDefault="0014079B" w:rsidP="007E1F04">
      <w:pPr>
        <w:pStyle w:val="subpar"/>
        <w:rPr>
          <w:lang w:val="en-US"/>
        </w:rPr>
      </w:pPr>
      <w:r w:rsidRPr="008F5F3E">
        <w:rPr>
          <w:lang w:val="en-US"/>
        </w:rPr>
        <w:t>D</w:t>
      </w:r>
      <w:r w:rsidR="00B80600" w:rsidRPr="008F5F3E">
        <w:rPr>
          <w:lang w:val="en-US"/>
        </w:rPr>
        <w:t>iscount rate is</w:t>
      </w:r>
      <w:r w:rsidR="000E710A" w:rsidRPr="008F5F3E">
        <w:rPr>
          <w:lang w:val="en-US"/>
        </w:rPr>
        <w:t xml:space="preserve"> 12% </w:t>
      </w:r>
      <w:r w:rsidR="00A74C1C" w:rsidRPr="008F5F3E">
        <w:rPr>
          <w:lang w:val="en-US"/>
        </w:rPr>
        <w:t>as per IDB standard practice</w:t>
      </w:r>
      <w:r w:rsidR="000E710A" w:rsidRPr="008F5F3E">
        <w:rPr>
          <w:lang w:val="en-US"/>
        </w:rPr>
        <w:t xml:space="preserve">. </w:t>
      </w:r>
    </w:p>
    <w:p w14:paraId="13BB51C6" w14:textId="7C497A23" w:rsidR="007E1F04" w:rsidRPr="007E1F04" w:rsidRDefault="0014079B" w:rsidP="007E1F04">
      <w:pPr>
        <w:pStyle w:val="subpar"/>
        <w:rPr>
          <w:lang w:val="en-US"/>
        </w:rPr>
      </w:pPr>
      <w:r w:rsidRPr="007E1F04">
        <w:rPr>
          <w:szCs w:val="24"/>
          <w:lang w:val="en-US"/>
        </w:rPr>
        <w:t>Demand for transactional services increases at the same rate as population growth (approximately 1.06% per year)</w:t>
      </w:r>
      <w:r w:rsidR="007E1F04">
        <w:rPr>
          <w:szCs w:val="24"/>
          <w:lang w:val="en-US"/>
        </w:rPr>
        <w:t>.</w:t>
      </w:r>
      <w:r w:rsidR="002C348E" w:rsidRPr="0081782B">
        <w:rPr>
          <w:rStyle w:val="FootnoteReference"/>
          <w:szCs w:val="24"/>
          <w:lang w:val="en-US"/>
        </w:rPr>
        <w:footnoteReference w:id="2"/>
      </w:r>
    </w:p>
    <w:p w14:paraId="1BF2FCEC" w14:textId="0B5695BE" w:rsidR="006D6D73" w:rsidRPr="007E1F04" w:rsidRDefault="006D6D73" w:rsidP="007E1F04">
      <w:pPr>
        <w:pStyle w:val="subpar"/>
        <w:spacing w:after="240"/>
        <w:rPr>
          <w:lang w:val="en-US"/>
        </w:rPr>
      </w:pPr>
      <w:r w:rsidRPr="007E1F04">
        <w:rPr>
          <w:szCs w:val="24"/>
          <w:lang w:val="en-US"/>
        </w:rPr>
        <w:t>Benefits are accrued over a 20-year period.</w:t>
      </w:r>
    </w:p>
    <w:p w14:paraId="0D3EF627" w14:textId="7691D234" w:rsidR="0014079B" w:rsidRPr="0081782B" w:rsidRDefault="0014079B" w:rsidP="007E1F04">
      <w:pPr>
        <w:pStyle w:val="Paragraph"/>
        <w:spacing w:after="240"/>
      </w:pPr>
      <w:r w:rsidRPr="008F5F3E">
        <w:rPr>
          <w:lang w:val="en-US"/>
        </w:rPr>
        <w:t xml:space="preserve">The assumptions applicable to the calculations of benefits </w:t>
      </w:r>
      <w:r w:rsidR="000A40DD" w:rsidRPr="008F5F3E">
        <w:rPr>
          <w:lang w:val="en-US"/>
        </w:rPr>
        <w:t>to citizens of online services and interoperability</w:t>
      </w:r>
      <w:r w:rsidRPr="008F5F3E">
        <w:rPr>
          <w:lang w:val="en-US"/>
        </w:rPr>
        <w:t xml:space="preserve"> (including those</w:t>
      </w:r>
      <w:r w:rsidR="000A40DD" w:rsidRPr="008F5F3E">
        <w:rPr>
          <w:lang w:val="en-US"/>
        </w:rPr>
        <w:t xml:space="preserve"> services</w:t>
      </w:r>
      <w:r w:rsidRPr="008F5F3E">
        <w:rPr>
          <w:lang w:val="en-US"/>
        </w:rPr>
        <w:t xml:space="preserve"> not yet online and those </w:t>
      </w:r>
      <w:r w:rsidRPr="008F5F3E">
        <w:rPr>
          <w:lang w:val="en-US"/>
        </w:rPr>
        <w:lastRenderedPageBreak/>
        <w:t>currently online whose use is expected to increase due to the program), are based on interviews conducted at the RGD</w:t>
      </w:r>
      <w:r w:rsidR="00DD2FAA" w:rsidRPr="008F5F3E">
        <w:rPr>
          <w:lang w:val="en-US"/>
        </w:rPr>
        <w:t xml:space="preserve"> unless otherwise noted</w:t>
      </w:r>
      <w:r w:rsidR="000A40DD" w:rsidRPr="008F5F3E">
        <w:rPr>
          <w:lang w:val="en-US"/>
        </w:rPr>
        <w:t xml:space="preserve">. </w:t>
      </w:r>
      <w:proofErr w:type="spellStart"/>
      <w:r w:rsidR="000A40DD">
        <w:t>They</w:t>
      </w:r>
      <w:proofErr w:type="spellEnd"/>
      <w:r w:rsidRPr="0081782B">
        <w:t xml:space="preserve"> </w:t>
      </w:r>
      <w:proofErr w:type="spellStart"/>
      <w:r w:rsidRPr="0081782B">
        <w:t>include</w:t>
      </w:r>
      <w:proofErr w:type="spellEnd"/>
      <w:r w:rsidRPr="0081782B">
        <w:t>:</w:t>
      </w:r>
    </w:p>
    <w:p w14:paraId="0FD4084E" w14:textId="77777777" w:rsidR="007E1F04" w:rsidRPr="007E1F04" w:rsidRDefault="00727A97" w:rsidP="007E1F04">
      <w:pPr>
        <w:pStyle w:val="subpar"/>
        <w:rPr>
          <w:lang w:val="en-US"/>
        </w:rPr>
      </w:pPr>
      <w:r w:rsidRPr="007E1F04">
        <w:rPr>
          <w:lang w:val="en-US"/>
        </w:rPr>
        <w:t>The a</w:t>
      </w:r>
      <w:r w:rsidR="0014079B" w:rsidRPr="007E1F04">
        <w:rPr>
          <w:lang w:val="en-US"/>
        </w:rPr>
        <w:t xml:space="preserve">verage number of visits that citizens </w:t>
      </w:r>
      <w:proofErr w:type="gramStart"/>
      <w:r w:rsidR="0014079B" w:rsidRPr="007E1F04">
        <w:rPr>
          <w:lang w:val="en-US"/>
        </w:rPr>
        <w:t>have to</w:t>
      </w:r>
      <w:proofErr w:type="gramEnd"/>
      <w:r w:rsidR="0014079B" w:rsidRPr="007E1F04">
        <w:rPr>
          <w:lang w:val="en-US"/>
        </w:rPr>
        <w:t xml:space="preserve"> make the government office is 2.</w:t>
      </w:r>
    </w:p>
    <w:p w14:paraId="18084050" w14:textId="77777777" w:rsidR="007E1F04" w:rsidRPr="007E1F04" w:rsidRDefault="0014079B" w:rsidP="007E1F04">
      <w:pPr>
        <w:pStyle w:val="subpar"/>
        <w:rPr>
          <w:lang w:val="en-US"/>
        </w:rPr>
      </w:pPr>
      <w:r w:rsidRPr="007E1F04">
        <w:rPr>
          <w:szCs w:val="24"/>
          <w:lang w:val="en-US"/>
        </w:rPr>
        <w:t>The transportation cost is US$1.25 each way (equivalent to local bus fare).</w:t>
      </w:r>
    </w:p>
    <w:p w14:paraId="702A1CAA" w14:textId="77777777" w:rsidR="007E1F04" w:rsidRPr="007E1F04" w:rsidRDefault="0014079B" w:rsidP="007E1F04">
      <w:pPr>
        <w:pStyle w:val="subpar"/>
        <w:rPr>
          <w:lang w:val="en-US"/>
        </w:rPr>
      </w:pPr>
      <w:r w:rsidRPr="007E1F04">
        <w:rPr>
          <w:szCs w:val="24"/>
          <w:lang w:val="en-US"/>
        </w:rPr>
        <w:t>The average time spent in the government office per trip is 16 minutes.</w:t>
      </w:r>
    </w:p>
    <w:p w14:paraId="43F72A5F" w14:textId="77777777" w:rsidR="007E1F04" w:rsidRPr="007E1F04" w:rsidRDefault="0014079B" w:rsidP="007E1F04">
      <w:pPr>
        <w:pStyle w:val="subpar"/>
        <w:rPr>
          <w:lang w:val="en-US"/>
        </w:rPr>
      </w:pPr>
      <w:r w:rsidRPr="007E1F04">
        <w:rPr>
          <w:szCs w:val="24"/>
          <w:lang w:val="en-US"/>
        </w:rPr>
        <w:t>The average time spent in transportation per trip is 32 minutes (round trip).</w:t>
      </w:r>
    </w:p>
    <w:p w14:paraId="788C5C9D" w14:textId="77777777" w:rsidR="007E1F04" w:rsidRPr="007E1F04" w:rsidRDefault="00A2271D" w:rsidP="007E1F04">
      <w:pPr>
        <w:pStyle w:val="subpar"/>
        <w:rPr>
          <w:lang w:val="en-US"/>
        </w:rPr>
      </w:pPr>
      <w:r w:rsidRPr="007E1F04">
        <w:rPr>
          <w:szCs w:val="24"/>
          <w:lang w:val="en-US"/>
        </w:rPr>
        <w:t xml:space="preserve">The total time necessary to complete an online transaction is 30 minutes. </w:t>
      </w:r>
    </w:p>
    <w:p w14:paraId="0949E5EF" w14:textId="77777777" w:rsidR="007E1F04" w:rsidRPr="007E1F04" w:rsidRDefault="00DD2FAA" w:rsidP="007E1F04">
      <w:pPr>
        <w:pStyle w:val="subpar"/>
        <w:rPr>
          <w:lang w:val="en-US"/>
        </w:rPr>
      </w:pPr>
      <w:r w:rsidRPr="007E1F04">
        <w:rPr>
          <w:szCs w:val="24"/>
          <w:lang w:val="en-US"/>
        </w:rPr>
        <w:t>Opportunity cost is equivalent to minimum wage (US$5.25 per hour).</w:t>
      </w:r>
      <w:r w:rsidRPr="0081782B">
        <w:rPr>
          <w:rStyle w:val="FootnoteReference"/>
          <w:szCs w:val="24"/>
          <w:lang w:val="en-US"/>
        </w:rPr>
        <w:footnoteReference w:id="3"/>
      </w:r>
    </w:p>
    <w:p w14:paraId="4CBF5004" w14:textId="77777777" w:rsidR="007E1F04" w:rsidRPr="007E1F04" w:rsidRDefault="00DD2FAA" w:rsidP="007E1F04">
      <w:pPr>
        <w:pStyle w:val="subpar"/>
        <w:rPr>
          <w:lang w:val="en-US"/>
        </w:rPr>
      </w:pPr>
      <w:r w:rsidRPr="007E1F04">
        <w:rPr>
          <w:szCs w:val="24"/>
          <w:lang w:val="en-US"/>
        </w:rPr>
        <w:t>Uptake of services</w:t>
      </w:r>
      <w:r w:rsidR="00B7313C" w:rsidRPr="007E1F04">
        <w:rPr>
          <w:szCs w:val="24"/>
          <w:lang w:val="en-US"/>
        </w:rPr>
        <w:t xml:space="preserve"> put online</w:t>
      </w:r>
      <w:r w:rsidRPr="007E1F04">
        <w:rPr>
          <w:szCs w:val="24"/>
          <w:lang w:val="en-US"/>
        </w:rPr>
        <w:t xml:space="preserve"> will start at 20% per year and increase 20% each year until reaching a maximum of 67%.</w:t>
      </w:r>
      <w:r w:rsidR="00B7313C" w:rsidRPr="0081782B">
        <w:rPr>
          <w:rStyle w:val="FootnoteReference"/>
          <w:szCs w:val="24"/>
          <w:lang w:val="en-US"/>
        </w:rPr>
        <w:footnoteReference w:id="4"/>
      </w:r>
      <w:r w:rsidRPr="007E1F04">
        <w:rPr>
          <w:szCs w:val="24"/>
          <w:lang w:val="en-US"/>
        </w:rPr>
        <w:t xml:space="preserve"> </w:t>
      </w:r>
    </w:p>
    <w:p w14:paraId="66934222" w14:textId="77777777" w:rsidR="007E1F04" w:rsidRPr="007E1F04" w:rsidRDefault="00B7313C" w:rsidP="007E1F04">
      <w:pPr>
        <w:pStyle w:val="subpar"/>
        <w:rPr>
          <w:lang w:val="en-US"/>
        </w:rPr>
      </w:pPr>
      <w:r w:rsidRPr="007E1F04">
        <w:rPr>
          <w:szCs w:val="24"/>
          <w:lang w:val="en-US"/>
        </w:rPr>
        <w:t>Uptake of service</w:t>
      </w:r>
      <w:r w:rsidR="002C348E" w:rsidRPr="007E1F04">
        <w:rPr>
          <w:szCs w:val="24"/>
          <w:lang w:val="en-US"/>
        </w:rPr>
        <w:t xml:space="preserve">s currently available online will increase up to a maximum of </w:t>
      </w:r>
      <w:r w:rsidR="00B851B3" w:rsidRPr="007E1F04">
        <w:rPr>
          <w:szCs w:val="24"/>
          <w:lang w:val="en-US"/>
        </w:rPr>
        <w:t>70</w:t>
      </w:r>
      <w:r w:rsidR="002C348E" w:rsidRPr="007E1F04">
        <w:rPr>
          <w:szCs w:val="24"/>
          <w:lang w:val="en-US"/>
        </w:rPr>
        <w:t>%.</w:t>
      </w:r>
    </w:p>
    <w:p w14:paraId="3C9AF528" w14:textId="51ADB776" w:rsidR="00FB3A24" w:rsidRPr="001323F9" w:rsidRDefault="00FB3A24" w:rsidP="007E1F04">
      <w:pPr>
        <w:pStyle w:val="subpar"/>
        <w:rPr>
          <w:lang w:val="en-US"/>
        </w:rPr>
      </w:pPr>
      <w:r w:rsidRPr="007E1F04">
        <w:rPr>
          <w:szCs w:val="24"/>
          <w:lang w:val="en-US"/>
        </w:rPr>
        <w:t xml:space="preserve">Services will begin to go online in year 2 of the project. </w:t>
      </w:r>
    </w:p>
    <w:p w14:paraId="10641B89" w14:textId="77777777" w:rsidR="001323F9" w:rsidRPr="007E1F04" w:rsidRDefault="001323F9" w:rsidP="001323F9">
      <w:pPr>
        <w:pStyle w:val="subpar"/>
        <w:numPr>
          <w:ilvl w:val="0"/>
          <w:numId w:val="0"/>
        </w:numPr>
        <w:ind w:left="1152"/>
        <w:rPr>
          <w:lang w:val="en-US"/>
        </w:rPr>
      </w:pPr>
    </w:p>
    <w:p w14:paraId="75B29230" w14:textId="5EFA6FCB" w:rsidR="000A40DD" w:rsidRPr="008F5F3E" w:rsidRDefault="000A40DD" w:rsidP="001323F9">
      <w:pPr>
        <w:pStyle w:val="Paragraph"/>
        <w:rPr>
          <w:lang w:val="en-US"/>
        </w:rPr>
      </w:pPr>
      <w:r w:rsidRPr="008F5F3E">
        <w:rPr>
          <w:lang w:val="en-US"/>
        </w:rPr>
        <w:t>A separate set of assumptions are made for the segment of Benefit 2 pertaining to the reduction in birth certificate requests:</w:t>
      </w:r>
    </w:p>
    <w:p w14:paraId="2D2C9019" w14:textId="77777777" w:rsidR="001323F9" w:rsidRDefault="000A40DD" w:rsidP="001323F9">
      <w:pPr>
        <w:pStyle w:val="subpar"/>
        <w:rPr>
          <w:lang w:val="en-US"/>
        </w:rPr>
      </w:pPr>
      <w:r w:rsidRPr="001323F9">
        <w:rPr>
          <w:lang w:val="en-US"/>
        </w:rPr>
        <w:t>Birth certificate requests are distributed evenly among all public institution</w:t>
      </w:r>
      <w:r w:rsidR="001323F9" w:rsidRPr="001323F9">
        <w:rPr>
          <w:lang w:val="en-US"/>
        </w:rPr>
        <w:t>s</w:t>
      </w:r>
      <w:r w:rsidR="001323F9">
        <w:rPr>
          <w:lang w:val="en-US"/>
        </w:rPr>
        <w:t>.</w:t>
      </w:r>
    </w:p>
    <w:p w14:paraId="123CF137" w14:textId="77777777" w:rsidR="001323F9" w:rsidRPr="001323F9" w:rsidRDefault="00485076" w:rsidP="001323F9">
      <w:pPr>
        <w:pStyle w:val="subpar"/>
        <w:rPr>
          <w:lang w:val="en-US"/>
        </w:rPr>
      </w:pPr>
      <w:r w:rsidRPr="001323F9">
        <w:rPr>
          <w:szCs w:val="24"/>
          <w:lang w:val="en-US"/>
        </w:rPr>
        <w:t>75</w:t>
      </w:r>
      <w:r w:rsidR="009D0FC3" w:rsidRPr="001323F9">
        <w:rPr>
          <w:szCs w:val="24"/>
          <w:lang w:val="en-US"/>
        </w:rPr>
        <w:t>%</w:t>
      </w:r>
      <w:r w:rsidR="000A40DD" w:rsidRPr="001323F9">
        <w:rPr>
          <w:szCs w:val="24"/>
          <w:lang w:val="en-US"/>
        </w:rPr>
        <w:t xml:space="preserve"> of all birth certificate requests are for use with public institutions, and </w:t>
      </w:r>
      <w:r w:rsidRPr="001323F9">
        <w:rPr>
          <w:szCs w:val="24"/>
          <w:lang w:val="en-US"/>
        </w:rPr>
        <w:t>25</w:t>
      </w:r>
      <w:r w:rsidR="00E518E0" w:rsidRPr="001323F9">
        <w:rPr>
          <w:szCs w:val="24"/>
          <w:lang w:val="en-US"/>
        </w:rPr>
        <w:t>%</w:t>
      </w:r>
      <w:r w:rsidR="000A40DD" w:rsidRPr="001323F9">
        <w:rPr>
          <w:szCs w:val="24"/>
          <w:lang w:val="en-US"/>
        </w:rPr>
        <w:t xml:space="preserve"> are for use with private institutions</w:t>
      </w:r>
      <w:r w:rsidR="001323F9">
        <w:rPr>
          <w:szCs w:val="24"/>
          <w:lang w:val="en-US"/>
        </w:rPr>
        <w:t>.</w:t>
      </w:r>
    </w:p>
    <w:p w14:paraId="143DE22B" w14:textId="46FE8247" w:rsidR="008655C2" w:rsidRPr="001323F9" w:rsidRDefault="008655C2" w:rsidP="00A55F12">
      <w:pPr>
        <w:pStyle w:val="subpar"/>
        <w:spacing w:after="240"/>
        <w:rPr>
          <w:lang w:val="en-US"/>
        </w:rPr>
      </w:pPr>
      <w:r w:rsidRPr="001323F9">
        <w:rPr>
          <w:szCs w:val="24"/>
          <w:lang w:val="en-US"/>
        </w:rPr>
        <w:t>The government will not continue connecting institutions to the interoperability platform beyond project closure</w:t>
      </w:r>
      <w:r w:rsidR="001323F9">
        <w:rPr>
          <w:szCs w:val="24"/>
          <w:lang w:val="en-US"/>
        </w:rPr>
        <w:t>.</w:t>
      </w:r>
    </w:p>
    <w:p w14:paraId="704B7214" w14:textId="533A1132" w:rsidR="00A2271D" w:rsidRPr="008F5F3E" w:rsidRDefault="00A2271D" w:rsidP="001323F9">
      <w:pPr>
        <w:pStyle w:val="Paragraph"/>
        <w:rPr>
          <w:lang w:val="en-US"/>
        </w:rPr>
      </w:pPr>
      <w:r w:rsidRPr="008F5F3E">
        <w:rPr>
          <w:lang w:val="en-US"/>
        </w:rPr>
        <w:t>The assumptions applicable to the calculation of benefits</w:t>
      </w:r>
      <w:r w:rsidR="000A40DD" w:rsidRPr="008F5F3E">
        <w:rPr>
          <w:lang w:val="en-US"/>
        </w:rPr>
        <w:t xml:space="preserve"> for government institutions</w:t>
      </w:r>
      <w:r w:rsidRPr="008F5F3E">
        <w:rPr>
          <w:lang w:val="en-US"/>
        </w:rPr>
        <w:t xml:space="preserve"> derived through interoperability include:</w:t>
      </w:r>
    </w:p>
    <w:p w14:paraId="543EC9EE" w14:textId="77777777" w:rsidR="00A55F12" w:rsidRPr="008F5F3E" w:rsidRDefault="006D5246" w:rsidP="00A55F12">
      <w:pPr>
        <w:pStyle w:val="subpar"/>
        <w:rPr>
          <w:lang w:val="en-US"/>
        </w:rPr>
      </w:pPr>
      <w:r w:rsidRPr="008F5F3E">
        <w:rPr>
          <w:lang w:val="en-US"/>
        </w:rPr>
        <w:t>The average annual salary of a front-line staff is US$2</w:t>
      </w:r>
      <w:r w:rsidR="00B7313C" w:rsidRPr="008F5F3E">
        <w:rPr>
          <w:lang w:val="en-US"/>
        </w:rPr>
        <w:t>3</w:t>
      </w:r>
      <w:r w:rsidRPr="008F5F3E">
        <w:rPr>
          <w:lang w:val="en-US"/>
        </w:rPr>
        <w:t>,000</w:t>
      </w:r>
      <w:r w:rsidR="001323F9" w:rsidRPr="008F5F3E">
        <w:rPr>
          <w:lang w:val="en-US"/>
        </w:rPr>
        <w:t>.</w:t>
      </w:r>
      <w:r w:rsidR="00B7313C" w:rsidRPr="0081782B">
        <w:rPr>
          <w:rStyle w:val="FootnoteReference"/>
          <w:szCs w:val="24"/>
          <w:lang w:val="en-US"/>
        </w:rPr>
        <w:footnoteReference w:id="5"/>
      </w:r>
    </w:p>
    <w:p w14:paraId="3396B792" w14:textId="77777777" w:rsidR="00A55F12" w:rsidRPr="00A55F12" w:rsidRDefault="006D5246" w:rsidP="00A55F12">
      <w:pPr>
        <w:pStyle w:val="subpar"/>
        <w:rPr>
          <w:lang w:val="en-US"/>
        </w:rPr>
      </w:pPr>
      <w:r w:rsidRPr="00A55F12">
        <w:rPr>
          <w:szCs w:val="24"/>
          <w:lang w:val="en-US"/>
        </w:rPr>
        <w:t>The average annual salary of a supervisor is US$30,000</w:t>
      </w:r>
      <w:r w:rsidR="00A55F12">
        <w:rPr>
          <w:szCs w:val="24"/>
          <w:lang w:val="en-US"/>
        </w:rPr>
        <w:t>.</w:t>
      </w:r>
    </w:p>
    <w:p w14:paraId="14714F79" w14:textId="7B7ADDAA" w:rsidR="00B7313C" w:rsidRPr="00A55F12" w:rsidRDefault="00B7313C" w:rsidP="00A55F12">
      <w:pPr>
        <w:pStyle w:val="subpar"/>
        <w:spacing w:after="240"/>
        <w:rPr>
          <w:lang w:val="en-US"/>
        </w:rPr>
      </w:pPr>
      <w:r w:rsidRPr="00A55F12">
        <w:rPr>
          <w:szCs w:val="24"/>
          <w:lang w:val="en-US"/>
        </w:rPr>
        <w:t xml:space="preserve">The interoperability platform will be functional for the institutions analyzed starting in year </w:t>
      </w:r>
      <w:r w:rsidR="000A40DD" w:rsidRPr="00A55F12">
        <w:rPr>
          <w:szCs w:val="24"/>
          <w:lang w:val="en-US"/>
        </w:rPr>
        <w:t>2</w:t>
      </w:r>
      <w:r w:rsidRPr="00A55F12">
        <w:rPr>
          <w:szCs w:val="24"/>
          <w:lang w:val="en-US"/>
        </w:rPr>
        <w:t xml:space="preserve"> of the project</w:t>
      </w:r>
      <w:r w:rsidR="002C348E" w:rsidRPr="00A55F12">
        <w:rPr>
          <w:szCs w:val="24"/>
          <w:lang w:val="en-US"/>
        </w:rPr>
        <w:t>.</w:t>
      </w:r>
    </w:p>
    <w:p w14:paraId="60EF7951" w14:textId="77777777" w:rsidR="00A55F12" w:rsidRPr="008F5F3E" w:rsidRDefault="00C5597B" w:rsidP="00A55F12">
      <w:pPr>
        <w:pStyle w:val="Paragraph"/>
        <w:rPr>
          <w:lang w:val="en-US"/>
        </w:rPr>
      </w:pPr>
      <w:r w:rsidRPr="008F5F3E">
        <w:rPr>
          <w:lang w:val="en-US"/>
        </w:rPr>
        <w:t xml:space="preserve">The one assumption pertaining to the costs analyzed is that the operational expenses of implementing and maintaining the systems and tools necessary to produce the benefits are included in the program expenditures. </w:t>
      </w:r>
    </w:p>
    <w:p w14:paraId="38DA723F" w14:textId="77777777" w:rsidR="00A55F12" w:rsidRDefault="00D36AA6" w:rsidP="00A55F12">
      <w:pPr>
        <w:pStyle w:val="Paragraph"/>
        <w:rPr>
          <w:lang w:val="en-US"/>
        </w:rPr>
      </w:pPr>
      <w:r w:rsidRPr="00A55F12">
        <w:rPr>
          <w:szCs w:val="24"/>
          <w:lang w:val="en-US"/>
        </w:rPr>
        <w:t xml:space="preserve">The following section describes the benefits derived from the five changes mentioned previously: </w:t>
      </w:r>
      <w:r w:rsidR="00DD5BB5" w:rsidRPr="00A55F12">
        <w:rPr>
          <w:szCs w:val="24"/>
          <w:lang w:val="en-US"/>
        </w:rPr>
        <w:t xml:space="preserve">(i) use of online services, of services not currently online and increased use of the online option for services currently available online; (ii) elimination of required transactions; (iii) reduced government expenditure on staff to attend in-person service requests; (iv) reduced government </w:t>
      </w:r>
      <w:r w:rsidR="00DD5BB5" w:rsidRPr="00A55F12">
        <w:rPr>
          <w:szCs w:val="24"/>
          <w:lang w:val="en-US"/>
        </w:rPr>
        <w:lastRenderedPageBreak/>
        <w:t>expenditure on staff to conduct data exchange among government agencies; and (v) reduced government expenditure on paper and ink</w:t>
      </w:r>
      <w:r w:rsidRPr="00A55F12">
        <w:rPr>
          <w:szCs w:val="24"/>
          <w:lang w:val="en-US"/>
        </w:rPr>
        <w:t>.</w:t>
      </w:r>
    </w:p>
    <w:p w14:paraId="6EC9C209" w14:textId="28E2082B" w:rsidR="00A34518" w:rsidRPr="001D2916" w:rsidRDefault="00846350" w:rsidP="001D2916">
      <w:pPr>
        <w:pStyle w:val="Paragraph"/>
        <w:rPr>
          <w:lang w:val="en-US"/>
        </w:rPr>
      </w:pPr>
      <w:r w:rsidRPr="00A55F12">
        <w:rPr>
          <w:b/>
          <w:szCs w:val="24"/>
          <w:lang w:val="en-US"/>
        </w:rPr>
        <w:t>Benefit</w:t>
      </w:r>
      <w:r w:rsidR="00FE39FB" w:rsidRPr="00A55F12">
        <w:rPr>
          <w:b/>
          <w:szCs w:val="24"/>
          <w:lang w:val="en-US"/>
        </w:rPr>
        <w:t xml:space="preserve"> 1: </w:t>
      </w:r>
      <w:r w:rsidR="00D36AA6" w:rsidRPr="00A55F12">
        <w:rPr>
          <w:b/>
          <w:szCs w:val="24"/>
          <w:lang w:val="en-US"/>
        </w:rPr>
        <w:t>Use of online services not currently online</w:t>
      </w:r>
      <w:r w:rsidR="00DD5BB5" w:rsidRPr="00A55F12">
        <w:rPr>
          <w:b/>
          <w:szCs w:val="24"/>
          <w:lang w:val="en-US"/>
        </w:rPr>
        <w:t xml:space="preserve"> and increased use of the online option for services already available online: </w:t>
      </w:r>
      <w:r w:rsidR="00125C6F" w:rsidRPr="00A55F12">
        <w:rPr>
          <w:szCs w:val="24"/>
          <w:lang w:val="en-US"/>
        </w:rPr>
        <w:t xml:space="preserve">Table 1 below presents the services analyzed and their 2017 volume. The * symbol indicates that the service is already available online, and that the “volume” statistic refers to the volume not conducted online. </w:t>
      </w:r>
    </w:p>
    <w:p w14:paraId="6A821F06" w14:textId="6DAEF4A9" w:rsidR="00125C6F" w:rsidRPr="000D0D39" w:rsidRDefault="00125C6F" w:rsidP="00F76C8B">
      <w:pPr>
        <w:pStyle w:val="Paragraph"/>
        <w:numPr>
          <w:ilvl w:val="0"/>
          <w:numId w:val="0"/>
        </w:numPr>
        <w:spacing w:before="240" w:after="0"/>
        <w:ind w:left="720" w:hanging="720"/>
        <w:jc w:val="center"/>
        <w:rPr>
          <w:b/>
          <w:sz w:val="18"/>
          <w:szCs w:val="18"/>
          <w:lang w:val="en-US"/>
        </w:rPr>
      </w:pPr>
      <w:r w:rsidRPr="000D0D39">
        <w:rPr>
          <w:b/>
          <w:sz w:val="18"/>
          <w:szCs w:val="18"/>
          <w:lang w:val="en-US"/>
        </w:rPr>
        <w:t xml:space="preserve">Table 1. Services </w:t>
      </w:r>
      <w:r w:rsidR="000D0D39">
        <w:rPr>
          <w:b/>
          <w:sz w:val="18"/>
          <w:szCs w:val="18"/>
          <w:lang w:val="en-US"/>
        </w:rPr>
        <w:t>No</w:t>
      </w:r>
      <w:r w:rsidRPr="000D0D39">
        <w:rPr>
          <w:b/>
          <w:sz w:val="18"/>
          <w:szCs w:val="18"/>
          <w:lang w:val="en-US"/>
        </w:rPr>
        <w:t xml:space="preserve">t </w:t>
      </w:r>
      <w:r w:rsidR="000D0D39">
        <w:rPr>
          <w:b/>
          <w:sz w:val="18"/>
          <w:szCs w:val="18"/>
          <w:lang w:val="en-US"/>
        </w:rPr>
        <w:t>C</w:t>
      </w:r>
      <w:r w:rsidRPr="000D0D39">
        <w:rPr>
          <w:b/>
          <w:sz w:val="18"/>
          <w:szCs w:val="18"/>
          <w:lang w:val="en-US"/>
        </w:rPr>
        <w:t xml:space="preserve">urrently </w:t>
      </w:r>
      <w:r w:rsidR="000D0D39">
        <w:rPr>
          <w:b/>
          <w:sz w:val="18"/>
          <w:szCs w:val="18"/>
          <w:lang w:val="en-US"/>
        </w:rPr>
        <w:t>C</w:t>
      </w:r>
      <w:r w:rsidRPr="000D0D39">
        <w:rPr>
          <w:b/>
          <w:sz w:val="18"/>
          <w:szCs w:val="18"/>
          <w:lang w:val="en-US"/>
        </w:rPr>
        <w:t xml:space="preserve">onducted </w:t>
      </w:r>
      <w:r w:rsidR="000D0D39">
        <w:rPr>
          <w:b/>
          <w:sz w:val="18"/>
          <w:szCs w:val="18"/>
          <w:lang w:val="en-US"/>
        </w:rPr>
        <w:t>O</w:t>
      </w:r>
      <w:r w:rsidRPr="000D0D39">
        <w:rPr>
          <w:b/>
          <w:sz w:val="18"/>
          <w:szCs w:val="18"/>
          <w:lang w:val="en-US"/>
        </w:rPr>
        <w:t>nline</w:t>
      </w:r>
    </w:p>
    <w:tbl>
      <w:tblPr>
        <w:tblW w:w="6220" w:type="dxa"/>
        <w:jc w:val="center"/>
        <w:tblLook w:val="04A0" w:firstRow="1" w:lastRow="0" w:firstColumn="1" w:lastColumn="0" w:noHBand="0" w:noVBand="1"/>
      </w:tblPr>
      <w:tblGrid>
        <w:gridCol w:w="5100"/>
        <w:gridCol w:w="1120"/>
      </w:tblGrid>
      <w:tr w:rsidR="00125C6F" w:rsidRPr="00E4729B" w14:paraId="0231C2E4" w14:textId="77777777" w:rsidTr="00125C6F">
        <w:trPr>
          <w:trHeight w:val="288"/>
          <w:jc w:val="center"/>
        </w:trPr>
        <w:tc>
          <w:tcPr>
            <w:tcW w:w="5100"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397BC134" w14:textId="77777777" w:rsidR="00125C6F" w:rsidRPr="00E4729B" w:rsidRDefault="00125C6F" w:rsidP="00F76C8B">
            <w:pPr>
              <w:spacing w:after="0" w:line="240" w:lineRule="auto"/>
              <w:rPr>
                <w:rFonts w:ascii="Arial" w:eastAsia="Times New Roman" w:hAnsi="Arial" w:cs="Arial"/>
                <w:b/>
                <w:bCs/>
                <w:color w:val="000000"/>
                <w:sz w:val="18"/>
                <w:szCs w:val="18"/>
              </w:rPr>
            </w:pPr>
            <w:r w:rsidRPr="00E4729B">
              <w:rPr>
                <w:rFonts w:ascii="Arial" w:eastAsia="Times New Roman" w:hAnsi="Arial" w:cs="Arial"/>
                <w:b/>
                <w:bCs/>
                <w:color w:val="000000"/>
                <w:sz w:val="18"/>
                <w:szCs w:val="18"/>
              </w:rPr>
              <w:t>Service</w:t>
            </w:r>
          </w:p>
        </w:tc>
        <w:tc>
          <w:tcPr>
            <w:tcW w:w="1120" w:type="dxa"/>
            <w:tcBorders>
              <w:top w:val="single" w:sz="4" w:space="0" w:color="auto"/>
              <w:left w:val="nil"/>
              <w:bottom w:val="single" w:sz="4" w:space="0" w:color="auto"/>
              <w:right w:val="single" w:sz="4" w:space="0" w:color="auto"/>
            </w:tcBorders>
            <w:shd w:val="clear" w:color="000000" w:fill="E7E6E6"/>
            <w:noWrap/>
            <w:vAlign w:val="center"/>
            <w:hideMark/>
          </w:tcPr>
          <w:p w14:paraId="5BAFCBFE" w14:textId="77777777" w:rsidR="00125C6F" w:rsidRPr="00E4729B" w:rsidRDefault="00125C6F" w:rsidP="00F76C8B">
            <w:pPr>
              <w:spacing w:after="0" w:line="240" w:lineRule="auto"/>
              <w:rPr>
                <w:rFonts w:ascii="Arial" w:eastAsia="Times New Roman" w:hAnsi="Arial" w:cs="Arial"/>
                <w:b/>
                <w:bCs/>
                <w:color w:val="000000"/>
                <w:sz w:val="18"/>
                <w:szCs w:val="18"/>
              </w:rPr>
            </w:pPr>
            <w:r w:rsidRPr="00E4729B">
              <w:rPr>
                <w:rFonts w:ascii="Arial" w:eastAsia="Times New Roman" w:hAnsi="Arial" w:cs="Arial"/>
                <w:b/>
                <w:bCs/>
                <w:color w:val="000000"/>
                <w:sz w:val="18"/>
                <w:szCs w:val="18"/>
              </w:rPr>
              <w:t>Volume</w:t>
            </w:r>
          </w:p>
        </w:tc>
      </w:tr>
      <w:tr w:rsidR="00125C6F" w:rsidRPr="00E4729B" w14:paraId="24EE0809" w14:textId="77777777" w:rsidTr="00125C6F">
        <w:trPr>
          <w:trHeight w:val="288"/>
          <w:jc w:val="center"/>
        </w:trPr>
        <w:tc>
          <w:tcPr>
            <w:tcW w:w="62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E62B8" w14:textId="77777777" w:rsidR="00125C6F" w:rsidRPr="00E4729B" w:rsidRDefault="00125C6F" w:rsidP="00F76C8B">
            <w:pPr>
              <w:spacing w:after="0" w:line="240" w:lineRule="auto"/>
              <w:jc w:val="center"/>
              <w:rPr>
                <w:rFonts w:ascii="Arial" w:eastAsia="Times New Roman" w:hAnsi="Arial" w:cs="Arial"/>
                <w:b/>
                <w:bCs/>
                <w:i/>
                <w:iCs/>
                <w:color w:val="000000"/>
                <w:sz w:val="18"/>
                <w:szCs w:val="18"/>
              </w:rPr>
            </w:pPr>
            <w:r w:rsidRPr="00E4729B">
              <w:rPr>
                <w:rFonts w:ascii="Arial" w:eastAsia="Times New Roman" w:hAnsi="Arial" w:cs="Arial"/>
                <w:b/>
                <w:bCs/>
                <w:i/>
                <w:iCs/>
                <w:color w:val="000000"/>
                <w:sz w:val="18"/>
                <w:szCs w:val="18"/>
              </w:rPr>
              <w:t>Registrar General Department</w:t>
            </w:r>
          </w:p>
        </w:tc>
      </w:tr>
      <w:tr w:rsidR="00125C6F" w:rsidRPr="00E4729B" w14:paraId="3417B51A"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5AB70DEB"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Birth, death and marriage certificates</w:t>
            </w:r>
          </w:p>
        </w:tc>
        <w:tc>
          <w:tcPr>
            <w:tcW w:w="1120" w:type="dxa"/>
            <w:tcBorders>
              <w:top w:val="nil"/>
              <w:left w:val="nil"/>
              <w:bottom w:val="single" w:sz="4" w:space="0" w:color="auto"/>
              <w:right w:val="single" w:sz="4" w:space="0" w:color="auto"/>
            </w:tcBorders>
            <w:shd w:val="clear" w:color="auto" w:fill="auto"/>
            <w:noWrap/>
            <w:vAlign w:val="bottom"/>
            <w:hideMark/>
          </w:tcPr>
          <w:p w14:paraId="3B9DE99B" w14:textId="7169B643" w:rsidR="00125C6F" w:rsidRPr="00E4729B" w:rsidRDefault="0094263A"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9,747</w:t>
            </w:r>
          </w:p>
        </w:tc>
      </w:tr>
      <w:tr w:rsidR="00125C6F" w:rsidRPr="00E4729B" w14:paraId="13829E65" w14:textId="77777777" w:rsidTr="00F76C8B">
        <w:trPr>
          <w:trHeight w:val="260"/>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0C8B7F77"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Good standing letter</w:t>
            </w:r>
          </w:p>
        </w:tc>
        <w:tc>
          <w:tcPr>
            <w:tcW w:w="1120" w:type="dxa"/>
            <w:tcBorders>
              <w:top w:val="nil"/>
              <w:left w:val="nil"/>
              <w:bottom w:val="single" w:sz="4" w:space="0" w:color="auto"/>
              <w:right w:val="single" w:sz="4" w:space="0" w:color="auto"/>
            </w:tcBorders>
            <w:shd w:val="clear" w:color="auto" w:fill="auto"/>
            <w:noWrap/>
            <w:vAlign w:val="bottom"/>
            <w:hideMark/>
          </w:tcPr>
          <w:p w14:paraId="5EA5A39D"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7,530 </w:t>
            </w:r>
          </w:p>
        </w:tc>
      </w:tr>
      <w:tr w:rsidR="00125C6F" w:rsidRPr="00E4729B" w14:paraId="0AF0749F"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150352CC"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Other company services</w:t>
            </w:r>
          </w:p>
        </w:tc>
        <w:tc>
          <w:tcPr>
            <w:tcW w:w="1120" w:type="dxa"/>
            <w:tcBorders>
              <w:top w:val="nil"/>
              <w:left w:val="nil"/>
              <w:bottom w:val="single" w:sz="4" w:space="0" w:color="auto"/>
              <w:right w:val="single" w:sz="4" w:space="0" w:color="auto"/>
            </w:tcBorders>
            <w:shd w:val="clear" w:color="auto" w:fill="auto"/>
            <w:noWrap/>
            <w:vAlign w:val="bottom"/>
            <w:hideMark/>
          </w:tcPr>
          <w:p w14:paraId="3B8C283D"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4,989 </w:t>
            </w:r>
          </w:p>
        </w:tc>
      </w:tr>
      <w:tr w:rsidR="00125C6F" w:rsidRPr="00E4729B" w14:paraId="6A672A8E"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45B69DAD"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Deeds search payments</w:t>
            </w:r>
          </w:p>
        </w:tc>
        <w:tc>
          <w:tcPr>
            <w:tcW w:w="1120" w:type="dxa"/>
            <w:tcBorders>
              <w:top w:val="nil"/>
              <w:left w:val="nil"/>
              <w:bottom w:val="single" w:sz="4" w:space="0" w:color="auto"/>
              <w:right w:val="single" w:sz="4" w:space="0" w:color="auto"/>
            </w:tcBorders>
            <w:shd w:val="clear" w:color="auto" w:fill="auto"/>
            <w:noWrap/>
            <w:vAlign w:val="bottom"/>
            <w:hideMark/>
          </w:tcPr>
          <w:p w14:paraId="09CBCC3E"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22,900 </w:t>
            </w:r>
          </w:p>
        </w:tc>
      </w:tr>
      <w:tr w:rsidR="0094263A" w:rsidRPr="00E4729B" w14:paraId="25F0AEBD"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tcPr>
          <w:p w14:paraId="2C657BDD" w14:textId="77777777" w:rsidR="00BC7BB9" w:rsidRDefault="00BC7BB9" w:rsidP="00F76C8B">
            <w:pPr>
              <w:spacing w:after="0" w:line="240" w:lineRule="auto"/>
              <w:rPr>
                <w:rFonts w:ascii="Arial" w:eastAsia="Times New Roman" w:hAnsi="Arial" w:cs="Arial"/>
                <w:color w:val="000000"/>
                <w:sz w:val="18"/>
                <w:szCs w:val="18"/>
              </w:rPr>
            </w:pPr>
          </w:p>
          <w:p w14:paraId="777652B0" w14:textId="286B032C" w:rsidR="0094263A" w:rsidRPr="00E4729B" w:rsidRDefault="0094263A"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Birth certificate copies</w:t>
            </w:r>
          </w:p>
        </w:tc>
        <w:tc>
          <w:tcPr>
            <w:tcW w:w="1120" w:type="dxa"/>
            <w:tcBorders>
              <w:top w:val="nil"/>
              <w:left w:val="nil"/>
              <w:bottom w:val="single" w:sz="4" w:space="0" w:color="auto"/>
              <w:right w:val="single" w:sz="4" w:space="0" w:color="auto"/>
            </w:tcBorders>
            <w:shd w:val="clear" w:color="auto" w:fill="auto"/>
            <w:noWrap/>
            <w:vAlign w:val="bottom"/>
          </w:tcPr>
          <w:p w14:paraId="114F2FFD" w14:textId="397F9E45" w:rsidR="0094263A" w:rsidRPr="00E4729B" w:rsidRDefault="0094263A"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31,200</w:t>
            </w:r>
          </w:p>
        </w:tc>
      </w:tr>
      <w:tr w:rsidR="00125C6F" w:rsidRPr="00E4729B" w14:paraId="17C360B7" w14:textId="77777777" w:rsidTr="00125C6F">
        <w:trPr>
          <w:trHeight w:val="288"/>
          <w:jc w:val="center"/>
        </w:trPr>
        <w:tc>
          <w:tcPr>
            <w:tcW w:w="62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88718" w14:textId="77777777" w:rsidR="00125C6F" w:rsidRPr="00E4729B" w:rsidRDefault="00125C6F" w:rsidP="00F76C8B">
            <w:pPr>
              <w:spacing w:after="0" w:line="240" w:lineRule="auto"/>
              <w:jc w:val="center"/>
              <w:rPr>
                <w:rFonts w:ascii="Arial" w:eastAsia="Times New Roman" w:hAnsi="Arial" w:cs="Arial"/>
                <w:b/>
                <w:bCs/>
                <w:i/>
                <w:iCs/>
                <w:color w:val="000000"/>
                <w:sz w:val="18"/>
                <w:szCs w:val="18"/>
              </w:rPr>
            </w:pPr>
            <w:r w:rsidRPr="00E4729B">
              <w:rPr>
                <w:rFonts w:ascii="Arial" w:eastAsia="Times New Roman" w:hAnsi="Arial" w:cs="Arial"/>
                <w:b/>
                <w:bCs/>
                <w:i/>
                <w:iCs/>
                <w:color w:val="000000"/>
                <w:sz w:val="18"/>
                <w:szCs w:val="18"/>
              </w:rPr>
              <w:t>National Insurance Board</w:t>
            </w:r>
          </w:p>
        </w:tc>
      </w:tr>
      <w:tr w:rsidR="00125C6F" w:rsidRPr="00E4729B" w14:paraId="422EC954"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3D61FA69" w14:textId="77777777" w:rsidR="00125C6F" w:rsidRPr="00E4729B" w:rsidRDefault="00125C6F" w:rsidP="00F76C8B">
            <w:pPr>
              <w:spacing w:after="0" w:line="240" w:lineRule="auto"/>
              <w:rPr>
                <w:rFonts w:ascii="Arial" w:eastAsia="Times New Roman" w:hAnsi="Arial" w:cs="Arial"/>
                <w:color w:val="000000"/>
                <w:sz w:val="18"/>
                <w:szCs w:val="18"/>
              </w:rPr>
            </w:pPr>
            <w:proofErr w:type="gramStart"/>
            <w:r w:rsidRPr="00E4729B">
              <w:rPr>
                <w:rFonts w:ascii="Arial" w:eastAsia="Times New Roman" w:hAnsi="Arial" w:cs="Arial"/>
                <w:color w:val="000000"/>
                <w:sz w:val="18"/>
                <w:szCs w:val="18"/>
              </w:rPr>
              <w:t>New registration</w:t>
            </w:r>
            <w:proofErr w:type="gramEnd"/>
            <w:r w:rsidRPr="00E4729B">
              <w:rPr>
                <w:rFonts w:ascii="Arial" w:eastAsia="Times New Roman" w:hAnsi="Arial" w:cs="Arial"/>
                <w:color w:val="000000"/>
                <w:sz w:val="18"/>
                <w:szCs w:val="18"/>
              </w:rPr>
              <w:t xml:space="preserve"> of employers &amp; self-employed persons</w:t>
            </w:r>
          </w:p>
        </w:tc>
        <w:tc>
          <w:tcPr>
            <w:tcW w:w="1120" w:type="dxa"/>
            <w:tcBorders>
              <w:top w:val="nil"/>
              <w:left w:val="nil"/>
              <w:bottom w:val="single" w:sz="4" w:space="0" w:color="auto"/>
              <w:right w:val="single" w:sz="4" w:space="0" w:color="auto"/>
            </w:tcBorders>
            <w:shd w:val="clear" w:color="auto" w:fill="auto"/>
            <w:noWrap/>
            <w:vAlign w:val="bottom"/>
            <w:hideMark/>
          </w:tcPr>
          <w:p w14:paraId="72D0753E"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8,215 </w:t>
            </w:r>
          </w:p>
        </w:tc>
      </w:tr>
      <w:tr w:rsidR="00125C6F" w:rsidRPr="00E4729B" w14:paraId="574AE9A2"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17EE7475" w14:textId="77777777" w:rsidR="00125C6F" w:rsidRPr="00E4729B" w:rsidRDefault="00125C6F" w:rsidP="00F76C8B">
            <w:pPr>
              <w:spacing w:after="0" w:line="240" w:lineRule="auto"/>
              <w:rPr>
                <w:rFonts w:ascii="Arial" w:eastAsia="Times New Roman" w:hAnsi="Arial" w:cs="Arial"/>
                <w:color w:val="000000"/>
                <w:sz w:val="18"/>
                <w:szCs w:val="18"/>
              </w:rPr>
            </w:pPr>
            <w:proofErr w:type="gramStart"/>
            <w:r w:rsidRPr="00E4729B">
              <w:rPr>
                <w:rFonts w:ascii="Arial" w:eastAsia="Times New Roman" w:hAnsi="Arial" w:cs="Arial"/>
                <w:color w:val="000000"/>
                <w:sz w:val="18"/>
                <w:szCs w:val="18"/>
              </w:rPr>
              <w:t>New registration</w:t>
            </w:r>
            <w:proofErr w:type="gramEnd"/>
            <w:r w:rsidRPr="00E4729B">
              <w:rPr>
                <w:rFonts w:ascii="Arial" w:eastAsia="Times New Roman" w:hAnsi="Arial" w:cs="Arial"/>
                <w:color w:val="000000"/>
                <w:sz w:val="18"/>
                <w:szCs w:val="18"/>
              </w:rPr>
              <w:t xml:space="preserve"> of insured persons</w:t>
            </w:r>
          </w:p>
        </w:tc>
        <w:tc>
          <w:tcPr>
            <w:tcW w:w="1120" w:type="dxa"/>
            <w:tcBorders>
              <w:top w:val="nil"/>
              <w:left w:val="nil"/>
              <w:bottom w:val="single" w:sz="4" w:space="0" w:color="auto"/>
              <w:right w:val="single" w:sz="4" w:space="0" w:color="auto"/>
            </w:tcBorders>
            <w:shd w:val="clear" w:color="auto" w:fill="auto"/>
            <w:noWrap/>
            <w:vAlign w:val="bottom"/>
            <w:hideMark/>
          </w:tcPr>
          <w:p w14:paraId="31F67749"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8,176 </w:t>
            </w:r>
          </w:p>
        </w:tc>
      </w:tr>
      <w:tr w:rsidR="00125C6F" w:rsidRPr="00E4729B" w14:paraId="1D5C4B73"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6FF1DBF1"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Benefit &amp; assistance claims</w:t>
            </w:r>
          </w:p>
        </w:tc>
        <w:tc>
          <w:tcPr>
            <w:tcW w:w="1120" w:type="dxa"/>
            <w:tcBorders>
              <w:top w:val="nil"/>
              <w:left w:val="nil"/>
              <w:bottom w:val="single" w:sz="4" w:space="0" w:color="auto"/>
              <w:right w:val="single" w:sz="4" w:space="0" w:color="auto"/>
            </w:tcBorders>
            <w:shd w:val="clear" w:color="auto" w:fill="auto"/>
            <w:noWrap/>
            <w:vAlign w:val="bottom"/>
            <w:hideMark/>
          </w:tcPr>
          <w:p w14:paraId="2C8FA290"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43,360 </w:t>
            </w:r>
          </w:p>
        </w:tc>
      </w:tr>
      <w:tr w:rsidR="00125C6F" w:rsidRPr="00E4729B" w14:paraId="10C131B0" w14:textId="77777777" w:rsidTr="00125C6F">
        <w:trPr>
          <w:trHeight w:val="288"/>
          <w:jc w:val="center"/>
        </w:trPr>
        <w:tc>
          <w:tcPr>
            <w:tcW w:w="62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74C25" w14:textId="77777777" w:rsidR="00125C6F" w:rsidRPr="00E4729B" w:rsidRDefault="00125C6F" w:rsidP="00F76C8B">
            <w:pPr>
              <w:spacing w:after="0" w:line="240" w:lineRule="auto"/>
              <w:jc w:val="center"/>
              <w:rPr>
                <w:rFonts w:ascii="Arial" w:eastAsia="Times New Roman" w:hAnsi="Arial" w:cs="Arial"/>
                <w:b/>
                <w:bCs/>
                <w:i/>
                <w:iCs/>
                <w:color w:val="000000"/>
                <w:sz w:val="18"/>
                <w:szCs w:val="18"/>
              </w:rPr>
            </w:pPr>
            <w:r w:rsidRPr="00E4729B">
              <w:rPr>
                <w:rFonts w:ascii="Arial" w:eastAsia="Times New Roman" w:hAnsi="Arial" w:cs="Arial"/>
                <w:b/>
                <w:bCs/>
                <w:i/>
                <w:iCs/>
                <w:color w:val="000000"/>
                <w:sz w:val="18"/>
                <w:szCs w:val="18"/>
              </w:rPr>
              <w:t>Road Traffic</w:t>
            </w:r>
          </w:p>
        </w:tc>
      </w:tr>
      <w:tr w:rsidR="00125C6F" w:rsidRPr="00E4729B" w14:paraId="22234EE3"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5E9BE55B" w14:textId="2D04B39B"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Driver's license renewal </w:t>
            </w:r>
          </w:p>
        </w:tc>
        <w:tc>
          <w:tcPr>
            <w:tcW w:w="1120" w:type="dxa"/>
            <w:tcBorders>
              <w:top w:val="nil"/>
              <w:left w:val="nil"/>
              <w:bottom w:val="single" w:sz="4" w:space="0" w:color="auto"/>
              <w:right w:val="single" w:sz="4" w:space="0" w:color="auto"/>
            </w:tcBorders>
            <w:shd w:val="clear" w:color="auto" w:fill="auto"/>
            <w:noWrap/>
            <w:vAlign w:val="bottom"/>
            <w:hideMark/>
          </w:tcPr>
          <w:p w14:paraId="1DBACBA6"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50,000 </w:t>
            </w:r>
          </w:p>
        </w:tc>
      </w:tr>
      <w:tr w:rsidR="00125C6F" w:rsidRPr="00E4729B" w14:paraId="7C98B196" w14:textId="77777777" w:rsidTr="00125C6F">
        <w:trPr>
          <w:trHeight w:val="288"/>
          <w:jc w:val="center"/>
        </w:trPr>
        <w:tc>
          <w:tcPr>
            <w:tcW w:w="62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61B0E" w14:textId="77777777" w:rsidR="00125C6F" w:rsidRPr="00E4729B" w:rsidRDefault="00125C6F" w:rsidP="00F76C8B">
            <w:pPr>
              <w:spacing w:after="0" w:line="240" w:lineRule="auto"/>
              <w:jc w:val="center"/>
              <w:rPr>
                <w:rFonts w:ascii="Arial" w:eastAsia="Times New Roman" w:hAnsi="Arial" w:cs="Arial"/>
                <w:b/>
                <w:bCs/>
                <w:i/>
                <w:iCs/>
                <w:color w:val="000000"/>
                <w:sz w:val="18"/>
                <w:szCs w:val="18"/>
              </w:rPr>
            </w:pPr>
            <w:r w:rsidRPr="00E4729B">
              <w:rPr>
                <w:rFonts w:ascii="Arial" w:eastAsia="Times New Roman" w:hAnsi="Arial" w:cs="Arial"/>
                <w:b/>
                <w:bCs/>
                <w:i/>
                <w:iCs/>
                <w:color w:val="000000"/>
                <w:sz w:val="18"/>
                <w:szCs w:val="18"/>
              </w:rPr>
              <w:t>Inland Revenue</w:t>
            </w:r>
          </w:p>
        </w:tc>
      </w:tr>
      <w:tr w:rsidR="00125C6F" w:rsidRPr="00E4729B" w14:paraId="4004E107"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08E1CEF7"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VAT payment</w:t>
            </w:r>
          </w:p>
        </w:tc>
        <w:tc>
          <w:tcPr>
            <w:tcW w:w="1120" w:type="dxa"/>
            <w:tcBorders>
              <w:top w:val="nil"/>
              <w:left w:val="nil"/>
              <w:bottom w:val="single" w:sz="4" w:space="0" w:color="auto"/>
              <w:right w:val="single" w:sz="4" w:space="0" w:color="auto"/>
            </w:tcBorders>
            <w:shd w:val="clear" w:color="auto" w:fill="auto"/>
            <w:noWrap/>
            <w:vAlign w:val="bottom"/>
            <w:hideMark/>
          </w:tcPr>
          <w:p w14:paraId="59CD9CCA"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9,954 </w:t>
            </w:r>
          </w:p>
        </w:tc>
      </w:tr>
      <w:tr w:rsidR="00125C6F" w:rsidRPr="00E4729B" w14:paraId="40C3E6B8"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163995BF"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Business license</w:t>
            </w:r>
          </w:p>
        </w:tc>
        <w:tc>
          <w:tcPr>
            <w:tcW w:w="1120" w:type="dxa"/>
            <w:tcBorders>
              <w:top w:val="nil"/>
              <w:left w:val="nil"/>
              <w:bottom w:val="single" w:sz="4" w:space="0" w:color="auto"/>
              <w:right w:val="single" w:sz="4" w:space="0" w:color="auto"/>
            </w:tcBorders>
            <w:shd w:val="clear" w:color="auto" w:fill="auto"/>
            <w:noWrap/>
            <w:vAlign w:val="bottom"/>
            <w:hideMark/>
          </w:tcPr>
          <w:p w14:paraId="3A328FD0"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7,592 </w:t>
            </w:r>
          </w:p>
        </w:tc>
      </w:tr>
      <w:tr w:rsidR="00125C6F" w:rsidRPr="00E4729B" w14:paraId="3A9C9DC2" w14:textId="77777777" w:rsidTr="00125C6F">
        <w:trPr>
          <w:trHeight w:val="288"/>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3676F79D"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Property tax payment</w:t>
            </w:r>
          </w:p>
        </w:tc>
        <w:tc>
          <w:tcPr>
            <w:tcW w:w="1120" w:type="dxa"/>
            <w:tcBorders>
              <w:top w:val="nil"/>
              <w:left w:val="nil"/>
              <w:bottom w:val="single" w:sz="4" w:space="0" w:color="auto"/>
              <w:right w:val="single" w:sz="4" w:space="0" w:color="auto"/>
            </w:tcBorders>
            <w:shd w:val="clear" w:color="auto" w:fill="auto"/>
            <w:noWrap/>
            <w:vAlign w:val="bottom"/>
            <w:hideMark/>
          </w:tcPr>
          <w:p w14:paraId="0D06028D"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24,019 </w:t>
            </w:r>
          </w:p>
        </w:tc>
      </w:tr>
      <w:tr w:rsidR="00125C6F" w:rsidRPr="00E4729B" w14:paraId="632BD5DA" w14:textId="77777777" w:rsidTr="00F76C8B">
        <w:trPr>
          <w:trHeight w:val="233"/>
          <w:jc w:val="center"/>
        </w:trPr>
        <w:tc>
          <w:tcPr>
            <w:tcW w:w="5100" w:type="dxa"/>
            <w:tcBorders>
              <w:top w:val="nil"/>
              <w:left w:val="single" w:sz="4" w:space="0" w:color="auto"/>
              <w:bottom w:val="single" w:sz="4" w:space="0" w:color="auto"/>
              <w:right w:val="single" w:sz="4" w:space="0" w:color="auto"/>
            </w:tcBorders>
            <w:shd w:val="clear" w:color="auto" w:fill="auto"/>
            <w:noWrap/>
            <w:vAlign w:val="bottom"/>
            <w:hideMark/>
          </w:tcPr>
          <w:p w14:paraId="255D00B5"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Business registration</w:t>
            </w:r>
          </w:p>
        </w:tc>
        <w:tc>
          <w:tcPr>
            <w:tcW w:w="1120" w:type="dxa"/>
            <w:tcBorders>
              <w:top w:val="nil"/>
              <w:left w:val="nil"/>
              <w:bottom w:val="single" w:sz="4" w:space="0" w:color="auto"/>
              <w:right w:val="single" w:sz="4" w:space="0" w:color="auto"/>
            </w:tcBorders>
            <w:shd w:val="clear" w:color="auto" w:fill="auto"/>
            <w:noWrap/>
            <w:vAlign w:val="bottom"/>
            <w:hideMark/>
          </w:tcPr>
          <w:p w14:paraId="7BF0E270" w14:textId="77777777" w:rsidR="00125C6F" w:rsidRPr="00E4729B" w:rsidRDefault="00125C6F" w:rsidP="00F76C8B">
            <w:pPr>
              <w:spacing w:after="0" w:line="240" w:lineRule="auto"/>
              <w:rPr>
                <w:rFonts w:ascii="Arial" w:eastAsia="Times New Roman" w:hAnsi="Arial" w:cs="Arial"/>
                <w:color w:val="000000"/>
                <w:sz w:val="18"/>
                <w:szCs w:val="18"/>
              </w:rPr>
            </w:pPr>
            <w:r w:rsidRPr="00E4729B">
              <w:rPr>
                <w:rFonts w:ascii="Arial" w:eastAsia="Times New Roman" w:hAnsi="Arial" w:cs="Arial"/>
                <w:color w:val="000000"/>
                <w:sz w:val="18"/>
                <w:szCs w:val="18"/>
              </w:rPr>
              <w:t xml:space="preserve">          1,308 </w:t>
            </w:r>
          </w:p>
        </w:tc>
      </w:tr>
    </w:tbl>
    <w:p w14:paraId="567488F1" w14:textId="2F0A713E" w:rsidR="00125C6F" w:rsidRPr="008F5F3E" w:rsidRDefault="00125C6F" w:rsidP="000D0D39">
      <w:pPr>
        <w:pStyle w:val="Paragraph"/>
        <w:spacing w:before="360"/>
        <w:rPr>
          <w:lang w:val="en-US"/>
        </w:rPr>
      </w:pPr>
      <w:r w:rsidRPr="000D0D39">
        <w:rPr>
          <w:lang w:val="en-US"/>
        </w:rPr>
        <w:t>Table 2 below presents a comparison of the costs faced by citizens in in-person provision versus online provision</w:t>
      </w:r>
      <w:r w:rsidR="00EA1945" w:rsidRPr="000D0D39">
        <w:rPr>
          <w:lang w:val="en-US"/>
        </w:rPr>
        <w:t xml:space="preserve">, </w:t>
      </w:r>
      <w:proofErr w:type="gramStart"/>
      <w:r w:rsidR="00EA1945" w:rsidRPr="000D0D39">
        <w:rPr>
          <w:lang w:val="en-US"/>
        </w:rPr>
        <w:t>assuming that</w:t>
      </w:r>
      <w:proofErr w:type="gramEnd"/>
      <w:r w:rsidR="00EA1945" w:rsidRPr="000D0D39">
        <w:rPr>
          <w:lang w:val="en-US"/>
        </w:rPr>
        <w:t xml:space="preserve"> the service can be completed online</w:t>
      </w:r>
      <w:r w:rsidRPr="000D0D39">
        <w:rPr>
          <w:lang w:val="en-US"/>
        </w:rPr>
        <w:t>.</w:t>
      </w:r>
      <w:r w:rsidR="00DB58B8" w:rsidRPr="000D0D39">
        <w:rPr>
          <w:lang w:val="en-US"/>
        </w:rPr>
        <w:t xml:space="preserve"> </w:t>
      </w:r>
      <w:r w:rsidR="00DB58B8" w:rsidRPr="008F5F3E">
        <w:rPr>
          <w:lang w:val="en-US"/>
        </w:rPr>
        <w:t xml:space="preserve">The savings are derived primarily from a reduction or elimination in transport time, and secondarily from a marginal reduction in office (or website) time. </w:t>
      </w:r>
    </w:p>
    <w:p w14:paraId="6F598085" w14:textId="22D8E25C" w:rsidR="00125C6F" w:rsidRPr="00F94F2C" w:rsidRDefault="00125C6F" w:rsidP="00F76C8B">
      <w:pPr>
        <w:pStyle w:val="Paragraph"/>
        <w:numPr>
          <w:ilvl w:val="0"/>
          <w:numId w:val="0"/>
        </w:numPr>
        <w:spacing w:before="240" w:after="0"/>
        <w:ind w:left="720" w:hanging="720"/>
        <w:jc w:val="center"/>
        <w:rPr>
          <w:b/>
          <w:sz w:val="18"/>
          <w:szCs w:val="18"/>
          <w:lang w:val="en-US"/>
        </w:rPr>
      </w:pPr>
      <w:r w:rsidRPr="00F94F2C">
        <w:rPr>
          <w:b/>
          <w:sz w:val="18"/>
          <w:szCs w:val="18"/>
          <w:lang w:val="en-US"/>
        </w:rPr>
        <w:t>Table 2. In-person vs. Online provision – Costs for Citizens</w:t>
      </w:r>
    </w:p>
    <w:tbl>
      <w:tblPr>
        <w:tblStyle w:val="TableGrid"/>
        <w:tblW w:w="0" w:type="auto"/>
        <w:tblInd w:w="720" w:type="dxa"/>
        <w:tblLook w:val="04A0" w:firstRow="1" w:lastRow="0" w:firstColumn="1" w:lastColumn="0" w:noHBand="0" w:noVBand="1"/>
      </w:tblPr>
      <w:tblGrid>
        <w:gridCol w:w="2681"/>
        <w:gridCol w:w="2577"/>
        <w:gridCol w:w="2319"/>
      </w:tblGrid>
      <w:tr w:rsidR="0081076A" w:rsidRPr="00F94F2C" w14:paraId="4AF3AC41" w14:textId="38F2D520" w:rsidTr="009663CB">
        <w:trPr>
          <w:trHeight w:val="332"/>
          <w:tblHeader/>
        </w:trPr>
        <w:tc>
          <w:tcPr>
            <w:tcW w:w="2681" w:type="dxa"/>
          </w:tcPr>
          <w:p w14:paraId="5134FFAA" w14:textId="63D5516A" w:rsidR="0081076A" w:rsidRPr="00F94F2C" w:rsidRDefault="0081076A" w:rsidP="00BC7BB9">
            <w:pPr>
              <w:pStyle w:val="Paragraph"/>
              <w:numPr>
                <w:ilvl w:val="0"/>
                <w:numId w:val="0"/>
              </w:numPr>
              <w:spacing w:before="40" w:after="40"/>
              <w:jc w:val="center"/>
              <w:rPr>
                <w:b/>
                <w:sz w:val="18"/>
                <w:szCs w:val="18"/>
                <w:lang w:val="en-US"/>
              </w:rPr>
            </w:pPr>
            <w:r w:rsidRPr="00F94F2C">
              <w:rPr>
                <w:b/>
                <w:sz w:val="18"/>
                <w:szCs w:val="18"/>
                <w:lang w:val="en-US"/>
              </w:rPr>
              <w:t>Item</w:t>
            </w:r>
          </w:p>
        </w:tc>
        <w:tc>
          <w:tcPr>
            <w:tcW w:w="2577" w:type="dxa"/>
          </w:tcPr>
          <w:p w14:paraId="7940EDE7" w14:textId="402812FC" w:rsidR="0081076A" w:rsidRPr="00F94F2C" w:rsidRDefault="0081076A" w:rsidP="00BC7BB9">
            <w:pPr>
              <w:pStyle w:val="Paragraph"/>
              <w:numPr>
                <w:ilvl w:val="0"/>
                <w:numId w:val="0"/>
              </w:numPr>
              <w:spacing w:before="40" w:after="40"/>
              <w:jc w:val="center"/>
              <w:rPr>
                <w:b/>
                <w:sz w:val="18"/>
                <w:szCs w:val="18"/>
                <w:lang w:val="en-US"/>
              </w:rPr>
            </w:pPr>
            <w:r w:rsidRPr="00F94F2C">
              <w:rPr>
                <w:b/>
                <w:sz w:val="18"/>
                <w:szCs w:val="18"/>
                <w:lang w:val="en-US"/>
              </w:rPr>
              <w:t xml:space="preserve">In-person </w:t>
            </w:r>
          </w:p>
        </w:tc>
        <w:tc>
          <w:tcPr>
            <w:tcW w:w="2319" w:type="dxa"/>
          </w:tcPr>
          <w:p w14:paraId="56E702F1" w14:textId="41574DC3" w:rsidR="0081076A" w:rsidRPr="00F94F2C" w:rsidRDefault="0081076A" w:rsidP="00BC7BB9">
            <w:pPr>
              <w:pStyle w:val="Paragraph"/>
              <w:numPr>
                <w:ilvl w:val="0"/>
                <w:numId w:val="0"/>
              </w:numPr>
              <w:spacing w:before="40" w:after="40"/>
              <w:jc w:val="center"/>
              <w:rPr>
                <w:b/>
                <w:sz w:val="18"/>
                <w:szCs w:val="18"/>
                <w:lang w:val="en-US"/>
              </w:rPr>
            </w:pPr>
            <w:r w:rsidRPr="00F94F2C">
              <w:rPr>
                <w:b/>
                <w:sz w:val="18"/>
                <w:szCs w:val="18"/>
                <w:lang w:val="en-US"/>
              </w:rPr>
              <w:t>Online</w:t>
            </w:r>
          </w:p>
        </w:tc>
      </w:tr>
      <w:tr w:rsidR="0081076A" w:rsidRPr="00F94F2C" w14:paraId="14E06D97" w14:textId="7768BAFA" w:rsidTr="0081076A">
        <w:tc>
          <w:tcPr>
            <w:tcW w:w="2681" w:type="dxa"/>
          </w:tcPr>
          <w:p w14:paraId="012424D7" w14:textId="09F56C15"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Transport time</w:t>
            </w:r>
          </w:p>
        </w:tc>
        <w:tc>
          <w:tcPr>
            <w:tcW w:w="2577" w:type="dxa"/>
          </w:tcPr>
          <w:p w14:paraId="62A5FCCF" w14:textId="210ABFC3"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65 minutes / US$5.72</w:t>
            </w:r>
          </w:p>
        </w:tc>
        <w:tc>
          <w:tcPr>
            <w:tcW w:w="2319" w:type="dxa"/>
          </w:tcPr>
          <w:p w14:paraId="07DA0A73" w14:textId="4D4F163E"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0</w:t>
            </w:r>
          </w:p>
        </w:tc>
      </w:tr>
      <w:tr w:rsidR="0081076A" w:rsidRPr="00F94F2C" w14:paraId="1BA512F7" w14:textId="52CF9A8B" w:rsidTr="0081076A">
        <w:tc>
          <w:tcPr>
            <w:tcW w:w="2681" w:type="dxa"/>
          </w:tcPr>
          <w:p w14:paraId="00D8F760" w14:textId="5484CA47"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 xml:space="preserve">Office </w:t>
            </w:r>
            <w:r w:rsidR="00DB58B8" w:rsidRPr="00F94F2C">
              <w:rPr>
                <w:sz w:val="18"/>
                <w:szCs w:val="18"/>
                <w:lang w:val="en-US"/>
              </w:rPr>
              <w:t xml:space="preserve">(website) </w:t>
            </w:r>
            <w:r w:rsidRPr="00F94F2C">
              <w:rPr>
                <w:sz w:val="18"/>
                <w:szCs w:val="18"/>
                <w:lang w:val="en-US"/>
              </w:rPr>
              <w:t>time</w:t>
            </w:r>
          </w:p>
        </w:tc>
        <w:tc>
          <w:tcPr>
            <w:tcW w:w="2577" w:type="dxa"/>
          </w:tcPr>
          <w:p w14:paraId="1E96D639" w14:textId="078C9D34"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32 minutes / US$2.82</w:t>
            </w:r>
          </w:p>
        </w:tc>
        <w:tc>
          <w:tcPr>
            <w:tcW w:w="2319" w:type="dxa"/>
          </w:tcPr>
          <w:p w14:paraId="0168AC41" w14:textId="78D7758E"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30 minutes / US$2.63</w:t>
            </w:r>
          </w:p>
        </w:tc>
      </w:tr>
      <w:tr w:rsidR="0081076A" w:rsidRPr="00F94F2C" w14:paraId="5DFF9C60" w14:textId="27A4E05A" w:rsidTr="0081076A">
        <w:tc>
          <w:tcPr>
            <w:tcW w:w="2681" w:type="dxa"/>
          </w:tcPr>
          <w:p w14:paraId="26D54CEF" w14:textId="66AA8D87"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Transport cost</w:t>
            </w:r>
          </w:p>
        </w:tc>
        <w:tc>
          <w:tcPr>
            <w:tcW w:w="2577" w:type="dxa"/>
          </w:tcPr>
          <w:p w14:paraId="5FF53BAF" w14:textId="5F4FE30E"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US$5 (2 round trips)</w:t>
            </w:r>
          </w:p>
        </w:tc>
        <w:tc>
          <w:tcPr>
            <w:tcW w:w="2319" w:type="dxa"/>
          </w:tcPr>
          <w:p w14:paraId="7B3FB303" w14:textId="6E1531A5"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0</w:t>
            </w:r>
          </w:p>
        </w:tc>
      </w:tr>
      <w:tr w:rsidR="0081076A" w:rsidRPr="00F94F2C" w14:paraId="3F12F0FC" w14:textId="55C36905" w:rsidTr="0081076A">
        <w:tc>
          <w:tcPr>
            <w:tcW w:w="2681" w:type="dxa"/>
          </w:tcPr>
          <w:p w14:paraId="321EF155" w14:textId="0143B5B2"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Total average cost</w:t>
            </w:r>
          </w:p>
        </w:tc>
        <w:tc>
          <w:tcPr>
            <w:tcW w:w="2577" w:type="dxa"/>
          </w:tcPr>
          <w:p w14:paraId="681D1747" w14:textId="473F66F6"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US$13.54</w:t>
            </w:r>
          </w:p>
        </w:tc>
        <w:tc>
          <w:tcPr>
            <w:tcW w:w="2319" w:type="dxa"/>
          </w:tcPr>
          <w:p w14:paraId="44A0CED7" w14:textId="7CC5B1B5" w:rsidR="0081076A" w:rsidRPr="00F94F2C" w:rsidRDefault="0081076A" w:rsidP="00BC7BB9">
            <w:pPr>
              <w:pStyle w:val="Paragraph"/>
              <w:numPr>
                <w:ilvl w:val="0"/>
                <w:numId w:val="0"/>
              </w:numPr>
              <w:spacing w:before="40" w:after="40"/>
              <w:jc w:val="left"/>
              <w:rPr>
                <w:sz w:val="18"/>
                <w:szCs w:val="18"/>
                <w:lang w:val="en-US"/>
              </w:rPr>
            </w:pPr>
            <w:r w:rsidRPr="00F94F2C">
              <w:rPr>
                <w:sz w:val="18"/>
                <w:szCs w:val="18"/>
                <w:lang w:val="en-US"/>
              </w:rPr>
              <w:t>US$2.63</w:t>
            </w:r>
          </w:p>
        </w:tc>
      </w:tr>
      <w:tr w:rsidR="009942A6" w:rsidRPr="00F94F2C" w14:paraId="792644D7" w14:textId="77777777" w:rsidTr="009F7C91">
        <w:tc>
          <w:tcPr>
            <w:tcW w:w="2681" w:type="dxa"/>
          </w:tcPr>
          <w:p w14:paraId="47C9FBBE" w14:textId="1C951872" w:rsidR="009942A6" w:rsidRPr="00F94F2C" w:rsidRDefault="009942A6" w:rsidP="00BC7BB9">
            <w:pPr>
              <w:pStyle w:val="Paragraph"/>
              <w:numPr>
                <w:ilvl w:val="0"/>
                <w:numId w:val="0"/>
              </w:numPr>
              <w:spacing w:before="40" w:after="40"/>
              <w:jc w:val="left"/>
              <w:rPr>
                <w:sz w:val="18"/>
                <w:szCs w:val="18"/>
                <w:lang w:val="en-US"/>
              </w:rPr>
            </w:pPr>
            <w:r w:rsidRPr="00F94F2C">
              <w:rPr>
                <w:sz w:val="18"/>
                <w:szCs w:val="18"/>
                <w:lang w:val="en-US"/>
              </w:rPr>
              <w:t>Savings</w:t>
            </w:r>
          </w:p>
        </w:tc>
        <w:tc>
          <w:tcPr>
            <w:tcW w:w="4896" w:type="dxa"/>
            <w:gridSpan w:val="2"/>
          </w:tcPr>
          <w:p w14:paraId="5B983496" w14:textId="665DCF18" w:rsidR="009942A6" w:rsidRPr="00F94F2C" w:rsidRDefault="009942A6" w:rsidP="00BC7BB9">
            <w:pPr>
              <w:pStyle w:val="Paragraph"/>
              <w:numPr>
                <w:ilvl w:val="0"/>
                <w:numId w:val="0"/>
              </w:numPr>
              <w:spacing w:before="40" w:after="40"/>
              <w:jc w:val="center"/>
              <w:rPr>
                <w:sz w:val="18"/>
                <w:szCs w:val="18"/>
                <w:lang w:val="en-US"/>
              </w:rPr>
            </w:pPr>
            <w:r w:rsidRPr="00F94F2C">
              <w:rPr>
                <w:sz w:val="18"/>
                <w:szCs w:val="18"/>
                <w:lang w:val="en-US"/>
              </w:rPr>
              <w:t>US$10.91</w:t>
            </w:r>
          </w:p>
        </w:tc>
      </w:tr>
    </w:tbl>
    <w:p w14:paraId="24D8261C" w14:textId="00C6FF88" w:rsidR="002A7F12" w:rsidRPr="00711398" w:rsidRDefault="00711398" w:rsidP="00711398">
      <w:pPr>
        <w:pStyle w:val="Paragraph"/>
        <w:numPr>
          <w:ilvl w:val="0"/>
          <w:numId w:val="0"/>
        </w:numPr>
        <w:spacing w:before="0" w:after="240"/>
        <w:ind w:left="360"/>
        <w:rPr>
          <w:sz w:val="18"/>
          <w:szCs w:val="18"/>
          <w:lang w:val="en-US"/>
        </w:rPr>
      </w:pPr>
      <w:r>
        <w:rPr>
          <w:sz w:val="18"/>
          <w:szCs w:val="18"/>
          <w:lang w:val="en-US"/>
        </w:rPr>
        <w:t xml:space="preserve">      </w:t>
      </w:r>
      <w:r w:rsidR="002A7F12" w:rsidRPr="00711398">
        <w:rPr>
          <w:sz w:val="18"/>
          <w:szCs w:val="18"/>
          <w:lang w:val="en-US"/>
        </w:rPr>
        <w:t>Source: Government of Bahamas, RGD survey</w:t>
      </w:r>
      <w:r>
        <w:rPr>
          <w:sz w:val="18"/>
          <w:szCs w:val="18"/>
          <w:lang w:val="en-US"/>
        </w:rPr>
        <w:t>.</w:t>
      </w:r>
    </w:p>
    <w:p w14:paraId="77A6BBA3" w14:textId="77777777" w:rsidR="00711398" w:rsidRPr="008F5F3E" w:rsidRDefault="00EA1945" w:rsidP="00711398">
      <w:pPr>
        <w:pStyle w:val="Paragraph"/>
        <w:spacing w:after="240"/>
        <w:rPr>
          <w:lang w:val="en-US"/>
        </w:rPr>
      </w:pPr>
      <w:r w:rsidRPr="008F5F3E">
        <w:rPr>
          <w:lang w:val="en-US"/>
        </w:rPr>
        <w:lastRenderedPageBreak/>
        <w:t>There are several cases</w:t>
      </w:r>
      <w:r w:rsidR="000E511F" w:rsidRPr="008F5F3E">
        <w:rPr>
          <w:lang w:val="en-US"/>
        </w:rPr>
        <w:t xml:space="preserve"> of services from the RGD</w:t>
      </w:r>
      <w:r w:rsidRPr="008F5F3E">
        <w:rPr>
          <w:lang w:val="en-US"/>
        </w:rPr>
        <w:t xml:space="preserve"> in which the analysis does not assume that the service will be able to be completed online. </w:t>
      </w:r>
      <w:r w:rsidR="000E511F" w:rsidRPr="008F5F3E">
        <w:rPr>
          <w:lang w:val="en-US"/>
        </w:rPr>
        <w:t xml:space="preserve">This includes the birth, death and marriage certificates, the good standing letter, and other company services. In these cases, it is assumed that in the future the citizen will be able to request the service online but must go to the office to pick up the corresponding documentation. </w:t>
      </w:r>
      <w:r w:rsidRPr="008F5F3E">
        <w:rPr>
          <w:lang w:val="en-US"/>
        </w:rPr>
        <w:t xml:space="preserve"> </w:t>
      </w:r>
    </w:p>
    <w:p w14:paraId="3C34E611" w14:textId="77777777" w:rsidR="00711398" w:rsidRDefault="00846350" w:rsidP="00711398">
      <w:pPr>
        <w:pStyle w:val="Paragraph"/>
        <w:rPr>
          <w:lang w:val="en-US"/>
        </w:rPr>
      </w:pPr>
      <w:r w:rsidRPr="00711398">
        <w:rPr>
          <w:b/>
          <w:szCs w:val="24"/>
          <w:lang w:val="en-US"/>
        </w:rPr>
        <w:t>Benefit</w:t>
      </w:r>
      <w:r w:rsidR="00FE39FB" w:rsidRPr="00711398">
        <w:rPr>
          <w:b/>
          <w:szCs w:val="24"/>
          <w:lang w:val="en-US"/>
        </w:rPr>
        <w:t xml:space="preserve"> 2: elimination of required transactions</w:t>
      </w:r>
      <w:r w:rsidR="00FE39FB" w:rsidRPr="00711398">
        <w:rPr>
          <w:szCs w:val="24"/>
          <w:lang w:val="en-US"/>
        </w:rPr>
        <w:t xml:space="preserve">. </w:t>
      </w:r>
      <w:r w:rsidR="00E754A1" w:rsidRPr="00711398">
        <w:rPr>
          <w:szCs w:val="24"/>
          <w:lang w:val="en-US"/>
        </w:rPr>
        <w:t xml:space="preserve">Two services were </w:t>
      </w:r>
      <w:r w:rsidR="000A40DD" w:rsidRPr="00711398">
        <w:rPr>
          <w:szCs w:val="24"/>
          <w:lang w:val="en-US"/>
        </w:rPr>
        <w:t>analyzed for this benefit: pensioner life verification of the National Insurance Board, and birth certificate copy request of the RGD. The p</w:t>
      </w:r>
      <w:r w:rsidR="00DB58B8" w:rsidRPr="00711398">
        <w:rPr>
          <w:szCs w:val="24"/>
          <w:lang w:val="en-US"/>
        </w:rPr>
        <w:t>ensioner life verification of the National Insurance Board</w:t>
      </w:r>
      <w:r w:rsidR="000A40DD" w:rsidRPr="00711398">
        <w:rPr>
          <w:szCs w:val="24"/>
          <w:lang w:val="en-US"/>
        </w:rPr>
        <w:t xml:space="preserve"> is </w:t>
      </w:r>
      <w:r w:rsidR="00DB58B8" w:rsidRPr="00711398">
        <w:rPr>
          <w:szCs w:val="24"/>
          <w:lang w:val="en-US"/>
        </w:rPr>
        <w:t>a requirement of all Bahamian NIB pension recipients: they must show up in person at an NIB office to prove that they are still alive and thus eligible to continue receiving pension benefits. Through the interoperability platform, the NIB will be able to learn which of its beneficiaries have passed via a connection with the RGD and the morgues</w:t>
      </w:r>
      <w:r w:rsidR="00E973E1" w:rsidRPr="00711398">
        <w:rPr>
          <w:szCs w:val="24"/>
          <w:lang w:val="en-US"/>
        </w:rPr>
        <w:t xml:space="preserve">, thus eliminating the necessity for pensioners to conduct this transaction. </w:t>
      </w:r>
      <w:r w:rsidR="00295AE9" w:rsidRPr="00711398">
        <w:rPr>
          <w:szCs w:val="24"/>
          <w:lang w:val="en-US"/>
        </w:rPr>
        <w:t xml:space="preserve">There are 36,000 beneficiaries of the NIB pension and each must show up twice per year. </w:t>
      </w:r>
      <w:proofErr w:type="gramStart"/>
      <w:r w:rsidR="00222FF7" w:rsidRPr="00711398">
        <w:rPr>
          <w:szCs w:val="24"/>
          <w:lang w:val="en-US"/>
        </w:rPr>
        <w:t>Assuming that</w:t>
      </w:r>
      <w:proofErr w:type="gramEnd"/>
      <w:r w:rsidR="00222FF7" w:rsidRPr="00711398">
        <w:rPr>
          <w:szCs w:val="24"/>
          <w:lang w:val="en-US"/>
        </w:rPr>
        <w:t xml:space="preserve"> a pensioner’s opportunity cost is slightly less</w:t>
      </w:r>
      <w:r w:rsidR="002742CC" w:rsidRPr="00711398">
        <w:rPr>
          <w:szCs w:val="24"/>
          <w:lang w:val="en-US"/>
        </w:rPr>
        <w:t xml:space="preserve"> (75%)</w:t>
      </w:r>
      <w:r w:rsidR="00222FF7" w:rsidRPr="00711398">
        <w:rPr>
          <w:szCs w:val="24"/>
          <w:lang w:val="en-US"/>
        </w:rPr>
        <w:t xml:space="preserve"> than that of a working person (though still not zero, as he or she may still work or contribute to productive activities such as </w:t>
      </w:r>
      <w:r w:rsidR="002742CC" w:rsidRPr="00711398">
        <w:rPr>
          <w:szCs w:val="24"/>
          <w:lang w:val="en-US"/>
        </w:rPr>
        <w:t>childcare), and that this transaction only requires one trip, the overall savings from eliminating this requirement would be:</w:t>
      </w:r>
      <w:r w:rsidR="00711398" w:rsidRPr="00711398">
        <w:rPr>
          <w:lang w:val="en-US"/>
        </w:rPr>
        <w:t xml:space="preserve"> </w:t>
      </w:r>
    </w:p>
    <w:p w14:paraId="496F7949" w14:textId="50EA00FE" w:rsidR="00FE39FB" w:rsidRPr="00711398" w:rsidRDefault="002742CC" w:rsidP="00711398">
      <w:pPr>
        <w:pStyle w:val="Paragraph"/>
        <w:numPr>
          <w:ilvl w:val="0"/>
          <w:numId w:val="0"/>
        </w:numPr>
        <w:spacing w:after="240"/>
        <w:ind w:left="720"/>
        <w:rPr>
          <w:lang w:val="en-US"/>
        </w:rPr>
      </w:pPr>
      <w:r w:rsidRPr="00711398">
        <w:rPr>
          <w:szCs w:val="24"/>
          <w:lang w:val="en-US"/>
        </w:rPr>
        <w:t xml:space="preserve">72,000 (annual </w:t>
      </w:r>
      <w:proofErr w:type="gramStart"/>
      <w:r w:rsidRPr="00711398">
        <w:rPr>
          <w:szCs w:val="24"/>
          <w:lang w:val="en-US"/>
        </w:rPr>
        <w:t>volume)*</w:t>
      </w:r>
      <w:proofErr w:type="gramEnd"/>
      <w:r w:rsidRPr="00711398">
        <w:rPr>
          <w:szCs w:val="24"/>
          <w:lang w:val="en-US"/>
        </w:rPr>
        <w:t>$3.20 (opportunity cost)*$2.50 (transport cost) = $410,530</w:t>
      </w:r>
      <w:r w:rsidR="00711398">
        <w:rPr>
          <w:szCs w:val="24"/>
          <w:lang w:val="en-US"/>
        </w:rPr>
        <w:t>.</w:t>
      </w:r>
    </w:p>
    <w:p w14:paraId="1B2E6951" w14:textId="0860140D" w:rsidR="00550A1C" w:rsidRPr="00711398" w:rsidRDefault="000A40DD" w:rsidP="00711398">
      <w:pPr>
        <w:pStyle w:val="Paragraph"/>
        <w:rPr>
          <w:b/>
          <w:lang w:val="en-US"/>
        </w:rPr>
      </w:pPr>
      <w:r w:rsidRPr="003B14B3">
        <w:rPr>
          <w:lang w:val="en-US"/>
        </w:rPr>
        <w:t xml:space="preserve">The birth certificate requests are assumed to decline also thanks to interoperability. Given that a portion of birth certificate copies are requested for procedures with government institutions, as more government institutions </w:t>
      </w:r>
      <w:proofErr w:type="gramStart"/>
      <w:r w:rsidRPr="003B14B3">
        <w:rPr>
          <w:lang w:val="en-US"/>
        </w:rPr>
        <w:t>are able to</w:t>
      </w:r>
      <w:proofErr w:type="gramEnd"/>
      <w:r w:rsidRPr="003B14B3">
        <w:rPr>
          <w:lang w:val="en-US"/>
        </w:rPr>
        <w:t xml:space="preserve"> request this information via the interoperability platform, citizens will need fewer of this document. </w:t>
      </w:r>
      <w:r w:rsidR="008655C2" w:rsidRPr="008F5F3E">
        <w:rPr>
          <w:lang w:val="en-US"/>
        </w:rPr>
        <w:t xml:space="preserve">The benefits accrued are thus calculated as the time and transport savings from birth certificate copies not requested. </w:t>
      </w:r>
      <w:r w:rsidR="008655C2" w:rsidRPr="00711398">
        <w:rPr>
          <w:lang w:val="en-US"/>
        </w:rPr>
        <w:t>Table 3</w:t>
      </w:r>
      <w:r w:rsidR="00711398" w:rsidRPr="00711398">
        <w:rPr>
          <w:lang w:val="en-US"/>
        </w:rPr>
        <w:t> </w:t>
      </w:r>
      <w:r w:rsidR="008655C2" w:rsidRPr="00711398">
        <w:rPr>
          <w:lang w:val="en-US"/>
        </w:rPr>
        <w:t>presents a summarized flow of benefits accrued through this change.</w:t>
      </w:r>
    </w:p>
    <w:p w14:paraId="3C03B708" w14:textId="7CE3DAB8" w:rsidR="008655C2" w:rsidRPr="00590CD7" w:rsidRDefault="00833F7F" w:rsidP="00590CD7">
      <w:pPr>
        <w:pStyle w:val="Paragraph"/>
        <w:numPr>
          <w:ilvl w:val="0"/>
          <w:numId w:val="0"/>
        </w:numPr>
        <w:spacing w:before="240" w:after="0"/>
        <w:jc w:val="center"/>
        <w:rPr>
          <w:b/>
          <w:sz w:val="18"/>
          <w:szCs w:val="18"/>
          <w:lang w:val="en-US"/>
        </w:rPr>
      </w:pPr>
      <w:r w:rsidRPr="00590CD7">
        <w:rPr>
          <w:b/>
          <w:sz w:val="18"/>
          <w:szCs w:val="18"/>
          <w:lang w:val="en-US"/>
        </w:rPr>
        <w:t>Table 3. Savings from birth certificates not requested</w:t>
      </w:r>
    </w:p>
    <w:tbl>
      <w:tblPr>
        <w:tblW w:w="8640" w:type="dxa"/>
        <w:tblInd w:w="-95" w:type="dxa"/>
        <w:tblLook w:val="04A0" w:firstRow="1" w:lastRow="0" w:firstColumn="1" w:lastColumn="0" w:noHBand="0" w:noVBand="1"/>
      </w:tblPr>
      <w:tblGrid>
        <w:gridCol w:w="1077"/>
        <w:gridCol w:w="630"/>
        <w:gridCol w:w="1194"/>
        <w:gridCol w:w="1117"/>
        <w:gridCol w:w="1117"/>
        <w:gridCol w:w="1217"/>
        <w:gridCol w:w="1217"/>
        <w:gridCol w:w="1217"/>
      </w:tblGrid>
      <w:tr w:rsidR="00C63652" w:rsidRPr="00590CD7" w14:paraId="5E31D170" w14:textId="77777777" w:rsidTr="0086245E">
        <w:trPr>
          <w:trHeight w:val="300"/>
        </w:trPr>
        <w:tc>
          <w:tcPr>
            <w:tcW w:w="10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7366D" w14:textId="5A38EAC0" w:rsidR="00550A1C" w:rsidRPr="00590CD7" w:rsidRDefault="00550A1C" w:rsidP="00590CD7">
            <w:pPr>
              <w:spacing w:after="0" w:line="240" w:lineRule="auto"/>
              <w:jc w:val="center"/>
              <w:rPr>
                <w:rFonts w:ascii="Arial" w:eastAsia="Times New Roman" w:hAnsi="Arial" w:cs="Arial"/>
                <w:b/>
                <w:color w:val="000000"/>
                <w:sz w:val="18"/>
                <w:szCs w:val="18"/>
              </w:rPr>
            </w:pPr>
            <w:r w:rsidRPr="00590CD7">
              <w:rPr>
                <w:rFonts w:ascii="Arial" w:eastAsia="Times New Roman" w:hAnsi="Arial" w:cs="Arial"/>
                <w:b/>
                <w:color w:val="000000"/>
                <w:sz w:val="18"/>
                <w:szCs w:val="18"/>
              </w:rPr>
              <w:t>Year</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7D2FC9B0" w14:textId="77777777" w:rsidR="00550A1C" w:rsidRPr="00590CD7" w:rsidRDefault="00550A1C" w:rsidP="00590CD7">
            <w:pPr>
              <w:spacing w:after="0" w:line="240" w:lineRule="auto"/>
              <w:jc w:val="center"/>
              <w:rPr>
                <w:rFonts w:ascii="Arial" w:eastAsia="Times New Roman" w:hAnsi="Arial" w:cs="Arial"/>
                <w:b/>
                <w:color w:val="000000"/>
                <w:sz w:val="18"/>
                <w:szCs w:val="18"/>
              </w:rPr>
            </w:pPr>
            <w:r w:rsidRPr="00590CD7">
              <w:rPr>
                <w:rFonts w:ascii="Arial" w:eastAsia="Times New Roman" w:hAnsi="Arial" w:cs="Arial"/>
                <w:b/>
                <w:color w:val="000000"/>
                <w:sz w:val="18"/>
                <w:szCs w:val="18"/>
              </w:rPr>
              <w:t>1</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14:paraId="2D5959D4" w14:textId="77777777" w:rsidR="00550A1C" w:rsidRPr="00590CD7" w:rsidRDefault="00550A1C" w:rsidP="00590CD7">
            <w:pPr>
              <w:spacing w:after="0" w:line="240" w:lineRule="auto"/>
              <w:jc w:val="center"/>
              <w:rPr>
                <w:rFonts w:ascii="Arial" w:eastAsia="Times New Roman" w:hAnsi="Arial" w:cs="Arial"/>
                <w:b/>
                <w:color w:val="000000"/>
                <w:sz w:val="18"/>
                <w:szCs w:val="18"/>
              </w:rPr>
            </w:pPr>
            <w:r w:rsidRPr="00590CD7">
              <w:rPr>
                <w:rFonts w:ascii="Arial" w:eastAsia="Times New Roman" w:hAnsi="Arial" w:cs="Arial"/>
                <w:b/>
                <w:color w:val="000000"/>
                <w:sz w:val="18"/>
                <w:szCs w:val="18"/>
              </w:rPr>
              <w:t>2</w:t>
            </w:r>
          </w:p>
        </w:tc>
        <w:tc>
          <w:tcPr>
            <w:tcW w:w="1117" w:type="dxa"/>
            <w:tcBorders>
              <w:top w:val="single" w:sz="4" w:space="0" w:color="auto"/>
              <w:left w:val="nil"/>
              <w:bottom w:val="single" w:sz="4" w:space="0" w:color="auto"/>
              <w:right w:val="single" w:sz="4" w:space="0" w:color="auto"/>
            </w:tcBorders>
            <w:shd w:val="clear" w:color="auto" w:fill="auto"/>
            <w:noWrap/>
            <w:vAlign w:val="center"/>
            <w:hideMark/>
          </w:tcPr>
          <w:p w14:paraId="57D7DB47" w14:textId="77777777" w:rsidR="00550A1C" w:rsidRPr="00590CD7" w:rsidRDefault="00550A1C" w:rsidP="00590CD7">
            <w:pPr>
              <w:spacing w:after="0" w:line="240" w:lineRule="auto"/>
              <w:jc w:val="center"/>
              <w:rPr>
                <w:rFonts w:ascii="Arial" w:eastAsia="Times New Roman" w:hAnsi="Arial" w:cs="Arial"/>
                <w:b/>
                <w:color w:val="000000"/>
                <w:sz w:val="18"/>
                <w:szCs w:val="18"/>
              </w:rPr>
            </w:pPr>
            <w:r w:rsidRPr="00590CD7">
              <w:rPr>
                <w:rFonts w:ascii="Arial" w:eastAsia="Times New Roman" w:hAnsi="Arial" w:cs="Arial"/>
                <w:b/>
                <w:color w:val="000000"/>
                <w:sz w:val="18"/>
                <w:szCs w:val="18"/>
              </w:rPr>
              <w:t>3</w:t>
            </w:r>
          </w:p>
        </w:tc>
        <w:tc>
          <w:tcPr>
            <w:tcW w:w="1117" w:type="dxa"/>
            <w:tcBorders>
              <w:top w:val="single" w:sz="4" w:space="0" w:color="auto"/>
              <w:left w:val="nil"/>
              <w:bottom w:val="single" w:sz="4" w:space="0" w:color="auto"/>
              <w:right w:val="single" w:sz="4" w:space="0" w:color="auto"/>
            </w:tcBorders>
            <w:shd w:val="clear" w:color="auto" w:fill="auto"/>
            <w:noWrap/>
            <w:vAlign w:val="center"/>
            <w:hideMark/>
          </w:tcPr>
          <w:p w14:paraId="0F0414A7" w14:textId="77777777" w:rsidR="00550A1C" w:rsidRPr="00590CD7" w:rsidRDefault="00550A1C" w:rsidP="00590CD7">
            <w:pPr>
              <w:spacing w:after="0" w:line="240" w:lineRule="auto"/>
              <w:jc w:val="center"/>
              <w:rPr>
                <w:rFonts w:ascii="Arial" w:eastAsia="Times New Roman" w:hAnsi="Arial" w:cs="Arial"/>
                <w:b/>
                <w:color w:val="000000"/>
                <w:sz w:val="18"/>
                <w:szCs w:val="18"/>
              </w:rPr>
            </w:pPr>
            <w:r w:rsidRPr="00590CD7">
              <w:rPr>
                <w:rFonts w:ascii="Arial" w:eastAsia="Times New Roman" w:hAnsi="Arial" w:cs="Arial"/>
                <w:b/>
                <w:color w:val="000000"/>
                <w:sz w:val="18"/>
                <w:szCs w:val="18"/>
              </w:rPr>
              <w:t>4</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2A9906B0" w14:textId="77777777" w:rsidR="00550A1C" w:rsidRPr="00590CD7" w:rsidRDefault="00550A1C" w:rsidP="00590CD7">
            <w:pPr>
              <w:spacing w:after="0" w:line="240" w:lineRule="auto"/>
              <w:jc w:val="center"/>
              <w:rPr>
                <w:rFonts w:ascii="Arial" w:eastAsia="Times New Roman" w:hAnsi="Arial" w:cs="Arial"/>
                <w:b/>
                <w:color w:val="000000"/>
                <w:sz w:val="18"/>
                <w:szCs w:val="18"/>
              </w:rPr>
            </w:pPr>
            <w:r w:rsidRPr="00590CD7">
              <w:rPr>
                <w:rFonts w:ascii="Arial" w:eastAsia="Times New Roman" w:hAnsi="Arial" w:cs="Arial"/>
                <w:b/>
                <w:color w:val="000000"/>
                <w:sz w:val="18"/>
                <w:szCs w:val="18"/>
              </w:rPr>
              <w:t>5</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4BA2545F" w14:textId="77777777" w:rsidR="00550A1C" w:rsidRPr="00590CD7" w:rsidRDefault="00550A1C" w:rsidP="00590CD7">
            <w:pPr>
              <w:spacing w:after="0" w:line="240" w:lineRule="auto"/>
              <w:jc w:val="center"/>
              <w:rPr>
                <w:rFonts w:ascii="Arial" w:eastAsia="Times New Roman" w:hAnsi="Arial" w:cs="Arial"/>
                <w:b/>
                <w:color w:val="000000"/>
                <w:sz w:val="18"/>
                <w:szCs w:val="18"/>
              </w:rPr>
            </w:pPr>
            <w:r w:rsidRPr="00590CD7">
              <w:rPr>
                <w:rFonts w:ascii="Arial" w:eastAsia="Times New Roman" w:hAnsi="Arial" w:cs="Arial"/>
                <w:b/>
                <w:color w:val="000000"/>
                <w:sz w:val="18"/>
                <w:szCs w:val="18"/>
              </w:rPr>
              <w:t>6</w:t>
            </w:r>
          </w:p>
        </w:tc>
        <w:tc>
          <w:tcPr>
            <w:tcW w:w="1071" w:type="dxa"/>
            <w:tcBorders>
              <w:top w:val="single" w:sz="4" w:space="0" w:color="auto"/>
              <w:left w:val="nil"/>
              <w:bottom w:val="single" w:sz="4" w:space="0" w:color="auto"/>
              <w:right w:val="single" w:sz="4" w:space="0" w:color="auto"/>
            </w:tcBorders>
            <w:shd w:val="clear" w:color="auto" w:fill="auto"/>
            <w:noWrap/>
            <w:vAlign w:val="center"/>
            <w:hideMark/>
          </w:tcPr>
          <w:p w14:paraId="2D8B9076" w14:textId="77777777" w:rsidR="00550A1C" w:rsidRPr="00590CD7" w:rsidRDefault="00550A1C" w:rsidP="00590CD7">
            <w:pPr>
              <w:spacing w:after="0" w:line="240" w:lineRule="auto"/>
              <w:jc w:val="center"/>
              <w:rPr>
                <w:rFonts w:ascii="Arial" w:eastAsia="Times New Roman" w:hAnsi="Arial" w:cs="Arial"/>
                <w:b/>
                <w:color w:val="000000"/>
                <w:sz w:val="18"/>
                <w:szCs w:val="18"/>
              </w:rPr>
            </w:pPr>
            <w:r w:rsidRPr="00590CD7">
              <w:rPr>
                <w:rFonts w:ascii="Arial" w:eastAsia="Times New Roman" w:hAnsi="Arial" w:cs="Arial"/>
                <w:b/>
                <w:color w:val="000000"/>
                <w:sz w:val="18"/>
                <w:szCs w:val="18"/>
              </w:rPr>
              <w:t>20</w:t>
            </w:r>
          </w:p>
        </w:tc>
      </w:tr>
      <w:tr w:rsidR="00C63652" w:rsidRPr="00590CD7" w14:paraId="52338BC5" w14:textId="77777777" w:rsidTr="0086245E">
        <w:trPr>
          <w:trHeight w:val="300"/>
        </w:trPr>
        <w:tc>
          <w:tcPr>
            <w:tcW w:w="1077" w:type="dxa"/>
            <w:tcBorders>
              <w:top w:val="nil"/>
              <w:left w:val="single" w:sz="4" w:space="0" w:color="auto"/>
              <w:bottom w:val="single" w:sz="4" w:space="0" w:color="auto"/>
              <w:right w:val="single" w:sz="4" w:space="0" w:color="auto"/>
            </w:tcBorders>
            <w:shd w:val="clear" w:color="auto" w:fill="auto"/>
            <w:noWrap/>
            <w:vAlign w:val="bottom"/>
            <w:hideMark/>
          </w:tcPr>
          <w:p w14:paraId="383C95F9" w14:textId="77777777" w:rsidR="00550A1C" w:rsidRPr="00590CD7" w:rsidRDefault="00550A1C" w:rsidP="00E52928">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birth certificates not requested</w:t>
            </w:r>
          </w:p>
        </w:tc>
        <w:tc>
          <w:tcPr>
            <w:tcW w:w="630" w:type="dxa"/>
            <w:tcBorders>
              <w:top w:val="nil"/>
              <w:left w:val="nil"/>
              <w:bottom w:val="single" w:sz="4" w:space="0" w:color="auto"/>
              <w:right w:val="single" w:sz="4" w:space="0" w:color="auto"/>
            </w:tcBorders>
            <w:shd w:val="clear" w:color="auto" w:fill="auto"/>
            <w:noWrap/>
            <w:vAlign w:val="center"/>
            <w:hideMark/>
          </w:tcPr>
          <w:p w14:paraId="07523499" w14:textId="77777777" w:rsidR="00550A1C" w:rsidRPr="00590CD7" w:rsidRDefault="00550A1C" w:rsidP="00E52928">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0</w:t>
            </w:r>
          </w:p>
        </w:tc>
        <w:tc>
          <w:tcPr>
            <w:tcW w:w="1194" w:type="dxa"/>
            <w:tcBorders>
              <w:top w:val="nil"/>
              <w:left w:val="nil"/>
              <w:bottom w:val="single" w:sz="4" w:space="0" w:color="auto"/>
              <w:right w:val="single" w:sz="4" w:space="0" w:color="auto"/>
            </w:tcBorders>
            <w:shd w:val="clear" w:color="auto" w:fill="auto"/>
            <w:noWrap/>
            <w:vAlign w:val="center"/>
            <w:hideMark/>
          </w:tcPr>
          <w:p w14:paraId="77B87B77" w14:textId="06C56E6E" w:rsidR="00550A1C" w:rsidRPr="00590CD7" w:rsidRDefault="00550A1C" w:rsidP="00E52928">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2,124</w:t>
            </w:r>
          </w:p>
        </w:tc>
        <w:tc>
          <w:tcPr>
            <w:tcW w:w="1117" w:type="dxa"/>
            <w:tcBorders>
              <w:top w:val="nil"/>
              <w:left w:val="nil"/>
              <w:bottom w:val="single" w:sz="4" w:space="0" w:color="auto"/>
              <w:right w:val="single" w:sz="4" w:space="0" w:color="auto"/>
            </w:tcBorders>
            <w:shd w:val="clear" w:color="auto" w:fill="auto"/>
            <w:noWrap/>
            <w:vAlign w:val="center"/>
            <w:hideMark/>
          </w:tcPr>
          <w:p w14:paraId="7B6572AC" w14:textId="6D869B65" w:rsidR="00550A1C" w:rsidRPr="00590CD7" w:rsidRDefault="00550A1C" w:rsidP="00E52928">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4,294</w:t>
            </w:r>
          </w:p>
        </w:tc>
        <w:tc>
          <w:tcPr>
            <w:tcW w:w="1117" w:type="dxa"/>
            <w:tcBorders>
              <w:top w:val="nil"/>
              <w:left w:val="nil"/>
              <w:bottom w:val="single" w:sz="4" w:space="0" w:color="auto"/>
              <w:right w:val="single" w:sz="4" w:space="0" w:color="auto"/>
            </w:tcBorders>
            <w:shd w:val="clear" w:color="auto" w:fill="auto"/>
            <w:noWrap/>
            <w:vAlign w:val="center"/>
            <w:hideMark/>
          </w:tcPr>
          <w:p w14:paraId="7DED26CB" w14:textId="21989DB9" w:rsidR="00550A1C" w:rsidRPr="00590CD7" w:rsidRDefault="00550A1C" w:rsidP="00E52928">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6,509</w:t>
            </w:r>
          </w:p>
        </w:tc>
        <w:tc>
          <w:tcPr>
            <w:tcW w:w="1217" w:type="dxa"/>
            <w:tcBorders>
              <w:top w:val="nil"/>
              <w:left w:val="nil"/>
              <w:bottom w:val="single" w:sz="4" w:space="0" w:color="auto"/>
              <w:right w:val="single" w:sz="4" w:space="0" w:color="auto"/>
            </w:tcBorders>
            <w:shd w:val="clear" w:color="auto" w:fill="auto"/>
            <w:noWrap/>
            <w:vAlign w:val="center"/>
            <w:hideMark/>
          </w:tcPr>
          <w:p w14:paraId="0DF632C2" w14:textId="29BCDF30" w:rsidR="00550A1C" w:rsidRPr="00590CD7" w:rsidRDefault="00550A1C" w:rsidP="00E52928">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8,771</w:t>
            </w:r>
          </w:p>
        </w:tc>
        <w:tc>
          <w:tcPr>
            <w:tcW w:w="1217" w:type="dxa"/>
            <w:tcBorders>
              <w:top w:val="nil"/>
              <w:left w:val="nil"/>
              <w:bottom w:val="single" w:sz="4" w:space="0" w:color="auto"/>
              <w:right w:val="single" w:sz="4" w:space="0" w:color="auto"/>
            </w:tcBorders>
            <w:shd w:val="clear" w:color="auto" w:fill="auto"/>
            <w:noWrap/>
            <w:vAlign w:val="center"/>
            <w:hideMark/>
          </w:tcPr>
          <w:p w14:paraId="3905FD71" w14:textId="7CFEC45D" w:rsidR="00550A1C" w:rsidRPr="00590CD7" w:rsidRDefault="00550A1C" w:rsidP="00E52928">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11,080</w:t>
            </w:r>
          </w:p>
        </w:tc>
        <w:tc>
          <w:tcPr>
            <w:tcW w:w="1071" w:type="dxa"/>
            <w:tcBorders>
              <w:top w:val="nil"/>
              <w:left w:val="nil"/>
              <w:bottom w:val="single" w:sz="4" w:space="0" w:color="auto"/>
              <w:right w:val="single" w:sz="4" w:space="0" w:color="auto"/>
            </w:tcBorders>
            <w:shd w:val="clear" w:color="auto" w:fill="auto"/>
            <w:noWrap/>
            <w:vAlign w:val="center"/>
            <w:hideMark/>
          </w:tcPr>
          <w:p w14:paraId="35D89E09" w14:textId="6BA721D8" w:rsidR="00550A1C" w:rsidRPr="00590CD7" w:rsidRDefault="00550A1C" w:rsidP="00E52928">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12,845</w:t>
            </w:r>
          </w:p>
        </w:tc>
      </w:tr>
      <w:tr w:rsidR="00C63652" w:rsidRPr="00590CD7" w14:paraId="31396218" w14:textId="77777777" w:rsidTr="0086245E">
        <w:trPr>
          <w:trHeight w:val="300"/>
        </w:trPr>
        <w:tc>
          <w:tcPr>
            <w:tcW w:w="1077" w:type="dxa"/>
            <w:tcBorders>
              <w:top w:val="nil"/>
              <w:left w:val="single" w:sz="4" w:space="0" w:color="auto"/>
              <w:bottom w:val="single" w:sz="4" w:space="0" w:color="auto"/>
              <w:right w:val="single" w:sz="4" w:space="0" w:color="auto"/>
            </w:tcBorders>
            <w:shd w:val="clear" w:color="auto" w:fill="auto"/>
            <w:noWrap/>
            <w:vAlign w:val="center"/>
            <w:hideMark/>
          </w:tcPr>
          <w:p w14:paraId="1E85EFDE" w14:textId="153790F8" w:rsidR="00550A1C" w:rsidRPr="00590CD7" w:rsidRDefault="00850059" w:rsidP="00850059">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s</w:t>
            </w:r>
            <w:r w:rsidR="00550A1C" w:rsidRPr="00590CD7">
              <w:rPr>
                <w:rFonts w:ascii="Arial" w:eastAsia="Times New Roman" w:hAnsi="Arial" w:cs="Arial"/>
                <w:color w:val="000000"/>
                <w:sz w:val="18"/>
                <w:szCs w:val="18"/>
              </w:rPr>
              <w:t>avings</w:t>
            </w:r>
          </w:p>
        </w:tc>
        <w:tc>
          <w:tcPr>
            <w:tcW w:w="630" w:type="dxa"/>
            <w:tcBorders>
              <w:top w:val="nil"/>
              <w:left w:val="nil"/>
              <w:bottom w:val="single" w:sz="4" w:space="0" w:color="auto"/>
              <w:right w:val="single" w:sz="4" w:space="0" w:color="auto"/>
            </w:tcBorders>
            <w:shd w:val="clear" w:color="auto" w:fill="auto"/>
            <w:noWrap/>
            <w:vAlign w:val="center"/>
            <w:hideMark/>
          </w:tcPr>
          <w:p w14:paraId="134FCF53" w14:textId="57D325A8" w:rsidR="00550A1C" w:rsidRPr="00590CD7" w:rsidRDefault="00E52928" w:rsidP="00850059">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0</w:t>
            </w:r>
          </w:p>
        </w:tc>
        <w:tc>
          <w:tcPr>
            <w:tcW w:w="1194" w:type="dxa"/>
            <w:tcBorders>
              <w:top w:val="nil"/>
              <w:left w:val="nil"/>
              <w:bottom w:val="single" w:sz="4" w:space="0" w:color="auto"/>
              <w:right w:val="single" w:sz="4" w:space="0" w:color="auto"/>
            </w:tcBorders>
            <w:shd w:val="clear" w:color="auto" w:fill="auto"/>
            <w:noWrap/>
            <w:vAlign w:val="center"/>
            <w:hideMark/>
          </w:tcPr>
          <w:p w14:paraId="77D1550D" w14:textId="3F37A097" w:rsidR="00550A1C" w:rsidRPr="00590CD7" w:rsidRDefault="00550A1C" w:rsidP="00850059">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$28,760.23</w:t>
            </w:r>
          </w:p>
        </w:tc>
        <w:tc>
          <w:tcPr>
            <w:tcW w:w="1117" w:type="dxa"/>
            <w:tcBorders>
              <w:top w:val="nil"/>
              <w:left w:val="nil"/>
              <w:bottom w:val="single" w:sz="4" w:space="0" w:color="auto"/>
              <w:right w:val="single" w:sz="4" w:space="0" w:color="auto"/>
            </w:tcBorders>
            <w:shd w:val="clear" w:color="auto" w:fill="auto"/>
            <w:noWrap/>
            <w:vAlign w:val="center"/>
            <w:hideMark/>
          </w:tcPr>
          <w:p w14:paraId="34B8D2E1" w14:textId="04149AC3" w:rsidR="00550A1C" w:rsidRPr="00590CD7" w:rsidRDefault="00550A1C" w:rsidP="00850059">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$58,130.89</w:t>
            </w:r>
          </w:p>
        </w:tc>
        <w:tc>
          <w:tcPr>
            <w:tcW w:w="1117" w:type="dxa"/>
            <w:tcBorders>
              <w:top w:val="nil"/>
              <w:left w:val="nil"/>
              <w:bottom w:val="single" w:sz="4" w:space="0" w:color="auto"/>
              <w:right w:val="single" w:sz="4" w:space="0" w:color="auto"/>
            </w:tcBorders>
            <w:shd w:val="clear" w:color="auto" w:fill="auto"/>
            <w:noWrap/>
            <w:vAlign w:val="center"/>
            <w:hideMark/>
          </w:tcPr>
          <w:p w14:paraId="317EBEA8" w14:textId="785AA46B" w:rsidR="00550A1C" w:rsidRPr="00590CD7" w:rsidRDefault="00550A1C" w:rsidP="00850059">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$88,121.72</w:t>
            </w:r>
          </w:p>
        </w:tc>
        <w:tc>
          <w:tcPr>
            <w:tcW w:w="1217" w:type="dxa"/>
            <w:tcBorders>
              <w:top w:val="nil"/>
              <w:left w:val="nil"/>
              <w:bottom w:val="single" w:sz="4" w:space="0" w:color="auto"/>
              <w:right w:val="single" w:sz="4" w:space="0" w:color="auto"/>
            </w:tcBorders>
            <w:shd w:val="clear" w:color="auto" w:fill="auto"/>
            <w:noWrap/>
            <w:vAlign w:val="center"/>
            <w:hideMark/>
          </w:tcPr>
          <w:p w14:paraId="6665005B" w14:textId="57EAB165" w:rsidR="00550A1C" w:rsidRPr="00590CD7" w:rsidRDefault="00550A1C" w:rsidP="00850059">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$118,742.55</w:t>
            </w:r>
          </w:p>
        </w:tc>
        <w:tc>
          <w:tcPr>
            <w:tcW w:w="1217" w:type="dxa"/>
            <w:tcBorders>
              <w:top w:val="nil"/>
              <w:left w:val="nil"/>
              <w:bottom w:val="single" w:sz="4" w:space="0" w:color="auto"/>
              <w:right w:val="single" w:sz="4" w:space="0" w:color="auto"/>
            </w:tcBorders>
            <w:shd w:val="clear" w:color="auto" w:fill="auto"/>
            <w:noWrap/>
            <w:vAlign w:val="center"/>
            <w:hideMark/>
          </w:tcPr>
          <w:p w14:paraId="4BCB8E48" w14:textId="1DD0D3A3" w:rsidR="00550A1C" w:rsidRPr="00590CD7" w:rsidRDefault="00550A1C" w:rsidP="00850059">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$150,003.39</w:t>
            </w:r>
          </w:p>
        </w:tc>
        <w:tc>
          <w:tcPr>
            <w:tcW w:w="1071" w:type="dxa"/>
            <w:tcBorders>
              <w:top w:val="nil"/>
              <w:left w:val="nil"/>
              <w:bottom w:val="single" w:sz="4" w:space="0" w:color="auto"/>
              <w:right w:val="single" w:sz="4" w:space="0" w:color="auto"/>
            </w:tcBorders>
            <w:shd w:val="clear" w:color="auto" w:fill="auto"/>
            <w:noWrap/>
            <w:vAlign w:val="center"/>
            <w:hideMark/>
          </w:tcPr>
          <w:p w14:paraId="5B1E3739" w14:textId="7671FE19" w:rsidR="00550A1C" w:rsidRPr="00590CD7" w:rsidRDefault="00550A1C" w:rsidP="00850059">
            <w:pPr>
              <w:spacing w:after="0" w:line="240" w:lineRule="auto"/>
              <w:jc w:val="center"/>
              <w:rPr>
                <w:rFonts w:ascii="Arial" w:eastAsia="Times New Roman" w:hAnsi="Arial" w:cs="Arial"/>
                <w:color w:val="000000"/>
                <w:sz w:val="18"/>
                <w:szCs w:val="18"/>
              </w:rPr>
            </w:pPr>
            <w:r w:rsidRPr="00590CD7">
              <w:rPr>
                <w:rFonts w:ascii="Arial" w:eastAsia="Times New Roman" w:hAnsi="Arial" w:cs="Arial"/>
                <w:color w:val="000000"/>
                <w:sz w:val="18"/>
                <w:szCs w:val="18"/>
              </w:rPr>
              <w:t>$173,894.89</w:t>
            </w:r>
          </w:p>
        </w:tc>
      </w:tr>
    </w:tbl>
    <w:p w14:paraId="4398E1FF" w14:textId="6A3874CC" w:rsidR="002742CC" w:rsidRPr="008F5F3E" w:rsidRDefault="00846350" w:rsidP="00BC7BB9">
      <w:pPr>
        <w:pStyle w:val="Paragraph"/>
        <w:spacing w:before="360" w:after="240"/>
        <w:rPr>
          <w:lang w:val="en-US"/>
        </w:rPr>
      </w:pPr>
      <w:r w:rsidRPr="00850059">
        <w:rPr>
          <w:b/>
          <w:lang w:val="en-US"/>
        </w:rPr>
        <w:t>Benefit</w:t>
      </w:r>
      <w:r w:rsidR="002742CC" w:rsidRPr="00850059">
        <w:rPr>
          <w:b/>
          <w:lang w:val="en-US"/>
        </w:rPr>
        <w:t xml:space="preserve"> 3: reduced government expenditure on staff to attend in-person service requests</w:t>
      </w:r>
      <w:r w:rsidR="002742CC" w:rsidRPr="00850059">
        <w:rPr>
          <w:lang w:val="en-US"/>
        </w:rPr>
        <w:t xml:space="preserve">. </w:t>
      </w:r>
      <w:r w:rsidR="002742CC" w:rsidRPr="008F5F3E">
        <w:rPr>
          <w:lang w:val="en-US"/>
        </w:rPr>
        <w:t>The analysis contemplated expenditure on staff that provide in-person attention at three agencies:</w:t>
      </w:r>
    </w:p>
    <w:p w14:paraId="08117424" w14:textId="77777777" w:rsidR="00421380" w:rsidRDefault="002742CC" w:rsidP="00421380">
      <w:pPr>
        <w:pStyle w:val="subpar"/>
        <w:rPr>
          <w:lang w:val="en-US"/>
        </w:rPr>
      </w:pPr>
      <w:r w:rsidRPr="00421380">
        <w:rPr>
          <w:lang w:val="en-US"/>
        </w:rPr>
        <w:t>Inland Revenue: 3 staff process property tax payments</w:t>
      </w:r>
      <w:r w:rsidR="00421380" w:rsidRPr="00421380">
        <w:rPr>
          <w:lang w:val="en-US"/>
        </w:rPr>
        <w:t>.</w:t>
      </w:r>
    </w:p>
    <w:p w14:paraId="161F3C86" w14:textId="77777777" w:rsidR="00421380" w:rsidRPr="00421380" w:rsidRDefault="002742CC" w:rsidP="00421380">
      <w:pPr>
        <w:pStyle w:val="subpar"/>
        <w:rPr>
          <w:lang w:val="en-US"/>
        </w:rPr>
      </w:pPr>
      <w:r w:rsidRPr="00421380">
        <w:rPr>
          <w:szCs w:val="24"/>
          <w:lang w:val="en-US"/>
        </w:rPr>
        <w:t>RGD: 14 staff process a variety of requests for individuals and businesses</w:t>
      </w:r>
      <w:r w:rsidR="00421380">
        <w:rPr>
          <w:szCs w:val="24"/>
          <w:lang w:val="en-US"/>
        </w:rPr>
        <w:t>.</w:t>
      </w:r>
    </w:p>
    <w:p w14:paraId="2C731AD3" w14:textId="4761A9E2" w:rsidR="002742CC" w:rsidRPr="00421380" w:rsidRDefault="002742CC" w:rsidP="00421380">
      <w:pPr>
        <w:pStyle w:val="subpar"/>
        <w:rPr>
          <w:lang w:val="en-US"/>
        </w:rPr>
      </w:pPr>
      <w:r w:rsidRPr="00421380">
        <w:rPr>
          <w:szCs w:val="24"/>
          <w:lang w:val="en-US"/>
        </w:rPr>
        <w:t>Road Traffic: 8 staff process driver’s license renewals</w:t>
      </w:r>
      <w:r w:rsidR="00421380">
        <w:rPr>
          <w:szCs w:val="24"/>
          <w:lang w:val="en-US"/>
        </w:rPr>
        <w:t>.</w:t>
      </w:r>
    </w:p>
    <w:p w14:paraId="134ECF8A" w14:textId="7AD506B9" w:rsidR="0060483B" w:rsidRDefault="002C203D" w:rsidP="0060483B">
      <w:pPr>
        <w:pStyle w:val="Paragraph"/>
        <w:spacing w:before="360"/>
        <w:rPr>
          <w:lang w:val="en-US"/>
        </w:rPr>
      </w:pPr>
      <w:r w:rsidRPr="00421380">
        <w:rPr>
          <w:lang w:val="en-US"/>
        </w:rPr>
        <w:t xml:space="preserve">The savings on these staff is assumed, for simplicity, to be directly proportional to the percentage of services requested online (the underlying logic being that any time not dedicated to attending to a customer in person can be reassigned </w:t>
      </w:r>
      <w:r w:rsidRPr="00421380">
        <w:rPr>
          <w:lang w:val="en-US"/>
        </w:rPr>
        <w:lastRenderedPageBreak/>
        <w:t xml:space="preserve">to a different task). </w:t>
      </w:r>
      <w:r w:rsidR="0094263A" w:rsidRPr="00421380">
        <w:rPr>
          <w:lang w:val="en-US"/>
        </w:rPr>
        <w:t>The current annual expenditure on these staff is US$596,000.</w:t>
      </w:r>
    </w:p>
    <w:p w14:paraId="6B89D3FC" w14:textId="0C3CCB45" w:rsidR="002C203D" w:rsidRPr="0060483B" w:rsidRDefault="00846350" w:rsidP="0060483B">
      <w:pPr>
        <w:pStyle w:val="Paragraph"/>
        <w:spacing w:before="360"/>
        <w:rPr>
          <w:lang w:val="en-US"/>
        </w:rPr>
      </w:pPr>
      <w:r w:rsidRPr="0060483B">
        <w:rPr>
          <w:b/>
          <w:szCs w:val="24"/>
          <w:lang w:val="en-US"/>
        </w:rPr>
        <w:t>Benefit</w:t>
      </w:r>
      <w:r w:rsidR="002C203D" w:rsidRPr="0060483B">
        <w:rPr>
          <w:b/>
          <w:szCs w:val="24"/>
          <w:lang w:val="en-US"/>
        </w:rPr>
        <w:t xml:space="preserve"> 4: reduced government expenditure on staff to conduct data exchange among government agencies</w:t>
      </w:r>
      <w:r w:rsidR="002C203D" w:rsidRPr="0060483B">
        <w:rPr>
          <w:szCs w:val="24"/>
          <w:lang w:val="en-US"/>
        </w:rPr>
        <w:t xml:space="preserve">. </w:t>
      </w:r>
      <w:r w:rsidR="00700B07" w:rsidRPr="0060483B">
        <w:rPr>
          <w:szCs w:val="24"/>
          <w:lang w:val="en-US"/>
        </w:rPr>
        <w:t xml:space="preserve">Currently, </w:t>
      </w:r>
      <w:proofErr w:type="gramStart"/>
      <w:r w:rsidR="00700B07" w:rsidRPr="0060483B">
        <w:rPr>
          <w:szCs w:val="24"/>
          <w:lang w:val="en-US"/>
        </w:rPr>
        <w:t>a number of</w:t>
      </w:r>
      <w:proofErr w:type="gramEnd"/>
      <w:r w:rsidR="00700B07" w:rsidRPr="0060483B">
        <w:rPr>
          <w:szCs w:val="24"/>
          <w:lang w:val="en-US"/>
        </w:rPr>
        <w:t xml:space="preserve"> government personnel are dedicated to exchanging information among government agencies through Excel spreadsheets or other labor-intensive means. The program will support the installation of an interoperability platform to automate the ex</w:t>
      </w:r>
      <w:r w:rsidR="00FD08ED" w:rsidRPr="0060483B">
        <w:rPr>
          <w:szCs w:val="24"/>
          <w:lang w:val="en-US"/>
        </w:rPr>
        <w:t>change of information between government agencies, thus drastically reducing the need to spend staff resources on this task.</w:t>
      </w:r>
      <w:r w:rsidR="00700B07" w:rsidRPr="0060483B">
        <w:rPr>
          <w:szCs w:val="24"/>
          <w:lang w:val="en-US"/>
        </w:rPr>
        <w:t xml:space="preserve"> Additionally, it will finance other automation improvements, limiting the necessity of manual intervention. </w:t>
      </w:r>
      <w:r w:rsidR="0094263A" w:rsidRPr="0060483B">
        <w:rPr>
          <w:szCs w:val="24"/>
          <w:lang w:val="en-US"/>
        </w:rPr>
        <w:t>The analysis considered personnel from two agencies involved in such tasks:</w:t>
      </w:r>
    </w:p>
    <w:p w14:paraId="118A2151" w14:textId="77777777" w:rsidR="003262AB" w:rsidRDefault="0094263A" w:rsidP="003262AB">
      <w:pPr>
        <w:pStyle w:val="subpar"/>
        <w:rPr>
          <w:lang w:val="en-US"/>
        </w:rPr>
      </w:pPr>
      <w:r w:rsidRPr="003262AB">
        <w:rPr>
          <w:b/>
          <w:lang w:val="en-US"/>
        </w:rPr>
        <w:t>Inland revenue</w:t>
      </w:r>
      <w:r w:rsidRPr="003262AB">
        <w:rPr>
          <w:lang w:val="en-US"/>
        </w:rPr>
        <w:t>: 40 staff dedicated to data exchange and processing of tax compliance certificates, refunds and amendments, and business license applications and renewals</w:t>
      </w:r>
      <w:r w:rsidR="003262AB">
        <w:rPr>
          <w:lang w:val="en-US"/>
        </w:rPr>
        <w:t>.</w:t>
      </w:r>
    </w:p>
    <w:p w14:paraId="4108AD31" w14:textId="7B2CEAD4" w:rsidR="0094263A" w:rsidRPr="003262AB" w:rsidRDefault="0094263A" w:rsidP="003262AB">
      <w:pPr>
        <w:pStyle w:val="subpar"/>
        <w:rPr>
          <w:lang w:val="en-US"/>
        </w:rPr>
      </w:pPr>
      <w:r w:rsidRPr="003262AB">
        <w:rPr>
          <w:b/>
          <w:szCs w:val="24"/>
          <w:lang w:val="en-US"/>
        </w:rPr>
        <w:t>National Insurance Board</w:t>
      </w:r>
      <w:r w:rsidRPr="003262AB">
        <w:rPr>
          <w:szCs w:val="24"/>
          <w:lang w:val="en-US"/>
        </w:rPr>
        <w:t>: 11 staff dedicated to pensioner life verification and data exchange for business license renewals</w:t>
      </w:r>
      <w:r w:rsidR="003262AB">
        <w:rPr>
          <w:szCs w:val="24"/>
          <w:lang w:val="en-US"/>
        </w:rPr>
        <w:t>.</w:t>
      </w:r>
    </w:p>
    <w:p w14:paraId="5E1D68A4" w14:textId="77777777" w:rsidR="00904B27" w:rsidRPr="008F5F3E" w:rsidRDefault="0094263A" w:rsidP="00904B27">
      <w:pPr>
        <w:pStyle w:val="Paragraph"/>
        <w:spacing w:before="240"/>
        <w:rPr>
          <w:lang w:val="en-US"/>
        </w:rPr>
      </w:pPr>
      <w:r w:rsidRPr="008F5F3E">
        <w:rPr>
          <w:lang w:val="en-US"/>
        </w:rPr>
        <w:t xml:space="preserve">The savings on these staff will be nearly immediate following the connection and programming of the interoperability platform. The current annual expenditure on these staff is US$1.126 million. </w:t>
      </w:r>
    </w:p>
    <w:p w14:paraId="62408160" w14:textId="77777777" w:rsidR="00904B27" w:rsidRPr="008F5F3E" w:rsidRDefault="00846350" w:rsidP="00904B27">
      <w:pPr>
        <w:pStyle w:val="Paragraph"/>
        <w:spacing w:before="240"/>
        <w:rPr>
          <w:lang w:val="en-US"/>
        </w:rPr>
      </w:pPr>
      <w:r w:rsidRPr="00904B27">
        <w:rPr>
          <w:b/>
          <w:szCs w:val="24"/>
          <w:lang w:val="en-US"/>
        </w:rPr>
        <w:t>Benefit</w:t>
      </w:r>
      <w:r w:rsidR="0094263A" w:rsidRPr="00904B27">
        <w:rPr>
          <w:b/>
          <w:szCs w:val="24"/>
          <w:lang w:val="en-US"/>
        </w:rPr>
        <w:t xml:space="preserve"> 5: reduced government expenditure on paper and ink</w:t>
      </w:r>
      <w:r w:rsidR="0094263A" w:rsidRPr="00904B27">
        <w:rPr>
          <w:szCs w:val="24"/>
          <w:lang w:val="en-US"/>
        </w:rPr>
        <w:t xml:space="preserve">. As more services are conducted online, and interoperability reduces the need for citizens to present physical proof of different documents, government will need less paper and ink to produce such documents. An indicative analysis of RGD found that current annual expenditure on paper and ink is approximately USD$238,200. The savings on this item are assumed to be proportional to the rate of uptake of online services. </w:t>
      </w:r>
    </w:p>
    <w:p w14:paraId="1DDA4D27" w14:textId="77D4C3EE" w:rsidR="00C87D9C" w:rsidRPr="00BC7BB9" w:rsidRDefault="00932928" w:rsidP="00BC7BB9">
      <w:pPr>
        <w:pStyle w:val="Paragraph"/>
        <w:spacing w:before="240"/>
        <w:rPr>
          <w:lang w:val="en-US"/>
        </w:rPr>
      </w:pPr>
      <w:r w:rsidRPr="00904B27">
        <w:rPr>
          <w:b/>
          <w:kern w:val="28"/>
          <w:szCs w:val="24"/>
          <w:lang w:val="en-US"/>
        </w:rPr>
        <w:t>Costs.</w:t>
      </w:r>
      <w:r w:rsidRPr="00904B27">
        <w:rPr>
          <w:kern w:val="28"/>
          <w:szCs w:val="24"/>
          <w:lang w:val="en-US"/>
        </w:rPr>
        <w:t xml:space="preserve"> The costs included in the analysis are those of Components 1 and 2</w:t>
      </w:r>
      <w:r w:rsidR="00C5597B" w:rsidRPr="00904B27">
        <w:rPr>
          <w:kern w:val="28"/>
          <w:szCs w:val="24"/>
          <w:lang w:val="en-US"/>
        </w:rPr>
        <w:t xml:space="preserve">, </w:t>
      </w:r>
      <w:r w:rsidR="005B7890" w:rsidRPr="00904B27">
        <w:rPr>
          <w:kern w:val="28"/>
          <w:szCs w:val="24"/>
          <w:lang w:val="en-US"/>
        </w:rPr>
        <w:t xml:space="preserve">as </w:t>
      </w:r>
      <w:r w:rsidR="006962D2" w:rsidRPr="00904B27">
        <w:rPr>
          <w:kern w:val="28"/>
          <w:szCs w:val="24"/>
          <w:lang w:val="en-US"/>
        </w:rPr>
        <w:t xml:space="preserve">well as the Project Management and Evaluation </w:t>
      </w:r>
      <w:r w:rsidR="00C5597B" w:rsidRPr="00904B27">
        <w:rPr>
          <w:kern w:val="28"/>
          <w:szCs w:val="24"/>
          <w:lang w:val="en-US"/>
        </w:rPr>
        <w:t>for a total of US$2</w:t>
      </w:r>
      <w:r w:rsidR="00485076" w:rsidRPr="00904B27">
        <w:rPr>
          <w:kern w:val="28"/>
          <w:szCs w:val="24"/>
          <w:lang w:val="en-US"/>
        </w:rPr>
        <w:t>7</w:t>
      </w:r>
      <w:r w:rsidR="006962D2" w:rsidRPr="00904B27">
        <w:rPr>
          <w:kern w:val="28"/>
          <w:szCs w:val="24"/>
          <w:lang w:val="en-US"/>
        </w:rPr>
        <w:t xml:space="preserve"> </w:t>
      </w:r>
      <w:r w:rsidR="00C5597B" w:rsidRPr="00904B27">
        <w:rPr>
          <w:kern w:val="28"/>
          <w:szCs w:val="24"/>
          <w:lang w:val="en-US"/>
        </w:rPr>
        <w:t>million</w:t>
      </w:r>
      <w:r w:rsidRPr="00904B27">
        <w:rPr>
          <w:kern w:val="28"/>
          <w:szCs w:val="24"/>
          <w:lang w:val="en-US"/>
        </w:rPr>
        <w:t xml:space="preserve">. The costs of Component 3 are not contemplated, as the activities of Component 3 are not related to the putting of services online or the installation of the interoperability platform – the two main interventions that generate the savings analyzed herein. </w:t>
      </w:r>
      <w:r w:rsidR="00C5597B" w:rsidRPr="00904B27">
        <w:rPr>
          <w:kern w:val="28"/>
          <w:szCs w:val="24"/>
          <w:lang w:val="en-US"/>
        </w:rPr>
        <w:t>The costs are projected to be incurred along the following timeline:</w:t>
      </w:r>
    </w:p>
    <w:p w14:paraId="37D32834" w14:textId="75D1EF37" w:rsidR="00C5597B" w:rsidRPr="00F70732" w:rsidRDefault="00C5597B" w:rsidP="00F70732">
      <w:pPr>
        <w:pStyle w:val="ListParagraph"/>
        <w:spacing w:after="60" w:line="240" w:lineRule="auto"/>
        <w:jc w:val="center"/>
        <w:rPr>
          <w:rFonts w:ascii="Arial" w:hAnsi="Arial" w:cs="Arial"/>
          <w:b/>
          <w:kern w:val="28"/>
          <w:sz w:val="18"/>
          <w:szCs w:val="18"/>
        </w:rPr>
      </w:pPr>
      <w:r w:rsidRPr="00F70732">
        <w:rPr>
          <w:rFonts w:ascii="Arial" w:hAnsi="Arial" w:cs="Arial"/>
          <w:b/>
          <w:kern w:val="28"/>
          <w:sz w:val="18"/>
          <w:szCs w:val="18"/>
        </w:rPr>
        <w:t xml:space="preserve">Table </w:t>
      </w:r>
      <w:r w:rsidR="00833F7F" w:rsidRPr="00F70732">
        <w:rPr>
          <w:rFonts w:ascii="Arial" w:hAnsi="Arial" w:cs="Arial"/>
          <w:b/>
          <w:kern w:val="28"/>
          <w:sz w:val="18"/>
          <w:szCs w:val="18"/>
        </w:rPr>
        <w:t>4</w:t>
      </w:r>
      <w:r w:rsidRPr="00F70732">
        <w:rPr>
          <w:rFonts w:ascii="Arial" w:hAnsi="Arial" w:cs="Arial"/>
          <w:b/>
          <w:kern w:val="28"/>
          <w:sz w:val="18"/>
          <w:szCs w:val="18"/>
        </w:rPr>
        <w:t>. Costs Flow (in millions of US</w:t>
      </w:r>
      <w:r w:rsidR="00F70732">
        <w:rPr>
          <w:rFonts w:ascii="Arial" w:hAnsi="Arial" w:cs="Arial"/>
          <w:b/>
          <w:kern w:val="28"/>
          <w:sz w:val="18"/>
          <w:szCs w:val="18"/>
        </w:rPr>
        <w:t>$</w:t>
      </w:r>
      <w:r w:rsidRPr="00F70732">
        <w:rPr>
          <w:rFonts w:ascii="Arial" w:hAnsi="Arial" w:cs="Arial"/>
          <w:b/>
          <w:kern w:val="28"/>
          <w:sz w:val="18"/>
          <w:szCs w:val="18"/>
        </w:rPr>
        <w:t>)</w:t>
      </w:r>
    </w:p>
    <w:tbl>
      <w:tblPr>
        <w:tblStyle w:val="TableGrid"/>
        <w:tblW w:w="0" w:type="auto"/>
        <w:tblInd w:w="445" w:type="dxa"/>
        <w:tblLook w:val="04A0" w:firstRow="1" w:lastRow="0" w:firstColumn="1" w:lastColumn="0" w:noHBand="0" w:noVBand="1"/>
      </w:tblPr>
      <w:tblGrid>
        <w:gridCol w:w="1530"/>
        <w:gridCol w:w="951"/>
        <w:gridCol w:w="870"/>
        <w:gridCol w:w="871"/>
        <w:gridCol w:w="871"/>
        <w:gridCol w:w="871"/>
        <w:gridCol w:w="871"/>
        <w:gridCol w:w="1017"/>
      </w:tblGrid>
      <w:tr w:rsidR="00C5597B" w:rsidRPr="00F70732" w14:paraId="57E8F52E" w14:textId="1460B56C" w:rsidTr="00BC7BB9">
        <w:tc>
          <w:tcPr>
            <w:tcW w:w="1530" w:type="dxa"/>
          </w:tcPr>
          <w:p w14:paraId="54567DF7" w14:textId="77777777" w:rsidR="00C5597B" w:rsidRPr="00F70732" w:rsidRDefault="00C5597B" w:rsidP="00F70732">
            <w:pPr>
              <w:pStyle w:val="Paragraph"/>
              <w:numPr>
                <w:ilvl w:val="0"/>
                <w:numId w:val="0"/>
              </w:numPr>
              <w:jc w:val="center"/>
              <w:rPr>
                <w:b/>
                <w:kern w:val="28"/>
                <w:sz w:val="18"/>
                <w:szCs w:val="18"/>
                <w:lang w:val="en-US"/>
              </w:rPr>
            </w:pPr>
          </w:p>
        </w:tc>
        <w:tc>
          <w:tcPr>
            <w:tcW w:w="951" w:type="dxa"/>
          </w:tcPr>
          <w:p w14:paraId="6D0173FD" w14:textId="710B29FB" w:rsidR="00C5597B" w:rsidRPr="00F70732" w:rsidRDefault="00C5597B" w:rsidP="00F70732">
            <w:pPr>
              <w:pStyle w:val="Paragraph"/>
              <w:numPr>
                <w:ilvl w:val="0"/>
                <w:numId w:val="0"/>
              </w:numPr>
              <w:jc w:val="center"/>
              <w:rPr>
                <w:b/>
                <w:kern w:val="28"/>
                <w:sz w:val="18"/>
                <w:szCs w:val="18"/>
                <w:lang w:val="en-US"/>
              </w:rPr>
            </w:pPr>
            <w:r w:rsidRPr="00F70732">
              <w:rPr>
                <w:b/>
                <w:kern w:val="28"/>
                <w:sz w:val="18"/>
                <w:szCs w:val="18"/>
                <w:lang w:val="en-US"/>
              </w:rPr>
              <w:t>Year 1</w:t>
            </w:r>
          </w:p>
        </w:tc>
        <w:tc>
          <w:tcPr>
            <w:tcW w:w="870" w:type="dxa"/>
          </w:tcPr>
          <w:p w14:paraId="6BCBB395" w14:textId="71A99A3B" w:rsidR="00C5597B" w:rsidRPr="00F70732" w:rsidRDefault="00C5597B" w:rsidP="00F70732">
            <w:pPr>
              <w:pStyle w:val="Paragraph"/>
              <w:numPr>
                <w:ilvl w:val="0"/>
                <w:numId w:val="0"/>
              </w:numPr>
              <w:jc w:val="center"/>
              <w:rPr>
                <w:b/>
                <w:kern w:val="28"/>
                <w:sz w:val="18"/>
                <w:szCs w:val="18"/>
                <w:lang w:val="en-US"/>
              </w:rPr>
            </w:pPr>
            <w:r w:rsidRPr="00F70732">
              <w:rPr>
                <w:b/>
                <w:kern w:val="28"/>
                <w:sz w:val="18"/>
                <w:szCs w:val="18"/>
                <w:lang w:val="en-US"/>
              </w:rPr>
              <w:t>Year 2</w:t>
            </w:r>
          </w:p>
        </w:tc>
        <w:tc>
          <w:tcPr>
            <w:tcW w:w="871" w:type="dxa"/>
          </w:tcPr>
          <w:p w14:paraId="00B552F2" w14:textId="7132067D" w:rsidR="00C5597B" w:rsidRPr="00F70732" w:rsidRDefault="00C5597B" w:rsidP="00F70732">
            <w:pPr>
              <w:pStyle w:val="Paragraph"/>
              <w:numPr>
                <w:ilvl w:val="0"/>
                <w:numId w:val="0"/>
              </w:numPr>
              <w:jc w:val="center"/>
              <w:rPr>
                <w:b/>
                <w:kern w:val="28"/>
                <w:sz w:val="18"/>
                <w:szCs w:val="18"/>
                <w:lang w:val="en-US"/>
              </w:rPr>
            </w:pPr>
            <w:r w:rsidRPr="00F70732">
              <w:rPr>
                <w:b/>
                <w:kern w:val="28"/>
                <w:sz w:val="18"/>
                <w:szCs w:val="18"/>
                <w:lang w:val="en-US"/>
              </w:rPr>
              <w:t>Year 3</w:t>
            </w:r>
          </w:p>
        </w:tc>
        <w:tc>
          <w:tcPr>
            <w:tcW w:w="871" w:type="dxa"/>
          </w:tcPr>
          <w:p w14:paraId="473BAC1C" w14:textId="161138A9" w:rsidR="00C5597B" w:rsidRPr="00F70732" w:rsidRDefault="00C5597B" w:rsidP="00F70732">
            <w:pPr>
              <w:pStyle w:val="Paragraph"/>
              <w:numPr>
                <w:ilvl w:val="0"/>
                <w:numId w:val="0"/>
              </w:numPr>
              <w:jc w:val="center"/>
              <w:rPr>
                <w:b/>
                <w:kern w:val="28"/>
                <w:sz w:val="18"/>
                <w:szCs w:val="18"/>
                <w:lang w:val="en-US"/>
              </w:rPr>
            </w:pPr>
            <w:r w:rsidRPr="00F70732">
              <w:rPr>
                <w:b/>
                <w:kern w:val="28"/>
                <w:sz w:val="18"/>
                <w:szCs w:val="18"/>
                <w:lang w:val="en-US"/>
              </w:rPr>
              <w:t>Year 4</w:t>
            </w:r>
          </w:p>
        </w:tc>
        <w:tc>
          <w:tcPr>
            <w:tcW w:w="871" w:type="dxa"/>
          </w:tcPr>
          <w:p w14:paraId="57468FBB" w14:textId="3E66AECE" w:rsidR="00C5597B" w:rsidRPr="00F70732" w:rsidRDefault="00C5597B" w:rsidP="00F70732">
            <w:pPr>
              <w:pStyle w:val="Paragraph"/>
              <w:numPr>
                <w:ilvl w:val="0"/>
                <w:numId w:val="0"/>
              </w:numPr>
              <w:jc w:val="center"/>
              <w:rPr>
                <w:b/>
                <w:kern w:val="28"/>
                <w:sz w:val="18"/>
                <w:szCs w:val="18"/>
                <w:lang w:val="en-US"/>
              </w:rPr>
            </w:pPr>
            <w:r w:rsidRPr="00F70732">
              <w:rPr>
                <w:b/>
                <w:kern w:val="28"/>
                <w:sz w:val="18"/>
                <w:szCs w:val="18"/>
                <w:lang w:val="en-US"/>
              </w:rPr>
              <w:t>Year 5</w:t>
            </w:r>
          </w:p>
        </w:tc>
        <w:tc>
          <w:tcPr>
            <w:tcW w:w="871" w:type="dxa"/>
          </w:tcPr>
          <w:p w14:paraId="4904CAE8" w14:textId="505A694D" w:rsidR="00C5597B" w:rsidRPr="00F70732" w:rsidRDefault="00C5597B" w:rsidP="00F70732">
            <w:pPr>
              <w:pStyle w:val="Paragraph"/>
              <w:numPr>
                <w:ilvl w:val="0"/>
                <w:numId w:val="0"/>
              </w:numPr>
              <w:jc w:val="center"/>
              <w:rPr>
                <w:b/>
                <w:kern w:val="28"/>
                <w:sz w:val="18"/>
                <w:szCs w:val="18"/>
                <w:lang w:val="en-US"/>
              </w:rPr>
            </w:pPr>
            <w:r w:rsidRPr="00F70732">
              <w:rPr>
                <w:b/>
                <w:kern w:val="28"/>
                <w:sz w:val="18"/>
                <w:szCs w:val="18"/>
                <w:lang w:val="en-US"/>
              </w:rPr>
              <w:t>Year 6</w:t>
            </w:r>
          </w:p>
        </w:tc>
        <w:tc>
          <w:tcPr>
            <w:tcW w:w="1017" w:type="dxa"/>
          </w:tcPr>
          <w:p w14:paraId="5D1CB6AA" w14:textId="3909EBA1" w:rsidR="00C5597B" w:rsidRPr="00F70732" w:rsidRDefault="00C5597B" w:rsidP="00F70732">
            <w:pPr>
              <w:pStyle w:val="Paragraph"/>
              <w:numPr>
                <w:ilvl w:val="0"/>
                <w:numId w:val="0"/>
              </w:numPr>
              <w:jc w:val="center"/>
              <w:rPr>
                <w:b/>
                <w:kern w:val="28"/>
                <w:sz w:val="18"/>
                <w:szCs w:val="18"/>
                <w:lang w:val="en-US"/>
              </w:rPr>
            </w:pPr>
            <w:r w:rsidRPr="00F70732">
              <w:rPr>
                <w:b/>
                <w:kern w:val="28"/>
                <w:sz w:val="18"/>
                <w:szCs w:val="18"/>
                <w:lang w:val="en-US"/>
              </w:rPr>
              <w:t>Subtotal</w:t>
            </w:r>
          </w:p>
        </w:tc>
      </w:tr>
      <w:tr w:rsidR="00C5597B" w:rsidRPr="00F70732" w14:paraId="0AA050B8" w14:textId="21DD4BD4" w:rsidTr="00BC7BB9">
        <w:tc>
          <w:tcPr>
            <w:tcW w:w="1530" w:type="dxa"/>
          </w:tcPr>
          <w:p w14:paraId="5C6FD59B" w14:textId="5D9B16EA" w:rsidR="00C5597B" w:rsidRPr="00F70732" w:rsidRDefault="00C5597B" w:rsidP="00C5597B">
            <w:pPr>
              <w:pStyle w:val="Paragraph"/>
              <w:numPr>
                <w:ilvl w:val="0"/>
                <w:numId w:val="0"/>
              </w:numPr>
              <w:rPr>
                <w:kern w:val="28"/>
                <w:sz w:val="18"/>
                <w:szCs w:val="18"/>
                <w:lang w:val="en-US"/>
              </w:rPr>
            </w:pPr>
            <w:r w:rsidRPr="00F70732">
              <w:rPr>
                <w:kern w:val="28"/>
                <w:sz w:val="18"/>
                <w:szCs w:val="18"/>
                <w:lang w:val="en-US"/>
              </w:rPr>
              <w:t>Subtotal</w:t>
            </w:r>
            <w:r w:rsidR="000129B5" w:rsidRPr="00F70732">
              <w:rPr>
                <w:kern w:val="28"/>
                <w:sz w:val="18"/>
                <w:szCs w:val="18"/>
                <w:lang w:val="en-US"/>
              </w:rPr>
              <w:t xml:space="preserve"> </w:t>
            </w:r>
            <w:r w:rsidR="00BC7BB9">
              <w:rPr>
                <w:kern w:val="28"/>
                <w:sz w:val="18"/>
                <w:szCs w:val="18"/>
                <w:lang w:val="en-US"/>
              </w:rPr>
              <w:t>C</w:t>
            </w:r>
            <w:r w:rsidR="000129B5" w:rsidRPr="00F70732">
              <w:rPr>
                <w:kern w:val="28"/>
                <w:sz w:val="18"/>
                <w:szCs w:val="18"/>
                <w:lang w:val="en-US"/>
              </w:rPr>
              <w:t>omponents 1 + 2</w:t>
            </w:r>
          </w:p>
        </w:tc>
        <w:tc>
          <w:tcPr>
            <w:tcW w:w="951" w:type="dxa"/>
          </w:tcPr>
          <w:p w14:paraId="49629032" w14:textId="7CE086DF" w:rsidR="00C5597B" w:rsidRPr="00F70732" w:rsidRDefault="00485076" w:rsidP="00F70732">
            <w:pPr>
              <w:pStyle w:val="Paragraph"/>
              <w:numPr>
                <w:ilvl w:val="0"/>
                <w:numId w:val="0"/>
              </w:numPr>
              <w:jc w:val="center"/>
              <w:rPr>
                <w:kern w:val="28"/>
                <w:sz w:val="18"/>
                <w:szCs w:val="18"/>
                <w:lang w:val="en-US"/>
              </w:rPr>
            </w:pPr>
            <w:r w:rsidRPr="00F70732">
              <w:rPr>
                <w:kern w:val="28"/>
                <w:sz w:val="18"/>
                <w:szCs w:val="18"/>
                <w:lang w:val="en-US"/>
              </w:rPr>
              <w:t>3.309</w:t>
            </w:r>
          </w:p>
        </w:tc>
        <w:tc>
          <w:tcPr>
            <w:tcW w:w="870" w:type="dxa"/>
          </w:tcPr>
          <w:p w14:paraId="6542B5CA" w14:textId="54B0AB4D" w:rsidR="00C5597B" w:rsidRPr="00F70732" w:rsidRDefault="00485076" w:rsidP="00F70732">
            <w:pPr>
              <w:pStyle w:val="Paragraph"/>
              <w:numPr>
                <w:ilvl w:val="0"/>
                <w:numId w:val="0"/>
              </w:numPr>
              <w:jc w:val="center"/>
              <w:rPr>
                <w:kern w:val="28"/>
                <w:sz w:val="18"/>
                <w:szCs w:val="18"/>
                <w:lang w:val="en-US"/>
              </w:rPr>
            </w:pPr>
            <w:r w:rsidRPr="00F70732">
              <w:rPr>
                <w:kern w:val="28"/>
                <w:sz w:val="18"/>
                <w:szCs w:val="18"/>
                <w:lang w:val="en-US"/>
              </w:rPr>
              <w:t>7.699</w:t>
            </w:r>
          </w:p>
        </w:tc>
        <w:tc>
          <w:tcPr>
            <w:tcW w:w="871" w:type="dxa"/>
          </w:tcPr>
          <w:p w14:paraId="4B44E83D" w14:textId="28C3BE4C" w:rsidR="00C5597B" w:rsidRPr="00F70732" w:rsidRDefault="00485076" w:rsidP="00F70732">
            <w:pPr>
              <w:pStyle w:val="Paragraph"/>
              <w:numPr>
                <w:ilvl w:val="0"/>
                <w:numId w:val="0"/>
              </w:numPr>
              <w:jc w:val="center"/>
              <w:rPr>
                <w:kern w:val="28"/>
                <w:sz w:val="18"/>
                <w:szCs w:val="18"/>
                <w:lang w:val="en-US"/>
              </w:rPr>
            </w:pPr>
            <w:r w:rsidRPr="00F70732">
              <w:rPr>
                <w:kern w:val="28"/>
                <w:sz w:val="18"/>
                <w:szCs w:val="18"/>
                <w:lang w:val="en-US"/>
              </w:rPr>
              <w:t>7.203</w:t>
            </w:r>
          </w:p>
        </w:tc>
        <w:tc>
          <w:tcPr>
            <w:tcW w:w="871" w:type="dxa"/>
          </w:tcPr>
          <w:p w14:paraId="2D8E4E8B" w14:textId="007BC0C2" w:rsidR="00C5597B" w:rsidRPr="00F70732" w:rsidRDefault="00485076" w:rsidP="00F70732">
            <w:pPr>
              <w:pStyle w:val="Paragraph"/>
              <w:numPr>
                <w:ilvl w:val="0"/>
                <w:numId w:val="0"/>
              </w:numPr>
              <w:jc w:val="center"/>
              <w:rPr>
                <w:kern w:val="28"/>
                <w:sz w:val="18"/>
                <w:szCs w:val="18"/>
                <w:lang w:val="en-US"/>
              </w:rPr>
            </w:pPr>
            <w:r w:rsidRPr="00F70732">
              <w:rPr>
                <w:kern w:val="28"/>
                <w:sz w:val="18"/>
                <w:szCs w:val="18"/>
                <w:lang w:val="en-US"/>
              </w:rPr>
              <w:t>4.316</w:t>
            </w:r>
          </w:p>
        </w:tc>
        <w:tc>
          <w:tcPr>
            <w:tcW w:w="871" w:type="dxa"/>
          </w:tcPr>
          <w:p w14:paraId="4767F0EE" w14:textId="7116595B" w:rsidR="00C5597B" w:rsidRPr="00F70732" w:rsidRDefault="00485076" w:rsidP="00F70732">
            <w:pPr>
              <w:pStyle w:val="Paragraph"/>
              <w:numPr>
                <w:ilvl w:val="0"/>
                <w:numId w:val="0"/>
              </w:numPr>
              <w:jc w:val="center"/>
              <w:rPr>
                <w:kern w:val="28"/>
                <w:sz w:val="18"/>
                <w:szCs w:val="18"/>
                <w:lang w:val="en-US"/>
              </w:rPr>
            </w:pPr>
            <w:r w:rsidRPr="00F70732">
              <w:rPr>
                <w:kern w:val="28"/>
                <w:sz w:val="18"/>
                <w:szCs w:val="18"/>
                <w:lang w:val="en-US"/>
              </w:rPr>
              <w:t>2.</w:t>
            </w:r>
            <w:r w:rsidR="006962D2" w:rsidRPr="00F70732">
              <w:rPr>
                <w:kern w:val="28"/>
                <w:sz w:val="18"/>
                <w:szCs w:val="18"/>
                <w:lang w:val="en-US"/>
              </w:rPr>
              <w:t>4</w:t>
            </w:r>
            <w:r w:rsidRPr="00F70732">
              <w:rPr>
                <w:kern w:val="28"/>
                <w:sz w:val="18"/>
                <w:szCs w:val="18"/>
                <w:lang w:val="en-US"/>
              </w:rPr>
              <w:t>73</w:t>
            </w:r>
          </w:p>
        </w:tc>
        <w:tc>
          <w:tcPr>
            <w:tcW w:w="871" w:type="dxa"/>
          </w:tcPr>
          <w:p w14:paraId="7992AA68" w14:textId="2ADE1B63" w:rsidR="00C5597B" w:rsidRPr="00F70732" w:rsidRDefault="00485076" w:rsidP="00F70732">
            <w:pPr>
              <w:pStyle w:val="Paragraph"/>
              <w:numPr>
                <w:ilvl w:val="0"/>
                <w:numId w:val="0"/>
              </w:numPr>
              <w:jc w:val="center"/>
              <w:rPr>
                <w:kern w:val="28"/>
                <w:sz w:val="18"/>
                <w:szCs w:val="18"/>
                <w:lang w:val="en-US"/>
              </w:rPr>
            </w:pPr>
            <w:r w:rsidRPr="00F70732">
              <w:rPr>
                <w:kern w:val="28"/>
                <w:sz w:val="18"/>
                <w:szCs w:val="18"/>
                <w:lang w:val="en-US"/>
              </w:rPr>
              <w:t>2.0</w:t>
            </w:r>
          </w:p>
        </w:tc>
        <w:tc>
          <w:tcPr>
            <w:tcW w:w="1017" w:type="dxa"/>
          </w:tcPr>
          <w:p w14:paraId="41B2CC19" w14:textId="21E5273D" w:rsidR="00C5597B" w:rsidRPr="00F70732" w:rsidRDefault="00485076" w:rsidP="00F70732">
            <w:pPr>
              <w:pStyle w:val="Paragraph"/>
              <w:numPr>
                <w:ilvl w:val="0"/>
                <w:numId w:val="0"/>
              </w:numPr>
              <w:jc w:val="center"/>
              <w:rPr>
                <w:kern w:val="28"/>
                <w:sz w:val="18"/>
                <w:szCs w:val="18"/>
                <w:lang w:val="en-US"/>
              </w:rPr>
            </w:pPr>
            <w:r w:rsidRPr="00F70732">
              <w:rPr>
                <w:kern w:val="28"/>
                <w:sz w:val="18"/>
                <w:szCs w:val="18"/>
                <w:lang w:val="en-US"/>
              </w:rPr>
              <w:t>27</w:t>
            </w:r>
          </w:p>
        </w:tc>
      </w:tr>
    </w:tbl>
    <w:p w14:paraId="790AA9BB" w14:textId="77777777" w:rsidR="00D8529E" w:rsidRPr="00D8529E" w:rsidRDefault="00D8529E" w:rsidP="00D8529E">
      <w:pPr>
        <w:pStyle w:val="Paragraph"/>
        <w:numPr>
          <w:ilvl w:val="0"/>
          <w:numId w:val="0"/>
        </w:numPr>
        <w:ind w:left="720"/>
        <w:rPr>
          <w:kern w:val="28"/>
          <w:szCs w:val="24"/>
          <w:lang w:val="en-US"/>
        </w:rPr>
      </w:pPr>
    </w:p>
    <w:p w14:paraId="58BD2BDA" w14:textId="46D3E388" w:rsidR="00415563" w:rsidRPr="00D14C42" w:rsidRDefault="00415563" w:rsidP="00415563">
      <w:pPr>
        <w:pStyle w:val="Paragraph"/>
        <w:rPr>
          <w:rFonts w:eastAsia="MS Mincho"/>
          <w:lang w:val="en-US"/>
        </w:rPr>
      </w:pPr>
      <w:r w:rsidRPr="00A21588">
        <w:rPr>
          <w:rFonts w:eastAsia="MS Mincho"/>
          <w:b/>
          <w:lang w:val="en-US"/>
        </w:rPr>
        <w:t>Component 1. Simplifying and digitizing government procedures (US$13,800,000).</w:t>
      </w:r>
      <w:r w:rsidRPr="00A21588">
        <w:rPr>
          <w:rFonts w:eastAsia="MS Mincho"/>
          <w:lang w:val="en-US"/>
        </w:rPr>
        <w:t xml:space="preserve"> The main objective of this component is to streamline government procedures and make them available online. This component will finance the following activities: </w:t>
      </w:r>
      <w:r w:rsidRPr="00A21588">
        <w:rPr>
          <w:rFonts w:eastAsia="MS Mincho"/>
          <w:bCs/>
          <w:lang w:val="en-US"/>
        </w:rPr>
        <w:t xml:space="preserve">(i) updating the catalogue of government </w:t>
      </w:r>
      <w:r w:rsidRPr="00A21588">
        <w:rPr>
          <w:rFonts w:eastAsia="MS Mincho"/>
          <w:bCs/>
          <w:lang w:val="en-US"/>
        </w:rPr>
        <w:lastRenderedPageBreak/>
        <w:t>procedures, prioritizing</w:t>
      </w:r>
      <w:r w:rsidRPr="00965AEE">
        <w:rPr>
          <w:rStyle w:val="FootnoteReference"/>
          <w:rFonts w:eastAsia="MS Mincho"/>
          <w:bCs/>
          <w:szCs w:val="22"/>
        </w:rPr>
        <w:footnoteReference w:id="6"/>
      </w:r>
      <w:r w:rsidRPr="00A21588">
        <w:rPr>
          <w:rFonts w:eastAsia="MS Mincho"/>
          <w:bCs/>
          <w:lang w:val="en-US"/>
        </w:rPr>
        <w:t xml:space="preserve"> and simplifying them, (including reengineering current procedures, eliminating unnecessary ones and putting them in a BPM (Business Process Manager)); (ii) updating the legal framework</w:t>
      </w:r>
      <w:r w:rsidRPr="00965AEE">
        <w:rPr>
          <w:rStyle w:val="FootnoteReference"/>
          <w:rFonts w:eastAsia="MS Mincho"/>
          <w:bCs/>
          <w:szCs w:val="22"/>
        </w:rPr>
        <w:footnoteReference w:id="7"/>
      </w:r>
      <w:r w:rsidRPr="00A21588">
        <w:rPr>
          <w:rFonts w:eastAsia="MS Mincho"/>
          <w:bCs/>
          <w:lang w:val="en-US"/>
        </w:rPr>
        <w:t xml:space="preserve"> related to the provision of digital services including the drafting of new legislation; (iii)</w:t>
      </w:r>
      <w:r w:rsidR="000526AC">
        <w:rPr>
          <w:rFonts w:eastAsia="MS Mincho"/>
          <w:bCs/>
          <w:lang w:val="en-US"/>
        </w:rPr>
        <w:t> </w:t>
      </w:r>
      <w:r w:rsidRPr="00A21588">
        <w:rPr>
          <w:rFonts w:eastAsia="MS Mincho"/>
          <w:bCs/>
          <w:lang w:val="en-US"/>
        </w:rPr>
        <w:t xml:space="preserve">designing and implementing a government cloud computing service that will allow other government agencies to access a shared e-government infrastructure and applications; (iv) setting up an interoperability scheme including standards, regulation and </w:t>
      </w:r>
      <w:r w:rsidRPr="00D14C42">
        <w:rPr>
          <w:rFonts w:eastAsia="MS Mincho"/>
          <w:bCs/>
          <w:lang w:val="en-US"/>
        </w:rPr>
        <w:t>technological platform; (v) updating the citizen portal and putting online government procedures</w:t>
      </w:r>
      <w:r w:rsidRPr="00D14C42">
        <w:rPr>
          <w:rStyle w:val="FootnoteReference"/>
          <w:rFonts w:eastAsia="MS Mincho"/>
          <w:bCs/>
          <w:szCs w:val="22"/>
          <w:lang w:val="en-US"/>
        </w:rPr>
        <w:footnoteReference w:id="8"/>
      </w:r>
      <w:r w:rsidRPr="00D14C42">
        <w:rPr>
          <w:rFonts w:eastAsia="MS Mincho"/>
          <w:bCs/>
          <w:lang w:val="en-US"/>
        </w:rPr>
        <w:t>, implementing the key tools for the provision of government digital services -digital identity, digital signature, online payment, BPM, document management;</w:t>
      </w:r>
      <w:r w:rsidRPr="00D14C42">
        <w:rPr>
          <w:rFonts w:eastAsia="MS Mincho"/>
          <w:vertAlign w:val="superscript"/>
        </w:rPr>
        <w:footnoteReference w:id="9"/>
      </w:r>
      <w:r w:rsidRPr="00D14C42">
        <w:rPr>
          <w:rFonts w:eastAsia="MS Mincho"/>
          <w:bCs/>
          <w:vertAlign w:val="superscript"/>
          <w:lang w:val="en-US"/>
        </w:rPr>
        <w:t xml:space="preserve"> </w:t>
      </w:r>
      <w:r w:rsidRPr="00D14C42">
        <w:rPr>
          <w:rFonts w:eastAsia="MS Mincho"/>
          <w:bCs/>
          <w:lang w:val="en-US"/>
        </w:rPr>
        <w:t>(vi) digitizing government procedures related to property registration;</w:t>
      </w:r>
      <w:r w:rsidRPr="00D14C42">
        <w:rPr>
          <w:rStyle w:val="FootnoteReference"/>
          <w:rFonts w:eastAsia="MS Mincho"/>
          <w:bCs/>
          <w:szCs w:val="22"/>
        </w:rPr>
        <w:footnoteReference w:id="10"/>
      </w:r>
      <w:r w:rsidRPr="00D14C42">
        <w:rPr>
          <w:rFonts w:eastAsia="MS Mincho"/>
          <w:bCs/>
          <w:lang w:val="en-US"/>
        </w:rPr>
        <w:t xml:space="preserve"> (vii) </w:t>
      </w:r>
      <w:r w:rsidR="004B2115" w:rsidRPr="00D14C42">
        <w:rPr>
          <w:rFonts w:eastAsia="MS Mincho"/>
          <w:bCs/>
          <w:lang w:val="en-US"/>
        </w:rPr>
        <w:t xml:space="preserve">computerizing </w:t>
      </w:r>
      <w:r w:rsidRPr="00D14C42">
        <w:rPr>
          <w:rFonts w:eastAsia="MS Mincho"/>
          <w:bCs/>
          <w:lang w:val="en-US"/>
        </w:rPr>
        <w:t>government procedures related to setting-up a business;</w:t>
      </w:r>
      <w:r w:rsidRPr="00D14C42">
        <w:rPr>
          <w:rStyle w:val="FootnoteReference"/>
          <w:rFonts w:eastAsia="MS Mincho"/>
          <w:bCs/>
          <w:szCs w:val="22"/>
        </w:rPr>
        <w:footnoteReference w:id="11"/>
      </w:r>
      <w:r w:rsidRPr="00D14C42">
        <w:rPr>
          <w:rFonts w:eastAsia="MS Mincho"/>
          <w:bCs/>
          <w:lang w:val="en-US"/>
        </w:rPr>
        <w:t xml:space="preserve"> and (viii) supporting the use of the National Insurance Board (NIB) database to provide digital citizen identification for government procedures.</w:t>
      </w:r>
      <w:r w:rsidRPr="00D14C42">
        <w:rPr>
          <w:rFonts w:eastAsia="MS Mincho"/>
          <w:vertAlign w:val="superscript"/>
        </w:rPr>
        <w:footnoteReference w:id="12"/>
      </w:r>
    </w:p>
    <w:p w14:paraId="463D46D5" w14:textId="2133DD6E" w:rsidR="00C5597B" w:rsidRPr="00C87D9C" w:rsidRDefault="00415563" w:rsidP="00C87D9C">
      <w:pPr>
        <w:pStyle w:val="Paragraph"/>
        <w:rPr>
          <w:rFonts w:eastAsia="MS Mincho"/>
          <w:bCs/>
          <w:lang w:val="en-US"/>
        </w:rPr>
      </w:pPr>
      <w:r w:rsidRPr="00D14C42">
        <w:rPr>
          <w:rFonts w:eastAsia="MS Mincho"/>
          <w:b/>
          <w:lang w:val="en-US"/>
        </w:rPr>
        <w:t>Component 2. Strengthening institutional capacity for a digital</w:t>
      </w:r>
      <w:r w:rsidRPr="00A21588">
        <w:rPr>
          <w:rFonts w:eastAsia="MS Mincho"/>
          <w:b/>
          <w:lang w:val="en-US"/>
        </w:rPr>
        <w:t xml:space="preserve"> government (US$9,900,000). </w:t>
      </w:r>
      <w:r w:rsidRPr="00A21588">
        <w:rPr>
          <w:rFonts w:eastAsia="MS Mincho"/>
          <w:lang w:val="en-US"/>
        </w:rPr>
        <w:t>The main objective of this component is to increase the use of ICTs in the public sector. This compo</w:t>
      </w:r>
      <w:bookmarkStart w:id="1" w:name="_GoBack"/>
      <w:bookmarkEnd w:id="1"/>
      <w:r w:rsidRPr="00A21588">
        <w:rPr>
          <w:rFonts w:eastAsia="MS Mincho"/>
          <w:lang w:val="en-US"/>
        </w:rPr>
        <w:t xml:space="preserve">nent will finance the following activities: </w:t>
      </w:r>
      <w:r w:rsidRPr="00A21588">
        <w:rPr>
          <w:rFonts w:eastAsia="MS Mincho"/>
          <w:bCs/>
          <w:lang w:val="en-US"/>
        </w:rPr>
        <w:t>(i) designing and implementing an institutional framework to manage digital government;</w:t>
      </w:r>
      <w:r w:rsidRPr="00DE69A9">
        <w:rPr>
          <w:rStyle w:val="FootnoteReference"/>
          <w:rFonts w:eastAsia="MS Mincho"/>
          <w:bCs/>
          <w:szCs w:val="22"/>
        </w:rPr>
        <w:footnoteReference w:id="13"/>
      </w:r>
      <w:r w:rsidRPr="00A21588">
        <w:rPr>
          <w:rFonts w:eastAsia="MS Mincho"/>
          <w:bCs/>
          <w:lang w:val="en-US"/>
        </w:rPr>
        <w:t xml:space="preserve"> (ii) setting up the government Chief Information Officer (CIO) role and professionalizing ICT in the public sector including the training plans; (iii) updating the government ICT blueprint </w:t>
      </w:r>
      <w:r w:rsidRPr="00A21588">
        <w:rPr>
          <w:rFonts w:eastAsia="MS Mincho"/>
          <w:bCs/>
          <w:lang w:val="en-US"/>
        </w:rPr>
        <w:lastRenderedPageBreak/>
        <w:t>(including a roadmap and action plan for ICT transformation in the government);</w:t>
      </w:r>
      <w:r w:rsidRPr="00DE69A9">
        <w:rPr>
          <w:rStyle w:val="FootnoteReference"/>
          <w:rFonts w:eastAsia="MS Mincho"/>
          <w:bCs/>
          <w:szCs w:val="22"/>
        </w:rPr>
        <w:footnoteReference w:id="14"/>
      </w:r>
      <w:r w:rsidRPr="00A21588">
        <w:rPr>
          <w:rFonts w:eastAsia="MS Mincho"/>
          <w:bCs/>
          <w:lang w:val="en-US"/>
        </w:rPr>
        <w:t xml:space="preserve"> (iv) setting up an ICT fund to support ICT-based strategic innovations across government;</w:t>
      </w:r>
      <w:r w:rsidRPr="00DE69A9">
        <w:rPr>
          <w:rStyle w:val="FootnoteReference"/>
          <w:rFonts w:eastAsia="MS Mincho"/>
          <w:bCs/>
          <w:szCs w:val="22"/>
        </w:rPr>
        <w:footnoteReference w:id="15"/>
      </w:r>
      <w:r w:rsidRPr="00A21588">
        <w:rPr>
          <w:rFonts w:eastAsia="MS Mincho"/>
          <w:bCs/>
          <w:lang w:val="en-US"/>
        </w:rPr>
        <w:t xml:space="preserve"> (v) implementing an ICT skills gap assessment and, based on it, designing and implementing a plan to close the gap by adding new employees and training existing ones;</w:t>
      </w:r>
      <w:r w:rsidRPr="00DE69A9">
        <w:rPr>
          <w:rStyle w:val="FootnoteReference"/>
          <w:rFonts w:eastAsia="MS Mincho"/>
          <w:bCs/>
          <w:szCs w:val="22"/>
        </w:rPr>
        <w:footnoteReference w:id="16"/>
      </w:r>
      <w:r w:rsidRPr="00A21588">
        <w:rPr>
          <w:rFonts w:eastAsia="MS Mincho"/>
          <w:bCs/>
          <w:lang w:val="en-US"/>
        </w:rPr>
        <w:t xml:space="preserve"> (vi) designing and implementing a change management plan;</w:t>
      </w:r>
      <w:r w:rsidRPr="00DE69A9">
        <w:rPr>
          <w:rStyle w:val="FootnoteReference"/>
          <w:rFonts w:eastAsia="MS Mincho"/>
          <w:bCs/>
          <w:szCs w:val="22"/>
        </w:rPr>
        <w:footnoteReference w:id="17"/>
      </w:r>
      <w:r w:rsidRPr="00A21588">
        <w:rPr>
          <w:rFonts w:eastAsia="MS Mincho"/>
          <w:bCs/>
          <w:lang w:val="en-US"/>
        </w:rPr>
        <w:t xml:space="preserve"> (vii) undertaking a digital literacy program for citizens and small businesses not familiarized with most used digital tools;</w:t>
      </w:r>
      <w:r w:rsidRPr="00F82617">
        <w:rPr>
          <w:rFonts w:eastAsia="MS Mincho"/>
          <w:vertAlign w:val="superscript"/>
        </w:rPr>
        <w:footnoteReference w:id="18"/>
      </w:r>
      <w:r w:rsidRPr="00A21588">
        <w:rPr>
          <w:rFonts w:eastAsia="MS Mincho"/>
          <w:bCs/>
          <w:lang w:val="en-US"/>
        </w:rPr>
        <w:t xml:space="preserve"> (viii) implementing a communications strategy to create citizens and businesses awareness;</w:t>
      </w:r>
      <w:r w:rsidRPr="00E231EA">
        <w:rPr>
          <w:rFonts w:eastAsia="MS Mincho"/>
          <w:vertAlign w:val="superscript"/>
        </w:rPr>
        <w:footnoteReference w:id="19"/>
      </w:r>
      <w:r w:rsidRPr="00A21588">
        <w:rPr>
          <w:rFonts w:eastAsia="MS Mincho"/>
          <w:bCs/>
          <w:lang w:val="en-US"/>
        </w:rPr>
        <w:t xml:space="preserve"> (ix) setting up a data culture and a data analytics office that will initially serve the whole government and will be subsequently extended to key ministries;</w:t>
      </w:r>
      <w:r w:rsidRPr="00E231EA">
        <w:rPr>
          <w:rFonts w:eastAsia="MS Mincho"/>
          <w:vertAlign w:val="superscript"/>
        </w:rPr>
        <w:footnoteReference w:id="20"/>
      </w:r>
      <w:r w:rsidRPr="00A21588">
        <w:rPr>
          <w:rFonts w:eastAsia="MS Mincho"/>
          <w:bCs/>
          <w:lang w:val="en-US"/>
        </w:rPr>
        <w:t xml:space="preserve"> (x) designing and implementing a cybersecurity strategy;</w:t>
      </w:r>
      <w:r w:rsidRPr="00E231EA">
        <w:rPr>
          <w:rFonts w:eastAsia="MS Mincho"/>
          <w:vertAlign w:val="superscript"/>
        </w:rPr>
        <w:footnoteReference w:id="21"/>
      </w:r>
      <w:r w:rsidRPr="00A21588">
        <w:rPr>
          <w:rFonts w:eastAsia="MS Mincho"/>
          <w:bCs/>
          <w:vertAlign w:val="superscript"/>
          <w:lang w:val="en-US"/>
        </w:rPr>
        <w:t xml:space="preserve"> </w:t>
      </w:r>
      <w:r w:rsidRPr="00A21588">
        <w:rPr>
          <w:rFonts w:eastAsia="MS Mincho"/>
          <w:bCs/>
          <w:lang w:val="en-US"/>
        </w:rPr>
        <w:t>and (xi) Information Technology (IT) project management and supervision for all IT implementation projects.</w:t>
      </w:r>
      <w:r w:rsidRPr="00E231EA">
        <w:rPr>
          <w:rFonts w:eastAsia="MS Mincho"/>
          <w:vertAlign w:val="superscript"/>
        </w:rPr>
        <w:footnoteReference w:id="22"/>
      </w:r>
      <w:r w:rsidRPr="00A21588">
        <w:rPr>
          <w:rFonts w:eastAsia="MS Mincho"/>
          <w:bCs/>
          <w:vertAlign w:val="superscript"/>
          <w:lang w:val="en-US"/>
        </w:rPr>
        <w:t xml:space="preserve"> </w:t>
      </w:r>
    </w:p>
    <w:p w14:paraId="5C80EE1F" w14:textId="3A47DF9C" w:rsidR="00992D05" w:rsidRPr="00F70732" w:rsidRDefault="0095074E" w:rsidP="00F70732">
      <w:pPr>
        <w:pStyle w:val="Paragraph"/>
        <w:rPr>
          <w:rFonts w:eastAsia="MS Mincho"/>
          <w:bCs/>
          <w:lang w:val="en-US"/>
        </w:rPr>
      </w:pPr>
      <w:r w:rsidRPr="00F70732">
        <w:rPr>
          <w:b/>
          <w:szCs w:val="24"/>
          <w:lang w:val="en-US"/>
        </w:rPr>
        <w:t>Estimates</w:t>
      </w:r>
      <w:r w:rsidR="00F70732">
        <w:rPr>
          <w:b/>
          <w:szCs w:val="24"/>
          <w:lang w:val="en-US"/>
        </w:rPr>
        <w:t xml:space="preserve">: </w:t>
      </w:r>
      <w:r w:rsidRPr="00F70732">
        <w:rPr>
          <w:kern w:val="28"/>
          <w:szCs w:val="24"/>
          <w:lang w:val="en-US"/>
        </w:rPr>
        <w:t>The first quantification required for the analysis consist</w:t>
      </w:r>
      <w:r w:rsidR="008C131A" w:rsidRPr="00F70732">
        <w:rPr>
          <w:kern w:val="28"/>
          <w:szCs w:val="24"/>
          <w:lang w:val="en-US"/>
        </w:rPr>
        <w:t>s</w:t>
      </w:r>
      <w:r w:rsidRPr="00F70732">
        <w:rPr>
          <w:kern w:val="28"/>
          <w:szCs w:val="24"/>
          <w:lang w:val="en-US"/>
        </w:rPr>
        <w:t xml:space="preserve"> </w:t>
      </w:r>
      <w:r w:rsidR="002B3A44" w:rsidRPr="00F70732">
        <w:rPr>
          <w:kern w:val="28"/>
          <w:szCs w:val="24"/>
          <w:lang w:val="en-US"/>
        </w:rPr>
        <w:t>of</w:t>
      </w:r>
      <w:r w:rsidRPr="00F70732">
        <w:rPr>
          <w:kern w:val="28"/>
          <w:szCs w:val="24"/>
          <w:lang w:val="en-US"/>
        </w:rPr>
        <w:t xml:space="preserve"> estimating the annual benefits of the</w:t>
      </w:r>
      <w:r w:rsidR="004C520C" w:rsidRPr="00F70732">
        <w:rPr>
          <w:kern w:val="28"/>
          <w:szCs w:val="24"/>
          <w:lang w:val="en-US"/>
        </w:rPr>
        <w:t xml:space="preserve"> five types of</w:t>
      </w:r>
      <w:r w:rsidRPr="00F70732">
        <w:rPr>
          <w:kern w:val="28"/>
          <w:szCs w:val="24"/>
          <w:lang w:val="en-US"/>
        </w:rPr>
        <w:t xml:space="preserve"> savings </w:t>
      </w:r>
      <w:r w:rsidR="004C520C" w:rsidRPr="00F70732">
        <w:rPr>
          <w:kern w:val="28"/>
          <w:szCs w:val="24"/>
          <w:lang w:val="en-US"/>
        </w:rPr>
        <w:t>described above</w:t>
      </w:r>
      <w:r w:rsidR="00992D05" w:rsidRPr="00F70732">
        <w:rPr>
          <w:kern w:val="28"/>
          <w:szCs w:val="24"/>
          <w:lang w:val="en-US"/>
        </w:rPr>
        <w:t xml:space="preserve">. </w:t>
      </w:r>
      <w:r w:rsidR="004C520C" w:rsidRPr="00F70732">
        <w:rPr>
          <w:kern w:val="28"/>
          <w:szCs w:val="24"/>
          <w:lang w:val="en-US"/>
        </w:rPr>
        <w:t>The following</w:t>
      </w:r>
      <w:r w:rsidR="00992D05" w:rsidRPr="00F70732">
        <w:rPr>
          <w:kern w:val="28"/>
          <w:szCs w:val="24"/>
          <w:lang w:val="en-US"/>
        </w:rPr>
        <w:t xml:space="preserve"> formula was applied for each year with the indicated discount rate. To estimate the total benefits</w:t>
      </w:r>
      <w:r w:rsidR="00AC5C15" w:rsidRPr="00F70732">
        <w:rPr>
          <w:kern w:val="28"/>
          <w:szCs w:val="24"/>
          <w:lang w:val="en-US"/>
        </w:rPr>
        <w:t xml:space="preserve"> for each year</w:t>
      </w:r>
      <w:r w:rsidR="00992D05" w:rsidRPr="00F70732">
        <w:rPr>
          <w:kern w:val="28"/>
          <w:szCs w:val="24"/>
          <w:lang w:val="en-US"/>
        </w:rPr>
        <w:t xml:space="preserve">, </w:t>
      </w:r>
      <w:r w:rsidR="002B3A44" w:rsidRPr="00F70732">
        <w:rPr>
          <w:kern w:val="28"/>
          <w:szCs w:val="24"/>
          <w:lang w:val="en-US"/>
        </w:rPr>
        <w:t xml:space="preserve">over a period of </w:t>
      </w:r>
      <w:r w:rsidR="00A43443" w:rsidRPr="00F70732">
        <w:rPr>
          <w:kern w:val="28"/>
          <w:szCs w:val="24"/>
          <w:lang w:val="en-US"/>
        </w:rPr>
        <w:t>2</w:t>
      </w:r>
      <w:r w:rsidR="002B3A44" w:rsidRPr="00F70732">
        <w:rPr>
          <w:kern w:val="28"/>
          <w:szCs w:val="24"/>
          <w:lang w:val="en-US"/>
        </w:rPr>
        <w:t xml:space="preserve">0 years, </w:t>
      </w:r>
      <w:r w:rsidR="00992D05" w:rsidRPr="00F70732">
        <w:rPr>
          <w:kern w:val="28"/>
          <w:szCs w:val="24"/>
          <w:lang w:val="en-US"/>
        </w:rPr>
        <w:t xml:space="preserve">by using the following formula: </w:t>
      </w:r>
    </w:p>
    <w:p w14:paraId="675A0635" w14:textId="3C969941" w:rsidR="00B84211" w:rsidRPr="0081782B" w:rsidRDefault="00586D19" w:rsidP="007E6104">
      <w:pPr>
        <w:spacing w:after="0" w:line="480" w:lineRule="auto"/>
        <w:ind w:left="567" w:hanging="567"/>
        <w:jc w:val="both"/>
        <w:rPr>
          <w:rFonts w:ascii="Times New Roman" w:hAnsi="Times New Roman"/>
          <w:sz w:val="24"/>
          <w:szCs w:val="24"/>
          <w:lang w:val="es-ES"/>
        </w:rPr>
      </w:pPr>
      <m:oMathPara>
        <m:oMath>
          <m:sSub>
            <m:sSubPr>
              <m:ctrlPr>
                <w:rPr>
                  <w:rFonts w:ascii="Cambria Math" w:hAnsi="Cambria Math"/>
                  <w:i/>
                  <w:sz w:val="24"/>
                  <w:szCs w:val="24"/>
                  <w:lang w:val="es-ES"/>
                </w:rPr>
              </m:ctrlPr>
            </m:sSubPr>
            <m:e>
              <m:r>
                <w:rPr>
                  <w:rFonts w:ascii="Cambria Math" w:hAnsi="Cambria Math"/>
                  <w:sz w:val="24"/>
                  <w:szCs w:val="24"/>
                  <w:lang w:val="es-ES"/>
                </w:rPr>
                <m:t>B</m:t>
              </m:r>
            </m:e>
            <m:sub>
              <m:r>
                <w:rPr>
                  <w:rFonts w:ascii="Cambria Math" w:hAnsi="Cambria Math"/>
                  <w:sz w:val="24"/>
                  <w:szCs w:val="24"/>
                  <w:lang w:val="es-ES"/>
                </w:rPr>
                <m:t>tI</m:t>
              </m:r>
            </m:sub>
          </m:sSub>
          <m:r>
            <w:rPr>
              <w:rFonts w:ascii="Cambria Math" w:hAnsi="Cambria Math"/>
              <w:sz w:val="24"/>
              <w:szCs w:val="24"/>
              <w:lang w:val="es-ES"/>
            </w:rPr>
            <m:t>=</m:t>
          </m:r>
          <m:nary>
            <m:naryPr>
              <m:chr m:val="∑"/>
              <m:limLoc m:val="undOvr"/>
              <m:ctrlPr>
                <w:rPr>
                  <w:rFonts w:ascii="Cambria Math" w:hAnsi="Cambria Math"/>
                  <w:i/>
                  <w:sz w:val="24"/>
                  <w:szCs w:val="24"/>
                  <w:lang w:val="es-ES"/>
                </w:rPr>
              </m:ctrlPr>
            </m:naryPr>
            <m:sub>
              <m:r>
                <w:rPr>
                  <w:rFonts w:ascii="Cambria Math" w:hAnsi="Cambria Math"/>
                  <w:sz w:val="24"/>
                  <w:szCs w:val="24"/>
                  <w:lang w:val="es-ES"/>
                </w:rPr>
                <m:t>t=0</m:t>
              </m:r>
            </m:sub>
            <m:sup>
              <m:r>
                <w:rPr>
                  <w:rFonts w:ascii="Cambria Math" w:hAnsi="Cambria Math"/>
                  <w:sz w:val="24"/>
                  <w:szCs w:val="24"/>
                  <w:lang w:val="es-ES"/>
                </w:rPr>
                <m:t>20</m:t>
              </m:r>
            </m:sup>
            <m:e>
              <m:f>
                <m:fPr>
                  <m:ctrlPr>
                    <w:rPr>
                      <w:rFonts w:ascii="Cambria Math" w:hAnsi="Cambria Math"/>
                      <w:i/>
                      <w:sz w:val="24"/>
                      <w:szCs w:val="24"/>
                      <w:lang w:val="es-ES"/>
                    </w:rPr>
                  </m:ctrlPr>
                </m:fPr>
                <m:num>
                  <m:sSub>
                    <m:sSubPr>
                      <m:ctrlPr>
                        <w:rPr>
                          <w:rFonts w:ascii="Cambria Math" w:hAnsi="Cambria Math"/>
                          <w:i/>
                          <w:sz w:val="24"/>
                          <w:szCs w:val="24"/>
                          <w:lang w:val="es-ES"/>
                        </w:rPr>
                      </m:ctrlPr>
                    </m:sSubPr>
                    <m:e>
                      <m:r>
                        <w:rPr>
                          <w:rFonts w:ascii="Cambria Math" w:hAnsi="Cambria Math"/>
                          <w:sz w:val="24"/>
                          <w:szCs w:val="24"/>
                          <w:lang w:val="es-ES"/>
                        </w:rPr>
                        <m:t>B</m:t>
                      </m:r>
                    </m:e>
                    <m:sub>
                      <m:r>
                        <w:rPr>
                          <w:rFonts w:ascii="Cambria Math" w:hAnsi="Cambria Math"/>
                          <w:sz w:val="24"/>
                          <w:szCs w:val="24"/>
                          <w:lang w:val="es-ES"/>
                        </w:rPr>
                        <m:t>t</m:t>
                      </m:r>
                    </m:sub>
                  </m:sSub>
                </m:num>
                <m:den>
                  <m:sSup>
                    <m:sSupPr>
                      <m:ctrlPr>
                        <w:rPr>
                          <w:rFonts w:ascii="Cambria Math" w:hAnsi="Cambria Math"/>
                          <w:i/>
                          <w:sz w:val="24"/>
                          <w:szCs w:val="24"/>
                          <w:lang w:val="es-ES"/>
                        </w:rPr>
                      </m:ctrlPr>
                    </m:sSupPr>
                    <m:e>
                      <m:r>
                        <w:rPr>
                          <w:rFonts w:ascii="Cambria Math" w:hAnsi="Cambria Math"/>
                          <w:sz w:val="24"/>
                          <w:szCs w:val="24"/>
                          <w:lang w:val="es-ES"/>
                        </w:rPr>
                        <m:t>1,12</m:t>
                      </m:r>
                    </m:e>
                    <m:sup>
                      <m:r>
                        <w:rPr>
                          <w:rFonts w:ascii="Cambria Math" w:hAnsi="Cambria Math"/>
                          <w:sz w:val="24"/>
                          <w:szCs w:val="24"/>
                          <w:lang w:val="es-ES"/>
                        </w:rPr>
                        <m:t>t</m:t>
                      </m:r>
                    </m:sup>
                  </m:sSup>
                </m:den>
              </m:f>
            </m:e>
          </m:nary>
          <m:r>
            <w:rPr>
              <w:rFonts w:ascii="Cambria Math" w:hAnsi="Cambria Math"/>
              <w:sz w:val="24"/>
              <w:szCs w:val="24"/>
              <w:lang w:val="es-ES"/>
            </w:rPr>
            <m:t>,</m:t>
          </m:r>
        </m:oMath>
      </m:oMathPara>
    </w:p>
    <w:p w14:paraId="09B60A90" w14:textId="308EDB82" w:rsidR="00AC5C15" w:rsidRPr="0081782B" w:rsidRDefault="002B3A44" w:rsidP="00F70732">
      <w:pPr>
        <w:pStyle w:val="Paragraph"/>
        <w:numPr>
          <w:ilvl w:val="0"/>
          <w:numId w:val="0"/>
        </w:numPr>
        <w:spacing w:before="240" w:after="240"/>
        <w:ind w:left="720"/>
        <w:rPr>
          <w:szCs w:val="24"/>
          <w:lang w:val="en-US"/>
        </w:rPr>
      </w:pPr>
      <w:r w:rsidRPr="0081782B">
        <w:rPr>
          <w:szCs w:val="24"/>
          <w:lang w:val="en-US"/>
        </w:rPr>
        <w:t>w</w:t>
      </w:r>
      <w:r w:rsidR="00992D05" w:rsidRPr="0081782B">
        <w:rPr>
          <w:szCs w:val="24"/>
          <w:lang w:val="en-US"/>
        </w:rPr>
        <w:t xml:space="preserve">here </w:t>
      </w:r>
      <m:oMath>
        <m:r>
          <w:rPr>
            <w:rFonts w:ascii="Cambria Math" w:hAnsi="Cambria Math"/>
            <w:szCs w:val="24"/>
          </w:rPr>
          <m:t>I</m:t>
        </m:r>
      </m:oMath>
      <w:r w:rsidR="007B3237" w:rsidRPr="0081782B">
        <w:rPr>
          <w:i/>
          <w:szCs w:val="24"/>
          <w:lang w:val="en-US"/>
        </w:rPr>
        <w:t xml:space="preserve"> </w:t>
      </w:r>
      <w:r w:rsidR="00992D05" w:rsidRPr="0081782B">
        <w:rPr>
          <w:szCs w:val="24"/>
          <w:lang w:val="en-US"/>
        </w:rPr>
        <w:t xml:space="preserve">refers that the </w:t>
      </w:r>
      <w:r w:rsidR="006C6ECC" w:rsidRPr="0081782B">
        <w:rPr>
          <w:szCs w:val="24"/>
          <w:lang w:val="en-US"/>
        </w:rPr>
        <w:t xml:space="preserve">sum of the </w:t>
      </w:r>
      <w:r w:rsidR="00992D05" w:rsidRPr="0081782B">
        <w:rPr>
          <w:szCs w:val="24"/>
          <w:lang w:val="en-US"/>
        </w:rPr>
        <w:t xml:space="preserve">benefits </w:t>
      </w:r>
      <w:r w:rsidR="006C6ECC" w:rsidRPr="0081782B">
        <w:rPr>
          <w:szCs w:val="24"/>
          <w:lang w:val="en-US"/>
        </w:rPr>
        <w:t xml:space="preserve">by year </w:t>
      </w:r>
      <w:r w:rsidR="00AC5C15" w:rsidRPr="0081782B">
        <w:rPr>
          <w:szCs w:val="24"/>
          <w:lang w:val="en-US"/>
        </w:rPr>
        <w:t xml:space="preserve">and </w:t>
      </w:r>
      <m:oMath>
        <m:r>
          <w:rPr>
            <w:rFonts w:ascii="Cambria Math" w:hAnsi="Cambria Math"/>
            <w:szCs w:val="24"/>
          </w:rPr>
          <m:t>t</m:t>
        </m:r>
      </m:oMath>
      <w:r w:rsidR="007B3237" w:rsidRPr="0081782B">
        <w:rPr>
          <w:szCs w:val="24"/>
          <w:lang w:val="en-US"/>
        </w:rPr>
        <w:t xml:space="preserve"> </w:t>
      </w:r>
      <w:r w:rsidRPr="0081782B">
        <w:rPr>
          <w:szCs w:val="24"/>
          <w:lang w:val="en-US"/>
        </w:rPr>
        <w:t xml:space="preserve">refers </w:t>
      </w:r>
      <w:r w:rsidR="00AC5C15" w:rsidRPr="0081782B">
        <w:rPr>
          <w:szCs w:val="24"/>
          <w:lang w:val="en-US"/>
        </w:rPr>
        <w:t xml:space="preserve">to the current year. </w:t>
      </w:r>
    </w:p>
    <w:p w14:paraId="213578DB" w14:textId="19E306F6" w:rsidR="00B84211" w:rsidRPr="00F70732" w:rsidRDefault="00AC5C15" w:rsidP="00F70732">
      <w:pPr>
        <w:pStyle w:val="Paragraph"/>
      </w:pPr>
      <w:r w:rsidRPr="008F5F3E">
        <w:rPr>
          <w:lang w:val="en-US"/>
        </w:rPr>
        <w:lastRenderedPageBreak/>
        <w:t xml:space="preserve">The operational cost was calculated as the present value of the expenses flow of the program. </w:t>
      </w:r>
      <w:r w:rsidRPr="0081782B">
        <w:t xml:space="preserve">The formula </w:t>
      </w:r>
      <w:proofErr w:type="spellStart"/>
      <w:r w:rsidRPr="0081782B">
        <w:t>used</w:t>
      </w:r>
      <w:proofErr w:type="spellEnd"/>
      <w:r w:rsidRPr="0081782B">
        <w:t xml:space="preserve"> </w:t>
      </w:r>
      <w:proofErr w:type="spellStart"/>
      <w:r w:rsidRPr="0081782B">
        <w:t>was</w:t>
      </w:r>
      <w:proofErr w:type="spellEnd"/>
      <w:r w:rsidRPr="0081782B">
        <w:t xml:space="preserve">:  </w:t>
      </w:r>
    </w:p>
    <w:p w14:paraId="1B6A1C23" w14:textId="390ABDAA" w:rsidR="00B84211" w:rsidRPr="0081782B" w:rsidRDefault="00586D19" w:rsidP="007E6104">
      <w:pPr>
        <w:spacing w:after="0" w:line="480" w:lineRule="auto"/>
        <w:ind w:left="567" w:hanging="567"/>
        <w:jc w:val="center"/>
        <w:rPr>
          <w:rFonts w:ascii="Times New Roman" w:hAnsi="Times New Roman"/>
          <w:sz w:val="24"/>
          <w:szCs w:val="24"/>
          <w:lang w:val="es-ES"/>
        </w:rPr>
      </w:pPr>
      <m:oMathPara>
        <m:oMath>
          <m:sSub>
            <m:sSubPr>
              <m:ctrlPr>
                <w:rPr>
                  <w:rFonts w:ascii="Cambria Math" w:hAnsi="Cambria Math"/>
                  <w:i/>
                  <w:sz w:val="24"/>
                  <w:szCs w:val="24"/>
                  <w:lang w:val="es-ES"/>
                </w:rPr>
              </m:ctrlPr>
            </m:sSubPr>
            <m:e>
              <m:r>
                <w:rPr>
                  <w:rFonts w:ascii="Cambria Math" w:hAnsi="Cambria Math"/>
                  <w:sz w:val="24"/>
                  <w:szCs w:val="24"/>
                  <w:lang w:val="es-ES"/>
                </w:rPr>
                <m:t>Co</m:t>
              </m:r>
            </m:e>
            <m:sub>
              <m:r>
                <w:rPr>
                  <w:rFonts w:ascii="Cambria Math" w:hAnsi="Cambria Math"/>
                  <w:sz w:val="24"/>
                  <w:szCs w:val="24"/>
                  <w:lang w:val="es-ES"/>
                </w:rPr>
                <m:t>i</m:t>
              </m:r>
            </m:sub>
          </m:sSub>
          <m:r>
            <w:rPr>
              <w:rFonts w:ascii="Cambria Math" w:hAnsi="Cambria Math"/>
              <w:sz w:val="24"/>
              <w:szCs w:val="24"/>
              <w:lang w:val="es-ES"/>
            </w:rPr>
            <m:t>=</m:t>
          </m:r>
          <m:nary>
            <m:naryPr>
              <m:chr m:val="∑"/>
              <m:limLoc m:val="undOvr"/>
              <m:ctrlPr>
                <w:rPr>
                  <w:rFonts w:ascii="Cambria Math" w:hAnsi="Cambria Math"/>
                  <w:i/>
                  <w:sz w:val="24"/>
                  <w:szCs w:val="24"/>
                  <w:lang w:val="es-ES"/>
                </w:rPr>
              </m:ctrlPr>
            </m:naryPr>
            <m:sub>
              <m:r>
                <w:rPr>
                  <w:rFonts w:ascii="Cambria Math" w:hAnsi="Cambria Math"/>
                  <w:sz w:val="24"/>
                  <w:szCs w:val="24"/>
                  <w:lang w:val="es-ES"/>
                </w:rPr>
                <m:t>t=0</m:t>
              </m:r>
            </m:sub>
            <m:sup>
              <m:r>
                <w:rPr>
                  <w:rFonts w:ascii="Cambria Math" w:hAnsi="Cambria Math"/>
                  <w:sz w:val="24"/>
                  <w:szCs w:val="24"/>
                  <w:lang w:val="es-ES"/>
                </w:rPr>
                <m:t>20</m:t>
              </m:r>
            </m:sup>
            <m:e>
              <m:f>
                <m:fPr>
                  <m:ctrlPr>
                    <w:rPr>
                      <w:rFonts w:ascii="Cambria Math" w:hAnsi="Cambria Math"/>
                      <w:i/>
                      <w:sz w:val="24"/>
                      <w:szCs w:val="24"/>
                      <w:lang w:val="es-ES"/>
                    </w:rPr>
                  </m:ctrlPr>
                </m:fPr>
                <m:num>
                  <m:sSub>
                    <m:sSubPr>
                      <m:ctrlPr>
                        <w:rPr>
                          <w:rFonts w:ascii="Cambria Math" w:hAnsi="Cambria Math"/>
                          <w:i/>
                          <w:sz w:val="24"/>
                          <w:szCs w:val="24"/>
                          <w:lang w:val="es-ES"/>
                        </w:rPr>
                      </m:ctrlPr>
                    </m:sSubPr>
                    <m:e>
                      <m:r>
                        <w:rPr>
                          <w:rFonts w:ascii="Cambria Math" w:hAnsi="Cambria Math"/>
                          <w:sz w:val="24"/>
                          <w:szCs w:val="24"/>
                          <w:lang w:val="es-ES"/>
                        </w:rPr>
                        <m:t>g</m:t>
                      </m:r>
                    </m:e>
                    <m:sub>
                      <m:r>
                        <w:rPr>
                          <w:rFonts w:ascii="Cambria Math" w:hAnsi="Cambria Math"/>
                          <w:sz w:val="24"/>
                          <w:szCs w:val="24"/>
                          <w:lang w:val="es-ES"/>
                        </w:rPr>
                        <m:t>t</m:t>
                      </m:r>
                    </m:sub>
                  </m:sSub>
                </m:num>
                <m:den>
                  <m:sSup>
                    <m:sSupPr>
                      <m:ctrlPr>
                        <w:rPr>
                          <w:rFonts w:ascii="Cambria Math" w:hAnsi="Cambria Math"/>
                          <w:i/>
                          <w:sz w:val="24"/>
                          <w:szCs w:val="24"/>
                          <w:lang w:val="es-ES"/>
                        </w:rPr>
                      </m:ctrlPr>
                    </m:sSupPr>
                    <m:e>
                      <m:r>
                        <w:rPr>
                          <w:rFonts w:ascii="Cambria Math" w:hAnsi="Cambria Math"/>
                          <w:sz w:val="24"/>
                          <w:szCs w:val="24"/>
                          <w:lang w:val="es-ES"/>
                        </w:rPr>
                        <m:t>1,12</m:t>
                      </m:r>
                    </m:e>
                    <m:sup>
                      <m:r>
                        <w:rPr>
                          <w:rFonts w:ascii="Cambria Math" w:hAnsi="Cambria Math"/>
                          <w:sz w:val="24"/>
                          <w:szCs w:val="24"/>
                          <w:lang w:val="es-ES"/>
                        </w:rPr>
                        <m:t>t</m:t>
                      </m:r>
                    </m:sup>
                  </m:sSup>
                </m:den>
              </m:f>
            </m:e>
          </m:nary>
          <m:r>
            <w:rPr>
              <w:rFonts w:ascii="Cambria Math" w:hAnsi="Cambria Math"/>
              <w:sz w:val="24"/>
              <w:szCs w:val="24"/>
              <w:lang w:val="es-ES"/>
            </w:rPr>
            <m:t>,</m:t>
          </m:r>
        </m:oMath>
      </m:oMathPara>
    </w:p>
    <w:p w14:paraId="2EDB948C" w14:textId="06C74392" w:rsidR="00A23F8C" w:rsidRPr="0086245E" w:rsidRDefault="00FD764A" w:rsidP="0086245E">
      <w:pPr>
        <w:spacing w:before="120" w:after="240" w:line="240" w:lineRule="auto"/>
        <w:ind w:left="562" w:hanging="562"/>
        <w:jc w:val="both"/>
        <w:rPr>
          <w:rFonts w:ascii="Arial" w:hAnsi="Arial" w:cs="Arial"/>
        </w:rPr>
      </w:pPr>
      <w:r w:rsidRPr="005B3E93">
        <w:rPr>
          <w:rFonts w:ascii="Arial" w:hAnsi="Arial" w:cs="Arial"/>
          <w:lang w:val="es-ES"/>
        </w:rPr>
        <w:tab/>
      </w:r>
      <w:r w:rsidR="00AC5C15" w:rsidRPr="005B3E93">
        <w:rPr>
          <w:rFonts w:ascii="Arial" w:hAnsi="Arial" w:cs="Arial"/>
        </w:rPr>
        <w:t xml:space="preserve">Where </w:t>
      </w:r>
      <w:r w:rsidR="007B3237" w:rsidRPr="005B3E93">
        <w:rPr>
          <w:rFonts w:ascii="Arial" w:hAnsi="Arial" w:cs="Arial"/>
        </w:rPr>
        <w:t xml:space="preserve">g </w:t>
      </w:r>
      <w:r w:rsidR="00AC5C15" w:rsidRPr="005B3E93">
        <w:rPr>
          <w:rFonts w:ascii="Arial" w:hAnsi="Arial" w:cs="Arial"/>
        </w:rPr>
        <w:t xml:space="preserve">is the </w:t>
      </w:r>
      <w:r w:rsidR="00F16576" w:rsidRPr="005B3E93">
        <w:rPr>
          <w:rFonts w:ascii="Arial" w:hAnsi="Arial" w:cs="Arial"/>
        </w:rPr>
        <w:t>annual</w:t>
      </w:r>
      <w:r w:rsidR="00AC5C15" w:rsidRPr="005B3E93">
        <w:rPr>
          <w:rFonts w:ascii="Arial" w:hAnsi="Arial" w:cs="Arial"/>
        </w:rPr>
        <w:t xml:space="preserve"> expense of the current period. The total cost </w:t>
      </w:r>
      <w:r w:rsidR="00A43443" w:rsidRPr="005B3E93">
        <w:rPr>
          <w:rFonts w:ascii="Arial" w:hAnsi="Arial" w:cs="Arial"/>
        </w:rPr>
        <w:t xml:space="preserve">contemplated </w:t>
      </w:r>
      <w:r w:rsidR="00AC5C15" w:rsidRPr="005B3E93">
        <w:rPr>
          <w:rFonts w:ascii="Arial" w:hAnsi="Arial" w:cs="Arial"/>
        </w:rPr>
        <w:t>is US$</w:t>
      </w:r>
      <w:r w:rsidR="00A43443" w:rsidRPr="005B3E93">
        <w:rPr>
          <w:rFonts w:ascii="Arial" w:hAnsi="Arial" w:cs="Arial"/>
        </w:rPr>
        <w:t>24.2</w:t>
      </w:r>
      <w:r w:rsidR="00AC5C15" w:rsidRPr="005B3E93">
        <w:rPr>
          <w:rFonts w:ascii="Arial" w:hAnsi="Arial" w:cs="Arial"/>
        </w:rPr>
        <w:t xml:space="preserve"> million</w:t>
      </w:r>
      <w:r w:rsidR="004C520C" w:rsidRPr="005B3E93">
        <w:rPr>
          <w:rFonts w:ascii="Arial" w:hAnsi="Arial" w:cs="Arial"/>
        </w:rPr>
        <w:t>, which corresponds to the costs for Components 1 and 2 of the program</w:t>
      </w:r>
      <w:r w:rsidR="002B3A44" w:rsidRPr="005B3E93">
        <w:rPr>
          <w:rFonts w:ascii="Arial" w:hAnsi="Arial" w:cs="Arial"/>
        </w:rPr>
        <w:t xml:space="preserve">. </w:t>
      </w:r>
    </w:p>
    <w:p w14:paraId="5FD29B6D" w14:textId="6C7A630B" w:rsidR="00A23F8C" w:rsidRPr="005B3E93" w:rsidRDefault="00A23F8C" w:rsidP="0086245E">
      <w:pPr>
        <w:pStyle w:val="Chapter"/>
        <w:spacing w:before="360"/>
        <w:rPr>
          <w:kern w:val="28"/>
          <w:lang w:val="en-US"/>
        </w:rPr>
      </w:pPr>
      <w:r w:rsidRPr="005B3E93">
        <w:rPr>
          <w:lang w:val="en-US"/>
        </w:rPr>
        <w:t>Results, sensi</w:t>
      </w:r>
      <w:r w:rsidR="00E1793D" w:rsidRPr="005B3E93">
        <w:rPr>
          <w:lang w:val="en-US"/>
        </w:rPr>
        <w:t>ti</w:t>
      </w:r>
      <w:r w:rsidRPr="005B3E93">
        <w:rPr>
          <w:lang w:val="en-US"/>
        </w:rPr>
        <w:t>vity analysis and discussion</w:t>
      </w:r>
    </w:p>
    <w:p w14:paraId="5B6D1AA3" w14:textId="64D543B8" w:rsidR="009B3AFA" w:rsidRPr="0086245E" w:rsidRDefault="00A23F8C" w:rsidP="0086245E">
      <w:pPr>
        <w:pStyle w:val="Paragraph"/>
        <w:numPr>
          <w:ilvl w:val="1"/>
          <w:numId w:val="4"/>
        </w:numPr>
        <w:spacing w:after="360"/>
        <w:ind w:left="562" w:hanging="562"/>
        <w:rPr>
          <w:kern w:val="28"/>
          <w:szCs w:val="24"/>
          <w:lang w:val="en-US"/>
        </w:rPr>
      </w:pPr>
      <w:r w:rsidRPr="0081782B">
        <w:rPr>
          <w:szCs w:val="24"/>
          <w:lang w:val="en-US"/>
        </w:rPr>
        <w:t xml:space="preserve">This section presents the calculations describing the alternative scenarios. The </w:t>
      </w:r>
      <w:r w:rsidR="00A43443" w:rsidRPr="0081782B">
        <w:rPr>
          <w:szCs w:val="24"/>
          <w:lang w:val="en-US"/>
        </w:rPr>
        <w:t>variable</w:t>
      </w:r>
      <w:r w:rsidR="00E52928">
        <w:rPr>
          <w:szCs w:val="24"/>
          <w:lang w:val="en-US"/>
        </w:rPr>
        <w:t>s</w:t>
      </w:r>
      <w:r w:rsidR="004C4EEF">
        <w:rPr>
          <w:szCs w:val="24"/>
          <w:lang w:val="en-US"/>
        </w:rPr>
        <w:t xml:space="preserve"> considered</w:t>
      </w:r>
      <w:r w:rsidR="00A43443" w:rsidRPr="0081782B">
        <w:rPr>
          <w:szCs w:val="24"/>
          <w:lang w:val="en-US"/>
        </w:rPr>
        <w:t xml:space="preserve"> </w:t>
      </w:r>
      <w:r w:rsidRPr="0081782B">
        <w:rPr>
          <w:szCs w:val="24"/>
          <w:lang w:val="en-US"/>
        </w:rPr>
        <w:t xml:space="preserve">in the analysis </w:t>
      </w:r>
      <w:r w:rsidR="00E52928">
        <w:rPr>
          <w:szCs w:val="24"/>
          <w:lang w:val="en-US"/>
        </w:rPr>
        <w:t xml:space="preserve">are </w:t>
      </w:r>
      <w:r w:rsidR="00A43443" w:rsidRPr="0081782B">
        <w:rPr>
          <w:szCs w:val="24"/>
          <w:lang w:val="en-US"/>
        </w:rPr>
        <w:t>the rate of online uptake</w:t>
      </w:r>
      <w:r w:rsidR="00E52928">
        <w:rPr>
          <w:szCs w:val="24"/>
          <w:lang w:val="en-US"/>
        </w:rPr>
        <w:t xml:space="preserve"> and the year in which the interoperability platform is connected</w:t>
      </w:r>
      <w:r w:rsidR="00A43443" w:rsidRPr="0081782B">
        <w:rPr>
          <w:szCs w:val="24"/>
          <w:lang w:val="en-US"/>
        </w:rPr>
        <w:t xml:space="preserve">. In the base scenario, online uptake starts at 20% </w:t>
      </w:r>
      <w:r w:rsidR="0071434D">
        <w:rPr>
          <w:szCs w:val="24"/>
          <w:lang w:val="en-US"/>
        </w:rPr>
        <w:t xml:space="preserve">in year 2 of the program </w:t>
      </w:r>
      <w:r w:rsidR="00A43443" w:rsidRPr="0081782B">
        <w:rPr>
          <w:szCs w:val="24"/>
          <w:lang w:val="en-US"/>
        </w:rPr>
        <w:t xml:space="preserve">and increases </w:t>
      </w:r>
      <w:r w:rsidR="00C903D1">
        <w:rPr>
          <w:szCs w:val="24"/>
          <w:lang w:val="en-US"/>
        </w:rPr>
        <w:t>gradually each year</w:t>
      </w:r>
      <w:r w:rsidR="00A43443" w:rsidRPr="0081782B">
        <w:rPr>
          <w:szCs w:val="24"/>
          <w:lang w:val="en-US"/>
        </w:rPr>
        <w:t xml:space="preserve">, up to a maximum of </w:t>
      </w:r>
      <w:r w:rsidR="00C903D1">
        <w:rPr>
          <w:szCs w:val="24"/>
          <w:lang w:val="en-US"/>
        </w:rPr>
        <w:t>70</w:t>
      </w:r>
      <w:r w:rsidR="00A43443" w:rsidRPr="0081782B">
        <w:rPr>
          <w:szCs w:val="24"/>
          <w:lang w:val="en-US"/>
        </w:rPr>
        <w:t>%</w:t>
      </w:r>
      <w:r w:rsidR="00C903D1">
        <w:rPr>
          <w:szCs w:val="24"/>
          <w:lang w:val="en-US"/>
        </w:rPr>
        <w:t xml:space="preserve"> by year 6</w:t>
      </w:r>
      <w:r w:rsidR="00C903D1">
        <w:rPr>
          <w:rStyle w:val="FootnoteReference"/>
          <w:szCs w:val="24"/>
          <w:lang w:val="en-US"/>
        </w:rPr>
        <w:footnoteReference w:id="23"/>
      </w:r>
      <w:r w:rsidR="00A43443" w:rsidRPr="0081782B">
        <w:rPr>
          <w:szCs w:val="24"/>
          <w:lang w:val="en-US"/>
        </w:rPr>
        <w:t xml:space="preserve">, and the interoperability platform is connected in year </w:t>
      </w:r>
      <w:r w:rsidR="00B80181">
        <w:rPr>
          <w:szCs w:val="24"/>
          <w:lang w:val="en-US"/>
        </w:rPr>
        <w:t>2</w:t>
      </w:r>
      <w:r w:rsidR="00A43443" w:rsidRPr="0081782B">
        <w:rPr>
          <w:szCs w:val="24"/>
          <w:lang w:val="en-US"/>
        </w:rPr>
        <w:t xml:space="preserve"> of the program. In the conservative scenario, online uptake starts at </w:t>
      </w:r>
      <w:r w:rsidR="00DC2E98">
        <w:rPr>
          <w:szCs w:val="24"/>
          <w:lang w:val="en-US"/>
        </w:rPr>
        <w:t>2</w:t>
      </w:r>
      <w:r w:rsidR="00A43443" w:rsidRPr="0081782B">
        <w:rPr>
          <w:szCs w:val="24"/>
          <w:lang w:val="en-US"/>
        </w:rPr>
        <w:t>0% and increases 10 percentage points per year</w:t>
      </w:r>
      <w:r w:rsidR="004C4EEF">
        <w:rPr>
          <w:szCs w:val="24"/>
          <w:lang w:val="en-US"/>
        </w:rPr>
        <w:t xml:space="preserve"> until reaching a maximum of 70% in year 7</w:t>
      </w:r>
      <w:r w:rsidR="00E52928">
        <w:rPr>
          <w:szCs w:val="24"/>
          <w:lang w:val="en-US"/>
        </w:rPr>
        <w:t>, and the interoperability platform is connected in year 3</w:t>
      </w:r>
      <w:r w:rsidR="00A43443" w:rsidRPr="0081782B">
        <w:rPr>
          <w:szCs w:val="24"/>
          <w:lang w:val="en-US"/>
        </w:rPr>
        <w:t xml:space="preserve">. The optimistic scenario is the same as the base scenario, with the exception that the maximum digital uptake is set at 80%.  </w:t>
      </w:r>
    </w:p>
    <w:p w14:paraId="65ED5579" w14:textId="798F69E2" w:rsidR="00DD3CE0" w:rsidRPr="009B7B8F" w:rsidRDefault="00D433EF" w:rsidP="00DD3CE0">
      <w:pPr>
        <w:spacing w:after="0" w:line="240" w:lineRule="auto"/>
        <w:jc w:val="center"/>
        <w:rPr>
          <w:rFonts w:ascii="Arial" w:hAnsi="Arial" w:cs="Arial"/>
          <w:b/>
          <w:sz w:val="18"/>
          <w:szCs w:val="18"/>
        </w:rPr>
      </w:pPr>
      <w:r w:rsidRPr="009B7B8F">
        <w:rPr>
          <w:rFonts w:ascii="Arial" w:hAnsi="Arial" w:cs="Arial"/>
          <w:b/>
          <w:sz w:val="18"/>
          <w:szCs w:val="18"/>
        </w:rPr>
        <w:t xml:space="preserve">                  </w:t>
      </w:r>
      <w:r w:rsidR="0071193D" w:rsidRPr="009B7B8F">
        <w:rPr>
          <w:rFonts w:ascii="Arial" w:hAnsi="Arial" w:cs="Arial"/>
          <w:b/>
          <w:sz w:val="18"/>
          <w:szCs w:val="18"/>
        </w:rPr>
        <w:t xml:space="preserve">Table </w:t>
      </w:r>
      <w:r w:rsidR="00833F7F" w:rsidRPr="009B7B8F">
        <w:rPr>
          <w:rFonts w:ascii="Arial" w:hAnsi="Arial" w:cs="Arial"/>
          <w:b/>
          <w:sz w:val="18"/>
          <w:szCs w:val="18"/>
        </w:rPr>
        <w:t>5</w:t>
      </w:r>
      <w:r w:rsidR="0071193D" w:rsidRPr="009B7B8F">
        <w:rPr>
          <w:rFonts w:ascii="Arial" w:hAnsi="Arial" w:cs="Arial"/>
          <w:b/>
          <w:sz w:val="18"/>
          <w:szCs w:val="18"/>
        </w:rPr>
        <w:t>. Results and Sensitivity Analysis</w:t>
      </w:r>
    </w:p>
    <w:tbl>
      <w:tblPr>
        <w:tblW w:w="8280" w:type="dxa"/>
        <w:tblInd w:w="-5" w:type="dxa"/>
        <w:tblLook w:val="04A0" w:firstRow="1" w:lastRow="0" w:firstColumn="1" w:lastColumn="0" w:noHBand="0" w:noVBand="1"/>
      </w:tblPr>
      <w:tblGrid>
        <w:gridCol w:w="2160"/>
        <w:gridCol w:w="1800"/>
        <w:gridCol w:w="1890"/>
        <w:gridCol w:w="2430"/>
      </w:tblGrid>
      <w:tr w:rsidR="00B90C12" w:rsidRPr="009B7B8F" w14:paraId="2D5C6AC8" w14:textId="77777777" w:rsidTr="009B7B8F">
        <w:trPr>
          <w:trHeight w:val="300"/>
        </w:trPr>
        <w:tc>
          <w:tcPr>
            <w:tcW w:w="216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D92112E" w14:textId="77777777"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 </w:t>
            </w:r>
          </w:p>
        </w:tc>
        <w:tc>
          <w:tcPr>
            <w:tcW w:w="612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A9EFAB" w14:textId="77777777" w:rsidR="00B90C12" w:rsidRPr="009B7B8F" w:rsidRDefault="00B90C12" w:rsidP="00B90C12">
            <w:pPr>
              <w:spacing w:after="0" w:line="240" w:lineRule="auto"/>
              <w:jc w:val="center"/>
              <w:rPr>
                <w:rFonts w:ascii="Arial" w:eastAsia="Times New Roman" w:hAnsi="Arial" w:cs="Arial"/>
                <w:b/>
                <w:bCs/>
                <w:color w:val="000000"/>
                <w:sz w:val="18"/>
                <w:szCs w:val="18"/>
              </w:rPr>
            </w:pPr>
            <w:r w:rsidRPr="009B7B8F">
              <w:rPr>
                <w:rFonts w:ascii="Arial" w:eastAsia="Times New Roman" w:hAnsi="Arial" w:cs="Arial"/>
                <w:b/>
                <w:bCs/>
                <w:color w:val="000000"/>
                <w:sz w:val="18"/>
                <w:szCs w:val="18"/>
              </w:rPr>
              <w:t>Scenarios</w:t>
            </w:r>
          </w:p>
        </w:tc>
      </w:tr>
      <w:tr w:rsidR="00B90C12" w:rsidRPr="009B7B8F" w14:paraId="7883E195" w14:textId="77777777" w:rsidTr="009B7B8F">
        <w:trPr>
          <w:trHeight w:val="300"/>
        </w:trPr>
        <w:tc>
          <w:tcPr>
            <w:tcW w:w="2160" w:type="dxa"/>
            <w:vMerge/>
            <w:tcBorders>
              <w:top w:val="single" w:sz="4" w:space="0" w:color="auto"/>
              <w:left w:val="single" w:sz="4" w:space="0" w:color="auto"/>
              <w:bottom w:val="single" w:sz="4" w:space="0" w:color="000000"/>
              <w:right w:val="single" w:sz="4" w:space="0" w:color="auto"/>
            </w:tcBorders>
            <w:vAlign w:val="center"/>
            <w:hideMark/>
          </w:tcPr>
          <w:p w14:paraId="4D795791" w14:textId="77777777" w:rsidR="00B90C12" w:rsidRPr="009B7B8F" w:rsidRDefault="00B90C12" w:rsidP="00B90C12">
            <w:pPr>
              <w:spacing w:after="0" w:line="240" w:lineRule="auto"/>
              <w:rPr>
                <w:rFonts w:ascii="Arial" w:eastAsia="Times New Roman" w:hAnsi="Arial" w:cs="Arial"/>
                <w:color w:val="000000"/>
                <w:sz w:val="18"/>
                <w:szCs w:val="18"/>
              </w:rPr>
            </w:pPr>
          </w:p>
        </w:tc>
        <w:tc>
          <w:tcPr>
            <w:tcW w:w="1800" w:type="dxa"/>
            <w:tcBorders>
              <w:top w:val="nil"/>
              <w:left w:val="nil"/>
              <w:bottom w:val="single" w:sz="4" w:space="0" w:color="auto"/>
              <w:right w:val="single" w:sz="4" w:space="0" w:color="auto"/>
            </w:tcBorders>
            <w:shd w:val="clear" w:color="auto" w:fill="auto"/>
            <w:noWrap/>
            <w:vAlign w:val="bottom"/>
            <w:hideMark/>
          </w:tcPr>
          <w:p w14:paraId="43213882" w14:textId="77777777" w:rsidR="00B90C12" w:rsidRPr="009B7B8F" w:rsidRDefault="00B90C12" w:rsidP="00B90C12">
            <w:pPr>
              <w:spacing w:after="0" w:line="240" w:lineRule="auto"/>
              <w:jc w:val="center"/>
              <w:rPr>
                <w:rFonts w:ascii="Arial" w:eastAsia="Times New Roman" w:hAnsi="Arial" w:cs="Arial"/>
                <w:b/>
                <w:bCs/>
                <w:color w:val="000000"/>
                <w:sz w:val="18"/>
                <w:szCs w:val="18"/>
              </w:rPr>
            </w:pPr>
            <w:r w:rsidRPr="009B7B8F">
              <w:rPr>
                <w:rFonts w:ascii="Arial" w:eastAsia="Times New Roman" w:hAnsi="Arial" w:cs="Arial"/>
                <w:b/>
                <w:bCs/>
                <w:color w:val="000000"/>
                <w:sz w:val="18"/>
                <w:szCs w:val="18"/>
              </w:rPr>
              <w:t>Conservative</w:t>
            </w:r>
          </w:p>
        </w:tc>
        <w:tc>
          <w:tcPr>
            <w:tcW w:w="1890" w:type="dxa"/>
            <w:tcBorders>
              <w:top w:val="nil"/>
              <w:left w:val="nil"/>
              <w:bottom w:val="single" w:sz="4" w:space="0" w:color="auto"/>
              <w:right w:val="single" w:sz="4" w:space="0" w:color="auto"/>
            </w:tcBorders>
            <w:shd w:val="clear" w:color="auto" w:fill="auto"/>
            <w:noWrap/>
            <w:vAlign w:val="bottom"/>
            <w:hideMark/>
          </w:tcPr>
          <w:p w14:paraId="6C819D1A" w14:textId="77777777" w:rsidR="00B90C12" w:rsidRPr="009B7B8F" w:rsidRDefault="00B90C12" w:rsidP="00B90C12">
            <w:pPr>
              <w:spacing w:after="0" w:line="240" w:lineRule="auto"/>
              <w:jc w:val="center"/>
              <w:rPr>
                <w:rFonts w:ascii="Arial" w:eastAsia="Times New Roman" w:hAnsi="Arial" w:cs="Arial"/>
                <w:b/>
                <w:bCs/>
                <w:color w:val="000000"/>
                <w:sz w:val="18"/>
                <w:szCs w:val="18"/>
              </w:rPr>
            </w:pPr>
            <w:r w:rsidRPr="009B7B8F">
              <w:rPr>
                <w:rFonts w:ascii="Arial" w:eastAsia="Times New Roman" w:hAnsi="Arial" w:cs="Arial"/>
                <w:b/>
                <w:bCs/>
                <w:color w:val="000000"/>
                <w:sz w:val="18"/>
                <w:szCs w:val="18"/>
              </w:rPr>
              <w:t>Base</w:t>
            </w:r>
          </w:p>
        </w:tc>
        <w:tc>
          <w:tcPr>
            <w:tcW w:w="2430" w:type="dxa"/>
            <w:tcBorders>
              <w:top w:val="nil"/>
              <w:left w:val="nil"/>
              <w:bottom w:val="single" w:sz="4" w:space="0" w:color="auto"/>
              <w:right w:val="single" w:sz="4" w:space="0" w:color="auto"/>
            </w:tcBorders>
            <w:shd w:val="clear" w:color="auto" w:fill="auto"/>
            <w:noWrap/>
            <w:vAlign w:val="bottom"/>
            <w:hideMark/>
          </w:tcPr>
          <w:p w14:paraId="4374F265" w14:textId="77777777" w:rsidR="00B90C12" w:rsidRPr="009B7B8F" w:rsidRDefault="00B90C12" w:rsidP="00B90C12">
            <w:pPr>
              <w:spacing w:after="0" w:line="240" w:lineRule="auto"/>
              <w:jc w:val="center"/>
              <w:rPr>
                <w:rFonts w:ascii="Arial" w:eastAsia="Times New Roman" w:hAnsi="Arial" w:cs="Arial"/>
                <w:b/>
                <w:bCs/>
                <w:color w:val="000000"/>
                <w:sz w:val="18"/>
                <w:szCs w:val="18"/>
              </w:rPr>
            </w:pPr>
            <w:r w:rsidRPr="009B7B8F">
              <w:rPr>
                <w:rFonts w:ascii="Arial" w:eastAsia="Times New Roman" w:hAnsi="Arial" w:cs="Arial"/>
                <w:b/>
                <w:bCs/>
                <w:color w:val="000000"/>
                <w:sz w:val="18"/>
                <w:szCs w:val="18"/>
              </w:rPr>
              <w:t>Optimistic</w:t>
            </w:r>
          </w:p>
        </w:tc>
      </w:tr>
      <w:tr w:rsidR="00B90C12" w:rsidRPr="009B7B8F" w14:paraId="491D6AFA" w14:textId="77777777" w:rsidTr="009B7B8F">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672099C" w14:textId="77777777" w:rsidR="00B90C12" w:rsidRPr="009B7B8F" w:rsidRDefault="00B90C12" w:rsidP="00B90C12">
            <w:pPr>
              <w:spacing w:after="0" w:line="240" w:lineRule="auto"/>
              <w:rPr>
                <w:rFonts w:ascii="Arial" w:eastAsia="Times New Roman" w:hAnsi="Arial" w:cs="Arial"/>
                <w:b/>
                <w:bCs/>
                <w:color w:val="000000"/>
                <w:sz w:val="18"/>
                <w:szCs w:val="18"/>
              </w:rPr>
            </w:pPr>
            <w:r w:rsidRPr="009B7B8F">
              <w:rPr>
                <w:rFonts w:ascii="Arial" w:eastAsia="Times New Roman" w:hAnsi="Arial" w:cs="Arial"/>
                <w:b/>
                <w:bCs/>
                <w:color w:val="000000"/>
                <w:sz w:val="18"/>
                <w:szCs w:val="18"/>
              </w:rPr>
              <w:t>Net Present Value</w:t>
            </w:r>
          </w:p>
        </w:tc>
        <w:tc>
          <w:tcPr>
            <w:tcW w:w="1800" w:type="dxa"/>
            <w:tcBorders>
              <w:top w:val="nil"/>
              <w:left w:val="nil"/>
              <w:bottom w:val="single" w:sz="4" w:space="0" w:color="auto"/>
              <w:right w:val="single" w:sz="4" w:space="0" w:color="auto"/>
            </w:tcBorders>
            <w:shd w:val="clear" w:color="auto" w:fill="auto"/>
            <w:noWrap/>
            <w:vAlign w:val="bottom"/>
            <w:hideMark/>
          </w:tcPr>
          <w:p w14:paraId="0FE7A8E0" w14:textId="1C3DE6A9"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$925,925</w:t>
            </w:r>
          </w:p>
        </w:tc>
        <w:tc>
          <w:tcPr>
            <w:tcW w:w="1890" w:type="dxa"/>
            <w:tcBorders>
              <w:top w:val="nil"/>
              <w:left w:val="nil"/>
              <w:bottom w:val="single" w:sz="4" w:space="0" w:color="auto"/>
              <w:right w:val="single" w:sz="4" w:space="0" w:color="auto"/>
            </w:tcBorders>
            <w:shd w:val="clear" w:color="auto" w:fill="auto"/>
            <w:noWrap/>
            <w:vAlign w:val="bottom"/>
            <w:hideMark/>
          </w:tcPr>
          <w:p w14:paraId="45464EF3" w14:textId="0DC6B46B"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$2,576,109</w:t>
            </w:r>
          </w:p>
        </w:tc>
        <w:tc>
          <w:tcPr>
            <w:tcW w:w="2430" w:type="dxa"/>
            <w:tcBorders>
              <w:top w:val="nil"/>
              <w:left w:val="nil"/>
              <w:bottom w:val="single" w:sz="4" w:space="0" w:color="auto"/>
              <w:right w:val="single" w:sz="4" w:space="0" w:color="auto"/>
            </w:tcBorders>
            <w:shd w:val="clear" w:color="auto" w:fill="auto"/>
            <w:noWrap/>
            <w:vAlign w:val="bottom"/>
            <w:hideMark/>
          </w:tcPr>
          <w:p w14:paraId="354F953F" w14:textId="5A729553"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$4,487,919</w:t>
            </w:r>
          </w:p>
        </w:tc>
      </w:tr>
      <w:tr w:rsidR="00B90C12" w:rsidRPr="009B7B8F" w14:paraId="4722AB23" w14:textId="77777777" w:rsidTr="009B7B8F">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89DD18A" w14:textId="77777777" w:rsidR="00B90C12" w:rsidRPr="009B7B8F" w:rsidRDefault="00B90C12" w:rsidP="00B90C12">
            <w:pPr>
              <w:spacing w:after="0" w:line="240" w:lineRule="auto"/>
              <w:rPr>
                <w:rFonts w:ascii="Arial" w:eastAsia="Times New Roman" w:hAnsi="Arial" w:cs="Arial"/>
                <w:b/>
                <w:bCs/>
                <w:color w:val="000000"/>
                <w:sz w:val="18"/>
                <w:szCs w:val="18"/>
              </w:rPr>
            </w:pPr>
            <w:r w:rsidRPr="009B7B8F">
              <w:rPr>
                <w:rFonts w:ascii="Arial" w:eastAsia="Times New Roman" w:hAnsi="Arial" w:cs="Arial"/>
                <w:b/>
                <w:bCs/>
                <w:color w:val="000000"/>
                <w:sz w:val="18"/>
                <w:szCs w:val="18"/>
              </w:rPr>
              <w:t>Internal Rate of Return</w:t>
            </w:r>
          </w:p>
        </w:tc>
        <w:tc>
          <w:tcPr>
            <w:tcW w:w="1800" w:type="dxa"/>
            <w:tcBorders>
              <w:top w:val="nil"/>
              <w:left w:val="nil"/>
              <w:bottom w:val="single" w:sz="4" w:space="0" w:color="auto"/>
              <w:right w:val="single" w:sz="4" w:space="0" w:color="auto"/>
            </w:tcBorders>
            <w:shd w:val="clear" w:color="auto" w:fill="auto"/>
            <w:noWrap/>
            <w:vAlign w:val="bottom"/>
            <w:hideMark/>
          </w:tcPr>
          <w:p w14:paraId="297C5102" w14:textId="77777777"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12.83%</w:t>
            </w:r>
          </w:p>
        </w:tc>
        <w:tc>
          <w:tcPr>
            <w:tcW w:w="1890" w:type="dxa"/>
            <w:tcBorders>
              <w:top w:val="nil"/>
              <w:left w:val="nil"/>
              <w:bottom w:val="single" w:sz="4" w:space="0" w:color="auto"/>
              <w:right w:val="single" w:sz="4" w:space="0" w:color="auto"/>
            </w:tcBorders>
            <w:shd w:val="clear" w:color="auto" w:fill="auto"/>
            <w:noWrap/>
            <w:vAlign w:val="bottom"/>
            <w:hideMark/>
          </w:tcPr>
          <w:p w14:paraId="213C8435" w14:textId="77777777"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14.55%</w:t>
            </w:r>
          </w:p>
        </w:tc>
        <w:tc>
          <w:tcPr>
            <w:tcW w:w="2430" w:type="dxa"/>
            <w:tcBorders>
              <w:top w:val="nil"/>
              <w:left w:val="nil"/>
              <w:bottom w:val="single" w:sz="4" w:space="0" w:color="auto"/>
              <w:right w:val="single" w:sz="4" w:space="0" w:color="auto"/>
            </w:tcBorders>
            <w:shd w:val="clear" w:color="auto" w:fill="auto"/>
            <w:noWrap/>
            <w:vAlign w:val="bottom"/>
            <w:hideMark/>
          </w:tcPr>
          <w:p w14:paraId="29A8ADDC" w14:textId="77777777"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16.35%</w:t>
            </w:r>
          </w:p>
        </w:tc>
      </w:tr>
      <w:tr w:rsidR="00B90C12" w:rsidRPr="009B7B8F" w14:paraId="2B648E11" w14:textId="77777777" w:rsidTr="009B7B8F">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80C2BDE" w14:textId="77777777" w:rsidR="00B90C12" w:rsidRPr="009B7B8F" w:rsidRDefault="00B90C12" w:rsidP="00B90C12">
            <w:pPr>
              <w:spacing w:after="0" w:line="240" w:lineRule="auto"/>
              <w:rPr>
                <w:rFonts w:ascii="Arial" w:eastAsia="Times New Roman" w:hAnsi="Arial" w:cs="Arial"/>
                <w:b/>
                <w:bCs/>
                <w:color w:val="000000"/>
                <w:sz w:val="18"/>
                <w:szCs w:val="18"/>
              </w:rPr>
            </w:pPr>
            <w:r w:rsidRPr="009B7B8F">
              <w:rPr>
                <w:rFonts w:ascii="Arial" w:eastAsia="Times New Roman" w:hAnsi="Arial" w:cs="Arial"/>
                <w:b/>
                <w:bCs/>
                <w:color w:val="000000"/>
                <w:sz w:val="18"/>
                <w:szCs w:val="18"/>
              </w:rPr>
              <w:t>Benefit-cost ratio</w:t>
            </w:r>
          </w:p>
        </w:tc>
        <w:tc>
          <w:tcPr>
            <w:tcW w:w="1800" w:type="dxa"/>
            <w:tcBorders>
              <w:top w:val="nil"/>
              <w:left w:val="nil"/>
              <w:bottom w:val="single" w:sz="4" w:space="0" w:color="auto"/>
              <w:right w:val="single" w:sz="4" w:space="0" w:color="auto"/>
            </w:tcBorders>
            <w:shd w:val="clear" w:color="auto" w:fill="auto"/>
            <w:noWrap/>
            <w:vAlign w:val="bottom"/>
            <w:hideMark/>
          </w:tcPr>
          <w:p w14:paraId="25FBA86F" w14:textId="699AABA2"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1.10</w:t>
            </w:r>
          </w:p>
        </w:tc>
        <w:tc>
          <w:tcPr>
            <w:tcW w:w="1890" w:type="dxa"/>
            <w:tcBorders>
              <w:top w:val="nil"/>
              <w:left w:val="nil"/>
              <w:bottom w:val="single" w:sz="4" w:space="0" w:color="auto"/>
              <w:right w:val="single" w:sz="4" w:space="0" w:color="auto"/>
            </w:tcBorders>
            <w:shd w:val="clear" w:color="auto" w:fill="auto"/>
            <w:noWrap/>
            <w:vAlign w:val="bottom"/>
            <w:hideMark/>
          </w:tcPr>
          <w:p w14:paraId="42797A6C" w14:textId="2EA52657"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1.19</w:t>
            </w:r>
          </w:p>
        </w:tc>
        <w:tc>
          <w:tcPr>
            <w:tcW w:w="2430" w:type="dxa"/>
            <w:tcBorders>
              <w:top w:val="nil"/>
              <w:left w:val="nil"/>
              <w:bottom w:val="single" w:sz="4" w:space="0" w:color="auto"/>
              <w:right w:val="single" w:sz="4" w:space="0" w:color="auto"/>
            </w:tcBorders>
            <w:shd w:val="clear" w:color="auto" w:fill="auto"/>
            <w:noWrap/>
            <w:vAlign w:val="bottom"/>
            <w:hideMark/>
          </w:tcPr>
          <w:p w14:paraId="495A61BE" w14:textId="2DBD2475" w:rsidR="00B90C12" w:rsidRPr="009B7B8F" w:rsidRDefault="00B90C12" w:rsidP="00B90C12">
            <w:pPr>
              <w:spacing w:after="0" w:line="240" w:lineRule="auto"/>
              <w:jc w:val="center"/>
              <w:rPr>
                <w:rFonts w:ascii="Arial" w:eastAsia="Times New Roman" w:hAnsi="Arial" w:cs="Arial"/>
                <w:color w:val="000000"/>
                <w:sz w:val="18"/>
                <w:szCs w:val="18"/>
              </w:rPr>
            </w:pPr>
            <w:r w:rsidRPr="009B7B8F">
              <w:rPr>
                <w:rFonts w:ascii="Arial" w:eastAsia="Times New Roman" w:hAnsi="Arial" w:cs="Arial"/>
                <w:color w:val="000000"/>
                <w:sz w:val="18"/>
                <w:szCs w:val="18"/>
              </w:rPr>
              <w:t>1.30</w:t>
            </w:r>
          </w:p>
        </w:tc>
      </w:tr>
    </w:tbl>
    <w:p w14:paraId="4AFBA663" w14:textId="7C06FB8A" w:rsidR="00D433EF" w:rsidRPr="0081782B" w:rsidRDefault="006D7426" w:rsidP="00986606">
      <w:pPr>
        <w:pStyle w:val="Paragraph"/>
        <w:numPr>
          <w:ilvl w:val="0"/>
          <w:numId w:val="0"/>
        </w:numPr>
        <w:rPr>
          <w:szCs w:val="24"/>
          <w:lang w:val="en-US"/>
        </w:rPr>
      </w:pPr>
      <w:r w:rsidRPr="0081782B">
        <w:rPr>
          <w:szCs w:val="24"/>
          <w:lang w:val="en-US"/>
        </w:rPr>
        <w:t xml:space="preserve"> </w:t>
      </w:r>
    </w:p>
    <w:p w14:paraId="0B7AE400" w14:textId="22769E0A" w:rsidR="000D673C" w:rsidRPr="00C87D9C" w:rsidRDefault="006D7426" w:rsidP="00CB1687">
      <w:pPr>
        <w:pStyle w:val="Paragraph"/>
        <w:numPr>
          <w:ilvl w:val="0"/>
          <w:numId w:val="0"/>
        </w:numPr>
        <w:spacing w:before="0" w:after="0"/>
        <w:rPr>
          <w:szCs w:val="24"/>
          <w:lang w:val="en-US"/>
        </w:rPr>
      </w:pPr>
      <w:r w:rsidRPr="00C87D9C">
        <w:rPr>
          <w:szCs w:val="24"/>
          <w:lang w:val="en-US"/>
        </w:rPr>
        <w:t>In the bas</w:t>
      </w:r>
      <w:r w:rsidR="002B3A44" w:rsidRPr="00C87D9C">
        <w:rPr>
          <w:szCs w:val="24"/>
          <w:lang w:val="en-US"/>
        </w:rPr>
        <w:t>e</w:t>
      </w:r>
      <w:r w:rsidRPr="00C87D9C">
        <w:rPr>
          <w:szCs w:val="24"/>
          <w:lang w:val="en-US"/>
        </w:rPr>
        <w:t xml:space="preserve"> scenario, the benefit</w:t>
      </w:r>
      <w:r w:rsidR="0071193D" w:rsidRPr="00C87D9C">
        <w:rPr>
          <w:szCs w:val="24"/>
          <w:lang w:val="en-US"/>
        </w:rPr>
        <w:t>-cost ratio</w:t>
      </w:r>
      <w:r w:rsidRPr="00C87D9C">
        <w:rPr>
          <w:szCs w:val="24"/>
          <w:lang w:val="en-US"/>
        </w:rPr>
        <w:t xml:space="preserve"> for the </w:t>
      </w:r>
      <w:r w:rsidR="0071193D" w:rsidRPr="00C87D9C">
        <w:rPr>
          <w:szCs w:val="24"/>
          <w:lang w:val="en-US"/>
        </w:rPr>
        <w:t>p</w:t>
      </w:r>
      <w:r w:rsidRPr="00C87D9C">
        <w:rPr>
          <w:szCs w:val="24"/>
          <w:lang w:val="en-US"/>
        </w:rPr>
        <w:t xml:space="preserve">rogram is </w:t>
      </w:r>
      <w:r w:rsidR="008D46A8" w:rsidRPr="00C87D9C">
        <w:rPr>
          <w:szCs w:val="24"/>
          <w:lang w:val="en-US"/>
        </w:rPr>
        <w:t>1.</w:t>
      </w:r>
      <w:r w:rsidR="00B90C12" w:rsidRPr="00C87D9C">
        <w:rPr>
          <w:szCs w:val="24"/>
          <w:lang w:val="en-US"/>
        </w:rPr>
        <w:t>10</w:t>
      </w:r>
      <w:r w:rsidRPr="00C87D9C">
        <w:rPr>
          <w:szCs w:val="24"/>
          <w:lang w:val="en-US"/>
        </w:rPr>
        <w:t>, indicating that</w:t>
      </w:r>
      <w:r w:rsidR="003A0AB9" w:rsidRPr="00C87D9C">
        <w:rPr>
          <w:szCs w:val="24"/>
          <w:lang w:val="en-US"/>
        </w:rPr>
        <w:t xml:space="preserve"> it is expected to recover US$1.</w:t>
      </w:r>
      <w:r w:rsidR="00B90C12" w:rsidRPr="00C87D9C">
        <w:rPr>
          <w:szCs w:val="24"/>
          <w:lang w:val="en-US"/>
        </w:rPr>
        <w:t>10</w:t>
      </w:r>
      <w:r w:rsidRPr="00C87D9C">
        <w:rPr>
          <w:szCs w:val="24"/>
          <w:lang w:val="en-US"/>
        </w:rPr>
        <w:t xml:space="preserve"> for each dollar</w:t>
      </w:r>
      <w:r w:rsidR="0071193D" w:rsidRPr="00C87D9C">
        <w:rPr>
          <w:szCs w:val="24"/>
          <w:lang w:val="en-US"/>
        </w:rPr>
        <w:t xml:space="preserve"> invested</w:t>
      </w:r>
      <w:r w:rsidRPr="00C87D9C">
        <w:rPr>
          <w:szCs w:val="24"/>
          <w:lang w:val="en-US"/>
        </w:rPr>
        <w:t>, wi</w:t>
      </w:r>
      <w:r w:rsidR="003A0AB9" w:rsidRPr="00C87D9C">
        <w:rPr>
          <w:szCs w:val="24"/>
          <w:lang w:val="en-US"/>
        </w:rPr>
        <w:t>th an internal rate return of 1</w:t>
      </w:r>
      <w:r w:rsidR="00B90C12" w:rsidRPr="00C87D9C">
        <w:rPr>
          <w:szCs w:val="24"/>
          <w:lang w:val="en-US"/>
        </w:rPr>
        <w:t>4</w:t>
      </w:r>
      <w:r w:rsidR="00922342" w:rsidRPr="00C87D9C">
        <w:rPr>
          <w:szCs w:val="24"/>
          <w:lang w:val="en-US"/>
        </w:rPr>
        <w:t>.</w:t>
      </w:r>
      <w:r w:rsidR="00B90C12" w:rsidRPr="00C87D9C">
        <w:rPr>
          <w:szCs w:val="24"/>
          <w:lang w:val="en-US"/>
        </w:rPr>
        <w:t>55</w:t>
      </w:r>
      <w:r w:rsidRPr="00C87D9C">
        <w:rPr>
          <w:szCs w:val="24"/>
          <w:lang w:val="en-US"/>
        </w:rPr>
        <w:t>%. For the con</w:t>
      </w:r>
      <w:r w:rsidR="003A0AB9" w:rsidRPr="00C87D9C">
        <w:rPr>
          <w:szCs w:val="24"/>
          <w:lang w:val="en-US"/>
        </w:rPr>
        <w:t xml:space="preserve">servative scenario, the IRR is </w:t>
      </w:r>
      <w:r w:rsidRPr="00C87D9C">
        <w:rPr>
          <w:szCs w:val="24"/>
          <w:lang w:val="en-US"/>
        </w:rPr>
        <w:t>1</w:t>
      </w:r>
      <w:r w:rsidR="0005459F" w:rsidRPr="00C87D9C">
        <w:rPr>
          <w:szCs w:val="24"/>
          <w:lang w:val="en-US"/>
        </w:rPr>
        <w:t>2.</w:t>
      </w:r>
      <w:r w:rsidR="00B90C12" w:rsidRPr="00C87D9C">
        <w:rPr>
          <w:szCs w:val="24"/>
          <w:lang w:val="en-US"/>
        </w:rPr>
        <w:t>83</w:t>
      </w:r>
      <w:r w:rsidRPr="00C87D9C">
        <w:rPr>
          <w:szCs w:val="24"/>
          <w:lang w:val="en-US"/>
        </w:rPr>
        <w:t>%</w:t>
      </w:r>
      <w:r w:rsidR="00846E73" w:rsidRPr="00C87D9C">
        <w:rPr>
          <w:szCs w:val="24"/>
          <w:lang w:val="en-US"/>
        </w:rPr>
        <w:t xml:space="preserve"> and the </w:t>
      </w:r>
      <w:r w:rsidR="0071193D" w:rsidRPr="00C87D9C">
        <w:rPr>
          <w:szCs w:val="24"/>
          <w:lang w:val="en-US"/>
        </w:rPr>
        <w:t>b</w:t>
      </w:r>
      <w:r w:rsidR="00846E73" w:rsidRPr="00C87D9C">
        <w:rPr>
          <w:szCs w:val="24"/>
          <w:lang w:val="en-US"/>
        </w:rPr>
        <w:t>enefit</w:t>
      </w:r>
      <w:r w:rsidR="0071193D" w:rsidRPr="00C87D9C">
        <w:rPr>
          <w:szCs w:val="24"/>
          <w:lang w:val="en-US"/>
        </w:rPr>
        <w:t>-cost</w:t>
      </w:r>
      <w:r w:rsidR="00846E73" w:rsidRPr="00C87D9C">
        <w:rPr>
          <w:szCs w:val="24"/>
          <w:lang w:val="en-US"/>
        </w:rPr>
        <w:t xml:space="preserve"> ratio is </w:t>
      </w:r>
      <w:r w:rsidR="003A0AB9" w:rsidRPr="00C87D9C">
        <w:rPr>
          <w:szCs w:val="24"/>
          <w:lang w:val="en-US"/>
        </w:rPr>
        <w:t>1</w:t>
      </w:r>
      <w:r w:rsidRPr="00C87D9C">
        <w:rPr>
          <w:szCs w:val="24"/>
          <w:lang w:val="en-US"/>
        </w:rPr>
        <w:t>.</w:t>
      </w:r>
      <w:r w:rsidR="00B90C12" w:rsidRPr="00C87D9C">
        <w:rPr>
          <w:szCs w:val="24"/>
          <w:lang w:val="en-US"/>
        </w:rPr>
        <w:t>10</w:t>
      </w:r>
      <w:r w:rsidR="008D46A8" w:rsidRPr="00C87D9C">
        <w:rPr>
          <w:szCs w:val="24"/>
          <w:lang w:val="en-US"/>
        </w:rPr>
        <w:t>.</w:t>
      </w:r>
      <w:r w:rsidRPr="00C87D9C">
        <w:rPr>
          <w:szCs w:val="24"/>
          <w:lang w:val="en-US"/>
        </w:rPr>
        <w:t xml:space="preserve"> </w:t>
      </w:r>
      <w:r w:rsidR="00BF609A" w:rsidRPr="00C87D9C">
        <w:rPr>
          <w:szCs w:val="24"/>
          <w:lang w:val="en-US"/>
        </w:rPr>
        <w:t>This indicates that even when considering only a small subset of the government services (13 of nearly 400) and agencies (4 of approximately 90) benefited, this program will generate positive returns.</w:t>
      </w:r>
    </w:p>
    <w:p w14:paraId="2BF99B2A" w14:textId="77777777" w:rsidR="000D673C" w:rsidRPr="0081782B" w:rsidRDefault="000D673C" w:rsidP="000D673C">
      <w:pPr>
        <w:pStyle w:val="Paragraph"/>
        <w:numPr>
          <w:ilvl w:val="0"/>
          <w:numId w:val="0"/>
        </w:numPr>
        <w:spacing w:before="0" w:after="0"/>
        <w:rPr>
          <w:szCs w:val="24"/>
          <w:lang w:val="en-US"/>
        </w:rPr>
      </w:pPr>
    </w:p>
    <w:sectPr w:rsidR="000D673C" w:rsidRPr="0081782B" w:rsidSect="00A51A5F">
      <w:type w:val="continuous"/>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687E1" w14:textId="77777777" w:rsidR="00586D19" w:rsidRDefault="00586D19" w:rsidP="00CF5271">
      <w:pPr>
        <w:spacing w:after="0" w:line="240" w:lineRule="auto"/>
      </w:pPr>
      <w:r>
        <w:separator/>
      </w:r>
    </w:p>
  </w:endnote>
  <w:endnote w:type="continuationSeparator" w:id="0">
    <w:p w14:paraId="03EBEADA" w14:textId="77777777" w:rsidR="00586D19" w:rsidRDefault="00586D19" w:rsidP="00CF5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96FEE" w14:textId="77777777" w:rsidR="00586D19" w:rsidRDefault="00586D19" w:rsidP="00CF5271">
      <w:pPr>
        <w:spacing w:after="0" w:line="240" w:lineRule="auto"/>
      </w:pPr>
      <w:r>
        <w:separator/>
      </w:r>
    </w:p>
  </w:footnote>
  <w:footnote w:type="continuationSeparator" w:id="0">
    <w:p w14:paraId="07C580FF" w14:textId="77777777" w:rsidR="00586D19" w:rsidRDefault="00586D19" w:rsidP="00CF5271">
      <w:pPr>
        <w:spacing w:after="0" w:line="240" w:lineRule="auto"/>
      </w:pPr>
      <w:r>
        <w:continuationSeparator/>
      </w:r>
    </w:p>
  </w:footnote>
  <w:footnote w:id="1">
    <w:p w14:paraId="332FBBDF" w14:textId="44BB6791" w:rsidR="00D71C0E" w:rsidRDefault="00D71C0E">
      <w:pPr>
        <w:pStyle w:val="FootnoteText"/>
      </w:pPr>
      <w:r>
        <w:rPr>
          <w:rStyle w:val="FootnoteReference"/>
        </w:rPr>
        <w:footnoteRef/>
      </w:r>
      <w:r>
        <w:t xml:space="preserve"> </w:t>
      </w:r>
      <w:r w:rsidR="005A288E">
        <w:tab/>
      </w:r>
      <w:r w:rsidR="005A288E" w:rsidRPr="005A288E">
        <w:t xml:space="preserve">This </w:t>
      </w:r>
      <w:r w:rsidR="008C3D09">
        <w:t>project</w:t>
      </w:r>
      <w:r w:rsidR="005A288E" w:rsidRPr="005A288E">
        <w:t xml:space="preserve"> does not entail public sector retrenchment. Therefore, “reduced government expenditure on staff” as calculated under points (iii) and (iv) in this Economic Analysis refers to expenditure specifically pertaining to tasks that will be made more efficient. The underlying assumption is that the staff time liberated by these efficiency gains will be redistributed to other tasks, for which the government would have otherwise needed to make an additional budgetary outlay.</w:t>
      </w:r>
    </w:p>
  </w:footnote>
  <w:footnote w:id="2">
    <w:p w14:paraId="491CF3D7" w14:textId="62119FF7" w:rsidR="009F7C91" w:rsidRPr="00A1132B" w:rsidRDefault="009F7C91" w:rsidP="006E2A7B">
      <w:pPr>
        <w:pStyle w:val="FootnoteText"/>
        <w:spacing w:after="0"/>
        <w:rPr>
          <w:sz w:val="18"/>
          <w:szCs w:val="18"/>
          <w:lang w:val="fr-FR"/>
        </w:rPr>
      </w:pPr>
      <w:r w:rsidRPr="00A1132B">
        <w:rPr>
          <w:rStyle w:val="FootnoteReference"/>
          <w:sz w:val="18"/>
          <w:szCs w:val="18"/>
        </w:rPr>
        <w:footnoteRef/>
      </w:r>
      <w:r w:rsidRPr="00A1132B">
        <w:rPr>
          <w:sz w:val="18"/>
          <w:szCs w:val="18"/>
          <w:lang w:val="fr-FR"/>
        </w:rPr>
        <w:t xml:space="preserve"> </w:t>
      </w:r>
      <w:r w:rsidR="00A1132B">
        <w:rPr>
          <w:sz w:val="18"/>
          <w:szCs w:val="18"/>
          <w:lang w:val="fr-FR"/>
        </w:rPr>
        <w:t xml:space="preserve">  </w:t>
      </w:r>
      <w:proofErr w:type="gramStart"/>
      <w:r w:rsidRPr="00A1132B">
        <w:rPr>
          <w:sz w:val="18"/>
          <w:szCs w:val="18"/>
          <w:lang w:val="fr-FR"/>
        </w:rPr>
        <w:t>Source:</w:t>
      </w:r>
      <w:proofErr w:type="gramEnd"/>
      <w:r w:rsidRPr="00A1132B">
        <w:rPr>
          <w:sz w:val="18"/>
          <w:szCs w:val="18"/>
          <w:lang w:val="fr-FR"/>
        </w:rPr>
        <w:t xml:space="preserve"> </w:t>
      </w:r>
      <w:hyperlink r:id="rId1" w:history="1">
        <w:r w:rsidR="00A1132B" w:rsidRPr="00C707E6">
          <w:rPr>
            <w:rStyle w:val="Hyperlink"/>
            <w:sz w:val="18"/>
            <w:szCs w:val="18"/>
            <w:lang w:val="fr-FR"/>
          </w:rPr>
          <w:t>www.worldometers.com</w:t>
        </w:r>
      </w:hyperlink>
      <w:r w:rsidR="00A1132B">
        <w:rPr>
          <w:sz w:val="18"/>
          <w:szCs w:val="18"/>
          <w:lang w:val="fr-FR"/>
        </w:rPr>
        <w:t xml:space="preserve">. </w:t>
      </w:r>
      <w:r w:rsidRPr="00A1132B">
        <w:rPr>
          <w:sz w:val="18"/>
          <w:szCs w:val="18"/>
          <w:lang w:val="fr-FR"/>
        </w:rPr>
        <w:t xml:space="preserve"> </w:t>
      </w:r>
      <w:r w:rsidR="00A1132B">
        <w:rPr>
          <w:sz w:val="18"/>
          <w:szCs w:val="18"/>
          <w:lang w:val="fr-FR"/>
        </w:rPr>
        <w:t xml:space="preserve"> </w:t>
      </w:r>
    </w:p>
  </w:footnote>
  <w:footnote w:id="3">
    <w:p w14:paraId="6EF333AA" w14:textId="797178BD" w:rsidR="009F7C91" w:rsidRPr="006E2A7B" w:rsidRDefault="009F7C91" w:rsidP="006E2A7B">
      <w:pPr>
        <w:pStyle w:val="FootnoteText"/>
        <w:spacing w:after="0"/>
        <w:rPr>
          <w:sz w:val="18"/>
          <w:szCs w:val="18"/>
          <w:lang w:val="fr-FR"/>
        </w:rPr>
      </w:pPr>
      <w:r w:rsidRPr="006E2A7B">
        <w:rPr>
          <w:rStyle w:val="FootnoteReference"/>
          <w:sz w:val="18"/>
          <w:szCs w:val="18"/>
        </w:rPr>
        <w:footnoteRef/>
      </w:r>
      <w:r w:rsidRPr="006E2A7B">
        <w:rPr>
          <w:sz w:val="18"/>
          <w:szCs w:val="18"/>
          <w:lang w:val="fr-FR"/>
        </w:rPr>
        <w:t xml:space="preserve"> </w:t>
      </w:r>
      <w:r w:rsidR="00A1132B">
        <w:rPr>
          <w:sz w:val="18"/>
          <w:szCs w:val="18"/>
          <w:lang w:val="fr-FR"/>
        </w:rPr>
        <w:tab/>
      </w:r>
      <w:proofErr w:type="gramStart"/>
      <w:r w:rsidRPr="006E2A7B">
        <w:rPr>
          <w:sz w:val="18"/>
          <w:szCs w:val="18"/>
          <w:lang w:val="fr-FR"/>
        </w:rPr>
        <w:t>Source:</w:t>
      </w:r>
      <w:proofErr w:type="gramEnd"/>
      <w:r w:rsidRPr="006E2A7B">
        <w:rPr>
          <w:sz w:val="18"/>
          <w:szCs w:val="18"/>
          <w:lang w:val="fr-FR"/>
        </w:rPr>
        <w:t xml:space="preserve"> </w:t>
      </w:r>
      <w:hyperlink r:id="rId2" w:history="1">
        <w:r w:rsidRPr="006E2A7B">
          <w:rPr>
            <w:rStyle w:val="Hyperlink"/>
            <w:sz w:val="18"/>
            <w:szCs w:val="18"/>
            <w:lang w:val="fr-FR"/>
          </w:rPr>
          <w:t>https://www.minimum-wage.org/international/the-bahamas</w:t>
        </w:r>
      </w:hyperlink>
      <w:r w:rsidR="0086245E">
        <w:rPr>
          <w:rStyle w:val="Hyperlink"/>
          <w:color w:val="000000" w:themeColor="text1"/>
          <w:sz w:val="18"/>
          <w:szCs w:val="18"/>
          <w:u w:val="none"/>
          <w:lang w:val="fr-FR"/>
        </w:rPr>
        <w:t>.</w:t>
      </w:r>
      <w:r w:rsidRPr="006E2A7B">
        <w:rPr>
          <w:sz w:val="18"/>
          <w:szCs w:val="18"/>
          <w:lang w:val="fr-FR"/>
        </w:rPr>
        <w:t xml:space="preserve"> </w:t>
      </w:r>
    </w:p>
  </w:footnote>
  <w:footnote w:id="4">
    <w:p w14:paraId="5F7FE717" w14:textId="07A2A311" w:rsidR="009F7C91" w:rsidRPr="006E2A7B" w:rsidRDefault="009F7C91" w:rsidP="006E2A7B">
      <w:pPr>
        <w:pStyle w:val="FootnoteText"/>
        <w:spacing w:after="0"/>
        <w:rPr>
          <w:sz w:val="18"/>
          <w:szCs w:val="18"/>
        </w:rPr>
      </w:pPr>
      <w:r w:rsidRPr="006E2A7B">
        <w:rPr>
          <w:rStyle w:val="FootnoteReference"/>
          <w:sz w:val="18"/>
          <w:szCs w:val="18"/>
        </w:rPr>
        <w:footnoteRef/>
      </w:r>
      <w:r w:rsidRPr="006E2A7B">
        <w:rPr>
          <w:sz w:val="18"/>
          <w:szCs w:val="18"/>
        </w:rPr>
        <w:t xml:space="preserve"> </w:t>
      </w:r>
      <w:r w:rsidR="00A1132B">
        <w:rPr>
          <w:sz w:val="18"/>
          <w:szCs w:val="18"/>
        </w:rPr>
        <w:tab/>
      </w:r>
      <w:r w:rsidRPr="006E2A7B">
        <w:rPr>
          <w:sz w:val="18"/>
          <w:szCs w:val="18"/>
        </w:rPr>
        <w:t xml:space="preserve">The precedent for this assumption is the experience of Inland Revenue with its online services. The VAT payment was made available online in 2016 and is currently conducted 67% via the web. </w:t>
      </w:r>
    </w:p>
  </w:footnote>
  <w:footnote w:id="5">
    <w:p w14:paraId="35966D27" w14:textId="05567648" w:rsidR="009F7C91" w:rsidRPr="006E2A7B" w:rsidRDefault="009F7C91" w:rsidP="006E2A7B">
      <w:pPr>
        <w:pStyle w:val="FootnoteText"/>
        <w:spacing w:after="0"/>
        <w:rPr>
          <w:sz w:val="18"/>
          <w:szCs w:val="18"/>
        </w:rPr>
      </w:pPr>
      <w:r w:rsidRPr="006E2A7B">
        <w:rPr>
          <w:rStyle w:val="FootnoteReference"/>
          <w:sz w:val="18"/>
          <w:szCs w:val="18"/>
        </w:rPr>
        <w:footnoteRef/>
      </w:r>
      <w:r w:rsidRPr="006E2A7B">
        <w:rPr>
          <w:sz w:val="18"/>
          <w:szCs w:val="18"/>
        </w:rPr>
        <w:t xml:space="preserve"> </w:t>
      </w:r>
      <w:r w:rsidR="00A1132B">
        <w:rPr>
          <w:sz w:val="18"/>
          <w:szCs w:val="18"/>
        </w:rPr>
        <w:tab/>
      </w:r>
      <w:r w:rsidRPr="006E2A7B">
        <w:rPr>
          <w:sz w:val="18"/>
          <w:szCs w:val="18"/>
        </w:rPr>
        <w:t>Source: interviews with staff of RGD, Inland Revenue and National Insurance Board</w:t>
      </w:r>
    </w:p>
  </w:footnote>
  <w:footnote w:id="6">
    <w:p w14:paraId="64E6B4D7" w14:textId="77777777" w:rsidR="00415563" w:rsidRPr="000526AC" w:rsidRDefault="00415563" w:rsidP="000526AC">
      <w:pPr>
        <w:pStyle w:val="FootnoteText"/>
        <w:spacing w:after="0"/>
        <w:rPr>
          <w:sz w:val="18"/>
          <w:szCs w:val="18"/>
        </w:rPr>
      </w:pPr>
      <w:r w:rsidRPr="000526AC">
        <w:rPr>
          <w:rStyle w:val="FootnoteReference"/>
          <w:sz w:val="18"/>
          <w:szCs w:val="18"/>
        </w:rPr>
        <w:footnoteRef/>
      </w:r>
      <w:r w:rsidRPr="000526AC">
        <w:rPr>
          <w:sz w:val="18"/>
          <w:szCs w:val="18"/>
        </w:rPr>
        <w:t xml:space="preserve"> </w:t>
      </w:r>
      <w:r w:rsidRPr="000526AC">
        <w:rPr>
          <w:sz w:val="18"/>
          <w:szCs w:val="18"/>
        </w:rPr>
        <w:tab/>
        <w:t xml:space="preserve">Government procedures included in the Doing Business Report have already been prioritized by the government. Other procedures to be simplified and placed online will be prioritized in consultation with citizens. Within families, usually women take more responsibility to undertake government procedures required to exercise rights, comply with obligations or access to benefits. </w:t>
      </w:r>
      <w:proofErr w:type="gramStart"/>
      <w:r w:rsidRPr="000526AC">
        <w:rPr>
          <w:sz w:val="18"/>
          <w:szCs w:val="18"/>
        </w:rPr>
        <w:t>In order to</w:t>
      </w:r>
      <w:proofErr w:type="gramEnd"/>
      <w:r w:rsidRPr="000526AC">
        <w:rPr>
          <w:sz w:val="18"/>
          <w:szCs w:val="18"/>
        </w:rPr>
        <w:t xml:space="preserve"> save women time wasted dealing with government bureaucracy, in the selection of government procedures to be simplified, those more frequently used by women will be prioritized. </w:t>
      </w:r>
    </w:p>
  </w:footnote>
  <w:footnote w:id="7">
    <w:p w14:paraId="01B480AA" w14:textId="77777777" w:rsidR="00415563" w:rsidRPr="000526AC" w:rsidRDefault="00415563" w:rsidP="000526AC">
      <w:pPr>
        <w:pStyle w:val="FootnoteText"/>
        <w:spacing w:after="0"/>
        <w:rPr>
          <w:sz w:val="18"/>
          <w:szCs w:val="18"/>
        </w:rPr>
      </w:pPr>
      <w:r w:rsidRPr="000526AC">
        <w:rPr>
          <w:rStyle w:val="FootnoteReference"/>
          <w:sz w:val="18"/>
          <w:szCs w:val="18"/>
        </w:rPr>
        <w:footnoteRef/>
      </w:r>
      <w:r w:rsidRPr="000526AC">
        <w:rPr>
          <w:sz w:val="18"/>
          <w:szCs w:val="18"/>
        </w:rPr>
        <w:t xml:space="preserve"> </w:t>
      </w:r>
      <w:r w:rsidRPr="000526AC">
        <w:rPr>
          <w:sz w:val="18"/>
          <w:szCs w:val="18"/>
        </w:rPr>
        <w:tab/>
        <w:t>The most relevant current legislation related to digital government is: Electronic Communications and Transactions Act (2006), Computer Misuse Act (2006) and Data Protection Act (2008). This current legal framework allows the implementation of the activities proposed in this project, however as the execution progresses it will be recommended to update the legislation to put the citizen at the center of digital government and to create a more secure cyberspace.  It is anticipated that a digital government act, a cybersecurity act and an updated Data Protection Act will be drafted during the implementation of this project.</w:t>
      </w:r>
    </w:p>
  </w:footnote>
  <w:footnote w:id="8">
    <w:p w14:paraId="04B8A419" w14:textId="77777777" w:rsidR="00415563" w:rsidRPr="000526AC" w:rsidRDefault="00415563" w:rsidP="000526AC">
      <w:pPr>
        <w:pStyle w:val="FootnoteText"/>
        <w:spacing w:after="0"/>
        <w:rPr>
          <w:sz w:val="18"/>
          <w:szCs w:val="18"/>
        </w:rPr>
      </w:pPr>
      <w:r w:rsidRPr="000526AC">
        <w:rPr>
          <w:rStyle w:val="FootnoteReference"/>
          <w:sz w:val="18"/>
          <w:szCs w:val="18"/>
        </w:rPr>
        <w:footnoteRef/>
      </w:r>
      <w:r w:rsidRPr="000526AC">
        <w:rPr>
          <w:sz w:val="18"/>
          <w:szCs w:val="18"/>
        </w:rPr>
        <w:t xml:space="preserve"> </w:t>
      </w:r>
      <w:r w:rsidRPr="000526AC">
        <w:rPr>
          <w:sz w:val="18"/>
          <w:szCs w:val="18"/>
        </w:rPr>
        <w:tab/>
        <w:t>This process will be done through a multi-channel mechanism that includes access via counter, phone, website and mobile platforms.</w:t>
      </w:r>
    </w:p>
  </w:footnote>
  <w:footnote w:id="9">
    <w:p w14:paraId="3A7BF840" w14:textId="77777777" w:rsidR="00415563" w:rsidRPr="000526AC" w:rsidRDefault="00415563" w:rsidP="000526AC">
      <w:pPr>
        <w:pStyle w:val="FootnoteText"/>
        <w:spacing w:after="0"/>
        <w:rPr>
          <w:sz w:val="18"/>
          <w:szCs w:val="18"/>
        </w:rPr>
      </w:pPr>
      <w:r w:rsidRPr="000526AC">
        <w:rPr>
          <w:rStyle w:val="FootnoteReference"/>
          <w:sz w:val="18"/>
          <w:szCs w:val="18"/>
        </w:rPr>
        <w:footnoteRef/>
      </w:r>
      <w:r w:rsidRPr="000526AC">
        <w:rPr>
          <w:sz w:val="18"/>
          <w:szCs w:val="18"/>
        </w:rPr>
        <w:t xml:space="preserve"> </w:t>
      </w:r>
      <w:r w:rsidRPr="000526AC">
        <w:rPr>
          <w:sz w:val="18"/>
          <w:szCs w:val="18"/>
        </w:rPr>
        <w:tab/>
        <w:t>In addition to its impact in the reduction of costs for companies and citizens of conducting business with government, the project will have a positive impact in the environment by reducing the amount of paper necessary to complete a government transaction and decreasing CO</w:t>
      </w:r>
      <w:r w:rsidRPr="000526AC">
        <w:rPr>
          <w:sz w:val="18"/>
          <w:szCs w:val="18"/>
          <w:vertAlign w:val="superscript"/>
        </w:rPr>
        <w:t>2</w:t>
      </w:r>
      <w:r w:rsidRPr="000526AC">
        <w:rPr>
          <w:sz w:val="18"/>
          <w:szCs w:val="18"/>
        </w:rPr>
        <w:t xml:space="preserve"> emissions by eliminating traffic related to the compliance with the bureaucratic requirements. Details provided in the Key Results Indicator chapter.</w:t>
      </w:r>
    </w:p>
  </w:footnote>
  <w:footnote w:id="10">
    <w:p w14:paraId="40EF7D51" w14:textId="77777777" w:rsidR="00415563" w:rsidRPr="000526AC" w:rsidRDefault="00415563" w:rsidP="000526AC">
      <w:pPr>
        <w:pStyle w:val="FootnoteText"/>
        <w:spacing w:after="0"/>
        <w:rPr>
          <w:sz w:val="18"/>
          <w:szCs w:val="18"/>
        </w:rPr>
      </w:pPr>
      <w:r w:rsidRPr="000526AC">
        <w:rPr>
          <w:rStyle w:val="FootnoteReference"/>
          <w:sz w:val="18"/>
          <w:szCs w:val="18"/>
        </w:rPr>
        <w:footnoteRef/>
      </w:r>
      <w:r w:rsidRPr="000526AC">
        <w:rPr>
          <w:sz w:val="18"/>
          <w:szCs w:val="18"/>
        </w:rPr>
        <w:t xml:space="preserve"> </w:t>
      </w:r>
      <w:r w:rsidRPr="000526AC">
        <w:rPr>
          <w:sz w:val="18"/>
          <w:szCs w:val="18"/>
        </w:rPr>
        <w:tab/>
        <w:t xml:space="preserve">This activity includes: </w:t>
      </w:r>
      <w:r w:rsidRPr="000526AC">
        <w:rPr>
          <w:bCs/>
          <w:sz w:val="18"/>
          <w:szCs w:val="18"/>
        </w:rPr>
        <w:t>reviewing and improving the institutional framework, regulation and procedures related to property registration and conveyancing (including digitization of documents and Geographic Information Systems (GIS), cadaster, interoperability among registries, an a blockchain pilot project).</w:t>
      </w:r>
    </w:p>
  </w:footnote>
  <w:footnote w:id="11">
    <w:p w14:paraId="3EA76152" w14:textId="3EF4680D" w:rsidR="00415563" w:rsidRPr="00B36E14" w:rsidRDefault="00415563" w:rsidP="000526AC">
      <w:pPr>
        <w:pStyle w:val="FootnoteText"/>
        <w:spacing w:after="0"/>
        <w:rPr>
          <w:sz w:val="18"/>
          <w:szCs w:val="18"/>
        </w:rPr>
      </w:pPr>
      <w:r w:rsidRPr="000526AC">
        <w:rPr>
          <w:rStyle w:val="FootnoteReference"/>
          <w:sz w:val="18"/>
          <w:szCs w:val="18"/>
        </w:rPr>
        <w:footnoteRef/>
      </w:r>
      <w:r w:rsidRPr="000526AC">
        <w:rPr>
          <w:sz w:val="18"/>
          <w:szCs w:val="18"/>
        </w:rPr>
        <w:t xml:space="preserve"> </w:t>
      </w:r>
      <w:r w:rsidRPr="000526AC">
        <w:rPr>
          <w:sz w:val="18"/>
          <w:szCs w:val="18"/>
        </w:rPr>
        <w:tab/>
        <w:t xml:space="preserve">This activity includes: </w:t>
      </w:r>
      <w:r w:rsidRPr="000526AC">
        <w:rPr>
          <w:bCs/>
          <w:sz w:val="18"/>
          <w:szCs w:val="18"/>
        </w:rPr>
        <w:t>implementing one-stop-shop for business, a multichannel strategy (that will allow agile access both online and offline) and customer relationship management that will allow the tracking of the different steps in the procedure</w:t>
      </w:r>
      <w:r w:rsidR="000526AC">
        <w:rPr>
          <w:bCs/>
          <w:sz w:val="18"/>
          <w:szCs w:val="18"/>
        </w:rPr>
        <w:t>.</w:t>
      </w:r>
    </w:p>
  </w:footnote>
  <w:footnote w:id="12">
    <w:p w14:paraId="364D58E9" w14:textId="77777777" w:rsidR="00415563" w:rsidRPr="00A21588" w:rsidRDefault="00415563" w:rsidP="00A21588">
      <w:pPr>
        <w:pStyle w:val="FootnoteText"/>
        <w:spacing w:after="0"/>
        <w:rPr>
          <w:sz w:val="18"/>
          <w:szCs w:val="18"/>
        </w:rPr>
      </w:pPr>
      <w:r w:rsidRPr="00A21588">
        <w:rPr>
          <w:rStyle w:val="FootnoteReference"/>
          <w:sz w:val="18"/>
          <w:szCs w:val="18"/>
        </w:rPr>
        <w:footnoteRef/>
      </w:r>
      <w:r w:rsidRPr="00A21588">
        <w:rPr>
          <w:sz w:val="18"/>
          <w:szCs w:val="18"/>
        </w:rPr>
        <w:t xml:space="preserve"> </w:t>
      </w:r>
      <w:r w:rsidRPr="00A21588">
        <w:rPr>
          <w:sz w:val="18"/>
          <w:szCs w:val="18"/>
        </w:rPr>
        <w:tab/>
        <w:t xml:space="preserve">NIB has a digital database with 70% of the population registered (all those above 16 years old and most from 0 to 3 years old). NIB is already providing digital access to its database to the National Health Insurance (NHI) for identification purposes. The country is currently using the NID card </w:t>
      </w:r>
      <w:proofErr w:type="gramStart"/>
      <w:r w:rsidRPr="00A21588">
        <w:rPr>
          <w:sz w:val="18"/>
          <w:szCs w:val="18"/>
        </w:rPr>
        <w:t>as a means to</w:t>
      </w:r>
      <w:proofErr w:type="gramEnd"/>
      <w:r w:rsidRPr="00A21588">
        <w:rPr>
          <w:sz w:val="18"/>
          <w:szCs w:val="18"/>
        </w:rPr>
        <w:t xml:space="preserve"> identify people doing government procedures. This project has not been designed to generate a new identification mechanism but rather to use the current one more efficiently by allowing government institutions that need to identify people undertaking government procedures to do so online through the interoperability platform.</w:t>
      </w:r>
    </w:p>
  </w:footnote>
  <w:footnote w:id="13">
    <w:p w14:paraId="5058BF7B" w14:textId="77777777" w:rsidR="00415563" w:rsidRPr="00A21588" w:rsidRDefault="00415563" w:rsidP="00A21588">
      <w:pPr>
        <w:pStyle w:val="FootnoteText"/>
        <w:widowControl w:val="0"/>
        <w:tabs>
          <w:tab w:val="left" w:pos="8460"/>
        </w:tabs>
        <w:spacing w:after="0"/>
        <w:rPr>
          <w:sz w:val="18"/>
          <w:szCs w:val="18"/>
        </w:rPr>
      </w:pPr>
      <w:r w:rsidRPr="00A21588">
        <w:rPr>
          <w:rStyle w:val="FootnoteReference"/>
          <w:sz w:val="18"/>
          <w:szCs w:val="18"/>
        </w:rPr>
        <w:footnoteRef/>
      </w:r>
      <w:r w:rsidRPr="00A21588">
        <w:rPr>
          <w:sz w:val="18"/>
          <w:szCs w:val="18"/>
        </w:rPr>
        <w:t xml:space="preserve"> </w:t>
      </w:r>
      <w:bookmarkStart w:id="2" w:name="_Hlk507328142"/>
      <w:r w:rsidRPr="00A21588">
        <w:rPr>
          <w:sz w:val="18"/>
          <w:szCs w:val="18"/>
        </w:rPr>
        <w:tab/>
        <w:t>On July 2011, Cabinet approved Memorandum “2</w:t>
      </w:r>
      <w:r w:rsidRPr="00A21588">
        <w:rPr>
          <w:sz w:val="18"/>
          <w:szCs w:val="18"/>
          <w:vertAlign w:val="superscript"/>
        </w:rPr>
        <w:t>nd</w:t>
      </w:r>
      <w:r w:rsidRPr="00A21588">
        <w:rPr>
          <w:sz w:val="18"/>
          <w:szCs w:val="18"/>
        </w:rPr>
        <w:t xml:space="preserve"> update on e-Government implementation project and approval to establish the Department of Information Technology</w:t>
      </w:r>
      <w:bookmarkEnd w:id="2"/>
      <w:r w:rsidRPr="00A21588">
        <w:rPr>
          <w:sz w:val="18"/>
          <w:szCs w:val="18"/>
        </w:rPr>
        <w:t>” submitted by the Minister of Finance. This memorandum sets up, among other institutional aspects: The Department of Information Technology, the government CIO, ministerial CIOs, the CIO Forum and the Government ICT Committee (GIC). Out of this list, just the Department of Information Technology is currently in operation</w:t>
      </w:r>
      <w:r w:rsidRPr="00A21588">
        <w:rPr>
          <w:rStyle w:val="Hyperlink"/>
          <w:color w:val="000000" w:themeColor="text1"/>
          <w:sz w:val="18"/>
          <w:szCs w:val="18"/>
        </w:rPr>
        <w:t>.</w:t>
      </w:r>
    </w:p>
  </w:footnote>
  <w:footnote w:id="14">
    <w:p w14:paraId="77B6AD8B" w14:textId="77777777" w:rsidR="00415563" w:rsidRPr="00A21588" w:rsidRDefault="00415563" w:rsidP="00A21588">
      <w:pPr>
        <w:pStyle w:val="FootnoteText"/>
        <w:tabs>
          <w:tab w:val="left" w:pos="8460"/>
        </w:tabs>
        <w:spacing w:after="0"/>
        <w:rPr>
          <w:sz w:val="18"/>
          <w:szCs w:val="18"/>
        </w:rPr>
      </w:pPr>
      <w:r w:rsidRPr="00A21588">
        <w:rPr>
          <w:rStyle w:val="FootnoteReference"/>
          <w:sz w:val="18"/>
          <w:szCs w:val="18"/>
        </w:rPr>
        <w:footnoteRef/>
      </w:r>
      <w:r w:rsidRPr="00A21588">
        <w:rPr>
          <w:sz w:val="18"/>
          <w:szCs w:val="18"/>
        </w:rPr>
        <w:t xml:space="preserve"> </w:t>
      </w:r>
      <w:r w:rsidRPr="00A21588">
        <w:rPr>
          <w:sz w:val="18"/>
          <w:szCs w:val="18"/>
        </w:rPr>
        <w:tab/>
        <w:t xml:space="preserve">This blueprint will be both a planning and marketing document helping to get the buy-in of all relevant stakeholders. It will be updated periodically and foster the sustainability of the digital government in The Bahamas beyond this operation. </w:t>
      </w:r>
    </w:p>
  </w:footnote>
  <w:footnote w:id="15">
    <w:p w14:paraId="362CA1DC" w14:textId="77777777" w:rsidR="00415563" w:rsidRPr="00A21588" w:rsidRDefault="00415563" w:rsidP="00A21588">
      <w:pPr>
        <w:pStyle w:val="FootnoteText"/>
        <w:tabs>
          <w:tab w:val="left" w:pos="8460"/>
        </w:tabs>
        <w:spacing w:after="0"/>
        <w:rPr>
          <w:sz w:val="18"/>
          <w:szCs w:val="18"/>
        </w:rPr>
      </w:pPr>
      <w:r w:rsidRPr="00A21588">
        <w:rPr>
          <w:rStyle w:val="FootnoteReference"/>
          <w:sz w:val="18"/>
          <w:szCs w:val="18"/>
        </w:rPr>
        <w:footnoteRef/>
      </w:r>
      <w:r w:rsidRPr="00A21588">
        <w:rPr>
          <w:sz w:val="18"/>
          <w:szCs w:val="18"/>
        </w:rPr>
        <w:t xml:space="preserve"> </w:t>
      </w:r>
      <w:r w:rsidRPr="00A21588">
        <w:rPr>
          <w:sz w:val="18"/>
          <w:szCs w:val="18"/>
        </w:rPr>
        <w:tab/>
        <w:t>The fund will support 4 projects per year that the Project Steering Committee deems as a strategic for the advancement of digital government in The Bahamas based on its innovation, its impact in citizens and businesses and its applicability to the government as whole.</w:t>
      </w:r>
    </w:p>
  </w:footnote>
  <w:footnote w:id="16">
    <w:p w14:paraId="694A5235" w14:textId="77777777" w:rsidR="00415563" w:rsidRPr="00A21588" w:rsidRDefault="00415563" w:rsidP="00A21588">
      <w:pPr>
        <w:pStyle w:val="FootnoteText"/>
        <w:tabs>
          <w:tab w:val="left" w:pos="8460"/>
        </w:tabs>
        <w:spacing w:after="0"/>
        <w:rPr>
          <w:sz w:val="18"/>
          <w:szCs w:val="18"/>
        </w:rPr>
      </w:pPr>
      <w:r w:rsidRPr="00A21588">
        <w:rPr>
          <w:rStyle w:val="FootnoteReference"/>
          <w:sz w:val="18"/>
          <w:szCs w:val="18"/>
        </w:rPr>
        <w:footnoteRef/>
      </w:r>
      <w:r w:rsidRPr="00A21588">
        <w:rPr>
          <w:sz w:val="18"/>
          <w:szCs w:val="18"/>
        </w:rPr>
        <w:t xml:space="preserve"> </w:t>
      </w:r>
      <w:r w:rsidRPr="00A21588">
        <w:rPr>
          <w:sz w:val="18"/>
          <w:szCs w:val="18"/>
        </w:rPr>
        <w:tab/>
        <w:t xml:space="preserve">Resources to be invested in closing the ICT gap analysis will cover part of the plan. The project includes resources for training as well as for incorporating ICT professionals deemed as necessary after the gap analysis is finalized. </w:t>
      </w:r>
    </w:p>
  </w:footnote>
  <w:footnote w:id="17">
    <w:p w14:paraId="63409A90" w14:textId="24F9DC0B" w:rsidR="00415563" w:rsidRPr="00A21588" w:rsidRDefault="00415563" w:rsidP="00A21588">
      <w:pPr>
        <w:pStyle w:val="FootnoteText"/>
        <w:tabs>
          <w:tab w:val="left" w:pos="8460"/>
        </w:tabs>
        <w:spacing w:after="0"/>
        <w:rPr>
          <w:sz w:val="18"/>
          <w:szCs w:val="18"/>
        </w:rPr>
      </w:pPr>
      <w:r w:rsidRPr="00A21588">
        <w:rPr>
          <w:rStyle w:val="FootnoteReference"/>
          <w:sz w:val="18"/>
          <w:szCs w:val="18"/>
        </w:rPr>
        <w:footnoteRef/>
      </w:r>
      <w:r w:rsidRPr="00A21588">
        <w:rPr>
          <w:sz w:val="18"/>
          <w:szCs w:val="18"/>
        </w:rPr>
        <w:t xml:space="preserve"> </w:t>
      </w:r>
      <w:r w:rsidRPr="00A21588">
        <w:rPr>
          <w:sz w:val="18"/>
          <w:szCs w:val="18"/>
        </w:rPr>
        <w:tab/>
        <w:t xml:space="preserve">The Change Management Plan is complemented with the hiring of a Change Management Specialist that will be part of the PEU. As indicated in the Results Matrix, the plan will include targeted annual activities focused on </w:t>
      </w:r>
      <w:r w:rsidR="00A21588" w:rsidRPr="00A21588">
        <w:rPr>
          <w:sz w:val="18"/>
          <w:szCs w:val="18"/>
        </w:rPr>
        <w:t>the institutions</w:t>
      </w:r>
      <w:r w:rsidRPr="00A21588">
        <w:rPr>
          <w:sz w:val="18"/>
          <w:szCs w:val="18"/>
        </w:rPr>
        <w:t xml:space="preserve"> considered key for the success of this project (Registrar Office, Attorney General Office, Auditor General Office, Department of Inland Revenue and National Insurance Board). Other institutions will participate government-wide activities. Change management activities will be conducted in Grand Bahama and Abaco, in addition to New Providence.</w:t>
      </w:r>
    </w:p>
  </w:footnote>
  <w:footnote w:id="18">
    <w:p w14:paraId="407661F3" w14:textId="77777777" w:rsidR="00415563" w:rsidRPr="00A21588" w:rsidRDefault="00415563" w:rsidP="00A21588">
      <w:pPr>
        <w:pStyle w:val="FootnoteText"/>
        <w:tabs>
          <w:tab w:val="left" w:pos="8460"/>
        </w:tabs>
        <w:spacing w:after="0"/>
        <w:rPr>
          <w:sz w:val="18"/>
          <w:szCs w:val="18"/>
        </w:rPr>
      </w:pPr>
      <w:r w:rsidRPr="00A21588">
        <w:rPr>
          <w:rStyle w:val="FootnoteReference"/>
          <w:sz w:val="18"/>
          <w:szCs w:val="18"/>
        </w:rPr>
        <w:footnoteRef/>
      </w:r>
      <w:r w:rsidRPr="00A21588">
        <w:rPr>
          <w:sz w:val="18"/>
          <w:szCs w:val="18"/>
        </w:rPr>
        <w:t xml:space="preserve"> </w:t>
      </w:r>
      <w:r w:rsidRPr="00A21588">
        <w:rPr>
          <w:sz w:val="18"/>
          <w:szCs w:val="18"/>
        </w:rPr>
        <w:tab/>
        <w:t>When selecting the participants in the digital literacy activity, women will be given priority to assure at least an equal representation.</w:t>
      </w:r>
    </w:p>
  </w:footnote>
  <w:footnote w:id="19">
    <w:p w14:paraId="189886BD" w14:textId="77777777" w:rsidR="00415563" w:rsidRPr="00A21588" w:rsidRDefault="00415563" w:rsidP="00A21588">
      <w:pPr>
        <w:pStyle w:val="FootnoteText"/>
        <w:tabs>
          <w:tab w:val="left" w:pos="8460"/>
        </w:tabs>
        <w:spacing w:after="0"/>
        <w:rPr>
          <w:sz w:val="18"/>
          <w:szCs w:val="18"/>
        </w:rPr>
      </w:pPr>
      <w:r w:rsidRPr="00A21588">
        <w:rPr>
          <w:rStyle w:val="FootnoteReference"/>
          <w:sz w:val="18"/>
          <w:szCs w:val="18"/>
        </w:rPr>
        <w:footnoteRef/>
      </w:r>
      <w:r w:rsidRPr="00A21588">
        <w:rPr>
          <w:sz w:val="18"/>
          <w:szCs w:val="18"/>
        </w:rPr>
        <w:t xml:space="preserve"> </w:t>
      </w:r>
      <w:r w:rsidRPr="00A21588">
        <w:rPr>
          <w:sz w:val="18"/>
          <w:szCs w:val="18"/>
        </w:rPr>
        <w:tab/>
        <w:t xml:space="preserve">The communication strategy will include actions for internal communication at three main levels of responsibility (policy-strategy, management and operations), as well as external communications focus on reaching out to citizens and businesses. </w:t>
      </w:r>
    </w:p>
  </w:footnote>
  <w:footnote w:id="20">
    <w:p w14:paraId="2E75C3DF" w14:textId="77777777" w:rsidR="00415563" w:rsidRPr="00ED5505" w:rsidRDefault="00415563" w:rsidP="00A21588">
      <w:pPr>
        <w:pStyle w:val="FootnoteText"/>
        <w:tabs>
          <w:tab w:val="left" w:pos="8460"/>
        </w:tabs>
        <w:spacing w:after="0"/>
        <w:rPr>
          <w:sz w:val="18"/>
          <w:szCs w:val="18"/>
        </w:rPr>
      </w:pPr>
      <w:r w:rsidRPr="00A21588">
        <w:rPr>
          <w:rStyle w:val="FootnoteReference"/>
          <w:sz w:val="18"/>
          <w:szCs w:val="18"/>
        </w:rPr>
        <w:footnoteRef/>
      </w:r>
      <w:r w:rsidRPr="00A21588">
        <w:rPr>
          <w:sz w:val="18"/>
          <w:szCs w:val="18"/>
        </w:rPr>
        <w:t xml:space="preserve"> </w:t>
      </w:r>
      <w:r w:rsidRPr="00A21588">
        <w:rPr>
          <w:sz w:val="18"/>
          <w:szCs w:val="18"/>
        </w:rPr>
        <w:tab/>
        <w:t>This activity includes the hiring of a data analytics expert, the provision of training to on data analytics to different government branches as well as the implementation of several practical cases of the use of data to support policy implementation.</w:t>
      </w:r>
    </w:p>
  </w:footnote>
  <w:footnote w:id="21">
    <w:p w14:paraId="76E8193A" w14:textId="77777777" w:rsidR="00415563" w:rsidRPr="00ED5505" w:rsidRDefault="00415563" w:rsidP="00415563">
      <w:pPr>
        <w:pStyle w:val="FootnoteText"/>
        <w:tabs>
          <w:tab w:val="left" w:pos="8460"/>
        </w:tabs>
        <w:spacing w:after="0"/>
        <w:rPr>
          <w:sz w:val="18"/>
          <w:szCs w:val="18"/>
        </w:rPr>
      </w:pPr>
      <w:r w:rsidRPr="00ED5505">
        <w:rPr>
          <w:rStyle w:val="FootnoteReference"/>
          <w:sz w:val="18"/>
          <w:szCs w:val="18"/>
        </w:rPr>
        <w:footnoteRef/>
      </w:r>
      <w:r w:rsidRPr="00ED5505">
        <w:rPr>
          <w:sz w:val="18"/>
          <w:szCs w:val="18"/>
        </w:rPr>
        <w:t xml:space="preserve"> </w:t>
      </w:r>
      <w:r w:rsidRPr="00ED5505">
        <w:rPr>
          <w:sz w:val="18"/>
          <w:szCs w:val="18"/>
        </w:rPr>
        <w:tab/>
        <w:t xml:space="preserve">This activity includes the following actions: (i) review the present situation of cybersecurity of The Bahamas Agencies and identify gaps and deficiencies; (ii) prepare a cybersecurity strategy based on the situation assessment; (iii) set up a CERT (Computer Emergency Response Team); (iv) strengthen the Police </w:t>
      </w:r>
      <w:proofErr w:type="spellStart"/>
      <w:r w:rsidRPr="00ED5505">
        <w:rPr>
          <w:sz w:val="18"/>
          <w:szCs w:val="18"/>
        </w:rPr>
        <w:t>Cyberforensics</w:t>
      </w:r>
      <w:proofErr w:type="spellEnd"/>
      <w:r w:rsidRPr="00ED5505">
        <w:rPr>
          <w:sz w:val="18"/>
          <w:szCs w:val="18"/>
        </w:rPr>
        <w:t xml:space="preserve"> Laboratory; (v) provide training on cybersecurity to government employees, law enforcement agents and judicial authority professionals, and (vi) design and implement a citizen sensitization campaign.</w:t>
      </w:r>
    </w:p>
  </w:footnote>
  <w:footnote w:id="22">
    <w:p w14:paraId="411CB065" w14:textId="77777777" w:rsidR="00415563" w:rsidRPr="00B36E14" w:rsidRDefault="00415563" w:rsidP="00415563">
      <w:pPr>
        <w:pStyle w:val="FootnoteText"/>
        <w:tabs>
          <w:tab w:val="left" w:pos="8460"/>
        </w:tabs>
        <w:spacing w:after="0"/>
        <w:rPr>
          <w:sz w:val="18"/>
          <w:szCs w:val="18"/>
        </w:rPr>
      </w:pPr>
      <w:r w:rsidRPr="003B442B">
        <w:rPr>
          <w:rStyle w:val="FootnoteReference"/>
          <w:sz w:val="18"/>
          <w:szCs w:val="18"/>
        </w:rPr>
        <w:footnoteRef/>
      </w:r>
      <w:r w:rsidRPr="003B442B">
        <w:rPr>
          <w:sz w:val="18"/>
          <w:szCs w:val="18"/>
        </w:rPr>
        <w:t xml:space="preserve"> </w:t>
      </w:r>
      <w:r w:rsidRPr="003B442B">
        <w:rPr>
          <w:sz w:val="18"/>
          <w:szCs w:val="18"/>
        </w:rPr>
        <w:tab/>
        <w:t xml:space="preserve">This is a highly specialized consulting service aimed at supervising the deployment of IT projects </w:t>
      </w:r>
      <w:proofErr w:type="gramStart"/>
      <w:r w:rsidRPr="003B442B">
        <w:rPr>
          <w:sz w:val="18"/>
          <w:szCs w:val="18"/>
        </w:rPr>
        <w:t>in order to</w:t>
      </w:r>
      <w:proofErr w:type="gramEnd"/>
      <w:r w:rsidRPr="003B442B">
        <w:rPr>
          <w:sz w:val="18"/>
          <w:szCs w:val="18"/>
        </w:rPr>
        <w:t xml:space="preserve"> assure</w:t>
      </w:r>
      <w:r w:rsidRPr="00B36E14">
        <w:rPr>
          <w:sz w:val="18"/>
          <w:szCs w:val="18"/>
        </w:rPr>
        <w:t xml:space="preserve"> the compliance with quality and standards agreed upon contractually. </w:t>
      </w:r>
    </w:p>
  </w:footnote>
  <w:footnote w:id="23">
    <w:p w14:paraId="510D1EF0" w14:textId="4430A2F1" w:rsidR="00C903D1" w:rsidRPr="00B90C12" w:rsidRDefault="00C903D1" w:rsidP="006E2A7B">
      <w:pPr>
        <w:pStyle w:val="FootnoteText"/>
        <w:spacing w:after="0"/>
        <w:rPr>
          <w:rFonts w:ascii="Times New Roman" w:hAnsi="Times New Roman"/>
          <w:sz w:val="16"/>
          <w:szCs w:val="16"/>
        </w:rPr>
      </w:pPr>
      <w:r w:rsidRPr="006E2A7B">
        <w:rPr>
          <w:rStyle w:val="FootnoteReference"/>
          <w:sz w:val="18"/>
          <w:szCs w:val="18"/>
        </w:rPr>
        <w:footnoteRef/>
      </w:r>
      <w:r w:rsidRPr="006E2A7B">
        <w:rPr>
          <w:sz w:val="18"/>
          <w:szCs w:val="18"/>
        </w:rPr>
        <w:t xml:space="preserve"> </w:t>
      </w:r>
      <w:r w:rsidR="0086245E">
        <w:rPr>
          <w:sz w:val="18"/>
          <w:szCs w:val="18"/>
        </w:rPr>
        <w:tab/>
      </w:r>
      <w:r w:rsidRPr="006E2A7B">
        <w:rPr>
          <w:sz w:val="18"/>
          <w:szCs w:val="18"/>
        </w:rPr>
        <w:t>Adoption rate: Year 1 – 0%, 2 – 20%, 3 – 40%, 4 – 50%, 5 – 60%, 6 – 70%.</w:t>
      </w:r>
      <w:r w:rsidRPr="00B90C12">
        <w:rPr>
          <w:rFonts w:ascii="Times New Roman" w:hAnsi="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53448"/>
    <w:multiLevelType w:val="hybridMultilevel"/>
    <w:tmpl w:val="DEE6A86C"/>
    <w:lvl w:ilvl="0" w:tplc="9C34EDF8">
      <w:start w:val="1"/>
      <w:numFmt w:val="decimal"/>
      <w:lvlText w:val="2.%1"/>
      <w:lvlJc w:val="left"/>
      <w:pPr>
        <w:ind w:left="360" w:hanging="360"/>
      </w:pPr>
      <w:rPr>
        <w:rFonts w:hint="default"/>
        <w:b w:val="0"/>
        <w:i w:val="0"/>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7A2B35"/>
    <w:multiLevelType w:val="multilevel"/>
    <w:tmpl w:val="75C0B2E2"/>
    <w:lvl w:ilvl="0">
      <w:start w:val="1"/>
      <w:numFmt w:val="upperRoman"/>
      <w:lvlRestart w:val="0"/>
      <w:lvlText w:val="%1."/>
      <w:lvlJc w:val="center"/>
      <w:pPr>
        <w:tabs>
          <w:tab w:val="num" w:pos="4680"/>
        </w:tabs>
        <w:ind w:left="403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DAB7FC9"/>
    <w:multiLevelType w:val="multilevel"/>
    <w:tmpl w:val="38DA8D30"/>
    <w:lvl w:ilvl="0">
      <w:start w:val="1"/>
      <w:numFmt w:val="upperRoman"/>
      <w:pStyle w:val="Chapter"/>
      <w:lvlText w:val="%1."/>
      <w:lvlJc w:val="center"/>
      <w:pPr>
        <w:tabs>
          <w:tab w:val="num" w:pos="648"/>
        </w:tabs>
        <w:ind w:left="0" w:firstLine="288"/>
      </w:pPr>
      <w:rPr>
        <w:b/>
        <w:i w:val="0"/>
      </w:rPr>
    </w:lvl>
    <w:lvl w:ilvl="1">
      <w:start w:val="1"/>
      <w:numFmt w:val="decimal"/>
      <w:pStyle w:val="Paragraph"/>
      <w:lvlText w:val="2.%2"/>
      <w:lvlJc w:val="left"/>
      <w:pPr>
        <w:tabs>
          <w:tab w:val="num" w:pos="720"/>
        </w:tabs>
        <w:ind w:left="720" w:hanging="720"/>
      </w:pPr>
      <w:rPr>
        <w:rFonts w:hint="default"/>
        <w:b w:val="0"/>
        <w:color w:val="auto"/>
        <w:lang w:val="es-ES"/>
      </w:rPr>
    </w:lvl>
    <w:lvl w:ilvl="2">
      <w:start w:val="1"/>
      <w:numFmt w:val="lowerLetter"/>
      <w:pStyle w:val="subpar"/>
      <w:lvlText w:val="%3."/>
      <w:lvlJc w:val="left"/>
      <w:pPr>
        <w:tabs>
          <w:tab w:val="num" w:pos="1152"/>
        </w:tabs>
        <w:ind w:left="1152" w:hanging="432"/>
      </w:pPr>
      <w:rPr>
        <w:b w:val="0"/>
      </w:r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232D2C12"/>
    <w:multiLevelType w:val="multilevel"/>
    <w:tmpl w:val="BF68A83A"/>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 w15:restartNumberingAfterBreak="0">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8" w15:restartNumberingAfterBreak="0">
    <w:nsid w:val="515915DF"/>
    <w:multiLevelType w:val="multilevel"/>
    <w:tmpl w:val="518270AE"/>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6E905D74"/>
    <w:multiLevelType w:val="multilevel"/>
    <w:tmpl w:val="F01A9A0A"/>
    <w:lvl w:ilvl="0">
      <w:start w:val="1"/>
      <w:numFmt w:val="upperLetter"/>
      <w:lvlRestart w:val="0"/>
      <w:pStyle w:val="FirstHeading"/>
      <w:lvlText w:val="%1."/>
      <w:lvlJc w:val="left"/>
      <w:pPr>
        <w:ind w:left="720" w:hanging="720"/>
      </w:pPr>
      <w:rPr>
        <w:b/>
      </w:rPr>
    </w:lvl>
    <w:lvl w:ilvl="1">
      <w:start w:val="1"/>
      <w:numFmt w:val="decimal"/>
      <w:pStyle w:val="SecHeading"/>
      <w:lvlText w:val="%2."/>
      <w:lvlJc w:val="left"/>
      <w:pPr>
        <w:tabs>
          <w:tab w:val="num" w:pos="1296"/>
        </w:tabs>
        <w:ind w:left="1296" w:hanging="576"/>
      </w:pPr>
      <w:rPr>
        <w:b/>
      </w:r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0" w15:restartNumberingAfterBreak="0">
    <w:nsid w:val="717B479E"/>
    <w:multiLevelType w:val="multilevel"/>
    <w:tmpl w:val="1CDC9244"/>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num w:numId="1">
    <w:abstractNumId w:val="8"/>
  </w:num>
  <w:num w:numId="2">
    <w:abstractNumId w:val="2"/>
  </w:num>
  <w:num w:numId="3">
    <w:abstractNumId w:val="5"/>
  </w:num>
  <w:num w:numId="4">
    <w:abstractNumId w:val="3"/>
  </w:num>
  <w:num w:numId="5">
    <w:abstractNumId w:val="6"/>
  </w:num>
  <w:num w:numId="6">
    <w:abstractNumId w:val="7"/>
  </w:num>
  <w:num w:numId="7">
    <w:abstractNumId w:val="0"/>
  </w:num>
  <w:num w:numId="8">
    <w:abstractNumId w:val="4"/>
  </w:num>
  <w:num w:numId="9">
    <w:abstractNumId w:val="10"/>
  </w:num>
  <w:num w:numId="10">
    <w:abstractNumId w:val="9"/>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0033"/>
    <w:rsid w:val="00001652"/>
    <w:rsid w:val="00001DEA"/>
    <w:rsid w:val="00002B2F"/>
    <w:rsid w:val="00005BB5"/>
    <w:rsid w:val="00005EDC"/>
    <w:rsid w:val="000117CA"/>
    <w:rsid w:val="0001206A"/>
    <w:rsid w:val="000129B5"/>
    <w:rsid w:val="00012B9A"/>
    <w:rsid w:val="00013021"/>
    <w:rsid w:val="0001439F"/>
    <w:rsid w:val="00014B7A"/>
    <w:rsid w:val="00015F9B"/>
    <w:rsid w:val="000163C5"/>
    <w:rsid w:val="0001649F"/>
    <w:rsid w:val="000232C9"/>
    <w:rsid w:val="000233DE"/>
    <w:rsid w:val="0002367A"/>
    <w:rsid w:val="0002382F"/>
    <w:rsid w:val="000250B3"/>
    <w:rsid w:val="00027BD0"/>
    <w:rsid w:val="00030267"/>
    <w:rsid w:val="00030B76"/>
    <w:rsid w:val="00031E1C"/>
    <w:rsid w:val="00032087"/>
    <w:rsid w:val="00036F86"/>
    <w:rsid w:val="00040226"/>
    <w:rsid w:val="00040932"/>
    <w:rsid w:val="000435C2"/>
    <w:rsid w:val="000447E8"/>
    <w:rsid w:val="00044CA5"/>
    <w:rsid w:val="00045FAD"/>
    <w:rsid w:val="0005267A"/>
    <w:rsid w:val="000526AC"/>
    <w:rsid w:val="000532C5"/>
    <w:rsid w:val="0005459F"/>
    <w:rsid w:val="00055C95"/>
    <w:rsid w:val="000602CC"/>
    <w:rsid w:val="00060365"/>
    <w:rsid w:val="000615C6"/>
    <w:rsid w:val="00062917"/>
    <w:rsid w:val="0006373A"/>
    <w:rsid w:val="00066B86"/>
    <w:rsid w:val="0006705A"/>
    <w:rsid w:val="0006764A"/>
    <w:rsid w:val="00072EAB"/>
    <w:rsid w:val="00073D06"/>
    <w:rsid w:val="00075F43"/>
    <w:rsid w:val="00076CE9"/>
    <w:rsid w:val="00080F7E"/>
    <w:rsid w:val="00084563"/>
    <w:rsid w:val="00086A1C"/>
    <w:rsid w:val="00086C0F"/>
    <w:rsid w:val="00090243"/>
    <w:rsid w:val="000918F4"/>
    <w:rsid w:val="00094F89"/>
    <w:rsid w:val="00095081"/>
    <w:rsid w:val="00095862"/>
    <w:rsid w:val="00096255"/>
    <w:rsid w:val="00096BD0"/>
    <w:rsid w:val="00097D91"/>
    <w:rsid w:val="000A005B"/>
    <w:rsid w:val="000A254F"/>
    <w:rsid w:val="000A40DD"/>
    <w:rsid w:val="000A4240"/>
    <w:rsid w:val="000A474D"/>
    <w:rsid w:val="000A5455"/>
    <w:rsid w:val="000A57B1"/>
    <w:rsid w:val="000A6211"/>
    <w:rsid w:val="000A69B7"/>
    <w:rsid w:val="000B05C1"/>
    <w:rsid w:val="000B0A43"/>
    <w:rsid w:val="000B389F"/>
    <w:rsid w:val="000B3CDC"/>
    <w:rsid w:val="000B3F73"/>
    <w:rsid w:val="000B6483"/>
    <w:rsid w:val="000C14A3"/>
    <w:rsid w:val="000C17DD"/>
    <w:rsid w:val="000C46A7"/>
    <w:rsid w:val="000C46E0"/>
    <w:rsid w:val="000C6E12"/>
    <w:rsid w:val="000D0D39"/>
    <w:rsid w:val="000D3602"/>
    <w:rsid w:val="000D3AFA"/>
    <w:rsid w:val="000D6314"/>
    <w:rsid w:val="000D64EC"/>
    <w:rsid w:val="000D673C"/>
    <w:rsid w:val="000D6C2A"/>
    <w:rsid w:val="000E511F"/>
    <w:rsid w:val="000E5FFA"/>
    <w:rsid w:val="000E710A"/>
    <w:rsid w:val="000F2840"/>
    <w:rsid w:val="000F4BF7"/>
    <w:rsid w:val="000F7756"/>
    <w:rsid w:val="00100AB6"/>
    <w:rsid w:val="00103836"/>
    <w:rsid w:val="00107A6D"/>
    <w:rsid w:val="00110CE8"/>
    <w:rsid w:val="00111647"/>
    <w:rsid w:val="00111EF1"/>
    <w:rsid w:val="00112CE5"/>
    <w:rsid w:val="001143E4"/>
    <w:rsid w:val="001144BE"/>
    <w:rsid w:val="00117D42"/>
    <w:rsid w:val="00120318"/>
    <w:rsid w:val="001246EE"/>
    <w:rsid w:val="00125C6F"/>
    <w:rsid w:val="0012607B"/>
    <w:rsid w:val="0012683F"/>
    <w:rsid w:val="00126A3E"/>
    <w:rsid w:val="001323F9"/>
    <w:rsid w:val="00132928"/>
    <w:rsid w:val="00132D5C"/>
    <w:rsid w:val="0013499E"/>
    <w:rsid w:val="00135E5A"/>
    <w:rsid w:val="00140173"/>
    <w:rsid w:val="0014079B"/>
    <w:rsid w:val="001423A3"/>
    <w:rsid w:val="001439C9"/>
    <w:rsid w:val="00146B6D"/>
    <w:rsid w:val="00147117"/>
    <w:rsid w:val="001472FC"/>
    <w:rsid w:val="00152823"/>
    <w:rsid w:val="0015295A"/>
    <w:rsid w:val="00152CB9"/>
    <w:rsid w:val="0015534D"/>
    <w:rsid w:val="00155361"/>
    <w:rsid w:val="00161975"/>
    <w:rsid w:val="001628A9"/>
    <w:rsid w:val="00163675"/>
    <w:rsid w:val="0016597C"/>
    <w:rsid w:val="00166F59"/>
    <w:rsid w:val="00167B44"/>
    <w:rsid w:val="00170F5E"/>
    <w:rsid w:val="00171377"/>
    <w:rsid w:val="001720BB"/>
    <w:rsid w:val="00173607"/>
    <w:rsid w:val="00174131"/>
    <w:rsid w:val="00174B82"/>
    <w:rsid w:val="001767D4"/>
    <w:rsid w:val="00177892"/>
    <w:rsid w:val="0018102F"/>
    <w:rsid w:val="001827E7"/>
    <w:rsid w:val="00183F9E"/>
    <w:rsid w:val="0018538F"/>
    <w:rsid w:val="001865CF"/>
    <w:rsid w:val="00187201"/>
    <w:rsid w:val="001903F0"/>
    <w:rsid w:val="00193BF8"/>
    <w:rsid w:val="0019567E"/>
    <w:rsid w:val="00196286"/>
    <w:rsid w:val="001A2A90"/>
    <w:rsid w:val="001B0A90"/>
    <w:rsid w:val="001B0F46"/>
    <w:rsid w:val="001B3BF7"/>
    <w:rsid w:val="001B6084"/>
    <w:rsid w:val="001B7A96"/>
    <w:rsid w:val="001C0414"/>
    <w:rsid w:val="001C268B"/>
    <w:rsid w:val="001C393B"/>
    <w:rsid w:val="001C3DCA"/>
    <w:rsid w:val="001C6E41"/>
    <w:rsid w:val="001C7AD0"/>
    <w:rsid w:val="001D2916"/>
    <w:rsid w:val="001D2D2E"/>
    <w:rsid w:val="001D7ADC"/>
    <w:rsid w:val="001D7F81"/>
    <w:rsid w:val="001E1015"/>
    <w:rsid w:val="001E150A"/>
    <w:rsid w:val="001E7B41"/>
    <w:rsid w:val="001E7D65"/>
    <w:rsid w:val="001F0D61"/>
    <w:rsid w:val="001F0E20"/>
    <w:rsid w:val="001F52BD"/>
    <w:rsid w:val="001F5569"/>
    <w:rsid w:val="00201A8D"/>
    <w:rsid w:val="00203219"/>
    <w:rsid w:val="002033E1"/>
    <w:rsid w:val="00204E18"/>
    <w:rsid w:val="00205916"/>
    <w:rsid w:val="00207204"/>
    <w:rsid w:val="0021056E"/>
    <w:rsid w:val="00212AE0"/>
    <w:rsid w:val="00214954"/>
    <w:rsid w:val="00215D5A"/>
    <w:rsid w:val="002168BA"/>
    <w:rsid w:val="002216F9"/>
    <w:rsid w:val="00222533"/>
    <w:rsid w:val="00222FF7"/>
    <w:rsid w:val="00224867"/>
    <w:rsid w:val="002306A0"/>
    <w:rsid w:val="002308DC"/>
    <w:rsid w:val="0023096C"/>
    <w:rsid w:val="00232AD5"/>
    <w:rsid w:val="002341D5"/>
    <w:rsid w:val="00237189"/>
    <w:rsid w:val="0023775E"/>
    <w:rsid w:val="00237CD4"/>
    <w:rsid w:val="00240208"/>
    <w:rsid w:val="00244A62"/>
    <w:rsid w:val="00245F30"/>
    <w:rsid w:val="0025036F"/>
    <w:rsid w:val="00250849"/>
    <w:rsid w:val="00252502"/>
    <w:rsid w:val="00253B58"/>
    <w:rsid w:val="002547CF"/>
    <w:rsid w:val="0025778E"/>
    <w:rsid w:val="00260D92"/>
    <w:rsid w:val="002626AE"/>
    <w:rsid w:val="00263BC4"/>
    <w:rsid w:val="00266113"/>
    <w:rsid w:val="002742CC"/>
    <w:rsid w:val="0027433B"/>
    <w:rsid w:val="002743B9"/>
    <w:rsid w:val="00274BD5"/>
    <w:rsid w:val="00277E59"/>
    <w:rsid w:val="00286534"/>
    <w:rsid w:val="002873E1"/>
    <w:rsid w:val="002905B3"/>
    <w:rsid w:val="00292081"/>
    <w:rsid w:val="00295AE9"/>
    <w:rsid w:val="0029622F"/>
    <w:rsid w:val="00296F07"/>
    <w:rsid w:val="002A1FC4"/>
    <w:rsid w:val="002A2073"/>
    <w:rsid w:val="002A21EA"/>
    <w:rsid w:val="002A4399"/>
    <w:rsid w:val="002A7F12"/>
    <w:rsid w:val="002B18ED"/>
    <w:rsid w:val="002B31BC"/>
    <w:rsid w:val="002B3A44"/>
    <w:rsid w:val="002B650D"/>
    <w:rsid w:val="002B6B10"/>
    <w:rsid w:val="002B737A"/>
    <w:rsid w:val="002C167A"/>
    <w:rsid w:val="002C1CD6"/>
    <w:rsid w:val="002C203D"/>
    <w:rsid w:val="002C348E"/>
    <w:rsid w:val="002C3AEE"/>
    <w:rsid w:val="002C5257"/>
    <w:rsid w:val="002C54E7"/>
    <w:rsid w:val="002C571F"/>
    <w:rsid w:val="002C5E1A"/>
    <w:rsid w:val="002D29C7"/>
    <w:rsid w:val="002D4369"/>
    <w:rsid w:val="002D4E00"/>
    <w:rsid w:val="002D6F93"/>
    <w:rsid w:val="002D7584"/>
    <w:rsid w:val="002D7864"/>
    <w:rsid w:val="002D78F7"/>
    <w:rsid w:val="002E1368"/>
    <w:rsid w:val="002E147E"/>
    <w:rsid w:val="002E26C6"/>
    <w:rsid w:val="002E4202"/>
    <w:rsid w:val="002E4618"/>
    <w:rsid w:val="002E6B84"/>
    <w:rsid w:val="002E6BE0"/>
    <w:rsid w:val="002E7C5D"/>
    <w:rsid w:val="002F1652"/>
    <w:rsid w:val="002F1A99"/>
    <w:rsid w:val="002F27CA"/>
    <w:rsid w:val="002F2E4F"/>
    <w:rsid w:val="002F4237"/>
    <w:rsid w:val="002F50C6"/>
    <w:rsid w:val="002F6AFC"/>
    <w:rsid w:val="002F7EA4"/>
    <w:rsid w:val="00300939"/>
    <w:rsid w:val="00300ACA"/>
    <w:rsid w:val="00300D75"/>
    <w:rsid w:val="003030CC"/>
    <w:rsid w:val="00307417"/>
    <w:rsid w:val="00311FD5"/>
    <w:rsid w:val="00313961"/>
    <w:rsid w:val="003140D5"/>
    <w:rsid w:val="0031643A"/>
    <w:rsid w:val="003208FA"/>
    <w:rsid w:val="00323CBD"/>
    <w:rsid w:val="0032488E"/>
    <w:rsid w:val="003262AB"/>
    <w:rsid w:val="003311E6"/>
    <w:rsid w:val="003332AB"/>
    <w:rsid w:val="0033457E"/>
    <w:rsid w:val="0033569A"/>
    <w:rsid w:val="003370D2"/>
    <w:rsid w:val="003376DF"/>
    <w:rsid w:val="00340C8E"/>
    <w:rsid w:val="00343805"/>
    <w:rsid w:val="00347051"/>
    <w:rsid w:val="00350002"/>
    <w:rsid w:val="00351067"/>
    <w:rsid w:val="0035511C"/>
    <w:rsid w:val="00356AD0"/>
    <w:rsid w:val="00356FCF"/>
    <w:rsid w:val="00357790"/>
    <w:rsid w:val="00360C5E"/>
    <w:rsid w:val="00362D8A"/>
    <w:rsid w:val="00363E7D"/>
    <w:rsid w:val="00374DF3"/>
    <w:rsid w:val="00376FC1"/>
    <w:rsid w:val="003777EA"/>
    <w:rsid w:val="003805D2"/>
    <w:rsid w:val="00381F8D"/>
    <w:rsid w:val="00384560"/>
    <w:rsid w:val="00386B8A"/>
    <w:rsid w:val="0039137B"/>
    <w:rsid w:val="003918B7"/>
    <w:rsid w:val="00395746"/>
    <w:rsid w:val="003970BE"/>
    <w:rsid w:val="003A068D"/>
    <w:rsid w:val="003A0AB9"/>
    <w:rsid w:val="003A0E30"/>
    <w:rsid w:val="003A3AF4"/>
    <w:rsid w:val="003A453B"/>
    <w:rsid w:val="003A4F00"/>
    <w:rsid w:val="003B0030"/>
    <w:rsid w:val="003B0AAC"/>
    <w:rsid w:val="003B14B3"/>
    <w:rsid w:val="003B4278"/>
    <w:rsid w:val="003C0446"/>
    <w:rsid w:val="003C08A4"/>
    <w:rsid w:val="003C3C2F"/>
    <w:rsid w:val="003C531B"/>
    <w:rsid w:val="003C53F4"/>
    <w:rsid w:val="003C64D3"/>
    <w:rsid w:val="003C64E0"/>
    <w:rsid w:val="003D182A"/>
    <w:rsid w:val="003D308B"/>
    <w:rsid w:val="003D4E74"/>
    <w:rsid w:val="003D5EC2"/>
    <w:rsid w:val="003D6624"/>
    <w:rsid w:val="003E494A"/>
    <w:rsid w:val="003E61DA"/>
    <w:rsid w:val="003E71C0"/>
    <w:rsid w:val="003F0640"/>
    <w:rsid w:val="003F7517"/>
    <w:rsid w:val="00402721"/>
    <w:rsid w:val="004078AA"/>
    <w:rsid w:val="00415563"/>
    <w:rsid w:val="00420840"/>
    <w:rsid w:val="004210C5"/>
    <w:rsid w:val="00421380"/>
    <w:rsid w:val="00423EB8"/>
    <w:rsid w:val="00424539"/>
    <w:rsid w:val="004249B4"/>
    <w:rsid w:val="0042561E"/>
    <w:rsid w:val="0042581D"/>
    <w:rsid w:val="00426736"/>
    <w:rsid w:val="00431689"/>
    <w:rsid w:val="00435054"/>
    <w:rsid w:val="004421F2"/>
    <w:rsid w:val="004428CC"/>
    <w:rsid w:val="00442B47"/>
    <w:rsid w:val="00442BDF"/>
    <w:rsid w:val="004434A5"/>
    <w:rsid w:val="00445382"/>
    <w:rsid w:val="004478AE"/>
    <w:rsid w:val="00450385"/>
    <w:rsid w:val="00452907"/>
    <w:rsid w:val="004537D4"/>
    <w:rsid w:val="00455DB0"/>
    <w:rsid w:val="004564D7"/>
    <w:rsid w:val="00456A59"/>
    <w:rsid w:val="004617EA"/>
    <w:rsid w:val="00462308"/>
    <w:rsid w:val="00467669"/>
    <w:rsid w:val="004706C2"/>
    <w:rsid w:val="00470D03"/>
    <w:rsid w:val="004710FD"/>
    <w:rsid w:val="004720CF"/>
    <w:rsid w:val="00473037"/>
    <w:rsid w:val="00473371"/>
    <w:rsid w:val="00473E76"/>
    <w:rsid w:val="004748CE"/>
    <w:rsid w:val="00474B5D"/>
    <w:rsid w:val="00475982"/>
    <w:rsid w:val="0048244D"/>
    <w:rsid w:val="00483327"/>
    <w:rsid w:val="00484351"/>
    <w:rsid w:val="00484DB6"/>
    <w:rsid w:val="00485076"/>
    <w:rsid w:val="004857AE"/>
    <w:rsid w:val="004869E4"/>
    <w:rsid w:val="00487558"/>
    <w:rsid w:val="004876EE"/>
    <w:rsid w:val="00487742"/>
    <w:rsid w:val="00493FE5"/>
    <w:rsid w:val="00494BDC"/>
    <w:rsid w:val="00494E6E"/>
    <w:rsid w:val="00495C1F"/>
    <w:rsid w:val="0049738C"/>
    <w:rsid w:val="004A1160"/>
    <w:rsid w:val="004A167E"/>
    <w:rsid w:val="004A21B2"/>
    <w:rsid w:val="004A2F7B"/>
    <w:rsid w:val="004A31CD"/>
    <w:rsid w:val="004A383B"/>
    <w:rsid w:val="004A3FA5"/>
    <w:rsid w:val="004B0E70"/>
    <w:rsid w:val="004B2115"/>
    <w:rsid w:val="004B2494"/>
    <w:rsid w:val="004B3A59"/>
    <w:rsid w:val="004B3A79"/>
    <w:rsid w:val="004B451F"/>
    <w:rsid w:val="004B52C3"/>
    <w:rsid w:val="004B7A5A"/>
    <w:rsid w:val="004C1201"/>
    <w:rsid w:val="004C19AB"/>
    <w:rsid w:val="004C1B7A"/>
    <w:rsid w:val="004C3C2F"/>
    <w:rsid w:val="004C3FBA"/>
    <w:rsid w:val="004C43FE"/>
    <w:rsid w:val="004C4B32"/>
    <w:rsid w:val="004C4EEF"/>
    <w:rsid w:val="004C520C"/>
    <w:rsid w:val="004C613C"/>
    <w:rsid w:val="004C7D80"/>
    <w:rsid w:val="004C7FB7"/>
    <w:rsid w:val="004D0AE8"/>
    <w:rsid w:val="004D0C3A"/>
    <w:rsid w:val="004D2C56"/>
    <w:rsid w:val="004D3E6C"/>
    <w:rsid w:val="004D4BD0"/>
    <w:rsid w:val="004D5EFD"/>
    <w:rsid w:val="004D6A36"/>
    <w:rsid w:val="004E084F"/>
    <w:rsid w:val="004E3F85"/>
    <w:rsid w:val="004E4612"/>
    <w:rsid w:val="004E4981"/>
    <w:rsid w:val="004E4DAC"/>
    <w:rsid w:val="004E6927"/>
    <w:rsid w:val="004F08F8"/>
    <w:rsid w:val="004F3440"/>
    <w:rsid w:val="004F3763"/>
    <w:rsid w:val="004F4C0D"/>
    <w:rsid w:val="004F4C95"/>
    <w:rsid w:val="004F5B95"/>
    <w:rsid w:val="0050552A"/>
    <w:rsid w:val="005064A1"/>
    <w:rsid w:val="0050796D"/>
    <w:rsid w:val="005117E4"/>
    <w:rsid w:val="00514048"/>
    <w:rsid w:val="0052640E"/>
    <w:rsid w:val="0052734A"/>
    <w:rsid w:val="00527A94"/>
    <w:rsid w:val="00531046"/>
    <w:rsid w:val="00531850"/>
    <w:rsid w:val="00532251"/>
    <w:rsid w:val="00532604"/>
    <w:rsid w:val="00533FD9"/>
    <w:rsid w:val="00535F75"/>
    <w:rsid w:val="00536B0A"/>
    <w:rsid w:val="0053746A"/>
    <w:rsid w:val="00540CE0"/>
    <w:rsid w:val="00540F8F"/>
    <w:rsid w:val="00541132"/>
    <w:rsid w:val="0054153B"/>
    <w:rsid w:val="00547D6F"/>
    <w:rsid w:val="00550A1C"/>
    <w:rsid w:val="0055204F"/>
    <w:rsid w:val="00555355"/>
    <w:rsid w:val="00556A21"/>
    <w:rsid w:val="00560C34"/>
    <w:rsid w:val="00560CD8"/>
    <w:rsid w:val="00565115"/>
    <w:rsid w:val="0057752B"/>
    <w:rsid w:val="00580239"/>
    <w:rsid w:val="00581D67"/>
    <w:rsid w:val="00582BAA"/>
    <w:rsid w:val="00585D0A"/>
    <w:rsid w:val="00585DBC"/>
    <w:rsid w:val="00585E7B"/>
    <w:rsid w:val="00586D19"/>
    <w:rsid w:val="005907BE"/>
    <w:rsid w:val="00590CD7"/>
    <w:rsid w:val="00591D6A"/>
    <w:rsid w:val="00591FC8"/>
    <w:rsid w:val="005922B4"/>
    <w:rsid w:val="00595CDD"/>
    <w:rsid w:val="005A14BF"/>
    <w:rsid w:val="005A1630"/>
    <w:rsid w:val="005A201A"/>
    <w:rsid w:val="005A288E"/>
    <w:rsid w:val="005A4675"/>
    <w:rsid w:val="005A62B7"/>
    <w:rsid w:val="005A69A9"/>
    <w:rsid w:val="005B0326"/>
    <w:rsid w:val="005B2F80"/>
    <w:rsid w:val="005B3E93"/>
    <w:rsid w:val="005B552B"/>
    <w:rsid w:val="005B5731"/>
    <w:rsid w:val="005B592E"/>
    <w:rsid w:val="005B7890"/>
    <w:rsid w:val="005B7D48"/>
    <w:rsid w:val="005C5A91"/>
    <w:rsid w:val="005C769A"/>
    <w:rsid w:val="005D12F6"/>
    <w:rsid w:val="005D1407"/>
    <w:rsid w:val="005D29A5"/>
    <w:rsid w:val="005D430F"/>
    <w:rsid w:val="005D58EE"/>
    <w:rsid w:val="005D6FE2"/>
    <w:rsid w:val="005E0AC0"/>
    <w:rsid w:val="005E0FF8"/>
    <w:rsid w:val="005E12BF"/>
    <w:rsid w:val="005E18AD"/>
    <w:rsid w:val="005E1BF9"/>
    <w:rsid w:val="005E2C6A"/>
    <w:rsid w:val="005E3B9D"/>
    <w:rsid w:val="005F6FA6"/>
    <w:rsid w:val="005F7A38"/>
    <w:rsid w:val="0060483B"/>
    <w:rsid w:val="00615AA5"/>
    <w:rsid w:val="006225CF"/>
    <w:rsid w:val="006333A4"/>
    <w:rsid w:val="00633D23"/>
    <w:rsid w:val="00637A31"/>
    <w:rsid w:val="00641DCD"/>
    <w:rsid w:val="00643CF0"/>
    <w:rsid w:val="00644464"/>
    <w:rsid w:val="00644B26"/>
    <w:rsid w:val="00650041"/>
    <w:rsid w:val="00650062"/>
    <w:rsid w:val="00652A91"/>
    <w:rsid w:val="00654D52"/>
    <w:rsid w:val="00655622"/>
    <w:rsid w:val="006603BE"/>
    <w:rsid w:val="00661C9D"/>
    <w:rsid w:val="0066261B"/>
    <w:rsid w:val="006661C0"/>
    <w:rsid w:val="006704E8"/>
    <w:rsid w:val="006722D2"/>
    <w:rsid w:val="00674058"/>
    <w:rsid w:val="00675628"/>
    <w:rsid w:val="00676A1C"/>
    <w:rsid w:val="00682C45"/>
    <w:rsid w:val="00682EC3"/>
    <w:rsid w:val="006841EE"/>
    <w:rsid w:val="00685A56"/>
    <w:rsid w:val="00686499"/>
    <w:rsid w:val="00687A6D"/>
    <w:rsid w:val="006901EF"/>
    <w:rsid w:val="00691245"/>
    <w:rsid w:val="006920F7"/>
    <w:rsid w:val="0069414B"/>
    <w:rsid w:val="00694696"/>
    <w:rsid w:val="00695E2F"/>
    <w:rsid w:val="006962D2"/>
    <w:rsid w:val="0069696F"/>
    <w:rsid w:val="006A016E"/>
    <w:rsid w:val="006A0846"/>
    <w:rsid w:val="006A1D50"/>
    <w:rsid w:val="006A2923"/>
    <w:rsid w:val="006A337D"/>
    <w:rsid w:val="006A37E3"/>
    <w:rsid w:val="006A3973"/>
    <w:rsid w:val="006A6F3A"/>
    <w:rsid w:val="006B012D"/>
    <w:rsid w:val="006B2EE6"/>
    <w:rsid w:val="006B4175"/>
    <w:rsid w:val="006B63A8"/>
    <w:rsid w:val="006B794B"/>
    <w:rsid w:val="006C0B27"/>
    <w:rsid w:val="006C1AE4"/>
    <w:rsid w:val="006C2136"/>
    <w:rsid w:val="006C3007"/>
    <w:rsid w:val="006C46AA"/>
    <w:rsid w:val="006C6ECC"/>
    <w:rsid w:val="006C6F1F"/>
    <w:rsid w:val="006C752F"/>
    <w:rsid w:val="006D2B1E"/>
    <w:rsid w:val="006D2F82"/>
    <w:rsid w:val="006D4733"/>
    <w:rsid w:val="006D5246"/>
    <w:rsid w:val="006D6D73"/>
    <w:rsid w:val="006D7426"/>
    <w:rsid w:val="006E2A7B"/>
    <w:rsid w:val="006E3238"/>
    <w:rsid w:val="006E4B83"/>
    <w:rsid w:val="006E4C85"/>
    <w:rsid w:val="006F1D22"/>
    <w:rsid w:val="006F1DBA"/>
    <w:rsid w:val="006F5BA4"/>
    <w:rsid w:val="006F6BDC"/>
    <w:rsid w:val="006F7FCE"/>
    <w:rsid w:val="00700B07"/>
    <w:rsid w:val="0070135E"/>
    <w:rsid w:val="00702245"/>
    <w:rsid w:val="00702975"/>
    <w:rsid w:val="00706FAB"/>
    <w:rsid w:val="0070703D"/>
    <w:rsid w:val="00711398"/>
    <w:rsid w:val="007113A9"/>
    <w:rsid w:val="0071193D"/>
    <w:rsid w:val="00714298"/>
    <w:rsid w:val="0071434D"/>
    <w:rsid w:val="0071464D"/>
    <w:rsid w:val="007156F1"/>
    <w:rsid w:val="00715CDD"/>
    <w:rsid w:val="007207F3"/>
    <w:rsid w:val="00720E9A"/>
    <w:rsid w:val="00724814"/>
    <w:rsid w:val="00726740"/>
    <w:rsid w:val="00727A97"/>
    <w:rsid w:val="00727D7D"/>
    <w:rsid w:val="00731B21"/>
    <w:rsid w:val="0073491B"/>
    <w:rsid w:val="0073585A"/>
    <w:rsid w:val="00735EB8"/>
    <w:rsid w:val="00737A5A"/>
    <w:rsid w:val="00745C05"/>
    <w:rsid w:val="00746A2E"/>
    <w:rsid w:val="00752128"/>
    <w:rsid w:val="00753456"/>
    <w:rsid w:val="007548CD"/>
    <w:rsid w:val="007619BA"/>
    <w:rsid w:val="00762226"/>
    <w:rsid w:val="00763788"/>
    <w:rsid w:val="00763E4B"/>
    <w:rsid w:val="00765476"/>
    <w:rsid w:val="00765BCC"/>
    <w:rsid w:val="00771C06"/>
    <w:rsid w:val="00775EDE"/>
    <w:rsid w:val="007760DE"/>
    <w:rsid w:val="007826AA"/>
    <w:rsid w:val="00786DDF"/>
    <w:rsid w:val="0078704A"/>
    <w:rsid w:val="00787D25"/>
    <w:rsid w:val="00791B9A"/>
    <w:rsid w:val="0079324F"/>
    <w:rsid w:val="00794002"/>
    <w:rsid w:val="00794A2B"/>
    <w:rsid w:val="00797A96"/>
    <w:rsid w:val="007A1860"/>
    <w:rsid w:val="007A3E89"/>
    <w:rsid w:val="007A4DEC"/>
    <w:rsid w:val="007B116F"/>
    <w:rsid w:val="007B3205"/>
    <w:rsid w:val="007B3237"/>
    <w:rsid w:val="007B5A16"/>
    <w:rsid w:val="007C00FA"/>
    <w:rsid w:val="007C0A5D"/>
    <w:rsid w:val="007C10BC"/>
    <w:rsid w:val="007C3A0D"/>
    <w:rsid w:val="007C3FE6"/>
    <w:rsid w:val="007C6EC6"/>
    <w:rsid w:val="007D03A1"/>
    <w:rsid w:val="007D1888"/>
    <w:rsid w:val="007D259B"/>
    <w:rsid w:val="007D3627"/>
    <w:rsid w:val="007D396A"/>
    <w:rsid w:val="007D7037"/>
    <w:rsid w:val="007D72C0"/>
    <w:rsid w:val="007D7BED"/>
    <w:rsid w:val="007E059C"/>
    <w:rsid w:val="007E05E0"/>
    <w:rsid w:val="007E180D"/>
    <w:rsid w:val="007E1F04"/>
    <w:rsid w:val="007E2918"/>
    <w:rsid w:val="007E4510"/>
    <w:rsid w:val="007E6104"/>
    <w:rsid w:val="007E62C1"/>
    <w:rsid w:val="007E6BEA"/>
    <w:rsid w:val="007F0085"/>
    <w:rsid w:val="007F3457"/>
    <w:rsid w:val="007F4BF4"/>
    <w:rsid w:val="007F5638"/>
    <w:rsid w:val="007F5F25"/>
    <w:rsid w:val="00800DFF"/>
    <w:rsid w:val="00802A5A"/>
    <w:rsid w:val="0081076A"/>
    <w:rsid w:val="00812835"/>
    <w:rsid w:val="00813877"/>
    <w:rsid w:val="00814B33"/>
    <w:rsid w:val="008160A7"/>
    <w:rsid w:val="00816159"/>
    <w:rsid w:val="00816620"/>
    <w:rsid w:val="0081697B"/>
    <w:rsid w:val="0081782B"/>
    <w:rsid w:val="00821327"/>
    <w:rsid w:val="00821A94"/>
    <w:rsid w:val="00822B0B"/>
    <w:rsid w:val="00823012"/>
    <w:rsid w:val="008239EF"/>
    <w:rsid w:val="0082652B"/>
    <w:rsid w:val="00826534"/>
    <w:rsid w:val="00830578"/>
    <w:rsid w:val="00831980"/>
    <w:rsid w:val="00833F7F"/>
    <w:rsid w:val="00836158"/>
    <w:rsid w:val="008421E0"/>
    <w:rsid w:val="00844712"/>
    <w:rsid w:val="00846350"/>
    <w:rsid w:val="00846E73"/>
    <w:rsid w:val="00847203"/>
    <w:rsid w:val="00847516"/>
    <w:rsid w:val="00847620"/>
    <w:rsid w:val="00850059"/>
    <w:rsid w:val="00850F9E"/>
    <w:rsid w:val="008519E9"/>
    <w:rsid w:val="008531B3"/>
    <w:rsid w:val="008544A7"/>
    <w:rsid w:val="008545AC"/>
    <w:rsid w:val="00857E5B"/>
    <w:rsid w:val="00860114"/>
    <w:rsid w:val="00860164"/>
    <w:rsid w:val="008612C1"/>
    <w:rsid w:val="0086245E"/>
    <w:rsid w:val="0086359C"/>
    <w:rsid w:val="00864771"/>
    <w:rsid w:val="008655C2"/>
    <w:rsid w:val="00865740"/>
    <w:rsid w:val="00867419"/>
    <w:rsid w:val="008707E7"/>
    <w:rsid w:val="00882232"/>
    <w:rsid w:val="00884BEF"/>
    <w:rsid w:val="00884DD9"/>
    <w:rsid w:val="00890733"/>
    <w:rsid w:val="00891BA0"/>
    <w:rsid w:val="00892643"/>
    <w:rsid w:val="008938B7"/>
    <w:rsid w:val="008944F0"/>
    <w:rsid w:val="008964CD"/>
    <w:rsid w:val="008A0563"/>
    <w:rsid w:val="008A367D"/>
    <w:rsid w:val="008A3903"/>
    <w:rsid w:val="008A3DC6"/>
    <w:rsid w:val="008A4318"/>
    <w:rsid w:val="008A4F02"/>
    <w:rsid w:val="008A6FA9"/>
    <w:rsid w:val="008B0D98"/>
    <w:rsid w:val="008B12CE"/>
    <w:rsid w:val="008B2732"/>
    <w:rsid w:val="008B459C"/>
    <w:rsid w:val="008B4FC8"/>
    <w:rsid w:val="008B69F9"/>
    <w:rsid w:val="008B7AB5"/>
    <w:rsid w:val="008B7AB8"/>
    <w:rsid w:val="008C131A"/>
    <w:rsid w:val="008C25C2"/>
    <w:rsid w:val="008C2D30"/>
    <w:rsid w:val="008C3D09"/>
    <w:rsid w:val="008C7A94"/>
    <w:rsid w:val="008D249D"/>
    <w:rsid w:val="008D3186"/>
    <w:rsid w:val="008D46A8"/>
    <w:rsid w:val="008E0408"/>
    <w:rsid w:val="008E2C5B"/>
    <w:rsid w:val="008E3746"/>
    <w:rsid w:val="008E3EE0"/>
    <w:rsid w:val="008E522D"/>
    <w:rsid w:val="008E536B"/>
    <w:rsid w:val="008E72AB"/>
    <w:rsid w:val="008E7C3E"/>
    <w:rsid w:val="008F1C90"/>
    <w:rsid w:val="008F47C0"/>
    <w:rsid w:val="008F5F3E"/>
    <w:rsid w:val="008F68AE"/>
    <w:rsid w:val="008F7171"/>
    <w:rsid w:val="008F72AA"/>
    <w:rsid w:val="00900812"/>
    <w:rsid w:val="00903AEB"/>
    <w:rsid w:val="00904B27"/>
    <w:rsid w:val="00905B45"/>
    <w:rsid w:val="00910130"/>
    <w:rsid w:val="0091259D"/>
    <w:rsid w:val="0091399D"/>
    <w:rsid w:val="00914524"/>
    <w:rsid w:val="0091507A"/>
    <w:rsid w:val="00915BD2"/>
    <w:rsid w:val="009162A9"/>
    <w:rsid w:val="0091681A"/>
    <w:rsid w:val="00916829"/>
    <w:rsid w:val="00920841"/>
    <w:rsid w:val="00922342"/>
    <w:rsid w:val="0092482A"/>
    <w:rsid w:val="00925598"/>
    <w:rsid w:val="00925E70"/>
    <w:rsid w:val="00926C85"/>
    <w:rsid w:val="009307E2"/>
    <w:rsid w:val="00930885"/>
    <w:rsid w:val="00932928"/>
    <w:rsid w:val="00932AF4"/>
    <w:rsid w:val="009332ED"/>
    <w:rsid w:val="00934177"/>
    <w:rsid w:val="00936B50"/>
    <w:rsid w:val="009370D5"/>
    <w:rsid w:val="00937224"/>
    <w:rsid w:val="00937C74"/>
    <w:rsid w:val="00940623"/>
    <w:rsid w:val="00941AE5"/>
    <w:rsid w:val="009423CA"/>
    <w:rsid w:val="0094263A"/>
    <w:rsid w:val="00942E03"/>
    <w:rsid w:val="00943CDD"/>
    <w:rsid w:val="00946BAC"/>
    <w:rsid w:val="0095074E"/>
    <w:rsid w:val="00952AD6"/>
    <w:rsid w:val="00952BA5"/>
    <w:rsid w:val="00954E0E"/>
    <w:rsid w:val="0095645D"/>
    <w:rsid w:val="00961A68"/>
    <w:rsid w:val="00961FAB"/>
    <w:rsid w:val="00962BB2"/>
    <w:rsid w:val="00962D5E"/>
    <w:rsid w:val="009663CB"/>
    <w:rsid w:val="00966650"/>
    <w:rsid w:val="00967D93"/>
    <w:rsid w:val="0097100E"/>
    <w:rsid w:val="00972C35"/>
    <w:rsid w:val="00974805"/>
    <w:rsid w:val="00975398"/>
    <w:rsid w:val="009776F0"/>
    <w:rsid w:val="00977940"/>
    <w:rsid w:val="00980972"/>
    <w:rsid w:val="00981783"/>
    <w:rsid w:val="00983703"/>
    <w:rsid w:val="00986606"/>
    <w:rsid w:val="00990A2D"/>
    <w:rsid w:val="009918CD"/>
    <w:rsid w:val="00991F14"/>
    <w:rsid w:val="00991FB6"/>
    <w:rsid w:val="009928A1"/>
    <w:rsid w:val="00992C30"/>
    <w:rsid w:val="00992D05"/>
    <w:rsid w:val="00993463"/>
    <w:rsid w:val="009939DB"/>
    <w:rsid w:val="00993B65"/>
    <w:rsid w:val="009942A6"/>
    <w:rsid w:val="009A4966"/>
    <w:rsid w:val="009A4A07"/>
    <w:rsid w:val="009A5E1A"/>
    <w:rsid w:val="009A65E9"/>
    <w:rsid w:val="009A7FAC"/>
    <w:rsid w:val="009B04E7"/>
    <w:rsid w:val="009B370F"/>
    <w:rsid w:val="009B3AFA"/>
    <w:rsid w:val="009B4C36"/>
    <w:rsid w:val="009B5347"/>
    <w:rsid w:val="009B78FC"/>
    <w:rsid w:val="009B7B8F"/>
    <w:rsid w:val="009C1F28"/>
    <w:rsid w:val="009C36C3"/>
    <w:rsid w:val="009D0CF9"/>
    <w:rsid w:val="009D0FC3"/>
    <w:rsid w:val="009D173F"/>
    <w:rsid w:val="009D40C4"/>
    <w:rsid w:val="009D413B"/>
    <w:rsid w:val="009D42E9"/>
    <w:rsid w:val="009D4D7F"/>
    <w:rsid w:val="009D7700"/>
    <w:rsid w:val="009D7C76"/>
    <w:rsid w:val="009E022D"/>
    <w:rsid w:val="009E3F16"/>
    <w:rsid w:val="009E4ACB"/>
    <w:rsid w:val="009E4C0B"/>
    <w:rsid w:val="009E6A82"/>
    <w:rsid w:val="009F09D0"/>
    <w:rsid w:val="009F58A4"/>
    <w:rsid w:val="009F7935"/>
    <w:rsid w:val="009F7C91"/>
    <w:rsid w:val="00A009BE"/>
    <w:rsid w:val="00A0126B"/>
    <w:rsid w:val="00A01685"/>
    <w:rsid w:val="00A02091"/>
    <w:rsid w:val="00A02612"/>
    <w:rsid w:val="00A04200"/>
    <w:rsid w:val="00A04CB3"/>
    <w:rsid w:val="00A07A5C"/>
    <w:rsid w:val="00A1132B"/>
    <w:rsid w:val="00A1566C"/>
    <w:rsid w:val="00A172F8"/>
    <w:rsid w:val="00A20176"/>
    <w:rsid w:val="00A21588"/>
    <w:rsid w:val="00A2271D"/>
    <w:rsid w:val="00A23981"/>
    <w:rsid w:val="00A23F8C"/>
    <w:rsid w:val="00A257D9"/>
    <w:rsid w:val="00A26883"/>
    <w:rsid w:val="00A32B3D"/>
    <w:rsid w:val="00A33C47"/>
    <w:rsid w:val="00A34518"/>
    <w:rsid w:val="00A35086"/>
    <w:rsid w:val="00A3757C"/>
    <w:rsid w:val="00A402D7"/>
    <w:rsid w:val="00A433A3"/>
    <w:rsid w:val="00A43443"/>
    <w:rsid w:val="00A460A1"/>
    <w:rsid w:val="00A4633D"/>
    <w:rsid w:val="00A47BDF"/>
    <w:rsid w:val="00A51A5F"/>
    <w:rsid w:val="00A54F3E"/>
    <w:rsid w:val="00A550A8"/>
    <w:rsid w:val="00A55B15"/>
    <w:rsid w:val="00A55F12"/>
    <w:rsid w:val="00A6013E"/>
    <w:rsid w:val="00A603AC"/>
    <w:rsid w:val="00A62D6A"/>
    <w:rsid w:val="00A655F7"/>
    <w:rsid w:val="00A65D42"/>
    <w:rsid w:val="00A70F6A"/>
    <w:rsid w:val="00A72576"/>
    <w:rsid w:val="00A74324"/>
    <w:rsid w:val="00A74C1C"/>
    <w:rsid w:val="00A76FBF"/>
    <w:rsid w:val="00A77092"/>
    <w:rsid w:val="00A81295"/>
    <w:rsid w:val="00A81CE3"/>
    <w:rsid w:val="00A82095"/>
    <w:rsid w:val="00A84ECC"/>
    <w:rsid w:val="00A855AD"/>
    <w:rsid w:val="00A864B0"/>
    <w:rsid w:val="00A87A33"/>
    <w:rsid w:val="00A90FF4"/>
    <w:rsid w:val="00A93CD2"/>
    <w:rsid w:val="00A93FC3"/>
    <w:rsid w:val="00A95D49"/>
    <w:rsid w:val="00A978AC"/>
    <w:rsid w:val="00A97D23"/>
    <w:rsid w:val="00A97E3C"/>
    <w:rsid w:val="00AA0BF9"/>
    <w:rsid w:val="00AA1166"/>
    <w:rsid w:val="00AA43E4"/>
    <w:rsid w:val="00AA5C3E"/>
    <w:rsid w:val="00AA7352"/>
    <w:rsid w:val="00AA7D45"/>
    <w:rsid w:val="00AB1713"/>
    <w:rsid w:val="00AB2BA1"/>
    <w:rsid w:val="00AB4B14"/>
    <w:rsid w:val="00AB4DE3"/>
    <w:rsid w:val="00AC0A66"/>
    <w:rsid w:val="00AC0ED6"/>
    <w:rsid w:val="00AC466A"/>
    <w:rsid w:val="00AC5430"/>
    <w:rsid w:val="00AC5C15"/>
    <w:rsid w:val="00AD0528"/>
    <w:rsid w:val="00AD0FC3"/>
    <w:rsid w:val="00AD23EB"/>
    <w:rsid w:val="00AD2CA6"/>
    <w:rsid w:val="00AD3B25"/>
    <w:rsid w:val="00AD4BFC"/>
    <w:rsid w:val="00AD726A"/>
    <w:rsid w:val="00AD73E4"/>
    <w:rsid w:val="00AD7D22"/>
    <w:rsid w:val="00AE0F64"/>
    <w:rsid w:val="00AE15DB"/>
    <w:rsid w:val="00AE1E4C"/>
    <w:rsid w:val="00AE3564"/>
    <w:rsid w:val="00AE3B00"/>
    <w:rsid w:val="00AE58EE"/>
    <w:rsid w:val="00AE6DE6"/>
    <w:rsid w:val="00AE7557"/>
    <w:rsid w:val="00AF13B8"/>
    <w:rsid w:val="00AF3DF2"/>
    <w:rsid w:val="00AF4DCA"/>
    <w:rsid w:val="00AF70F4"/>
    <w:rsid w:val="00AF7138"/>
    <w:rsid w:val="00B000F6"/>
    <w:rsid w:val="00B00914"/>
    <w:rsid w:val="00B01B77"/>
    <w:rsid w:val="00B04792"/>
    <w:rsid w:val="00B05BE1"/>
    <w:rsid w:val="00B11F4F"/>
    <w:rsid w:val="00B12527"/>
    <w:rsid w:val="00B15E5E"/>
    <w:rsid w:val="00B166BF"/>
    <w:rsid w:val="00B23319"/>
    <w:rsid w:val="00B243EA"/>
    <w:rsid w:val="00B2552C"/>
    <w:rsid w:val="00B3022E"/>
    <w:rsid w:val="00B30804"/>
    <w:rsid w:val="00B31128"/>
    <w:rsid w:val="00B31AC1"/>
    <w:rsid w:val="00B3348B"/>
    <w:rsid w:val="00B365D7"/>
    <w:rsid w:val="00B37B5D"/>
    <w:rsid w:val="00B37E20"/>
    <w:rsid w:val="00B41BAF"/>
    <w:rsid w:val="00B44A5B"/>
    <w:rsid w:val="00B44DED"/>
    <w:rsid w:val="00B5093D"/>
    <w:rsid w:val="00B515BF"/>
    <w:rsid w:val="00B517AE"/>
    <w:rsid w:val="00B52224"/>
    <w:rsid w:val="00B5488C"/>
    <w:rsid w:val="00B57C35"/>
    <w:rsid w:val="00B61899"/>
    <w:rsid w:val="00B622B1"/>
    <w:rsid w:val="00B62558"/>
    <w:rsid w:val="00B63B95"/>
    <w:rsid w:val="00B67554"/>
    <w:rsid w:val="00B675FC"/>
    <w:rsid w:val="00B7313C"/>
    <w:rsid w:val="00B74B48"/>
    <w:rsid w:val="00B80181"/>
    <w:rsid w:val="00B80436"/>
    <w:rsid w:val="00B80600"/>
    <w:rsid w:val="00B80BC4"/>
    <w:rsid w:val="00B815F3"/>
    <w:rsid w:val="00B822C7"/>
    <w:rsid w:val="00B8390E"/>
    <w:rsid w:val="00B84170"/>
    <w:rsid w:val="00B84211"/>
    <w:rsid w:val="00B84846"/>
    <w:rsid w:val="00B851B3"/>
    <w:rsid w:val="00B861FC"/>
    <w:rsid w:val="00B90C12"/>
    <w:rsid w:val="00B90D94"/>
    <w:rsid w:val="00B91090"/>
    <w:rsid w:val="00B937D9"/>
    <w:rsid w:val="00B93BAE"/>
    <w:rsid w:val="00B94BCF"/>
    <w:rsid w:val="00B952A1"/>
    <w:rsid w:val="00B95D94"/>
    <w:rsid w:val="00B97D21"/>
    <w:rsid w:val="00BA0115"/>
    <w:rsid w:val="00BA2700"/>
    <w:rsid w:val="00BA52C9"/>
    <w:rsid w:val="00BB1B71"/>
    <w:rsid w:val="00BB26A9"/>
    <w:rsid w:val="00BB2AC4"/>
    <w:rsid w:val="00BB51DD"/>
    <w:rsid w:val="00BB6E97"/>
    <w:rsid w:val="00BB78BA"/>
    <w:rsid w:val="00BC221E"/>
    <w:rsid w:val="00BC232B"/>
    <w:rsid w:val="00BC2797"/>
    <w:rsid w:val="00BC3EE3"/>
    <w:rsid w:val="00BC43C4"/>
    <w:rsid w:val="00BC6CE8"/>
    <w:rsid w:val="00BC7BB9"/>
    <w:rsid w:val="00BC7E94"/>
    <w:rsid w:val="00BD1290"/>
    <w:rsid w:val="00BD18E4"/>
    <w:rsid w:val="00BD1E78"/>
    <w:rsid w:val="00BD52DD"/>
    <w:rsid w:val="00BD5D60"/>
    <w:rsid w:val="00BD5D9B"/>
    <w:rsid w:val="00BD6299"/>
    <w:rsid w:val="00BE1582"/>
    <w:rsid w:val="00BE2AA0"/>
    <w:rsid w:val="00BE31DE"/>
    <w:rsid w:val="00BE3F32"/>
    <w:rsid w:val="00BE6531"/>
    <w:rsid w:val="00BE762A"/>
    <w:rsid w:val="00BE7BEE"/>
    <w:rsid w:val="00BE7FBA"/>
    <w:rsid w:val="00BF3D88"/>
    <w:rsid w:val="00BF4134"/>
    <w:rsid w:val="00BF5A48"/>
    <w:rsid w:val="00BF609A"/>
    <w:rsid w:val="00BF7239"/>
    <w:rsid w:val="00BF76F7"/>
    <w:rsid w:val="00BF7BCB"/>
    <w:rsid w:val="00C0009C"/>
    <w:rsid w:val="00C01BC9"/>
    <w:rsid w:val="00C0546D"/>
    <w:rsid w:val="00C05A30"/>
    <w:rsid w:val="00C05CBC"/>
    <w:rsid w:val="00C06015"/>
    <w:rsid w:val="00C115D2"/>
    <w:rsid w:val="00C125F7"/>
    <w:rsid w:val="00C13665"/>
    <w:rsid w:val="00C13E2B"/>
    <w:rsid w:val="00C14659"/>
    <w:rsid w:val="00C14D67"/>
    <w:rsid w:val="00C21339"/>
    <w:rsid w:val="00C23144"/>
    <w:rsid w:val="00C23152"/>
    <w:rsid w:val="00C2366A"/>
    <w:rsid w:val="00C23DDB"/>
    <w:rsid w:val="00C23F9D"/>
    <w:rsid w:val="00C25CE5"/>
    <w:rsid w:val="00C26E3A"/>
    <w:rsid w:val="00C27FA0"/>
    <w:rsid w:val="00C32A84"/>
    <w:rsid w:val="00C33133"/>
    <w:rsid w:val="00C34460"/>
    <w:rsid w:val="00C355F9"/>
    <w:rsid w:val="00C3563D"/>
    <w:rsid w:val="00C40814"/>
    <w:rsid w:val="00C45B91"/>
    <w:rsid w:val="00C46051"/>
    <w:rsid w:val="00C46B87"/>
    <w:rsid w:val="00C477F4"/>
    <w:rsid w:val="00C47DEE"/>
    <w:rsid w:val="00C50195"/>
    <w:rsid w:val="00C51FE2"/>
    <w:rsid w:val="00C5211C"/>
    <w:rsid w:val="00C52307"/>
    <w:rsid w:val="00C532DF"/>
    <w:rsid w:val="00C55882"/>
    <w:rsid w:val="00C5597B"/>
    <w:rsid w:val="00C55EA8"/>
    <w:rsid w:val="00C56A07"/>
    <w:rsid w:val="00C577C1"/>
    <w:rsid w:val="00C578B0"/>
    <w:rsid w:val="00C57D4E"/>
    <w:rsid w:val="00C627C5"/>
    <w:rsid w:val="00C63652"/>
    <w:rsid w:val="00C639D7"/>
    <w:rsid w:val="00C63D35"/>
    <w:rsid w:val="00C66157"/>
    <w:rsid w:val="00C66239"/>
    <w:rsid w:val="00C6631A"/>
    <w:rsid w:val="00C67DB0"/>
    <w:rsid w:val="00C71A4D"/>
    <w:rsid w:val="00C74BE7"/>
    <w:rsid w:val="00C74D42"/>
    <w:rsid w:val="00C75575"/>
    <w:rsid w:val="00C8418E"/>
    <w:rsid w:val="00C846E4"/>
    <w:rsid w:val="00C87956"/>
    <w:rsid w:val="00C87A29"/>
    <w:rsid w:val="00C87D9C"/>
    <w:rsid w:val="00C903D1"/>
    <w:rsid w:val="00C92E6F"/>
    <w:rsid w:val="00C92F74"/>
    <w:rsid w:val="00C9392E"/>
    <w:rsid w:val="00C957C4"/>
    <w:rsid w:val="00C9681A"/>
    <w:rsid w:val="00CA176C"/>
    <w:rsid w:val="00CA2349"/>
    <w:rsid w:val="00CA565D"/>
    <w:rsid w:val="00CA6562"/>
    <w:rsid w:val="00CA72C8"/>
    <w:rsid w:val="00CA7F25"/>
    <w:rsid w:val="00CB53E6"/>
    <w:rsid w:val="00CB5CCB"/>
    <w:rsid w:val="00CB7E91"/>
    <w:rsid w:val="00CC1834"/>
    <w:rsid w:val="00CC18C4"/>
    <w:rsid w:val="00CC22E0"/>
    <w:rsid w:val="00CC5225"/>
    <w:rsid w:val="00CC64BF"/>
    <w:rsid w:val="00CD02A4"/>
    <w:rsid w:val="00CD0C4B"/>
    <w:rsid w:val="00CD5FF8"/>
    <w:rsid w:val="00CD66BA"/>
    <w:rsid w:val="00CE41D8"/>
    <w:rsid w:val="00CE4F49"/>
    <w:rsid w:val="00CE5086"/>
    <w:rsid w:val="00CE7D0F"/>
    <w:rsid w:val="00CF015C"/>
    <w:rsid w:val="00CF0FEA"/>
    <w:rsid w:val="00CF1E71"/>
    <w:rsid w:val="00CF3582"/>
    <w:rsid w:val="00CF3A39"/>
    <w:rsid w:val="00CF5271"/>
    <w:rsid w:val="00CF595E"/>
    <w:rsid w:val="00CF7330"/>
    <w:rsid w:val="00D00206"/>
    <w:rsid w:val="00D00C63"/>
    <w:rsid w:val="00D03452"/>
    <w:rsid w:val="00D05863"/>
    <w:rsid w:val="00D07C6A"/>
    <w:rsid w:val="00D07F6E"/>
    <w:rsid w:val="00D103FA"/>
    <w:rsid w:val="00D106A1"/>
    <w:rsid w:val="00D13462"/>
    <w:rsid w:val="00D13AAB"/>
    <w:rsid w:val="00D14C42"/>
    <w:rsid w:val="00D21A18"/>
    <w:rsid w:val="00D226F4"/>
    <w:rsid w:val="00D30299"/>
    <w:rsid w:val="00D332FF"/>
    <w:rsid w:val="00D34C4A"/>
    <w:rsid w:val="00D3688C"/>
    <w:rsid w:val="00D36AA6"/>
    <w:rsid w:val="00D42405"/>
    <w:rsid w:val="00D42F75"/>
    <w:rsid w:val="00D433EF"/>
    <w:rsid w:val="00D5040D"/>
    <w:rsid w:val="00D50779"/>
    <w:rsid w:val="00D50E32"/>
    <w:rsid w:val="00D54711"/>
    <w:rsid w:val="00D54DA0"/>
    <w:rsid w:val="00D56A4E"/>
    <w:rsid w:val="00D57107"/>
    <w:rsid w:val="00D571CD"/>
    <w:rsid w:val="00D60630"/>
    <w:rsid w:val="00D62651"/>
    <w:rsid w:val="00D62A83"/>
    <w:rsid w:val="00D63057"/>
    <w:rsid w:val="00D6722F"/>
    <w:rsid w:val="00D67DC0"/>
    <w:rsid w:val="00D71B1F"/>
    <w:rsid w:val="00D71C0E"/>
    <w:rsid w:val="00D7219E"/>
    <w:rsid w:val="00D74199"/>
    <w:rsid w:val="00D778E1"/>
    <w:rsid w:val="00D8094E"/>
    <w:rsid w:val="00D8256F"/>
    <w:rsid w:val="00D8529E"/>
    <w:rsid w:val="00D872F6"/>
    <w:rsid w:val="00D873E2"/>
    <w:rsid w:val="00D87D38"/>
    <w:rsid w:val="00D929E6"/>
    <w:rsid w:val="00D93C7A"/>
    <w:rsid w:val="00D9571A"/>
    <w:rsid w:val="00D96F65"/>
    <w:rsid w:val="00D973E5"/>
    <w:rsid w:val="00DA03C6"/>
    <w:rsid w:val="00DA0515"/>
    <w:rsid w:val="00DA353D"/>
    <w:rsid w:val="00DA42C2"/>
    <w:rsid w:val="00DA4A02"/>
    <w:rsid w:val="00DA4EAC"/>
    <w:rsid w:val="00DA4F0E"/>
    <w:rsid w:val="00DA7B73"/>
    <w:rsid w:val="00DB04A9"/>
    <w:rsid w:val="00DB1E63"/>
    <w:rsid w:val="00DB1E70"/>
    <w:rsid w:val="00DB2945"/>
    <w:rsid w:val="00DB2FA4"/>
    <w:rsid w:val="00DB55CC"/>
    <w:rsid w:val="00DB58B8"/>
    <w:rsid w:val="00DB6A84"/>
    <w:rsid w:val="00DB7856"/>
    <w:rsid w:val="00DC111A"/>
    <w:rsid w:val="00DC237A"/>
    <w:rsid w:val="00DC2972"/>
    <w:rsid w:val="00DC2E98"/>
    <w:rsid w:val="00DC451D"/>
    <w:rsid w:val="00DC4A76"/>
    <w:rsid w:val="00DC4F91"/>
    <w:rsid w:val="00DC6DBB"/>
    <w:rsid w:val="00DD2FAA"/>
    <w:rsid w:val="00DD32B8"/>
    <w:rsid w:val="00DD3CE0"/>
    <w:rsid w:val="00DD4545"/>
    <w:rsid w:val="00DD57DB"/>
    <w:rsid w:val="00DD5BB5"/>
    <w:rsid w:val="00DD5F33"/>
    <w:rsid w:val="00DE0CB5"/>
    <w:rsid w:val="00DE4343"/>
    <w:rsid w:val="00DE6067"/>
    <w:rsid w:val="00DE67E6"/>
    <w:rsid w:val="00DF01D2"/>
    <w:rsid w:val="00DF3C59"/>
    <w:rsid w:val="00DF5014"/>
    <w:rsid w:val="00E0052C"/>
    <w:rsid w:val="00E01A50"/>
    <w:rsid w:val="00E01B5E"/>
    <w:rsid w:val="00E030B3"/>
    <w:rsid w:val="00E034AD"/>
    <w:rsid w:val="00E0395C"/>
    <w:rsid w:val="00E05BAC"/>
    <w:rsid w:val="00E05FCF"/>
    <w:rsid w:val="00E0652C"/>
    <w:rsid w:val="00E075D7"/>
    <w:rsid w:val="00E12856"/>
    <w:rsid w:val="00E15B0C"/>
    <w:rsid w:val="00E1680F"/>
    <w:rsid w:val="00E1793D"/>
    <w:rsid w:val="00E20373"/>
    <w:rsid w:val="00E208D2"/>
    <w:rsid w:val="00E213B9"/>
    <w:rsid w:val="00E21DC0"/>
    <w:rsid w:val="00E22A0C"/>
    <w:rsid w:val="00E22BFA"/>
    <w:rsid w:val="00E24CC2"/>
    <w:rsid w:val="00E24FC3"/>
    <w:rsid w:val="00E25A0A"/>
    <w:rsid w:val="00E261D6"/>
    <w:rsid w:val="00E30118"/>
    <w:rsid w:val="00E305D1"/>
    <w:rsid w:val="00E31A56"/>
    <w:rsid w:val="00E31FCD"/>
    <w:rsid w:val="00E338D8"/>
    <w:rsid w:val="00E34F4D"/>
    <w:rsid w:val="00E408F0"/>
    <w:rsid w:val="00E44903"/>
    <w:rsid w:val="00E4729B"/>
    <w:rsid w:val="00E512F7"/>
    <w:rsid w:val="00E518E0"/>
    <w:rsid w:val="00E522DD"/>
    <w:rsid w:val="00E52928"/>
    <w:rsid w:val="00E52A02"/>
    <w:rsid w:val="00E54D85"/>
    <w:rsid w:val="00E557A8"/>
    <w:rsid w:val="00E57C9B"/>
    <w:rsid w:val="00E60F8D"/>
    <w:rsid w:val="00E60FAD"/>
    <w:rsid w:val="00E62F03"/>
    <w:rsid w:val="00E67064"/>
    <w:rsid w:val="00E67426"/>
    <w:rsid w:val="00E709CF"/>
    <w:rsid w:val="00E70C96"/>
    <w:rsid w:val="00E728CD"/>
    <w:rsid w:val="00E75009"/>
    <w:rsid w:val="00E750DC"/>
    <w:rsid w:val="00E754A1"/>
    <w:rsid w:val="00E76D3C"/>
    <w:rsid w:val="00E8126C"/>
    <w:rsid w:val="00E87496"/>
    <w:rsid w:val="00E8786E"/>
    <w:rsid w:val="00E87A71"/>
    <w:rsid w:val="00E90C78"/>
    <w:rsid w:val="00E912AA"/>
    <w:rsid w:val="00E9266B"/>
    <w:rsid w:val="00E95B88"/>
    <w:rsid w:val="00E96630"/>
    <w:rsid w:val="00E96799"/>
    <w:rsid w:val="00E97233"/>
    <w:rsid w:val="00E973E1"/>
    <w:rsid w:val="00EA117D"/>
    <w:rsid w:val="00EA153D"/>
    <w:rsid w:val="00EA1945"/>
    <w:rsid w:val="00EA3C7B"/>
    <w:rsid w:val="00EA5AB9"/>
    <w:rsid w:val="00EA62A9"/>
    <w:rsid w:val="00EB50D9"/>
    <w:rsid w:val="00EB5E91"/>
    <w:rsid w:val="00EB7535"/>
    <w:rsid w:val="00EB7821"/>
    <w:rsid w:val="00EC0C69"/>
    <w:rsid w:val="00EC1595"/>
    <w:rsid w:val="00EC17E2"/>
    <w:rsid w:val="00EC4EF0"/>
    <w:rsid w:val="00EC7258"/>
    <w:rsid w:val="00ED0948"/>
    <w:rsid w:val="00ED2380"/>
    <w:rsid w:val="00ED23E9"/>
    <w:rsid w:val="00ED5D18"/>
    <w:rsid w:val="00ED72EB"/>
    <w:rsid w:val="00EE0318"/>
    <w:rsid w:val="00EE39AF"/>
    <w:rsid w:val="00EE5D02"/>
    <w:rsid w:val="00EE6148"/>
    <w:rsid w:val="00EE7C33"/>
    <w:rsid w:val="00EF0C8B"/>
    <w:rsid w:val="00EF10FB"/>
    <w:rsid w:val="00EF1BC9"/>
    <w:rsid w:val="00EF28EC"/>
    <w:rsid w:val="00EF4FDD"/>
    <w:rsid w:val="00EF7F66"/>
    <w:rsid w:val="00F01653"/>
    <w:rsid w:val="00F05AA6"/>
    <w:rsid w:val="00F05CE4"/>
    <w:rsid w:val="00F062DC"/>
    <w:rsid w:val="00F07DCE"/>
    <w:rsid w:val="00F10A0B"/>
    <w:rsid w:val="00F10CE5"/>
    <w:rsid w:val="00F13A11"/>
    <w:rsid w:val="00F156F5"/>
    <w:rsid w:val="00F16576"/>
    <w:rsid w:val="00F171DA"/>
    <w:rsid w:val="00F17359"/>
    <w:rsid w:val="00F178E2"/>
    <w:rsid w:val="00F20D36"/>
    <w:rsid w:val="00F35EFB"/>
    <w:rsid w:val="00F40502"/>
    <w:rsid w:val="00F407E2"/>
    <w:rsid w:val="00F412C8"/>
    <w:rsid w:val="00F423FB"/>
    <w:rsid w:val="00F43063"/>
    <w:rsid w:val="00F45A67"/>
    <w:rsid w:val="00F4692D"/>
    <w:rsid w:val="00F50D3D"/>
    <w:rsid w:val="00F51E31"/>
    <w:rsid w:val="00F5257A"/>
    <w:rsid w:val="00F54627"/>
    <w:rsid w:val="00F56845"/>
    <w:rsid w:val="00F57611"/>
    <w:rsid w:val="00F624C5"/>
    <w:rsid w:val="00F65C7B"/>
    <w:rsid w:val="00F65CEE"/>
    <w:rsid w:val="00F66FE3"/>
    <w:rsid w:val="00F6741C"/>
    <w:rsid w:val="00F70732"/>
    <w:rsid w:val="00F70B80"/>
    <w:rsid w:val="00F716A2"/>
    <w:rsid w:val="00F71CF0"/>
    <w:rsid w:val="00F71D85"/>
    <w:rsid w:val="00F72B00"/>
    <w:rsid w:val="00F72EE9"/>
    <w:rsid w:val="00F76C8B"/>
    <w:rsid w:val="00F80206"/>
    <w:rsid w:val="00F8090C"/>
    <w:rsid w:val="00F822B6"/>
    <w:rsid w:val="00F82303"/>
    <w:rsid w:val="00F83868"/>
    <w:rsid w:val="00F84141"/>
    <w:rsid w:val="00F8625B"/>
    <w:rsid w:val="00F8691D"/>
    <w:rsid w:val="00F877F9"/>
    <w:rsid w:val="00F90129"/>
    <w:rsid w:val="00F9079D"/>
    <w:rsid w:val="00F9183B"/>
    <w:rsid w:val="00F94F2C"/>
    <w:rsid w:val="00F95236"/>
    <w:rsid w:val="00FA3356"/>
    <w:rsid w:val="00FA3871"/>
    <w:rsid w:val="00FA5A4E"/>
    <w:rsid w:val="00FA7569"/>
    <w:rsid w:val="00FA76AF"/>
    <w:rsid w:val="00FB0227"/>
    <w:rsid w:val="00FB0F48"/>
    <w:rsid w:val="00FB1C2D"/>
    <w:rsid w:val="00FB1E47"/>
    <w:rsid w:val="00FB31DF"/>
    <w:rsid w:val="00FB3A24"/>
    <w:rsid w:val="00FB67F8"/>
    <w:rsid w:val="00FB7E51"/>
    <w:rsid w:val="00FC1D84"/>
    <w:rsid w:val="00FC5BEA"/>
    <w:rsid w:val="00FD08ED"/>
    <w:rsid w:val="00FD3666"/>
    <w:rsid w:val="00FD68F7"/>
    <w:rsid w:val="00FD764A"/>
    <w:rsid w:val="00FD7A1A"/>
    <w:rsid w:val="00FE01C3"/>
    <w:rsid w:val="00FE0824"/>
    <w:rsid w:val="00FE13E6"/>
    <w:rsid w:val="00FE2B21"/>
    <w:rsid w:val="00FE3694"/>
    <w:rsid w:val="00FE3831"/>
    <w:rsid w:val="00FE39FB"/>
    <w:rsid w:val="00FE4942"/>
    <w:rsid w:val="00FE5501"/>
    <w:rsid w:val="00FF564A"/>
    <w:rsid w:val="00FF58E2"/>
    <w:rsid w:val="00FF5E57"/>
    <w:rsid w:val="00FF613A"/>
    <w:rsid w:val="00FF65AB"/>
    <w:rsid w:val="00FF798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D73AFF"/>
  <w15:docId w15:val="{375BB226-300C-4C9D-8D20-AF75DE8D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4"/>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0"/>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0"/>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0"/>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0"/>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semiHidden/>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qFormat/>
    <w:rsid w:val="00F66FE3"/>
    <w:pPr>
      <w:numPr>
        <w:ilvl w:val="4"/>
        <w:numId w:val="10"/>
      </w:numPr>
      <w:spacing w:before="240" w:after="60" w:line="240" w:lineRule="auto"/>
      <w:outlineLvl w:val="4"/>
    </w:pPr>
    <w:rPr>
      <w:rFonts w:ascii="Times New Roman" w:eastAsia="Times New Roman" w:hAnsi="Times New Roman"/>
      <w:szCs w:val="20"/>
    </w:rPr>
  </w:style>
  <w:style w:type="paragraph" w:styleId="Heading6">
    <w:name w:val="heading 6"/>
    <w:basedOn w:val="Normal"/>
    <w:next w:val="Normal"/>
    <w:link w:val="Heading6Char"/>
    <w:uiPriority w:val="9"/>
    <w:qFormat/>
    <w:rsid w:val="00F66FE3"/>
    <w:pPr>
      <w:numPr>
        <w:ilvl w:val="5"/>
        <w:numId w:val="10"/>
      </w:numPr>
      <w:spacing w:before="240" w:after="60" w:line="240" w:lineRule="auto"/>
      <w:outlineLvl w:val="5"/>
    </w:pPr>
    <w:rPr>
      <w:rFonts w:ascii="Times New Roman" w:eastAsia="Times New Roman" w:hAnsi="Times New Roman"/>
      <w:i/>
      <w:szCs w:val="20"/>
    </w:rPr>
  </w:style>
  <w:style w:type="paragraph" w:styleId="Heading7">
    <w:name w:val="heading 7"/>
    <w:basedOn w:val="Normal"/>
    <w:next w:val="Normal"/>
    <w:link w:val="Heading7Char"/>
    <w:uiPriority w:val="9"/>
    <w:qFormat/>
    <w:rsid w:val="00F66FE3"/>
    <w:pPr>
      <w:numPr>
        <w:ilvl w:val="6"/>
        <w:numId w:val="10"/>
      </w:numPr>
      <w:spacing w:before="240" w:after="60" w:line="240" w:lineRule="auto"/>
      <w:outlineLvl w:val="6"/>
    </w:pPr>
    <w:rPr>
      <w:rFonts w:ascii="Arial" w:eastAsia="Times New Roman" w:hAnsi="Arial"/>
      <w:sz w:val="24"/>
      <w:szCs w:val="20"/>
    </w:rPr>
  </w:style>
  <w:style w:type="paragraph" w:styleId="Heading8">
    <w:name w:val="heading 8"/>
    <w:basedOn w:val="Normal"/>
    <w:next w:val="Normal"/>
    <w:link w:val="Heading8Char"/>
    <w:uiPriority w:val="9"/>
    <w:qFormat/>
    <w:rsid w:val="00F66FE3"/>
    <w:pPr>
      <w:numPr>
        <w:ilvl w:val="7"/>
        <w:numId w:val="10"/>
      </w:numPr>
      <w:spacing w:before="240" w:after="60" w:line="240" w:lineRule="auto"/>
      <w:outlineLvl w:val="7"/>
    </w:pPr>
    <w:rPr>
      <w:rFonts w:ascii="Arial" w:eastAsia="Times New Roman" w:hAnsi="Arial"/>
      <w:i/>
      <w:sz w:val="24"/>
      <w:szCs w:val="20"/>
    </w:rPr>
  </w:style>
  <w:style w:type="paragraph" w:styleId="Heading9">
    <w:name w:val="heading 9"/>
    <w:basedOn w:val="Normal"/>
    <w:next w:val="Normal"/>
    <w:link w:val="Heading9Char"/>
    <w:uiPriority w:val="9"/>
    <w:qFormat/>
    <w:rsid w:val="00F66FE3"/>
    <w:pPr>
      <w:numPr>
        <w:ilvl w:val="8"/>
        <w:numId w:val="10"/>
      </w:numPr>
      <w:spacing w:before="240" w:after="60" w:line="240" w:lineRule="auto"/>
      <w:outlineLvl w:val="8"/>
    </w:pPr>
    <w:rPr>
      <w:rFonts w:ascii="Arial" w:eastAsia="Times New Roman"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Car"/>
    <w:basedOn w:val="Normal"/>
    <w:link w:val="FootnoteTextChar"/>
    <w:unhideWhenUsed/>
    <w:qFormat/>
    <w:rsid w:val="00902F77"/>
    <w:pPr>
      <w:keepNext/>
      <w:keepLines/>
      <w:spacing w:after="120" w:line="240" w:lineRule="auto"/>
      <w:ind w:left="288" w:hanging="288"/>
      <w:jc w:val="both"/>
    </w:pPr>
    <w:rPr>
      <w:rFonts w:ascii="Arial" w:hAnsi="Arial" w:cs="Arial"/>
      <w:spacing w:val="-3"/>
      <w:sz w:val="20"/>
      <w:szCs w:val="24"/>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rsid w:val="00902F77"/>
    <w:rPr>
      <w:rFonts w:ascii="Arial" w:hAnsi="Arial" w:cs="Arial"/>
      <w:spacing w:val="-3"/>
      <w:szCs w:val="24"/>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Знак сноски-FN,Ref,de nota al pie,Char Char1,FO"/>
    <w:basedOn w:val="DefaultParagraphFont"/>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uiPriority w:val="99"/>
    <w:rsid w:val="009365EC"/>
    <w:rPr>
      <w:sz w:val="20"/>
      <w:szCs w:val="20"/>
    </w:rPr>
  </w:style>
  <w:style w:type="character" w:customStyle="1" w:styleId="CommentTextChar">
    <w:name w:val="Comment Text Char"/>
    <w:basedOn w:val="DefaultParagraphFont"/>
    <w:link w:val="CommentText"/>
    <w:uiPriority w:val="99"/>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keepNext/>
      <w:numPr>
        <w:numId w:val="2"/>
      </w:numPr>
      <w:tabs>
        <w:tab w:val="left" w:pos="1440"/>
      </w:tabs>
      <w:spacing w:before="240" w:after="240" w:line="240" w:lineRule="auto"/>
      <w:jc w:val="center"/>
    </w:pPr>
    <w:rPr>
      <w:rFonts w:ascii="Arial" w:eastAsia="Times New Roman" w:hAnsi="Arial" w:cs="Arial"/>
      <w:b/>
      <w:smallCaps/>
      <w:sz w:val="24"/>
      <w:szCs w:val="20"/>
      <w:lang w:val="es-ES"/>
    </w:rPr>
  </w:style>
  <w:style w:type="paragraph" w:customStyle="1" w:styleId="Paragraph">
    <w:name w:val="Paragraph"/>
    <w:aliases w:val="paragraph,p,PARAGRAPH,PG,pa,at"/>
    <w:basedOn w:val="BodyTextIndent"/>
    <w:link w:val="ParagraphChar"/>
    <w:qFormat/>
    <w:rsid w:val="00E05BAC"/>
    <w:pPr>
      <w:numPr>
        <w:ilvl w:val="1"/>
        <w:numId w:val="2"/>
      </w:numPr>
      <w:spacing w:before="120"/>
      <w:jc w:val="both"/>
      <w:outlineLvl w:val="1"/>
    </w:pPr>
    <w:rPr>
      <w:rFonts w:eastAsia="Times New Roman"/>
      <w:sz w:val="22"/>
      <w:szCs w:val="20"/>
      <w:lang w:val="es-ES"/>
    </w:rPr>
  </w:style>
  <w:style w:type="paragraph" w:customStyle="1" w:styleId="subpar">
    <w:name w:val="subpar"/>
    <w:basedOn w:val="BodyTextIndent3"/>
    <w:rsid w:val="00E05BAC"/>
    <w:pPr>
      <w:numPr>
        <w:ilvl w:val="2"/>
        <w:numId w:val="2"/>
      </w:numPr>
      <w:spacing w:before="120"/>
      <w:jc w:val="both"/>
      <w:outlineLvl w:val="2"/>
    </w:pPr>
    <w:rPr>
      <w:rFonts w:eastAsia="Times New Roman"/>
      <w:szCs w:val="20"/>
      <w:lang w:val="es-ES_tradnl"/>
    </w:rPr>
  </w:style>
  <w:style w:type="paragraph" w:customStyle="1" w:styleId="SubSubPar">
    <w:name w:val="SubSubPar"/>
    <w:basedOn w:val="subpar"/>
    <w:rsid w:val="00E05BAC"/>
    <w:pPr>
      <w:numPr>
        <w:ilvl w:val="3"/>
      </w:numPr>
      <w:tabs>
        <w:tab w:val="clear" w:pos="1584"/>
        <w:tab w:val="left" w:pos="0"/>
        <w:tab w:val="num" w:pos="1296"/>
      </w:tabs>
      <w:ind w:left="1296"/>
    </w:pPr>
  </w:style>
  <w:style w:type="character" w:customStyle="1" w:styleId="ParagraphChar">
    <w:name w:val="Paragraph Char"/>
    <w:link w:val="Paragraph"/>
    <w:rsid w:val="00E05BAC"/>
    <w:rPr>
      <w:rFonts w:ascii="Arial" w:eastAsia="Times New Roman" w:hAnsi="Arial" w:cs="Arial"/>
      <w:sz w:val="22"/>
      <w:lang w:val="es-ES"/>
    </w:rPr>
  </w:style>
  <w:style w:type="paragraph" w:styleId="BodyTextIndent">
    <w:name w:val="Body Text Indent"/>
    <w:basedOn w:val="Normal"/>
    <w:link w:val="BodyTextIndentChar"/>
    <w:uiPriority w:val="99"/>
    <w:semiHidden/>
    <w:unhideWhenUsed/>
    <w:rsid w:val="00E05BAC"/>
    <w:pPr>
      <w:spacing w:after="120" w:line="240" w:lineRule="auto"/>
      <w:ind w:left="360"/>
    </w:pPr>
    <w:rPr>
      <w:rFonts w:ascii="Arial" w:hAnsi="Arial" w:cs="Arial"/>
      <w:sz w:val="24"/>
    </w:rPr>
  </w:style>
  <w:style w:type="character" w:customStyle="1" w:styleId="BodyTextIndentChar">
    <w:name w:val="Body Text Indent Char"/>
    <w:basedOn w:val="DefaultParagraphFont"/>
    <w:link w:val="BodyTextIndent"/>
    <w:uiPriority w:val="99"/>
    <w:semiHidden/>
    <w:rsid w:val="00E05BAC"/>
    <w:rPr>
      <w:rFonts w:ascii="Arial" w:hAnsi="Arial" w:cs="Arial"/>
      <w:sz w:val="24"/>
      <w:szCs w:val="22"/>
    </w:rPr>
  </w:style>
  <w:style w:type="paragraph" w:styleId="BodyTextIndent3">
    <w:name w:val="Body Text Indent 3"/>
    <w:basedOn w:val="Normal"/>
    <w:link w:val="BodyTextIndent3Char"/>
    <w:uiPriority w:val="99"/>
    <w:semiHidden/>
    <w:unhideWhenUsed/>
    <w:rsid w:val="00E05BAC"/>
    <w:pPr>
      <w:spacing w:after="120" w:line="240" w:lineRule="auto"/>
      <w:ind w:left="360"/>
    </w:pPr>
    <w:rPr>
      <w:rFonts w:ascii="Arial" w:hAnsi="Arial" w:cs="Arial"/>
      <w:szCs w:val="16"/>
    </w:rPr>
  </w:style>
  <w:style w:type="character" w:customStyle="1" w:styleId="BodyTextIndent3Char">
    <w:name w:val="Body Text Indent 3 Char"/>
    <w:basedOn w:val="DefaultParagraphFont"/>
    <w:link w:val="BodyTextIndent3"/>
    <w:uiPriority w:val="99"/>
    <w:semiHidden/>
    <w:rsid w:val="00E05BAC"/>
    <w:rPr>
      <w:rFonts w:ascii="Arial" w:hAnsi="Arial" w:cs="Arial"/>
      <w:sz w:val="22"/>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cs="Arial"/>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cs="Arial"/>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5"/>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cs="Arial"/>
      <w:sz w:val="24"/>
      <w:szCs w:val="24"/>
      <w:lang w:val="es-ES"/>
    </w:rPr>
  </w:style>
  <w:style w:type="paragraph" w:customStyle="1" w:styleId="TItuloAnexo">
    <w:name w:val="TItulo Anexo"/>
    <w:basedOn w:val="Seccion"/>
    <w:link w:val="TItuloAnexoCar"/>
    <w:qFormat/>
    <w:rsid w:val="00B84211"/>
    <w:pPr>
      <w:numPr>
        <w:numId w:val="6"/>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table" w:styleId="GridTable6Colorful-Accent1">
    <w:name w:val="Grid Table 6 Colorful Accent 1"/>
    <w:basedOn w:val="TableNormal"/>
    <w:uiPriority w:val="51"/>
    <w:rsid w:val="00822B0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1">
    <w:name w:val="Grid Table 2 Accent 1"/>
    <w:basedOn w:val="TableNormal"/>
    <w:uiPriority w:val="47"/>
    <w:rsid w:val="00822B0B"/>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yperlink">
    <w:name w:val="Hyperlink"/>
    <w:basedOn w:val="DefaultParagraphFont"/>
    <w:unhideWhenUsed/>
    <w:rsid w:val="00952BA5"/>
    <w:rPr>
      <w:color w:val="0000FF"/>
      <w:u w:val="single"/>
    </w:rPr>
  </w:style>
  <w:style w:type="character" w:styleId="FollowedHyperlink">
    <w:name w:val="FollowedHyperlink"/>
    <w:basedOn w:val="DefaultParagraphFont"/>
    <w:uiPriority w:val="99"/>
    <w:semiHidden/>
    <w:unhideWhenUsed/>
    <w:rsid w:val="00702245"/>
    <w:rPr>
      <w:color w:val="800080" w:themeColor="followedHyperlink"/>
      <w:u w:val="single"/>
    </w:rPr>
  </w:style>
  <w:style w:type="character" w:styleId="UnresolvedMention">
    <w:name w:val="Unresolved Mention"/>
    <w:basedOn w:val="DefaultParagraphFont"/>
    <w:uiPriority w:val="99"/>
    <w:semiHidden/>
    <w:unhideWhenUsed/>
    <w:rsid w:val="00DD2FAA"/>
    <w:rPr>
      <w:color w:val="808080"/>
      <w:shd w:val="clear" w:color="auto" w:fill="E6E6E6"/>
    </w:rPr>
  </w:style>
  <w:style w:type="character" w:customStyle="1" w:styleId="Heading5Char">
    <w:name w:val="Heading 5 Char"/>
    <w:basedOn w:val="DefaultParagraphFont"/>
    <w:link w:val="Heading5"/>
    <w:uiPriority w:val="9"/>
    <w:rsid w:val="00F66FE3"/>
    <w:rPr>
      <w:rFonts w:ascii="Times New Roman" w:eastAsia="Times New Roman" w:hAnsi="Times New Roman"/>
      <w:sz w:val="22"/>
    </w:rPr>
  </w:style>
  <w:style w:type="character" w:customStyle="1" w:styleId="Heading6Char">
    <w:name w:val="Heading 6 Char"/>
    <w:basedOn w:val="DefaultParagraphFont"/>
    <w:link w:val="Heading6"/>
    <w:uiPriority w:val="9"/>
    <w:rsid w:val="00F66FE3"/>
    <w:rPr>
      <w:rFonts w:ascii="Times New Roman" w:eastAsia="Times New Roman" w:hAnsi="Times New Roman"/>
      <w:i/>
      <w:sz w:val="22"/>
    </w:rPr>
  </w:style>
  <w:style w:type="character" w:customStyle="1" w:styleId="Heading7Char">
    <w:name w:val="Heading 7 Char"/>
    <w:basedOn w:val="DefaultParagraphFont"/>
    <w:link w:val="Heading7"/>
    <w:uiPriority w:val="9"/>
    <w:rsid w:val="00F66FE3"/>
    <w:rPr>
      <w:rFonts w:ascii="Arial" w:eastAsia="Times New Roman" w:hAnsi="Arial"/>
      <w:sz w:val="24"/>
    </w:rPr>
  </w:style>
  <w:style w:type="character" w:customStyle="1" w:styleId="Heading8Char">
    <w:name w:val="Heading 8 Char"/>
    <w:basedOn w:val="DefaultParagraphFont"/>
    <w:link w:val="Heading8"/>
    <w:uiPriority w:val="9"/>
    <w:rsid w:val="00F66FE3"/>
    <w:rPr>
      <w:rFonts w:ascii="Arial" w:eastAsia="Times New Roman" w:hAnsi="Arial"/>
      <w:i/>
      <w:sz w:val="24"/>
    </w:rPr>
  </w:style>
  <w:style w:type="character" w:customStyle="1" w:styleId="Heading9Char">
    <w:name w:val="Heading 9 Char"/>
    <w:basedOn w:val="DefaultParagraphFont"/>
    <w:link w:val="Heading9"/>
    <w:uiPriority w:val="9"/>
    <w:rsid w:val="00F66FE3"/>
    <w:rPr>
      <w:rFonts w:ascii="Arial" w:eastAsia="Times New Roman" w:hAnsi="Arial"/>
      <w:b/>
      <w:i/>
      <w:sz w:val="18"/>
    </w:rPr>
  </w:style>
  <w:style w:type="paragraph" w:customStyle="1" w:styleId="FirstHeading">
    <w:name w:val="FirstHeading"/>
    <w:basedOn w:val="Normal"/>
    <w:next w:val="Normal"/>
    <w:link w:val="FirstHeadingChar"/>
    <w:rsid w:val="00A51A5F"/>
    <w:pPr>
      <w:keepNext/>
      <w:numPr>
        <w:numId w:val="10"/>
      </w:numPr>
      <w:tabs>
        <w:tab w:val="left" w:pos="0"/>
        <w:tab w:val="left" w:pos="86"/>
      </w:tabs>
      <w:spacing w:before="120" w:after="120"/>
    </w:pPr>
    <w:rPr>
      <w:rFonts w:ascii="Arial" w:eastAsia="Times New Roman" w:hAnsi="Arial" w:cs="Arial"/>
      <w:b/>
      <w:szCs w:val="24"/>
      <w:lang w:val="es-ES"/>
    </w:rPr>
  </w:style>
  <w:style w:type="character" w:customStyle="1" w:styleId="FirstHeadingChar">
    <w:name w:val="FirstHeading Char"/>
    <w:basedOn w:val="TitleChar"/>
    <w:link w:val="FirstHeading"/>
    <w:rsid w:val="00A51A5F"/>
    <w:rPr>
      <w:rFonts w:ascii="Arial" w:eastAsia="Times New Roman" w:hAnsi="Arial" w:cs="Arial"/>
      <w:b/>
      <w:sz w:val="22"/>
      <w:szCs w:val="24"/>
      <w:lang w:val="es-ES"/>
    </w:rPr>
  </w:style>
  <w:style w:type="paragraph" w:customStyle="1" w:styleId="SecHeading">
    <w:name w:val="SecHeading"/>
    <w:basedOn w:val="Normal"/>
    <w:next w:val="Paragraph"/>
    <w:link w:val="SecHeadingChar"/>
    <w:rsid w:val="00A51A5F"/>
    <w:pPr>
      <w:keepNext/>
      <w:numPr>
        <w:ilvl w:val="1"/>
        <w:numId w:val="10"/>
      </w:numPr>
      <w:spacing w:before="120" w:after="120"/>
    </w:pPr>
    <w:rPr>
      <w:rFonts w:ascii="Arial" w:eastAsia="Times New Roman" w:hAnsi="Arial" w:cs="Arial"/>
      <w:b/>
      <w:szCs w:val="24"/>
      <w:lang w:val="es-ES"/>
    </w:rPr>
  </w:style>
  <w:style w:type="character" w:customStyle="1" w:styleId="SecHeadingChar">
    <w:name w:val="SecHeading Char"/>
    <w:basedOn w:val="TitleChar"/>
    <w:link w:val="SecHeading"/>
    <w:rsid w:val="00A51A5F"/>
    <w:rPr>
      <w:rFonts w:ascii="Arial" w:eastAsia="Times New Roman" w:hAnsi="Arial" w:cs="Arial"/>
      <w:b/>
      <w:sz w:val="22"/>
      <w:szCs w:val="24"/>
      <w:lang w:val="es-ES"/>
    </w:rPr>
  </w:style>
  <w:style w:type="paragraph" w:customStyle="1" w:styleId="SubHeading1">
    <w:name w:val="SubHeading1"/>
    <w:basedOn w:val="SecHeading"/>
    <w:link w:val="SubHeading1Char"/>
    <w:rsid w:val="00A51A5F"/>
    <w:pPr>
      <w:numPr>
        <w:ilvl w:val="2"/>
      </w:numPr>
      <w:spacing w:line="240" w:lineRule="auto"/>
    </w:pPr>
  </w:style>
  <w:style w:type="character" w:customStyle="1" w:styleId="SubHeading1Char">
    <w:name w:val="SubHeading1 Char"/>
    <w:basedOn w:val="TitleChar"/>
    <w:link w:val="SubHeading1"/>
    <w:rsid w:val="00A51A5F"/>
    <w:rPr>
      <w:rFonts w:ascii="Arial" w:eastAsia="Times New Roman" w:hAnsi="Arial" w:cs="Arial"/>
      <w:b/>
      <w:sz w:val="22"/>
      <w:szCs w:val="24"/>
      <w:lang w:val="es-ES"/>
    </w:rPr>
  </w:style>
  <w:style w:type="paragraph" w:customStyle="1" w:styleId="Subheading2">
    <w:name w:val="Subheading2"/>
    <w:basedOn w:val="SecHeading"/>
    <w:link w:val="Subheading2Char"/>
    <w:rsid w:val="00A51A5F"/>
    <w:pPr>
      <w:numPr>
        <w:ilvl w:val="3"/>
      </w:numPr>
      <w:tabs>
        <w:tab w:val="clear" w:pos="6480"/>
        <w:tab w:val="num" w:pos="2376"/>
      </w:tabs>
      <w:spacing w:line="240" w:lineRule="auto"/>
      <w:ind w:left="2376"/>
    </w:pPr>
  </w:style>
  <w:style w:type="character" w:customStyle="1" w:styleId="Subheading2Char">
    <w:name w:val="Subheading2 Char"/>
    <w:basedOn w:val="TitleChar"/>
    <w:link w:val="Subheading2"/>
    <w:rsid w:val="00A51A5F"/>
    <w:rPr>
      <w:rFonts w:ascii="Arial" w:eastAsia="Times New Roman" w:hAnsi="Arial" w:cs="Arial"/>
      <w:b/>
      <w:sz w:val="22"/>
      <w:szCs w:val="24"/>
      <w:lang w:val="es-ES"/>
    </w:rPr>
  </w:style>
  <w:style w:type="paragraph" w:customStyle="1" w:styleId="Regtable">
    <w:name w:val="Regtable"/>
    <w:basedOn w:val="Normal"/>
    <w:link w:val="RegtableChar"/>
    <w:rsid w:val="00A51A5F"/>
    <w:pPr>
      <w:keepLines/>
      <w:framePr w:wrap="around" w:vAnchor="text" w:hAnchor="text" w:y="1"/>
      <w:spacing w:before="20" w:after="20"/>
    </w:pPr>
    <w:rPr>
      <w:rFonts w:ascii="Arial" w:eastAsia="Times New Roman" w:hAnsi="Arial" w:cs="Arial"/>
      <w:szCs w:val="24"/>
      <w:lang w:val="es-ES"/>
    </w:rPr>
  </w:style>
  <w:style w:type="character" w:customStyle="1" w:styleId="RegtableChar">
    <w:name w:val="Regtable Char"/>
    <w:basedOn w:val="TitleChar"/>
    <w:link w:val="Regtable"/>
    <w:rsid w:val="00A51A5F"/>
    <w:rPr>
      <w:rFonts w:ascii="Arial" w:eastAsia="Times New Roman" w:hAnsi="Arial" w:cs="Arial"/>
      <w:sz w:val="22"/>
      <w:szCs w:val="24"/>
      <w:lang w:val="es-ES"/>
    </w:rPr>
  </w:style>
  <w:style w:type="paragraph" w:customStyle="1" w:styleId="TableTitle">
    <w:name w:val="TableTitle"/>
    <w:basedOn w:val="Normal"/>
    <w:link w:val="TableTitleChar"/>
    <w:rsid w:val="00A51A5F"/>
    <w:pPr>
      <w:keepNext/>
      <w:framePr w:wrap="around" w:vAnchor="text" w:hAnchor="text" w:y="1"/>
      <w:spacing w:before="20" w:after="20"/>
    </w:pPr>
    <w:rPr>
      <w:rFonts w:ascii="Arial" w:eastAsia="Times New Roman" w:hAnsi="Arial" w:cs="Arial"/>
      <w:b/>
      <w:spacing w:val="-3"/>
      <w:szCs w:val="24"/>
      <w:lang w:val="es-ES"/>
    </w:rPr>
  </w:style>
  <w:style w:type="character" w:customStyle="1" w:styleId="TableTitleChar">
    <w:name w:val="TableTitle Char"/>
    <w:basedOn w:val="TitleChar"/>
    <w:link w:val="TableTitle"/>
    <w:rsid w:val="00A51A5F"/>
    <w:rPr>
      <w:rFonts w:ascii="Arial" w:eastAsia="Times New Roman" w:hAnsi="Arial" w:cs="Arial"/>
      <w:b/>
      <w:spacing w:val="-3"/>
      <w:sz w:val="22"/>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4432">
      <w:bodyDiv w:val="1"/>
      <w:marLeft w:val="0"/>
      <w:marRight w:val="0"/>
      <w:marTop w:val="0"/>
      <w:marBottom w:val="0"/>
      <w:divBdr>
        <w:top w:val="none" w:sz="0" w:space="0" w:color="auto"/>
        <w:left w:val="none" w:sz="0" w:space="0" w:color="auto"/>
        <w:bottom w:val="none" w:sz="0" w:space="0" w:color="auto"/>
        <w:right w:val="none" w:sz="0" w:space="0" w:color="auto"/>
      </w:divBdr>
    </w:div>
    <w:div w:id="34545888">
      <w:bodyDiv w:val="1"/>
      <w:marLeft w:val="0"/>
      <w:marRight w:val="0"/>
      <w:marTop w:val="0"/>
      <w:marBottom w:val="0"/>
      <w:divBdr>
        <w:top w:val="none" w:sz="0" w:space="0" w:color="auto"/>
        <w:left w:val="none" w:sz="0" w:space="0" w:color="auto"/>
        <w:bottom w:val="none" w:sz="0" w:space="0" w:color="auto"/>
        <w:right w:val="none" w:sz="0" w:space="0" w:color="auto"/>
      </w:divBdr>
    </w:div>
    <w:div w:id="142935415">
      <w:bodyDiv w:val="1"/>
      <w:marLeft w:val="0"/>
      <w:marRight w:val="0"/>
      <w:marTop w:val="0"/>
      <w:marBottom w:val="0"/>
      <w:divBdr>
        <w:top w:val="none" w:sz="0" w:space="0" w:color="auto"/>
        <w:left w:val="none" w:sz="0" w:space="0" w:color="auto"/>
        <w:bottom w:val="none" w:sz="0" w:space="0" w:color="auto"/>
        <w:right w:val="none" w:sz="0" w:space="0" w:color="auto"/>
      </w:divBdr>
    </w:div>
    <w:div w:id="212012222">
      <w:bodyDiv w:val="1"/>
      <w:marLeft w:val="0"/>
      <w:marRight w:val="0"/>
      <w:marTop w:val="0"/>
      <w:marBottom w:val="0"/>
      <w:divBdr>
        <w:top w:val="none" w:sz="0" w:space="0" w:color="auto"/>
        <w:left w:val="none" w:sz="0" w:space="0" w:color="auto"/>
        <w:bottom w:val="none" w:sz="0" w:space="0" w:color="auto"/>
        <w:right w:val="none" w:sz="0" w:space="0" w:color="auto"/>
      </w:divBdr>
    </w:div>
    <w:div w:id="214701280">
      <w:bodyDiv w:val="1"/>
      <w:marLeft w:val="0"/>
      <w:marRight w:val="0"/>
      <w:marTop w:val="0"/>
      <w:marBottom w:val="0"/>
      <w:divBdr>
        <w:top w:val="none" w:sz="0" w:space="0" w:color="auto"/>
        <w:left w:val="none" w:sz="0" w:space="0" w:color="auto"/>
        <w:bottom w:val="none" w:sz="0" w:space="0" w:color="auto"/>
        <w:right w:val="none" w:sz="0" w:space="0" w:color="auto"/>
      </w:divBdr>
    </w:div>
    <w:div w:id="335348539">
      <w:bodyDiv w:val="1"/>
      <w:marLeft w:val="0"/>
      <w:marRight w:val="0"/>
      <w:marTop w:val="0"/>
      <w:marBottom w:val="0"/>
      <w:divBdr>
        <w:top w:val="none" w:sz="0" w:space="0" w:color="auto"/>
        <w:left w:val="none" w:sz="0" w:space="0" w:color="auto"/>
        <w:bottom w:val="none" w:sz="0" w:space="0" w:color="auto"/>
        <w:right w:val="none" w:sz="0" w:space="0" w:color="auto"/>
      </w:divBdr>
    </w:div>
    <w:div w:id="337274548">
      <w:bodyDiv w:val="1"/>
      <w:marLeft w:val="0"/>
      <w:marRight w:val="0"/>
      <w:marTop w:val="0"/>
      <w:marBottom w:val="0"/>
      <w:divBdr>
        <w:top w:val="none" w:sz="0" w:space="0" w:color="auto"/>
        <w:left w:val="none" w:sz="0" w:space="0" w:color="auto"/>
        <w:bottom w:val="none" w:sz="0" w:space="0" w:color="auto"/>
        <w:right w:val="none" w:sz="0" w:space="0" w:color="auto"/>
      </w:divBdr>
    </w:div>
    <w:div w:id="386800681">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475998296">
      <w:bodyDiv w:val="1"/>
      <w:marLeft w:val="0"/>
      <w:marRight w:val="0"/>
      <w:marTop w:val="0"/>
      <w:marBottom w:val="0"/>
      <w:divBdr>
        <w:top w:val="none" w:sz="0" w:space="0" w:color="auto"/>
        <w:left w:val="none" w:sz="0" w:space="0" w:color="auto"/>
        <w:bottom w:val="none" w:sz="0" w:space="0" w:color="auto"/>
        <w:right w:val="none" w:sz="0" w:space="0" w:color="auto"/>
      </w:divBdr>
    </w:div>
    <w:div w:id="569580235">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54728095">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735707503">
      <w:bodyDiv w:val="1"/>
      <w:marLeft w:val="0"/>
      <w:marRight w:val="0"/>
      <w:marTop w:val="0"/>
      <w:marBottom w:val="0"/>
      <w:divBdr>
        <w:top w:val="none" w:sz="0" w:space="0" w:color="auto"/>
        <w:left w:val="none" w:sz="0" w:space="0" w:color="auto"/>
        <w:bottom w:val="none" w:sz="0" w:space="0" w:color="auto"/>
        <w:right w:val="none" w:sz="0" w:space="0" w:color="auto"/>
      </w:divBdr>
    </w:div>
    <w:div w:id="754518628">
      <w:bodyDiv w:val="1"/>
      <w:marLeft w:val="0"/>
      <w:marRight w:val="0"/>
      <w:marTop w:val="0"/>
      <w:marBottom w:val="0"/>
      <w:divBdr>
        <w:top w:val="none" w:sz="0" w:space="0" w:color="auto"/>
        <w:left w:val="none" w:sz="0" w:space="0" w:color="auto"/>
        <w:bottom w:val="none" w:sz="0" w:space="0" w:color="auto"/>
        <w:right w:val="none" w:sz="0" w:space="0" w:color="auto"/>
      </w:divBdr>
    </w:div>
    <w:div w:id="817956961">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858393355">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22757284">
      <w:bodyDiv w:val="1"/>
      <w:marLeft w:val="0"/>
      <w:marRight w:val="0"/>
      <w:marTop w:val="0"/>
      <w:marBottom w:val="0"/>
      <w:divBdr>
        <w:top w:val="none" w:sz="0" w:space="0" w:color="auto"/>
        <w:left w:val="none" w:sz="0" w:space="0" w:color="auto"/>
        <w:bottom w:val="none" w:sz="0" w:space="0" w:color="auto"/>
        <w:right w:val="none" w:sz="0" w:space="0" w:color="auto"/>
      </w:divBdr>
    </w:div>
    <w:div w:id="978074363">
      <w:bodyDiv w:val="1"/>
      <w:marLeft w:val="0"/>
      <w:marRight w:val="0"/>
      <w:marTop w:val="0"/>
      <w:marBottom w:val="0"/>
      <w:divBdr>
        <w:top w:val="none" w:sz="0" w:space="0" w:color="auto"/>
        <w:left w:val="none" w:sz="0" w:space="0" w:color="auto"/>
        <w:bottom w:val="none" w:sz="0" w:space="0" w:color="auto"/>
        <w:right w:val="none" w:sz="0" w:space="0" w:color="auto"/>
      </w:divBdr>
    </w:div>
    <w:div w:id="1063790789">
      <w:bodyDiv w:val="1"/>
      <w:marLeft w:val="0"/>
      <w:marRight w:val="0"/>
      <w:marTop w:val="0"/>
      <w:marBottom w:val="0"/>
      <w:divBdr>
        <w:top w:val="none" w:sz="0" w:space="0" w:color="auto"/>
        <w:left w:val="none" w:sz="0" w:space="0" w:color="auto"/>
        <w:bottom w:val="none" w:sz="0" w:space="0" w:color="auto"/>
        <w:right w:val="none" w:sz="0" w:space="0" w:color="auto"/>
      </w:divBdr>
    </w:div>
    <w:div w:id="1072922500">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089078553">
      <w:bodyDiv w:val="1"/>
      <w:marLeft w:val="0"/>
      <w:marRight w:val="0"/>
      <w:marTop w:val="0"/>
      <w:marBottom w:val="0"/>
      <w:divBdr>
        <w:top w:val="none" w:sz="0" w:space="0" w:color="auto"/>
        <w:left w:val="none" w:sz="0" w:space="0" w:color="auto"/>
        <w:bottom w:val="none" w:sz="0" w:space="0" w:color="auto"/>
        <w:right w:val="none" w:sz="0" w:space="0" w:color="auto"/>
      </w:divBdr>
    </w:div>
    <w:div w:id="1103501596">
      <w:bodyDiv w:val="1"/>
      <w:marLeft w:val="0"/>
      <w:marRight w:val="0"/>
      <w:marTop w:val="0"/>
      <w:marBottom w:val="0"/>
      <w:divBdr>
        <w:top w:val="none" w:sz="0" w:space="0" w:color="auto"/>
        <w:left w:val="none" w:sz="0" w:space="0" w:color="auto"/>
        <w:bottom w:val="none" w:sz="0" w:space="0" w:color="auto"/>
        <w:right w:val="none" w:sz="0" w:space="0" w:color="auto"/>
      </w:divBdr>
    </w:div>
    <w:div w:id="1128864661">
      <w:bodyDiv w:val="1"/>
      <w:marLeft w:val="0"/>
      <w:marRight w:val="0"/>
      <w:marTop w:val="0"/>
      <w:marBottom w:val="0"/>
      <w:divBdr>
        <w:top w:val="none" w:sz="0" w:space="0" w:color="auto"/>
        <w:left w:val="none" w:sz="0" w:space="0" w:color="auto"/>
        <w:bottom w:val="none" w:sz="0" w:space="0" w:color="auto"/>
        <w:right w:val="none" w:sz="0" w:space="0" w:color="auto"/>
      </w:divBdr>
    </w:div>
    <w:div w:id="1194340502">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16042096">
      <w:bodyDiv w:val="1"/>
      <w:marLeft w:val="0"/>
      <w:marRight w:val="0"/>
      <w:marTop w:val="0"/>
      <w:marBottom w:val="0"/>
      <w:divBdr>
        <w:top w:val="none" w:sz="0" w:space="0" w:color="auto"/>
        <w:left w:val="none" w:sz="0" w:space="0" w:color="auto"/>
        <w:bottom w:val="none" w:sz="0" w:space="0" w:color="auto"/>
        <w:right w:val="none" w:sz="0" w:space="0" w:color="auto"/>
      </w:divBdr>
    </w:div>
    <w:div w:id="1231693734">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409621505">
      <w:bodyDiv w:val="1"/>
      <w:marLeft w:val="0"/>
      <w:marRight w:val="0"/>
      <w:marTop w:val="0"/>
      <w:marBottom w:val="0"/>
      <w:divBdr>
        <w:top w:val="none" w:sz="0" w:space="0" w:color="auto"/>
        <w:left w:val="none" w:sz="0" w:space="0" w:color="auto"/>
        <w:bottom w:val="none" w:sz="0" w:space="0" w:color="auto"/>
        <w:right w:val="none" w:sz="0" w:space="0" w:color="auto"/>
      </w:divBdr>
    </w:div>
    <w:div w:id="1485587512">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590962106">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610234562">
      <w:bodyDiv w:val="1"/>
      <w:marLeft w:val="0"/>
      <w:marRight w:val="0"/>
      <w:marTop w:val="0"/>
      <w:marBottom w:val="0"/>
      <w:divBdr>
        <w:top w:val="none" w:sz="0" w:space="0" w:color="auto"/>
        <w:left w:val="none" w:sz="0" w:space="0" w:color="auto"/>
        <w:bottom w:val="none" w:sz="0" w:space="0" w:color="auto"/>
        <w:right w:val="none" w:sz="0" w:space="0" w:color="auto"/>
      </w:divBdr>
    </w:div>
    <w:div w:id="1690719628">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38233017">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891381342">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77782554">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 w:id="2092461915">
      <w:bodyDiv w:val="1"/>
      <w:marLeft w:val="0"/>
      <w:marRight w:val="0"/>
      <w:marTop w:val="0"/>
      <w:marBottom w:val="0"/>
      <w:divBdr>
        <w:top w:val="none" w:sz="0" w:space="0" w:color="auto"/>
        <w:left w:val="none" w:sz="0" w:space="0" w:color="auto"/>
        <w:bottom w:val="none" w:sz="0" w:space="0" w:color="auto"/>
        <w:right w:val="none" w:sz="0" w:space="0" w:color="auto"/>
      </w:divBdr>
    </w:div>
    <w:div w:id="2116943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minimum-wage.org/international/the-bahamas" TargetMode="External"/><Relationship Id="rId1" Type="http://schemas.openxmlformats.org/officeDocument/2006/relationships/hyperlink" Target="http://www.worldomet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26</Value>
      <Value>87</Value>
      <Value>29</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BH-L1045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R0002212356</Record_x0020_Number>
    <_dlc_DocId xmlns="cdc7663a-08f0-4737-9e8c-148ce897a09c">EZSHARE-2116570759-50</_dlc_DocId>
    <_dlc_DocIdUrl xmlns="cdc7663a-08f0-4737-9e8c-148ce897a09c">
      <Url>https://idbg.sharepoint.com/teams/EZ-BH-LON/BH-L1045/_layouts/15/DocIdRedir.aspx?ID=EZSHARE-2116570759-50</Url>
      <Description>EZSHARE-2116570759-50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2FB5EBD04BAB4FB80DEB0283C938E8" ma:contentTypeVersion="45" ma:contentTypeDescription="A content type to manage public (operations) IDB documents" ma:contentTypeScope="" ma:versionID="12efa77b6b48e1dd77067a333f41b128">
  <xsd:schema xmlns:xsd="http://www.w3.org/2001/XMLSchema" xmlns:xs="http://www.w3.org/2001/XMLSchema" xmlns:p="http://schemas.microsoft.com/office/2006/metadata/properties" xmlns:ns2="cdc7663a-08f0-4737-9e8c-148ce897a09c" targetNamespace="http://schemas.microsoft.com/office/2006/metadata/properties" ma:root="true" ma:fieldsID="6647bf55e9f60368ef5e005296231d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H-L104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54B24AF3-5664-406C-871E-75C8547617FB}">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EC0C1236-9400-479A-ACF4-C2F8CD1892C3}"/>
</file>

<file path=customXml/itemProps3.xml><?xml version="1.0" encoding="utf-8"?>
<ds:datastoreItem xmlns:ds="http://schemas.openxmlformats.org/officeDocument/2006/customXml" ds:itemID="{C2E48FE4-2F1A-4319-A01C-3B2A716785AB}">
  <ds:schemaRefs>
    <ds:schemaRef ds:uri="http://schemas.microsoft.com/sharepoint/v3/contenttype/forms"/>
  </ds:schemaRefs>
</ds:datastoreItem>
</file>

<file path=customXml/itemProps4.xml><?xml version="1.0" encoding="utf-8"?>
<ds:datastoreItem xmlns:ds="http://schemas.openxmlformats.org/officeDocument/2006/customXml" ds:itemID="{F88D913C-8C74-4B99-983A-9C4209B0F0DC}">
  <ds:schemaRefs>
    <ds:schemaRef ds:uri="http://schemas.microsoft.com/sharepoint/events"/>
  </ds:schemaRefs>
</ds:datastoreItem>
</file>

<file path=customXml/itemProps5.xml><?xml version="1.0" encoding="utf-8"?>
<ds:datastoreItem xmlns:ds="http://schemas.openxmlformats.org/officeDocument/2006/customXml" ds:itemID="{86E8F641-877D-43C0-98EF-5D032D0FCFA6}"/>
</file>

<file path=customXml/itemProps6.xml><?xml version="1.0" encoding="utf-8"?>
<ds:datastoreItem xmlns:ds="http://schemas.openxmlformats.org/officeDocument/2006/customXml" ds:itemID="{A3BC58E1-72EE-4569-AB5E-712139C4B19C}">
  <ds:schemaRefs>
    <ds:schemaRef ds:uri="http://schemas.openxmlformats.org/officeDocument/2006/bibliography"/>
  </ds:schemaRefs>
</ds:datastoreItem>
</file>

<file path=customXml/itemProps7.xml><?xml version="1.0" encoding="utf-8"?>
<ds:datastoreItem xmlns:ds="http://schemas.openxmlformats.org/officeDocument/2006/customXml" ds:itemID="{A17CDF5E-0916-4E38-9528-9238D5FFB32D}">
  <ds:schemaRefs>
    <ds:schemaRef ds:uri="http://schemas.openxmlformats.org/officeDocument/2006/bibliography"/>
  </ds:schemaRefs>
</ds:datastoreItem>
</file>

<file path=customXml/itemProps8.xml><?xml version="1.0" encoding="utf-8"?>
<ds:datastoreItem xmlns:ds="http://schemas.openxmlformats.org/officeDocument/2006/customXml" ds:itemID="{2E413E3A-7419-474C-A65B-19E24BE44C32}"/>
</file>

<file path=docProps/app.xml><?xml version="1.0" encoding="utf-8"?>
<Properties xmlns="http://schemas.openxmlformats.org/officeDocument/2006/extended-properties" xmlns:vt="http://schemas.openxmlformats.org/officeDocument/2006/docPropsVTypes">
  <Template>Normal.dotm</Template>
  <TotalTime>71</TotalTime>
  <Pages>10</Pages>
  <Words>2967</Words>
  <Characters>16915</Characters>
  <Application>Microsoft Office Word</Application>
  <DocSecurity>0</DocSecurity>
  <Lines>140</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19843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subject/>
  <dc:creator>Gibbons</dc:creator>
  <cp:keywords/>
  <dc:description/>
  <cp:lastModifiedBy>Hoffman, Nathalie Alexandra</cp:lastModifiedBy>
  <cp:revision>24</cp:revision>
  <cp:lastPrinted>2012-04-19T20:57:00Z</cp:lastPrinted>
  <dcterms:created xsi:type="dcterms:W3CDTF">2018-04-25T18:30:00Z</dcterms:created>
  <dcterms:modified xsi:type="dcterms:W3CDTF">2018-05-14T22:53:00Z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ub-Sector">
    <vt:lpwstr>87;#E-GOVERNMENT|281505e9-fdf9-47b0-b36a-d5df63f0fdea</vt:lpwstr>
  </property>
  <property fmtid="{D5CDD505-2E9C-101B-9397-08002B2CF9AE}" pid="6" name="Series Operations IDB">
    <vt:lpwstr/>
  </property>
  <property fmtid="{D5CDD505-2E9C-101B-9397-08002B2CF9AE}" pid="7" name="Country">
    <vt:lpwstr>26;#Bahamas|7662ea91-358d-4300-9a3d-1bdfe066f698</vt:lpwstr>
  </property>
  <property fmtid="{D5CDD505-2E9C-101B-9397-08002B2CF9AE}" pid="8" name="Fund IDB">
    <vt:lpwstr>29;#ORC|c028a4b2-ad8b-4cf4-9cac-a2ae6a778e23</vt:lpwstr>
  </property>
  <property fmtid="{D5CDD505-2E9C-101B-9397-08002B2CF9AE}" pid="9" name="Sector IDB">
    <vt:lpwstr>35;#REFORM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02f759e2-3570-4fe4-b0ef-30ae94491ae8</vt:lpwstr>
  </property>
  <property fmtid="{D5CDD505-2E9C-101B-9397-08002B2CF9AE}" pid="12" name="ContentTypeId">
    <vt:lpwstr>0x0101001A458A224826124E8B45B1D613300CFC00A32FB5EBD04BAB4FB80DEB0283C938E8</vt:lpwstr>
  </property>
</Properties>
</file>