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21A4D" w14:textId="5B691666" w:rsidR="00B16405" w:rsidRPr="00EF7D21" w:rsidRDefault="00287746">
      <w:pPr>
        <w:spacing w:before="200" w:after="200"/>
        <w:jc w:val="center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T</w:t>
      </w:r>
      <w:r w:rsidR="003C0942" w:rsidRPr="00EF7D21">
        <w:rPr>
          <w:rFonts w:ascii="Arial" w:hAnsi="Arial" w:cs="Arial"/>
          <w:b/>
          <w:lang w:val="es-ES_tradnl"/>
        </w:rPr>
        <w:t>ECHNICAL COOPERATION (T</w:t>
      </w:r>
      <w:r w:rsidRPr="00EF7D21">
        <w:rPr>
          <w:rFonts w:ascii="Arial" w:hAnsi="Arial" w:cs="Arial"/>
          <w:b/>
          <w:lang w:val="es-ES_tradnl"/>
        </w:rPr>
        <w:t>C</w:t>
      </w:r>
      <w:r w:rsidR="003C0942" w:rsidRPr="00EF7D21">
        <w:rPr>
          <w:rFonts w:ascii="Arial" w:hAnsi="Arial" w:cs="Arial"/>
          <w:b/>
          <w:lang w:val="es-ES_tradnl"/>
        </w:rPr>
        <w:t>)</w:t>
      </w:r>
      <w:r w:rsidRPr="00EF7D21">
        <w:rPr>
          <w:rFonts w:ascii="Arial" w:hAnsi="Arial" w:cs="Arial"/>
          <w:b/>
          <w:lang w:val="es-ES_tradnl"/>
        </w:rPr>
        <w:t xml:space="preserve"> ABSTRACT</w:t>
      </w:r>
    </w:p>
    <w:p w14:paraId="30A7D178" w14:textId="17F6EE89" w:rsidR="00B16405" w:rsidRPr="00EF7D21" w:rsidRDefault="00287746">
      <w:pPr>
        <w:spacing w:before="120" w:after="120"/>
        <w:ind w:left="579" w:hanging="579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I.</w:t>
      </w:r>
      <w:r w:rsidRPr="00EF7D21">
        <w:rPr>
          <w:rFonts w:ascii="Arial" w:hAnsi="Arial" w:cs="Arial"/>
          <w:b/>
          <w:lang w:val="es-ES_tradnl"/>
        </w:rPr>
        <w:tab/>
      </w:r>
      <w:r w:rsidR="00B81ECD" w:rsidRPr="00EF7D21">
        <w:rPr>
          <w:rFonts w:ascii="Arial" w:hAnsi="Arial" w:cs="Arial"/>
          <w:b/>
          <w:lang w:val="es-ES_tradnl"/>
        </w:rPr>
        <w:t>Datos Básicos del Proyecto</w:t>
      </w:r>
    </w:p>
    <w:tbl>
      <w:tblPr>
        <w:tblStyle w:val="TableGrid"/>
        <w:tblW w:w="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954"/>
        <w:gridCol w:w="5066"/>
      </w:tblGrid>
      <w:tr w:rsidR="00FC6A12" w:rsidRPr="00EF7D21" w14:paraId="23A4BCE7" w14:textId="77777777" w:rsidTr="00B81ECD">
        <w:trPr>
          <w:jc w:val="center"/>
        </w:trPr>
        <w:tc>
          <w:tcPr>
            <w:tcW w:w="4045" w:type="dxa"/>
          </w:tcPr>
          <w:p w14:paraId="311BA5BD" w14:textId="71C3DABB" w:rsidR="00B16405" w:rsidRPr="00EF7D21" w:rsidRDefault="00287746" w:rsidP="00B81ECD">
            <w:pPr>
              <w:spacing w:before="40" w:after="40"/>
              <w:ind w:left="115" w:hanging="115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País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/Regi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ó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n:</w:t>
            </w:r>
          </w:p>
        </w:tc>
        <w:tc>
          <w:tcPr>
            <w:tcW w:w="5197" w:type="dxa"/>
          </w:tcPr>
          <w:p w14:paraId="0CB1FF88" w14:textId="486BE9C5" w:rsidR="00B16405" w:rsidRPr="00EF7D21" w:rsidRDefault="00287746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PERU/CAN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–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Grupo Andino</w:t>
            </w:r>
          </w:p>
        </w:tc>
      </w:tr>
      <w:tr w:rsidR="00FC6A12" w:rsidRPr="00EF7D21" w14:paraId="3C4C609A" w14:textId="77777777" w:rsidTr="00B81ECD">
        <w:trPr>
          <w:jc w:val="center"/>
        </w:trPr>
        <w:tc>
          <w:tcPr>
            <w:tcW w:w="4045" w:type="dxa"/>
          </w:tcPr>
          <w:p w14:paraId="01EFC21D" w14:textId="189CFFCC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Nombre de la CT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65F67DFE" w14:textId="3551B24C" w:rsidR="00B16405" w:rsidRPr="00EF7D21" w:rsidRDefault="00B81ECD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Apoyo a la operación de 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SUNAFIL</w:t>
            </w:r>
          </w:p>
        </w:tc>
      </w:tr>
      <w:tr w:rsidR="00FC6A12" w:rsidRPr="00EF7D21" w14:paraId="1199E41A" w14:textId="77777777" w:rsidTr="00B81ECD">
        <w:trPr>
          <w:jc w:val="center"/>
        </w:trPr>
        <w:tc>
          <w:tcPr>
            <w:tcW w:w="4045" w:type="dxa"/>
          </w:tcPr>
          <w:p w14:paraId="5922D0EE" w14:textId="28A481B4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EF7D21">
              <w:rPr>
                <w:rFonts w:ascii="Arial" w:hAnsi="Arial" w:cs="Arial"/>
                <w:sz w:val="18"/>
                <w:szCs w:val="18"/>
                <w:lang w:val="es-ES_tradnl"/>
              </w:rPr>
              <w:t>Número de CT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27B62443" w14:textId="77777777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PE-T1410</w:t>
            </w:r>
          </w:p>
        </w:tc>
      </w:tr>
      <w:tr w:rsidR="00FC6A12" w:rsidRPr="00EF7D21" w14:paraId="3A190E28" w14:textId="77777777" w:rsidTr="00B81ECD">
        <w:trPr>
          <w:jc w:val="center"/>
        </w:trPr>
        <w:tc>
          <w:tcPr>
            <w:tcW w:w="4045" w:type="dxa"/>
          </w:tcPr>
          <w:p w14:paraId="57D0710A" w14:textId="411A6142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Jefe de equipo / Miembros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728D844A" w14:textId="2814B83D" w:rsidR="00B16405" w:rsidRPr="00EF7D21" w:rsidRDefault="003C0942" w:rsidP="003C0942">
            <w:pPr>
              <w:spacing w:before="40" w:after="40"/>
              <w:jc w:val="both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David Rosas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(SCL/LMK)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jefe de equipo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;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Mariano Bosch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(SCL/LMK)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jefe de equipo alterno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;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Jorge Saldana (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CAN/CPE);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Ethel Muhlstein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(SCL/LMK);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Maria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Teresa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Silva Porto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(SCL/LMK);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Andrea García Valero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(SC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L/LMK)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</w:tr>
      <w:tr w:rsidR="00FC6A12" w:rsidRPr="00EF7D21" w14:paraId="3BAE7B7E" w14:textId="77777777" w:rsidTr="00B81ECD">
        <w:trPr>
          <w:jc w:val="center"/>
        </w:trPr>
        <w:tc>
          <w:tcPr>
            <w:tcW w:w="4045" w:type="dxa"/>
          </w:tcPr>
          <w:p w14:paraId="6E40F75C" w14:textId="58AC7FB2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T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axonomía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4D5E74AA" w14:textId="77777777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Client Support</w:t>
            </w:r>
          </w:p>
        </w:tc>
      </w:tr>
      <w:tr w:rsidR="00FC6A12" w:rsidRPr="00EF7D21" w14:paraId="4FBD0E5E" w14:textId="77777777" w:rsidTr="00B81ECD">
        <w:trPr>
          <w:jc w:val="center"/>
        </w:trPr>
        <w:tc>
          <w:tcPr>
            <w:tcW w:w="4045" w:type="dxa"/>
          </w:tcPr>
          <w:p w14:paraId="7C2E40CB" w14:textId="1CBCAD06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Fecha de </w:t>
            </w:r>
            <w:r w:rsidR="00AC6281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Resumen de CT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1578A0C9" w14:textId="77777777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17 Jun 2019</w:t>
            </w:r>
          </w:p>
        </w:tc>
      </w:tr>
      <w:tr w:rsidR="00FC6A12" w:rsidRPr="00EF7D21" w14:paraId="1FE2BB83" w14:textId="77777777" w:rsidTr="00B81ECD">
        <w:trPr>
          <w:jc w:val="center"/>
        </w:trPr>
        <w:tc>
          <w:tcPr>
            <w:tcW w:w="4045" w:type="dxa"/>
          </w:tcPr>
          <w:p w14:paraId="22DD13B4" w14:textId="0573965F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Beneficia</w:t>
            </w:r>
            <w:r w:rsidR="00AC6281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rio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164994EB" w14:textId="3C65A858" w:rsidR="00B16405" w:rsidRPr="00EF7D21" w:rsidRDefault="00AC6281" w:rsidP="003C0942">
            <w:pPr>
              <w:spacing w:before="40" w:after="40"/>
              <w:jc w:val="both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Perú, a través de la 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Superintendencia Nacional de Fiscalización Laboral (SUNAFIL) </w:t>
            </w:r>
          </w:p>
        </w:tc>
      </w:tr>
      <w:tr w:rsidR="00FC6A12" w:rsidRPr="00EF7D21" w14:paraId="0470201C" w14:textId="77777777" w:rsidTr="00B81ECD">
        <w:trPr>
          <w:jc w:val="center"/>
        </w:trPr>
        <w:tc>
          <w:tcPr>
            <w:tcW w:w="4045" w:type="dxa"/>
          </w:tcPr>
          <w:p w14:paraId="584056A6" w14:textId="56C50633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AC6281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Agencia Ejecutora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3748F1C7" w14:textId="0D022F2C" w:rsidR="00B16405" w:rsidRPr="00EF7D21" w:rsidRDefault="003C0942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Banco Interamericano de Desarrollo, Sector Social, División de Mercados Laborales, David Rosas (davidro@iadb.org)</w:t>
            </w:r>
          </w:p>
        </w:tc>
      </w:tr>
      <w:tr w:rsidR="00FC6A12" w:rsidRPr="00EF7D21" w14:paraId="7A764589" w14:textId="77777777" w:rsidTr="00B81ECD">
        <w:trPr>
          <w:jc w:val="center"/>
        </w:trPr>
        <w:tc>
          <w:tcPr>
            <w:tcW w:w="4045" w:type="dxa"/>
          </w:tcPr>
          <w:p w14:paraId="5C8C8A38" w14:textId="3A779DDA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AC6281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Fondos BID solicitados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169F5B17" w14:textId="6DF5B5D2" w:rsidR="00B16405" w:rsidRPr="00EF7D21" w:rsidRDefault="00287746">
            <w:pPr>
              <w:bidi/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$ 200,000</w:t>
            </w:r>
          </w:p>
        </w:tc>
      </w:tr>
      <w:tr w:rsidR="00EF7D21" w:rsidRPr="00EF7D21" w14:paraId="7EB09887" w14:textId="77777777" w:rsidTr="00B81ECD">
        <w:trPr>
          <w:jc w:val="center"/>
        </w:trPr>
        <w:tc>
          <w:tcPr>
            <w:tcW w:w="4045" w:type="dxa"/>
          </w:tcPr>
          <w:p w14:paraId="7A345532" w14:textId="7D6D6A35" w:rsidR="00EF7D21" w:rsidRPr="00EF7D21" w:rsidRDefault="00EF7D21">
            <w:pPr>
              <w:spacing w:before="40" w:after="40"/>
              <w:ind w:left="115" w:hanging="115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 F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inanciamiento proveniente de:</w:t>
            </w:r>
          </w:p>
        </w:tc>
        <w:tc>
          <w:tcPr>
            <w:tcW w:w="5197" w:type="dxa"/>
          </w:tcPr>
          <w:p w14:paraId="44B56A02" w14:textId="7A81F6CB" w:rsidR="00EF7D21" w:rsidRPr="00EF7D21" w:rsidRDefault="00EF7D21" w:rsidP="0095649C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 w:hint="cs"/>
                <w:sz w:val="18"/>
                <w:szCs w:val="18"/>
                <w:rtl/>
                <w:lang w:val="es-ES_tradnl"/>
              </w:rPr>
              <w:t xml:space="preserve">Programa Estratégico para el Desarrollo Social </w:t>
            </w:r>
            <w:r w:rsidR="0095649C">
              <w:rPr>
                <w:rFonts w:ascii="Arial" w:hAnsi="Arial" w:cs="Arial" w:hint="cs"/>
                <w:sz w:val="18"/>
                <w:szCs w:val="18"/>
                <w:rtl/>
                <w:lang w:val="es-ES_tradnl"/>
              </w:rPr>
              <w:t>Financiado por el Capital Ordinario (SOC)</w:t>
            </w:r>
          </w:p>
        </w:tc>
      </w:tr>
      <w:tr w:rsidR="00FC6A12" w:rsidRPr="00EF7D21" w14:paraId="7ACE68D8" w14:textId="77777777" w:rsidTr="00B81ECD">
        <w:trPr>
          <w:jc w:val="center"/>
        </w:trPr>
        <w:tc>
          <w:tcPr>
            <w:tcW w:w="4045" w:type="dxa"/>
          </w:tcPr>
          <w:p w14:paraId="2656A437" w14:textId="70861CB1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AC6281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Fondos de contrapartida local:</w:t>
            </w:r>
          </w:p>
        </w:tc>
        <w:tc>
          <w:tcPr>
            <w:tcW w:w="5197" w:type="dxa"/>
          </w:tcPr>
          <w:p w14:paraId="64E686CE" w14:textId="1B460414" w:rsidR="00B16405" w:rsidRPr="00EF7D21" w:rsidRDefault="00287746">
            <w:pPr>
              <w:bidi/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$ 0</w:t>
            </w:r>
          </w:p>
        </w:tc>
      </w:tr>
      <w:tr w:rsidR="00FC6A12" w:rsidRPr="00EF7D21" w14:paraId="18AB5ABC" w14:textId="77777777" w:rsidTr="00B81ECD">
        <w:trPr>
          <w:jc w:val="center"/>
        </w:trPr>
        <w:tc>
          <w:tcPr>
            <w:tcW w:w="4045" w:type="dxa"/>
          </w:tcPr>
          <w:p w14:paraId="5B9928C5" w14:textId="3D19DB0A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Períodos de ejecución y desembolso:</w:t>
            </w:r>
          </w:p>
        </w:tc>
        <w:tc>
          <w:tcPr>
            <w:tcW w:w="5197" w:type="dxa"/>
          </w:tcPr>
          <w:p w14:paraId="1DBDE29D" w14:textId="5C8240E4" w:rsidR="00B16405" w:rsidRPr="00EF7D21" w:rsidRDefault="00287746">
            <w:pPr>
              <w:bidi/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24 </w:t>
            </w:r>
            <w:r w:rsidR="00083B7E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meses</w:t>
            </w:r>
          </w:p>
        </w:tc>
      </w:tr>
      <w:tr w:rsidR="00FC6A12" w:rsidRPr="00EF7D21" w14:paraId="09433AFE" w14:textId="77777777" w:rsidTr="00B81ECD">
        <w:trPr>
          <w:jc w:val="center"/>
        </w:trPr>
        <w:tc>
          <w:tcPr>
            <w:tcW w:w="4045" w:type="dxa"/>
          </w:tcPr>
          <w:p w14:paraId="00C48C88" w14:textId="644FF6E0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Tipos de consultores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0F4FF3A8" w14:textId="1BBBF01A" w:rsidR="00B16405" w:rsidRPr="00EF7D21" w:rsidRDefault="00FC6A12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Consultores individuales</w:t>
            </w:r>
            <w:r w:rsidR="00EF7D21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y Firmas Consultoras</w:t>
            </w:r>
          </w:p>
        </w:tc>
      </w:tr>
      <w:tr w:rsidR="00FC6A12" w:rsidRPr="00EF7D21" w14:paraId="1C3A8431" w14:textId="77777777" w:rsidTr="00B81ECD">
        <w:trPr>
          <w:jc w:val="center"/>
        </w:trPr>
        <w:tc>
          <w:tcPr>
            <w:tcW w:w="4045" w:type="dxa"/>
          </w:tcPr>
          <w:p w14:paraId="733AE1C6" w14:textId="1E58C2FB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Prepar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ado por Unidad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34F453AB" w14:textId="0D4A16D1" w:rsidR="00B16405" w:rsidRPr="00EF7D21" w:rsidRDefault="00FC6A12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División de Mercados Laborales 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(SCL/LMK)</w:t>
            </w:r>
          </w:p>
        </w:tc>
      </w:tr>
      <w:tr w:rsidR="00FC6A12" w:rsidRPr="00EF7D21" w14:paraId="715C428A" w14:textId="77777777" w:rsidTr="00B81ECD">
        <w:trPr>
          <w:jc w:val="center"/>
        </w:trPr>
        <w:tc>
          <w:tcPr>
            <w:tcW w:w="4045" w:type="dxa"/>
          </w:tcPr>
          <w:p w14:paraId="0BEE00B4" w14:textId="67C1C1E7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Uni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dad con Responsabilidad de Desembolso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:</w:t>
            </w:r>
          </w:p>
        </w:tc>
        <w:tc>
          <w:tcPr>
            <w:tcW w:w="5197" w:type="dxa"/>
          </w:tcPr>
          <w:p w14:paraId="449DB602" w14:textId="109C2EEC" w:rsidR="00B16405" w:rsidRPr="00EF7D21" w:rsidRDefault="00FC6A12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Sector 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Social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,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 través de 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SCL/LMK</w:t>
            </w:r>
          </w:p>
        </w:tc>
      </w:tr>
      <w:tr w:rsidR="00FC6A12" w:rsidRPr="00EF7D21" w14:paraId="190544E8" w14:textId="77777777" w:rsidTr="00B81ECD">
        <w:trPr>
          <w:jc w:val="center"/>
        </w:trPr>
        <w:tc>
          <w:tcPr>
            <w:tcW w:w="4045" w:type="dxa"/>
          </w:tcPr>
          <w:p w14:paraId="2B4C0FC8" w14:textId="339C3FE1" w:rsidR="00FC6A12" w:rsidRPr="00EF7D21" w:rsidRDefault="00287746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C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T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inclu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ida en Estrategia de País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(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/n):</w:t>
            </w:r>
          </w:p>
          <w:p w14:paraId="7B71A3D6" w14:textId="59CA3FCA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TC inclu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ida en CPD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s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/n):</w:t>
            </w:r>
          </w:p>
        </w:tc>
        <w:tc>
          <w:tcPr>
            <w:tcW w:w="5197" w:type="dxa"/>
          </w:tcPr>
          <w:p w14:paraId="4C2CF58A" w14:textId="77777777" w:rsidR="003C0942" w:rsidRPr="00EF7D21" w:rsidRDefault="00287746">
            <w:pPr>
              <w:spacing w:before="40" w:after="40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No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14:paraId="51A744BF" w14:textId="73D4800D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No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</w:tr>
      <w:tr w:rsidR="00FC6A12" w:rsidRPr="00EF7D21" w14:paraId="6F9D6DE1" w14:textId="77777777" w:rsidTr="00B81ECD">
        <w:trPr>
          <w:jc w:val="center"/>
        </w:trPr>
        <w:tc>
          <w:tcPr>
            <w:tcW w:w="4045" w:type="dxa"/>
          </w:tcPr>
          <w:p w14:paraId="7A3132DF" w14:textId="31AA9572" w:rsidR="00B16405" w:rsidRPr="00EF7D21" w:rsidRDefault="00287746">
            <w:pPr>
              <w:spacing w:before="40" w:after="40"/>
              <w:ind w:left="115" w:hanging="115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▪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Ali</w:t>
            </w:r>
            <w:r w:rsidR="00FC6A1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neación con la Actualización de la Estrategia Institucional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2010-2020:</w:t>
            </w:r>
          </w:p>
        </w:tc>
        <w:tc>
          <w:tcPr>
            <w:tcW w:w="5197" w:type="dxa"/>
          </w:tcPr>
          <w:p w14:paraId="4C7996DD" w14:textId="6EABC3CE" w:rsidR="00B16405" w:rsidRPr="00EF7D21" w:rsidRDefault="00FC6A12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Inclusión social e igualdad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;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y </w:t>
            </w:r>
            <w:r w:rsidR="003C0942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p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roductivi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dad e innovación.</w:t>
            </w:r>
          </w:p>
        </w:tc>
      </w:tr>
    </w:tbl>
    <w:p w14:paraId="058D4987" w14:textId="2388CCDA" w:rsidR="00B16405" w:rsidRPr="00EF7D21" w:rsidRDefault="00287746" w:rsidP="003C0942">
      <w:pPr>
        <w:spacing w:before="240" w:after="120"/>
        <w:ind w:left="579" w:hanging="579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II.</w:t>
      </w:r>
      <w:r w:rsidRPr="00EF7D21">
        <w:rPr>
          <w:rFonts w:ascii="Arial" w:hAnsi="Arial" w:cs="Arial"/>
          <w:b/>
          <w:lang w:val="es-ES_tradnl"/>
        </w:rPr>
        <w:tab/>
        <w:t>Obje</w:t>
      </w:r>
      <w:r w:rsidR="00FC6A12" w:rsidRPr="00EF7D21">
        <w:rPr>
          <w:rFonts w:ascii="Arial" w:hAnsi="Arial" w:cs="Arial"/>
          <w:b/>
          <w:lang w:val="es-ES_tradnl"/>
        </w:rPr>
        <w:t>tivo</w:t>
      </w:r>
      <w:r w:rsidRPr="00EF7D21">
        <w:rPr>
          <w:rFonts w:ascii="Arial" w:hAnsi="Arial" w:cs="Arial"/>
          <w:b/>
          <w:lang w:val="es-ES_tradnl"/>
        </w:rPr>
        <w:t xml:space="preserve"> </w:t>
      </w:r>
      <w:r w:rsidR="00FC6A12" w:rsidRPr="00EF7D21">
        <w:rPr>
          <w:rFonts w:ascii="Arial" w:hAnsi="Arial" w:cs="Arial"/>
          <w:b/>
          <w:lang w:val="es-ES_tradnl"/>
        </w:rPr>
        <w:t>y Justificación</w:t>
      </w:r>
    </w:p>
    <w:p w14:paraId="184A6C07" w14:textId="33B7A0DD" w:rsidR="00B16405" w:rsidRPr="00EF7D21" w:rsidRDefault="00287746">
      <w:pPr>
        <w:spacing w:before="120" w:after="12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2.1</w:t>
      </w:r>
      <w:r w:rsidRPr="00EF7D21">
        <w:rPr>
          <w:rFonts w:ascii="Arial" w:hAnsi="Arial" w:cs="Arial"/>
          <w:lang w:val="es-ES_tradnl"/>
        </w:rPr>
        <w:tab/>
      </w:r>
      <w:r w:rsidR="003C0942" w:rsidRPr="00EF7D21">
        <w:rPr>
          <w:rFonts w:ascii="Arial" w:hAnsi="Arial" w:cs="Arial"/>
          <w:lang w:val="es-ES_tradnl"/>
        </w:rPr>
        <w:t xml:space="preserve">Apoyar los esfuerzos del Gobierno de Perú </w:t>
      </w:r>
      <w:r w:rsidRPr="00EF7D21">
        <w:rPr>
          <w:rFonts w:ascii="Arial" w:hAnsi="Arial" w:cs="Arial"/>
          <w:lang w:val="es-ES_tradnl"/>
        </w:rPr>
        <w:t xml:space="preserve">(GOP) </w:t>
      </w:r>
      <w:r w:rsidR="003C0942" w:rsidRPr="00EF7D21">
        <w:rPr>
          <w:rFonts w:ascii="Arial" w:hAnsi="Arial" w:cs="Arial"/>
          <w:lang w:val="es-ES_tradnl"/>
        </w:rPr>
        <w:t>para incrementar la formalidad a través de inspecciones laborales más efectivas.</w:t>
      </w:r>
      <w:r w:rsidRPr="00EF7D21">
        <w:rPr>
          <w:rFonts w:ascii="Arial" w:hAnsi="Arial" w:cs="Arial"/>
          <w:lang w:val="es-ES_tradnl"/>
        </w:rPr>
        <w:t xml:space="preserve"> </w:t>
      </w:r>
      <w:r w:rsidR="003C0942" w:rsidRPr="00EF7D21">
        <w:rPr>
          <w:rFonts w:ascii="Arial" w:hAnsi="Arial" w:cs="Arial"/>
          <w:lang w:val="es-ES_tradnl"/>
        </w:rPr>
        <w:t>En particular, esta cooperación técnica financiará actividades de fortalecimiento de la capacidad gerencial interna de</w:t>
      </w:r>
      <w:r w:rsidRPr="00EF7D21">
        <w:rPr>
          <w:rFonts w:ascii="Arial" w:hAnsi="Arial" w:cs="Arial"/>
          <w:lang w:val="es-ES_tradnl"/>
        </w:rPr>
        <w:t xml:space="preserve"> SUNAFIL</w:t>
      </w:r>
      <w:r w:rsidR="003C0942" w:rsidRPr="00EF7D21">
        <w:rPr>
          <w:rFonts w:ascii="Arial" w:hAnsi="Arial" w:cs="Arial"/>
          <w:lang w:val="es-ES_tradnl"/>
        </w:rPr>
        <w:t xml:space="preserve"> para poder llevar a cabo inspecciones laborales a través de la innovación y transformación digital.</w:t>
      </w:r>
    </w:p>
    <w:p w14:paraId="7A1F13EB" w14:textId="61C542A5" w:rsidR="00B16405" w:rsidRPr="00EF7D21" w:rsidRDefault="00287746">
      <w:pPr>
        <w:spacing w:before="120" w:after="12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2.2</w:t>
      </w:r>
      <w:r w:rsidRPr="00EF7D21">
        <w:rPr>
          <w:rFonts w:ascii="Arial" w:hAnsi="Arial" w:cs="Arial"/>
          <w:lang w:val="es-ES_tradnl"/>
        </w:rPr>
        <w:tab/>
        <w:t xml:space="preserve">La informalidad laboral </w:t>
      </w:r>
      <w:r w:rsidRPr="00EF7D21">
        <w:rPr>
          <w:rFonts w:ascii="Arial" w:hAnsi="Arial" w:cs="Arial"/>
          <w:lang w:val="es-ES_tradnl"/>
        </w:rPr>
        <w:t>es elevada en Perú ya que afecta a un 72% de los t</w:t>
      </w:r>
      <w:r w:rsidRPr="00EF7D21">
        <w:rPr>
          <w:rFonts w:ascii="Arial" w:hAnsi="Arial" w:cs="Arial"/>
          <w:lang w:val="es-ES_tradnl"/>
        </w:rPr>
        <w:t>rabajadores (ENAHO, 2017). De estos, 76% trabaja en el sector informal, es decir en unidades productivas no registradas, y el resto en el sector formal (MTPE, 2018). La fiscalización laboral tiene un rol muy importante en promover el cumplimiento de la obl</w:t>
      </w:r>
      <w:r w:rsidRPr="00EF7D21">
        <w:rPr>
          <w:rFonts w:ascii="Arial" w:hAnsi="Arial" w:cs="Arial"/>
          <w:lang w:val="es-ES_tradnl"/>
        </w:rPr>
        <w:t>igación de las empresas de Perú de inscribir a sus trabajadores a la seguridad social. Sin embargo, la Superintendencia Nacional de Fiscalización Laboral (SUNAFIL) tiene una baja capacidad de fiscalización. Esto se ve reflejado en: (i)</w:t>
      </w:r>
      <w:r w:rsidR="003C0942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una larga duración d</w:t>
      </w:r>
      <w:r w:rsidRPr="00EF7D21">
        <w:rPr>
          <w:rFonts w:ascii="Arial" w:hAnsi="Arial" w:cs="Arial"/>
          <w:lang w:val="es-ES_tradnl"/>
        </w:rPr>
        <w:t>e los procesos de inspección. El tiempo promedio de la fiscalización laboral, desde la presentación de la denuncia hasta la resolución, supera los 500 días, y solo el 57% de las órdenes de inspección se cierran dentro del plazo de ley; (ii)</w:t>
      </w:r>
      <w:r w:rsidR="003C0942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una limitada ca</w:t>
      </w:r>
      <w:r w:rsidRPr="00EF7D21">
        <w:rPr>
          <w:rFonts w:ascii="Arial" w:hAnsi="Arial" w:cs="Arial"/>
          <w:lang w:val="es-ES_tradnl"/>
        </w:rPr>
        <w:t>pacidad para inspeccionar al universo de empresas. Entre 2014 y 2017, sólo unas 20</w:t>
      </w:r>
      <w:r w:rsidR="003C0942" w:rsidRPr="00EF7D21">
        <w:rPr>
          <w:rFonts w:ascii="Arial" w:hAnsi="Arial" w:cs="Arial"/>
          <w:lang w:val="es-ES_tradnl"/>
        </w:rPr>
        <w:t>.000</w:t>
      </w:r>
      <w:r w:rsidR="00083B7E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empresas recibieron una visita inspectiva de SUNAFIL, a pesar de que, tan solo el segmento de microempresas asciende a 3</w:t>
      </w:r>
      <w:r w:rsidR="003C0942" w:rsidRPr="00EF7D21">
        <w:rPr>
          <w:rFonts w:ascii="Arial" w:hAnsi="Arial" w:cs="Arial"/>
          <w:lang w:val="es-ES_tradnl"/>
        </w:rPr>
        <w:t>,</w:t>
      </w:r>
      <w:r w:rsidRPr="00EF7D21">
        <w:rPr>
          <w:rFonts w:ascii="Arial" w:hAnsi="Arial" w:cs="Arial"/>
          <w:lang w:val="es-ES_tradnl"/>
        </w:rPr>
        <w:t>7 millones (PNCP, 2018); (iii)</w:t>
      </w:r>
      <w:r w:rsidR="003C0942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una inspección re</w:t>
      </w:r>
      <w:r w:rsidRPr="00EF7D21">
        <w:rPr>
          <w:rFonts w:ascii="Arial" w:hAnsi="Arial" w:cs="Arial"/>
          <w:lang w:val="es-ES_tradnl"/>
        </w:rPr>
        <w:t xml:space="preserve">activa en lugar de proactiva o preventiva. El 60% de las inspecciones de 2017 fueron destinadas a inspecciones por denuncias en el sector formal (CPC, 2019). Esta baja capacidad de fiscalización se debe a: (i) un inadecuado mapeo y optimización </w:t>
      </w:r>
      <w:r w:rsidRPr="00EF7D21">
        <w:rPr>
          <w:rFonts w:ascii="Arial" w:hAnsi="Arial" w:cs="Arial"/>
          <w:lang w:val="es-ES_tradnl"/>
        </w:rPr>
        <w:lastRenderedPageBreak/>
        <w:t>de procesos</w:t>
      </w:r>
      <w:r w:rsidRPr="00EF7D21">
        <w:rPr>
          <w:rFonts w:ascii="Arial" w:hAnsi="Arial" w:cs="Arial"/>
          <w:lang w:val="es-ES_tradnl"/>
        </w:rPr>
        <w:t xml:space="preserve"> que permita hacer la inspección más eficiente y expedita; (ii) un insuficiente uso de las Tecnologías de Información y Comunicación (TIC), que permita el desarrollo de servicios digitales, y con ello ampliar la capacidad de atender a más empresas y trabaj</w:t>
      </w:r>
      <w:r w:rsidRPr="00EF7D21">
        <w:rPr>
          <w:rFonts w:ascii="Arial" w:hAnsi="Arial" w:cs="Arial"/>
          <w:lang w:val="es-ES_tradnl"/>
        </w:rPr>
        <w:t>adores</w:t>
      </w:r>
      <w:r w:rsidR="00083B7E" w:rsidRPr="00EF7D21">
        <w:rPr>
          <w:rFonts w:ascii="Arial" w:hAnsi="Arial" w:cs="Arial"/>
          <w:lang w:val="es-ES_tradnl"/>
        </w:rPr>
        <w:t>;</w:t>
      </w:r>
      <w:r w:rsidRPr="00EF7D21">
        <w:rPr>
          <w:rFonts w:ascii="Arial" w:hAnsi="Arial" w:cs="Arial"/>
          <w:lang w:val="es-ES_tradnl"/>
        </w:rPr>
        <w:t xml:space="preserve"> y (iii) una limitada capacidad para utilizar datos administrativos provenientes de diversas instituciones para desarrollar modelos de riesgo que permitan focalizar las inspecciones e incrementar su efectividad. El Gobierno de Perú (GOP) ha prioriza</w:t>
      </w:r>
      <w:r w:rsidRPr="00EF7D21">
        <w:rPr>
          <w:rFonts w:ascii="Arial" w:hAnsi="Arial" w:cs="Arial"/>
          <w:lang w:val="es-ES_tradnl"/>
        </w:rPr>
        <w:t>do la lucha contra la informalidad laboral. En 2018 aprobó la Política Nacional de Competitividad y Productividad (PNCP), la cual entre sus objetivos prioritarios considera: mejorar los procesos de fiscalización del cumplimiento de obligaciones laborales v</w:t>
      </w:r>
      <w:r w:rsidRPr="00EF7D21">
        <w:rPr>
          <w:rFonts w:ascii="Arial" w:hAnsi="Arial" w:cs="Arial"/>
          <w:lang w:val="es-ES_tradnl"/>
        </w:rPr>
        <w:t>igentes.</w:t>
      </w:r>
    </w:p>
    <w:p w14:paraId="154C143C" w14:textId="46EA2F5B" w:rsidR="00B16405" w:rsidRPr="00EF7D21" w:rsidRDefault="00287746" w:rsidP="00B81ECD">
      <w:pPr>
        <w:spacing w:before="240" w:after="120"/>
        <w:ind w:left="579" w:hanging="579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III.</w:t>
      </w:r>
      <w:r w:rsidRPr="00EF7D21">
        <w:rPr>
          <w:rFonts w:ascii="Arial" w:hAnsi="Arial" w:cs="Arial"/>
          <w:b/>
          <w:lang w:val="es-ES_tradnl"/>
        </w:rPr>
        <w:tab/>
        <w:t>Descrip</w:t>
      </w:r>
      <w:r w:rsidR="00083B7E" w:rsidRPr="00EF7D21">
        <w:rPr>
          <w:rFonts w:ascii="Arial" w:hAnsi="Arial" w:cs="Arial"/>
          <w:b/>
          <w:lang w:val="es-ES_tradnl"/>
        </w:rPr>
        <w:t xml:space="preserve">ción de Actividades y Productos </w:t>
      </w:r>
    </w:p>
    <w:p w14:paraId="22B11100" w14:textId="78B28CBD" w:rsidR="00B16405" w:rsidRPr="00EF7D21" w:rsidRDefault="00287746">
      <w:pPr>
        <w:spacing w:before="120" w:after="12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3.1</w:t>
      </w:r>
      <w:r w:rsidRPr="00EF7D21">
        <w:rPr>
          <w:rFonts w:ascii="Arial" w:hAnsi="Arial" w:cs="Arial"/>
          <w:lang w:val="es-ES_tradnl"/>
        </w:rPr>
        <w:tab/>
      </w:r>
      <w:r w:rsidRPr="00EF7D21">
        <w:rPr>
          <w:rFonts w:ascii="Arial" w:hAnsi="Arial" w:cs="Arial"/>
          <w:b/>
          <w:bCs/>
          <w:lang w:val="es-ES_tradnl"/>
        </w:rPr>
        <w:t>Componente 1: Apoyar el desarrollo de un mapeo de procesos de la SUNAFIL</w:t>
      </w:r>
      <w:r w:rsidRPr="00EF7D21">
        <w:rPr>
          <w:rFonts w:ascii="Arial" w:hAnsi="Arial" w:cs="Arial"/>
          <w:lang w:val="es-ES_tradnl"/>
        </w:rPr>
        <w:t>. Busca mejorar el mapeo y a optimalización de los procesos. Financiará las siguientes actividades: (i) desarrollo de un mapa de</w:t>
      </w:r>
      <w:r w:rsidRPr="00EF7D21">
        <w:rPr>
          <w:rFonts w:ascii="Arial" w:hAnsi="Arial" w:cs="Arial"/>
          <w:lang w:val="es-ES_tradnl"/>
        </w:rPr>
        <w:t xml:space="preserve"> procesos de la SUNAFIL a nivel 3, es decir, identificando macroprocesos, procesos, subprocesos y actividades</w:t>
      </w:r>
      <w:r w:rsidR="00083B7E" w:rsidRPr="00EF7D21">
        <w:rPr>
          <w:rFonts w:ascii="Arial" w:hAnsi="Arial" w:cs="Arial"/>
          <w:lang w:val="es-ES_tradnl"/>
        </w:rPr>
        <w:t>;</w:t>
      </w:r>
      <w:r w:rsidRPr="00EF7D21">
        <w:rPr>
          <w:rFonts w:ascii="Arial" w:hAnsi="Arial" w:cs="Arial"/>
          <w:lang w:val="es-ES_tradnl"/>
        </w:rPr>
        <w:t xml:space="preserve"> (ii) identificación de las actividades, subprocesos y procesos que se pueden hacer más eficientes utilizando las TIC</w:t>
      </w:r>
      <w:r w:rsidR="00083B7E" w:rsidRPr="00EF7D21">
        <w:rPr>
          <w:rFonts w:ascii="Arial" w:hAnsi="Arial" w:cs="Arial"/>
          <w:lang w:val="es-ES_tradnl"/>
        </w:rPr>
        <w:t>;</w:t>
      </w:r>
      <w:r w:rsidRPr="00EF7D21">
        <w:rPr>
          <w:rFonts w:ascii="Arial" w:hAnsi="Arial" w:cs="Arial"/>
          <w:lang w:val="es-ES_tradnl"/>
        </w:rPr>
        <w:t xml:space="preserve"> y (iii) elaboración de diag</w:t>
      </w:r>
      <w:r w:rsidRPr="00EF7D21">
        <w:rPr>
          <w:rFonts w:ascii="Arial" w:hAnsi="Arial" w:cs="Arial"/>
          <w:lang w:val="es-ES_tradnl"/>
        </w:rPr>
        <w:t>nóstico normativo y procedimental que permita evaluar la factibilidad de digitalizar actividades, subprocesos y procesos de inspección.</w:t>
      </w:r>
    </w:p>
    <w:p w14:paraId="7DE5E03F" w14:textId="695BE6C8" w:rsidR="00B16405" w:rsidRPr="00EF7D21" w:rsidRDefault="00287746">
      <w:pPr>
        <w:spacing w:before="120" w:after="12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3.2</w:t>
      </w:r>
      <w:r w:rsidRPr="00EF7D21">
        <w:rPr>
          <w:rFonts w:ascii="Arial" w:hAnsi="Arial" w:cs="Arial"/>
          <w:lang w:val="es-ES_tradnl"/>
        </w:rPr>
        <w:tab/>
      </w:r>
      <w:r w:rsidRPr="00EF7D21">
        <w:rPr>
          <w:rFonts w:ascii="Arial" w:hAnsi="Arial" w:cs="Arial"/>
          <w:b/>
          <w:bCs/>
          <w:lang w:val="es-ES_tradnl"/>
        </w:rPr>
        <w:t>Componente 2: Apoyar el diseño de una Estrategia de Digitalización de la SUNAFIL</w:t>
      </w:r>
      <w:r w:rsidRPr="00EF7D21">
        <w:rPr>
          <w:rFonts w:ascii="Arial" w:hAnsi="Arial" w:cs="Arial"/>
          <w:lang w:val="es-ES_tradnl"/>
        </w:rPr>
        <w:t>. Busca desarrollar una estrategia y</w:t>
      </w:r>
      <w:r w:rsidRPr="00EF7D21">
        <w:rPr>
          <w:rFonts w:ascii="Arial" w:hAnsi="Arial" w:cs="Arial"/>
          <w:lang w:val="es-ES_tradnl"/>
        </w:rPr>
        <w:t xml:space="preserve"> plan de acción sobre cómo el uso de las TIC puede contribuir a desarrollar modalidades innovadoras de inspección digital</w:t>
      </w:r>
      <w:r w:rsidR="00083B7E" w:rsidRPr="00EF7D21">
        <w:rPr>
          <w:rFonts w:ascii="Arial" w:hAnsi="Arial" w:cs="Arial"/>
          <w:lang w:val="es-ES_tradnl"/>
        </w:rPr>
        <w:t>,</w:t>
      </w:r>
      <w:r w:rsidRPr="00EF7D21">
        <w:rPr>
          <w:rFonts w:ascii="Arial" w:hAnsi="Arial" w:cs="Arial"/>
          <w:lang w:val="es-ES_tradnl"/>
        </w:rPr>
        <w:t xml:space="preserve"> basado en mejores prácticas internacionales. Financiará las siguientes actividades: (i)</w:t>
      </w:r>
      <w:r w:rsidR="00B81ECD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identificación de mejores prácticas internacio</w:t>
      </w:r>
      <w:r w:rsidRPr="00EF7D21">
        <w:rPr>
          <w:rFonts w:ascii="Arial" w:hAnsi="Arial" w:cs="Arial"/>
          <w:lang w:val="es-ES_tradnl"/>
        </w:rPr>
        <w:t>nales para incrementar la eficacia de la fiscalización laboral a través del uso efectivo de TIC</w:t>
      </w:r>
      <w:r w:rsidR="00083B7E" w:rsidRPr="00EF7D21">
        <w:rPr>
          <w:rFonts w:ascii="Arial" w:hAnsi="Arial" w:cs="Arial"/>
          <w:lang w:val="es-ES_tradnl"/>
        </w:rPr>
        <w:t>;</w:t>
      </w:r>
      <w:r w:rsidRPr="00EF7D21">
        <w:rPr>
          <w:rFonts w:ascii="Arial" w:hAnsi="Arial" w:cs="Arial"/>
          <w:lang w:val="es-ES_tradnl"/>
        </w:rPr>
        <w:t xml:space="preserve"> y (ii)</w:t>
      </w:r>
      <w:r w:rsidR="00B81ECD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desarrollo de una Estrategia de Digitalización de la SUNAFIL.</w:t>
      </w:r>
    </w:p>
    <w:p w14:paraId="7CF86C06" w14:textId="6C7EC32A" w:rsidR="00B16405" w:rsidRPr="00EF7D21" w:rsidRDefault="00287746" w:rsidP="00B81ECD">
      <w:pPr>
        <w:spacing w:before="120" w:after="12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3.3</w:t>
      </w:r>
      <w:r w:rsidRPr="00EF7D21">
        <w:rPr>
          <w:rFonts w:ascii="Arial" w:hAnsi="Arial" w:cs="Arial"/>
          <w:lang w:val="es-ES_tradnl"/>
        </w:rPr>
        <w:tab/>
      </w:r>
      <w:r w:rsidRPr="00EF7D21">
        <w:rPr>
          <w:rFonts w:ascii="Arial" w:hAnsi="Arial" w:cs="Arial"/>
          <w:b/>
          <w:bCs/>
          <w:lang w:val="es-ES_tradnl"/>
        </w:rPr>
        <w:t>Componente 3: Fortalecer la capacidad para utilizar datos para la inspección laboral</w:t>
      </w:r>
      <w:r w:rsidRPr="00EF7D21">
        <w:rPr>
          <w:rFonts w:ascii="Arial" w:hAnsi="Arial" w:cs="Arial"/>
          <w:lang w:val="es-ES_tradnl"/>
        </w:rPr>
        <w:t xml:space="preserve">. </w:t>
      </w:r>
      <w:r w:rsidRPr="00EF7D21">
        <w:rPr>
          <w:rFonts w:ascii="Arial" w:hAnsi="Arial" w:cs="Arial"/>
          <w:lang w:val="es-ES_tradnl"/>
        </w:rPr>
        <w:t>Busca mejorar la capacidad institucional para transformar los datos de diversas fuentes en información estratégica para incrementar la efectividad de la fiscalización laboral. Financiará las siguientes actividades: (i) desarrollo de indicadores a partir de</w:t>
      </w:r>
      <w:r w:rsidRPr="00EF7D21">
        <w:rPr>
          <w:rFonts w:ascii="Arial" w:hAnsi="Arial" w:cs="Arial"/>
          <w:lang w:val="es-ES_tradnl"/>
        </w:rPr>
        <w:t xml:space="preserve"> la Planilla Electrónica y el Sistema de Inspección del Trabajo para incorporar en el Repositorio Integrado de Información de la SUNAFIL</w:t>
      </w:r>
      <w:r w:rsidR="00083B7E" w:rsidRPr="00EF7D21">
        <w:rPr>
          <w:rFonts w:ascii="Arial" w:hAnsi="Arial" w:cs="Arial"/>
          <w:lang w:val="es-ES_tradnl"/>
        </w:rPr>
        <w:t>;</w:t>
      </w:r>
      <w:r w:rsidRPr="00EF7D21">
        <w:rPr>
          <w:rFonts w:ascii="Arial" w:hAnsi="Arial" w:cs="Arial"/>
          <w:lang w:val="es-ES_tradnl"/>
        </w:rPr>
        <w:t xml:space="preserve"> (ii)</w:t>
      </w:r>
      <w:r w:rsidR="00B81ECD" w:rsidRPr="00EF7D21">
        <w:rPr>
          <w:rFonts w:ascii="Arial" w:hAnsi="Arial" w:cs="Arial"/>
          <w:lang w:val="es-ES_tradnl"/>
        </w:rPr>
        <w:t> </w:t>
      </w:r>
      <w:r w:rsidRPr="00EF7D21">
        <w:rPr>
          <w:rFonts w:ascii="Arial" w:hAnsi="Arial" w:cs="Arial"/>
          <w:lang w:val="es-ES_tradnl"/>
        </w:rPr>
        <w:t>desarrollo de cubos de información que faciliten el análisis de los indicadores contenidos en el Repositorio Inte</w:t>
      </w:r>
      <w:r w:rsidRPr="00EF7D21">
        <w:rPr>
          <w:rFonts w:ascii="Arial" w:hAnsi="Arial" w:cs="Arial"/>
          <w:lang w:val="es-ES_tradnl"/>
        </w:rPr>
        <w:t>grado</w:t>
      </w:r>
      <w:r w:rsidR="00083B7E" w:rsidRPr="00EF7D21">
        <w:rPr>
          <w:rFonts w:ascii="Arial" w:hAnsi="Arial" w:cs="Arial"/>
          <w:lang w:val="es-ES_tradnl"/>
        </w:rPr>
        <w:t>;</w:t>
      </w:r>
      <w:r w:rsidRPr="00EF7D21">
        <w:rPr>
          <w:rFonts w:ascii="Arial" w:hAnsi="Arial" w:cs="Arial"/>
          <w:lang w:val="es-ES_tradnl"/>
        </w:rPr>
        <w:t xml:space="preserve"> y (iii) desarrollo de tableros de visualización a partir del Repositorio Integrado.</w:t>
      </w:r>
      <w:r w:rsidRPr="00EF7D21">
        <w:rPr>
          <w:rFonts w:ascii="Arial" w:hAnsi="Arial" w:cs="Arial"/>
          <w:lang w:val="es-ES_tradnl"/>
        </w:rPr>
        <w:t xml:space="preserve"> </w:t>
      </w:r>
    </w:p>
    <w:p w14:paraId="61552F31" w14:textId="13A6B779" w:rsidR="00B16405" w:rsidRPr="00EF7D21" w:rsidRDefault="00287746" w:rsidP="00B81ECD">
      <w:pPr>
        <w:spacing w:before="240" w:after="120"/>
        <w:ind w:left="579" w:hanging="579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I</w:t>
      </w:r>
      <w:r w:rsidRPr="00EF7D21">
        <w:rPr>
          <w:rFonts w:ascii="Arial" w:hAnsi="Arial" w:cs="Arial"/>
          <w:b/>
          <w:lang w:val="es-ES_tradnl"/>
        </w:rPr>
        <w:t>V.</w:t>
      </w:r>
      <w:r w:rsidRPr="00EF7D21">
        <w:rPr>
          <w:rFonts w:ascii="Arial" w:hAnsi="Arial" w:cs="Arial"/>
          <w:b/>
          <w:lang w:val="es-ES_tradnl"/>
        </w:rPr>
        <w:tab/>
      </w:r>
      <w:r w:rsidR="00083B7E" w:rsidRPr="00EF7D21">
        <w:rPr>
          <w:rFonts w:ascii="Arial" w:hAnsi="Arial" w:cs="Arial"/>
          <w:b/>
          <w:lang w:val="es-ES_tradnl"/>
        </w:rPr>
        <w:t>Presupuesto</w:t>
      </w:r>
    </w:p>
    <w:p w14:paraId="1C006550" w14:textId="32829071" w:rsidR="00B16405" w:rsidRPr="00EF7D21" w:rsidRDefault="00083B7E">
      <w:pPr>
        <w:spacing w:before="240" w:after="120"/>
        <w:jc w:val="center"/>
        <w:rPr>
          <w:lang w:val="es-ES_tradnl"/>
        </w:rPr>
      </w:pPr>
      <w:r w:rsidRPr="00EF7D21">
        <w:rPr>
          <w:rFonts w:ascii="Arial" w:hAnsi="Arial" w:cs="Arial"/>
          <w:b/>
          <w:sz w:val="18"/>
          <w:szCs w:val="18"/>
          <w:lang w:val="es-ES_tradnl"/>
        </w:rPr>
        <w:t>Presupuesto Indicativo</w:t>
      </w:r>
      <w:r w:rsidR="00B81ECD" w:rsidRPr="00EF7D21">
        <w:rPr>
          <w:rFonts w:ascii="Arial" w:hAnsi="Arial" w:cs="Arial"/>
          <w:b/>
          <w:sz w:val="18"/>
          <w:szCs w:val="18"/>
          <w:lang w:val="es-ES_tradnl"/>
        </w:rPr>
        <w:t xml:space="preserve"> (US$)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86"/>
        <w:gridCol w:w="1749"/>
        <w:gridCol w:w="1670"/>
        <w:gridCol w:w="1787"/>
      </w:tblGrid>
      <w:tr w:rsidR="00083B7E" w:rsidRPr="00EF7D21" w14:paraId="15A5E41E" w14:textId="77777777" w:rsidTr="00083B7E">
        <w:trPr>
          <w:jc w:val="center"/>
        </w:trPr>
        <w:tc>
          <w:tcPr>
            <w:tcW w:w="3686" w:type="dxa"/>
            <w:shd w:val="clear" w:color="auto" w:fill="B4C6E7" w:themeFill="accent1" w:themeFillTint="66"/>
            <w:vAlign w:val="center"/>
          </w:tcPr>
          <w:p w14:paraId="563B60DD" w14:textId="1EEE7B7A" w:rsidR="00B16405" w:rsidRPr="00EF7D21" w:rsidRDefault="00287746">
            <w:pPr>
              <w:spacing w:before="40" w:after="40"/>
              <w:jc w:val="center"/>
              <w:rPr>
                <w:lang w:val="es-ES_tradnl"/>
              </w:rPr>
            </w:pPr>
            <w:r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Activi</w:t>
            </w:r>
            <w:r w:rsidR="00083B7E"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dad</w:t>
            </w:r>
            <w:r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/Component</w:t>
            </w:r>
            <w:r w:rsidR="00083B7E"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</w:t>
            </w:r>
          </w:p>
        </w:tc>
        <w:tc>
          <w:tcPr>
            <w:tcW w:w="1749" w:type="dxa"/>
            <w:shd w:val="clear" w:color="auto" w:fill="B4C6E7" w:themeFill="accent1" w:themeFillTint="66"/>
          </w:tcPr>
          <w:p w14:paraId="4FE1FCC0" w14:textId="77777777" w:rsidR="00B16405" w:rsidRPr="00EF7D21" w:rsidRDefault="00287746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IDB/F</w:t>
            </w:r>
            <w:r w:rsidR="00083B7E"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ondo</w:t>
            </w:r>
          </w:p>
          <w:p w14:paraId="3EFFDDF8" w14:textId="1A18075E" w:rsidR="00083B7E" w:rsidRPr="00EF7D21" w:rsidRDefault="00083B7E">
            <w:pPr>
              <w:spacing w:before="40" w:after="40"/>
              <w:jc w:val="center"/>
              <w:rPr>
                <w:lang w:val="es-ES_tradnl"/>
              </w:rPr>
            </w:pPr>
            <w:r w:rsidRPr="00EF7D21">
              <w:rPr>
                <w:lang w:val="es-ES_tradnl"/>
              </w:rPr>
              <w:t>(</w:t>
            </w:r>
            <w:r w:rsidR="00EF7D21">
              <w:rPr>
                <w:lang w:val="es-ES_tradnl"/>
              </w:rPr>
              <w:t>SOC</w:t>
            </w:r>
            <w:r w:rsidRPr="00EF7D21">
              <w:rPr>
                <w:lang w:val="es-ES_tradnl"/>
              </w:rPr>
              <w:t>)</w:t>
            </w:r>
          </w:p>
        </w:tc>
        <w:tc>
          <w:tcPr>
            <w:tcW w:w="1670" w:type="dxa"/>
            <w:shd w:val="clear" w:color="auto" w:fill="B4C6E7" w:themeFill="accent1" w:themeFillTint="66"/>
          </w:tcPr>
          <w:p w14:paraId="78F34B35" w14:textId="14E51B6D" w:rsidR="00B16405" w:rsidRPr="00EF7D21" w:rsidRDefault="00083B7E">
            <w:pPr>
              <w:spacing w:before="40" w:after="40"/>
              <w:jc w:val="center"/>
              <w:rPr>
                <w:lang w:val="es-ES_tradnl"/>
              </w:rPr>
            </w:pPr>
            <w:r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Contrapartida</w:t>
            </w:r>
          </w:p>
        </w:tc>
        <w:tc>
          <w:tcPr>
            <w:tcW w:w="1787" w:type="dxa"/>
            <w:shd w:val="clear" w:color="auto" w:fill="B4C6E7" w:themeFill="accent1" w:themeFillTint="66"/>
          </w:tcPr>
          <w:p w14:paraId="28992179" w14:textId="773BB1A1" w:rsidR="00B16405" w:rsidRPr="00EF7D21" w:rsidRDefault="00287746">
            <w:pPr>
              <w:spacing w:before="40" w:after="40"/>
              <w:jc w:val="center"/>
              <w:rPr>
                <w:lang w:val="es-ES_tradnl"/>
              </w:rPr>
            </w:pPr>
            <w:r w:rsidRPr="00EF7D2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Total</w:t>
            </w:r>
          </w:p>
        </w:tc>
      </w:tr>
      <w:tr w:rsidR="00083B7E" w:rsidRPr="00EF7D21" w14:paraId="2320F7C3" w14:textId="77777777" w:rsidTr="00083B7E">
        <w:trPr>
          <w:jc w:val="center"/>
        </w:trPr>
        <w:tc>
          <w:tcPr>
            <w:tcW w:w="3686" w:type="dxa"/>
            <w:vAlign w:val="center"/>
          </w:tcPr>
          <w:p w14:paraId="182D1F7A" w14:textId="77777777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Componente 1. Apoyar el desarrollo de un mapeo de procesos de la SUNAFIL</w:t>
            </w:r>
          </w:p>
        </w:tc>
        <w:tc>
          <w:tcPr>
            <w:tcW w:w="1749" w:type="dxa"/>
            <w:vAlign w:val="center"/>
          </w:tcPr>
          <w:p w14:paraId="161D573A" w14:textId="5D3458CD" w:rsidR="00B16405" w:rsidRPr="00EF7D21" w:rsidRDefault="00287746" w:rsidP="00083B7E">
            <w:pPr>
              <w:spacing w:before="40" w:after="40"/>
              <w:ind w:right="380"/>
              <w:jc w:val="right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80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1670" w:type="dxa"/>
            <w:vAlign w:val="center"/>
          </w:tcPr>
          <w:p w14:paraId="7EA7FF9E" w14:textId="1930268C" w:rsidR="00B16405" w:rsidRPr="00EF7D21" w:rsidRDefault="00287746" w:rsidP="00083B7E">
            <w:pPr>
              <w:spacing w:before="40" w:after="40"/>
              <w:ind w:right="-14"/>
              <w:jc w:val="center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787" w:type="dxa"/>
            <w:vAlign w:val="center"/>
          </w:tcPr>
          <w:p w14:paraId="0E064F68" w14:textId="76F31984" w:rsidR="00B16405" w:rsidRPr="00EF7D21" w:rsidRDefault="00B81ECD" w:rsidP="00083B7E">
            <w:pPr>
              <w:spacing w:before="40" w:after="40"/>
              <w:ind w:right="380"/>
              <w:jc w:val="right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8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="00287746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</w:tr>
      <w:tr w:rsidR="00083B7E" w:rsidRPr="00EF7D21" w14:paraId="5B0A47B8" w14:textId="77777777" w:rsidTr="00083B7E">
        <w:trPr>
          <w:jc w:val="center"/>
        </w:trPr>
        <w:tc>
          <w:tcPr>
            <w:tcW w:w="3686" w:type="dxa"/>
            <w:vAlign w:val="center"/>
          </w:tcPr>
          <w:p w14:paraId="42CDC968" w14:textId="77777777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Componente 2. Apoyar el diseño de una Estrategia de Digitalización de la SUNAFIL.</w:t>
            </w:r>
          </w:p>
        </w:tc>
        <w:tc>
          <w:tcPr>
            <w:tcW w:w="1749" w:type="dxa"/>
            <w:vAlign w:val="center"/>
          </w:tcPr>
          <w:p w14:paraId="6BB48541" w14:textId="223F228F" w:rsidR="00B16405" w:rsidRPr="00EF7D21" w:rsidRDefault="00287746" w:rsidP="00083B7E">
            <w:pPr>
              <w:spacing w:before="40" w:after="40"/>
              <w:ind w:right="380"/>
              <w:jc w:val="right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40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1670" w:type="dxa"/>
            <w:vAlign w:val="center"/>
          </w:tcPr>
          <w:p w14:paraId="0768ECBA" w14:textId="674393B6" w:rsidR="00B16405" w:rsidRPr="00EF7D21" w:rsidRDefault="00287746" w:rsidP="00083B7E">
            <w:pPr>
              <w:spacing w:before="40" w:after="40"/>
              <w:ind w:right="-14"/>
              <w:jc w:val="center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787" w:type="dxa"/>
            <w:vAlign w:val="center"/>
          </w:tcPr>
          <w:p w14:paraId="5F4E5470" w14:textId="69170819" w:rsidR="00B16405" w:rsidRPr="00EF7D21" w:rsidRDefault="00287746" w:rsidP="00083B7E">
            <w:pPr>
              <w:spacing w:before="40" w:after="40"/>
              <w:ind w:right="380"/>
              <w:jc w:val="right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40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</w:tr>
      <w:tr w:rsidR="00083B7E" w:rsidRPr="00EF7D21" w14:paraId="59C48B89" w14:textId="77777777" w:rsidTr="00083B7E">
        <w:trPr>
          <w:jc w:val="center"/>
        </w:trPr>
        <w:tc>
          <w:tcPr>
            <w:tcW w:w="3686" w:type="dxa"/>
            <w:vAlign w:val="center"/>
          </w:tcPr>
          <w:p w14:paraId="346E416D" w14:textId="77777777" w:rsidR="00B16405" w:rsidRPr="00EF7D21" w:rsidRDefault="00287746">
            <w:pPr>
              <w:spacing w:before="40" w:after="40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Componente 3. Fortalecer la capacidad para utilizar datos para la inspección laboral. </w:t>
            </w:r>
          </w:p>
        </w:tc>
        <w:tc>
          <w:tcPr>
            <w:tcW w:w="1749" w:type="dxa"/>
            <w:vAlign w:val="center"/>
          </w:tcPr>
          <w:p w14:paraId="04D0B570" w14:textId="667384FC" w:rsidR="00B16405" w:rsidRPr="00EF7D21" w:rsidRDefault="00287746" w:rsidP="00083B7E">
            <w:pPr>
              <w:spacing w:before="40" w:after="40"/>
              <w:ind w:right="380"/>
              <w:jc w:val="right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80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1670" w:type="dxa"/>
            <w:vAlign w:val="center"/>
          </w:tcPr>
          <w:p w14:paraId="55CD3E10" w14:textId="26869891" w:rsidR="00B16405" w:rsidRPr="00EF7D21" w:rsidRDefault="00287746" w:rsidP="00083B7E">
            <w:pPr>
              <w:spacing w:before="40" w:after="40"/>
              <w:ind w:right="-14"/>
              <w:jc w:val="center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787" w:type="dxa"/>
            <w:vAlign w:val="center"/>
          </w:tcPr>
          <w:p w14:paraId="3DD2C461" w14:textId="3948E2B8" w:rsidR="00B16405" w:rsidRPr="00EF7D21" w:rsidRDefault="00287746" w:rsidP="00083B7E">
            <w:pPr>
              <w:spacing w:before="40" w:after="40"/>
              <w:ind w:right="380"/>
              <w:jc w:val="right"/>
              <w:rPr>
                <w:lang w:val="es-ES_tradnl"/>
              </w:rPr>
            </w:pP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80</w:t>
            </w:r>
            <w:r w:rsidR="00B81ECD" w:rsidRPr="00EF7D21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  <w:r w:rsidRPr="00EF7D21">
              <w:rPr>
                <w:rFonts w:ascii="Arial" w:hAnsi="Arial" w:cs="Arial"/>
                <w:sz w:val="18"/>
                <w:szCs w:val="18"/>
                <w:lang w:val="es-ES_tradnl"/>
              </w:rPr>
              <w:t>000</w:t>
            </w:r>
          </w:p>
        </w:tc>
      </w:tr>
      <w:tr w:rsidR="00083B7E" w:rsidRPr="00EF7D21" w14:paraId="387501CB" w14:textId="77777777" w:rsidTr="00083B7E">
        <w:trPr>
          <w:jc w:val="center"/>
        </w:trPr>
        <w:tc>
          <w:tcPr>
            <w:tcW w:w="3686" w:type="dxa"/>
            <w:shd w:val="clear" w:color="auto" w:fill="B4C6E7" w:themeFill="accent1" w:themeFillTint="66"/>
            <w:vAlign w:val="center"/>
          </w:tcPr>
          <w:p w14:paraId="6A1395BF" w14:textId="5D964934" w:rsidR="00B81ECD" w:rsidRPr="00EF7D21" w:rsidRDefault="00B81ECD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1749" w:type="dxa"/>
            <w:shd w:val="clear" w:color="auto" w:fill="B4C6E7" w:themeFill="accent1" w:themeFillTint="66"/>
            <w:vAlign w:val="center"/>
          </w:tcPr>
          <w:p w14:paraId="0C64A146" w14:textId="4DB7D35D" w:rsidR="00B81ECD" w:rsidRPr="00EF7D21" w:rsidRDefault="00B81ECD" w:rsidP="00083B7E">
            <w:pPr>
              <w:spacing w:before="40" w:after="40"/>
              <w:ind w:right="38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200.000</w:t>
            </w:r>
          </w:p>
        </w:tc>
        <w:tc>
          <w:tcPr>
            <w:tcW w:w="1670" w:type="dxa"/>
            <w:shd w:val="clear" w:color="auto" w:fill="B4C6E7" w:themeFill="accent1" w:themeFillTint="66"/>
            <w:vAlign w:val="center"/>
          </w:tcPr>
          <w:p w14:paraId="0B8BA897" w14:textId="41C60B7F" w:rsidR="00B81ECD" w:rsidRPr="00EF7D21" w:rsidRDefault="00B81ECD" w:rsidP="00083B7E">
            <w:pPr>
              <w:spacing w:before="40" w:after="40"/>
              <w:ind w:right="-1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787" w:type="dxa"/>
            <w:shd w:val="clear" w:color="auto" w:fill="B4C6E7" w:themeFill="accent1" w:themeFillTint="66"/>
            <w:vAlign w:val="center"/>
          </w:tcPr>
          <w:p w14:paraId="07CF5824" w14:textId="48DF2134" w:rsidR="00B81ECD" w:rsidRPr="00EF7D21" w:rsidRDefault="00B81ECD" w:rsidP="00083B7E">
            <w:pPr>
              <w:spacing w:before="40" w:after="40"/>
              <w:ind w:right="38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EF7D2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200.000</w:t>
            </w:r>
          </w:p>
        </w:tc>
      </w:tr>
    </w:tbl>
    <w:p w14:paraId="6429FFDA" w14:textId="437777E3" w:rsidR="00B16405" w:rsidRPr="00EF7D21" w:rsidRDefault="00287746" w:rsidP="00B81ECD">
      <w:pPr>
        <w:keepNext/>
        <w:spacing w:before="360" w:after="120"/>
        <w:ind w:left="576" w:hanging="576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V.</w:t>
      </w:r>
      <w:r w:rsidRPr="00EF7D21">
        <w:rPr>
          <w:rFonts w:ascii="Arial" w:hAnsi="Arial" w:cs="Arial"/>
          <w:b/>
          <w:lang w:val="es-ES_tradnl"/>
        </w:rPr>
        <w:tab/>
      </w:r>
      <w:r w:rsidR="00083B7E" w:rsidRPr="00EF7D21">
        <w:rPr>
          <w:rFonts w:ascii="Arial" w:hAnsi="Arial" w:cs="Arial"/>
          <w:b/>
          <w:lang w:val="es-ES_tradnl"/>
        </w:rPr>
        <w:t>Agencia Ejecutora y Estructura de Ejecución</w:t>
      </w:r>
    </w:p>
    <w:p w14:paraId="3A493C6A" w14:textId="718FAD42" w:rsidR="00B16405" w:rsidRPr="00EF7D21" w:rsidRDefault="00287746" w:rsidP="00B81ECD">
      <w:pPr>
        <w:keepNext/>
        <w:spacing w:before="200" w:after="200"/>
        <w:ind w:left="576" w:hanging="576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5.1</w:t>
      </w:r>
      <w:r w:rsidRPr="00EF7D21">
        <w:rPr>
          <w:rFonts w:ascii="Arial" w:hAnsi="Arial" w:cs="Arial"/>
          <w:lang w:val="es-ES_tradnl"/>
        </w:rPr>
        <w:tab/>
        <w:t>Por solicitud del país</w:t>
      </w:r>
      <w:r w:rsidRPr="00EF7D21">
        <w:rPr>
          <w:rFonts w:ascii="Arial" w:hAnsi="Arial" w:cs="Arial"/>
          <w:lang w:val="es-ES_tradnl"/>
        </w:rPr>
        <w:t xml:space="preserve">, el Banco administrará y ejecutará los recursos de la presente CT. Se hará cargo de esta tarea la División de Mercados Laborales </w:t>
      </w:r>
      <w:r w:rsidRPr="00EF7D21">
        <w:rPr>
          <w:rFonts w:ascii="Arial" w:hAnsi="Arial" w:cs="Arial"/>
          <w:lang w:val="es-ES_tradnl"/>
        </w:rPr>
        <w:t>(SCL/LMK) a través del especialista</w:t>
      </w:r>
      <w:r w:rsidRPr="00EF7D21">
        <w:rPr>
          <w:rFonts w:ascii="Arial" w:hAnsi="Arial" w:cs="Arial"/>
          <w:lang w:val="es-ES_tradnl"/>
        </w:rPr>
        <w:t xml:space="preserve"> sectorial, David Rosas (davidro@iadb.org). </w:t>
      </w:r>
    </w:p>
    <w:p w14:paraId="269F8FC4" w14:textId="6FA644C3" w:rsidR="00B16405" w:rsidRPr="00EF7D21" w:rsidRDefault="00287746">
      <w:pPr>
        <w:spacing w:before="200" w:after="20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5.2</w:t>
      </w:r>
      <w:r w:rsidRPr="00EF7D21">
        <w:rPr>
          <w:rFonts w:ascii="Arial" w:hAnsi="Arial" w:cs="Arial"/>
          <w:lang w:val="es-ES_tradnl"/>
        </w:rPr>
        <w:tab/>
        <w:t>Esta ejecución se justifica por la experiencia del Banco en el desarrollo de los instrumentos operativos y técnicos planteados para este tipo de operaciones, por el conocimiento del ámbit</w:t>
      </w:r>
      <w:r w:rsidRPr="00EF7D21">
        <w:rPr>
          <w:rFonts w:ascii="Arial" w:hAnsi="Arial" w:cs="Arial"/>
          <w:lang w:val="es-ES_tradnl"/>
        </w:rPr>
        <w:t xml:space="preserve">o de trabajo de este apoyo operativo y por la orientación de la CT hacia el apoyo al desarrollo de las medidas de política promovidas por la </w:t>
      </w:r>
      <w:r w:rsidR="00B81ECD" w:rsidRPr="00EF7D21">
        <w:rPr>
          <w:rFonts w:ascii="Arial" w:hAnsi="Arial" w:cs="Arial"/>
          <w:lang w:val="es-ES_tradnl"/>
        </w:rPr>
        <w:t xml:space="preserve">operación </w:t>
      </w:r>
      <w:r w:rsidRPr="00EF7D21">
        <w:rPr>
          <w:rFonts w:ascii="Arial" w:hAnsi="Arial" w:cs="Arial"/>
          <w:lang w:val="es-ES_tradnl"/>
        </w:rPr>
        <w:t>PE</w:t>
      </w:r>
      <w:r w:rsidR="00B81ECD" w:rsidRPr="00EF7D21">
        <w:rPr>
          <w:rFonts w:ascii="Arial" w:hAnsi="Arial" w:cs="Arial"/>
          <w:lang w:val="es-ES_tradnl"/>
        </w:rPr>
        <w:noBreakHyphen/>
      </w:r>
      <w:r w:rsidRPr="00EF7D21">
        <w:rPr>
          <w:rFonts w:ascii="Arial" w:hAnsi="Arial" w:cs="Arial"/>
          <w:lang w:val="es-ES_tradnl"/>
        </w:rPr>
        <w:t>L1245</w:t>
      </w:r>
      <w:r w:rsidR="00B81ECD" w:rsidRPr="00EF7D21">
        <w:rPr>
          <w:rFonts w:ascii="Arial" w:hAnsi="Arial" w:cs="Arial"/>
          <w:lang w:val="es-ES_tradnl"/>
        </w:rPr>
        <w:t xml:space="preserve"> en preparación,</w:t>
      </w:r>
      <w:r w:rsidRPr="00EF7D21">
        <w:rPr>
          <w:rFonts w:ascii="Arial" w:hAnsi="Arial" w:cs="Arial"/>
          <w:lang w:val="es-ES_tradnl"/>
        </w:rPr>
        <w:t xml:space="preserve"> liderada por SCL/LMK.</w:t>
      </w:r>
    </w:p>
    <w:p w14:paraId="525B2333" w14:textId="4D2218B0" w:rsidR="00B16405" w:rsidRPr="00EF7D21" w:rsidRDefault="00287746">
      <w:pPr>
        <w:spacing w:before="120" w:after="120"/>
        <w:ind w:left="579" w:hanging="579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VI.</w:t>
      </w:r>
      <w:r w:rsidRPr="00EF7D21">
        <w:rPr>
          <w:rFonts w:ascii="Arial" w:hAnsi="Arial" w:cs="Arial"/>
          <w:b/>
          <w:lang w:val="es-ES_tradnl"/>
        </w:rPr>
        <w:tab/>
      </w:r>
      <w:r w:rsidR="00EF7D21" w:rsidRPr="00EF7D21">
        <w:rPr>
          <w:rFonts w:ascii="Arial" w:hAnsi="Arial" w:cs="Arial"/>
          <w:b/>
          <w:lang w:val="es-ES_tradnl"/>
        </w:rPr>
        <w:t>Riesgos y otros Temas</w:t>
      </w:r>
    </w:p>
    <w:p w14:paraId="0D6242EF" w14:textId="77777777" w:rsidR="00B16405" w:rsidRPr="00EF7D21" w:rsidRDefault="00287746">
      <w:pPr>
        <w:spacing w:before="200" w:after="20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6.1</w:t>
      </w:r>
      <w:r w:rsidRPr="00EF7D21">
        <w:rPr>
          <w:rFonts w:ascii="Arial" w:hAnsi="Arial" w:cs="Arial"/>
          <w:lang w:val="es-ES_tradnl"/>
        </w:rPr>
        <w:tab/>
        <w:t xml:space="preserve">Al tratarse de una CT que produce </w:t>
      </w:r>
      <w:r w:rsidRPr="00EF7D21">
        <w:rPr>
          <w:rFonts w:ascii="Arial" w:hAnsi="Arial" w:cs="Arial"/>
          <w:lang w:val="es-ES_tradnl"/>
        </w:rPr>
        <w:t>exclusivamente documentos de informes y estudios, los cuales serán realizados mediante consultorías individuales y firmas contratadas por el Banco, no se identificaron</w:t>
      </w:r>
      <w:bookmarkStart w:id="0" w:name="_GoBack"/>
      <w:bookmarkEnd w:id="0"/>
      <w:r w:rsidRPr="00EF7D21">
        <w:rPr>
          <w:rFonts w:ascii="Arial" w:hAnsi="Arial" w:cs="Arial"/>
          <w:lang w:val="es-ES_tradnl"/>
        </w:rPr>
        <w:t xml:space="preserve"> riesgos sustanciales de carácter fiduciario, macroeconómico, de gestión política o rendi</w:t>
      </w:r>
      <w:r w:rsidRPr="00EF7D21">
        <w:rPr>
          <w:rFonts w:ascii="Arial" w:hAnsi="Arial" w:cs="Arial"/>
          <w:lang w:val="es-ES_tradnl"/>
        </w:rPr>
        <w:t>ción de cuentas.</w:t>
      </w:r>
    </w:p>
    <w:p w14:paraId="0DAE716A" w14:textId="02611E03" w:rsidR="00B16405" w:rsidRPr="00EF7D21" w:rsidRDefault="00287746">
      <w:pPr>
        <w:spacing w:before="120" w:after="120"/>
        <w:ind w:left="579" w:hanging="579"/>
        <w:rPr>
          <w:lang w:val="es-ES_tradnl"/>
        </w:rPr>
      </w:pPr>
      <w:r w:rsidRPr="00EF7D21">
        <w:rPr>
          <w:rFonts w:ascii="Arial" w:hAnsi="Arial" w:cs="Arial"/>
          <w:b/>
          <w:lang w:val="es-ES_tradnl"/>
        </w:rPr>
        <w:t>VII.</w:t>
      </w:r>
      <w:r w:rsidRPr="00EF7D21">
        <w:rPr>
          <w:rFonts w:ascii="Arial" w:hAnsi="Arial" w:cs="Arial"/>
          <w:b/>
          <w:lang w:val="es-ES_tradnl"/>
        </w:rPr>
        <w:tab/>
      </w:r>
      <w:r w:rsidR="00EF7D21" w:rsidRPr="00EF7D21">
        <w:rPr>
          <w:rFonts w:ascii="Arial" w:hAnsi="Arial" w:cs="Arial"/>
          <w:b/>
          <w:lang w:val="es-ES_tradnl"/>
        </w:rPr>
        <w:t>Clasificación Ambiental y Social</w:t>
      </w:r>
    </w:p>
    <w:p w14:paraId="7841B7E3" w14:textId="035D404B" w:rsidR="00B16405" w:rsidRPr="00EF7D21" w:rsidRDefault="00287746">
      <w:pPr>
        <w:spacing w:before="240" w:after="120"/>
        <w:ind w:left="579" w:hanging="579"/>
        <w:jc w:val="both"/>
        <w:rPr>
          <w:lang w:val="es-ES_tradnl"/>
        </w:rPr>
      </w:pPr>
      <w:r w:rsidRPr="00EF7D21">
        <w:rPr>
          <w:rFonts w:ascii="Arial" w:hAnsi="Arial" w:cs="Arial"/>
          <w:lang w:val="es-ES_tradnl"/>
        </w:rPr>
        <w:t>7.1</w:t>
      </w:r>
      <w:r w:rsidRPr="00EF7D21">
        <w:rPr>
          <w:rFonts w:ascii="Arial" w:hAnsi="Arial" w:cs="Arial"/>
          <w:lang w:val="es-ES_tradnl"/>
        </w:rPr>
        <w:tab/>
      </w:r>
      <w:r w:rsidR="00EF7D21" w:rsidRPr="00EF7D21">
        <w:rPr>
          <w:rFonts w:ascii="Arial" w:hAnsi="Arial" w:cs="Arial"/>
          <w:lang w:val="es-ES_tradnl"/>
        </w:rPr>
        <w:t xml:space="preserve">Dada su naturaleza, no se prevé que esta operación tenga un efecto ambiental o social negativo significativo. La clasificación para esta operación es </w:t>
      </w:r>
      <w:r w:rsidRPr="00EF7D21">
        <w:rPr>
          <w:rFonts w:ascii="Arial" w:hAnsi="Arial" w:cs="Arial"/>
          <w:lang w:val="es-ES_tradnl"/>
        </w:rPr>
        <w:t>"</w:t>
      </w:r>
      <w:r w:rsidR="00B81ECD" w:rsidRPr="00EF7D21">
        <w:rPr>
          <w:rFonts w:ascii="Arial" w:hAnsi="Arial" w:cs="Arial"/>
          <w:lang w:val="es-ES_tradnl"/>
        </w:rPr>
        <w:t>C</w:t>
      </w:r>
      <w:r w:rsidRPr="00EF7D21">
        <w:rPr>
          <w:rFonts w:ascii="Arial" w:hAnsi="Arial" w:cs="Arial"/>
          <w:lang w:val="es-ES_tradnl"/>
        </w:rPr>
        <w:t>"</w:t>
      </w:r>
      <w:r w:rsidR="00EF7D21" w:rsidRPr="00EF7D21">
        <w:rPr>
          <w:rFonts w:ascii="Arial" w:hAnsi="Arial" w:cs="Arial"/>
          <w:lang w:val="es-ES_tradnl"/>
        </w:rPr>
        <w:t>, según la OP-703</w:t>
      </w:r>
      <w:r w:rsidRPr="00EF7D21">
        <w:rPr>
          <w:rFonts w:ascii="Arial" w:hAnsi="Arial" w:cs="Arial"/>
          <w:lang w:val="es-ES_tradnl"/>
        </w:rPr>
        <w:t>.</w:t>
      </w:r>
    </w:p>
    <w:sectPr w:rsidR="00B16405" w:rsidRPr="00EF7D21" w:rsidSect="00FC3028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ABB64" w14:textId="77777777" w:rsidR="00287746" w:rsidRDefault="00287746">
      <w:r>
        <w:separator/>
      </w:r>
    </w:p>
  </w:endnote>
  <w:endnote w:type="continuationSeparator" w:id="0">
    <w:p w14:paraId="021C4C8A" w14:textId="77777777" w:rsidR="00287746" w:rsidRDefault="0028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00F4A" w14:textId="77777777" w:rsidR="009D472B" w:rsidRDefault="002877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D81C4" w14:textId="77777777" w:rsidR="009D472B" w:rsidRDefault="00287746"/>
  <w:p w14:paraId="16181825" w14:textId="77777777" w:rsidR="00B16405" w:rsidRDefault="00287746">
    <w:pPr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8F73" w14:textId="77777777" w:rsidR="009D472B" w:rsidRDefault="002877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DE53B" w14:textId="77777777" w:rsidR="00287746" w:rsidRDefault="00287746">
      <w:r>
        <w:separator/>
      </w:r>
    </w:p>
  </w:footnote>
  <w:footnote w:type="continuationSeparator" w:id="0">
    <w:p w14:paraId="09817AB2" w14:textId="77777777" w:rsidR="00287746" w:rsidRDefault="00287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083B7E"/>
    <w:rsid w:val="001915A3"/>
    <w:rsid w:val="00217F62"/>
    <w:rsid w:val="00287746"/>
    <w:rsid w:val="003C0942"/>
    <w:rsid w:val="0095649C"/>
    <w:rsid w:val="00A906D8"/>
    <w:rsid w:val="00AB5A74"/>
    <w:rsid w:val="00AC6281"/>
    <w:rsid w:val="00B16405"/>
    <w:rsid w:val="00B81ECD"/>
    <w:rsid w:val="00EF7D21"/>
    <w:rsid w:val="00F071AE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223A6"/>
  <w15:docId w15:val="{1BD4B434-155C-4BAC-8088-B3EC1A68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77BACFD44E74B42BD26AB8500A5C58C" ma:contentTypeVersion="2232" ma:contentTypeDescription="A content type to manage public (operations) IDB documents" ma:contentTypeScope="" ma:versionID="ea9a43869c8b41839c1505c7c497f46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Peru</TermName>
          <TermId xmlns="http://schemas.microsoft.com/office/infopath/2007/PartnerControls">c988f60b-81f1-4c24-8da7-d5473741c5b0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Rosas Shady, G. David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ORGANIZATIONS</TermName>
          <TermId xmlns="http://schemas.microsoft.com/office/infopath/2007/PartnerControls">3136f6e5-5fda-4a40-973f-0663eb27e4d8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29</Value>
      <Value>30</Value>
      <Value>135</Value>
      <Value>332</Value>
      <Value>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PE-T1410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EZSHARE-2118210162-6</_dlc_DocId>
    <_dlc_DocIdUrl xmlns="cdc7663a-08f0-4737-9e8c-148ce897a09c">
      <Url>https://idbg.sharepoint.com/teams/EZ-PE-TCP/PE-T1410/_layouts/15/DocIdRedir.aspx?ID=EZSHARE-2118210162-6</Url>
      <Description>EZSHARE-2118210162-6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C04DB1A7-0391-490B-9182-331684CDFF9F}"/>
</file>

<file path=customXml/itemProps2.xml><?xml version="1.0" encoding="utf-8"?>
<ds:datastoreItem xmlns:ds="http://schemas.openxmlformats.org/officeDocument/2006/customXml" ds:itemID="{97799BE7-487B-462D-AB4F-4B91C507CD61}"/>
</file>

<file path=customXml/itemProps3.xml><?xml version="1.0" encoding="utf-8"?>
<ds:datastoreItem xmlns:ds="http://schemas.openxmlformats.org/officeDocument/2006/customXml" ds:itemID="{53D69819-911D-4698-8524-C5B9DCE72CE2}"/>
</file>

<file path=customXml/itemProps4.xml><?xml version="1.0" encoding="utf-8"?>
<ds:datastoreItem xmlns:ds="http://schemas.openxmlformats.org/officeDocument/2006/customXml" ds:itemID="{6636F9F8-0C01-4281-B205-B575BBA103AE}"/>
</file>

<file path=customXml/itemProps5.xml><?xml version="1.0" encoding="utf-8"?>
<ds:datastoreItem xmlns:ds="http://schemas.openxmlformats.org/officeDocument/2006/customXml" ds:itemID="{6FA6EF41-19CD-4BB2-8FA7-06ECF37CA415}"/>
</file>

<file path=customXml/itemProps6.xml><?xml version="1.0" encoding="utf-8"?>
<ds:datastoreItem xmlns:ds="http://schemas.openxmlformats.org/officeDocument/2006/customXml" ds:itemID="{83F0203F-0793-4630-AFF3-2BCFC92ECE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1147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Muhlstein, Ethel Rosa</dc:creator>
  <cp:keywords/>
  <cp:lastModifiedBy>Muhlstein, Ethel Rosa</cp:lastModifiedBy>
  <cp:revision>2</cp:revision>
  <dcterms:created xsi:type="dcterms:W3CDTF">2019-07-08T20:10:00Z</dcterms:created>
  <dcterms:modified xsi:type="dcterms:W3CDTF">2019-07-08T20:10:00Z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332;#LABOR ORGANIZATIONS|3136f6e5-5fda-4a40-973f-0663eb27e4d8</vt:lpwstr>
  </property>
  <property fmtid="{D5CDD505-2E9C-101B-9397-08002B2CF9AE}" pid="7" name="Fund IDB">
    <vt:lpwstr>135;#SOC|3086ce3f-38db-462a-ad79-6fb1ca9264c8</vt:lpwstr>
  </property>
  <property fmtid="{D5CDD505-2E9C-101B-9397-08002B2CF9AE}" pid="8" name="Country">
    <vt:lpwstr>29;#Peru|c988f60b-81f1-4c24-8da7-d5473741c5b0</vt:lpwstr>
  </property>
  <property fmtid="{D5CDD505-2E9C-101B-9397-08002B2CF9AE}" pid="9" name="Sector IDB">
    <vt:lpwstr>30;#SOCIAL INVESTMENT|3f908695-d5b5-49f6-941f-76876b39564f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7fd26023-6eae-4637-bc13-d68836e1ffea</vt:lpwstr>
  </property>
  <property fmtid="{D5CDD505-2E9C-101B-9397-08002B2CF9AE}" pid="12" name="ContentTypeId">
    <vt:lpwstr>0x0101001A458A224826124E8B45B1D613300CFC00177BACFD44E74B42BD26AB8500A5C58C</vt:lpwstr>
  </property>
</Properties>
</file>