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3DB2B" w14:textId="13006C18" w:rsidR="00DB1D4A" w:rsidRPr="00563505" w:rsidRDefault="00217DD2" w:rsidP="005F2A77">
      <w:pPr>
        <w:spacing w:before="240" w:after="240"/>
        <w:jc w:val="center"/>
        <w:rPr>
          <w:lang w:val="es-ES"/>
        </w:rPr>
      </w:pPr>
      <w:r w:rsidRPr="005F2A77">
        <w:rPr>
          <w:rFonts w:ascii="Arial" w:hAnsi="Arial" w:cs="Arial"/>
          <w:b/>
          <w:sz w:val="24"/>
          <w:szCs w:val="24"/>
          <w:lang w:val="es-ES"/>
        </w:rPr>
        <w:t>Abstracto de Cooperación Técnica</w:t>
      </w:r>
    </w:p>
    <w:p w14:paraId="4B63DB2C" w14:textId="6D5C0B09" w:rsidR="00DB1D4A" w:rsidRPr="00563505" w:rsidRDefault="006E425E" w:rsidP="005F2A77">
      <w:pPr>
        <w:ind w:left="576" w:hanging="576"/>
        <w:rPr>
          <w:lang w:val="es-ES"/>
        </w:rPr>
      </w:pPr>
      <w:r w:rsidRPr="00563505">
        <w:rPr>
          <w:rFonts w:ascii="Arial" w:hAnsi="Arial" w:cs="Arial"/>
          <w:b/>
          <w:lang w:val="es-ES"/>
        </w:rPr>
        <w:t>I.</w:t>
      </w:r>
      <w:r w:rsidRPr="00563505">
        <w:rPr>
          <w:rFonts w:ascii="Arial" w:hAnsi="Arial" w:cs="Arial"/>
          <w:b/>
          <w:lang w:val="es-ES"/>
        </w:rPr>
        <w:tab/>
        <w:t>Información Básica del Proyecto</w:t>
      </w:r>
    </w:p>
    <w:tbl>
      <w:tblPr>
        <w:tblStyle w:val="TableGrid"/>
        <w:tblW w:w="0" w:type="auto"/>
        <w:jc w:val="center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4067"/>
        <w:gridCol w:w="5175"/>
      </w:tblGrid>
      <w:tr w:rsidR="00DB1D4A" w:rsidRPr="00563505" w14:paraId="4B63DB2F" w14:textId="77777777" w:rsidTr="005F2A77">
        <w:trPr>
          <w:jc w:val="center"/>
        </w:trPr>
        <w:tc>
          <w:tcPr>
            <w:tcW w:w="4067" w:type="dxa"/>
          </w:tcPr>
          <w:p w14:paraId="4B63DB2D" w14:textId="77777777" w:rsidR="00DB1D4A" w:rsidRPr="005F2A77" w:rsidRDefault="006E425E">
            <w:pPr>
              <w:spacing w:before="40" w:after="40"/>
              <w:ind w:left="115" w:hanging="115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▪ País/Región:</w:t>
            </w:r>
          </w:p>
        </w:tc>
        <w:tc>
          <w:tcPr>
            <w:tcW w:w="5175" w:type="dxa"/>
          </w:tcPr>
          <w:p w14:paraId="4B63DB2E" w14:textId="123F9430" w:rsidR="00DB1D4A" w:rsidRPr="005F2A77" w:rsidRDefault="006E425E">
            <w:pPr>
              <w:spacing w:before="40" w:after="40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ECUADOR</w:t>
            </w:r>
          </w:p>
        </w:tc>
      </w:tr>
      <w:tr w:rsidR="00DB1D4A" w:rsidRPr="005F2A77" w14:paraId="4B63DB32" w14:textId="77777777" w:rsidTr="005F2A77">
        <w:trPr>
          <w:jc w:val="center"/>
        </w:trPr>
        <w:tc>
          <w:tcPr>
            <w:tcW w:w="4067" w:type="dxa"/>
          </w:tcPr>
          <w:p w14:paraId="4B63DB30" w14:textId="77777777" w:rsidR="00DB1D4A" w:rsidRPr="005F2A77" w:rsidRDefault="006E425E">
            <w:pPr>
              <w:spacing w:before="40" w:after="40"/>
              <w:ind w:left="115" w:hanging="115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▪ Nombre de la CT:</w:t>
            </w:r>
          </w:p>
        </w:tc>
        <w:tc>
          <w:tcPr>
            <w:tcW w:w="5175" w:type="dxa"/>
          </w:tcPr>
          <w:p w14:paraId="4B63DB31" w14:textId="77777777" w:rsidR="00DB1D4A" w:rsidRPr="00563505" w:rsidRDefault="006E425E">
            <w:pPr>
              <w:spacing w:before="40" w:after="40"/>
              <w:rPr>
                <w:lang w:val="es-ES"/>
              </w:rPr>
            </w:pPr>
            <w:r w:rsidRPr="00563505">
              <w:rPr>
                <w:rFonts w:ascii="Arial" w:hAnsi="Arial" w:cs="Arial"/>
                <w:sz w:val="18"/>
                <w:szCs w:val="18"/>
                <w:lang w:val="es-ES"/>
              </w:rPr>
              <w:t>Fortalecimiento Institucional de los Gobiernos Locales en Ecuador y Estructuración Técnica de Proyectos de Movilidad Urbana Sostenible</w:t>
            </w:r>
          </w:p>
        </w:tc>
      </w:tr>
      <w:tr w:rsidR="00DB1D4A" w:rsidRPr="00563505" w14:paraId="4B63DB35" w14:textId="77777777" w:rsidTr="005F2A77">
        <w:trPr>
          <w:jc w:val="center"/>
        </w:trPr>
        <w:tc>
          <w:tcPr>
            <w:tcW w:w="4067" w:type="dxa"/>
          </w:tcPr>
          <w:p w14:paraId="4B63DB33" w14:textId="77777777" w:rsidR="00DB1D4A" w:rsidRPr="005F2A77" w:rsidRDefault="006E425E">
            <w:pPr>
              <w:spacing w:before="40" w:after="40"/>
              <w:ind w:left="115" w:hanging="115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▪ Número de CT:</w:t>
            </w:r>
          </w:p>
        </w:tc>
        <w:tc>
          <w:tcPr>
            <w:tcW w:w="5175" w:type="dxa"/>
          </w:tcPr>
          <w:p w14:paraId="4B63DB34" w14:textId="77777777" w:rsidR="00DB1D4A" w:rsidRPr="005F2A77" w:rsidRDefault="006E425E">
            <w:pPr>
              <w:spacing w:before="40" w:after="40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EC-T1442</w:t>
            </w:r>
          </w:p>
        </w:tc>
      </w:tr>
      <w:tr w:rsidR="00DB1D4A" w:rsidRPr="005F2A77" w14:paraId="4B63DB38" w14:textId="77777777" w:rsidTr="005F2A77">
        <w:trPr>
          <w:jc w:val="center"/>
        </w:trPr>
        <w:tc>
          <w:tcPr>
            <w:tcW w:w="4067" w:type="dxa"/>
          </w:tcPr>
          <w:p w14:paraId="4B63DB36" w14:textId="77777777" w:rsidR="00DB1D4A" w:rsidRPr="005F2A77" w:rsidRDefault="006E425E">
            <w:pPr>
              <w:spacing w:before="40" w:after="40"/>
              <w:ind w:left="115" w:hanging="115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 xml:space="preserve">▪ </w:t>
            </w:r>
            <w:proofErr w:type="gramStart"/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Jefe</w:t>
            </w:r>
            <w:proofErr w:type="gramEnd"/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 xml:space="preserve"> de Equipo/Miembros:</w:t>
            </w:r>
          </w:p>
        </w:tc>
        <w:tc>
          <w:tcPr>
            <w:tcW w:w="5175" w:type="dxa"/>
          </w:tcPr>
          <w:p w14:paraId="4B63DB37" w14:textId="77777777" w:rsidR="00DB1D4A" w:rsidRPr="00563505" w:rsidRDefault="006E425E">
            <w:pPr>
              <w:spacing w:before="40" w:after="40"/>
              <w:rPr>
                <w:lang w:val="es-ES"/>
              </w:rPr>
            </w:pPr>
            <w:r w:rsidRPr="00563505">
              <w:rPr>
                <w:rFonts w:ascii="Arial" w:hAnsi="Arial" w:cs="Arial"/>
                <w:sz w:val="18"/>
                <w:szCs w:val="18"/>
                <w:lang w:val="es-ES"/>
              </w:rPr>
              <w:t xml:space="preserve">ARMIJOS LERAY, JEAN POL (INE/TSP) Líder del Equipo; NAVAS DUK, CRISTIAN LEE (INE/TSP) </w:t>
            </w:r>
            <w:proofErr w:type="gramStart"/>
            <w:r w:rsidRPr="00563505">
              <w:rPr>
                <w:rFonts w:ascii="Arial" w:hAnsi="Arial" w:cs="Arial"/>
                <w:sz w:val="18"/>
                <w:szCs w:val="18"/>
                <w:lang w:val="es-ES"/>
              </w:rPr>
              <w:t>Jefe</w:t>
            </w:r>
            <w:proofErr w:type="gramEnd"/>
            <w:r w:rsidRPr="00563505">
              <w:rPr>
                <w:rFonts w:ascii="Arial" w:hAnsi="Arial" w:cs="Arial"/>
                <w:sz w:val="18"/>
                <w:szCs w:val="18"/>
                <w:lang w:val="es-ES"/>
              </w:rPr>
              <w:t xml:space="preserve"> Alterno del Equipo de Proyecto; SANCHEZ MALDONADO, ALEXANDRA (CAN/CEC); ESCUDERO, CAROLINA (VPC/FMP); ROSERO, MARIA DE LOS ANGELES (CAN/CEC); MOLINA VINTIMILLA, MARIA EMILIA (INE/TSP); ZAMBRANO-BARRAGAN, PATRICIO XAVIER (CSD/HUD); ACEVEDO ALAMEDA, PALOMA (CSD/HUD); RODRIGUEZ PINEDA, MARIO VINICIO (VPC/FMP); PONS ROMERO, MARIA (INE/TSP); GONZALO RODRIGUEZ VALVERDE (INE/TSP); GRECO, MARIA SOFIA (LEG/SGO)</w:t>
            </w:r>
          </w:p>
        </w:tc>
      </w:tr>
      <w:tr w:rsidR="00DB1D4A" w:rsidRPr="00563505" w14:paraId="4B63DB3B" w14:textId="77777777" w:rsidTr="005F2A77">
        <w:trPr>
          <w:jc w:val="center"/>
        </w:trPr>
        <w:tc>
          <w:tcPr>
            <w:tcW w:w="4067" w:type="dxa"/>
          </w:tcPr>
          <w:p w14:paraId="4B63DB39" w14:textId="77777777" w:rsidR="00DB1D4A" w:rsidRPr="005F2A77" w:rsidRDefault="006E425E">
            <w:pPr>
              <w:spacing w:before="40" w:after="40"/>
              <w:ind w:left="115" w:hanging="115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▪ Taxonomía:</w:t>
            </w:r>
          </w:p>
        </w:tc>
        <w:tc>
          <w:tcPr>
            <w:tcW w:w="5175" w:type="dxa"/>
          </w:tcPr>
          <w:p w14:paraId="4B63DB3A" w14:textId="77777777" w:rsidR="00DB1D4A" w:rsidRPr="005F2A77" w:rsidRDefault="006E425E">
            <w:pPr>
              <w:spacing w:before="40" w:after="40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Apoyo al Cliente</w:t>
            </w:r>
          </w:p>
        </w:tc>
      </w:tr>
      <w:tr w:rsidR="00DB1D4A" w:rsidRPr="00563505" w14:paraId="4B63DB3E" w14:textId="77777777" w:rsidTr="005F2A77">
        <w:trPr>
          <w:jc w:val="center"/>
        </w:trPr>
        <w:tc>
          <w:tcPr>
            <w:tcW w:w="4067" w:type="dxa"/>
          </w:tcPr>
          <w:p w14:paraId="4B63DB3C" w14:textId="77777777" w:rsidR="00DB1D4A" w:rsidRPr="00563505" w:rsidRDefault="006E425E">
            <w:pPr>
              <w:spacing w:before="40" w:after="40"/>
              <w:ind w:left="115" w:hanging="115"/>
              <w:rPr>
                <w:lang w:val="es-ES"/>
              </w:rPr>
            </w:pPr>
            <w:r w:rsidRPr="00563505">
              <w:rPr>
                <w:rFonts w:ascii="Arial" w:hAnsi="Arial" w:cs="Arial"/>
                <w:sz w:val="18"/>
                <w:szCs w:val="18"/>
                <w:lang w:val="es-ES"/>
              </w:rPr>
              <w:t>▪ Número y nombre de la operación que apoyará la CT:</w:t>
            </w:r>
          </w:p>
        </w:tc>
        <w:tc>
          <w:tcPr>
            <w:tcW w:w="5175" w:type="dxa"/>
          </w:tcPr>
          <w:p w14:paraId="4B63DB3D" w14:textId="77777777" w:rsidR="00DB1D4A" w:rsidRPr="005F2A77" w:rsidRDefault="006E425E">
            <w:pPr>
              <w:spacing w:before="40" w:after="40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N/A</w:t>
            </w:r>
          </w:p>
        </w:tc>
      </w:tr>
      <w:tr w:rsidR="00DB1D4A" w:rsidRPr="00563505" w14:paraId="4B63DB41" w14:textId="77777777" w:rsidTr="005F2A77">
        <w:trPr>
          <w:jc w:val="center"/>
        </w:trPr>
        <w:tc>
          <w:tcPr>
            <w:tcW w:w="4067" w:type="dxa"/>
          </w:tcPr>
          <w:p w14:paraId="4B63DB3F" w14:textId="77777777" w:rsidR="00DB1D4A" w:rsidRPr="00563505" w:rsidRDefault="006E425E">
            <w:pPr>
              <w:spacing w:before="40" w:after="40"/>
              <w:ind w:left="115" w:hanging="115"/>
              <w:rPr>
                <w:lang w:val="es-ES"/>
              </w:rPr>
            </w:pPr>
            <w:r w:rsidRPr="00563505">
              <w:rPr>
                <w:rFonts w:ascii="Arial" w:hAnsi="Arial" w:cs="Arial"/>
                <w:sz w:val="18"/>
                <w:szCs w:val="18"/>
                <w:lang w:val="es-ES"/>
              </w:rPr>
              <w:t>▪ Fecha del Abstracto de CT:</w:t>
            </w:r>
          </w:p>
        </w:tc>
        <w:tc>
          <w:tcPr>
            <w:tcW w:w="5175" w:type="dxa"/>
          </w:tcPr>
          <w:p w14:paraId="4B63DB40" w14:textId="2C24A325" w:rsidR="00DB1D4A" w:rsidRPr="005F2A77" w:rsidRDefault="006E425E">
            <w:pPr>
              <w:spacing w:before="40" w:after="40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 xml:space="preserve">21 </w:t>
            </w:r>
            <w:proofErr w:type="gramStart"/>
            <w:r w:rsidR="00555F2D">
              <w:rPr>
                <w:rFonts w:ascii="Arial" w:hAnsi="Arial" w:cs="Arial"/>
                <w:sz w:val="18"/>
                <w:szCs w:val="18"/>
                <w:lang w:val="es-ES"/>
              </w:rPr>
              <w:t>Enero</w:t>
            </w:r>
            <w:proofErr w:type="gramEnd"/>
            <w:r w:rsidR="00555F2D" w:rsidRPr="005F2A77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2022</w:t>
            </w:r>
          </w:p>
        </w:tc>
      </w:tr>
      <w:tr w:rsidR="00DB1D4A" w:rsidRPr="005F2A77" w14:paraId="4B63DB44" w14:textId="77777777" w:rsidTr="005F2A77">
        <w:trPr>
          <w:jc w:val="center"/>
        </w:trPr>
        <w:tc>
          <w:tcPr>
            <w:tcW w:w="4067" w:type="dxa"/>
          </w:tcPr>
          <w:p w14:paraId="4B63DB42" w14:textId="77777777" w:rsidR="00DB1D4A" w:rsidRPr="005F2A77" w:rsidRDefault="006E425E">
            <w:pPr>
              <w:spacing w:before="40" w:after="40"/>
              <w:ind w:left="115" w:hanging="115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▪ Beneficiario:</w:t>
            </w:r>
          </w:p>
        </w:tc>
        <w:tc>
          <w:tcPr>
            <w:tcW w:w="5175" w:type="dxa"/>
          </w:tcPr>
          <w:p w14:paraId="4B63DB43" w14:textId="149394A4" w:rsidR="00DB1D4A" w:rsidRPr="00563505" w:rsidRDefault="006E425E">
            <w:pPr>
              <w:spacing w:before="40" w:after="40"/>
              <w:rPr>
                <w:lang w:val="es-ES"/>
              </w:rPr>
            </w:pPr>
            <w:r w:rsidRPr="00563505">
              <w:rPr>
                <w:rFonts w:ascii="Arial" w:hAnsi="Arial" w:cs="Arial"/>
                <w:sz w:val="18"/>
                <w:szCs w:val="18"/>
                <w:lang w:val="es-ES"/>
              </w:rPr>
              <w:t xml:space="preserve">Ecuador – Gobiernos Autónomos Descentralizados (GAD)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m</w:t>
            </w:r>
            <w:r w:rsidRPr="00563505">
              <w:rPr>
                <w:rFonts w:ascii="Arial" w:hAnsi="Arial" w:cs="Arial"/>
                <w:sz w:val="18"/>
                <w:szCs w:val="18"/>
                <w:lang w:val="es-ES"/>
              </w:rPr>
              <w:t xml:space="preserve">unicipales </w:t>
            </w:r>
          </w:p>
        </w:tc>
      </w:tr>
      <w:tr w:rsidR="00DB1D4A" w:rsidRPr="00563505" w14:paraId="4B63DB47" w14:textId="77777777" w:rsidTr="005F2A77">
        <w:trPr>
          <w:jc w:val="center"/>
        </w:trPr>
        <w:tc>
          <w:tcPr>
            <w:tcW w:w="4067" w:type="dxa"/>
          </w:tcPr>
          <w:p w14:paraId="4B63DB45" w14:textId="77777777" w:rsidR="00DB1D4A" w:rsidRPr="005F2A77" w:rsidRDefault="006E425E">
            <w:pPr>
              <w:spacing w:before="40" w:after="40"/>
              <w:ind w:left="115" w:hanging="115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▪ Agencia Ejecutora:</w:t>
            </w:r>
          </w:p>
        </w:tc>
        <w:tc>
          <w:tcPr>
            <w:tcW w:w="5175" w:type="dxa"/>
          </w:tcPr>
          <w:p w14:paraId="4B63DB46" w14:textId="58221947" w:rsidR="00DB1D4A" w:rsidRPr="00563505" w:rsidRDefault="005F2A77">
            <w:pPr>
              <w:spacing w:before="40" w:after="40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 xml:space="preserve">Inter-American </w:t>
            </w:r>
            <w:proofErr w:type="spellStart"/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Development</w:t>
            </w:r>
            <w:proofErr w:type="spellEnd"/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 xml:space="preserve"> Bank</w:t>
            </w:r>
          </w:p>
        </w:tc>
      </w:tr>
      <w:tr w:rsidR="00DB1D4A" w:rsidRPr="00563505" w14:paraId="4B63DB4A" w14:textId="77777777" w:rsidTr="005F2A77">
        <w:trPr>
          <w:jc w:val="center"/>
        </w:trPr>
        <w:tc>
          <w:tcPr>
            <w:tcW w:w="4067" w:type="dxa"/>
          </w:tcPr>
          <w:p w14:paraId="4B63DB48" w14:textId="77777777" w:rsidR="00DB1D4A" w:rsidRPr="005F2A77" w:rsidRDefault="006E425E">
            <w:pPr>
              <w:spacing w:before="40" w:after="40"/>
              <w:ind w:left="115" w:hanging="115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▪ Financiamiento solicitado del BID:</w:t>
            </w:r>
          </w:p>
        </w:tc>
        <w:tc>
          <w:tcPr>
            <w:tcW w:w="5175" w:type="dxa"/>
          </w:tcPr>
          <w:p w14:paraId="4B63DB49" w14:textId="726C6596" w:rsidR="00DB1D4A" w:rsidRPr="005F2A77" w:rsidRDefault="006E425E">
            <w:pPr>
              <w:bidi/>
              <w:spacing w:before="40" w:after="40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US$300</w:t>
            </w:r>
            <w:r w:rsidR="00D23782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000</w:t>
            </w:r>
            <w:r w:rsidR="00D23782">
              <w:rPr>
                <w:rFonts w:ascii="Arial" w:hAnsi="Arial" w:cs="Arial"/>
                <w:sz w:val="18"/>
                <w:szCs w:val="18"/>
                <w:lang w:val="es-ES"/>
              </w:rPr>
              <w:t>,</w:t>
            </w: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00</w:t>
            </w:r>
          </w:p>
        </w:tc>
      </w:tr>
      <w:tr w:rsidR="00DB1D4A" w:rsidRPr="00563505" w14:paraId="4B63DB4D" w14:textId="77777777" w:rsidTr="005F2A77">
        <w:trPr>
          <w:jc w:val="center"/>
        </w:trPr>
        <w:tc>
          <w:tcPr>
            <w:tcW w:w="4067" w:type="dxa"/>
          </w:tcPr>
          <w:p w14:paraId="4B63DB4B" w14:textId="77777777" w:rsidR="00DB1D4A" w:rsidRPr="005F2A77" w:rsidRDefault="006E425E">
            <w:pPr>
              <w:spacing w:before="40" w:after="40"/>
              <w:ind w:left="115" w:hanging="115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▪ Contrapartida Local:</w:t>
            </w:r>
          </w:p>
        </w:tc>
        <w:tc>
          <w:tcPr>
            <w:tcW w:w="5175" w:type="dxa"/>
          </w:tcPr>
          <w:p w14:paraId="4B63DB4C" w14:textId="4382239A" w:rsidR="00DB1D4A" w:rsidRPr="005F2A77" w:rsidRDefault="006E425E">
            <w:pPr>
              <w:bidi/>
              <w:spacing w:before="40" w:after="40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US$0</w:t>
            </w:r>
            <w:r w:rsidR="00D23782">
              <w:rPr>
                <w:rFonts w:ascii="Arial" w:hAnsi="Arial" w:cs="Arial"/>
                <w:sz w:val="18"/>
                <w:szCs w:val="18"/>
                <w:lang w:val="es-ES"/>
              </w:rPr>
              <w:t>,</w:t>
            </w: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00</w:t>
            </w:r>
          </w:p>
        </w:tc>
      </w:tr>
      <w:tr w:rsidR="00DB1D4A" w:rsidRPr="00563505" w14:paraId="4B63DB50" w14:textId="77777777" w:rsidTr="005F2A77">
        <w:trPr>
          <w:jc w:val="center"/>
        </w:trPr>
        <w:tc>
          <w:tcPr>
            <w:tcW w:w="4067" w:type="dxa"/>
          </w:tcPr>
          <w:p w14:paraId="4B63DB4E" w14:textId="77777777" w:rsidR="00DB1D4A" w:rsidRPr="005F2A77" w:rsidRDefault="006E425E">
            <w:pPr>
              <w:spacing w:before="40" w:after="40"/>
              <w:ind w:left="115" w:hanging="115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▪ Periodo de Desembolso:</w:t>
            </w:r>
          </w:p>
        </w:tc>
        <w:tc>
          <w:tcPr>
            <w:tcW w:w="5175" w:type="dxa"/>
          </w:tcPr>
          <w:p w14:paraId="4B63DB4F" w14:textId="77777777" w:rsidR="00DB1D4A" w:rsidRPr="005F2A77" w:rsidRDefault="006E425E">
            <w:pPr>
              <w:bidi/>
              <w:spacing w:before="40" w:after="40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36 meses</w:t>
            </w:r>
          </w:p>
        </w:tc>
      </w:tr>
      <w:tr w:rsidR="00DB1D4A" w:rsidRPr="00563505" w14:paraId="4B63DB53" w14:textId="77777777" w:rsidTr="005F2A77">
        <w:trPr>
          <w:jc w:val="center"/>
        </w:trPr>
        <w:tc>
          <w:tcPr>
            <w:tcW w:w="4067" w:type="dxa"/>
          </w:tcPr>
          <w:p w14:paraId="4B63DB51" w14:textId="77777777" w:rsidR="00DB1D4A" w:rsidRPr="005F2A77" w:rsidRDefault="006E425E">
            <w:pPr>
              <w:spacing w:before="40" w:after="40"/>
              <w:ind w:left="115" w:hanging="115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▪ Tipos de consultores:</w:t>
            </w:r>
          </w:p>
        </w:tc>
        <w:tc>
          <w:tcPr>
            <w:tcW w:w="5175" w:type="dxa"/>
          </w:tcPr>
          <w:p w14:paraId="4B63DB52" w14:textId="7F67794F" w:rsidR="00DB1D4A" w:rsidRPr="005F2A77" w:rsidRDefault="006E425E">
            <w:pPr>
              <w:spacing w:before="40" w:after="40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Individuos</w:t>
            </w:r>
            <w:r w:rsidR="00D23782">
              <w:rPr>
                <w:rFonts w:ascii="Arial" w:hAnsi="Arial" w:cs="Arial"/>
                <w:sz w:val="18"/>
                <w:szCs w:val="18"/>
                <w:lang w:val="es-ES"/>
              </w:rPr>
              <w:t xml:space="preserve"> y</w:t>
            </w: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CB127F">
              <w:rPr>
                <w:rFonts w:ascii="Arial" w:hAnsi="Arial" w:cs="Arial"/>
                <w:sz w:val="18"/>
                <w:szCs w:val="18"/>
                <w:lang w:val="es-ES"/>
              </w:rPr>
              <w:t>e</w:t>
            </w: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mpresas</w:t>
            </w:r>
          </w:p>
        </w:tc>
      </w:tr>
      <w:tr w:rsidR="00DB1D4A" w:rsidRPr="00563505" w14:paraId="4B63DB56" w14:textId="77777777" w:rsidTr="005F2A77">
        <w:trPr>
          <w:jc w:val="center"/>
        </w:trPr>
        <w:tc>
          <w:tcPr>
            <w:tcW w:w="4067" w:type="dxa"/>
          </w:tcPr>
          <w:p w14:paraId="4B63DB54" w14:textId="77777777" w:rsidR="00DB1D4A" w:rsidRPr="005F2A77" w:rsidRDefault="006E425E">
            <w:pPr>
              <w:spacing w:before="40" w:after="40"/>
              <w:ind w:left="115" w:hanging="115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▪ Unidad Responsable de Preparación:</w:t>
            </w:r>
          </w:p>
        </w:tc>
        <w:tc>
          <w:tcPr>
            <w:tcW w:w="5175" w:type="dxa"/>
          </w:tcPr>
          <w:p w14:paraId="4B63DB55" w14:textId="53E5CD2F" w:rsidR="00DB1D4A" w:rsidRPr="005F2A77" w:rsidRDefault="006E425E">
            <w:pPr>
              <w:spacing w:before="40" w:after="40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INE/TSP-Transporte</w:t>
            </w:r>
          </w:p>
        </w:tc>
      </w:tr>
      <w:tr w:rsidR="00DB1D4A" w:rsidRPr="00563505" w14:paraId="4B63DB59" w14:textId="77777777" w:rsidTr="005F2A77">
        <w:trPr>
          <w:jc w:val="center"/>
        </w:trPr>
        <w:tc>
          <w:tcPr>
            <w:tcW w:w="4067" w:type="dxa"/>
          </w:tcPr>
          <w:p w14:paraId="4B63DB57" w14:textId="77777777" w:rsidR="00DB1D4A" w:rsidRPr="005F2A77" w:rsidRDefault="006E425E">
            <w:pPr>
              <w:spacing w:before="40" w:after="40"/>
              <w:ind w:left="115" w:hanging="115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▪ Unidad Responsable de Desembolso:</w:t>
            </w:r>
          </w:p>
        </w:tc>
        <w:tc>
          <w:tcPr>
            <w:tcW w:w="5175" w:type="dxa"/>
          </w:tcPr>
          <w:p w14:paraId="4B63DB58" w14:textId="63082926" w:rsidR="00DB1D4A" w:rsidRPr="005F2A77" w:rsidRDefault="006E425E">
            <w:pPr>
              <w:spacing w:before="40" w:after="40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CAN/CEC-Representación Ecuador</w:t>
            </w:r>
          </w:p>
        </w:tc>
      </w:tr>
      <w:tr w:rsidR="00DB1D4A" w:rsidRPr="00563505" w14:paraId="4B63DB5C" w14:textId="77777777" w:rsidTr="005F2A77">
        <w:trPr>
          <w:jc w:val="center"/>
        </w:trPr>
        <w:tc>
          <w:tcPr>
            <w:tcW w:w="4067" w:type="dxa"/>
          </w:tcPr>
          <w:p w14:paraId="4B63DB5A" w14:textId="4B1F7C68" w:rsidR="00DB1D4A" w:rsidRPr="00563505" w:rsidRDefault="006E425E">
            <w:pPr>
              <w:spacing w:before="40" w:after="40"/>
              <w:rPr>
                <w:lang w:val="es-ES"/>
              </w:rPr>
            </w:pPr>
            <w:r w:rsidRPr="00563505">
              <w:rPr>
                <w:rFonts w:ascii="Arial" w:hAnsi="Arial" w:cs="Arial"/>
                <w:sz w:val="18"/>
                <w:szCs w:val="18"/>
                <w:lang w:val="es-ES"/>
              </w:rPr>
              <w:t>▪ CT incluida en la Estrategia de País (s/n):</w:t>
            </w:r>
            <w:r w:rsidRPr="00563505">
              <w:rPr>
                <w:rFonts w:ascii="Arial" w:hAnsi="Arial" w:cs="Arial"/>
                <w:sz w:val="18"/>
                <w:szCs w:val="18"/>
                <w:lang w:val="es-ES"/>
              </w:rPr>
              <w:br/>
              <w:t>▪ CT incluida en CPD (s/n):</w:t>
            </w:r>
          </w:p>
        </w:tc>
        <w:tc>
          <w:tcPr>
            <w:tcW w:w="5175" w:type="dxa"/>
          </w:tcPr>
          <w:p w14:paraId="4B63DB5B" w14:textId="11F48750" w:rsidR="00DB1D4A" w:rsidRPr="005F2A77" w:rsidRDefault="006E425E">
            <w:pPr>
              <w:spacing w:before="40" w:after="40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Sí</w:t>
            </w: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br/>
            </w:r>
            <w:proofErr w:type="spellStart"/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Sí</w:t>
            </w:r>
            <w:proofErr w:type="spellEnd"/>
          </w:p>
        </w:tc>
      </w:tr>
      <w:tr w:rsidR="00DB1D4A" w:rsidRPr="005F2A77" w14:paraId="4B63DB5F" w14:textId="77777777" w:rsidTr="005F2A77">
        <w:trPr>
          <w:jc w:val="center"/>
        </w:trPr>
        <w:tc>
          <w:tcPr>
            <w:tcW w:w="4067" w:type="dxa"/>
          </w:tcPr>
          <w:p w14:paraId="4B63DB5D" w14:textId="779786A7" w:rsidR="00DB1D4A" w:rsidRPr="00563505" w:rsidRDefault="006E425E">
            <w:pPr>
              <w:spacing w:before="40" w:after="40"/>
              <w:ind w:left="115" w:hanging="115"/>
              <w:rPr>
                <w:lang w:val="es-ES"/>
              </w:rPr>
            </w:pPr>
            <w:r w:rsidRPr="00563505">
              <w:rPr>
                <w:rFonts w:ascii="Arial" w:hAnsi="Arial" w:cs="Arial"/>
                <w:sz w:val="18"/>
                <w:szCs w:val="18"/>
                <w:lang w:val="es-ES"/>
              </w:rPr>
              <w:t xml:space="preserve">▪ Alineación a la Actualización de la Estrategia Institucional </w:t>
            </w:r>
            <w:r w:rsidR="00AD26B9" w:rsidRPr="00563505">
              <w:rPr>
                <w:rFonts w:ascii="Arial" w:hAnsi="Arial" w:cs="Arial"/>
                <w:sz w:val="18"/>
                <w:szCs w:val="18"/>
                <w:lang w:val="es-ES"/>
              </w:rPr>
              <w:t>20</w:t>
            </w:r>
            <w:r w:rsidR="00AD26B9">
              <w:rPr>
                <w:rFonts w:ascii="Arial" w:hAnsi="Arial" w:cs="Arial"/>
                <w:sz w:val="18"/>
                <w:szCs w:val="18"/>
                <w:lang w:val="es-ES"/>
              </w:rPr>
              <w:t>20</w:t>
            </w:r>
            <w:r w:rsidRPr="00563505">
              <w:rPr>
                <w:rFonts w:ascii="Arial" w:hAnsi="Arial" w:cs="Arial"/>
                <w:sz w:val="18"/>
                <w:szCs w:val="18"/>
                <w:lang w:val="es-ES"/>
              </w:rPr>
              <w:t>-202</w:t>
            </w:r>
            <w:r w:rsidR="00AD26B9">
              <w:rPr>
                <w:rFonts w:ascii="Arial" w:hAnsi="Arial" w:cs="Arial"/>
                <w:sz w:val="18"/>
                <w:szCs w:val="18"/>
                <w:lang w:val="es-ES"/>
              </w:rPr>
              <w:t>3</w:t>
            </w:r>
            <w:r w:rsidRPr="00563505">
              <w:rPr>
                <w:rFonts w:ascii="Arial" w:hAnsi="Arial" w:cs="Arial"/>
                <w:sz w:val="18"/>
                <w:szCs w:val="18"/>
                <w:lang w:val="es-ES"/>
              </w:rPr>
              <w:t>:</w:t>
            </w:r>
          </w:p>
        </w:tc>
        <w:tc>
          <w:tcPr>
            <w:tcW w:w="5175" w:type="dxa"/>
          </w:tcPr>
          <w:p w14:paraId="4B63DB5E" w14:textId="77777777" w:rsidR="00DB1D4A" w:rsidRPr="00563505" w:rsidRDefault="006E425E">
            <w:pPr>
              <w:spacing w:before="40" w:after="40"/>
              <w:rPr>
                <w:lang w:val="es-ES"/>
              </w:rPr>
            </w:pPr>
            <w:r w:rsidRPr="00563505">
              <w:rPr>
                <w:rFonts w:ascii="Arial" w:hAnsi="Arial" w:cs="Arial"/>
                <w:sz w:val="18"/>
                <w:szCs w:val="18"/>
                <w:lang w:val="es-ES"/>
              </w:rPr>
              <w:t>Inclusión social e igualdad; Productividad e innovación; Capacidad institucional y estado de derecho; Sostenibilidad ambiental; Igualdad de género; Diversidad</w:t>
            </w:r>
          </w:p>
        </w:tc>
      </w:tr>
    </w:tbl>
    <w:p w14:paraId="4B63DB63" w14:textId="7F2041EA" w:rsidR="00DB1D4A" w:rsidRPr="00563505" w:rsidRDefault="006E425E">
      <w:pPr>
        <w:ind w:left="579" w:hanging="579"/>
        <w:rPr>
          <w:lang w:val="es-ES"/>
        </w:rPr>
      </w:pPr>
      <w:r w:rsidRPr="00563505">
        <w:rPr>
          <w:rFonts w:ascii="Arial" w:hAnsi="Arial" w:cs="Arial"/>
          <w:b/>
          <w:lang w:val="es-ES"/>
        </w:rPr>
        <w:t>II.</w:t>
      </w:r>
      <w:r w:rsidRPr="00563505">
        <w:rPr>
          <w:rFonts w:ascii="Arial" w:hAnsi="Arial" w:cs="Arial"/>
          <w:b/>
          <w:lang w:val="es-ES"/>
        </w:rPr>
        <w:tab/>
        <w:t>Objetivos y Justificación de la CT</w:t>
      </w:r>
    </w:p>
    <w:p w14:paraId="4B63DB64" w14:textId="3FFC8F27" w:rsidR="00DB1D4A" w:rsidRPr="00563505" w:rsidRDefault="006E425E" w:rsidP="005F2A77">
      <w:pPr>
        <w:ind w:left="576" w:hanging="576"/>
        <w:jc w:val="both"/>
        <w:rPr>
          <w:lang w:val="es-ES"/>
        </w:rPr>
      </w:pPr>
      <w:r w:rsidRPr="00563505">
        <w:rPr>
          <w:rFonts w:ascii="Arial" w:hAnsi="Arial" w:cs="Arial"/>
          <w:lang w:val="es-ES"/>
        </w:rPr>
        <w:t>2.1</w:t>
      </w:r>
      <w:r w:rsidRPr="00563505">
        <w:rPr>
          <w:rFonts w:ascii="Arial" w:hAnsi="Arial" w:cs="Arial"/>
          <w:lang w:val="es-ES"/>
        </w:rPr>
        <w:tab/>
        <w:t xml:space="preserve">Apoyar al fortalecimiento de los GAD </w:t>
      </w:r>
      <w:r>
        <w:rPr>
          <w:rFonts w:ascii="Arial" w:hAnsi="Arial" w:cs="Arial"/>
          <w:lang w:val="es-ES"/>
        </w:rPr>
        <w:t>m</w:t>
      </w:r>
      <w:r w:rsidRPr="00563505">
        <w:rPr>
          <w:rFonts w:ascii="Arial" w:hAnsi="Arial" w:cs="Arial"/>
          <w:lang w:val="es-ES"/>
        </w:rPr>
        <w:t xml:space="preserve">unicipales en el desarrollo de estudios y estructuración de proyectos vinculados a movilidad y desarrollo urbano sostenible, con énfasis en soluciones de innovación tecnológica y adaptación al </w:t>
      </w:r>
      <w:r w:rsidR="00702063">
        <w:rPr>
          <w:rFonts w:ascii="Arial" w:hAnsi="Arial" w:cs="Arial"/>
          <w:lang w:val="es-ES"/>
        </w:rPr>
        <w:t>C</w:t>
      </w:r>
      <w:r w:rsidRPr="00563505">
        <w:rPr>
          <w:rFonts w:ascii="Arial" w:hAnsi="Arial" w:cs="Arial"/>
          <w:lang w:val="es-ES"/>
        </w:rPr>
        <w:t xml:space="preserve">ambio </w:t>
      </w:r>
      <w:r w:rsidR="00702063">
        <w:rPr>
          <w:rFonts w:ascii="Arial" w:hAnsi="Arial" w:cs="Arial"/>
          <w:lang w:val="es-ES"/>
        </w:rPr>
        <w:t>C</w:t>
      </w:r>
      <w:r w:rsidRPr="00563505">
        <w:rPr>
          <w:rFonts w:ascii="Arial" w:hAnsi="Arial" w:cs="Arial"/>
          <w:lang w:val="es-ES"/>
        </w:rPr>
        <w:t>limático.</w:t>
      </w:r>
    </w:p>
    <w:p w14:paraId="4B63DB65" w14:textId="77777777" w:rsidR="00DB1D4A" w:rsidRPr="00563505" w:rsidRDefault="006E425E">
      <w:pPr>
        <w:ind w:left="579" w:hanging="579"/>
        <w:jc w:val="both"/>
        <w:rPr>
          <w:lang w:val="es-ES"/>
        </w:rPr>
      </w:pPr>
      <w:r w:rsidRPr="00563505">
        <w:rPr>
          <w:rFonts w:ascii="Arial" w:hAnsi="Arial" w:cs="Arial"/>
          <w:lang w:val="es-ES"/>
        </w:rPr>
        <w:t>2.2</w:t>
      </w:r>
      <w:r w:rsidRPr="00563505">
        <w:rPr>
          <w:rFonts w:ascii="Arial" w:hAnsi="Arial" w:cs="Arial"/>
          <w:lang w:val="es-ES"/>
        </w:rPr>
        <w:tab/>
        <w:t xml:space="preserve">La experiencia internacional demuestra que en el rol del sector público es clave para apoyar al sector de movilidad y desarrollo urbano y asegurar que contribuya a lograr objetivos de bienestar y sostenibilidad. Las ciudades de Ecuador deben fortalecer la integración entre intervenciones de movilidad y uso del suelo desde una perspectiva de planificación urbana integral, considerando políticas de diseño urbano, desarrollo económico, ambiental, vivienda, educación y salud para optimizar y los sistemas de transporte público; además de promover una movilidad más inclusiva, eficiente y sostenible. </w:t>
      </w:r>
    </w:p>
    <w:p w14:paraId="4B63DB66" w14:textId="2B1D5573" w:rsidR="00DB1D4A" w:rsidRPr="00563505" w:rsidRDefault="006E425E">
      <w:pPr>
        <w:ind w:left="579" w:hanging="579"/>
        <w:jc w:val="both"/>
        <w:rPr>
          <w:lang w:val="es-ES"/>
        </w:rPr>
      </w:pPr>
      <w:r w:rsidRPr="00563505">
        <w:rPr>
          <w:rFonts w:ascii="Arial" w:hAnsi="Arial" w:cs="Arial"/>
          <w:lang w:val="es-ES"/>
        </w:rPr>
        <w:t>2.3</w:t>
      </w:r>
      <w:r w:rsidRPr="00563505">
        <w:rPr>
          <w:rFonts w:ascii="Arial" w:hAnsi="Arial" w:cs="Arial"/>
          <w:lang w:val="es-ES"/>
        </w:rPr>
        <w:tab/>
        <w:t xml:space="preserve">Son recomendables inversiones para: (i) ampliar la accesibilidad y garantizar la confiabilidad de los servicios de transporte, con énfasis en la población vulnerable; </w:t>
      </w:r>
      <w:r w:rsidR="00D23782">
        <w:rPr>
          <w:rFonts w:ascii="Arial" w:hAnsi="Arial" w:cs="Arial"/>
          <w:lang w:val="es-ES"/>
        </w:rPr>
        <w:br/>
      </w:r>
      <w:r w:rsidRPr="00563505">
        <w:rPr>
          <w:rFonts w:ascii="Arial" w:hAnsi="Arial" w:cs="Arial"/>
          <w:lang w:val="es-ES"/>
        </w:rPr>
        <w:lastRenderedPageBreak/>
        <w:t>(</w:t>
      </w:r>
      <w:proofErr w:type="spellStart"/>
      <w:r w:rsidRPr="00563505">
        <w:rPr>
          <w:rFonts w:ascii="Arial" w:hAnsi="Arial" w:cs="Arial"/>
          <w:lang w:val="es-ES"/>
        </w:rPr>
        <w:t>ii</w:t>
      </w:r>
      <w:proofErr w:type="spellEnd"/>
      <w:r w:rsidRPr="00563505">
        <w:rPr>
          <w:rFonts w:ascii="Arial" w:hAnsi="Arial" w:cs="Arial"/>
          <w:lang w:val="es-ES"/>
        </w:rPr>
        <w:t>) readecuación de espacio público en las vías</w:t>
      </w:r>
      <w:r w:rsidR="00213F97">
        <w:rPr>
          <w:rFonts w:ascii="Arial" w:hAnsi="Arial" w:cs="Arial"/>
          <w:lang w:val="es-ES"/>
        </w:rPr>
        <w:t>,</w:t>
      </w:r>
      <w:r w:rsidRPr="00563505">
        <w:rPr>
          <w:rFonts w:ascii="Arial" w:hAnsi="Arial" w:cs="Arial"/>
          <w:lang w:val="es-ES"/>
        </w:rPr>
        <w:t xml:space="preserve"> incluyendo mayores espacios para movilidad no motorizada</w:t>
      </w:r>
      <w:r w:rsidR="00213F97">
        <w:rPr>
          <w:rFonts w:ascii="Arial" w:hAnsi="Arial" w:cs="Arial"/>
          <w:lang w:val="es-ES"/>
        </w:rPr>
        <w:t>,</w:t>
      </w:r>
      <w:r w:rsidRPr="00563505">
        <w:rPr>
          <w:rFonts w:ascii="Arial" w:hAnsi="Arial" w:cs="Arial"/>
          <w:lang w:val="es-ES"/>
        </w:rPr>
        <w:t xml:space="preserve"> y con criterios de </w:t>
      </w:r>
      <w:r w:rsidR="00184E2D">
        <w:rPr>
          <w:rFonts w:ascii="Arial" w:hAnsi="Arial" w:cs="Arial"/>
          <w:lang w:val="es-ES"/>
        </w:rPr>
        <w:t>movilidad segura</w:t>
      </w:r>
      <w:r w:rsidRPr="00563505">
        <w:rPr>
          <w:rFonts w:ascii="Arial" w:hAnsi="Arial" w:cs="Arial"/>
          <w:lang w:val="es-ES"/>
        </w:rPr>
        <w:t xml:space="preserve"> y urbanismo participativo para favorecer la creación de espacios para los peatones; (</w:t>
      </w:r>
      <w:proofErr w:type="spellStart"/>
      <w:r w:rsidRPr="00563505">
        <w:rPr>
          <w:rFonts w:ascii="Arial" w:hAnsi="Arial" w:cs="Arial"/>
          <w:lang w:val="es-ES"/>
        </w:rPr>
        <w:t>iii</w:t>
      </w:r>
      <w:proofErr w:type="spellEnd"/>
      <w:r w:rsidRPr="00563505">
        <w:rPr>
          <w:rFonts w:ascii="Arial" w:hAnsi="Arial" w:cs="Arial"/>
          <w:lang w:val="es-ES"/>
        </w:rPr>
        <w:t>) expansión y consolidación de sistemas integrados de transporte público de pasajeros; (</w:t>
      </w:r>
      <w:proofErr w:type="spellStart"/>
      <w:r w:rsidRPr="00563505">
        <w:rPr>
          <w:rFonts w:ascii="Arial" w:hAnsi="Arial" w:cs="Arial"/>
          <w:lang w:val="es-ES"/>
        </w:rPr>
        <w:t>iv</w:t>
      </w:r>
      <w:proofErr w:type="spellEnd"/>
      <w:r w:rsidRPr="00563505">
        <w:rPr>
          <w:rFonts w:ascii="Arial" w:hAnsi="Arial" w:cs="Arial"/>
          <w:lang w:val="es-ES"/>
        </w:rPr>
        <w:t xml:space="preserve">) medidas de gestión de demanda que desincentiven el uso ineficiente del vehículo particular; </w:t>
      </w:r>
      <w:r w:rsidR="00D23782">
        <w:rPr>
          <w:rFonts w:ascii="Arial" w:hAnsi="Arial" w:cs="Arial"/>
          <w:lang w:val="es-ES"/>
        </w:rPr>
        <w:br/>
      </w:r>
      <w:r w:rsidRPr="00563505">
        <w:rPr>
          <w:rFonts w:ascii="Arial" w:hAnsi="Arial" w:cs="Arial"/>
          <w:lang w:val="es-ES"/>
        </w:rPr>
        <w:t xml:space="preserve">y (v) adopción de medidas tecnológicas innovadoras, para mayor eficiencia de servicios de transporte y sistemas integrados de recaudo y para la adopción de tecnologías exponenciales </w:t>
      </w:r>
      <w:r w:rsidR="006934D1" w:rsidRPr="006934D1">
        <w:rPr>
          <w:rFonts w:ascii="Arial" w:hAnsi="Arial" w:cs="Arial"/>
          <w:lang w:val="es-ES"/>
        </w:rPr>
        <w:t xml:space="preserve">(p. ej. </w:t>
      </w:r>
      <w:r w:rsidR="006934D1" w:rsidRPr="005F2A77">
        <w:rPr>
          <w:rFonts w:ascii="Arial" w:hAnsi="Arial" w:cs="Arial"/>
          <w:i/>
          <w:iCs/>
          <w:lang w:val="es-ES"/>
        </w:rPr>
        <w:t>Big Data</w:t>
      </w:r>
      <w:r w:rsidR="006934D1" w:rsidRPr="006934D1">
        <w:rPr>
          <w:rFonts w:ascii="Arial" w:hAnsi="Arial" w:cs="Arial"/>
          <w:lang w:val="es-ES"/>
        </w:rPr>
        <w:t xml:space="preserve"> en estudios de movilidad)</w:t>
      </w:r>
      <w:r w:rsidRPr="00563505">
        <w:rPr>
          <w:rFonts w:ascii="Arial" w:hAnsi="Arial" w:cs="Arial"/>
          <w:lang w:val="es-ES"/>
        </w:rPr>
        <w:t>.</w:t>
      </w:r>
    </w:p>
    <w:p w14:paraId="4B63DB67" w14:textId="2B3E30E1" w:rsidR="00DB1D4A" w:rsidRPr="00563505" w:rsidRDefault="006E425E">
      <w:pPr>
        <w:ind w:left="579" w:hanging="579"/>
        <w:jc w:val="both"/>
        <w:rPr>
          <w:lang w:val="es-ES"/>
        </w:rPr>
      </w:pPr>
      <w:r w:rsidRPr="00563505">
        <w:rPr>
          <w:rFonts w:ascii="Arial" w:hAnsi="Arial" w:cs="Arial"/>
          <w:lang w:val="es-ES"/>
        </w:rPr>
        <w:t>2.4</w:t>
      </w:r>
      <w:r w:rsidRPr="00563505">
        <w:rPr>
          <w:rFonts w:ascii="Arial" w:hAnsi="Arial" w:cs="Arial"/>
          <w:lang w:val="es-ES"/>
        </w:rPr>
        <w:tab/>
        <w:t xml:space="preserve">Más del 60% de la población de Ecuador vive en zonas urbanas, cuyo rápido crecimiento se ha caracterizado por un desarrollo disperso, de baja densidad y con profundas inequidades territoriales. La tasa de motorización ha crecido de manera exponencial con cerca de 8% anual de crecimiento en las principales ciudades del país. Además, más del 90% del parque automotor se matricula como particular, reflejando deficiencias de política pública que impide un buen manejo de la demanda y presencia de regulación que no favorece al transporte público. La dependencia en el transporte vehicular privado tiene además externalidades importantes como la congestión vehicular, menor cobertura y deficiencia en el transporte público, mayores emisiones de </w:t>
      </w:r>
      <w:r w:rsidR="00260052" w:rsidRPr="00260052">
        <w:rPr>
          <w:rFonts w:ascii="Arial" w:hAnsi="Arial" w:cs="Arial"/>
          <w:lang w:val="es-ES"/>
        </w:rPr>
        <w:t>Gases de Efecto Invernadero (GEI)</w:t>
      </w:r>
      <w:r w:rsidRPr="00563505">
        <w:rPr>
          <w:rFonts w:ascii="Arial" w:hAnsi="Arial" w:cs="Arial"/>
          <w:lang w:val="es-ES"/>
        </w:rPr>
        <w:t xml:space="preserve"> y un incremento del 9% en el número de fallecidos en siniestros viales comparando los datos de 2009 versus 2019.</w:t>
      </w:r>
    </w:p>
    <w:p w14:paraId="4B63DB68" w14:textId="10BDA91D" w:rsidR="00DB1D4A" w:rsidRPr="00563505" w:rsidRDefault="006E425E">
      <w:pPr>
        <w:ind w:left="579" w:hanging="579"/>
        <w:jc w:val="both"/>
        <w:rPr>
          <w:lang w:val="es-ES"/>
        </w:rPr>
      </w:pPr>
      <w:r w:rsidRPr="00563505">
        <w:rPr>
          <w:rFonts w:ascii="Arial" w:hAnsi="Arial" w:cs="Arial"/>
          <w:lang w:val="es-ES"/>
        </w:rPr>
        <w:t>2.5</w:t>
      </w:r>
      <w:r w:rsidRPr="00563505">
        <w:rPr>
          <w:rFonts w:ascii="Arial" w:hAnsi="Arial" w:cs="Arial"/>
          <w:lang w:val="es-ES"/>
        </w:rPr>
        <w:tab/>
        <w:t xml:space="preserve">Ciudades como Quito, Cuenca y Guayaquil han desarrollado sistemas de transporte masivo eficientes, pero enfrentan otros retos como: oportunidades para impulsar la movilidad no motorizada, aprovechamiento de espacio público, y desarrollo urbano orientado al tránsito. </w:t>
      </w:r>
      <w:r w:rsidR="00150110">
        <w:rPr>
          <w:rFonts w:ascii="Arial" w:hAnsi="Arial" w:cs="Arial"/>
          <w:lang w:val="es-ES"/>
        </w:rPr>
        <w:t>De la misma manera,</w:t>
      </w:r>
      <w:r w:rsidRPr="00563505">
        <w:rPr>
          <w:rFonts w:ascii="Arial" w:hAnsi="Arial" w:cs="Arial"/>
          <w:lang w:val="es-ES"/>
        </w:rPr>
        <w:t xml:space="preserve"> Quito, Cuenca, Riobamba y Tulcán están implementando ciclovías, como primer paso para promover la movilidad sostenible e impulsar el ordenamiento del uso del suelo desde una perspectiva de planificación urbana inclusiva e integral. </w:t>
      </w:r>
      <w:r w:rsidR="00C30FE6">
        <w:rPr>
          <w:rFonts w:ascii="Arial" w:hAnsi="Arial" w:cs="Arial"/>
          <w:lang w:val="es-ES"/>
        </w:rPr>
        <w:t xml:space="preserve">Otros </w:t>
      </w:r>
      <w:r w:rsidRPr="00563505">
        <w:rPr>
          <w:rFonts w:ascii="Arial" w:hAnsi="Arial" w:cs="Arial"/>
          <w:lang w:val="es-ES"/>
        </w:rPr>
        <w:t xml:space="preserve">GAD </w:t>
      </w:r>
      <w:r w:rsidR="00861DB0">
        <w:rPr>
          <w:rFonts w:ascii="Arial" w:hAnsi="Arial" w:cs="Arial"/>
          <w:lang w:val="es-ES"/>
        </w:rPr>
        <w:t xml:space="preserve">municipales </w:t>
      </w:r>
      <w:r w:rsidRPr="00563505">
        <w:rPr>
          <w:rFonts w:ascii="Arial" w:hAnsi="Arial" w:cs="Arial"/>
          <w:lang w:val="es-ES"/>
        </w:rPr>
        <w:t>como Loja y Portoviejo han puesto énfasis en la necesidad de realizar una transición a sistemas basados en el uso de datos y tecnología para asegurar transparencia y participación ciudadana.</w:t>
      </w:r>
    </w:p>
    <w:p w14:paraId="4B63DB69" w14:textId="3CAC2F9F" w:rsidR="00DB1D4A" w:rsidRPr="00563505" w:rsidRDefault="006E425E">
      <w:pPr>
        <w:ind w:left="579" w:hanging="579"/>
        <w:jc w:val="both"/>
        <w:rPr>
          <w:lang w:val="es-ES"/>
        </w:rPr>
      </w:pPr>
      <w:r w:rsidRPr="00563505">
        <w:rPr>
          <w:rFonts w:ascii="Arial" w:hAnsi="Arial" w:cs="Arial"/>
          <w:lang w:val="es-ES"/>
        </w:rPr>
        <w:t>2.6</w:t>
      </w:r>
      <w:r w:rsidRPr="00563505">
        <w:rPr>
          <w:rFonts w:ascii="Arial" w:hAnsi="Arial" w:cs="Arial"/>
          <w:lang w:val="es-ES"/>
        </w:rPr>
        <w:tab/>
        <w:t xml:space="preserve">Los GAD </w:t>
      </w:r>
      <w:r w:rsidR="00861DB0">
        <w:rPr>
          <w:rFonts w:ascii="Arial" w:hAnsi="Arial" w:cs="Arial"/>
          <w:lang w:val="es-ES"/>
        </w:rPr>
        <w:t xml:space="preserve">municipales </w:t>
      </w:r>
      <w:r w:rsidRPr="00563505">
        <w:rPr>
          <w:rFonts w:ascii="Arial" w:hAnsi="Arial" w:cs="Arial"/>
          <w:lang w:val="es-ES"/>
        </w:rPr>
        <w:t xml:space="preserve">tienen la responsabilidad de planificar, regular y controlar la movilidad urbana en territorio, con enfoque en acceso equitativo a las oportunidades, fomentar el uso de transporte no motorizado, optimizar la operación del transporte público y </w:t>
      </w:r>
      <w:r w:rsidR="0048366E">
        <w:rPr>
          <w:rFonts w:ascii="Arial" w:hAnsi="Arial" w:cs="Arial"/>
          <w:lang w:val="es-ES"/>
        </w:rPr>
        <w:t>promover</w:t>
      </w:r>
      <w:r w:rsidR="0048366E" w:rsidRPr="00563505">
        <w:rPr>
          <w:rFonts w:ascii="Arial" w:hAnsi="Arial" w:cs="Arial"/>
          <w:lang w:val="es-ES"/>
        </w:rPr>
        <w:t xml:space="preserve"> </w:t>
      </w:r>
      <w:r w:rsidRPr="00563505">
        <w:rPr>
          <w:rFonts w:ascii="Arial" w:hAnsi="Arial" w:cs="Arial"/>
          <w:lang w:val="es-ES"/>
        </w:rPr>
        <w:t>su uso, planificación de uso de suelo y movilidad urbana, incentivos económicos</w:t>
      </w:r>
      <w:r w:rsidR="0048366E">
        <w:rPr>
          <w:rFonts w:ascii="Arial" w:hAnsi="Arial" w:cs="Arial"/>
          <w:lang w:val="es-ES"/>
        </w:rPr>
        <w:t xml:space="preserve"> para la </w:t>
      </w:r>
      <w:r w:rsidRPr="00563505">
        <w:rPr>
          <w:rFonts w:ascii="Arial" w:hAnsi="Arial" w:cs="Arial"/>
          <w:lang w:val="es-ES"/>
        </w:rPr>
        <w:t>reducción GEI y políticas de estacionamiento.</w:t>
      </w:r>
    </w:p>
    <w:p w14:paraId="4B63DB6A" w14:textId="39E67E31" w:rsidR="00DB1D4A" w:rsidRPr="00563505" w:rsidRDefault="006E425E">
      <w:pPr>
        <w:ind w:left="579" w:hanging="579"/>
        <w:jc w:val="both"/>
        <w:rPr>
          <w:lang w:val="es-ES"/>
        </w:rPr>
      </w:pPr>
      <w:r w:rsidRPr="00563505">
        <w:rPr>
          <w:rFonts w:ascii="Arial" w:hAnsi="Arial" w:cs="Arial"/>
          <w:lang w:val="es-ES"/>
        </w:rPr>
        <w:t>2.7</w:t>
      </w:r>
      <w:r w:rsidRPr="00563505">
        <w:rPr>
          <w:rFonts w:ascii="Arial" w:hAnsi="Arial" w:cs="Arial"/>
          <w:lang w:val="es-ES"/>
        </w:rPr>
        <w:tab/>
        <w:t xml:space="preserve">Esta CT busca apoyar a los GAD </w:t>
      </w:r>
      <w:r w:rsidR="00861DB0">
        <w:rPr>
          <w:rFonts w:ascii="Arial" w:hAnsi="Arial" w:cs="Arial"/>
          <w:lang w:val="es-ES"/>
        </w:rPr>
        <w:t xml:space="preserve">municipales </w:t>
      </w:r>
      <w:r w:rsidRPr="00563505">
        <w:rPr>
          <w:rFonts w:ascii="Arial" w:hAnsi="Arial" w:cs="Arial"/>
          <w:lang w:val="es-ES"/>
        </w:rPr>
        <w:t>de Ecuador a estructurar proyectos de desarrollo y movilidad sostenibles en el contexto post COVID-19, buscando una recuperación limpia. Las ciudades de Ecuador están buscando promover medidas para estimular modos de transporte sostenibles. En este contexto, el BID, a través de la CT propuesta, brindará apoyo técnico a los GAD municipales de Ecuador para promover la movilidad y desarrollo urbano sostenible en las ciudades del país, apoyando el fortalecimiento institucional y la estructuración de proyectos por parte de los gobiernos locales de Ecuador.</w:t>
      </w:r>
    </w:p>
    <w:p w14:paraId="4B63DB6C" w14:textId="00A817C5" w:rsidR="00DB1D4A" w:rsidRPr="00563505" w:rsidRDefault="006E425E">
      <w:pPr>
        <w:ind w:left="579" w:hanging="579"/>
        <w:jc w:val="both"/>
        <w:rPr>
          <w:lang w:val="es-ES"/>
        </w:rPr>
      </w:pPr>
      <w:r w:rsidRPr="00563505">
        <w:rPr>
          <w:rFonts w:ascii="Arial" w:hAnsi="Arial" w:cs="Arial"/>
          <w:lang w:val="es-ES"/>
        </w:rPr>
        <w:t>2.8</w:t>
      </w:r>
      <w:r w:rsidRPr="00563505">
        <w:rPr>
          <w:rFonts w:ascii="Arial" w:hAnsi="Arial" w:cs="Arial"/>
          <w:lang w:val="es-ES"/>
        </w:rPr>
        <w:tab/>
      </w:r>
      <w:r w:rsidRPr="006B40D7">
        <w:rPr>
          <w:rFonts w:ascii="Arial" w:hAnsi="Arial" w:cs="Arial"/>
          <w:lang w:val="es-ES"/>
        </w:rPr>
        <w:t xml:space="preserve">La CT es consistente con la Segunda Actualización de la Estrategia Institucional (UIS) 2020-2024 (AB-3190-2), </w:t>
      </w:r>
      <w:r w:rsidR="00552D24" w:rsidRPr="005F2A77">
        <w:rPr>
          <w:rFonts w:ascii="Arial" w:hAnsi="Arial" w:cs="Arial"/>
          <w:lang w:val="es-ES"/>
        </w:rPr>
        <w:t xml:space="preserve">al alinearse con el objetivo de desarrollo de: (i) </w:t>
      </w:r>
      <w:r w:rsidRPr="006B40D7">
        <w:rPr>
          <w:rFonts w:ascii="Arial" w:hAnsi="Arial" w:cs="Arial"/>
          <w:lang w:val="es-ES"/>
        </w:rPr>
        <w:t>inclusión social e igualdad, ya que se desarrollarán estudios que permitirán generar proyectos en ciudades sobre movilidad urbana sostenible que mejorarán la accesibilidad de los ciudadanos a mercados laborales y servicios básicos, a través de proyectos de transporte público y transporte no motorizado</w:t>
      </w:r>
      <w:r w:rsidR="00F97352" w:rsidRPr="005F2A77">
        <w:rPr>
          <w:rFonts w:ascii="Arial" w:hAnsi="Arial" w:cs="Arial"/>
          <w:lang w:val="es-ES"/>
        </w:rPr>
        <w:t>; (</w:t>
      </w:r>
      <w:proofErr w:type="spellStart"/>
      <w:r w:rsidR="00F97352" w:rsidRPr="005F2A77">
        <w:rPr>
          <w:rFonts w:ascii="Arial" w:hAnsi="Arial" w:cs="Arial"/>
          <w:lang w:val="es-ES"/>
        </w:rPr>
        <w:t>ii</w:t>
      </w:r>
      <w:proofErr w:type="spellEnd"/>
      <w:r w:rsidR="00F97352" w:rsidRPr="005F2A77">
        <w:rPr>
          <w:rFonts w:ascii="Arial" w:hAnsi="Arial" w:cs="Arial"/>
          <w:lang w:val="es-ES"/>
        </w:rPr>
        <w:t xml:space="preserve">) </w:t>
      </w:r>
      <w:r w:rsidRPr="006B40D7">
        <w:rPr>
          <w:rFonts w:ascii="Arial" w:hAnsi="Arial" w:cs="Arial"/>
          <w:lang w:val="es-ES"/>
        </w:rPr>
        <w:t>productividad e innovación</w:t>
      </w:r>
      <w:r w:rsidR="006B40D7">
        <w:rPr>
          <w:rFonts w:ascii="Arial" w:hAnsi="Arial" w:cs="Arial"/>
          <w:lang w:val="es-ES"/>
        </w:rPr>
        <w:t>,</w:t>
      </w:r>
      <w:r w:rsidRPr="006B40D7">
        <w:rPr>
          <w:rFonts w:ascii="Arial" w:hAnsi="Arial" w:cs="Arial"/>
          <w:lang w:val="es-ES"/>
        </w:rPr>
        <w:t xml:space="preserve"> ya que se espera que los estudios contribuyan a reducir los tiempos de desplazamiento en las ciudades</w:t>
      </w:r>
      <w:r w:rsidR="00706FDD" w:rsidRPr="005F2A77">
        <w:rPr>
          <w:rFonts w:ascii="Arial" w:hAnsi="Arial" w:cs="Arial"/>
          <w:lang w:val="es-ES"/>
        </w:rPr>
        <w:t>;</w:t>
      </w:r>
      <w:r w:rsidRPr="006B40D7">
        <w:rPr>
          <w:rFonts w:ascii="Arial" w:hAnsi="Arial" w:cs="Arial"/>
          <w:lang w:val="es-ES"/>
        </w:rPr>
        <w:t xml:space="preserve"> </w:t>
      </w:r>
      <w:r w:rsidR="00706FDD" w:rsidRPr="005F2A77">
        <w:rPr>
          <w:rFonts w:ascii="Arial" w:hAnsi="Arial" w:cs="Arial"/>
          <w:lang w:val="es-ES"/>
        </w:rPr>
        <w:t>(</w:t>
      </w:r>
      <w:proofErr w:type="spellStart"/>
      <w:r w:rsidR="00706FDD" w:rsidRPr="005F2A77">
        <w:rPr>
          <w:rFonts w:ascii="Arial" w:hAnsi="Arial" w:cs="Arial"/>
          <w:lang w:val="es-ES"/>
        </w:rPr>
        <w:t>iii</w:t>
      </w:r>
      <w:proofErr w:type="spellEnd"/>
      <w:r w:rsidR="00706FDD" w:rsidRPr="005F2A77">
        <w:rPr>
          <w:rFonts w:ascii="Arial" w:hAnsi="Arial" w:cs="Arial"/>
          <w:lang w:val="es-ES"/>
        </w:rPr>
        <w:t xml:space="preserve">) </w:t>
      </w:r>
      <w:r w:rsidRPr="006B40D7">
        <w:rPr>
          <w:rFonts w:ascii="Arial" w:hAnsi="Arial" w:cs="Arial"/>
          <w:lang w:val="es-ES"/>
        </w:rPr>
        <w:t xml:space="preserve">innovación, </w:t>
      </w:r>
      <w:r w:rsidR="00EE7816" w:rsidRPr="005F2A77">
        <w:rPr>
          <w:rFonts w:ascii="Arial" w:hAnsi="Arial" w:cs="Arial"/>
          <w:lang w:val="es-ES"/>
        </w:rPr>
        <w:t xml:space="preserve">al </w:t>
      </w:r>
      <w:r w:rsidRPr="006B40D7">
        <w:rPr>
          <w:rFonts w:ascii="Arial" w:hAnsi="Arial" w:cs="Arial"/>
          <w:lang w:val="es-ES"/>
        </w:rPr>
        <w:t>aportar a la promoción de la movilidad eléctrica y plataformas de recaudo y de movilidad como un servicio</w:t>
      </w:r>
      <w:r w:rsidR="009124B9" w:rsidRPr="005F2A77">
        <w:rPr>
          <w:rFonts w:ascii="Arial" w:hAnsi="Arial" w:cs="Arial"/>
          <w:lang w:val="es-ES"/>
        </w:rPr>
        <w:t>;</w:t>
      </w:r>
      <w:r w:rsidR="00706FDD" w:rsidRPr="005F2A77">
        <w:rPr>
          <w:rFonts w:ascii="Arial" w:hAnsi="Arial" w:cs="Arial"/>
          <w:lang w:val="es-ES"/>
        </w:rPr>
        <w:t xml:space="preserve"> </w:t>
      </w:r>
      <w:r w:rsidR="009124B9" w:rsidRPr="005F2A77">
        <w:rPr>
          <w:rFonts w:ascii="Arial" w:hAnsi="Arial" w:cs="Arial"/>
          <w:lang w:val="es-ES"/>
        </w:rPr>
        <w:t>(</w:t>
      </w:r>
      <w:proofErr w:type="spellStart"/>
      <w:r w:rsidR="009124B9" w:rsidRPr="005F2A77">
        <w:rPr>
          <w:rFonts w:ascii="Arial" w:hAnsi="Arial" w:cs="Arial"/>
          <w:lang w:val="es-ES"/>
        </w:rPr>
        <w:t>iv</w:t>
      </w:r>
      <w:proofErr w:type="spellEnd"/>
      <w:r w:rsidR="009124B9" w:rsidRPr="005F2A77">
        <w:rPr>
          <w:rFonts w:ascii="Arial" w:hAnsi="Arial" w:cs="Arial"/>
          <w:lang w:val="es-ES"/>
        </w:rPr>
        <w:t xml:space="preserve">) </w:t>
      </w:r>
      <w:r w:rsidR="00D730E1" w:rsidRPr="005F2A77">
        <w:rPr>
          <w:rFonts w:ascii="Arial" w:hAnsi="Arial" w:cs="Arial"/>
          <w:lang w:val="es-ES"/>
        </w:rPr>
        <w:t>c</w:t>
      </w:r>
      <w:r w:rsidRPr="006B40D7">
        <w:rPr>
          <w:rFonts w:ascii="Arial" w:hAnsi="Arial" w:cs="Arial"/>
          <w:lang w:val="es-ES"/>
        </w:rPr>
        <w:t xml:space="preserve">apacidad institucional y </w:t>
      </w:r>
      <w:r w:rsidR="00704A6A" w:rsidRPr="006B40D7">
        <w:rPr>
          <w:rFonts w:ascii="Arial" w:hAnsi="Arial" w:cs="Arial"/>
          <w:lang w:val="es-ES"/>
        </w:rPr>
        <w:t>E</w:t>
      </w:r>
      <w:r w:rsidRPr="006B40D7">
        <w:rPr>
          <w:rFonts w:ascii="Arial" w:hAnsi="Arial" w:cs="Arial"/>
          <w:lang w:val="es-ES"/>
        </w:rPr>
        <w:t xml:space="preserve">stado de derecho, ya que se generarán capacidades institucionales en los </w:t>
      </w:r>
      <w:r w:rsidR="00D730E1" w:rsidRPr="005F2A77">
        <w:rPr>
          <w:rFonts w:ascii="Arial" w:hAnsi="Arial" w:cs="Arial"/>
          <w:lang w:val="es-ES"/>
        </w:rPr>
        <w:t>m</w:t>
      </w:r>
      <w:r w:rsidRPr="006B40D7">
        <w:rPr>
          <w:rFonts w:ascii="Arial" w:hAnsi="Arial" w:cs="Arial"/>
          <w:lang w:val="es-ES"/>
        </w:rPr>
        <w:t xml:space="preserve">unicipios de Ecuador para diseñar e implementar diversos proyectos vinculados a </w:t>
      </w:r>
      <w:r w:rsidRPr="006B40D7">
        <w:rPr>
          <w:rFonts w:ascii="Arial" w:hAnsi="Arial" w:cs="Arial"/>
          <w:lang w:val="es-ES"/>
        </w:rPr>
        <w:lastRenderedPageBreak/>
        <w:t>movilidad urbana sostenible y desarrollo urbano, entre ellos estrategias integrales de movilidad sostenible</w:t>
      </w:r>
      <w:r w:rsidR="00D730E1" w:rsidRPr="005F2A77">
        <w:rPr>
          <w:rFonts w:ascii="Arial" w:hAnsi="Arial" w:cs="Arial"/>
          <w:lang w:val="es-ES"/>
        </w:rPr>
        <w:t>; y (v)</w:t>
      </w:r>
      <w:r w:rsidRPr="006B40D7">
        <w:rPr>
          <w:rFonts w:ascii="Arial" w:hAnsi="Arial" w:cs="Arial"/>
          <w:lang w:val="es-ES"/>
        </w:rPr>
        <w:t xml:space="preserve"> </w:t>
      </w:r>
      <w:r w:rsidR="0090493B" w:rsidRPr="006B40D7">
        <w:rPr>
          <w:rFonts w:ascii="Arial" w:hAnsi="Arial" w:cs="Arial"/>
          <w:lang w:val="es-ES"/>
        </w:rPr>
        <w:t>CC</w:t>
      </w:r>
      <w:r w:rsidRPr="006B40D7">
        <w:rPr>
          <w:rFonts w:ascii="Arial" w:hAnsi="Arial" w:cs="Arial"/>
          <w:lang w:val="es-ES"/>
        </w:rPr>
        <w:t xml:space="preserve"> y sostenibilidad ambiental</w:t>
      </w:r>
      <w:r w:rsidR="00EF2CB5" w:rsidRPr="006B40D7">
        <w:rPr>
          <w:rFonts w:ascii="Arial" w:hAnsi="Arial" w:cs="Arial"/>
          <w:lang w:val="es-ES"/>
        </w:rPr>
        <w:t xml:space="preserve">, al realizar </w:t>
      </w:r>
      <w:r w:rsidRPr="006B40D7">
        <w:rPr>
          <w:rFonts w:ascii="Arial" w:hAnsi="Arial" w:cs="Arial"/>
          <w:lang w:val="es-ES"/>
        </w:rPr>
        <w:t xml:space="preserve">estudios que permitirán generar proyectos en diversas ciudades de Ecuador en donde se promoverá el uso de transporte público masivo y vehículos no motorizados, que disminuyen las emisiones contaminantes y fortalecen la resiliencia y sostenibilidad de las ciudades. Finalmente, se alinea también con la </w:t>
      </w:r>
      <w:hyperlink r:id="rId9">
        <w:r w:rsidR="00441A8A" w:rsidRPr="006B40D7">
          <w:rPr>
            <w:rFonts w:ascii="Arial" w:eastAsia="Arial" w:hAnsi="Arial" w:cs="Arial"/>
            <w:color w:val="548DD4"/>
            <w:lang w:val="es-ES"/>
          </w:rPr>
          <w:t>Visión 2025 Reinvertir en las Américas: Una Década de Oportunidades</w:t>
        </w:r>
      </w:hyperlink>
      <w:r w:rsidRPr="006B40D7">
        <w:rPr>
          <w:rFonts w:ascii="Arial" w:hAnsi="Arial" w:cs="Arial"/>
          <w:lang w:val="es-ES"/>
        </w:rPr>
        <w:t xml:space="preserve"> </w:t>
      </w:r>
      <w:r w:rsidR="00795D68" w:rsidRPr="006B40D7">
        <w:rPr>
          <w:rFonts w:ascii="Arial" w:hAnsi="Arial" w:cs="Arial"/>
          <w:lang w:val="es-ES"/>
        </w:rPr>
        <w:t xml:space="preserve">ya que </w:t>
      </w:r>
      <w:r w:rsidRPr="006B40D7">
        <w:rPr>
          <w:rFonts w:ascii="Arial" w:hAnsi="Arial" w:cs="Arial"/>
          <w:lang w:val="es-ES"/>
        </w:rPr>
        <w:t>incluye las metas estratégicas a mediano plazo de</w:t>
      </w:r>
      <w:r w:rsidR="00795D68" w:rsidRPr="006B40D7">
        <w:rPr>
          <w:rFonts w:ascii="Arial" w:hAnsi="Arial" w:cs="Arial"/>
          <w:lang w:val="es-ES"/>
        </w:rPr>
        <w:t>: (i)</w:t>
      </w:r>
      <w:r w:rsidRPr="006B40D7">
        <w:rPr>
          <w:rFonts w:ascii="Arial" w:hAnsi="Arial" w:cs="Arial"/>
          <w:lang w:val="es-ES"/>
        </w:rPr>
        <w:t xml:space="preserve"> reactivar el sector productivo, a través de la digitalización y adopción de nuevas tecnologías</w:t>
      </w:r>
      <w:r w:rsidR="00947B09" w:rsidRPr="006B40D7">
        <w:rPr>
          <w:rFonts w:ascii="Arial" w:hAnsi="Arial" w:cs="Arial"/>
          <w:lang w:val="es-ES"/>
        </w:rPr>
        <w:t>;</w:t>
      </w:r>
      <w:r w:rsidR="006721F4" w:rsidRPr="006B40D7">
        <w:rPr>
          <w:rFonts w:ascii="Arial" w:hAnsi="Arial" w:cs="Arial"/>
          <w:lang w:val="es-ES"/>
        </w:rPr>
        <w:t xml:space="preserve"> (</w:t>
      </w:r>
      <w:proofErr w:type="spellStart"/>
      <w:r w:rsidR="006721F4" w:rsidRPr="006B40D7">
        <w:rPr>
          <w:rFonts w:ascii="Arial" w:hAnsi="Arial" w:cs="Arial"/>
          <w:lang w:val="es-ES"/>
        </w:rPr>
        <w:t>ii</w:t>
      </w:r>
      <w:proofErr w:type="spellEnd"/>
      <w:r w:rsidR="006721F4" w:rsidRPr="006B40D7">
        <w:rPr>
          <w:rFonts w:ascii="Arial" w:hAnsi="Arial" w:cs="Arial"/>
          <w:lang w:val="es-ES"/>
        </w:rPr>
        <w:t>)</w:t>
      </w:r>
      <w:r w:rsidRPr="006B40D7">
        <w:rPr>
          <w:rFonts w:ascii="Arial" w:hAnsi="Arial" w:cs="Arial"/>
          <w:lang w:val="es-ES"/>
        </w:rPr>
        <w:t xml:space="preserve"> promover el progreso social, a través del acceso y calidad de los servicios públicos</w:t>
      </w:r>
      <w:r w:rsidR="00947B09" w:rsidRPr="006B40D7">
        <w:rPr>
          <w:rFonts w:ascii="Arial" w:hAnsi="Arial" w:cs="Arial"/>
          <w:lang w:val="es-ES"/>
        </w:rPr>
        <w:t>;</w:t>
      </w:r>
      <w:r w:rsidRPr="006B40D7">
        <w:rPr>
          <w:rFonts w:ascii="Arial" w:hAnsi="Arial" w:cs="Arial"/>
          <w:lang w:val="es-ES"/>
        </w:rPr>
        <w:t xml:space="preserve"> y</w:t>
      </w:r>
      <w:r w:rsidR="00947B09" w:rsidRPr="006B40D7">
        <w:rPr>
          <w:rFonts w:ascii="Arial" w:hAnsi="Arial" w:cs="Arial"/>
          <w:lang w:val="es-ES"/>
        </w:rPr>
        <w:t xml:space="preserve"> (</w:t>
      </w:r>
      <w:proofErr w:type="spellStart"/>
      <w:r w:rsidR="00947B09" w:rsidRPr="006B40D7">
        <w:rPr>
          <w:rFonts w:ascii="Arial" w:hAnsi="Arial" w:cs="Arial"/>
          <w:lang w:val="es-ES"/>
        </w:rPr>
        <w:t>iii</w:t>
      </w:r>
      <w:proofErr w:type="spellEnd"/>
      <w:r w:rsidR="00947B09" w:rsidRPr="006B40D7">
        <w:rPr>
          <w:rFonts w:ascii="Arial" w:hAnsi="Arial" w:cs="Arial"/>
          <w:lang w:val="es-ES"/>
        </w:rPr>
        <w:t>)</w:t>
      </w:r>
      <w:r w:rsidRPr="006B40D7">
        <w:rPr>
          <w:rFonts w:ascii="Arial" w:hAnsi="Arial" w:cs="Arial"/>
          <w:lang w:val="es-ES"/>
        </w:rPr>
        <w:t xml:space="preserve"> fortalecer una buena gobernanza e instituciones adecuadas a través de una gestión pública más eficaz y eficiente para los GAD municipales. También se alinea con la Estrategia del Grupo BID con Ecuador 2018-2021</w:t>
      </w:r>
      <w:r w:rsidR="003015B7" w:rsidRPr="006B40D7">
        <w:rPr>
          <w:rFonts w:ascii="Arial" w:hAnsi="Arial" w:cs="Arial"/>
          <w:lang w:val="es-ES"/>
        </w:rPr>
        <w:t xml:space="preserve"> </w:t>
      </w:r>
      <w:r w:rsidR="003015B7" w:rsidRPr="006B40D7">
        <w:rPr>
          <w:rFonts w:ascii="Arial" w:eastAsia="Arial" w:hAnsi="Arial" w:cs="Arial"/>
          <w:lang w:val="es-ES"/>
        </w:rPr>
        <w:t>(GN-2924)</w:t>
      </w:r>
      <w:r w:rsidRPr="006B40D7">
        <w:rPr>
          <w:rFonts w:ascii="Arial" w:hAnsi="Arial" w:cs="Arial"/>
          <w:lang w:val="es-ES"/>
        </w:rPr>
        <w:t xml:space="preserve"> en los pilares de</w:t>
      </w:r>
      <w:r w:rsidR="003015B7" w:rsidRPr="006B40D7">
        <w:rPr>
          <w:rFonts w:ascii="Arial" w:hAnsi="Arial" w:cs="Arial"/>
          <w:lang w:val="es-ES"/>
        </w:rPr>
        <w:t>: (i)</w:t>
      </w:r>
      <w:r w:rsidRPr="006B40D7">
        <w:rPr>
          <w:rFonts w:ascii="Arial" w:hAnsi="Arial" w:cs="Arial"/>
          <w:lang w:val="es-ES"/>
        </w:rPr>
        <w:t xml:space="preserve"> impulso a la productividad</w:t>
      </w:r>
      <w:r w:rsidR="00E33586" w:rsidRPr="006B40D7">
        <w:rPr>
          <w:rFonts w:ascii="Arial" w:hAnsi="Arial" w:cs="Arial"/>
          <w:lang w:val="es-ES"/>
        </w:rPr>
        <w:t>,</w:t>
      </w:r>
      <w:r w:rsidRPr="006B40D7">
        <w:rPr>
          <w:rFonts w:ascii="Arial" w:hAnsi="Arial" w:cs="Arial"/>
          <w:lang w:val="es-ES"/>
        </w:rPr>
        <w:t xml:space="preserve"> por promover proyectos que mejoren la conectividad local y reduzcan los costos de transporte</w:t>
      </w:r>
      <w:r w:rsidR="00E33586" w:rsidRPr="006B40D7">
        <w:rPr>
          <w:rFonts w:ascii="Arial" w:hAnsi="Arial" w:cs="Arial"/>
          <w:lang w:val="es-ES"/>
        </w:rPr>
        <w:t>;</w:t>
      </w:r>
      <w:r w:rsidRPr="006B40D7">
        <w:rPr>
          <w:rFonts w:ascii="Arial" w:hAnsi="Arial" w:cs="Arial"/>
          <w:lang w:val="es-ES"/>
        </w:rPr>
        <w:t xml:space="preserve"> </w:t>
      </w:r>
      <w:r w:rsidR="00AD274A">
        <w:rPr>
          <w:rFonts w:ascii="Arial" w:hAnsi="Arial" w:cs="Arial"/>
          <w:lang w:val="es-ES"/>
        </w:rPr>
        <w:br/>
      </w:r>
      <w:r w:rsidRPr="006B40D7">
        <w:rPr>
          <w:rFonts w:ascii="Arial" w:hAnsi="Arial" w:cs="Arial"/>
          <w:lang w:val="es-ES"/>
        </w:rPr>
        <w:t xml:space="preserve">y </w:t>
      </w:r>
      <w:r w:rsidR="00E33586" w:rsidRPr="006B40D7">
        <w:rPr>
          <w:rFonts w:ascii="Arial" w:hAnsi="Arial" w:cs="Arial"/>
          <w:lang w:val="es-ES"/>
        </w:rPr>
        <w:t>(</w:t>
      </w:r>
      <w:proofErr w:type="spellStart"/>
      <w:r w:rsidR="00E33586" w:rsidRPr="006B40D7">
        <w:rPr>
          <w:rFonts w:ascii="Arial" w:hAnsi="Arial" w:cs="Arial"/>
          <w:lang w:val="es-ES"/>
        </w:rPr>
        <w:t>ii</w:t>
      </w:r>
      <w:proofErr w:type="spellEnd"/>
      <w:r w:rsidR="00E33586" w:rsidRPr="006B40D7">
        <w:rPr>
          <w:rFonts w:ascii="Arial" w:hAnsi="Arial" w:cs="Arial"/>
          <w:lang w:val="es-ES"/>
        </w:rPr>
        <w:t xml:space="preserve">) </w:t>
      </w:r>
      <w:r w:rsidRPr="006B40D7">
        <w:rPr>
          <w:rFonts w:ascii="Arial" w:hAnsi="Arial" w:cs="Arial"/>
          <w:lang w:val="es-ES"/>
        </w:rPr>
        <w:t>profundización de los avances sociales</w:t>
      </w:r>
      <w:r w:rsidR="00E33586" w:rsidRPr="006B40D7">
        <w:rPr>
          <w:rFonts w:ascii="Arial" w:hAnsi="Arial" w:cs="Arial"/>
          <w:lang w:val="es-ES"/>
        </w:rPr>
        <w:t>,</w:t>
      </w:r>
      <w:r w:rsidRPr="006B40D7">
        <w:rPr>
          <w:rFonts w:ascii="Arial" w:hAnsi="Arial" w:cs="Arial"/>
          <w:lang w:val="es-ES"/>
        </w:rPr>
        <w:t xml:space="preserve"> al incentivar la accesibilidad a través de la movilidad a la provisión de servicios públicos de calidad.</w:t>
      </w:r>
    </w:p>
    <w:p w14:paraId="4B63DB6D" w14:textId="02632C19" w:rsidR="00DB1D4A" w:rsidRPr="00563505" w:rsidRDefault="006E425E">
      <w:pPr>
        <w:ind w:left="579" w:hanging="579"/>
        <w:rPr>
          <w:lang w:val="es-ES"/>
        </w:rPr>
      </w:pPr>
      <w:r w:rsidRPr="00563505">
        <w:rPr>
          <w:rFonts w:ascii="Arial" w:hAnsi="Arial" w:cs="Arial"/>
          <w:b/>
          <w:lang w:val="es-ES"/>
        </w:rPr>
        <w:t>III.</w:t>
      </w:r>
      <w:r w:rsidRPr="00563505">
        <w:rPr>
          <w:rFonts w:ascii="Arial" w:hAnsi="Arial" w:cs="Arial"/>
          <w:b/>
          <w:lang w:val="es-ES"/>
        </w:rPr>
        <w:tab/>
        <w:t xml:space="preserve">Descripción de las </w:t>
      </w:r>
      <w:r w:rsidR="00217DD2">
        <w:rPr>
          <w:rFonts w:ascii="Arial" w:hAnsi="Arial" w:cs="Arial"/>
          <w:b/>
          <w:lang w:val="es-ES"/>
        </w:rPr>
        <w:t>a</w:t>
      </w:r>
      <w:r w:rsidRPr="00563505">
        <w:rPr>
          <w:rFonts w:ascii="Arial" w:hAnsi="Arial" w:cs="Arial"/>
          <w:b/>
          <w:lang w:val="es-ES"/>
        </w:rPr>
        <w:t xml:space="preserve">ctividades y </w:t>
      </w:r>
      <w:r w:rsidR="00217DD2">
        <w:rPr>
          <w:rFonts w:ascii="Arial" w:hAnsi="Arial" w:cs="Arial"/>
          <w:b/>
          <w:lang w:val="es-ES"/>
        </w:rPr>
        <w:t>r</w:t>
      </w:r>
      <w:r w:rsidRPr="00563505">
        <w:rPr>
          <w:rFonts w:ascii="Arial" w:hAnsi="Arial" w:cs="Arial"/>
          <w:b/>
          <w:lang w:val="es-ES"/>
        </w:rPr>
        <w:t>esultados</w:t>
      </w:r>
    </w:p>
    <w:p w14:paraId="4B63DB6E" w14:textId="12104B2F" w:rsidR="00DB1D4A" w:rsidRPr="00563505" w:rsidRDefault="006E425E">
      <w:pPr>
        <w:ind w:left="579" w:hanging="579"/>
        <w:jc w:val="both"/>
        <w:rPr>
          <w:lang w:val="es-ES"/>
        </w:rPr>
      </w:pPr>
      <w:r w:rsidRPr="00563505">
        <w:rPr>
          <w:rFonts w:ascii="Arial" w:hAnsi="Arial" w:cs="Arial"/>
          <w:lang w:val="es-ES"/>
        </w:rPr>
        <w:t>3.1</w:t>
      </w:r>
      <w:r w:rsidRPr="00563505">
        <w:rPr>
          <w:rFonts w:ascii="Arial" w:hAnsi="Arial" w:cs="Arial"/>
          <w:lang w:val="es-ES"/>
        </w:rPr>
        <w:tab/>
      </w:r>
      <w:r w:rsidRPr="00563505">
        <w:rPr>
          <w:rFonts w:ascii="Arial" w:hAnsi="Arial" w:cs="Arial"/>
          <w:b/>
          <w:lang w:val="es-ES"/>
        </w:rPr>
        <w:t>Componente I</w:t>
      </w:r>
      <w:r w:rsidR="00D23782">
        <w:rPr>
          <w:rFonts w:ascii="Arial" w:hAnsi="Arial" w:cs="Arial"/>
          <w:b/>
          <w:lang w:val="es-ES"/>
        </w:rPr>
        <w:t>.</w:t>
      </w:r>
      <w:r w:rsidRPr="00563505">
        <w:rPr>
          <w:rFonts w:ascii="Arial" w:hAnsi="Arial" w:cs="Arial"/>
          <w:b/>
          <w:lang w:val="es-ES"/>
        </w:rPr>
        <w:t xml:space="preserve"> Preparación de proyectos de movilidad y desarrollo urbano sostenible (US$250.000</w:t>
      </w:r>
      <w:r w:rsidR="00D23782">
        <w:rPr>
          <w:rFonts w:ascii="Arial" w:hAnsi="Arial" w:cs="Arial"/>
          <w:b/>
          <w:lang w:val="es-ES"/>
        </w:rPr>
        <w:t>,00</w:t>
      </w:r>
      <w:r w:rsidRPr="00563505">
        <w:rPr>
          <w:rFonts w:ascii="Arial" w:hAnsi="Arial" w:cs="Arial"/>
          <w:b/>
          <w:lang w:val="es-ES"/>
        </w:rPr>
        <w:t xml:space="preserve">). </w:t>
      </w:r>
      <w:r w:rsidRPr="00563505">
        <w:rPr>
          <w:rFonts w:ascii="Arial" w:hAnsi="Arial" w:cs="Arial"/>
          <w:lang w:val="es-ES"/>
        </w:rPr>
        <w:t xml:space="preserve">Se financiarán ocho consultorías de factibilidad y diseño conceptual en cinco ciudades. Incluirá: </w:t>
      </w:r>
      <w:r w:rsidR="00DE2BD6">
        <w:rPr>
          <w:rFonts w:ascii="Arial" w:hAnsi="Arial" w:cs="Arial"/>
          <w:lang w:val="es-ES"/>
        </w:rPr>
        <w:t xml:space="preserve">(i) </w:t>
      </w:r>
      <w:r w:rsidRPr="00563505">
        <w:rPr>
          <w:rFonts w:ascii="Arial" w:hAnsi="Arial" w:cs="Arial"/>
          <w:lang w:val="es-ES"/>
        </w:rPr>
        <w:t>apoyo técnico en sistemas integrados de transporte público multimodal</w:t>
      </w:r>
      <w:r w:rsidR="00DE2BD6">
        <w:rPr>
          <w:rFonts w:ascii="Arial" w:hAnsi="Arial" w:cs="Arial"/>
          <w:lang w:val="es-ES"/>
        </w:rPr>
        <w:t>; (</w:t>
      </w:r>
      <w:proofErr w:type="spellStart"/>
      <w:r w:rsidR="00DE2BD6">
        <w:rPr>
          <w:rFonts w:ascii="Arial" w:hAnsi="Arial" w:cs="Arial"/>
          <w:lang w:val="es-ES"/>
        </w:rPr>
        <w:t>ii</w:t>
      </w:r>
      <w:proofErr w:type="spellEnd"/>
      <w:r w:rsidR="00DE2BD6">
        <w:rPr>
          <w:rFonts w:ascii="Arial" w:hAnsi="Arial" w:cs="Arial"/>
          <w:lang w:val="es-ES"/>
        </w:rPr>
        <w:t>)</w:t>
      </w:r>
      <w:r w:rsidRPr="00563505">
        <w:rPr>
          <w:rFonts w:ascii="Arial" w:hAnsi="Arial" w:cs="Arial"/>
          <w:lang w:val="es-ES"/>
        </w:rPr>
        <w:t xml:space="preserve"> recaudo</w:t>
      </w:r>
      <w:r w:rsidR="00DE2BD6">
        <w:rPr>
          <w:rFonts w:ascii="Arial" w:hAnsi="Arial" w:cs="Arial"/>
          <w:lang w:val="es-ES"/>
        </w:rPr>
        <w:t>;</w:t>
      </w:r>
      <w:r w:rsidRPr="00563505">
        <w:rPr>
          <w:rFonts w:ascii="Arial" w:hAnsi="Arial" w:cs="Arial"/>
          <w:lang w:val="es-ES"/>
        </w:rPr>
        <w:t xml:space="preserve"> </w:t>
      </w:r>
      <w:r w:rsidR="00DE2BD6">
        <w:rPr>
          <w:rFonts w:ascii="Arial" w:hAnsi="Arial" w:cs="Arial"/>
          <w:lang w:val="es-ES"/>
        </w:rPr>
        <w:t>(</w:t>
      </w:r>
      <w:proofErr w:type="spellStart"/>
      <w:r w:rsidR="00DE2BD6">
        <w:rPr>
          <w:rFonts w:ascii="Arial" w:hAnsi="Arial" w:cs="Arial"/>
          <w:lang w:val="es-ES"/>
        </w:rPr>
        <w:t>iii</w:t>
      </w:r>
      <w:proofErr w:type="spellEnd"/>
      <w:r w:rsidR="00DE2BD6">
        <w:rPr>
          <w:rFonts w:ascii="Arial" w:hAnsi="Arial" w:cs="Arial"/>
          <w:lang w:val="es-ES"/>
        </w:rPr>
        <w:t xml:space="preserve">) </w:t>
      </w:r>
      <w:r w:rsidRPr="00563505">
        <w:rPr>
          <w:rFonts w:ascii="Arial" w:hAnsi="Arial" w:cs="Arial"/>
          <w:lang w:val="es-ES"/>
        </w:rPr>
        <w:t>organización de rutas</w:t>
      </w:r>
      <w:r w:rsidR="00DE2BD6">
        <w:rPr>
          <w:rFonts w:ascii="Arial" w:hAnsi="Arial" w:cs="Arial"/>
          <w:lang w:val="es-ES"/>
        </w:rPr>
        <w:t>; (</w:t>
      </w:r>
      <w:proofErr w:type="spellStart"/>
      <w:r w:rsidR="00DE2BD6">
        <w:rPr>
          <w:rFonts w:ascii="Arial" w:hAnsi="Arial" w:cs="Arial"/>
          <w:lang w:val="es-ES"/>
        </w:rPr>
        <w:t>iv</w:t>
      </w:r>
      <w:proofErr w:type="spellEnd"/>
      <w:r w:rsidR="00DE2BD6">
        <w:rPr>
          <w:rFonts w:ascii="Arial" w:hAnsi="Arial" w:cs="Arial"/>
          <w:lang w:val="es-ES"/>
        </w:rPr>
        <w:t>)</w:t>
      </w:r>
      <w:r w:rsidRPr="00563505">
        <w:rPr>
          <w:rFonts w:ascii="Arial" w:hAnsi="Arial" w:cs="Arial"/>
          <w:lang w:val="es-ES"/>
        </w:rPr>
        <w:t xml:space="preserve"> desarrollo urbano orientado al tránsito</w:t>
      </w:r>
      <w:r w:rsidR="00DE2BD6">
        <w:rPr>
          <w:rFonts w:ascii="Arial" w:hAnsi="Arial" w:cs="Arial"/>
          <w:lang w:val="es-ES"/>
        </w:rPr>
        <w:t>;</w:t>
      </w:r>
      <w:r w:rsidRPr="00563505">
        <w:rPr>
          <w:rFonts w:ascii="Arial" w:hAnsi="Arial" w:cs="Arial"/>
          <w:lang w:val="es-ES"/>
        </w:rPr>
        <w:t xml:space="preserve"> </w:t>
      </w:r>
      <w:r w:rsidR="00DE2BD6">
        <w:rPr>
          <w:rFonts w:ascii="Arial" w:hAnsi="Arial" w:cs="Arial"/>
          <w:lang w:val="es-ES"/>
        </w:rPr>
        <w:t xml:space="preserve">(v) </w:t>
      </w:r>
      <w:r w:rsidRPr="00563505">
        <w:rPr>
          <w:rFonts w:ascii="Arial" w:hAnsi="Arial" w:cs="Arial"/>
          <w:lang w:val="es-ES"/>
        </w:rPr>
        <w:t>herramientas tecnológicas</w:t>
      </w:r>
      <w:r w:rsidR="00A00A46">
        <w:rPr>
          <w:rFonts w:ascii="Arial" w:hAnsi="Arial" w:cs="Arial"/>
          <w:lang w:val="es-ES"/>
        </w:rPr>
        <w:t>; (vi)</w:t>
      </w:r>
      <w:r w:rsidRPr="00563505">
        <w:rPr>
          <w:rFonts w:ascii="Arial" w:hAnsi="Arial" w:cs="Arial"/>
          <w:lang w:val="es-ES"/>
        </w:rPr>
        <w:t xml:space="preserve"> regeneración urbana y activación de espacio público con urbanismo participativo bajo criterios de accesibilidad</w:t>
      </w:r>
      <w:r w:rsidR="00A00A46">
        <w:rPr>
          <w:rFonts w:ascii="Arial" w:hAnsi="Arial" w:cs="Arial"/>
          <w:lang w:val="es-ES"/>
        </w:rPr>
        <w:t>;</w:t>
      </w:r>
      <w:r w:rsidRPr="00563505">
        <w:rPr>
          <w:rFonts w:ascii="Arial" w:hAnsi="Arial" w:cs="Arial"/>
          <w:lang w:val="es-ES"/>
        </w:rPr>
        <w:t xml:space="preserve"> </w:t>
      </w:r>
      <w:r w:rsidR="00A00A46">
        <w:rPr>
          <w:rFonts w:ascii="Arial" w:hAnsi="Arial" w:cs="Arial"/>
          <w:lang w:val="es-ES"/>
        </w:rPr>
        <w:t>(</w:t>
      </w:r>
      <w:proofErr w:type="spellStart"/>
      <w:r w:rsidR="00A00A46">
        <w:rPr>
          <w:rFonts w:ascii="Arial" w:hAnsi="Arial" w:cs="Arial"/>
          <w:lang w:val="es-ES"/>
        </w:rPr>
        <w:t>vii</w:t>
      </w:r>
      <w:proofErr w:type="spellEnd"/>
      <w:r w:rsidR="00A00A46">
        <w:rPr>
          <w:rFonts w:ascii="Arial" w:hAnsi="Arial" w:cs="Arial"/>
          <w:lang w:val="es-ES"/>
        </w:rPr>
        <w:t xml:space="preserve">) </w:t>
      </w:r>
      <w:r w:rsidRPr="00563505">
        <w:rPr>
          <w:rFonts w:ascii="Arial" w:hAnsi="Arial" w:cs="Arial"/>
          <w:lang w:val="es-ES"/>
        </w:rPr>
        <w:t xml:space="preserve">prevención de violencia de género y acoso sexual, </w:t>
      </w:r>
      <w:r w:rsidR="00A00A46">
        <w:rPr>
          <w:rFonts w:ascii="Arial" w:hAnsi="Arial" w:cs="Arial"/>
          <w:lang w:val="es-ES"/>
        </w:rPr>
        <w:t>(</w:t>
      </w:r>
      <w:proofErr w:type="spellStart"/>
      <w:r w:rsidR="00A00A46">
        <w:rPr>
          <w:rFonts w:ascii="Arial" w:hAnsi="Arial" w:cs="Arial"/>
          <w:lang w:val="es-ES"/>
        </w:rPr>
        <w:t>viii</w:t>
      </w:r>
      <w:proofErr w:type="spellEnd"/>
      <w:r w:rsidR="00A00A46">
        <w:rPr>
          <w:rFonts w:ascii="Arial" w:hAnsi="Arial" w:cs="Arial"/>
          <w:lang w:val="es-ES"/>
        </w:rPr>
        <w:t xml:space="preserve">) </w:t>
      </w:r>
      <w:r w:rsidRPr="00563505">
        <w:rPr>
          <w:rFonts w:ascii="Arial" w:hAnsi="Arial" w:cs="Arial"/>
          <w:lang w:val="es-ES"/>
        </w:rPr>
        <w:t>seguridad vial</w:t>
      </w:r>
      <w:r w:rsidR="00A00A46">
        <w:rPr>
          <w:rFonts w:ascii="Arial" w:hAnsi="Arial" w:cs="Arial"/>
          <w:lang w:val="es-ES"/>
        </w:rPr>
        <w:t>;</w:t>
      </w:r>
      <w:r w:rsidRPr="00563505">
        <w:rPr>
          <w:rFonts w:ascii="Arial" w:hAnsi="Arial" w:cs="Arial"/>
          <w:lang w:val="es-ES"/>
        </w:rPr>
        <w:t xml:space="preserve"> y</w:t>
      </w:r>
      <w:r w:rsidR="00C27CB0">
        <w:rPr>
          <w:rFonts w:ascii="Arial" w:hAnsi="Arial" w:cs="Arial"/>
          <w:lang w:val="es-ES"/>
        </w:rPr>
        <w:t xml:space="preserve"> </w:t>
      </w:r>
      <w:r w:rsidR="00A00A46">
        <w:rPr>
          <w:rFonts w:ascii="Arial" w:hAnsi="Arial" w:cs="Arial"/>
          <w:lang w:val="es-ES"/>
        </w:rPr>
        <w:t>(</w:t>
      </w:r>
      <w:proofErr w:type="spellStart"/>
      <w:r w:rsidR="00A00A46">
        <w:rPr>
          <w:rFonts w:ascii="Arial" w:hAnsi="Arial" w:cs="Arial"/>
          <w:lang w:val="es-ES"/>
        </w:rPr>
        <w:t>i</w:t>
      </w:r>
      <w:r w:rsidR="00C27CB0">
        <w:rPr>
          <w:rFonts w:ascii="Arial" w:hAnsi="Arial" w:cs="Arial"/>
          <w:lang w:val="es-ES"/>
        </w:rPr>
        <w:t>x</w:t>
      </w:r>
      <w:proofErr w:type="spellEnd"/>
      <w:r w:rsidR="00C27CB0">
        <w:rPr>
          <w:rFonts w:ascii="Arial" w:hAnsi="Arial" w:cs="Arial"/>
          <w:lang w:val="es-ES"/>
        </w:rPr>
        <w:t>)</w:t>
      </w:r>
      <w:r w:rsidRPr="00563505">
        <w:rPr>
          <w:rFonts w:ascii="Arial" w:hAnsi="Arial" w:cs="Arial"/>
          <w:lang w:val="es-ES"/>
        </w:rPr>
        <w:t xml:space="preserve"> sostenibilidad.  </w:t>
      </w:r>
    </w:p>
    <w:p w14:paraId="4B63DB6F" w14:textId="1F107034" w:rsidR="00DB1D4A" w:rsidRPr="00563505" w:rsidRDefault="006E425E">
      <w:pPr>
        <w:ind w:left="579" w:hanging="579"/>
        <w:jc w:val="both"/>
        <w:rPr>
          <w:lang w:val="es-ES"/>
        </w:rPr>
      </w:pPr>
      <w:r w:rsidRPr="00563505">
        <w:rPr>
          <w:rFonts w:ascii="Arial" w:hAnsi="Arial" w:cs="Arial"/>
          <w:lang w:val="es-ES"/>
        </w:rPr>
        <w:t>3.2</w:t>
      </w:r>
      <w:r w:rsidRPr="00563505">
        <w:rPr>
          <w:rFonts w:ascii="Arial" w:hAnsi="Arial" w:cs="Arial"/>
          <w:lang w:val="es-ES"/>
        </w:rPr>
        <w:tab/>
      </w:r>
      <w:r w:rsidRPr="00563505">
        <w:rPr>
          <w:rFonts w:ascii="Arial" w:hAnsi="Arial" w:cs="Arial"/>
          <w:b/>
          <w:lang w:val="es-ES"/>
        </w:rPr>
        <w:t>Componente II</w:t>
      </w:r>
      <w:r w:rsidR="00D23782">
        <w:rPr>
          <w:rFonts w:ascii="Arial" w:hAnsi="Arial" w:cs="Arial"/>
          <w:b/>
          <w:lang w:val="es-ES"/>
        </w:rPr>
        <w:t>.</w:t>
      </w:r>
      <w:r w:rsidRPr="00563505">
        <w:rPr>
          <w:rFonts w:ascii="Arial" w:hAnsi="Arial" w:cs="Arial"/>
          <w:b/>
          <w:lang w:val="es-ES"/>
        </w:rPr>
        <w:t xml:space="preserve"> Capacitación y diseminación (US$50.000</w:t>
      </w:r>
      <w:r w:rsidR="00D23782">
        <w:rPr>
          <w:rFonts w:ascii="Arial" w:hAnsi="Arial" w:cs="Arial"/>
          <w:b/>
          <w:lang w:val="es-ES"/>
        </w:rPr>
        <w:t>,00</w:t>
      </w:r>
      <w:r w:rsidRPr="00563505">
        <w:rPr>
          <w:rFonts w:ascii="Arial" w:hAnsi="Arial" w:cs="Arial"/>
          <w:b/>
          <w:lang w:val="es-ES"/>
        </w:rPr>
        <w:t xml:space="preserve">). </w:t>
      </w:r>
      <w:r w:rsidRPr="00563505">
        <w:rPr>
          <w:rFonts w:ascii="Arial" w:hAnsi="Arial" w:cs="Arial"/>
          <w:lang w:val="es-ES"/>
        </w:rPr>
        <w:t xml:space="preserve">Incluirá actividades de intercambio de conocimiento entre GAD </w:t>
      </w:r>
      <w:r>
        <w:rPr>
          <w:rFonts w:ascii="Arial" w:hAnsi="Arial" w:cs="Arial"/>
          <w:lang w:val="es-ES"/>
        </w:rPr>
        <w:t>m</w:t>
      </w:r>
      <w:r w:rsidRPr="00563505">
        <w:rPr>
          <w:rFonts w:ascii="Arial" w:hAnsi="Arial" w:cs="Arial"/>
          <w:lang w:val="es-ES"/>
        </w:rPr>
        <w:t>unicipales que promuevan la movilidad y desarrollo urbano sostenibles. Para ello se generarán, al menos tres productos de conocimiento específicos como notas técnicas y publicaciones; además se realizarán al menos dos talleres para estos intercambios, buscando la participación de la Asociación de Municipalidades de Ecuador (AME) y el Ministerio de Transporte y Obras Públicas.</w:t>
      </w:r>
    </w:p>
    <w:p w14:paraId="4B63DB70" w14:textId="6B69D234" w:rsidR="00DB1D4A" w:rsidRPr="005F2A77" w:rsidRDefault="006E425E">
      <w:pPr>
        <w:ind w:left="579" w:hanging="579"/>
        <w:rPr>
          <w:lang w:val="es-ES"/>
        </w:rPr>
      </w:pPr>
      <w:r w:rsidRPr="005F2A77">
        <w:rPr>
          <w:rFonts w:ascii="Arial" w:hAnsi="Arial" w:cs="Arial"/>
          <w:b/>
          <w:lang w:val="es-ES"/>
        </w:rPr>
        <w:t>IV.</w:t>
      </w:r>
      <w:r w:rsidRPr="005F2A77">
        <w:rPr>
          <w:rFonts w:ascii="Arial" w:hAnsi="Arial" w:cs="Arial"/>
          <w:b/>
          <w:lang w:val="es-ES"/>
        </w:rPr>
        <w:tab/>
        <w:t>Presupuesto</w:t>
      </w:r>
      <w:r w:rsidR="00217DD2">
        <w:rPr>
          <w:rFonts w:ascii="Arial" w:hAnsi="Arial" w:cs="Arial"/>
          <w:b/>
          <w:lang w:val="es-ES"/>
        </w:rPr>
        <w:t xml:space="preserve"> indicativo</w:t>
      </w:r>
    </w:p>
    <w:p w14:paraId="4B63DB71" w14:textId="77777777" w:rsidR="00DB1D4A" w:rsidRPr="005F2A77" w:rsidRDefault="006E425E" w:rsidP="005F2A77">
      <w:pPr>
        <w:jc w:val="center"/>
        <w:rPr>
          <w:sz w:val="28"/>
          <w:szCs w:val="28"/>
          <w:lang w:val="es-ES"/>
        </w:rPr>
      </w:pPr>
      <w:r w:rsidRPr="005F2A77">
        <w:rPr>
          <w:rFonts w:ascii="Arial" w:hAnsi="Arial" w:cs="Arial"/>
          <w:b/>
          <w:lang w:val="es-ES"/>
        </w:rPr>
        <w:t>Presupuesto Indicativo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2177"/>
        <w:gridCol w:w="1477"/>
        <w:gridCol w:w="1897"/>
        <w:gridCol w:w="1406"/>
        <w:gridCol w:w="1547"/>
      </w:tblGrid>
      <w:tr w:rsidR="0002074C" w:rsidRPr="00563505" w14:paraId="4B63DB76" w14:textId="77777777" w:rsidTr="00E81957">
        <w:tc>
          <w:tcPr>
            <w:tcW w:w="2177" w:type="dxa"/>
            <w:vAlign w:val="center"/>
          </w:tcPr>
          <w:p w14:paraId="4B63DB72" w14:textId="77777777" w:rsidR="00C36C9F" w:rsidRPr="004F56AF" w:rsidRDefault="00C36C9F">
            <w:pPr>
              <w:spacing w:before="40" w:after="40"/>
              <w:jc w:val="center"/>
            </w:pPr>
            <w:r w:rsidRPr="005F2A77">
              <w:rPr>
                <w:rFonts w:ascii="Arial" w:hAnsi="Arial" w:cs="Arial"/>
                <w:b/>
                <w:sz w:val="18"/>
                <w:szCs w:val="18"/>
                <w:lang w:val="es-ES"/>
              </w:rPr>
              <w:t>Actividad/Componente</w:t>
            </w:r>
          </w:p>
        </w:tc>
        <w:tc>
          <w:tcPr>
            <w:tcW w:w="1477" w:type="dxa"/>
            <w:vAlign w:val="center"/>
          </w:tcPr>
          <w:p w14:paraId="4494771B" w14:textId="1307AF19" w:rsidR="00C36C9F" w:rsidRPr="00563505" w:rsidRDefault="004F56AF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>Descripción</w:t>
            </w:r>
          </w:p>
        </w:tc>
        <w:tc>
          <w:tcPr>
            <w:tcW w:w="1897" w:type="dxa"/>
            <w:vAlign w:val="center"/>
          </w:tcPr>
          <w:p w14:paraId="4B63DB73" w14:textId="7B609DD9" w:rsidR="00C36C9F" w:rsidRPr="005F2A77" w:rsidRDefault="00C36C9F">
            <w:pPr>
              <w:spacing w:before="40" w:after="40"/>
              <w:jc w:val="center"/>
              <w:rPr>
                <w:lang w:val="es-ES"/>
              </w:rPr>
            </w:pPr>
            <w:r w:rsidRPr="005F2A77">
              <w:rPr>
                <w:rFonts w:ascii="Arial" w:hAnsi="Arial" w:cs="Arial"/>
                <w:b/>
                <w:sz w:val="18"/>
                <w:szCs w:val="18"/>
                <w:lang w:val="es-ES"/>
              </w:rPr>
              <w:t>BID/Financiamiento por Fondo</w:t>
            </w:r>
          </w:p>
        </w:tc>
        <w:tc>
          <w:tcPr>
            <w:tcW w:w="1406" w:type="dxa"/>
            <w:vAlign w:val="center"/>
          </w:tcPr>
          <w:p w14:paraId="4B63DB74" w14:textId="77777777" w:rsidR="00C36C9F" w:rsidRPr="005F2A77" w:rsidRDefault="00C36C9F">
            <w:pPr>
              <w:spacing w:before="40" w:after="40"/>
              <w:jc w:val="center"/>
              <w:rPr>
                <w:lang w:val="es-ES"/>
              </w:rPr>
            </w:pPr>
            <w:r w:rsidRPr="005F2A77">
              <w:rPr>
                <w:rFonts w:ascii="Arial" w:hAnsi="Arial" w:cs="Arial"/>
                <w:b/>
                <w:sz w:val="18"/>
                <w:szCs w:val="18"/>
                <w:lang w:val="es-ES"/>
              </w:rPr>
              <w:t>Contrapartida Local</w:t>
            </w:r>
          </w:p>
        </w:tc>
        <w:tc>
          <w:tcPr>
            <w:tcW w:w="1547" w:type="dxa"/>
            <w:vAlign w:val="center"/>
          </w:tcPr>
          <w:p w14:paraId="4B63DB75" w14:textId="77777777" w:rsidR="00C36C9F" w:rsidRPr="005F2A77" w:rsidRDefault="00C36C9F">
            <w:pPr>
              <w:spacing w:before="40" w:after="40"/>
              <w:jc w:val="center"/>
              <w:rPr>
                <w:lang w:val="es-ES"/>
              </w:rPr>
            </w:pPr>
            <w:r w:rsidRPr="005F2A77">
              <w:rPr>
                <w:rFonts w:ascii="Arial" w:hAnsi="Arial" w:cs="Arial"/>
                <w:b/>
                <w:sz w:val="18"/>
                <w:szCs w:val="18"/>
                <w:lang w:val="es-ES"/>
              </w:rPr>
              <w:t>Financiamiento Total</w:t>
            </w:r>
          </w:p>
        </w:tc>
      </w:tr>
      <w:tr w:rsidR="0002074C" w:rsidRPr="00563505" w14:paraId="4B63DB7B" w14:textId="77777777" w:rsidTr="00E81957">
        <w:tc>
          <w:tcPr>
            <w:tcW w:w="2177" w:type="dxa"/>
            <w:vAlign w:val="center"/>
          </w:tcPr>
          <w:p w14:paraId="4B63DB77" w14:textId="15B87CB7" w:rsidR="00C36C9F" w:rsidRPr="00563505" w:rsidRDefault="00C36C9F">
            <w:pPr>
              <w:spacing w:before="40" w:after="40"/>
              <w:rPr>
                <w:lang w:val="es-ES"/>
              </w:rPr>
            </w:pPr>
            <w:r w:rsidRPr="00563505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4F56AF" w:rsidRPr="004F56AF">
              <w:rPr>
                <w:rFonts w:ascii="Arial" w:hAnsi="Arial" w:cs="Arial"/>
                <w:sz w:val="18"/>
                <w:szCs w:val="18"/>
                <w:lang w:val="es-ES"/>
              </w:rPr>
              <w:t>Componente I</w:t>
            </w:r>
          </w:p>
        </w:tc>
        <w:tc>
          <w:tcPr>
            <w:tcW w:w="1477" w:type="dxa"/>
            <w:vAlign w:val="center"/>
          </w:tcPr>
          <w:p w14:paraId="32CC8D97" w14:textId="23DA23DF" w:rsidR="00C36C9F" w:rsidRPr="00563505" w:rsidRDefault="004F56AF" w:rsidP="005F2A77">
            <w:pPr>
              <w:spacing w:before="40" w:after="4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563505">
              <w:rPr>
                <w:rFonts w:ascii="Arial" w:hAnsi="Arial" w:cs="Arial"/>
                <w:sz w:val="18"/>
                <w:szCs w:val="18"/>
                <w:lang w:val="es-ES"/>
              </w:rPr>
              <w:t>Preparación de proyectos de movilidad y desarrollo urbano sostenible</w:t>
            </w:r>
          </w:p>
        </w:tc>
        <w:tc>
          <w:tcPr>
            <w:tcW w:w="1897" w:type="dxa"/>
            <w:vAlign w:val="center"/>
          </w:tcPr>
          <w:p w14:paraId="4B63DB78" w14:textId="3592C758" w:rsidR="00C36C9F" w:rsidRPr="005F2A77" w:rsidRDefault="00C36C9F">
            <w:pPr>
              <w:spacing w:before="40" w:after="40"/>
              <w:jc w:val="right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US$250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000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,</w:t>
            </w: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00</w:t>
            </w:r>
          </w:p>
        </w:tc>
        <w:tc>
          <w:tcPr>
            <w:tcW w:w="1406" w:type="dxa"/>
            <w:vAlign w:val="center"/>
          </w:tcPr>
          <w:p w14:paraId="4B63DB79" w14:textId="5AF659E7" w:rsidR="00C36C9F" w:rsidRPr="005F2A77" w:rsidRDefault="00C36C9F">
            <w:pPr>
              <w:spacing w:before="40" w:after="40"/>
              <w:jc w:val="right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US$0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,</w:t>
            </w: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00</w:t>
            </w:r>
          </w:p>
        </w:tc>
        <w:tc>
          <w:tcPr>
            <w:tcW w:w="1547" w:type="dxa"/>
            <w:vAlign w:val="center"/>
          </w:tcPr>
          <w:p w14:paraId="4B63DB7A" w14:textId="39FF16F8" w:rsidR="00C36C9F" w:rsidRPr="005F2A77" w:rsidRDefault="00C36C9F">
            <w:pPr>
              <w:spacing w:before="40" w:after="40"/>
              <w:jc w:val="right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US$250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000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,</w:t>
            </w: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00</w:t>
            </w:r>
          </w:p>
        </w:tc>
      </w:tr>
      <w:tr w:rsidR="0002074C" w:rsidRPr="00563505" w14:paraId="4B63DB80" w14:textId="77777777" w:rsidTr="00E81957">
        <w:tc>
          <w:tcPr>
            <w:tcW w:w="2177" w:type="dxa"/>
            <w:vAlign w:val="center"/>
          </w:tcPr>
          <w:p w14:paraId="4B63DB7C" w14:textId="2BA809CA" w:rsidR="00C36C9F" w:rsidRPr="005F2A77" w:rsidRDefault="004F56AF">
            <w:pPr>
              <w:spacing w:before="40" w:after="40"/>
              <w:rPr>
                <w:lang w:val="es-ES"/>
              </w:rPr>
            </w:pPr>
            <w:r w:rsidRPr="004F56AF">
              <w:rPr>
                <w:rFonts w:ascii="Arial" w:hAnsi="Arial" w:cs="Arial"/>
                <w:sz w:val="18"/>
                <w:szCs w:val="18"/>
                <w:lang w:val="es-ES"/>
              </w:rPr>
              <w:t>Componente I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I</w:t>
            </w:r>
            <w:r w:rsidRPr="004F56AF" w:rsidDel="004F56AF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1477" w:type="dxa"/>
            <w:vAlign w:val="center"/>
          </w:tcPr>
          <w:p w14:paraId="166B1FAA" w14:textId="7E1636B8" w:rsidR="00C36C9F" w:rsidRPr="00563505" w:rsidRDefault="004F56AF" w:rsidP="005F2A77">
            <w:pPr>
              <w:spacing w:before="40" w:after="4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A6789F">
              <w:rPr>
                <w:rFonts w:ascii="Arial" w:hAnsi="Arial" w:cs="Arial"/>
                <w:sz w:val="18"/>
                <w:szCs w:val="18"/>
                <w:lang w:val="es-ES"/>
              </w:rPr>
              <w:t>Capacitación y diseminación</w:t>
            </w:r>
          </w:p>
        </w:tc>
        <w:tc>
          <w:tcPr>
            <w:tcW w:w="1897" w:type="dxa"/>
            <w:vAlign w:val="center"/>
          </w:tcPr>
          <w:p w14:paraId="4B63DB7D" w14:textId="67D78AF6" w:rsidR="00C36C9F" w:rsidRPr="005F2A77" w:rsidRDefault="00C36C9F">
            <w:pPr>
              <w:spacing w:before="40" w:after="40"/>
              <w:jc w:val="right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US$50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000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,</w:t>
            </w: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00</w:t>
            </w:r>
          </w:p>
        </w:tc>
        <w:tc>
          <w:tcPr>
            <w:tcW w:w="1406" w:type="dxa"/>
            <w:vAlign w:val="center"/>
          </w:tcPr>
          <w:p w14:paraId="4B63DB7E" w14:textId="52FAF228" w:rsidR="00C36C9F" w:rsidRPr="005F2A77" w:rsidRDefault="00C36C9F">
            <w:pPr>
              <w:spacing w:before="40" w:after="40"/>
              <w:jc w:val="right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US$0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,</w:t>
            </w: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00</w:t>
            </w:r>
          </w:p>
        </w:tc>
        <w:tc>
          <w:tcPr>
            <w:tcW w:w="1547" w:type="dxa"/>
            <w:vAlign w:val="center"/>
          </w:tcPr>
          <w:p w14:paraId="4B63DB7F" w14:textId="3847F614" w:rsidR="00C36C9F" w:rsidRPr="005F2A77" w:rsidRDefault="00C36C9F">
            <w:pPr>
              <w:spacing w:before="40" w:after="40"/>
              <w:jc w:val="right"/>
              <w:rPr>
                <w:lang w:val="es-ES"/>
              </w:rPr>
            </w:pP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US$50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000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,</w:t>
            </w:r>
            <w:r w:rsidRPr="005F2A77">
              <w:rPr>
                <w:rFonts w:ascii="Arial" w:hAnsi="Arial" w:cs="Arial"/>
                <w:sz w:val="18"/>
                <w:szCs w:val="18"/>
                <w:lang w:val="es-ES"/>
              </w:rPr>
              <w:t>00</w:t>
            </w:r>
          </w:p>
        </w:tc>
      </w:tr>
      <w:tr w:rsidR="0002074C" w:rsidRPr="00563505" w14:paraId="4B63DB85" w14:textId="77777777" w:rsidTr="00E81957">
        <w:tc>
          <w:tcPr>
            <w:tcW w:w="2177" w:type="dxa"/>
            <w:vAlign w:val="center"/>
          </w:tcPr>
          <w:p w14:paraId="4B63DB81" w14:textId="77777777" w:rsidR="00C36C9F" w:rsidRPr="005F2A77" w:rsidRDefault="00C36C9F">
            <w:pPr>
              <w:spacing w:before="40" w:after="40"/>
              <w:rPr>
                <w:lang w:val="es-ES"/>
              </w:rPr>
            </w:pPr>
            <w:r w:rsidRPr="005F2A77">
              <w:rPr>
                <w:rFonts w:ascii="Arial" w:hAnsi="Arial" w:cs="Arial"/>
                <w:b/>
                <w:sz w:val="18"/>
                <w:szCs w:val="18"/>
                <w:lang w:val="es-ES"/>
              </w:rPr>
              <w:t>Total</w:t>
            </w:r>
          </w:p>
        </w:tc>
        <w:tc>
          <w:tcPr>
            <w:tcW w:w="1477" w:type="dxa"/>
          </w:tcPr>
          <w:p w14:paraId="4E82D021" w14:textId="77777777" w:rsidR="00C36C9F" w:rsidRPr="00563505" w:rsidRDefault="00C36C9F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897" w:type="dxa"/>
            <w:vAlign w:val="center"/>
          </w:tcPr>
          <w:p w14:paraId="4B63DB82" w14:textId="24DC2A3B" w:rsidR="00C36C9F" w:rsidRPr="005F2A77" w:rsidRDefault="00C36C9F">
            <w:pPr>
              <w:spacing w:before="40" w:after="40"/>
              <w:jc w:val="right"/>
              <w:rPr>
                <w:lang w:val="es-ES"/>
              </w:rPr>
            </w:pPr>
            <w:r w:rsidRPr="005F2A77">
              <w:rPr>
                <w:rFonts w:ascii="Arial" w:hAnsi="Arial" w:cs="Arial"/>
                <w:b/>
                <w:sz w:val="18"/>
                <w:szCs w:val="18"/>
                <w:lang w:val="es-ES"/>
              </w:rPr>
              <w:t>US$300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.</w:t>
            </w:r>
            <w:r w:rsidRPr="005F2A77">
              <w:rPr>
                <w:rFonts w:ascii="Arial" w:hAnsi="Arial" w:cs="Arial"/>
                <w:b/>
                <w:sz w:val="18"/>
                <w:szCs w:val="18"/>
                <w:lang w:val="es-ES"/>
              </w:rPr>
              <w:t>000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,</w:t>
            </w:r>
            <w:r w:rsidRPr="005F2A77">
              <w:rPr>
                <w:rFonts w:ascii="Arial" w:hAnsi="Arial" w:cs="Arial"/>
                <w:b/>
                <w:sz w:val="18"/>
                <w:szCs w:val="18"/>
                <w:lang w:val="es-ES"/>
              </w:rPr>
              <w:t>00</w:t>
            </w:r>
          </w:p>
        </w:tc>
        <w:tc>
          <w:tcPr>
            <w:tcW w:w="1406" w:type="dxa"/>
            <w:vAlign w:val="center"/>
          </w:tcPr>
          <w:p w14:paraId="4B63DB83" w14:textId="2D4CE616" w:rsidR="00C36C9F" w:rsidRPr="005F2A77" w:rsidRDefault="00C36C9F">
            <w:pPr>
              <w:spacing w:before="40" w:after="40"/>
              <w:jc w:val="right"/>
              <w:rPr>
                <w:lang w:val="es-ES"/>
              </w:rPr>
            </w:pPr>
            <w:r w:rsidRPr="005F2A77">
              <w:rPr>
                <w:rFonts w:ascii="Arial" w:hAnsi="Arial" w:cs="Arial"/>
                <w:b/>
                <w:sz w:val="18"/>
                <w:szCs w:val="18"/>
                <w:lang w:val="es-ES"/>
              </w:rPr>
              <w:t>US$0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,</w:t>
            </w:r>
            <w:r w:rsidRPr="005F2A77">
              <w:rPr>
                <w:rFonts w:ascii="Arial" w:hAnsi="Arial" w:cs="Arial"/>
                <w:b/>
                <w:sz w:val="18"/>
                <w:szCs w:val="18"/>
                <w:lang w:val="es-ES"/>
              </w:rPr>
              <w:t>00</w:t>
            </w:r>
          </w:p>
        </w:tc>
        <w:tc>
          <w:tcPr>
            <w:tcW w:w="1547" w:type="dxa"/>
            <w:vAlign w:val="center"/>
          </w:tcPr>
          <w:p w14:paraId="4B63DB84" w14:textId="45AB7014" w:rsidR="00C36C9F" w:rsidRPr="005F2A77" w:rsidRDefault="00C36C9F">
            <w:pPr>
              <w:spacing w:before="40" w:after="40"/>
              <w:jc w:val="right"/>
              <w:rPr>
                <w:lang w:val="es-ES"/>
              </w:rPr>
            </w:pPr>
            <w:r w:rsidRPr="005F2A77">
              <w:rPr>
                <w:rFonts w:ascii="Arial" w:hAnsi="Arial" w:cs="Arial"/>
                <w:b/>
                <w:sz w:val="18"/>
                <w:szCs w:val="18"/>
                <w:lang w:val="es-ES"/>
              </w:rPr>
              <w:t>US$300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.</w:t>
            </w:r>
            <w:r w:rsidRPr="005F2A77">
              <w:rPr>
                <w:rFonts w:ascii="Arial" w:hAnsi="Arial" w:cs="Arial"/>
                <w:b/>
                <w:sz w:val="18"/>
                <w:szCs w:val="18"/>
                <w:lang w:val="es-ES"/>
              </w:rPr>
              <w:t>000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,</w:t>
            </w:r>
            <w:r w:rsidRPr="005F2A77">
              <w:rPr>
                <w:rFonts w:ascii="Arial" w:hAnsi="Arial" w:cs="Arial"/>
                <w:b/>
                <w:sz w:val="18"/>
                <w:szCs w:val="18"/>
                <w:lang w:val="es-ES"/>
              </w:rPr>
              <w:t>00</w:t>
            </w:r>
          </w:p>
        </w:tc>
      </w:tr>
    </w:tbl>
    <w:p w14:paraId="4B63DB86" w14:textId="1F36E3C7" w:rsidR="00DB1D4A" w:rsidRPr="00563505" w:rsidRDefault="006E425E">
      <w:pPr>
        <w:ind w:left="579" w:hanging="579"/>
        <w:rPr>
          <w:lang w:val="es-ES"/>
        </w:rPr>
      </w:pPr>
      <w:r w:rsidRPr="00563505">
        <w:rPr>
          <w:rFonts w:ascii="Arial" w:hAnsi="Arial" w:cs="Arial"/>
          <w:b/>
          <w:lang w:val="es-ES"/>
        </w:rPr>
        <w:t>V.</w:t>
      </w:r>
      <w:r w:rsidRPr="00563505">
        <w:rPr>
          <w:rFonts w:ascii="Arial" w:hAnsi="Arial" w:cs="Arial"/>
          <w:b/>
          <w:lang w:val="es-ES"/>
        </w:rPr>
        <w:tab/>
        <w:t xml:space="preserve">Agencia Ejecutora y </w:t>
      </w:r>
      <w:r w:rsidR="0002074C">
        <w:rPr>
          <w:rFonts w:ascii="Arial" w:hAnsi="Arial" w:cs="Arial"/>
          <w:b/>
          <w:lang w:val="es-ES"/>
        </w:rPr>
        <w:t>e</w:t>
      </w:r>
      <w:r w:rsidRPr="00563505">
        <w:rPr>
          <w:rFonts w:ascii="Arial" w:hAnsi="Arial" w:cs="Arial"/>
          <w:b/>
          <w:lang w:val="es-ES"/>
        </w:rPr>
        <w:t xml:space="preserve">structura de </w:t>
      </w:r>
      <w:r w:rsidR="0002074C">
        <w:rPr>
          <w:rFonts w:ascii="Arial" w:hAnsi="Arial" w:cs="Arial"/>
          <w:b/>
          <w:lang w:val="es-ES"/>
        </w:rPr>
        <w:t>e</w:t>
      </w:r>
      <w:r w:rsidRPr="00563505">
        <w:rPr>
          <w:rFonts w:ascii="Arial" w:hAnsi="Arial" w:cs="Arial"/>
          <w:b/>
          <w:lang w:val="es-ES"/>
        </w:rPr>
        <w:t>jecución</w:t>
      </w:r>
    </w:p>
    <w:p w14:paraId="4B63DB87" w14:textId="77777777" w:rsidR="00DB1D4A" w:rsidRPr="00563505" w:rsidRDefault="006E425E" w:rsidP="005F2A77">
      <w:pPr>
        <w:ind w:left="576" w:hanging="576"/>
        <w:jc w:val="both"/>
        <w:rPr>
          <w:lang w:val="es-ES"/>
        </w:rPr>
      </w:pPr>
      <w:r w:rsidRPr="00563505">
        <w:rPr>
          <w:rFonts w:ascii="Arial" w:hAnsi="Arial" w:cs="Arial"/>
          <w:lang w:val="es-ES"/>
        </w:rPr>
        <w:t>5.1</w:t>
      </w:r>
      <w:r w:rsidRPr="00563505">
        <w:rPr>
          <w:rFonts w:ascii="Arial" w:hAnsi="Arial" w:cs="Arial"/>
          <w:lang w:val="es-ES"/>
        </w:rPr>
        <w:tab/>
        <w:t xml:space="preserve">La ejecución estará a cargo del Banco Interamericano de Desarrollo a través de la División de Transporte (TSP/CEC), bajo la supervisión del especialista de transporte local con el apoyo de un equipo multidisciplinario conformado también por especialistas de la división de ciudades sostenibles (HUD/CEC). Será el Banco quien, </w:t>
      </w:r>
      <w:r w:rsidRPr="00563505">
        <w:rPr>
          <w:rFonts w:ascii="Arial" w:hAnsi="Arial" w:cs="Arial"/>
          <w:lang w:val="es-ES"/>
        </w:rPr>
        <w:lastRenderedPageBreak/>
        <w:t>además de realizar las contrataciones, realice el monitoreo, seguimiento y aprobación de los productos respectivos.</w:t>
      </w:r>
    </w:p>
    <w:p w14:paraId="4B63DB88" w14:textId="37120EA8" w:rsidR="00DB1D4A" w:rsidRPr="00563505" w:rsidRDefault="006E425E" w:rsidP="005F2A77">
      <w:pPr>
        <w:ind w:left="576" w:hanging="576"/>
        <w:jc w:val="both"/>
        <w:rPr>
          <w:lang w:val="es-ES"/>
        </w:rPr>
      </w:pPr>
      <w:r w:rsidRPr="00563505">
        <w:rPr>
          <w:rFonts w:ascii="Arial" w:hAnsi="Arial" w:cs="Arial"/>
          <w:lang w:val="es-ES"/>
        </w:rPr>
        <w:t>5.2</w:t>
      </w:r>
      <w:r w:rsidRPr="00563505">
        <w:rPr>
          <w:rFonts w:ascii="Arial" w:hAnsi="Arial" w:cs="Arial"/>
          <w:lang w:val="es-ES"/>
        </w:rPr>
        <w:tab/>
        <w:t xml:space="preserve">Este esquema, solicitado mediante oficio por parte del Ministerio de Economía y Finanzas (MEF). Se justifica por el nivel de coordinación interinstitucional y de conocimiento técnico que requiere la CT. Se ha visto que este esquema es favorable para la ejecución de las CT con gobiernos locales en Ecuador, debido a que actualmente su capacidad institucional es limitada. Entre los ejemplos exitosos de Cooperaciones Técnicas ejecutadas por el Banco se encuentran: EC-T1286 y </w:t>
      </w:r>
      <w:r w:rsidR="00D6320A">
        <w:rPr>
          <w:rFonts w:ascii="Arial" w:hAnsi="Arial" w:cs="Arial"/>
          <w:lang w:val="es-ES"/>
        </w:rPr>
        <w:br/>
      </w:r>
      <w:r w:rsidRPr="00563505">
        <w:rPr>
          <w:rFonts w:ascii="Arial" w:hAnsi="Arial" w:cs="Arial"/>
          <w:lang w:val="es-ES"/>
        </w:rPr>
        <w:t>EC-T1426. En el caso particular de la CT de Metro de Quito (EC-T1378), hubo una solicitud de traspaso de ejecutor al Banco por ocupaciones propias del gobierno municipal. Además, esta CT utilizará políticas de contrataciones y adquisiciones del BID, que no necesariamente conocen los gobiernos locales.</w:t>
      </w:r>
    </w:p>
    <w:p w14:paraId="4B63DB89" w14:textId="77777777" w:rsidR="00DB1D4A" w:rsidRPr="00563505" w:rsidRDefault="006E425E" w:rsidP="005F2A77">
      <w:pPr>
        <w:ind w:left="576" w:hanging="576"/>
        <w:jc w:val="both"/>
        <w:rPr>
          <w:lang w:val="es-ES"/>
        </w:rPr>
      </w:pPr>
      <w:r w:rsidRPr="00563505">
        <w:rPr>
          <w:rFonts w:ascii="Arial" w:hAnsi="Arial" w:cs="Arial"/>
          <w:lang w:val="es-ES"/>
        </w:rPr>
        <w:t>5.3</w:t>
      </w:r>
      <w:r w:rsidRPr="00563505">
        <w:rPr>
          <w:rFonts w:ascii="Arial" w:hAnsi="Arial" w:cs="Arial"/>
          <w:lang w:val="es-ES"/>
        </w:rPr>
        <w:tab/>
        <w:t>La definición de qué consultorías se seleccionen para cada ciudad responderá a un proceso de diálogo con las autoridades municipales y priorizando ciudades que cuenten con una visión hacia una planificación integral de la movilidad con el uso de suelo, el diseño urbano, la economía y el ambiente. Estas consultorías se realizarán mediante políticas de adquisiciones del Banco para la contratación de consultores individuales o firmas según sea oportuno.</w:t>
      </w:r>
    </w:p>
    <w:p w14:paraId="4B63DB8A" w14:textId="17CCFF2B" w:rsidR="00DB1D4A" w:rsidRPr="00563505" w:rsidRDefault="006E425E">
      <w:pPr>
        <w:ind w:left="579" w:hanging="579"/>
        <w:rPr>
          <w:lang w:val="es-ES"/>
        </w:rPr>
      </w:pPr>
      <w:r w:rsidRPr="00563505">
        <w:rPr>
          <w:rFonts w:ascii="Arial" w:hAnsi="Arial" w:cs="Arial"/>
          <w:b/>
          <w:lang w:val="es-ES"/>
        </w:rPr>
        <w:t>VI.</w:t>
      </w:r>
      <w:r w:rsidRPr="00563505">
        <w:rPr>
          <w:rFonts w:ascii="Arial" w:hAnsi="Arial" w:cs="Arial"/>
          <w:b/>
          <w:lang w:val="es-ES"/>
        </w:rPr>
        <w:tab/>
        <w:t xml:space="preserve">Riesgos </w:t>
      </w:r>
      <w:r w:rsidR="005D33A0">
        <w:rPr>
          <w:rFonts w:ascii="Arial" w:hAnsi="Arial" w:cs="Arial"/>
          <w:b/>
          <w:lang w:val="es-ES"/>
        </w:rPr>
        <w:t>i</w:t>
      </w:r>
      <w:r w:rsidRPr="00563505">
        <w:rPr>
          <w:rFonts w:ascii="Arial" w:hAnsi="Arial" w:cs="Arial"/>
          <w:b/>
          <w:lang w:val="es-ES"/>
        </w:rPr>
        <w:t>mportantes</w:t>
      </w:r>
    </w:p>
    <w:p w14:paraId="4B63DB8B" w14:textId="77777777" w:rsidR="00DB1D4A" w:rsidRPr="00563505" w:rsidRDefault="006E425E" w:rsidP="005F2A77">
      <w:pPr>
        <w:ind w:left="576" w:hanging="576"/>
        <w:jc w:val="both"/>
        <w:rPr>
          <w:lang w:val="es-ES"/>
        </w:rPr>
      </w:pPr>
      <w:r w:rsidRPr="00563505">
        <w:rPr>
          <w:rFonts w:ascii="Arial" w:hAnsi="Arial" w:cs="Arial"/>
          <w:lang w:val="es-ES"/>
        </w:rPr>
        <w:t>6.1</w:t>
      </w:r>
      <w:r w:rsidRPr="00563505">
        <w:rPr>
          <w:rFonts w:ascii="Arial" w:hAnsi="Arial" w:cs="Arial"/>
          <w:lang w:val="es-ES"/>
        </w:rPr>
        <w:tab/>
        <w:t xml:space="preserve">No se identifican mayores impactos en la ejecución de esta CT puesto que se trata de consultorías y estudios; sin embargo, los cambios de autoridades municipales previstos para mayo de 2023 podrían generar retrasos administrativos o cambios de prioridades en ciertos de los estudios contratados como en los proyectos que se deriven de ellos. Para mitigar este riesgo se estructurarán lo estudios en base a los planes institucionales aprobados y priorizados por los municipios.  Adicionalmente se llevarán a cabo procesos constantes de difusión y se trabajará de manera conjunta con los funcionarios municipales. </w:t>
      </w:r>
    </w:p>
    <w:p w14:paraId="4B63DB8C" w14:textId="5B350DFD" w:rsidR="00DB1D4A" w:rsidRPr="00563505" w:rsidRDefault="006E425E" w:rsidP="005F2A77">
      <w:pPr>
        <w:ind w:left="576" w:hanging="576"/>
        <w:jc w:val="both"/>
        <w:rPr>
          <w:lang w:val="es-ES"/>
        </w:rPr>
      </w:pPr>
      <w:r w:rsidRPr="00563505">
        <w:rPr>
          <w:rFonts w:ascii="Arial" w:hAnsi="Arial" w:cs="Arial"/>
          <w:lang w:val="es-ES"/>
        </w:rPr>
        <w:t>6.2</w:t>
      </w:r>
      <w:r w:rsidRPr="00563505">
        <w:rPr>
          <w:rFonts w:ascii="Arial" w:hAnsi="Arial" w:cs="Arial"/>
          <w:lang w:val="es-ES"/>
        </w:rPr>
        <w:tab/>
        <w:t xml:space="preserve">La pandemia COVID-19, cuya duración es incierta aún causa afectaciones en Ecuador. Esto puede reflejarse en riesgos de baja probabilidad y bajo impacto como, por ejemplo: contacto directo limitado con los funcionarios de los gobiernos municipales; contagios de responsables del desarrollo de las consultorías, tanto consultores como contrapartes; y riesgos de mayor probabilidad e impacto relacionados con la pérdida de rentabilidad en proyectos de transporte público debido a limitaciones de aforo. Para mitigar estos riesgos se planea respectivamente: </w:t>
      </w:r>
      <w:r w:rsidR="00741C89">
        <w:rPr>
          <w:rFonts w:ascii="Arial" w:hAnsi="Arial" w:cs="Arial"/>
          <w:lang w:val="es-ES"/>
        </w:rPr>
        <w:br/>
        <w:t xml:space="preserve">(i) </w:t>
      </w:r>
      <w:r w:rsidRPr="00563505">
        <w:rPr>
          <w:rFonts w:ascii="Arial" w:hAnsi="Arial" w:cs="Arial"/>
          <w:lang w:val="es-ES"/>
        </w:rPr>
        <w:t>creación de dinámicas virtuales para seguimiento y monitoreo de ejecución de las actividades programadas</w:t>
      </w:r>
      <w:r w:rsidR="005222BE">
        <w:rPr>
          <w:rFonts w:ascii="Arial" w:hAnsi="Arial" w:cs="Arial"/>
          <w:lang w:val="es-ES"/>
        </w:rPr>
        <w:t>;</w:t>
      </w:r>
      <w:r w:rsidRPr="00563505">
        <w:rPr>
          <w:rFonts w:ascii="Arial" w:hAnsi="Arial" w:cs="Arial"/>
          <w:lang w:val="es-ES"/>
        </w:rPr>
        <w:t xml:space="preserve"> y</w:t>
      </w:r>
      <w:r w:rsidR="005222BE">
        <w:rPr>
          <w:rFonts w:ascii="Arial" w:hAnsi="Arial" w:cs="Arial"/>
          <w:lang w:val="es-ES"/>
        </w:rPr>
        <w:t xml:space="preserve"> (</w:t>
      </w:r>
      <w:proofErr w:type="spellStart"/>
      <w:r w:rsidR="005222BE">
        <w:rPr>
          <w:rFonts w:ascii="Arial" w:hAnsi="Arial" w:cs="Arial"/>
          <w:lang w:val="es-ES"/>
        </w:rPr>
        <w:t>ii</w:t>
      </w:r>
      <w:proofErr w:type="spellEnd"/>
      <w:r w:rsidR="005222BE">
        <w:rPr>
          <w:rFonts w:ascii="Arial" w:hAnsi="Arial" w:cs="Arial"/>
          <w:lang w:val="es-ES"/>
        </w:rPr>
        <w:t>)</w:t>
      </w:r>
      <w:r w:rsidRPr="00563505">
        <w:rPr>
          <w:rFonts w:ascii="Arial" w:hAnsi="Arial" w:cs="Arial"/>
          <w:lang w:val="es-ES"/>
        </w:rPr>
        <w:t xml:space="preserve"> para los riesgos de mayor probabilidad, cada estudio incluirá un plan de respuesta ante las necesidades de bioseguridad en el transporte y espacios públicos.</w:t>
      </w:r>
    </w:p>
    <w:p w14:paraId="4B63DB8D" w14:textId="2E65DF1A" w:rsidR="00DB1D4A" w:rsidRPr="00563505" w:rsidRDefault="006E425E">
      <w:pPr>
        <w:ind w:left="579" w:hanging="579"/>
        <w:rPr>
          <w:lang w:val="es-ES"/>
        </w:rPr>
      </w:pPr>
      <w:r w:rsidRPr="00563505">
        <w:rPr>
          <w:rFonts w:ascii="Arial" w:hAnsi="Arial" w:cs="Arial"/>
          <w:b/>
          <w:lang w:val="es-ES"/>
        </w:rPr>
        <w:t>VII.</w:t>
      </w:r>
      <w:r w:rsidRPr="00563505">
        <w:rPr>
          <w:rFonts w:ascii="Arial" w:hAnsi="Arial" w:cs="Arial"/>
          <w:b/>
          <w:lang w:val="es-ES"/>
        </w:rPr>
        <w:tab/>
        <w:t xml:space="preserve">Salvaguardias </w:t>
      </w:r>
      <w:r w:rsidR="005D33A0">
        <w:rPr>
          <w:rFonts w:ascii="Arial" w:hAnsi="Arial" w:cs="Arial"/>
          <w:b/>
          <w:lang w:val="es-ES"/>
        </w:rPr>
        <w:t>a</w:t>
      </w:r>
      <w:r w:rsidRPr="00563505">
        <w:rPr>
          <w:rFonts w:ascii="Arial" w:hAnsi="Arial" w:cs="Arial"/>
          <w:b/>
          <w:lang w:val="es-ES"/>
        </w:rPr>
        <w:t>mbientales</w:t>
      </w:r>
    </w:p>
    <w:p w14:paraId="4B63DB8E" w14:textId="77777777" w:rsidR="00DB1D4A" w:rsidRPr="00563505" w:rsidRDefault="006E425E" w:rsidP="005F2A77">
      <w:pPr>
        <w:ind w:left="576" w:hanging="576"/>
        <w:jc w:val="both"/>
        <w:rPr>
          <w:lang w:val="es-ES"/>
        </w:rPr>
      </w:pPr>
      <w:r w:rsidRPr="00563505">
        <w:rPr>
          <w:rFonts w:ascii="Arial" w:hAnsi="Arial" w:cs="Arial"/>
          <w:lang w:val="es-ES"/>
        </w:rPr>
        <w:t>7.1</w:t>
      </w:r>
      <w:r w:rsidRPr="00563505">
        <w:rPr>
          <w:rFonts w:ascii="Arial" w:hAnsi="Arial" w:cs="Arial"/>
          <w:lang w:val="es-ES"/>
        </w:rPr>
        <w:tab/>
        <w:t>La clasificación ESG para esta operación es "C".</w:t>
      </w:r>
    </w:p>
    <w:sectPr w:rsidR="00DB1D4A" w:rsidRPr="00563505" w:rsidSect="00FC3028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34105" w14:textId="77777777" w:rsidR="00F07F42" w:rsidRDefault="00F07F42">
      <w:r>
        <w:separator/>
      </w:r>
    </w:p>
  </w:endnote>
  <w:endnote w:type="continuationSeparator" w:id="0">
    <w:p w14:paraId="51469FB1" w14:textId="77777777" w:rsidR="00F07F42" w:rsidRDefault="00F07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3DB8F" w14:textId="33D591EE" w:rsidR="00DB1D4A" w:rsidRDefault="006E425E">
    <w:pPr>
      <w:pStyle w:val="FooterStyle"/>
      <w:jc w:val="center"/>
    </w:pPr>
    <w:r>
      <w:t xml:space="preserve"> - </w:t>
    </w:r>
    <w:r>
      <w:fldChar w:fldCharType="begin"/>
    </w:r>
    <w:r>
      <w:instrText xml:space="preserve"> PAGE </w:instrText>
    </w:r>
    <w:r>
      <w:fldChar w:fldCharType="separate"/>
    </w:r>
    <w:r w:rsidR="00563505">
      <w:rPr>
        <w:noProof/>
      </w:rPr>
      <w:t>1</w:t>
    </w:r>
    <w:r>
      <w:fldChar w:fldCharType="end"/>
    </w:r>
    <w:r>
      <w:t xml:space="preserve">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5AB63" w14:textId="77777777" w:rsidR="00F07F42" w:rsidRDefault="00F07F42">
      <w:r>
        <w:separator/>
      </w:r>
    </w:p>
  </w:footnote>
  <w:footnote w:type="continuationSeparator" w:id="0">
    <w:p w14:paraId="367DAAD5" w14:textId="77777777" w:rsidR="00F07F42" w:rsidRDefault="00F07F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02074C"/>
    <w:rsid w:val="0005786B"/>
    <w:rsid w:val="00150110"/>
    <w:rsid w:val="00164F23"/>
    <w:rsid w:val="00166041"/>
    <w:rsid w:val="00184E2D"/>
    <w:rsid w:val="001915A3"/>
    <w:rsid w:val="00213F97"/>
    <w:rsid w:val="00217DD2"/>
    <w:rsid w:val="00217F62"/>
    <w:rsid w:val="00260052"/>
    <w:rsid w:val="003015B7"/>
    <w:rsid w:val="003359A9"/>
    <w:rsid w:val="00343E58"/>
    <w:rsid w:val="003E0127"/>
    <w:rsid w:val="00441A8A"/>
    <w:rsid w:val="00470923"/>
    <w:rsid w:val="0048366E"/>
    <w:rsid w:val="004F56AF"/>
    <w:rsid w:val="005222BE"/>
    <w:rsid w:val="005373ED"/>
    <w:rsid w:val="00552D24"/>
    <w:rsid w:val="00555F2D"/>
    <w:rsid w:val="00563505"/>
    <w:rsid w:val="005D33A0"/>
    <w:rsid w:val="005F2A77"/>
    <w:rsid w:val="006105D9"/>
    <w:rsid w:val="006721F4"/>
    <w:rsid w:val="006934D1"/>
    <w:rsid w:val="006B40D7"/>
    <w:rsid w:val="006E425E"/>
    <w:rsid w:val="00702063"/>
    <w:rsid w:val="00704A6A"/>
    <w:rsid w:val="00706FDD"/>
    <w:rsid w:val="00707F81"/>
    <w:rsid w:val="00741C89"/>
    <w:rsid w:val="00795D68"/>
    <w:rsid w:val="00861DB0"/>
    <w:rsid w:val="00862F33"/>
    <w:rsid w:val="00892255"/>
    <w:rsid w:val="0090493B"/>
    <w:rsid w:val="009124B9"/>
    <w:rsid w:val="00927D59"/>
    <w:rsid w:val="00947B09"/>
    <w:rsid w:val="00A00A46"/>
    <w:rsid w:val="00A229A3"/>
    <w:rsid w:val="00A906D8"/>
    <w:rsid w:val="00AB5A74"/>
    <w:rsid w:val="00AD26B9"/>
    <w:rsid w:val="00AD274A"/>
    <w:rsid w:val="00C27CB0"/>
    <w:rsid w:val="00C30FE6"/>
    <w:rsid w:val="00C36C9F"/>
    <w:rsid w:val="00C508C8"/>
    <w:rsid w:val="00C5414D"/>
    <w:rsid w:val="00CB127F"/>
    <w:rsid w:val="00D05EF5"/>
    <w:rsid w:val="00D23782"/>
    <w:rsid w:val="00D6320A"/>
    <w:rsid w:val="00D730E1"/>
    <w:rsid w:val="00DA10E6"/>
    <w:rsid w:val="00DB1D4A"/>
    <w:rsid w:val="00DE2BD6"/>
    <w:rsid w:val="00E33586"/>
    <w:rsid w:val="00E62233"/>
    <w:rsid w:val="00E66D9A"/>
    <w:rsid w:val="00E81957"/>
    <w:rsid w:val="00E870A7"/>
    <w:rsid w:val="00EE7816"/>
    <w:rsid w:val="00EF2CB5"/>
    <w:rsid w:val="00F071AE"/>
    <w:rsid w:val="00F07F42"/>
    <w:rsid w:val="00F922B0"/>
    <w:rsid w:val="00F97352"/>
    <w:rsid w:val="00FD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3DB2B"/>
  <w15:docId w15:val="{1920DC28-E4DE-494C-A2A7-BC1B2B2C0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9A9"/>
    <w:pPr>
      <w:spacing w:before="120" w:after="120"/>
    </w:pPr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oterStyle">
    <w:name w:val="FooterStyle"/>
    <w:rPr>
      <w:rFonts w:ascii="Arial" w:eastAsia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1.xml"/><Relationship Id="rId18" Type="http://schemas.openxmlformats.org/officeDocument/2006/relationships/customXml" Target="../customXml/item6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5.xml"/><Relationship Id="rId16" Type="http://schemas.openxmlformats.org/officeDocument/2006/relationships/customXml" Target="../customXml/item4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idbdocs.iadb.org/wsdocs/getDocument.aspx?DOCNUM=EZSHARE-1614447769-111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92F03C4629972744AB0EAE3B2C43671D" ma:contentTypeVersion="10216" ma:contentTypeDescription="The base project type from which other project content types inherit their information." ma:contentTypeScope="" ma:versionID="14b38f3d1881004ced18adde6a324238">
  <xsd:schema xmlns:xsd="http://www.w3.org/2001/XMLSchema" xmlns:xs="http://www.w3.org/2001/XMLSchema" xmlns:p="http://schemas.microsoft.com/office/2006/metadata/properties" xmlns:ns2="cdc7663a-08f0-4737-9e8c-148ce897a09c" xmlns:ns3="74a9f774-cf60-498b-934e-96d5a7dba8c3" targetNamespace="http://schemas.microsoft.com/office/2006/metadata/properties" ma:root="true" ma:fieldsID="906a80303672473c3e6e05cf8698f0de" ns2:_="" ns3:_="">
    <xsd:import namespace="cdc7663a-08f0-4737-9e8c-148ce897a09c"/>
    <xsd:import namespace="74a9f774-cf60-498b-934e-96d5a7dba8c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  <xsd:element ref="ns2:Extracted_x0020_Keywords" minOccurs="0"/>
                <xsd:element ref="ns2:Approval_x0020_date" minOccurs="0"/>
                <xsd:element ref="ns2:Transaction_x0020_Type" minOccurs="0"/>
                <xsd:element ref="ns2:Transaction_x0020_Number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47" nillable="true" ma:displayName="Extracted Keywords" ma:internalName="Extracted_x0020_Keyword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Approval_x0020_date" ma:index="48" nillable="true" ma:displayName="Approval date" ma:format="DateOnly" ma:internalName="Approval_x0020_date">
      <xsd:simpleType>
        <xsd:restriction base="dms:DateTime"/>
      </xsd:simpleType>
    </xsd:element>
    <xsd:element name="Transaction_x0020_Type" ma:index="49" nillable="true" ma:displayName="Transaction Type" ma:format="Dropdown" ma:internalName="Transaction_x0020_Type">
      <xsd:simpleType>
        <xsd:restriction base="dms:Choice">
          <xsd:enumeration value="APR"/>
          <xsd:enumeration value="APRR"/>
          <xsd:enumeration value="APRA"/>
          <xsd:enumeration value="API"/>
          <xsd:enumeration value="INC"/>
          <xsd:enumeration value="INCR"/>
          <xsd:enumeration value="BCL"/>
          <xsd:enumeration value="BCC"/>
          <xsd:enumeration value="FCM"/>
          <xsd:enumeration value="FCP"/>
          <xsd:enumeration value="FCPR"/>
          <xsd:enumeration value="FCA"/>
        </xsd:restriction>
      </xsd:simpleType>
    </xsd:element>
    <xsd:element name="Transaction_x0020_Number" ma:index="50" nillable="true" ma:displayName="Transaction Number" ma:internalName="Transaction_x0020_Numb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9f774-cf60-498b-934e-96d5a7dba8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Ecuador</TermName>
          <TermId xmlns="http://schemas.microsoft.com/office/infopath/2007/PartnerControls">8f163189-00fa-4e7c-827d-28fb5798781c</TermId>
        </TermInfo>
      </Terms>
    </ic46d7e087fd4a108fb86518ca413cc6>
    <IDBDocs_x0020_Number xmlns="cdc7663a-08f0-4737-9e8c-148ce897a09c" xsi:nil="true"/>
    <Division_x0020_or_x0020_Unit xmlns="cdc7663a-08f0-4737-9e8c-148ce897a09c">INE/TSP</Division_x0020_or_x0020_Unit>
    <From_x003a_ xmlns="cdc7663a-08f0-4737-9e8c-148ce897a09c" xsi:nil="true"/>
    <Fiscal_x0020_Year_x0020_IDB xmlns="cdc7663a-08f0-4737-9e8c-148ce897a09c">2022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PHASE_PREPARATION</Phase>
    <Document_x0020_Author xmlns="cdc7663a-08f0-4737-9e8c-148ce897a09c">Gonzalo Rodriguez Valverde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DEMAND MANAGEMENT AND CONTROL OF URBAN TRANSPORT SYSTEMS</TermName>
          <TermId xmlns="http://schemas.microsoft.com/office/infopath/2007/PartnerControls">3117b3b4-051e-4159-bbee-3ff4b3879dd0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Related_x0020_SisCor_x0020_Number xmlns="cdc7663a-08f0-4737-9e8c-148ce897a09c" xsi:nil="true"/>
    <Transaction_x0020_Type xmlns="cdc7663a-08f0-4737-9e8c-148ce897a09c" xsi:nil="true"/>
    <TaxCatchAll xmlns="cdc7663a-08f0-4737-9e8c-148ce897a09c">
      <Value>54</Value>
      <Value>2</Value>
      <Value>537</Value>
      <Value>8</Value>
      <Value>42</Value>
    </TaxCatchAll>
    <Operation_x0020_Type xmlns="cdc7663a-08f0-4737-9e8c-148ce897a09c">Technical Cooperation</Operation_x0020_Type>
    <Package_x0020_Code xmlns="cdc7663a-08f0-4737-9e8c-148ce897a09c" xsi:nil="true"/>
    <To_x003a_ xmlns="cdc7663a-08f0-4737-9e8c-148ce897a09c" xsi:nil="true"/>
    <Identifier xmlns="cdc7663a-08f0-4737-9e8c-148ce897a09c" xsi:nil="true"/>
    <Project_x0020_Number xmlns="cdc7663a-08f0-4737-9e8c-148ce897a09c">EC-T1442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</TermName>
          <TermId xmlns="http://schemas.microsoft.com/office/infopath/2007/PartnerControls">5a25d1a8-4baf-41a8-9e3b-e167accda6ea</TermId>
        </TermInfo>
      </Terms>
    </nddeef1749674d76abdbe4b239a70bc6>
    <Record_x0020_Number xmlns="cdc7663a-08f0-4737-9e8c-148ce897a09c" xsi:nil="true"/>
    <Transaction_x0020_Number xmlns="cdc7663a-08f0-4737-9e8c-148ce897a09c" xsi:nil="true"/>
    <Extracted_x0020_Keywords xmlns="cdc7663a-08f0-4737-9e8c-148ce897a09c">
      <Value>políticas</Value>
      <Value>estudios</Value>
      <Value>suelo</Value>
      <Value>espacio público</Value>
      <Value>transporte público</Value>
      <Value>diseño urbano</Value>
      <Value>movilidad sostenible</Value>
      <Value>creación</Value>
      <Value>adopción</Value>
      <Value>género</Value>
      <Value>urbanismo participativo</Value>
      <Value>tránsito</Value>
      <Value>Estrategia Institucional</Value>
      <Value>sistemas integrados</Value>
      <Value>BID</Value>
      <Value>igualdad</Value>
      <Value>derecho</Value>
      <Value>accesibilidad</Value>
      <Value>criterios</Value>
      <Value>recaudo</Value>
      <Value>GEI</Value>
      <Value>Quito</Value>
      <Value>oportunidades</Value>
      <Value>operación</Value>
      <Value>ejecución</Value>
    </Extracted_x0020_Keywords>
    <Approval_x0020_date xmlns="cdc7663a-08f0-4737-9e8c-148ce897a09c" xsi:nil="true"/>
    <_dlc_DocId xmlns="cdc7663a-08f0-4737-9e8c-148ce897a09c">EZSHARE-2119796910-14</_dlc_DocId>
    <_dlc_DocIdUrl xmlns="cdc7663a-08f0-4737-9e8c-148ce897a09c">
      <Url>https://idbg.sharepoint.com/teams/EZ-EC-TCP/EC-T1442/_layouts/15/DocIdRedir.aspx?ID=EZSHARE-2119796910-14</Url>
      <Description>EZSHARE-2119796910-14</Description>
    </_dlc_DocIdUrl>
  </documentManagement>
</p:properties>
</file>

<file path=customXml/itemProps1.xml><?xml version="1.0" encoding="utf-8"?>
<ds:datastoreItem xmlns:ds="http://schemas.openxmlformats.org/officeDocument/2006/customXml" ds:itemID="{60977482-C2D0-4A3A-A306-80F09CE89FAF}"/>
</file>

<file path=customXml/itemProps2.xml><?xml version="1.0" encoding="utf-8"?>
<ds:datastoreItem xmlns:ds="http://schemas.openxmlformats.org/officeDocument/2006/customXml" ds:itemID="{5651338E-6B44-4BDA-BC74-7E87EE6C486B}"/>
</file>

<file path=customXml/itemProps3.xml><?xml version="1.0" encoding="utf-8"?>
<ds:datastoreItem xmlns:ds="http://schemas.openxmlformats.org/officeDocument/2006/customXml" ds:itemID="{1F36DF1A-B10D-4D58-A9C7-073518A0ACD6}"/>
</file>

<file path=customXml/itemProps4.xml><?xml version="1.0" encoding="utf-8"?>
<ds:datastoreItem xmlns:ds="http://schemas.openxmlformats.org/officeDocument/2006/customXml" ds:itemID="{06FAA67E-1AAD-4DD5-8CC7-A97608D9F307}"/>
</file>

<file path=customXml/itemProps5.xml><?xml version="1.0" encoding="utf-8"?>
<ds:datastoreItem xmlns:ds="http://schemas.openxmlformats.org/officeDocument/2006/customXml" ds:itemID="{BACA36EE-1EAB-4B4E-AC29-8EAA8C6E7923}"/>
</file>

<file path=customXml/itemProps6.xml><?xml version="1.0" encoding="utf-8"?>
<ds:datastoreItem xmlns:ds="http://schemas.openxmlformats.org/officeDocument/2006/customXml" ds:itemID="{C0B1507C-B5D7-48BD-81A1-4C6090BFE4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2033</Words>
  <Characters>11183</Characters>
  <Application>Microsoft Office Word</Application>
  <DocSecurity>0</DocSecurity>
  <Lines>93</Lines>
  <Paragraphs>26</Paragraphs>
  <ScaleCrop>false</ScaleCrop>
  <Company/>
  <LinksUpToDate>false</LinksUpToDate>
  <CharactersWithSpaces>13190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keywords/>
  <cp:lastModifiedBy>Gonzalo Rodriguez Valverde</cp:lastModifiedBy>
  <cp:revision>67</cp:revision>
  <dcterms:created xsi:type="dcterms:W3CDTF">2022-05-16T22:12:00Z</dcterms:created>
  <dcterms:modified xsi:type="dcterms:W3CDTF">2022-05-17T14:26:00Z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0x010100ACF722E9F6B0B149B0CD8BE2560A66720092F03C4629972744AB0EAE3B2C43671D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2;#Ecuador|8f163189-00fa-4e7c-827d-28fb5798781c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8;#Project Preparation Planning and Design|29ca0c72-1fc4-435f-a09c-28585cb5eac9</vt:lpwstr>
  </property>
  <property fmtid="{D5CDD505-2E9C-101B-9397-08002B2CF9AE}" pid="10" name="Sector_x0020_IDB">
    <vt:lpwstr/>
  </property>
  <property fmtid="{D5CDD505-2E9C-101B-9397-08002B2CF9AE}" pid="11" name="Sub-Sector">
    <vt:lpwstr>537;#DEMAND MANAGEMENT AND CONTROL OF URBAN TRANSPORT SYSTEMS|3117b3b4-051e-4159-bbee-3ff4b3879dd0</vt:lpwstr>
  </property>
  <property fmtid="{D5CDD505-2E9C-101B-9397-08002B2CF9AE}" pid="13" name="Fund IDB">
    <vt:lpwstr>42;#TBD|d62f6e05-3e80-4abd-9bb4-5f10b4906ff6</vt:lpwstr>
  </property>
  <property fmtid="{D5CDD505-2E9C-101B-9397-08002B2CF9AE}" pid="14" name="Sector IDB">
    <vt:lpwstr>54;#TRANSPORT|5a25d1a8-4baf-41a8-9e3b-e167accda6ea</vt:lpwstr>
  </property>
  <property fmtid="{D5CDD505-2E9C-101B-9397-08002B2CF9AE}" pid="15" name="_dlc_DocIdItemGuid">
    <vt:lpwstr>da37f6de-e64c-430b-aca4-7f7aa476467c</vt:lpwstr>
  </property>
  <property fmtid="{D5CDD505-2E9C-101B-9397-08002B2CF9AE}" pid="16" name="Disclosure Activity">
    <vt:lpwstr>TC Abstract</vt:lpwstr>
  </property>
  <property fmtid="{D5CDD505-2E9C-101B-9397-08002B2CF9AE}" pid="17" name="Webtopic">
    <vt:lpwstr/>
  </property>
  <property fmtid="{D5CDD505-2E9C-101B-9397-08002B2CF9AE}" pid="18" name="Series Operations IDB">
    <vt:lpwstr/>
  </property>
</Properties>
</file>