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endnotes.xml" ContentType="application/vnd.openxmlformats-officedocument.wordprocessingml.endnotes+xml"/>
  <Override PartName="/word/header2.xml" ContentType="application/vnd.openxmlformats-officedocument.wordprocessingml.header+xml"/>
  <Override PartName="/word/footnotes.xml" ContentType="application/vnd.openxmlformats-officedocument.wordprocessingml.footnotes+xml"/>
  <Override PartName="/word/header1.xml" ContentType="application/vnd.openxmlformats-officedocument.wordprocessingml.head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2948E3" w14:textId="77777777" w:rsidR="001E3B3E" w:rsidRPr="00B81BBB" w:rsidRDefault="001E3B3E" w:rsidP="00F86017">
      <w:pPr>
        <w:pStyle w:val="Title"/>
        <w:tabs>
          <w:tab w:val="clear" w:pos="1440"/>
          <w:tab w:val="clear" w:pos="3060"/>
        </w:tabs>
        <w:outlineLvl w:val="9"/>
        <w:rPr>
          <w:rFonts w:ascii="Arial" w:hAnsi="Arial" w:cs="Arial"/>
          <w:smallCaps/>
        </w:rPr>
      </w:pPr>
    </w:p>
    <w:p w14:paraId="088F2E03" w14:textId="049870BA" w:rsidR="00E12118" w:rsidRPr="00B81BBB" w:rsidRDefault="003372D9" w:rsidP="00F86017">
      <w:pPr>
        <w:pStyle w:val="Title"/>
        <w:tabs>
          <w:tab w:val="clear" w:pos="1440"/>
          <w:tab w:val="clear" w:pos="3060"/>
        </w:tabs>
        <w:outlineLvl w:val="9"/>
        <w:rPr>
          <w:rFonts w:ascii="Arial" w:hAnsi="Arial" w:cs="Arial"/>
          <w:smallCaps/>
        </w:rPr>
      </w:pPr>
      <w:r w:rsidRPr="00B81BBB">
        <w:rPr>
          <w:rFonts w:ascii="Arial" w:hAnsi="Arial" w:cs="Arial"/>
          <w:smallCaps/>
        </w:rPr>
        <w:t>Document of the Inter-American Development Bank</w:t>
      </w:r>
    </w:p>
    <w:p w14:paraId="77E4EDB9" w14:textId="77777777" w:rsidR="00E12118" w:rsidRPr="00B81BBB" w:rsidRDefault="00E12118" w:rsidP="00F86017">
      <w:pPr>
        <w:tabs>
          <w:tab w:val="left" w:pos="1440"/>
          <w:tab w:val="left" w:pos="3060"/>
        </w:tabs>
        <w:jc w:val="center"/>
        <w:outlineLvl w:val="0"/>
        <w:rPr>
          <w:rFonts w:ascii="Arial" w:hAnsi="Arial" w:cs="Arial"/>
        </w:rPr>
      </w:pPr>
    </w:p>
    <w:p w14:paraId="2480BABC" w14:textId="77777777" w:rsidR="00E12118" w:rsidRPr="00B81BBB" w:rsidRDefault="00E12118" w:rsidP="00F86017">
      <w:pPr>
        <w:tabs>
          <w:tab w:val="left" w:pos="1440"/>
          <w:tab w:val="left" w:pos="3060"/>
        </w:tabs>
        <w:jc w:val="center"/>
        <w:rPr>
          <w:rFonts w:ascii="Arial" w:hAnsi="Arial" w:cs="Arial"/>
        </w:rPr>
      </w:pPr>
    </w:p>
    <w:p w14:paraId="798880C1" w14:textId="77777777" w:rsidR="00E12118" w:rsidRPr="00B81BBB" w:rsidRDefault="00E12118" w:rsidP="00F86017">
      <w:pPr>
        <w:tabs>
          <w:tab w:val="left" w:pos="1440"/>
          <w:tab w:val="left" w:pos="3060"/>
        </w:tabs>
        <w:jc w:val="center"/>
        <w:rPr>
          <w:rFonts w:ascii="Arial" w:hAnsi="Arial" w:cs="Arial"/>
        </w:rPr>
      </w:pPr>
    </w:p>
    <w:p w14:paraId="04C070BE" w14:textId="77777777" w:rsidR="00E12118" w:rsidRPr="00B81BBB" w:rsidRDefault="00E12118" w:rsidP="00F86017">
      <w:pPr>
        <w:tabs>
          <w:tab w:val="left" w:pos="1440"/>
          <w:tab w:val="left" w:pos="3060"/>
        </w:tabs>
        <w:jc w:val="center"/>
        <w:rPr>
          <w:rFonts w:ascii="Arial" w:hAnsi="Arial" w:cs="Arial"/>
        </w:rPr>
      </w:pPr>
    </w:p>
    <w:p w14:paraId="65B1C99E" w14:textId="77777777" w:rsidR="00E12118" w:rsidRPr="00B81BBB" w:rsidRDefault="00E12118" w:rsidP="00F86017">
      <w:pPr>
        <w:tabs>
          <w:tab w:val="left" w:pos="1440"/>
          <w:tab w:val="left" w:pos="3060"/>
        </w:tabs>
        <w:jc w:val="center"/>
        <w:rPr>
          <w:rFonts w:ascii="Arial" w:hAnsi="Arial" w:cs="Arial"/>
        </w:rPr>
      </w:pPr>
    </w:p>
    <w:p w14:paraId="70908CC2" w14:textId="77777777" w:rsidR="00E12118" w:rsidRPr="00B81BBB" w:rsidRDefault="00E12118" w:rsidP="00F86017">
      <w:pPr>
        <w:tabs>
          <w:tab w:val="left" w:pos="1440"/>
          <w:tab w:val="left" w:pos="3060"/>
        </w:tabs>
        <w:jc w:val="center"/>
        <w:rPr>
          <w:rFonts w:ascii="Arial" w:hAnsi="Arial" w:cs="Arial"/>
        </w:rPr>
      </w:pPr>
    </w:p>
    <w:p w14:paraId="7474F0ED" w14:textId="77777777" w:rsidR="00E12118" w:rsidRPr="00B81BBB" w:rsidRDefault="00E12118" w:rsidP="00F86017">
      <w:pPr>
        <w:tabs>
          <w:tab w:val="left" w:pos="1440"/>
          <w:tab w:val="left" w:pos="3060"/>
        </w:tabs>
        <w:jc w:val="center"/>
        <w:rPr>
          <w:rFonts w:ascii="Arial" w:hAnsi="Arial" w:cs="Arial"/>
        </w:rPr>
      </w:pPr>
    </w:p>
    <w:p w14:paraId="454B9714" w14:textId="77777777" w:rsidR="00E12118" w:rsidRPr="00B81BBB" w:rsidRDefault="00E12118" w:rsidP="00F86017">
      <w:pPr>
        <w:tabs>
          <w:tab w:val="left" w:pos="1440"/>
          <w:tab w:val="left" w:pos="3060"/>
        </w:tabs>
        <w:jc w:val="center"/>
        <w:rPr>
          <w:rFonts w:ascii="Arial" w:hAnsi="Arial" w:cs="Arial"/>
        </w:rPr>
      </w:pPr>
    </w:p>
    <w:p w14:paraId="7FEFB227" w14:textId="77777777" w:rsidR="00E12118" w:rsidRPr="00B81BBB" w:rsidRDefault="00E12118" w:rsidP="00F86017">
      <w:pPr>
        <w:tabs>
          <w:tab w:val="left" w:pos="1440"/>
          <w:tab w:val="left" w:pos="3060"/>
        </w:tabs>
        <w:jc w:val="center"/>
        <w:rPr>
          <w:rFonts w:ascii="Arial" w:hAnsi="Arial" w:cs="Arial"/>
        </w:rPr>
      </w:pPr>
    </w:p>
    <w:p w14:paraId="299284D8" w14:textId="77777777" w:rsidR="00E12118" w:rsidRPr="00B81BBB" w:rsidRDefault="00E12118" w:rsidP="00F86017">
      <w:pPr>
        <w:tabs>
          <w:tab w:val="left" w:pos="1440"/>
          <w:tab w:val="left" w:pos="3060"/>
        </w:tabs>
        <w:jc w:val="center"/>
        <w:rPr>
          <w:rFonts w:ascii="Arial" w:hAnsi="Arial" w:cs="Arial"/>
        </w:rPr>
      </w:pPr>
    </w:p>
    <w:p w14:paraId="74FF23EA" w14:textId="77777777" w:rsidR="00E12118" w:rsidRPr="00B81BBB" w:rsidRDefault="00E12118" w:rsidP="00F86017">
      <w:pPr>
        <w:tabs>
          <w:tab w:val="left" w:pos="1440"/>
          <w:tab w:val="left" w:pos="3060"/>
        </w:tabs>
        <w:jc w:val="center"/>
        <w:rPr>
          <w:rFonts w:ascii="Arial" w:hAnsi="Arial" w:cs="Arial"/>
        </w:rPr>
      </w:pPr>
    </w:p>
    <w:p w14:paraId="7B11B2DA" w14:textId="77777777" w:rsidR="00E12118" w:rsidRPr="00B81BBB" w:rsidRDefault="00E12118" w:rsidP="00F86017">
      <w:pPr>
        <w:tabs>
          <w:tab w:val="left" w:pos="1440"/>
          <w:tab w:val="left" w:pos="3060"/>
        </w:tabs>
        <w:jc w:val="center"/>
        <w:rPr>
          <w:rFonts w:ascii="Arial" w:hAnsi="Arial" w:cs="Arial"/>
        </w:rPr>
      </w:pPr>
    </w:p>
    <w:p w14:paraId="7107564B" w14:textId="77777777" w:rsidR="00E12118" w:rsidRPr="00B81BBB" w:rsidRDefault="00E12118" w:rsidP="00F86017">
      <w:pPr>
        <w:tabs>
          <w:tab w:val="left" w:pos="1440"/>
          <w:tab w:val="left" w:pos="3060"/>
        </w:tabs>
        <w:jc w:val="center"/>
        <w:rPr>
          <w:rFonts w:ascii="Arial" w:hAnsi="Arial" w:cs="Arial"/>
        </w:rPr>
      </w:pPr>
    </w:p>
    <w:p w14:paraId="41867A40" w14:textId="77777777" w:rsidR="00E12118" w:rsidRPr="00B81BBB" w:rsidRDefault="00E12118" w:rsidP="00F86017">
      <w:pPr>
        <w:tabs>
          <w:tab w:val="left" w:pos="1440"/>
          <w:tab w:val="left" w:pos="3060"/>
        </w:tabs>
        <w:jc w:val="center"/>
        <w:rPr>
          <w:rFonts w:ascii="Arial" w:hAnsi="Arial" w:cs="Arial"/>
        </w:rPr>
      </w:pPr>
    </w:p>
    <w:p w14:paraId="5F0CBE97" w14:textId="04D576CE" w:rsidR="00E12118" w:rsidRPr="00B81BBB" w:rsidRDefault="00195A15" w:rsidP="00F86017">
      <w:pPr>
        <w:tabs>
          <w:tab w:val="left" w:pos="1440"/>
          <w:tab w:val="left" w:pos="3060"/>
        </w:tabs>
        <w:jc w:val="center"/>
        <w:rPr>
          <w:rFonts w:ascii="Arial" w:hAnsi="Arial" w:cs="Arial"/>
          <w:smallCaps/>
          <w:sz w:val="32"/>
          <w:szCs w:val="32"/>
        </w:rPr>
      </w:pPr>
      <w:r>
        <w:rPr>
          <w:rFonts w:ascii="Arial" w:hAnsi="Arial" w:cs="Arial"/>
          <w:b/>
          <w:smallCaps/>
          <w:sz w:val="32"/>
          <w:szCs w:val="32"/>
        </w:rPr>
        <w:t>Guyana</w:t>
      </w:r>
    </w:p>
    <w:p w14:paraId="06F8A2CA" w14:textId="77777777" w:rsidR="00E12118" w:rsidRPr="00B81BBB" w:rsidRDefault="00E12118" w:rsidP="00F86017">
      <w:pPr>
        <w:tabs>
          <w:tab w:val="left" w:pos="1440"/>
          <w:tab w:val="left" w:pos="3060"/>
        </w:tabs>
        <w:jc w:val="center"/>
        <w:rPr>
          <w:rFonts w:ascii="Arial" w:hAnsi="Arial" w:cs="Arial"/>
          <w:smallCaps/>
        </w:rPr>
      </w:pPr>
    </w:p>
    <w:p w14:paraId="0B89E37F" w14:textId="77777777" w:rsidR="00E12118" w:rsidRPr="00B81BBB" w:rsidRDefault="00E12118" w:rsidP="00F86017">
      <w:pPr>
        <w:tabs>
          <w:tab w:val="left" w:pos="1440"/>
          <w:tab w:val="left" w:pos="3060"/>
        </w:tabs>
        <w:jc w:val="center"/>
        <w:rPr>
          <w:rFonts w:ascii="Arial" w:hAnsi="Arial" w:cs="Arial"/>
          <w:smallCaps/>
        </w:rPr>
      </w:pPr>
    </w:p>
    <w:p w14:paraId="43E936E2" w14:textId="77777777" w:rsidR="00E12118" w:rsidRPr="00B81BBB" w:rsidRDefault="00E12118" w:rsidP="00F86017">
      <w:pPr>
        <w:tabs>
          <w:tab w:val="left" w:pos="1440"/>
          <w:tab w:val="left" w:pos="3060"/>
        </w:tabs>
        <w:jc w:val="center"/>
        <w:rPr>
          <w:rFonts w:ascii="Arial" w:hAnsi="Arial" w:cs="Arial"/>
          <w:smallCaps/>
        </w:rPr>
      </w:pPr>
    </w:p>
    <w:p w14:paraId="64EB5B55" w14:textId="77777777" w:rsidR="00E12118" w:rsidRPr="00B81BBB" w:rsidRDefault="00E12118" w:rsidP="00F86017">
      <w:pPr>
        <w:tabs>
          <w:tab w:val="left" w:pos="1440"/>
          <w:tab w:val="left" w:pos="3060"/>
        </w:tabs>
        <w:jc w:val="center"/>
        <w:rPr>
          <w:rFonts w:ascii="Arial" w:hAnsi="Arial" w:cs="Arial"/>
          <w:smallCaps/>
        </w:rPr>
      </w:pPr>
    </w:p>
    <w:p w14:paraId="28AABC3A" w14:textId="1531D85F" w:rsidR="002B489E" w:rsidRDefault="006C2B33" w:rsidP="00F86017">
      <w:pPr>
        <w:tabs>
          <w:tab w:val="left" w:pos="1440"/>
          <w:tab w:val="left" w:pos="3060"/>
        </w:tabs>
        <w:jc w:val="center"/>
        <w:rPr>
          <w:rFonts w:ascii="Arial" w:hAnsi="Arial" w:cs="Arial"/>
          <w:b/>
          <w:smallCaps/>
          <w:sz w:val="28"/>
          <w:szCs w:val="24"/>
        </w:rPr>
      </w:pPr>
      <w:r w:rsidRPr="005F467B">
        <w:rPr>
          <w:rFonts w:ascii="Arial" w:hAnsi="Arial" w:cs="Arial"/>
          <w:b/>
          <w:smallCaps/>
          <w:sz w:val="28"/>
          <w:szCs w:val="24"/>
        </w:rPr>
        <w:t xml:space="preserve">Contingent Loan for </w:t>
      </w:r>
      <w:r>
        <w:rPr>
          <w:rFonts w:ascii="Arial" w:hAnsi="Arial" w:cs="Arial"/>
          <w:b/>
          <w:smallCaps/>
          <w:sz w:val="28"/>
          <w:szCs w:val="24"/>
        </w:rPr>
        <w:t xml:space="preserve">COVID-19 Public Health </w:t>
      </w:r>
      <w:r w:rsidRPr="005F467B">
        <w:rPr>
          <w:rFonts w:ascii="Arial" w:hAnsi="Arial" w:cs="Arial"/>
          <w:b/>
          <w:smallCaps/>
          <w:sz w:val="28"/>
          <w:szCs w:val="24"/>
        </w:rPr>
        <w:t>Emergenc</w:t>
      </w:r>
      <w:r>
        <w:rPr>
          <w:rFonts w:ascii="Arial" w:hAnsi="Arial" w:cs="Arial"/>
          <w:b/>
          <w:smallCaps/>
          <w:sz w:val="28"/>
          <w:szCs w:val="24"/>
        </w:rPr>
        <w:t>y</w:t>
      </w:r>
    </w:p>
    <w:p w14:paraId="34467E04" w14:textId="77777777" w:rsidR="006C2B33" w:rsidRPr="00B81BBB" w:rsidRDefault="006C2B33" w:rsidP="00F86017">
      <w:pPr>
        <w:tabs>
          <w:tab w:val="left" w:pos="1440"/>
          <w:tab w:val="left" w:pos="3060"/>
        </w:tabs>
        <w:jc w:val="center"/>
        <w:rPr>
          <w:rFonts w:ascii="Arial" w:hAnsi="Arial" w:cs="Arial"/>
          <w:snapToGrid w:val="0"/>
          <w:szCs w:val="24"/>
        </w:rPr>
      </w:pPr>
    </w:p>
    <w:p w14:paraId="3903BFE8" w14:textId="27F3B727" w:rsidR="00E12118" w:rsidRPr="00B81BBB" w:rsidRDefault="00FB7FB2" w:rsidP="00F86017">
      <w:pPr>
        <w:tabs>
          <w:tab w:val="left" w:pos="1440"/>
          <w:tab w:val="left" w:pos="3060"/>
        </w:tabs>
        <w:jc w:val="center"/>
        <w:rPr>
          <w:rFonts w:ascii="Arial" w:hAnsi="Arial" w:cs="Arial"/>
          <w:b/>
          <w:smallCaps/>
          <w:szCs w:val="24"/>
        </w:rPr>
      </w:pPr>
      <w:r>
        <w:rPr>
          <w:rFonts w:ascii="Arial" w:hAnsi="Arial" w:cs="Arial"/>
          <w:b/>
          <w:snapToGrid w:val="0"/>
          <w:szCs w:val="24"/>
        </w:rPr>
        <w:t>GY-O0006</w:t>
      </w:r>
      <w:r w:rsidR="00E9725B" w:rsidRPr="00B81BBB">
        <w:rPr>
          <w:rFonts w:ascii="Arial" w:hAnsi="Arial" w:cs="Arial"/>
          <w:b/>
          <w:smallCaps/>
          <w:szCs w:val="24"/>
        </w:rPr>
        <w:t xml:space="preserve"> </w:t>
      </w:r>
    </w:p>
    <w:p w14:paraId="5FE60205" w14:textId="77777777" w:rsidR="00E12118" w:rsidRPr="00B81BBB" w:rsidRDefault="00E12118" w:rsidP="00F86017">
      <w:pPr>
        <w:tabs>
          <w:tab w:val="left" w:pos="1440"/>
          <w:tab w:val="left" w:pos="3060"/>
        </w:tabs>
        <w:jc w:val="center"/>
        <w:rPr>
          <w:rFonts w:ascii="Arial" w:hAnsi="Arial" w:cs="Arial"/>
          <w:b/>
          <w:smallCaps/>
        </w:rPr>
      </w:pPr>
    </w:p>
    <w:p w14:paraId="15E85262" w14:textId="77777777" w:rsidR="00E12118" w:rsidRPr="00B81BBB" w:rsidRDefault="00E12118" w:rsidP="00F86017">
      <w:pPr>
        <w:pStyle w:val="Newpage"/>
        <w:rPr>
          <w:rFonts w:ascii="Arial" w:hAnsi="Arial" w:cs="Arial"/>
        </w:rPr>
      </w:pPr>
    </w:p>
    <w:p w14:paraId="0CAD47E8" w14:textId="77777777" w:rsidR="00E12118" w:rsidRPr="00B81BBB" w:rsidRDefault="00E12118" w:rsidP="00F86017">
      <w:pPr>
        <w:tabs>
          <w:tab w:val="left" w:pos="1440"/>
          <w:tab w:val="left" w:pos="3060"/>
        </w:tabs>
        <w:jc w:val="center"/>
        <w:rPr>
          <w:rFonts w:ascii="Arial" w:hAnsi="Arial" w:cs="Arial"/>
          <w:smallCaps/>
        </w:rPr>
      </w:pPr>
    </w:p>
    <w:p w14:paraId="6EAC3BA3" w14:textId="77777777" w:rsidR="00E12118" w:rsidRPr="00B81BBB" w:rsidRDefault="00E12118" w:rsidP="00F86017">
      <w:pPr>
        <w:tabs>
          <w:tab w:val="left" w:pos="1440"/>
          <w:tab w:val="left" w:pos="3060"/>
        </w:tabs>
        <w:jc w:val="center"/>
        <w:rPr>
          <w:rFonts w:ascii="Arial" w:hAnsi="Arial" w:cs="Arial"/>
          <w:smallCaps/>
        </w:rPr>
      </w:pPr>
    </w:p>
    <w:p w14:paraId="6078CA6F" w14:textId="6907BCD9" w:rsidR="00E12118" w:rsidRPr="00B81BBB" w:rsidRDefault="003372D9" w:rsidP="00F86017">
      <w:pPr>
        <w:tabs>
          <w:tab w:val="left" w:pos="1440"/>
          <w:tab w:val="left" w:pos="3060"/>
        </w:tabs>
        <w:jc w:val="center"/>
        <w:outlineLvl w:val="0"/>
        <w:rPr>
          <w:rFonts w:ascii="Arial" w:hAnsi="Arial" w:cs="Arial"/>
          <w:b/>
          <w:smallCaps/>
          <w:szCs w:val="24"/>
        </w:rPr>
      </w:pPr>
      <w:r w:rsidRPr="00B81BBB">
        <w:rPr>
          <w:rFonts w:ascii="Arial" w:hAnsi="Arial" w:cs="Arial"/>
          <w:b/>
          <w:smallCaps/>
          <w:szCs w:val="24"/>
        </w:rPr>
        <w:t>Economic Analysis</w:t>
      </w:r>
    </w:p>
    <w:p w14:paraId="14FAE5A9" w14:textId="77777777" w:rsidR="00E12118" w:rsidRPr="00B81BBB" w:rsidRDefault="00E12118" w:rsidP="00F86017">
      <w:pPr>
        <w:tabs>
          <w:tab w:val="left" w:pos="1440"/>
          <w:tab w:val="left" w:pos="3060"/>
        </w:tabs>
        <w:jc w:val="center"/>
        <w:rPr>
          <w:rFonts w:ascii="Arial" w:hAnsi="Arial" w:cs="Arial"/>
        </w:rPr>
      </w:pPr>
    </w:p>
    <w:p w14:paraId="784935FE" w14:textId="77777777" w:rsidR="00E12118" w:rsidRPr="00B81BBB" w:rsidRDefault="00E12118" w:rsidP="00F86017">
      <w:pPr>
        <w:tabs>
          <w:tab w:val="left" w:pos="1440"/>
          <w:tab w:val="left" w:pos="3060"/>
        </w:tabs>
        <w:jc w:val="center"/>
        <w:rPr>
          <w:rFonts w:ascii="Arial" w:hAnsi="Arial" w:cs="Arial"/>
        </w:rPr>
      </w:pPr>
    </w:p>
    <w:p w14:paraId="2BA95AEB" w14:textId="77777777" w:rsidR="00E12118" w:rsidRPr="00B81BBB" w:rsidRDefault="00E12118" w:rsidP="00F86017">
      <w:pPr>
        <w:tabs>
          <w:tab w:val="left" w:pos="1440"/>
          <w:tab w:val="left" w:pos="3060"/>
        </w:tabs>
        <w:jc w:val="center"/>
        <w:rPr>
          <w:rFonts w:ascii="Arial" w:hAnsi="Arial" w:cs="Arial"/>
        </w:rPr>
      </w:pPr>
    </w:p>
    <w:p w14:paraId="7416DBD7" w14:textId="77777777" w:rsidR="00D97685" w:rsidRPr="00B81BBB" w:rsidRDefault="00D97685" w:rsidP="00F86017">
      <w:pPr>
        <w:tabs>
          <w:tab w:val="left" w:pos="1440"/>
          <w:tab w:val="left" w:pos="3060"/>
        </w:tabs>
        <w:jc w:val="center"/>
        <w:rPr>
          <w:rFonts w:ascii="Arial" w:hAnsi="Arial" w:cs="Arial"/>
        </w:rPr>
        <w:sectPr w:rsidR="00D97685" w:rsidRPr="00B81BBB" w:rsidSect="0045688F">
          <w:headerReference w:type="even" r:id="rId13"/>
          <w:headerReference w:type="default" r:id="rId14"/>
          <w:headerReference w:type="first" r:id="rId15"/>
          <w:type w:val="continuous"/>
          <w:pgSz w:w="12240" w:h="15840" w:code="1"/>
          <w:pgMar w:top="1440" w:right="1800" w:bottom="1440" w:left="1800" w:header="706" w:footer="436" w:gutter="0"/>
          <w:cols w:space="720"/>
          <w:formProt w:val="0"/>
          <w:titlePg/>
        </w:sectPr>
      </w:pPr>
    </w:p>
    <w:p w14:paraId="6A8DF386" w14:textId="220BF4E7" w:rsidR="00E12118" w:rsidRPr="00B81BBB" w:rsidRDefault="0045688F" w:rsidP="00F86017">
      <w:pPr>
        <w:pStyle w:val="Newpage"/>
        <w:rPr>
          <w:rFonts w:ascii="Arial" w:hAnsi="Arial" w:cs="Arial"/>
        </w:rPr>
      </w:pPr>
      <w:bookmarkStart w:id="0" w:name="Contents"/>
      <w:r w:rsidRPr="00B81BBB">
        <w:rPr>
          <w:rFonts w:ascii="Arial" w:hAnsi="Arial" w:cs="Arial"/>
        </w:rPr>
        <w:lastRenderedPageBreak/>
        <w:t>Contents</w:t>
      </w:r>
    </w:p>
    <w:bookmarkEnd w:id="0"/>
    <w:p w14:paraId="62C45EE1" w14:textId="77777777" w:rsidR="008E629C" w:rsidRPr="00B81BBB" w:rsidRDefault="008E629C" w:rsidP="00F86017">
      <w:pPr>
        <w:pStyle w:val="Newpage"/>
        <w:rPr>
          <w:rFonts w:ascii="Arial" w:hAnsi="Arial" w:cs="Arial"/>
        </w:rPr>
      </w:pPr>
    </w:p>
    <w:p w14:paraId="53B8CE9B" w14:textId="73DAE127" w:rsidR="00D97685" w:rsidRPr="00B81BBB" w:rsidRDefault="00D97685" w:rsidP="00D97685"/>
    <w:p w14:paraId="2EFC94FF" w14:textId="77777777" w:rsidR="00D97685" w:rsidRPr="00B81BBB" w:rsidRDefault="00D97685" w:rsidP="00D97685"/>
    <w:p w14:paraId="6C0CCC0B" w14:textId="37269ED4" w:rsidR="00D97685" w:rsidRPr="00B81BBB" w:rsidRDefault="00D97685" w:rsidP="0045688F">
      <w:pPr>
        <w:pStyle w:val="TOC1"/>
        <w:rPr>
          <w:rFonts w:asciiTheme="minorHAnsi" w:eastAsiaTheme="minorEastAsia" w:hAnsiTheme="minorHAnsi" w:cstheme="minorBidi"/>
          <w:szCs w:val="22"/>
        </w:rPr>
      </w:pPr>
      <w:r w:rsidRPr="00B81BBB">
        <w:fldChar w:fldCharType="begin"/>
      </w:r>
      <w:r w:rsidRPr="00B81BBB">
        <w:instrText xml:space="preserve"> TOC \f \t "Chapter,1,FirstHeading,2,SecHeading,3" </w:instrText>
      </w:r>
      <w:r w:rsidRPr="00B81BBB">
        <w:fldChar w:fldCharType="separate"/>
      </w:r>
      <w:r w:rsidRPr="00B81BBB">
        <w:t>I.</w:t>
      </w:r>
      <w:r w:rsidRPr="00B81BBB">
        <w:rPr>
          <w:rFonts w:asciiTheme="minorHAnsi" w:eastAsiaTheme="minorEastAsia" w:hAnsiTheme="minorHAnsi" w:cstheme="minorBidi"/>
          <w:szCs w:val="22"/>
        </w:rPr>
        <w:tab/>
      </w:r>
      <w:r w:rsidRPr="00B81BBB">
        <w:t>Introduction</w:t>
      </w:r>
      <w:r w:rsidRPr="00B81BBB">
        <w:tab/>
      </w:r>
      <w:r w:rsidRPr="00B81BBB">
        <w:fldChar w:fldCharType="begin"/>
      </w:r>
      <w:r w:rsidRPr="00B81BBB">
        <w:instrText xml:space="preserve"> PAGEREF _Toc510433072 \h </w:instrText>
      </w:r>
      <w:r w:rsidRPr="00B81BBB">
        <w:fldChar w:fldCharType="separate"/>
      </w:r>
      <w:r w:rsidR="004A5A36" w:rsidRPr="00B81BBB">
        <w:t>1</w:t>
      </w:r>
      <w:r w:rsidRPr="00B81BBB">
        <w:fldChar w:fldCharType="end"/>
      </w:r>
    </w:p>
    <w:p w14:paraId="41FCA13B" w14:textId="49B86F49" w:rsidR="00D97685" w:rsidRPr="00B81BBB" w:rsidRDefault="00D97685" w:rsidP="0045688F">
      <w:pPr>
        <w:pStyle w:val="TOC1"/>
        <w:rPr>
          <w:rFonts w:asciiTheme="minorHAnsi" w:eastAsiaTheme="minorEastAsia" w:hAnsiTheme="minorHAnsi" w:cstheme="minorBidi"/>
          <w:szCs w:val="22"/>
        </w:rPr>
      </w:pPr>
      <w:r w:rsidRPr="00B81BBB">
        <w:t>II.</w:t>
      </w:r>
      <w:r w:rsidRPr="00B81BBB">
        <w:rPr>
          <w:rFonts w:asciiTheme="minorHAnsi" w:eastAsiaTheme="minorEastAsia" w:hAnsiTheme="minorHAnsi" w:cstheme="minorBidi"/>
          <w:szCs w:val="22"/>
        </w:rPr>
        <w:tab/>
      </w:r>
      <w:r w:rsidRPr="00B81BBB">
        <w:t>Objectives, Assumptions and Alternatives</w:t>
      </w:r>
      <w:r w:rsidRPr="00B81BBB">
        <w:tab/>
      </w:r>
      <w:r w:rsidRPr="00B81BBB">
        <w:fldChar w:fldCharType="begin"/>
      </w:r>
      <w:r w:rsidRPr="00B81BBB">
        <w:instrText xml:space="preserve"> PAGEREF _Toc510433073 \h </w:instrText>
      </w:r>
      <w:r w:rsidRPr="00B81BBB">
        <w:fldChar w:fldCharType="separate"/>
      </w:r>
      <w:r w:rsidR="004A5A36" w:rsidRPr="00B81BBB">
        <w:t>3</w:t>
      </w:r>
      <w:r w:rsidRPr="00B81BBB">
        <w:fldChar w:fldCharType="end"/>
      </w:r>
    </w:p>
    <w:p w14:paraId="13C2292E" w14:textId="574F2629" w:rsidR="00D97685" w:rsidRPr="00B81BBB" w:rsidRDefault="00D97685" w:rsidP="0045688F">
      <w:pPr>
        <w:pStyle w:val="TOC1"/>
        <w:rPr>
          <w:rFonts w:asciiTheme="minorHAnsi" w:eastAsiaTheme="minorEastAsia" w:hAnsiTheme="minorHAnsi" w:cstheme="minorBidi"/>
          <w:szCs w:val="22"/>
        </w:rPr>
      </w:pPr>
      <w:r w:rsidRPr="00B81BBB">
        <w:t>III.</w:t>
      </w:r>
      <w:r w:rsidRPr="00B81BBB">
        <w:rPr>
          <w:rFonts w:asciiTheme="minorHAnsi" w:eastAsiaTheme="minorEastAsia" w:hAnsiTheme="minorHAnsi" w:cstheme="minorBidi"/>
          <w:szCs w:val="22"/>
        </w:rPr>
        <w:tab/>
      </w:r>
      <w:r w:rsidRPr="00B81BBB">
        <w:t>Economic Costs and Measurement of Effectiveness in terms of Cost</w:t>
      </w:r>
      <w:r w:rsidRPr="00B81BBB">
        <w:tab/>
      </w:r>
      <w:r w:rsidRPr="00B81BBB">
        <w:fldChar w:fldCharType="begin"/>
      </w:r>
      <w:r w:rsidRPr="00B81BBB">
        <w:instrText xml:space="preserve"> PAGEREF _Toc510433074 \h </w:instrText>
      </w:r>
      <w:r w:rsidRPr="00B81BBB">
        <w:fldChar w:fldCharType="separate"/>
      </w:r>
      <w:r w:rsidR="004A5A36" w:rsidRPr="00B81BBB">
        <w:t>3</w:t>
      </w:r>
      <w:r w:rsidRPr="00B81BBB">
        <w:fldChar w:fldCharType="end"/>
      </w:r>
    </w:p>
    <w:p w14:paraId="1AB28DE6" w14:textId="1D06AB28" w:rsidR="00D97685" w:rsidRPr="00B81BBB" w:rsidRDefault="00D97685" w:rsidP="0045688F">
      <w:pPr>
        <w:pStyle w:val="TOC1"/>
        <w:rPr>
          <w:rFonts w:asciiTheme="minorHAnsi" w:eastAsiaTheme="minorEastAsia" w:hAnsiTheme="minorHAnsi" w:cstheme="minorBidi"/>
          <w:szCs w:val="22"/>
        </w:rPr>
      </w:pPr>
      <w:r w:rsidRPr="00B81BBB">
        <w:t>IV.</w:t>
      </w:r>
      <w:r w:rsidRPr="00B81BBB">
        <w:rPr>
          <w:rFonts w:asciiTheme="minorHAnsi" w:eastAsiaTheme="minorEastAsia" w:hAnsiTheme="minorHAnsi" w:cstheme="minorBidi"/>
          <w:szCs w:val="22"/>
        </w:rPr>
        <w:tab/>
      </w:r>
      <w:r w:rsidRPr="00B81BBB">
        <w:t>Availability of Resources</w:t>
      </w:r>
      <w:r w:rsidRPr="00B81BBB">
        <w:tab/>
      </w:r>
      <w:r w:rsidRPr="00B81BBB">
        <w:fldChar w:fldCharType="begin"/>
      </w:r>
      <w:r w:rsidRPr="00B81BBB">
        <w:instrText xml:space="preserve"> PAGEREF _Toc510433075 \h </w:instrText>
      </w:r>
      <w:r w:rsidRPr="00B81BBB">
        <w:fldChar w:fldCharType="separate"/>
      </w:r>
      <w:r w:rsidR="004A5A36" w:rsidRPr="00B81BBB">
        <w:t>4</w:t>
      </w:r>
      <w:r w:rsidRPr="00B81BBB">
        <w:fldChar w:fldCharType="end"/>
      </w:r>
    </w:p>
    <w:p w14:paraId="4EFA6F45" w14:textId="035484AD" w:rsidR="00D97685" w:rsidRPr="00B81BBB" w:rsidRDefault="00D97685" w:rsidP="0045688F">
      <w:pPr>
        <w:pStyle w:val="TOC1"/>
        <w:rPr>
          <w:rFonts w:asciiTheme="minorHAnsi" w:eastAsiaTheme="minorEastAsia" w:hAnsiTheme="minorHAnsi" w:cstheme="minorBidi"/>
          <w:szCs w:val="22"/>
        </w:rPr>
      </w:pPr>
      <w:r w:rsidRPr="00B81BBB">
        <w:t>V.</w:t>
      </w:r>
      <w:r w:rsidRPr="00B81BBB">
        <w:rPr>
          <w:rFonts w:asciiTheme="minorHAnsi" w:eastAsiaTheme="minorEastAsia" w:hAnsiTheme="minorHAnsi" w:cstheme="minorBidi"/>
          <w:szCs w:val="22"/>
        </w:rPr>
        <w:tab/>
      </w:r>
      <w:r w:rsidRPr="00B81BBB">
        <w:t>Financial Cost</w:t>
      </w:r>
      <w:r w:rsidRPr="00B81BBB">
        <w:tab/>
      </w:r>
      <w:r w:rsidRPr="00B81BBB">
        <w:fldChar w:fldCharType="begin"/>
      </w:r>
      <w:r w:rsidRPr="00B81BBB">
        <w:instrText xml:space="preserve"> PAGEREF _Toc510433076 \h </w:instrText>
      </w:r>
      <w:r w:rsidRPr="00B81BBB">
        <w:fldChar w:fldCharType="separate"/>
      </w:r>
      <w:r w:rsidR="004A5A36" w:rsidRPr="00B81BBB">
        <w:t>5</w:t>
      </w:r>
      <w:r w:rsidRPr="00B81BBB">
        <w:fldChar w:fldCharType="end"/>
      </w:r>
    </w:p>
    <w:p w14:paraId="788B852D" w14:textId="35012B30" w:rsidR="00D97685" w:rsidRPr="00B81BBB" w:rsidRDefault="00D97685" w:rsidP="0045688F">
      <w:pPr>
        <w:pStyle w:val="TOC1"/>
        <w:rPr>
          <w:rFonts w:asciiTheme="minorHAnsi" w:eastAsiaTheme="minorEastAsia" w:hAnsiTheme="minorHAnsi" w:cstheme="minorBidi"/>
          <w:szCs w:val="22"/>
        </w:rPr>
      </w:pPr>
      <w:r w:rsidRPr="00B81BBB">
        <w:t>VI.</w:t>
      </w:r>
      <w:r w:rsidRPr="00B81BBB">
        <w:rPr>
          <w:rFonts w:asciiTheme="minorHAnsi" w:eastAsiaTheme="minorEastAsia" w:hAnsiTheme="minorHAnsi" w:cstheme="minorBidi"/>
          <w:szCs w:val="22"/>
        </w:rPr>
        <w:tab/>
      </w:r>
      <w:r w:rsidRPr="00B81BBB">
        <w:t>Indicators</w:t>
      </w:r>
      <w:r w:rsidRPr="00B81BBB">
        <w:tab/>
      </w:r>
      <w:r w:rsidRPr="00B81BBB">
        <w:fldChar w:fldCharType="begin"/>
      </w:r>
      <w:r w:rsidRPr="00B81BBB">
        <w:instrText xml:space="preserve"> PAGEREF _Toc510433077 \h </w:instrText>
      </w:r>
      <w:r w:rsidRPr="00B81BBB">
        <w:fldChar w:fldCharType="separate"/>
      </w:r>
      <w:r w:rsidR="004A5A36" w:rsidRPr="00B81BBB">
        <w:t>6</w:t>
      </w:r>
      <w:r w:rsidRPr="00B81BBB">
        <w:fldChar w:fldCharType="end"/>
      </w:r>
    </w:p>
    <w:p w14:paraId="1B810AC2" w14:textId="778EFB49" w:rsidR="00D97685" w:rsidRPr="00B81BBB" w:rsidRDefault="00D97685" w:rsidP="0045688F">
      <w:pPr>
        <w:pStyle w:val="TOC1"/>
        <w:rPr>
          <w:rFonts w:asciiTheme="minorHAnsi" w:eastAsiaTheme="minorEastAsia" w:hAnsiTheme="minorHAnsi" w:cstheme="minorBidi"/>
          <w:szCs w:val="22"/>
        </w:rPr>
      </w:pPr>
      <w:r w:rsidRPr="00B81BBB">
        <w:t>VII.</w:t>
      </w:r>
      <w:r w:rsidRPr="00B81BBB">
        <w:rPr>
          <w:rFonts w:asciiTheme="minorHAnsi" w:eastAsiaTheme="minorEastAsia" w:hAnsiTheme="minorHAnsi" w:cstheme="minorBidi"/>
          <w:szCs w:val="22"/>
        </w:rPr>
        <w:tab/>
      </w:r>
      <w:r w:rsidRPr="00B81BBB">
        <w:t>Cost-Effectiveness Analysis</w:t>
      </w:r>
      <w:r w:rsidRPr="00B81BBB">
        <w:tab/>
      </w:r>
      <w:r w:rsidRPr="00B81BBB">
        <w:fldChar w:fldCharType="begin"/>
      </w:r>
      <w:r w:rsidRPr="00B81BBB">
        <w:instrText xml:space="preserve"> PAGEREF _Toc510433078 \h </w:instrText>
      </w:r>
      <w:r w:rsidRPr="00B81BBB">
        <w:fldChar w:fldCharType="separate"/>
      </w:r>
      <w:r w:rsidR="004A5A36" w:rsidRPr="00B81BBB">
        <w:t>6</w:t>
      </w:r>
      <w:r w:rsidRPr="00B81BBB">
        <w:fldChar w:fldCharType="end"/>
      </w:r>
    </w:p>
    <w:p w14:paraId="40866E3F" w14:textId="32943ED2" w:rsidR="00D97685" w:rsidRPr="00B81BBB" w:rsidRDefault="00D97685" w:rsidP="0045688F">
      <w:pPr>
        <w:pStyle w:val="TOC1"/>
        <w:rPr>
          <w:rFonts w:asciiTheme="minorHAnsi" w:eastAsiaTheme="minorEastAsia" w:hAnsiTheme="minorHAnsi" w:cstheme="minorBidi"/>
          <w:szCs w:val="22"/>
        </w:rPr>
      </w:pPr>
      <w:r w:rsidRPr="00B81BBB">
        <w:t>VIII.</w:t>
      </w:r>
      <w:r w:rsidRPr="00B81BBB">
        <w:rPr>
          <w:rFonts w:asciiTheme="minorHAnsi" w:eastAsiaTheme="minorEastAsia" w:hAnsiTheme="minorHAnsi" w:cstheme="minorBidi"/>
          <w:szCs w:val="22"/>
        </w:rPr>
        <w:tab/>
      </w:r>
      <w:r w:rsidRPr="00B81BBB">
        <w:t>Sensibility Analysis</w:t>
      </w:r>
      <w:r w:rsidRPr="00B81BBB">
        <w:tab/>
      </w:r>
      <w:r w:rsidRPr="00B81BBB">
        <w:fldChar w:fldCharType="begin"/>
      </w:r>
      <w:r w:rsidRPr="00B81BBB">
        <w:instrText xml:space="preserve"> PAGEREF _Toc510433079 \h </w:instrText>
      </w:r>
      <w:r w:rsidRPr="00B81BBB">
        <w:fldChar w:fldCharType="separate"/>
      </w:r>
      <w:r w:rsidR="004A5A36" w:rsidRPr="00B81BBB">
        <w:t>7</w:t>
      </w:r>
      <w:r w:rsidRPr="00B81BBB">
        <w:fldChar w:fldCharType="end"/>
      </w:r>
    </w:p>
    <w:p w14:paraId="00404274" w14:textId="78DB57A6" w:rsidR="00D97685" w:rsidRPr="00B81BBB" w:rsidRDefault="00D97685" w:rsidP="0045688F">
      <w:pPr>
        <w:pStyle w:val="TOC1"/>
        <w:rPr>
          <w:rFonts w:asciiTheme="minorHAnsi" w:eastAsiaTheme="minorEastAsia" w:hAnsiTheme="minorHAnsi" w:cstheme="minorBidi"/>
          <w:szCs w:val="22"/>
        </w:rPr>
      </w:pPr>
      <w:r w:rsidRPr="00B81BBB">
        <w:t>IX.</w:t>
      </w:r>
      <w:r w:rsidRPr="00B81BBB">
        <w:rPr>
          <w:rFonts w:asciiTheme="minorHAnsi" w:eastAsiaTheme="minorEastAsia" w:hAnsiTheme="minorHAnsi" w:cstheme="minorBidi"/>
          <w:szCs w:val="22"/>
        </w:rPr>
        <w:tab/>
      </w:r>
      <w:r w:rsidRPr="00B81BBB">
        <w:t>Conclusions</w:t>
      </w:r>
      <w:r w:rsidRPr="00B81BBB">
        <w:tab/>
      </w:r>
      <w:r w:rsidRPr="00B81BBB">
        <w:fldChar w:fldCharType="begin"/>
      </w:r>
      <w:r w:rsidRPr="00B81BBB">
        <w:instrText xml:space="preserve"> PAGEREF _Toc510433080 \h </w:instrText>
      </w:r>
      <w:r w:rsidRPr="00B81BBB">
        <w:fldChar w:fldCharType="separate"/>
      </w:r>
      <w:r w:rsidR="004A5A36" w:rsidRPr="00B81BBB">
        <w:t>9</w:t>
      </w:r>
      <w:r w:rsidRPr="00B81BBB">
        <w:fldChar w:fldCharType="end"/>
      </w:r>
    </w:p>
    <w:p w14:paraId="0C7516F3" w14:textId="739A9390" w:rsidR="00E12118" w:rsidRPr="00B81BBB" w:rsidRDefault="00D97685" w:rsidP="00D97685">
      <w:pPr>
        <w:pStyle w:val="TOC3"/>
      </w:pPr>
      <w:r w:rsidRPr="00B81BBB">
        <w:fldChar w:fldCharType="end"/>
      </w:r>
    </w:p>
    <w:p w14:paraId="20E2387F" w14:textId="77777777" w:rsidR="00D97685" w:rsidRPr="00B81BBB" w:rsidRDefault="00D97685" w:rsidP="00D97685">
      <w:pPr>
        <w:sectPr w:rsidR="00D97685" w:rsidRPr="00B81BBB" w:rsidSect="0045688F">
          <w:pgSz w:w="12240" w:h="15840" w:code="1"/>
          <w:pgMar w:top="1440" w:right="1800" w:bottom="1440" w:left="1800" w:header="706" w:footer="436" w:gutter="0"/>
          <w:cols w:space="720"/>
          <w:formProt w:val="0"/>
          <w:titlePg/>
        </w:sectPr>
      </w:pPr>
    </w:p>
    <w:p w14:paraId="712A024C" w14:textId="77777777" w:rsidR="00E23CA7" w:rsidRPr="00B81BBB" w:rsidRDefault="00E23CA7" w:rsidP="00F86017">
      <w:pPr>
        <w:rPr>
          <w:rFonts w:ascii="Arial" w:hAnsi="Arial" w:cs="Arial"/>
        </w:rPr>
      </w:pPr>
    </w:p>
    <w:p w14:paraId="688F3B97" w14:textId="77777777" w:rsidR="00CD3245" w:rsidRPr="00B81BBB" w:rsidRDefault="00CD3245" w:rsidP="00F86017">
      <w:pPr>
        <w:rPr>
          <w:rFonts w:ascii="Arial" w:hAnsi="Arial" w:cs="Arial"/>
        </w:rPr>
        <w:sectPr w:rsidR="00CD3245" w:rsidRPr="00B81BBB" w:rsidSect="0045688F">
          <w:headerReference w:type="first" r:id="rId16"/>
          <w:pgSz w:w="12240" w:h="15840" w:code="1"/>
          <w:pgMar w:top="1440" w:right="1800" w:bottom="1440" w:left="1800" w:header="706" w:footer="436" w:gutter="0"/>
          <w:pgNumType w:start="1"/>
          <w:cols w:space="720"/>
          <w:formProt w:val="0"/>
          <w:titlePg/>
        </w:sectPr>
      </w:pPr>
    </w:p>
    <w:p w14:paraId="3279BA08" w14:textId="31A1D43C" w:rsidR="00352CFD" w:rsidRPr="00B81BBB" w:rsidRDefault="00933646" w:rsidP="00617868">
      <w:pPr>
        <w:pStyle w:val="Chapter"/>
        <w:tabs>
          <w:tab w:val="clear" w:pos="1440"/>
          <w:tab w:val="clear" w:pos="2952"/>
        </w:tabs>
        <w:spacing w:before="0"/>
        <w:ind w:left="0" w:firstLine="0"/>
        <w:rPr>
          <w:rFonts w:ascii="Arial" w:hAnsi="Arial" w:cs="Arial"/>
        </w:rPr>
      </w:pPr>
      <w:bookmarkStart w:id="1" w:name="_Toc510433072"/>
      <w:r w:rsidRPr="00B81BBB">
        <w:rPr>
          <w:rFonts w:ascii="Arial" w:hAnsi="Arial" w:cs="Arial"/>
        </w:rPr>
        <w:t>Introduction</w:t>
      </w:r>
      <w:bookmarkEnd w:id="1"/>
    </w:p>
    <w:p w14:paraId="4B4C1837" w14:textId="6E8E5EA6" w:rsidR="00617868" w:rsidRPr="00B81BBB" w:rsidRDefault="006C2B33" w:rsidP="00617868">
      <w:pPr>
        <w:pStyle w:val="Paragraph"/>
        <w:numPr>
          <w:ilvl w:val="1"/>
          <w:numId w:val="13"/>
        </w:numPr>
        <w:tabs>
          <w:tab w:val="clear" w:pos="2448"/>
          <w:tab w:val="num" w:pos="720"/>
        </w:tabs>
        <w:ind w:left="720" w:hanging="720"/>
        <w:rPr>
          <w:rFonts w:ascii="Arial" w:hAnsi="Arial" w:cs="Arial"/>
          <w:sz w:val="22"/>
          <w:szCs w:val="22"/>
        </w:rPr>
      </w:pPr>
      <w:bookmarkStart w:id="2" w:name="_Hlk42964119"/>
      <w:bookmarkStart w:id="3" w:name="_Ref529178954"/>
      <w:r w:rsidRPr="008E3CE1">
        <w:rPr>
          <w:rFonts w:ascii="Arial" w:eastAsia="Arial" w:hAnsi="Arial" w:cs="Arial"/>
          <w:sz w:val="22"/>
          <w:szCs w:val="22"/>
        </w:rPr>
        <w:t xml:space="preserve">On 11 March 2020, the World Health Organization (WHO) declared the outbreak of COVID-19, the disease caused by the 2019 novel coronavirus, or nCoV-2019, which affects the </w:t>
      </w:r>
      <w:r w:rsidRPr="005441F3">
        <w:rPr>
          <w:rFonts w:ascii="Arial" w:eastAsia="Arial" w:hAnsi="Arial" w:cs="Arial"/>
          <w:sz w:val="22"/>
          <w:szCs w:val="22"/>
        </w:rPr>
        <w:t>respiratory system, a pandemic. To date (June 22, 2020), the WHO has reported more than 8,860,331 confirmed cases in 188 countries, resulting in more than 465,740 deaths.</w:t>
      </w:r>
      <w:r w:rsidRPr="005441F3">
        <w:rPr>
          <w:rStyle w:val="FootnoteReference"/>
          <w:rFonts w:ascii="Arial" w:eastAsia="Arial" w:hAnsi="Arial" w:cs="Arial"/>
          <w:sz w:val="22"/>
          <w:szCs w:val="22"/>
        </w:rPr>
        <w:footnoteReference w:id="2"/>
      </w:r>
      <w:r w:rsidRPr="005441F3">
        <w:rPr>
          <w:rFonts w:ascii="Arial" w:eastAsia="Arial" w:hAnsi="Arial" w:cs="Arial"/>
          <w:sz w:val="22"/>
          <w:szCs w:val="22"/>
        </w:rPr>
        <w:t xml:space="preserve"> The first cases in Latin America and the Caribbean (LAC) were reported in late February. Since then, their number has been rising fast, with 1,420,261 confirmed cases of COVID-19 and 69,669 deaths reported</w:t>
      </w:r>
      <w:r w:rsidRPr="005E7BF3">
        <w:rPr>
          <w:rFonts w:ascii="Arial" w:eastAsia="Arial" w:hAnsi="Arial" w:cs="Arial"/>
          <w:sz w:val="22"/>
          <w:szCs w:val="22"/>
        </w:rPr>
        <w:t xml:space="preserve"> in all 26 borrowing member countries. The number of cases and deaths is expected to keep growing</w:t>
      </w:r>
      <w:bookmarkEnd w:id="2"/>
      <w:r w:rsidR="00617868" w:rsidRPr="00B81BBB">
        <w:rPr>
          <w:rFonts w:ascii="Arial" w:eastAsia="Arial" w:hAnsi="Arial" w:cs="Arial"/>
          <w:sz w:val="22"/>
          <w:szCs w:val="22"/>
        </w:rPr>
        <w:t xml:space="preserve">. </w:t>
      </w:r>
      <w:r w:rsidR="00617868" w:rsidRPr="00B81BBB">
        <w:rPr>
          <w:rFonts w:ascii="Arial" w:hAnsi="Arial" w:cs="Arial"/>
          <w:sz w:val="22"/>
          <w:szCs w:val="22"/>
        </w:rPr>
        <w:t xml:space="preserve"> </w:t>
      </w:r>
    </w:p>
    <w:p w14:paraId="4149D092" w14:textId="50BD587E" w:rsidR="00617868" w:rsidRPr="00B81BBB" w:rsidRDefault="00BA222C" w:rsidP="00617868">
      <w:pPr>
        <w:pStyle w:val="Paragraph"/>
        <w:numPr>
          <w:ilvl w:val="1"/>
          <w:numId w:val="13"/>
        </w:numPr>
        <w:tabs>
          <w:tab w:val="clear" w:pos="2448"/>
          <w:tab w:val="num" w:pos="720"/>
        </w:tabs>
        <w:ind w:left="720" w:hanging="720"/>
        <w:rPr>
          <w:rFonts w:ascii="Arial" w:hAnsi="Arial" w:cs="Arial"/>
          <w:sz w:val="22"/>
          <w:szCs w:val="22"/>
        </w:rPr>
      </w:pPr>
      <w:bookmarkStart w:id="4" w:name="_Ref41559087"/>
      <w:r>
        <w:rPr>
          <w:rFonts w:ascii="Arial" w:hAnsi="Arial" w:cs="Arial"/>
          <w:b/>
          <w:bCs/>
          <w:sz w:val="22"/>
          <w:szCs w:val="22"/>
        </w:rPr>
        <w:t>Guyana</w:t>
      </w:r>
      <w:r w:rsidR="00617868" w:rsidRPr="00B81BBB">
        <w:rPr>
          <w:rFonts w:ascii="Arial" w:hAnsi="Arial" w:cs="Arial"/>
          <w:b/>
          <w:bCs/>
          <w:sz w:val="22"/>
          <w:szCs w:val="22"/>
        </w:rPr>
        <w:t>’s response.</w:t>
      </w:r>
      <w:bookmarkStart w:id="5" w:name="_Hlk43128860"/>
      <w:bookmarkEnd w:id="4"/>
      <w:r w:rsidR="006C2B33">
        <w:rPr>
          <w:rFonts w:ascii="Arial" w:hAnsi="Arial" w:cs="Arial"/>
          <w:b/>
          <w:bCs/>
          <w:sz w:val="22"/>
          <w:szCs w:val="22"/>
        </w:rPr>
        <w:t xml:space="preserve"> </w:t>
      </w:r>
      <w:bookmarkStart w:id="6" w:name="_Hlk42964179"/>
      <w:r w:rsidR="006C2B33" w:rsidRPr="00461944">
        <w:rPr>
          <w:rFonts w:ascii="Arial" w:hAnsi="Arial" w:cs="Arial"/>
          <w:sz w:val="22"/>
          <w:szCs w:val="22"/>
        </w:rPr>
        <w:t>The first case</w:t>
      </w:r>
      <w:r w:rsidR="006C2B33">
        <w:rPr>
          <w:rFonts w:ascii="Arial" w:hAnsi="Arial" w:cs="Arial"/>
          <w:sz w:val="22"/>
          <w:szCs w:val="22"/>
        </w:rPr>
        <w:t xml:space="preserve"> of COVID-19</w:t>
      </w:r>
      <w:r w:rsidR="006C2B33" w:rsidRPr="00461944">
        <w:rPr>
          <w:rFonts w:ascii="Arial" w:hAnsi="Arial" w:cs="Arial"/>
          <w:sz w:val="22"/>
          <w:szCs w:val="22"/>
        </w:rPr>
        <w:t xml:space="preserve"> in</w:t>
      </w:r>
      <w:r w:rsidR="006C2B33">
        <w:rPr>
          <w:rFonts w:ascii="Arial" w:hAnsi="Arial" w:cs="Arial"/>
          <w:sz w:val="22"/>
          <w:szCs w:val="22"/>
        </w:rPr>
        <w:t xml:space="preserve"> Guyana</w:t>
      </w:r>
      <w:r w:rsidR="006C2B33" w:rsidRPr="00461944">
        <w:rPr>
          <w:rFonts w:ascii="Arial" w:hAnsi="Arial" w:cs="Arial"/>
          <w:sz w:val="22"/>
          <w:szCs w:val="22"/>
        </w:rPr>
        <w:t xml:space="preserve"> w</w:t>
      </w:r>
      <w:r w:rsidR="006C2B33">
        <w:rPr>
          <w:rFonts w:ascii="Arial" w:hAnsi="Arial" w:cs="Arial"/>
          <w:sz w:val="22"/>
          <w:szCs w:val="22"/>
        </w:rPr>
        <w:t>as</w:t>
      </w:r>
      <w:r w:rsidR="006C2B33" w:rsidRPr="00461944">
        <w:rPr>
          <w:rFonts w:ascii="Arial" w:hAnsi="Arial" w:cs="Arial"/>
          <w:sz w:val="22"/>
          <w:szCs w:val="22"/>
        </w:rPr>
        <w:t xml:space="preserve"> reported </w:t>
      </w:r>
      <w:r w:rsidR="006C2B33">
        <w:rPr>
          <w:rFonts w:ascii="Arial" w:hAnsi="Arial" w:cs="Arial"/>
          <w:sz w:val="22"/>
          <w:szCs w:val="22"/>
        </w:rPr>
        <w:t>on March 11</w:t>
      </w:r>
      <w:r w:rsidR="006C2B33" w:rsidRPr="00461944">
        <w:rPr>
          <w:rFonts w:ascii="Arial" w:hAnsi="Arial" w:cs="Arial"/>
          <w:sz w:val="22"/>
          <w:szCs w:val="22"/>
        </w:rPr>
        <w:t>. Since then, the number of cases has been rising steadily.</w:t>
      </w:r>
      <w:r w:rsidR="006C2B33" w:rsidRPr="00461944">
        <w:rPr>
          <w:rFonts w:ascii="Arial" w:hAnsi="Arial" w:cs="Arial"/>
          <w:b/>
          <w:bCs/>
          <w:sz w:val="22"/>
          <w:szCs w:val="22"/>
        </w:rPr>
        <w:t xml:space="preserve"> </w:t>
      </w:r>
      <w:r w:rsidR="006C2B33" w:rsidRPr="00461944">
        <w:rPr>
          <w:rFonts w:ascii="Arial" w:hAnsi="Arial" w:cs="Arial"/>
          <w:sz w:val="22"/>
          <w:szCs w:val="22"/>
        </w:rPr>
        <w:t>As of</w:t>
      </w:r>
      <w:r w:rsidR="006C2B33">
        <w:rPr>
          <w:rFonts w:ascii="Arial" w:hAnsi="Arial" w:cs="Arial"/>
          <w:sz w:val="22"/>
          <w:szCs w:val="22"/>
        </w:rPr>
        <w:t xml:space="preserve"> June 24</w:t>
      </w:r>
      <w:r w:rsidR="006C2B33" w:rsidRPr="00461944">
        <w:rPr>
          <w:rFonts w:ascii="Arial" w:hAnsi="Arial" w:cs="Arial"/>
          <w:sz w:val="22"/>
          <w:szCs w:val="22"/>
        </w:rPr>
        <w:t>,</w:t>
      </w:r>
      <w:r w:rsidR="006C2B33" w:rsidRPr="00461944">
        <w:rPr>
          <w:rFonts w:ascii="Arial" w:hAnsi="Arial" w:cs="Arial"/>
          <w:b/>
          <w:bCs/>
          <w:sz w:val="22"/>
          <w:szCs w:val="22"/>
        </w:rPr>
        <w:t xml:space="preserve"> </w:t>
      </w:r>
      <w:r w:rsidR="006C2B33" w:rsidRPr="00461944">
        <w:rPr>
          <w:rFonts w:ascii="Arial" w:hAnsi="Arial" w:cs="Arial"/>
          <w:sz w:val="22"/>
          <w:szCs w:val="22"/>
        </w:rPr>
        <w:t>there are</w:t>
      </w:r>
      <w:r w:rsidR="006C2B33">
        <w:rPr>
          <w:rFonts w:ascii="Arial" w:hAnsi="Arial" w:cs="Arial"/>
          <w:sz w:val="22"/>
          <w:szCs w:val="22"/>
        </w:rPr>
        <w:t xml:space="preserve"> 206</w:t>
      </w:r>
      <w:r w:rsidR="006C2B33" w:rsidRPr="00461944">
        <w:rPr>
          <w:rFonts w:ascii="Arial" w:hAnsi="Arial" w:cs="Arial"/>
          <w:sz w:val="22"/>
          <w:szCs w:val="22"/>
        </w:rPr>
        <w:t xml:space="preserve"> confirmed cases and</w:t>
      </w:r>
      <w:r w:rsidR="006C2B33">
        <w:rPr>
          <w:rFonts w:ascii="Arial" w:hAnsi="Arial" w:cs="Arial"/>
          <w:sz w:val="22"/>
          <w:szCs w:val="22"/>
        </w:rPr>
        <w:t xml:space="preserve"> 12</w:t>
      </w:r>
      <w:r w:rsidR="006C2B33" w:rsidRPr="00461944">
        <w:rPr>
          <w:rFonts w:ascii="Arial" w:hAnsi="Arial" w:cs="Arial"/>
          <w:sz w:val="22"/>
          <w:szCs w:val="22"/>
        </w:rPr>
        <w:t xml:space="preserve"> deaths.</w:t>
      </w:r>
      <w:r w:rsidR="006C2B33">
        <w:rPr>
          <w:rStyle w:val="FootnoteReference"/>
          <w:rFonts w:ascii="Arial" w:hAnsi="Arial" w:cs="Arial"/>
          <w:sz w:val="22"/>
          <w:szCs w:val="22"/>
        </w:rPr>
        <w:footnoteReference w:id="3"/>
      </w:r>
      <w:r w:rsidR="006C2B33">
        <w:rPr>
          <w:rFonts w:ascii="Arial" w:hAnsi="Arial" w:cs="Arial"/>
          <w:sz w:val="22"/>
          <w:szCs w:val="22"/>
        </w:rPr>
        <w:t xml:space="preserve"> </w:t>
      </w:r>
      <w:r w:rsidR="006C2B33" w:rsidRPr="007247E6">
        <w:rPr>
          <w:rFonts w:ascii="Arial" w:hAnsi="Arial" w:cs="Arial"/>
          <w:sz w:val="22"/>
          <w:szCs w:val="22"/>
        </w:rPr>
        <w:t xml:space="preserve">Projections by the Pan-American Health Organization (PAHO) suggest that </w:t>
      </w:r>
      <w:r w:rsidR="006C2B33">
        <w:rPr>
          <w:rFonts w:ascii="Arial" w:hAnsi="Arial" w:cs="Arial"/>
          <w:sz w:val="22"/>
          <w:szCs w:val="22"/>
        </w:rPr>
        <w:t>the country</w:t>
      </w:r>
      <w:r w:rsidR="006C2B33" w:rsidRPr="007247E6">
        <w:rPr>
          <w:rFonts w:ascii="Arial" w:hAnsi="Arial" w:cs="Arial"/>
          <w:sz w:val="22"/>
          <w:szCs w:val="22"/>
        </w:rPr>
        <w:t xml:space="preserve"> could have about 1,400 cases of </w:t>
      </w:r>
      <w:r w:rsidR="006C2B33">
        <w:rPr>
          <w:rFonts w:ascii="Arial" w:hAnsi="Arial" w:cs="Arial"/>
          <w:sz w:val="22"/>
          <w:szCs w:val="22"/>
        </w:rPr>
        <w:t>the disease</w:t>
      </w:r>
      <w:r w:rsidR="006C2B33" w:rsidRPr="007247E6">
        <w:rPr>
          <w:rFonts w:ascii="Arial" w:hAnsi="Arial" w:cs="Arial"/>
          <w:sz w:val="22"/>
          <w:szCs w:val="22"/>
        </w:rPr>
        <w:t>. NPIs and social distancing measures</w:t>
      </w:r>
      <w:r w:rsidR="006C2B33" w:rsidRPr="007247E6">
        <w:rPr>
          <w:rStyle w:val="FootnoteReference"/>
          <w:rFonts w:ascii="Arial" w:hAnsi="Arial" w:cs="Arial"/>
          <w:sz w:val="22"/>
          <w:szCs w:val="22"/>
        </w:rPr>
        <w:footnoteReference w:id="4"/>
      </w:r>
      <w:r w:rsidR="006C2B33" w:rsidRPr="007247E6">
        <w:rPr>
          <w:rFonts w:ascii="Arial" w:hAnsi="Arial" w:cs="Arial"/>
          <w:sz w:val="22"/>
          <w:szCs w:val="22"/>
        </w:rPr>
        <w:t>, together with the promotion of institutional quarantine for contacts of confirmed cases and suspected cases, have contributed to slow the spread of the virus in the country. Presently, the infection’s effective reproductive number (R</w:t>
      </w:r>
      <w:r w:rsidR="006C2B33" w:rsidRPr="007247E6">
        <w:rPr>
          <w:rFonts w:ascii="Arial" w:hAnsi="Arial" w:cs="Arial"/>
          <w:sz w:val="22"/>
          <w:szCs w:val="22"/>
          <w:vertAlign w:val="subscript"/>
        </w:rPr>
        <w:t>e</w:t>
      </w:r>
      <w:r w:rsidR="006C2B33" w:rsidRPr="007247E6">
        <w:rPr>
          <w:rFonts w:ascii="Arial" w:hAnsi="Arial" w:cs="Arial"/>
          <w:sz w:val="22"/>
          <w:szCs w:val="22"/>
        </w:rPr>
        <w:t>) is estimated at 1.4</w:t>
      </w:r>
      <w:r w:rsidR="006C2B33" w:rsidRPr="007247E6">
        <w:rPr>
          <w:rStyle w:val="FootnoteReference"/>
          <w:rFonts w:ascii="Arial" w:hAnsi="Arial" w:cs="Arial"/>
          <w:sz w:val="22"/>
          <w:szCs w:val="22"/>
        </w:rPr>
        <w:footnoteReference w:id="5"/>
      </w:r>
      <w:r w:rsidR="006C2B33" w:rsidRPr="007247E6">
        <w:rPr>
          <w:rFonts w:ascii="Arial" w:hAnsi="Arial" w:cs="Arial"/>
          <w:sz w:val="22"/>
          <w:szCs w:val="22"/>
        </w:rPr>
        <w:t xml:space="preserve">. </w:t>
      </w:r>
      <w:r w:rsidR="006C2B33">
        <w:rPr>
          <w:rFonts w:ascii="Arial" w:hAnsi="Arial" w:cs="Arial"/>
          <w:sz w:val="22"/>
          <w:szCs w:val="22"/>
        </w:rPr>
        <w:t>On June 18, the country began a six-phase reopening plan</w:t>
      </w:r>
      <w:r w:rsidR="006C2B33">
        <w:rPr>
          <w:rStyle w:val="FootnoteReference"/>
          <w:rFonts w:ascii="Arial" w:hAnsi="Arial" w:cs="Arial"/>
          <w:sz w:val="22"/>
          <w:szCs w:val="22"/>
        </w:rPr>
        <w:footnoteReference w:id="6"/>
      </w:r>
      <w:r w:rsidR="006C2B33">
        <w:rPr>
          <w:rFonts w:ascii="Arial" w:hAnsi="Arial" w:cs="Arial"/>
          <w:sz w:val="22"/>
          <w:szCs w:val="22"/>
        </w:rPr>
        <w:t xml:space="preserve">. As the country begins to lift </w:t>
      </w:r>
      <w:r w:rsidR="006C2B33" w:rsidRPr="007247E6">
        <w:rPr>
          <w:rFonts w:ascii="Arial" w:hAnsi="Arial" w:cs="Arial"/>
          <w:sz w:val="22"/>
          <w:szCs w:val="22"/>
        </w:rPr>
        <w:t>NPIs and social distancing measures</w:t>
      </w:r>
      <w:r w:rsidR="006C2B33">
        <w:rPr>
          <w:rFonts w:ascii="Arial" w:hAnsi="Arial" w:cs="Arial"/>
          <w:sz w:val="22"/>
          <w:szCs w:val="22"/>
        </w:rPr>
        <w:t xml:space="preserve">, the </w:t>
      </w:r>
      <w:r w:rsidR="006C2B33" w:rsidRPr="007247E6">
        <w:rPr>
          <w:rFonts w:ascii="Arial" w:hAnsi="Arial" w:cs="Arial"/>
          <w:sz w:val="22"/>
          <w:szCs w:val="22"/>
        </w:rPr>
        <w:t>R</w:t>
      </w:r>
      <w:r w:rsidR="006C2B33" w:rsidRPr="007247E6">
        <w:rPr>
          <w:rFonts w:ascii="Arial" w:hAnsi="Arial" w:cs="Arial"/>
          <w:sz w:val="22"/>
          <w:szCs w:val="22"/>
          <w:vertAlign w:val="subscript"/>
        </w:rPr>
        <w:t>e</w:t>
      </w:r>
      <w:r w:rsidR="006C2B33" w:rsidRPr="007247E6">
        <w:rPr>
          <w:rFonts w:ascii="Arial" w:hAnsi="Arial" w:cs="Arial"/>
          <w:sz w:val="22"/>
          <w:szCs w:val="22"/>
        </w:rPr>
        <w:t xml:space="preserve"> </w:t>
      </w:r>
      <w:r w:rsidR="006C2B33">
        <w:rPr>
          <w:rFonts w:ascii="Arial" w:hAnsi="Arial" w:cs="Arial"/>
          <w:sz w:val="22"/>
          <w:szCs w:val="22"/>
        </w:rPr>
        <w:t>is expected to gradually start rising</w:t>
      </w:r>
      <w:bookmarkEnd w:id="6"/>
      <w:r w:rsidR="006C2B33" w:rsidRPr="007247E6">
        <w:rPr>
          <w:rStyle w:val="FootnoteReference"/>
          <w:rFonts w:ascii="Arial" w:hAnsi="Arial" w:cs="Arial"/>
          <w:sz w:val="22"/>
          <w:szCs w:val="22"/>
        </w:rPr>
        <w:footnoteReference w:id="7"/>
      </w:r>
      <w:r w:rsidRPr="007247E6">
        <w:rPr>
          <w:rFonts w:ascii="Arial" w:hAnsi="Arial" w:cs="Arial"/>
          <w:sz w:val="22"/>
          <w:szCs w:val="22"/>
        </w:rPr>
        <w:t xml:space="preserve">. </w:t>
      </w:r>
      <w:r w:rsidR="00617868" w:rsidRPr="00B81BBB">
        <w:rPr>
          <w:rFonts w:ascii="Arial" w:hAnsi="Arial" w:cs="Arial"/>
          <w:sz w:val="22"/>
          <w:szCs w:val="22"/>
          <w:highlight w:val="lightGray"/>
        </w:rPr>
        <w:t xml:space="preserve"> </w:t>
      </w:r>
    </w:p>
    <w:p w14:paraId="47D33BAB" w14:textId="00DC59EC" w:rsidR="00617868" w:rsidRPr="00B81BBB" w:rsidRDefault="006C2B33" w:rsidP="00617868">
      <w:pPr>
        <w:pStyle w:val="Paragraph"/>
        <w:numPr>
          <w:ilvl w:val="1"/>
          <w:numId w:val="13"/>
        </w:numPr>
        <w:tabs>
          <w:tab w:val="clear" w:pos="2448"/>
          <w:tab w:val="num" w:pos="720"/>
        </w:tabs>
        <w:ind w:left="720" w:hanging="720"/>
        <w:rPr>
          <w:rFonts w:ascii="Arial" w:hAnsi="Arial" w:cs="Arial"/>
          <w:sz w:val="22"/>
          <w:szCs w:val="22"/>
        </w:rPr>
      </w:pPr>
      <w:bookmarkStart w:id="7" w:name="_Hlk42964298"/>
      <w:r>
        <w:rPr>
          <w:rFonts w:ascii="Arial" w:hAnsi="Arial" w:cs="Arial"/>
          <w:sz w:val="22"/>
          <w:szCs w:val="22"/>
        </w:rPr>
        <w:t xml:space="preserve">Although </w:t>
      </w:r>
      <w:r w:rsidRPr="009267DB">
        <w:rPr>
          <w:rFonts w:ascii="Arial" w:hAnsi="Arial" w:cs="Arial"/>
          <w:sz w:val="22"/>
          <w:szCs w:val="22"/>
        </w:rPr>
        <w:t xml:space="preserve">Guyana’s operational capacity to manage a pandemic </w:t>
      </w:r>
      <w:r>
        <w:rPr>
          <w:rFonts w:ascii="Arial" w:hAnsi="Arial" w:cs="Arial"/>
          <w:sz w:val="22"/>
          <w:szCs w:val="22"/>
        </w:rPr>
        <w:t>is</w:t>
      </w:r>
      <w:r w:rsidRPr="00550F2A">
        <w:rPr>
          <w:rFonts w:ascii="Arial" w:hAnsi="Arial" w:cs="Arial"/>
          <w:sz w:val="22"/>
          <w:szCs w:val="22"/>
        </w:rPr>
        <w:t xml:space="preserve"> </w:t>
      </w:r>
      <w:r w:rsidRPr="009267DB">
        <w:rPr>
          <w:rFonts w:ascii="Arial" w:hAnsi="Arial" w:cs="Arial"/>
          <w:sz w:val="22"/>
          <w:szCs w:val="22"/>
        </w:rPr>
        <w:t xml:space="preserve">classified </w:t>
      </w:r>
      <w:r>
        <w:rPr>
          <w:rFonts w:ascii="Arial" w:hAnsi="Arial" w:cs="Arial"/>
          <w:sz w:val="22"/>
          <w:szCs w:val="22"/>
        </w:rPr>
        <w:t xml:space="preserve">as </w:t>
      </w:r>
      <w:r w:rsidRPr="009267DB">
        <w:rPr>
          <w:rFonts w:ascii="Arial" w:hAnsi="Arial" w:cs="Arial"/>
          <w:sz w:val="22"/>
          <w:szCs w:val="22"/>
        </w:rPr>
        <w:t xml:space="preserve">medium </w:t>
      </w:r>
      <w:r>
        <w:rPr>
          <w:rFonts w:ascii="Arial" w:hAnsi="Arial" w:cs="Arial"/>
          <w:sz w:val="22"/>
          <w:szCs w:val="22"/>
        </w:rPr>
        <w:t>(</w:t>
      </w:r>
      <w:r w:rsidRPr="009267DB">
        <w:rPr>
          <w:rFonts w:ascii="Arial" w:hAnsi="Arial" w:cs="Arial"/>
          <w:sz w:val="22"/>
          <w:szCs w:val="22"/>
        </w:rPr>
        <w:t>level 3</w:t>
      </w:r>
      <w:r>
        <w:rPr>
          <w:rFonts w:ascii="Arial" w:hAnsi="Arial" w:cs="Arial"/>
          <w:sz w:val="22"/>
          <w:szCs w:val="22"/>
        </w:rPr>
        <w:t xml:space="preserve">) by the </w:t>
      </w:r>
      <w:r w:rsidRPr="009267DB">
        <w:rPr>
          <w:rFonts w:ascii="Arial" w:hAnsi="Arial" w:cs="Arial"/>
          <w:sz w:val="22"/>
          <w:szCs w:val="22"/>
        </w:rPr>
        <w:t>WHO</w:t>
      </w:r>
      <w:r>
        <w:rPr>
          <w:rFonts w:ascii="Arial" w:hAnsi="Arial" w:cs="Arial"/>
          <w:sz w:val="22"/>
          <w:szCs w:val="22"/>
        </w:rPr>
        <w:t>,</w:t>
      </w:r>
      <w:r w:rsidRPr="009267DB">
        <w:rPr>
          <w:rFonts w:ascii="Arial" w:hAnsi="Arial" w:cs="Arial"/>
          <w:sz w:val="22"/>
          <w:szCs w:val="22"/>
        </w:rPr>
        <w:t xml:space="preserve"> </w:t>
      </w:r>
      <w:r>
        <w:rPr>
          <w:rFonts w:ascii="Arial" w:hAnsi="Arial" w:cs="Arial"/>
          <w:sz w:val="22"/>
          <w:szCs w:val="22"/>
        </w:rPr>
        <w:t>t</w:t>
      </w:r>
      <w:r w:rsidRPr="009267DB">
        <w:rPr>
          <w:rFonts w:ascii="Arial" w:hAnsi="Arial" w:cs="Arial"/>
          <w:sz w:val="22"/>
          <w:szCs w:val="22"/>
        </w:rPr>
        <w:t xml:space="preserve">he country faces many challenges regarding its immediate public health response. </w:t>
      </w:r>
      <w:bookmarkEnd w:id="7"/>
      <w:r w:rsidRPr="009267DB">
        <w:rPr>
          <w:rFonts w:ascii="Arial" w:hAnsi="Arial" w:cs="Arial"/>
          <w:sz w:val="22"/>
          <w:szCs w:val="22"/>
        </w:rPr>
        <w:t xml:space="preserve">To respond to these challenges, </w:t>
      </w:r>
      <w:r>
        <w:rPr>
          <w:rFonts w:ascii="Arial" w:hAnsi="Arial" w:cs="Arial"/>
          <w:sz w:val="22"/>
          <w:szCs w:val="22"/>
        </w:rPr>
        <w:t xml:space="preserve">the </w:t>
      </w:r>
      <w:r w:rsidRPr="009267DB">
        <w:rPr>
          <w:rFonts w:ascii="Arial" w:hAnsi="Arial" w:cs="Arial"/>
          <w:sz w:val="22"/>
          <w:szCs w:val="22"/>
        </w:rPr>
        <w:t xml:space="preserve">WHO has prepared guidelines for drafting a </w:t>
      </w:r>
      <w:bookmarkStart w:id="8" w:name="_Hlk41657582"/>
      <w:r w:rsidRPr="009267DB">
        <w:rPr>
          <w:rFonts w:ascii="Arial" w:hAnsi="Arial" w:cs="Arial"/>
          <w:sz w:val="22"/>
          <w:szCs w:val="22"/>
        </w:rPr>
        <w:t xml:space="preserve">COVID-19 Strategic Preparedness and Response Plan (SPRP) </w:t>
      </w:r>
      <w:bookmarkEnd w:id="8"/>
      <w:r w:rsidRPr="009267DB">
        <w:rPr>
          <w:rFonts w:ascii="Arial" w:hAnsi="Arial" w:cs="Arial"/>
          <w:sz w:val="22"/>
          <w:szCs w:val="22"/>
        </w:rPr>
        <w:t>(optional link 4).</w:t>
      </w:r>
      <w:r>
        <w:rPr>
          <w:rStyle w:val="FootnoteReference"/>
          <w:rFonts w:ascii="Arial" w:hAnsi="Arial" w:cs="Arial"/>
          <w:sz w:val="22"/>
          <w:szCs w:val="22"/>
        </w:rPr>
        <w:footnoteReference w:id="8"/>
      </w:r>
      <w:r w:rsidRPr="009267DB">
        <w:rPr>
          <w:rFonts w:ascii="Arial" w:hAnsi="Arial" w:cs="Arial"/>
          <w:sz w:val="22"/>
          <w:szCs w:val="22"/>
        </w:rPr>
        <w:t xml:space="preserve"> </w:t>
      </w:r>
      <w:bookmarkStart w:id="9" w:name="_Hlk42964404"/>
      <w:r w:rsidRPr="009267DB">
        <w:rPr>
          <w:rFonts w:ascii="Arial" w:hAnsi="Arial" w:cs="Arial"/>
          <w:sz w:val="22"/>
          <w:szCs w:val="22"/>
        </w:rPr>
        <w:t xml:space="preserve">Moreover, the Pan American Health </w:t>
      </w:r>
      <w:r w:rsidRPr="009267DB">
        <w:rPr>
          <w:rFonts w:ascii="Arial" w:hAnsi="Arial" w:cs="Arial"/>
          <w:sz w:val="22"/>
          <w:szCs w:val="22"/>
        </w:rPr>
        <w:lastRenderedPageBreak/>
        <w:t xml:space="preserve">Organization (PAHO) and the Caribbean Public Health Agency (CARPHA) are leading technical support initiatives to help the region’s governments prepare their own SPRPs, including priorities, actions, and financing needs. In Guyana, the plan was prepared with </w:t>
      </w:r>
      <w:r w:rsidRPr="003A0B30">
        <w:rPr>
          <w:rFonts w:ascii="Arial" w:hAnsi="Arial" w:cs="Arial"/>
          <w:sz w:val="22"/>
          <w:szCs w:val="22"/>
        </w:rPr>
        <w:t>support from PAHO</w:t>
      </w:r>
      <w:r w:rsidRPr="009267DB">
        <w:rPr>
          <w:rFonts w:ascii="Arial" w:hAnsi="Arial" w:cs="Arial"/>
          <w:sz w:val="22"/>
          <w:szCs w:val="22"/>
        </w:rPr>
        <w:t xml:space="preserve"> and validated by all sector stakeholders.</w:t>
      </w:r>
      <w:bookmarkEnd w:id="5"/>
      <w:bookmarkEnd w:id="9"/>
      <w:r w:rsidR="00617868" w:rsidRPr="00B81BBB">
        <w:rPr>
          <w:rFonts w:ascii="Arial" w:hAnsi="Arial" w:cs="Arial"/>
          <w:sz w:val="22"/>
          <w:szCs w:val="22"/>
        </w:rPr>
        <w:t xml:space="preserve"> </w:t>
      </w:r>
    </w:p>
    <w:p w14:paraId="5860A490" w14:textId="6C6DA287" w:rsidR="006C2B33" w:rsidRPr="0096622F" w:rsidRDefault="006C2B33" w:rsidP="00AB7593">
      <w:pPr>
        <w:pStyle w:val="Paragraph"/>
        <w:numPr>
          <w:ilvl w:val="1"/>
          <w:numId w:val="13"/>
        </w:numPr>
        <w:tabs>
          <w:tab w:val="clear" w:pos="2448"/>
          <w:tab w:val="num" w:pos="720"/>
        </w:tabs>
        <w:ind w:left="720" w:hanging="720"/>
      </w:pPr>
      <w:r w:rsidRPr="006C2B33">
        <w:rPr>
          <w:rFonts w:ascii="Arial" w:hAnsi="Arial" w:cs="Arial"/>
          <w:b/>
          <w:bCs/>
          <w:sz w:val="22"/>
          <w:szCs w:val="22"/>
        </w:rPr>
        <w:t xml:space="preserve">Guyana’s </w:t>
      </w:r>
      <w:r w:rsidR="00617868" w:rsidRPr="006C2B33">
        <w:rPr>
          <w:rFonts w:ascii="Arial" w:hAnsi="Arial" w:cs="Arial"/>
          <w:b/>
          <w:sz w:val="22"/>
          <w:szCs w:val="22"/>
        </w:rPr>
        <w:t>financial vulnerability</w:t>
      </w:r>
      <w:r>
        <w:rPr>
          <w:rFonts w:ascii="Arial" w:hAnsi="Arial" w:cs="Arial"/>
          <w:b/>
          <w:sz w:val="22"/>
          <w:szCs w:val="22"/>
        </w:rPr>
        <w:t xml:space="preserve">. </w:t>
      </w:r>
      <w:r w:rsidRPr="006C2B33">
        <w:rPr>
          <w:rFonts w:ascii="Arial" w:hAnsi="Arial" w:cs="Arial"/>
          <w:sz w:val="22"/>
          <w:szCs w:val="22"/>
        </w:rPr>
        <w:t>Guyana is a small, open, commodity-based economy. The country’s population is approximately 782,000 with a GDP per capita of US$ 4,650, placing Guyana 19th out of 26 countries in LAC and last among Caribbean countries. In 2019, before the coronavirus pandemic, GDP grew approximately 4.7 percent, higher than in previous years (2.1 percent in 2017 and 4.1 percent in 2018).</w:t>
      </w:r>
      <w:r w:rsidRPr="0096622F">
        <w:rPr>
          <w:rStyle w:val="FootnoteReference"/>
          <w:rFonts w:ascii="Arial" w:hAnsi="Arial" w:cs="Arial"/>
          <w:sz w:val="22"/>
          <w:szCs w:val="22"/>
        </w:rPr>
        <w:footnoteReference w:id="9"/>
      </w:r>
      <w:r w:rsidRPr="006C2B33">
        <w:rPr>
          <w:rFonts w:ascii="Arial" w:hAnsi="Arial" w:cs="Arial"/>
          <w:sz w:val="22"/>
          <w:szCs w:val="22"/>
        </w:rPr>
        <w:t xml:space="preserve"> These expansions reflect areas affected by increased economic activity as both the public and private sector prepared for the beginning of oil production, which began in December 2019. Currently, the largest sectors of the Guyanese economy are agriculture and mining, representing almost 30% of GDP and more than 90% of exports. After 2020, oil production is expected to become the largest productive sector. Despite low oil prices and the coronavirus pandemic, oil exports are expected to reach US$ 1.3 billion in 2020 and macroeconomic outlook remains positive. However, Guyana’s economic growth will likely be lower than expected</w:t>
      </w:r>
      <w:r w:rsidRPr="0096622F">
        <w:rPr>
          <w:rStyle w:val="FootnoteReference"/>
          <w:rFonts w:ascii="Arial" w:hAnsi="Arial" w:cs="Arial"/>
          <w:sz w:val="22"/>
          <w:szCs w:val="22"/>
        </w:rPr>
        <w:footnoteReference w:id="10"/>
      </w:r>
      <w:r w:rsidRPr="006C2B33">
        <w:rPr>
          <w:rFonts w:ascii="Arial" w:hAnsi="Arial" w:cs="Arial"/>
          <w:sz w:val="22"/>
          <w:szCs w:val="22"/>
        </w:rPr>
        <w:t>. With the commencement of oil exports, fiscal deficit is expected to be -0.28% in 2020 and -1.66 in 2021.</w:t>
      </w:r>
      <w:r w:rsidRPr="0096622F">
        <w:rPr>
          <w:rStyle w:val="FootnoteReference"/>
          <w:rFonts w:ascii="Arial" w:hAnsi="Arial" w:cs="Arial"/>
          <w:sz w:val="22"/>
          <w:szCs w:val="22"/>
        </w:rPr>
        <w:footnoteReference w:id="11"/>
      </w:r>
      <w:r w:rsidRPr="006C2B33">
        <w:rPr>
          <w:rFonts w:ascii="Arial" w:hAnsi="Arial" w:cs="Arial"/>
          <w:sz w:val="22"/>
          <w:szCs w:val="22"/>
        </w:rPr>
        <w:t xml:space="preserve"> </w:t>
      </w:r>
    </w:p>
    <w:p w14:paraId="0DA4E5AB" w14:textId="4500FA45" w:rsidR="00617868" w:rsidRPr="006C2B33" w:rsidRDefault="006C2B33" w:rsidP="006C2B33">
      <w:pPr>
        <w:pStyle w:val="Paragraph"/>
        <w:numPr>
          <w:ilvl w:val="1"/>
          <w:numId w:val="13"/>
        </w:numPr>
        <w:tabs>
          <w:tab w:val="clear" w:pos="2448"/>
          <w:tab w:val="num" w:pos="720"/>
        </w:tabs>
        <w:ind w:left="720" w:hanging="720"/>
        <w:rPr>
          <w:rFonts w:ascii="Arial" w:hAnsi="Arial" w:cs="Arial"/>
          <w:sz w:val="22"/>
          <w:szCs w:val="22"/>
        </w:rPr>
      </w:pPr>
      <w:r w:rsidRPr="009252D2">
        <w:rPr>
          <w:rFonts w:ascii="Arial" w:hAnsi="Arial" w:cs="Arial"/>
          <w:sz w:val="22"/>
          <w:szCs w:val="22"/>
        </w:rPr>
        <w:t xml:space="preserve">Early financial liquidity is important during the emergency response phase, as the overall costs of the emergency can dramatically increase the longer it takes to organize a comprehensive response. </w:t>
      </w:r>
      <w:r>
        <w:rPr>
          <w:rFonts w:ascii="Arial" w:hAnsi="Arial" w:cs="Arial"/>
          <w:sz w:val="22"/>
          <w:szCs w:val="22"/>
        </w:rPr>
        <w:t>I</w:t>
      </w:r>
      <w:r w:rsidRPr="00AB5831">
        <w:rPr>
          <w:rFonts w:ascii="Arial" w:hAnsi="Arial" w:cs="Arial"/>
          <w:sz w:val="22"/>
          <w:szCs w:val="22"/>
        </w:rPr>
        <w:t>n the context of a recent marked drop in average oil prices</w:t>
      </w:r>
      <w:r>
        <w:rPr>
          <w:rFonts w:ascii="Arial" w:hAnsi="Arial" w:cs="Arial"/>
          <w:sz w:val="22"/>
          <w:szCs w:val="22"/>
        </w:rPr>
        <w:t xml:space="preserve"> and increased market volatility</w:t>
      </w:r>
      <w:r w:rsidRPr="00AB5831">
        <w:rPr>
          <w:rFonts w:ascii="Arial" w:hAnsi="Arial" w:cs="Arial"/>
          <w:sz w:val="22"/>
          <w:szCs w:val="22"/>
        </w:rPr>
        <w:t xml:space="preserve">, the trajectory of oil-related revenue growth will be </w:t>
      </w:r>
      <w:r>
        <w:rPr>
          <w:rFonts w:ascii="Arial" w:hAnsi="Arial" w:cs="Arial"/>
          <w:sz w:val="22"/>
          <w:szCs w:val="22"/>
        </w:rPr>
        <w:t>uncertain and lower than previously estimated. Even though g</w:t>
      </w:r>
      <w:r w:rsidRPr="00AB5831">
        <w:rPr>
          <w:rFonts w:ascii="Arial" w:hAnsi="Arial" w:cs="Arial"/>
          <w:sz w:val="22"/>
          <w:szCs w:val="22"/>
        </w:rPr>
        <w:t>overnment revenues are expected to grow by 12.8% in 2020, new incoming oil revenues are channeled to the recently created Natural Resource Fund (NRF)</w:t>
      </w:r>
      <w:r>
        <w:rPr>
          <w:rFonts w:ascii="Arial" w:hAnsi="Arial" w:cs="Arial"/>
          <w:sz w:val="22"/>
          <w:szCs w:val="22"/>
        </w:rPr>
        <w:t xml:space="preserve"> and subject to restrictions</w:t>
      </w:r>
      <w:r w:rsidRPr="00AB5831">
        <w:rPr>
          <w:rFonts w:ascii="Arial" w:hAnsi="Arial" w:cs="Arial"/>
          <w:sz w:val="22"/>
          <w:szCs w:val="22"/>
        </w:rPr>
        <w:t>.</w:t>
      </w:r>
      <w:r w:rsidRPr="00AB5831">
        <w:rPr>
          <w:rStyle w:val="FootnoteReference"/>
          <w:rFonts w:ascii="Arial" w:hAnsi="Arial" w:cs="Arial"/>
          <w:sz w:val="22"/>
          <w:szCs w:val="22"/>
        </w:rPr>
        <w:footnoteReference w:id="12"/>
      </w:r>
      <w:r w:rsidRPr="00AB5831">
        <w:rPr>
          <w:rFonts w:ascii="Arial" w:hAnsi="Arial" w:cs="Arial"/>
          <w:sz w:val="22"/>
          <w:szCs w:val="22"/>
        </w:rPr>
        <w:t xml:space="preserve"> </w:t>
      </w:r>
      <w:r w:rsidRPr="00AB5831">
        <w:rPr>
          <w:rStyle w:val="FootnoteReference"/>
          <w:rFonts w:ascii="Arial" w:hAnsi="Arial" w:cs="Arial"/>
          <w:sz w:val="22"/>
          <w:szCs w:val="22"/>
        </w:rPr>
        <w:footnoteReference w:id="13"/>
      </w:r>
      <w:r w:rsidRPr="002D546A">
        <w:rPr>
          <w:rFonts w:ascii="Arial" w:hAnsi="Arial" w:cs="Arial"/>
          <w:sz w:val="22"/>
          <w:szCs w:val="22"/>
        </w:rPr>
        <w:t xml:space="preserve"> F</w:t>
      </w:r>
      <w:r>
        <w:rPr>
          <w:rFonts w:ascii="Arial" w:hAnsi="Arial" w:cs="Arial"/>
          <w:sz w:val="22"/>
          <w:szCs w:val="22"/>
        </w:rPr>
        <w:t>urthermore, f</w:t>
      </w:r>
      <w:r w:rsidRPr="002D546A">
        <w:rPr>
          <w:rFonts w:ascii="Arial" w:hAnsi="Arial" w:cs="Arial"/>
          <w:sz w:val="22"/>
          <w:szCs w:val="22"/>
        </w:rPr>
        <w:t>iscal policy</w:t>
      </w:r>
      <w:r>
        <w:rPr>
          <w:rFonts w:ascii="Arial" w:hAnsi="Arial" w:cs="Arial"/>
          <w:sz w:val="22"/>
          <w:szCs w:val="22"/>
        </w:rPr>
        <w:t>,</w:t>
      </w:r>
      <w:r w:rsidRPr="002D546A">
        <w:rPr>
          <w:rFonts w:ascii="Arial" w:hAnsi="Arial" w:cs="Arial"/>
          <w:sz w:val="22"/>
          <w:szCs w:val="22"/>
        </w:rPr>
        <w:t xml:space="preserve"> </w:t>
      </w:r>
      <w:r>
        <w:rPr>
          <w:rFonts w:ascii="Arial" w:hAnsi="Arial" w:cs="Arial"/>
          <w:sz w:val="22"/>
          <w:szCs w:val="22"/>
        </w:rPr>
        <w:t xml:space="preserve">as well as access to NRF resources, </w:t>
      </w:r>
      <w:r w:rsidRPr="002D546A">
        <w:rPr>
          <w:rFonts w:ascii="Arial" w:hAnsi="Arial" w:cs="Arial"/>
          <w:sz w:val="22"/>
          <w:szCs w:val="22"/>
        </w:rPr>
        <w:t xml:space="preserve">is currently </w:t>
      </w:r>
      <w:r>
        <w:rPr>
          <w:rFonts w:ascii="Arial" w:hAnsi="Arial" w:cs="Arial"/>
          <w:sz w:val="22"/>
          <w:szCs w:val="22"/>
        </w:rPr>
        <w:t>uncertain</w:t>
      </w:r>
      <w:r w:rsidRPr="002D546A">
        <w:rPr>
          <w:rFonts w:ascii="Arial" w:hAnsi="Arial" w:cs="Arial"/>
          <w:sz w:val="22"/>
          <w:szCs w:val="22"/>
        </w:rPr>
        <w:t xml:space="preserve"> given the state of the political economy, constraining the government’s financing capacity to respond to the public health emergency.</w:t>
      </w:r>
      <w:r w:rsidRPr="00AB5831">
        <w:rPr>
          <w:rStyle w:val="FootnoteReference"/>
          <w:rFonts w:ascii="Arial" w:hAnsi="Arial" w:cs="Arial"/>
          <w:sz w:val="22"/>
          <w:szCs w:val="22"/>
        </w:rPr>
        <w:footnoteReference w:id="14"/>
      </w:r>
      <w:r w:rsidRPr="002D546A">
        <w:rPr>
          <w:rFonts w:ascii="Arial" w:hAnsi="Arial" w:cs="Arial"/>
          <w:sz w:val="22"/>
          <w:szCs w:val="22"/>
        </w:rPr>
        <w:t xml:space="preserve"> The</w:t>
      </w:r>
      <w:r>
        <w:rPr>
          <w:rFonts w:ascii="Arial" w:hAnsi="Arial" w:cs="Arial"/>
          <w:sz w:val="22"/>
          <w:szCs w:val="22"/>
        </w:rPr>
        <w:t>refore, the</w:t>
      </w:r>
      <w:r w:rsidRPr="002D546A">
        <w:rPr>
          <w:rFonts w:ascii="Arial" w:hAnsi="Arial" w:cs="Arial"/>
          <w:sz w:val="22"/>
          <w:szCs w:val="22"/>
        </w:rPr>
        <w:t xml:space="preserve"> availability of funds provided by this operation </w:t>
      </w:r>
      <w:r>
        <w:rPr>
          <w:rFonts w:ascii="Arial" w:hAnsi="Arial" w:cs="Arial"/>
          <w:sz w:val="22"/>
          <w:szCs w:val="22"/>
        </w:rPr>
        <w:t>will contribute to</w:t>
      </w:r>
      <w:r w:rsidRPr="002D546A">
        <w:rPr>
          <w:rFonts w:ascii="Arial" w:hAnsi="Arial" w:cs="Arial"/>
          <w:sz w:val="22"/>
          <w:szCs w:val="22"/>
        </w:rPr>
        <w:t xml:space="preserve"> ease the liquidity pressures that the country is facing as a result of increased unplanned expenditures </w:t>
      </w:r>
      <w:r>
        <w:rPr>
          <w:rFonts w:ascii="Arial" w:hAnsi="Arial" w:cs="Arial"/>
          <w:sz w:val="22"/>
          <w:szCs w:val="22"/>
        </w:rPr>
        <w:t xml:space="preserve">to face the COVID-19 pandemic outbreak, and thus </w:t>
      </w:r>
      <w:r w:rsidRPr="00475A3B">
        <w:rPr>
          <w:rFonts w:ascii="Arial" w:hAnsi="Arial" w:cs="Arial"/>
          <w:sz w:val="22"/>
          <w:szCs w:val="22"/>
        </w:rPr>
        <w:t>will allow a faster implementation</w:t>
      </w:r>
      <w:r>
        <w:rPr>
          <w:rFonts w:ascii="Arial" w:hAnsi="Arial" w:cs="Arial"/>
          <w:sz w:val="22"/>
          <w:szCs w:val="22"/>
        </w:rPr>
        <w:t xml:space="preserve"> of</w:t>
      </w:r>
      <w:r w:rsidRPr="00475A3B">
        <w:rPr>
          <w:rFonts w:ascii="Arial" w:hAnsi="Arial" w:cs="Arial"/>
          <w:sz w:val="22"/>
          <w:szCs w:val="22"/>
        </w:rPr>
        <w:t xml:space="preserve"> </w:t>
      </w:r>
      <w:r w:rsidRPr="002D546A">
        <w:rPr>
          <w:rFonts w:ascii="Arial" w:hAnsi="Arial" w:cs="Arial"/>
          <w:sz w:val="22"/>
          <w:szCs w:val="22"/>
        </w:rPr>
        <w:t>immediate health response measures</w:t>
      </w:r>
      <w:r>
        <w:rPr>
          <w:rFonts w:ascii="Arial" w:hAnsi="Arial" w:cs="Arial"/>
          <w:sz w:val="22"/>
          <w:szCs w:val="22"/>
        </w:rPr>
        <w:t>.</w:t>
      </w:r>
    </w:p>
    <w:p w14:paraId="0A0B7CBC" w14:textId="75E0E358" w:rsidR="00617868" w:rsidRPr="00B81BBB" w:rsidRDefault="002E4CD4" w:rsidP="00617868">
      <w:pPr>
        <w:pStyle w:val="Paragraph"/>
        <w:numPr>
          <w:ilvl w:val="1"/>
          <w:numId w:val="13"/>
        </w:numPr>
        <w:tabs>
          <w:tab w:val="clear" w:pos="2448"/>
          <w:tab w:val="num" w:pos="720"/>
        </w:tabs>
        <w:ind w:left="720" w:hanging="720"/>
        <w:rPr>
          <w:rFonts w:ascii="Arial" w:hAnsi="Arial" w:cs="Arial"/>
          <w:sz w:val="22"/>
          <w:szCs w:val="22"/>
        </w:rPr>
      </w:pPr>
      <w:r w:rsidRPr="00CB20E3">
        <w:rPr>
          <w:rFonts w:ascii="Arial" w:hAnsi="Arial" w:cs="Arial"/>
          <w:sz w:val="22"/>
          <w:szCs w:val="22"/>
        </w:rPr>
        <w:t xml:space="preserve">The costs of the immediate emergency response will be borne by the public sector, primarily through expenditures incurred in the health sector to contain and control the Coronavirus and save lives in the very near term. Moreover, COVID-19 patients required specialized care and the resources needed for testing and treatment can be significant, particularly in low capacity countries. </w:t>
      </w:r>
      <w:r>
        <w:rPr>
          <w:rFonts w:ascii="Arial" w:hAnsi="Arial" w:cs="Arial"/>
          <w:sz w:val="22"/>
          <w:szCs w:val="22"/>
        </w:rPr>
        <w:t>In general, t</w:t>
      </w:r>
      <w:r w:rsidRPr="00CB20E3">
        <w:rPr>
          <w:rFonts w:ascii="Arial" w:hAnsi="Arial" w:cs="Arial"/>
          <w:sz w:val="22"/>
          <w:szCs w:val="22"/>
        </w:rPr>
        <w:t>he estimated resource requirements</w:t>
      </w:r>
      <w:r>
        <w:rPr>
          <w:rFonts w:ascii="Arial" w:hAnsi="Arial" w:cs="Arial"/>
          <w:sz w:val="22"/>
          <w:szCs w:val="22"/>
        </w:rPr>
        <w:t>,</w:t>
      </w:r>
      <w:r w:rsidRPr="00CB20E3">
        <w:rPr>
          <w:rFonts w:ascii="Arial" w:hAnsi="Arial" w:cs="Arial"/>
          <w:sz w:val="22"/>
          <w:szCs w:val="22"/>
        </w:rPr>
        <w:t xml:space="preserve"> includ</w:t>
      </w:r>
      <w:r>
        <w:rPr>
          <w:rFonts w:ascii="Arial" w:hAnsi="Arial" w:cs="Arial"/>
          <w:sz w:val="22"/>
          <w:szCs w:val="22"/>
        </w:rPr>
        <w:t>ing</w:t>
      </w:r>
      <w:r w:rsidRPr="00CB20E3">
        <w:rPr>
          <w:rFonts w:ascii="Arial" w:hAnsi="Arial" w:cs="Arial"/>
          <w:sz w:val="22"/>
          <w:szCs w:val="22"/>
        </w:rPr>
        <w:t xml:space="preserve"> essential supplies, and critical </w:t>
      </w:r>
      <w:r w:rsidRPr="00CB20E3">
        <w:rPr>
          <w:rFonts w:ascii="Arial" w:hAnsi="Arial" w:cs="Arial"/>
          <w:sz w:val="22"/>
          <w:szCs w:val="22"/>
        </w:rPr>
        <w:lastRenderedPageBreak/>
        <w:t>technical and operational support</w:t>
      </w:r>
      <w:r>
        <w:rPr>
          <w:rFonts w:ascii="Arial" w:hAnsi="Arial" w:cs="Arial"/>
          <w:sz w:val="22"/>
          <w:szCs w:val="22"/>
        </w:rPr>
        <w:t>,</w:t>
      </w:r>
      <w:r w:rsidRPr="00CB20E3">
        <w:rPr>
          <w:rFonts w:ascii="Arial" w:hAnsi="Arial" w:cs="Arial"/>
          <w:sz w:val="22"/>
          <w:szCs w:val="22"/>
        </w:rPr>
        <w:t xml:space="preserve"> for treating a COVID-19 cluster of transmission of up to 100 cases, during a period of 3 months, ranges from US$3.7 million to US$5.5 million.</w:t>
      </w:r>
      <w:r w:rsidRPr="00CB20E3">
        <w:rPr>
          <w:rStyle w:val="FootnoteReference"/>
          <w:rFonts w:ascii="Arial" w:hAnsi="Arial" w:cs="Arial"/>
          <w:sz w:val="22"/>
          <w:szCs w:val="22"/>
        </w:rPr>
        <w:footnoteReference w:id="15"/>
      </w:r>
      <w:r w:rsidRPr="00CB20E3">
        <w:rPr>
          <w:rFonts w:ascii="Arial" w:hAnsi="Arial" w:cs="Arial"/>
          <w:sz w:val="22"/>
          <w:szCs w:val="22"/>
        </w:rPr>
        <w:t xml:space="preserve"> </w:t>
      </w:r>
      <w:r>
        <w:rPr>
          <w:rFonts w:ascii="Arial" w:hAnsi="Arial" w:cs="Arial"/>
          <w:sz w:val="22"/>
          <w:szCs w:val="22"/>
        </w:rPr>
        <w:t>For the case of</w:t>
      </w:r>
      <w:r w:rsidRPr="0077523C">
        <w:rPr>
          <w:rFonts w:ascii="Arial" w:hAnsi="Arial" w:cs="Arial"/>
          <w:sz w:val="22"/>
          <w:szCs w:val="22"/>
        </w:rPr>
        <w:t xml:space="preserve"> Guyana, </w:t>
      </w:r>
      <w:r>
        <w:rPr>
          <w:rFonts w:ascii="Arial" w:hAnsi="Arial" w:cs="Arial"/>
          <w:sz w:val="22"/>
          <w:szCs w:val="22"/>
        </w:rPr>
        <w:t xml:space="preserve">the government </w:t>
      </w:r>
      <w:r w:rsidRPr="0077523C">
        <w:rPr>
          <w:rFonts w:ascii="Arial" w:hAnsi="Arial" w:cs="Arial"/>
          <w:sz w:val="22"/>
          <w:szCs w:val="22"/>
        </w:rPr>
        <w:t>with support from PAHO advisors, estimated a total budget of US$ 29 million for the implementation of strategic activities under each of the eight main areas or pillars of the COVID-19 response plan for a 6-month period.</w:t>
      </w:r>
      <w:r w:rsidRPr="0077523C">
        <w:rPr>
          <w:rStyle w:val="FootnoteReference"/>
          <w:rFonts w:ascii="Arial" w:hAnsi="Arial" w:cs="Arial"/>
          <w:sz w:val="22"/>
          <w:szCs w:val="22"/>
        </w:rPr>
        <w:footnoteReference w:id="16"/>
      </w:r>
      <w:r w:rsidR="00617868" w:rsidRPr="00B81BBB">
        <w:rPr>
          <w:rFonts w:ascii="Arial" w:hAnsi="Arial" w:cs="Arial"/>
          <w:sz w:val="22"/>
          <w:szCs w:val="22"/>
        </w:rPr>
        <w:t xml:space="preserve"> </w:t>
      </w:r>
    </w:p>
    <w:bookmarkEnd w:id="3"/>
    <w:p w14:paraId="75BCE0D5" w14:textId="7576E820" w:rsidR="00617868" w:rsidRPr="00B81BBB" w:rsidRDefault="00617868" w:rsidP="00617868">
      <w:pPr>
        <w:pStyle w:val="Paragraph"/>
        <w:numPr>
          <w:ilvl w:val="1"/>
          <w:numId w:val="13"/>
        </w:numPr>
        <w:tabs>
          <w:tab w:val="clear" w:pos="2448"/>
          <w:tab w:val="num" w:pos="720"/>
        </w:tabs>
        <w:ind w:left="720" w:hanging="720"/>
        <w:rPr>
          <w:rFonts w:ascii="Arial" w:hAnsi="Arial" w:cs="Arial"/>
          <w:sz w:val="22"/>
          <w:szCs w:val="22"/>
        </w:rPr>
      </w:pPr>
      <w:r w:rsidRPr="00B81BBB">
        <w:rPr>
          <w:rFonts w:ascii="Arial" w:hAnsi="Arial" w:cs="Arial"/>
          <w:b/>
          <w:bCs/>
          <w:sz w:val="22"/>
          <w:szCs w:val="22"/>
        </w:rPr>
        <w:t>Rationale.</w:t>
      </w:r>
      <w:r w:rsidRPr="00B81BBB">
        <w:rPr>
          <w:rFonts w:ascii="Arial" w:hAnsi="Arial" w:cs="Arial"/>
          <w:sz w:val="22"/>
          <w:szCs w:val="22"/>
        </w:rPr>
        <w:t xml:space="preserve"> In this challenging context,</w:t>
      </w:r>
      <w:r w:rsidRPr="00B81BBB">
        <w:rPr>
          <w:rFonts w:ascii="Arial" w:hAnsi="Arial" w:cs="Arial"/>
          <w:b/>
          <w:bCs/>
          <w:sz w:val="22"/>
          <w:szCs w:val="22"/>
        </w:rPr>
        <w:t xml:space="preserve"> </w:t>
      </w:r>
      <w:r w:rsidRPr="00B81BBB">
        <w:rPr>
          <w:rFonts w:ascii="Arial" w:hAnsi="Arial" w:cs="Arial"/>
          <w:sz w:val="22"/>
          <w:szCs w:val="22"/>
        </w:rPr>
        <w:t>while the government faces the challenge of strengthening the health system’s capacity to contain the transmission of the disease, it also confronts the financial and liquidity constraints that limit its capacity to close gaps in preparedness and response capacity. As the number of COVID-19 cases increases in the country, it is critical to ensure that the government has the funding to quickly implement early detection and containment measures to reduce contagion and control the outbreak.</w:t>
      </w:r>
      <w:r w:rsidRPr="00B81BBB">
        <w:rPr>
          <w:rStyle w:val="FootnoteReference"/>
          <w:rFonts w:ascii="Arial" w:hAnsi="Arial" w:cs="Arial"/>
          <w:sz w:val="22"/>
          <w:szCs w:val="22"/>
        </w:rPr>
        <w:footnoteReference w:id="17"/>
      </w:r>
      <w:r w:rsidRPr="00B81BBB">
        <w:rPr>
          <w:rFonts w:ascii="Arial" w:hAnsi="Arial" w:cs="Arial"/>
          <w:sz w:val="22"/>
          <w:szCs w:val="22"/>
        </w:rPr>
        <w:t xml:space="preserve"> Providing fast-access financing for emergency response not only saves lives, but also reduces the risk of even worse impact scenarios in terms of economic recovery and public finances because the overall costs of the health emergency can dramatically increase the longer it takes to organize a comprehensive response. For this reason, the Government of </w:t>
      </w:r>
      <w:r w:rsidR="006C2B33">
        <w:rPr>
          <w:rFonts w:ascii="Arial" w:hAnsi="Arial" w:cs="Arial"/>
          <w:sz w:val="22"/>
          <w:szCs w:val="22"/>
        </w:rPr>
        <w:t>Guyana</w:t>
      </w:r>
      <w:r w:rsidRPr="00B81BBB">
        <w:rPr>
          <w:rFonts w:ascii="Arial" w:hAnsi="Arial" w:cs="Arial"/>
          <w:sz w:val="22"/>
          <w:szCs w:val="22"/>
        </w:rPr>
        <w:t xml:space="preserve"> has requested the Bank’s support through a CCF loan with COVID-19 coverage that would provide significant financing to cover extraordinary public expenditures needed during the emergency response phase, while ensuring the efficient allocation of resources.</w:t>
      </w:r>
    </w:p>
    <w:p w14:paraId="0EB9E3AA" w14:textId="11D17D1A" w:rsidR="00D52A80" w:rsidRPr="00B81BBB" w:rsidRDefault="006C2B33" w:rsidP="00D52A80">
      <w:pPr>
        <w:pStyle w:val="Paragraph"/>
        <w:numPr>
          <w:ilvl w:val="1"/>
          <w:numId w:val="13"/>
        </w:numPr>
        <w:tabs>
          <w:tab w:val="clear" w:pos="2448"/>
          <w:tab w:val="num" w:pos="720"/>
        </w:tabs>
        <w:ind w:left="720" w:hanging="720"/>
        <w:rPr>
          <w:rFonts w:ascii="Arial" w:hAnsi="Arial" w:cs="Arial"/>
          <w:sz w:val="22"/>
          <w:szCs w:val="22"/>
        </w:rPr>
      </w:pPr>
      <w:r w:rsidRPr="00B81BBB">
        <w:rPr>
          <w:rFonts w:ascii="Arial" w:hAnsi="Arial" w:cs="Arial"/>
          <w:sz w:val="22"/>
          <w:szCs w:val="22"/>
        </w:rPr>
        <w:t xml:space="preserve">The objective of the operation is to </w:t>
      </w:r>
      <w:r w:rsidRPr="0043525E">
        <w:rPr>
          <w:rFonts w:ascii="Arial" w:hAnsi="Arial" w:cs="Arial"/>
          <w:sz w:val="22"/>
          <w:szCs w:val="22"/>
        </w:rPr>
        <w:t>contribute to strengthen the country’s immediate public health response to the COVID-19 emergency</w:t>
      </w:r>
      <w:r w:rsidRPr="00B81BBB">
        <w:rPr>
          <w:rFonts w:ascii="Arial" w:hAnsi="Arial" w:cs="Arial"/>
          <w:sz w:val="22"/>
          <w:szCs w:val="22"/>
        </w:rPr>
        <w:t xml:space="preserve">. The specific objective is to </w:t>
      </w:r>
      <w:r w:rsidRPr="000D5A21">
        <w:rPr>
          <w:rFonts w:ascii="Arial" w:hAnsi="Arial" w:cs="Arial"/>
          <w:sz w:val="22"/>
          <w:szCs w:val="22"/>
        </w:rPr>
        <w:t>increase the country’s availability and efficiency of financing to cover extraordinary public expenditures related to the COVID-19 emergency</w:t>
      </w:r>
      <w:r w:rsidR="00617868" w:rsidRPr="00B81BBB">
        <w:rPr>
          <w:rFonts w:ascii="Arial" w:hAnsi="Arial" w:cs="Arial"/>
          <w:sz w:val="22"/>
          <w:szCs w:val="22"/>
        </w:rPr>
        <w:t>.</w:t>
      </w:r>
      <w:r w:rsidR="00617868" w:rsidRPr="00B81BBB" w:rsidDel="00E74498">
        <w:rPr>
          <w:rFonts w:ascii="Arial" w:hAnsi="Arial" w:cs="Arial"/>
          <w:sz w:val="22"/>
          <w:szCs w:val="22"/>
        </w:rPr>
        <w:t xml:space="preserve"> </w:t>
      </w:r>
    </w:p>
    <w:p w14:paraId="264FE70F" w14:textId="2F4034AA" w:rsidR="00352CFD" w:rsidRPr="00B81BBB" w:rsidRDefault="00352CFD" w:rsidP="00D52A80">
      <w:pPr>
        <w:pStyle w:val="Paragraph"/>
        <w:numPr>
          <w:ilvl w:val="1"/>
          <w:numId w:val="13"/>
        </w:numPr>
        <w:tabs>
          <w:tab w:val="clear" w:pos="2448"/>
          <w:tab w:val="num" w:pos="720"/>
        </w:tabs>
        <w:ind w:left="720" w:hanging="720"/>
        <w:rPr>
          <w:rFonts w:ascii="Arial" w:hAnsi="Arial" w:cs="Arial"/>
          <w:sz w:val="22"/>
          <w:szCs w:val="22"/>
        </w:rPr>
      </w:pPr>
      <w:r w:rsidRPr="00B81BBB">
        <w:rPr>
          <w:rFonts w:ascii="Arial" w:hAnsi="Arial" w:cs="Arial"/>
          <w:sz w:val="22"/>
          <w:szCs w:val="22"/>
        </w:rPr>
        <w:t>Consequently, this document aims to examine the efficiency of the financing arrangemen</w:t>
      </w:r>
      <w:r w:rsidR="00617868" w:rsidRPr="00B81BBB">
        <w:rPr>
          <w:rFonts w:ascii="Arial" w:hAnsi="Arial" w:cs="Arial"/>
          <w:sz w:val="22"/>
          <w:szCs w:val="22"/>
        </w:rPr>
        <w:t>t</w:t>
      </w:r>
      <w:r w:rsidRPr="00B81BBB">
        <w:rPr>
          <w:rFonts w:ascii="Arial" w:hAnsi="Arial" w:cs="Arial"/>
          <w:sz w:val="22"/>
          <w:szCs w:val="22"/>
        </w:rPr>
        <w:t xml:space="preserve"> provided by the Bank, through comparison with market-based financing alternatives that </w:t>
      </w:r>
      <w:r w:rsidR="00FB7FB2">
        <w:rPr>
          <w:rFonts w:ascii="Arial" w:hAnsi="Arial" w:cs="Arial"/>
          <w:sz w:val="22"/>
          <w:szCs w:val="22"/>
        </w:rPr>
        <w:t>Guyana</w:t>
      </w:r>
      <w:r w:rsidRPr="00B81BBB">
        <w:rPr>
          <w:rFonts w:ascii="Arial" w:hAnsi="Arial" w:cs="Arial"/>
          <w:sz w:val="22"/>
          <w:szCs w:val="22"/>
        </w:rPr>
        <w:t xml:space="preserve"> could choose to mitigate its contingent fiscal liabilities associated with natural disasters</w:t>
      </w:r>
      <w:r w:rsidR="00E233EB" w:rsidRPr="00B81BBB">
        <w:rPr>
          <w:rFonts w:ascii="Arial" w:hAnsi="Arial" w:cs="Arial"/>
          <w:sz w:val="22"/>
          <w:szCs w:val="22"/>
        </w:rPr>
        <w:t xml:space="preserve"> and public health emergencies</w:t>
      </w:r>
      <w:r w:rsidRPr="00B81BBB">
        <w:rPr>
          <w:rFonts w:ascii="Arial" w:hAnsi="Arial" w:cs="Arial"/>
          <w:sz w:val="22"/>
          <w:szCs w:val="22"/>
        </w:rPr>
        <w:t xml:space="preserve">. The rapid and timely availability of funds to finance unforeseen public expenditures during emergencies helps reduce the risks of large and long-lasting impacts on </w:t>
      </w:r>
      <w:r w:rsidRPr="00B81BBB">
        <w:rPr>
          <w:rFonts w:ascii="Arial" w:hAnsi="Arial" w:cs="Arial"/>
          <w:sz w:val="22"/>
          <w:szCs w:val="22"/>
        </w:rPr>
        <w:lastRenderedPageBreak/>
        <w:t>public finances,</w:t>
      </w:r>
      <w:r w:rsidRPr="00B81BBB">
        <w:rPr>
          <w:rStyle w:val="FootnoteReference"/>
          <w:rFonts w:ascii="Arial" w:hAnsi="Arial" w:cs="Arial"/>
          <w:sz w:val="22"/>
          <w:szCs w:val="22"/>
        </w:rPr>
        <w:footnoteReference w:id="18"/>
      </w:r>
      <w:r w:rsidRPr="00B81BBB">
        <w:rPr>
          <w:rFonts w:ascii="Arial" w:hAnsi="Arial" w:cs="Arial"/>
          <w:sz w:val="22"/>
          <w:szCs w:val="22"/>
        </w:rPr>
        <w:t xml:space="preserve"> and contains human and material losses that are critical for a speedy post-</w:t>
      </w:r>
      <w:r w:rsidR="00E233EB" w:rsidRPr="00B81BBB">
        <w:rPr>
          <w:rFonts w:ascii="Arial" w:hAnsi="Arial" w:cs="Arial"/>
          <w:sz w:val="22"/>
          <w:szCs w:val="22"/>
        </w:rPr>
        <w:t>emergency</w:t>
      </w:r>
      <w:r w:rsidRPr="00B81BBB">
        <w:rPr>
          <w:rFonts w:ascii="Arial" w:hAnsi="Arial" w:cs="Arial"/>
          <w:sz w:val="22"/>
          <w:szCs w:val="22"/>
        </w:rPr>
        <w:t xml:space="preserve"> recovery of economic activity.</w:t>
      </w:r>
      <w:r w:rsidRPr="00B81BBB">
        <w:rPr>
          <w:rStyle w:val="FootnoteReference"/>
          <w:rFonts w:ascii="Arial" w:hAnsi="Arial" w:cs="Arial"/>
          <w:sz w:val="22"/>
          <w:szCs w:val="22"/>
        </w:rPr>
        <w:footnoteReference w:id="19"/>
      </w:r>
      <w:r w:rsidR="00D52A80" w:rsidRPr="00B81BBB">
        <w:rPr>
          <w:rFonts w:ascii="Arial" w:hAnsi="Arial" w:cs="Arial"/>
          <w:sz w:val="22"/>
          <w:szCs w:val="22"/>
        </w:rPr>
        <w:t xml:space="preserve"> </w:t>
      </w:r>
      <w:r w:rsidR="00D52A80" w:rsidRPr="00B81BBB">
        <w:rPr>
          <w:rStyle w:val="FootnoteReference"/>
          <w:rFonts w:ascii="Arial" w:hAnsi="Arial" w:cs="Arial"/>
          <w:sz w:val="22"/>
          <w:szCs w:val="22"/>
        </w:rPr>
        <w:footnoteReference w:id="20"/>
      </w:r>
    </w:p>
    <w:p w14:paraId="0D5E364F" w14:textId="35271C4E" w:rsidR="00D52A80" w:rsidRPr="00B81BBB" w:rsidRDefault="00D52A80" w:rsidP="00D52A80">
      <w:pPr>
        <w:pStyle w:val="Paragraph"/>
        <w:numPr>
          <w:ilvl w:val="1"/>
          <w:numId w:val="13"/>
        </w:numPr>
        <w:tabs>
          <w:tab w:val="clear" w:pos="2448"/>
          <w:tab w:val="num" w:pos="720"/>
        </w:tabs>
        <w:ind w:left="720" w:hanging="720"/>
        <w:rPr>
          <w:rFonts w:ascii="Arial" w:hAnsi="Arial" w:cs="Arial"/>
          <w:sz w:val="22"/>
          <w:szCs w:val="22"/>
        </w:rPr>
      </w:pPr>
      <w:r w:rsidRPr="00B81BBB">
        <w:rPr>
          <w:rFonts w:ascii="Arial" w:hAnsi="Arial" w:cs="Arial"/>
          <w:sz w:val="22"/>
          <w:szCs w:val="22"/>
        </w:rPr>
        <w:t xml:space="preserve">The proposed CCF loan operation delivers a financial coverage to the government for immediate response to the COVID-19 pandemic outbreak, that is efficient in terms of financial cost and how quickly the resources are disbursed to cover the immediate funding needs for emergency response. </w:t>
      </w:r>
      <w:bookmarkStart w:id="10" w:name="_Hlk42964558"/>
      <w:r w:rsidRPr="00B81BBB">
        <w:rPr>
          <w:rFonts w:ascii="Arial" w:hAnsi="Arial" w:cs="Arial"/>
          <w:sz w:val="22"/>
          <w:szCs w:val="22"/>
        </w:rPr>
        <w:t xml:space="preserve">The availability of secure funds provided by this operation help ease the liquidity pressures that governments face during emergencies as a result of increased unplanned expenditures, </w:t>
      </w:r>
      <w:bookmarkEnd w:id="10"/>
      <w:r w:rsidRPr="00B81BBB">
        <w:rPr>
          <w:rFonts w:ascii="Arial" w:hAnsi="Arial" w:cs="Arial"/>
          <w:sz w:val="22"/>
          <w:szCs w:val="22"/>
        </w:rPr>
        <w:t>lower tax revenues, and incremental constrains in terms of cost and access to loans.</w:t>
      </w:r>
    </w:p>
    <w:p w14:paraId="3A1ADDFA" w14:textId="2B284B57" w:rsidR="00A12539" w:rsidRPr="00B81BBB" w:rsidRDefault="00933646" w:rsidP="00A12539">
      <w:pPr>
        <w:pStyle w:val="Chapter"/>
        <w:tabs>
          <w:tab w:val="clear" w:pos="1440"/>
          <w:tab w:val="clear" w:pos="2952"/>
        </w:tabs>
        <w:ind w:left="0" w:firstLine="0"/>
        <w:rPr>
          <w:rFonts w:ascii="Arial" w:hAnsi="Arial" w:cs="Arial"/>
        </w:rPr>
      </w:pPr>
      <w:bookmarkStart w:id="11" w:name="_Toc510433073"/>
      <w:r w:rsidRPr="00B81BBB">
        <w:rPr>
          <w:rFonts w:ascii="Arial" w:hAnsi="Arial" w:cs="Arial"/>
        </w:rPr>
        <w:t xml:space="preserve">Objectives, Assumptions </w:t>
      </w:r>
      <w:r w:rsidR="00F36415" w:rsidRPr="00B81BBB">
        <w:rPr>
          <w:rFonts w:ascii="Arial" w:hAnsi="Arial" w:cs="Arial"/>
        </w:rPr>
        <w:t>and Alternatives</w:t>
      </w:r>
      <w:bookmarkEnd w:id="11"/>
    </w:p>
    <w:p w14:paraId="0F4B99FB" w14:textId="656EDD1E" w:rsidR="007E6874" w:rsidRPr="00B81BBB" w:rsidRDefault="006C2B33" w:rsidP="00F86017">
      <w:pPr>
        <w:pStyle w:val="Paragraph"/>
        <w:tabs>
          <w:tab w:val="clear" w:pos="3600"/>
        </w:tabs>
        <w:autoSpaceDE w:val="0"/>
        <w:autoSpaceDN w:val="0"/>
        <w:adjustRightInd w:val="0"/>
        <w:ind w:left="720" w:hanging="720"/>
        <w:rPr>
          <w:rFonts w:ascii="Arial" w:hAnsi="Arial" w:cs="Arial"/>
          <w:sz w:val="22"/>
          <w:szCs w:val="22"/>
        </w:rPr>
      </w:pPr>
      <w:r w:rsidRPr="00B81BBB">
        <w:rPr>
          <w:rFonts w:ascii="Arial" w:hAnsi="Arial" w:cs="Arial"/>
          <w:sz w:val="22"/>
          <w:szCs w:val="22"/>
        </w:rPr>
        <w:t xml:space="preserve">The general objective of the operation is to </w:t>
      </w:r>
      <w:r w:rsidRPr="0043525E">
        <w:rPr>
          <w:rFonts w:ascii="Arial" w:hAnsi="Arial" w:cs="Arial"/>
          <w:sz w:val="22"/>
          <w:szCs w:val="22"/>
        </w:rPr>
        <w:t>contribute to strengthen the country’s immediate public health response to the COVID-19 emergency</w:t>
      </w:r>
      <w:r w:rsidRPr="00B81BBB">
        <w:rPr>
          <w:rFonts w:ascii="Arial" w:hAnsi="Arial" w:cs="Arial"/>
          <w:sz w:val="22"/>
          <w:szCs w:val="22"/>
        </w:rPr>
        <w:t xml:space="preserve">. The specific objective is to </w:t>
      </w:r>
      <w:r w:rsidRPr="000D5A21">
        <w:rPr>
          <w:rFonts w:ascii="Arial" w:hAnsi="Arial" w:cs="Arial"/>
          <w:sz w:val="22"/>
          <w:szCs w:val="22"/>
        </w:rPr>
        <w:t>increase the country’s availability and efficiency of financing to cover extraordinary public expenditures related to the COVID-19 emergency</w:t>
      </w:r>
      <w:r w:rsidR="004B26C7" w:rsidRPr="00B81BBB">
        <w:rPr>
          <w:rFonts w:ascii="Arial" w:hAnsi="Arial" w:cs="Arial"/>
          <w:sz w:val="22"/>
          <w:szCs w:val="22"/>
        </w:rPr>
        <w:t>.</w:t>
      </w:r>
    </w:p>
    <w:p w14:paraId="37B56B33" w14:textId="5B0221FA" w:rsidR="00D52A80" w:rsidRPr="00B81BBB" w:rsidRDefault="007E6874" w:rsidP="00F86017">
      <w:pPr>
        <w:pStyle w:val="Paragraph"/>
        <w:tabs>
          <w:tab w:val="clear" w:pos="3600"/>
        </w:tabs>
        <w:autoSpaceDE w:val="0"/>
        <w:autoSpaceDN w:val="0"/>
        <w:adjustRightInd w:val="0"/>
        <w:ind w:left="720" w:hanging="720"/>
        <w:rPr>
          <w:rFonts w:ascii="Arial" w:hAnsi="Arial" w:cs="Arial"/>
          <w:sz w:val="22"/>
          <w:szCs w:val="22"/>
        </w:rPr>
      </w:pPr>
      <w:r w:rsidRPr="00B81BBB">
        <w:rPr>
          <w:rFonts w:ascii="Arial" w:hAnsi="Arial" w:cs="Arial"/>
          <w:sz w:val="22"/>
          <w:szCs w:val="22"/>
        </w:rPr>
        <w:t>The proposed operation contemplates a single component for US$</w:t>
      </w:r>
      <w:r w:rsidR="0047482C">
        <w:rPr>
          <w:rFonts w:ascii="Arial" w:hAnsi="Arial" w:cs="Arial"/>
          <w:sz w:val="22"/>
          <w:szCs w:val="22"/>
        </w:rPr>
        <w:t>22</w:t>
      </w:r>
      <w:r w:rsidRPr="00B81BBB">
        <w:rPr>
          <w:rFonts w:ascii="Arial" w:hAnsi="Arial" w:cs="Arial"/>
          <w:sz w:val="22"/>
          <w:szCs w:val="22"/>
        </w:rPr>
        <w:t xml:space="preserve"> million to structure an efficient financial coverage for</w:t>
      </w:r>
      <w:r w:rsidRPr="00B81BBB">
        <w:rPr>
          <w:rFonts w:ascii="Arial" w:hAnsi="Arial" w:cs="Arial"/>
          <w:sz w:val="22"/>
          <w:szCs w:val="18"/>
        </w:rPr>
        <w:t xml:space="preserve"> extraordinary public expenses </w:t>
      </w:r>
      <w:r w:rsidRPr="00B81BBB">
        <w:rPr>
          <w:rFonts w:ascii="Arial" w:hAnsi="Arial" w:cs="Arial"/>
          <w:sz w:val="22"/>
          <w:szCs w:val="22"/>
        </w:rPr>
        <w:t>that arise during the immediate public health response to the COVID-19 emergency.</w:t>
      </w:r>
    </w:p>
    <w:p w14:paraId="7A453060" w14:textId="5B25E820" w:rsidR="00E34DB9" w:rsidRPr="00B81BBB" w:rsidRDefault="004B26C7" w:rsidP="00F86017">
      <w:pPr>
        <w:pStyle w:val="Paragraph"/>
        <w:tabs>
          <w:tab w:val="clear" w:pos="3600"/>
        </w:tabs>
        <w:autoSpaceDE w:val="0"/>
        <w:autoSpaceDN w:val="0"/>
        <w:adjustRightInd w:val="0"/>
        <w:ind w:left="720" w:hanging="720"/>
        <w:rPr>
          <w:rFonts w:ascii="Arial" w:hAnsi="Arial" w:cs="Arial"/>
          <w:sz w:val="22"/>
          <w:szCs w:val="22"/>
        </w:rPr>
      </w:pPr>
      <w:r w:rsidRPr="00B81BBB">
        <w:rPr>
          <w:rFonts w:ascii="Arial" w:hAnsi="Arial" w:cs="Arial"/>
          <w:sz w:val="22"/>
          <w:szCs w:val="22"/>
        </w:rPr>
        <w:t>As in other CCF loans,</w:t>
      </w:r>
      <w:r w:rsidR="007C5027" w:rsidRPr="00B81BBB">
        <w:rPr>
          <w:rFonts w:ascii="Arial" w:hAnsi="Arial" w:cs="Arial"/>
          <w:sz w:val="22"/>
          <w:szCs w:val="22"/>
        </w:rPr>
        <w:t xml:space="preserve"> the efficiency of this operation will be determined through an economic analysis that uses a cost-effectiveness methodology. This </w:t>
      </w:r>
      <w:r w:rsidR="006D75AA" w:rsidRPr="00B81BBB">
        <w:rPr>
          <w:rFonts w:ascii="Arial" w:hAnsi="Arial" w:cs="Arial"/>
          <w:sz w:val="22"/>
          <w:szCs w:val="22"/>
        </w:rPr>
        <w:t xml:space="preserve">approach </w:t>
      </w:r>
      <w:r w:rsidR="007C5027" w:rsidRPr="00B81BBB">
        <w:rPr>
          <w:rFonts w:ascii="Arial" w:hAnsi="Arial" w:cs="Arial"/>
          <w:sz w:val="22"/>
          <w:szCs w:val="22"/>
        </w:rPr>
        <w:t xml:space="preserve">is appropriate because a cost-benefit </w:t>
      </w:r>
      <w:r w:rsidR="006D75AA" w:rsidRPr="00B81BBB">
        <w:rPr>
          <w:rFonts w:ascii="Arial" w:hAnsi="Arial" w:cs="Arial"/>
          <w:sz w:val="22"/>
          <w:szCs w:val="22"/>
        </w:rPr>
        <w:t>methodology</w:t>
      </w:r>
      <w:r w:rsidR="007C5027" w:rsidRPr="00B81BBB">
        <w:rPr>
          <w:rFonts w:ascii="Arial" w:hAnsi="Arial" w:cs="Arial"/>
          <w:sz w:val="22"/>
          <w:szCs w:val="22"/>
        </w:rPr>
        <w:t xml:space="preserve"> would entail the estimation of potential uncertain benefits</w:t>
      </w:r>
      <w:r w:rsidR="007C5027" w:rsidRPr="00B81BBB">
        <w:rPr>
          <w:rStyle w:val="FootnoteReference"/>
          <w:rFonts w:ascii="Arial" w:hAnsi="Arial" w:cs="Arial"/>
          <w:sz w:val="22"/>
          <w:szCs w:val="22"/>
        </w:rPr>
        <w:footnoteReference w:id="21"/>
      </w:r>
      <w:r w:rsidR="007C5027" w:rsidRPr="00B81BBB">
        <w:rPr>
          <w:rFonts w:ascii="Arial" w:hAnsi="Arial" w:cs="Arial"/>
          <w:sz w:val="22"/>
          <w:szCs w:val="22"/>
        </w:rPr>
        <w:t xml:space="preserve"> during an emergency, which is a demanding and costly exercise, with little expected return. Thus, the analysis</w:t>
      </w:r>
      <w:r w:rsidR="00A12539" w:rsidRPr="00B81BBB">
        <w:rPr>
          <w:rFonts w:ascii="Arial" w:hAnsi="Arial" w:cs="Arial"/>
          <w:sz w:val="22"/>
          <w:szCs w:val="22"/>
        </w:rPr>
        <w:t xml:space="preserve"> will focus </w:t>
      </w:r>
      <w:r w:rsidR="007C5027" w:rsidRPr="00B81BBB">
        <w:rPr>
          <w:rFonts w:ascii="Arial" w:hAnsi="Arial" w:cs="Arial"/>
          <w:sz w:val="22"/>
          <w:szCs w:val="22"/>
        </w:rPr>
        <w:t xml:space="preserve">on </w:t>
      </w:r>
      <w:r w:rsidR="00A12539" w:rsidRPr="00B81BBB">
        <w:rPr>
          <w:rFonts w:ascii="Arial" w:hAnsi="Arial" w:cs="Arial"/>
          <w:sz w:val="22"/>
          <w:szCs w:val="22"/>
        </w:rPr>
        <w:t xml:space="preserve">the </w:t>
      </w:r>
      <w:r w:rsidR="006D75AA" w:rsidRPr="00B81BBB">
        <w:rPr>
          <w:rFonts w:ascii="Arial" w:hAnsi="Arial" w:cs="Arial"/>
          <w:sz w:val="22"/>
          <w:szCs w:val="22"/>
        </w:rPr>
        <w:t>efficiency conditions of the financial coverage provided by this operation</w:t>
      </w:r>
      <w:r w:rsidR="00E34DB9" w:rsidRPr="00B81BBB">
        <w:rPr>
          <w:rFonts w:ascii="Arial" w:hAnsi="Arial" w:cs="Arial"/>
          <w:sz w:val="22"/>
          <w:szCs w:val="22"/>
        </w:rPr>
        <w:t xml:space="preserve">. </w:t>
      </w:r>
    </w:p>
    <w:p w14:paraId="678ECDFF" w14:textId="10921C9F" w:rsidR="00D73AC5" w:rsidRPr="00B81BBB" w:rsidRDefault="001E12A1" w:rsidP="00F86017">
      <w:pPr>
        <w:pStyle w:val="Paragraph"/>
        <w:tabs>
          <w:tab w:val="clear" w:pos="3600"/>
        </w:tabs>
        <w:ind w:left="720" w:hanging="720"/>
        <w:rPr>
          <w:rFonts w:ascii="Arial" w:hAnsi="Arial" w:cs="Arial"/>
          <w:sz w:val="22"/>
          <w:szCs w:val="22"/>
        </w:rPr>
      </w:pPr>
      <w:r w:rsidRPr="00B81BBB">
        <w:rPr>
          <w:rFonts w:ascii="Arial" w:hAnsi="Arial" w:cs="Arial"/>
          <w:sz w:val="22"/>
          <w:szCs w:val="22"/>
        </w:rPr>
        <w:t xml:space="preserve">From a financial perspective, the </w:t>
      </w:r>
      <w:r w:rsidR="00380B8B" w:rsidRPr="00B81BBB">
        <w:rPr>
          <w:rFonts w:ascii="Arial" w:hAnsi="Arial" w:cs="Arial"/>
          <w:sz w:val="22"/>
          <w:szCs w:val="22"/>
        </w:rPr>
        <w:t xml:space="preserve">efficiency </w:t>
      </w:r>
      <w:r w:rsidRPr="00B81BBB">
        <w:rPr>
          <w:rFonts w:ascii="Arial" w:hAnsi="Arial" w:cs="Arial"/>
          <w:sz w:val="22"/>
          <w:szCs w:val="22"/>
        </w:rPr>
        <w:t xml:space="preserve">conditions </w:t>
      </w:r>
      <w:r w:rsidR="00380B8B" w:rsidRPr="00B81BBB">
        <w:rPr>
          <w:rFonts w:ascii="Arial" w:hAnsi="Arial" w:cs="Arial"/>
          <w:sz w:val="22"/>
          <w:szCs w:val="22"/>
        </w:rPr>
        <w:t xml:space="preserve">of </w:t>
      </w:r>
      <w:r w:rsidR="003D5D1E" w:rsidRPr="00B81BBB">
        <w:rPr>
          <w:rFonts w:ascii="Arial" w:hAnsi="Arial" w:cs="Arial"/>
          <w:sz w:val="22"/>
          <w:szCs w:val="22"/>
        </w:rPr>
        <w:t xml:space="preserve">a </w:t>
      </w:r>
      <w:r w:rsidR="00780DC1" w:rsidRPr="00B81BBB">
        <w:rPr>
          <w:rFonts w:ascii="Arial" w:hAnsi="Arial" w:cs="Arial"/>
          <w:sz w:val="22"/>
          <w:szCs w:val="22"/>
        </w:rPr>
        <w:t xml:space="preserve">financial </w:t>
      </w:r>
      <w:r w:rsidR="003D5D1E" w:rsidRPr="00B81BBB">
        <w:rPr>
          <w:rFonts w:ascii="Arial" w:hAnsi="Arial" w:cs="Arial"/>
          <w:sz w:val="22"/>
          <w:szCs w:val="22"/>
        </w:rPr>
        <w:t>coverage</w:t>
      </w:r>
      <w:r w:rsidR="0057122A" w:rsidRPr="00B81BBB">
        <w:rPr>
          <w:rFonts w:ascii="Arial" w:hAnsi="Arial" w:cs="Arial"/>
          <w:sz w:val="22"/>
          <w:szCs w:val="22"/>
        </w:rPr>
        <w:t xml:space="preserve"> for emergencies</w:t>
      </w:r>
      <w:r w:rsidR="003D5D1E" w:rsidRPr="00B81BBB">
        <w:rPr>
          <w:rFonts w:ascii="Arial" w:hAnsi="Arial" w:cs="Arial"/>
          <w:sz w:val="22"/>
          <w:szCs w:val="22"/>
        </w:rPr>
        <w:t xml:space="preserve"> </w:t>
      </w:r>
      <w:r w:rsidR="0057122A" w:rsidRPr="00B81BBB">
        <w:rPr>
          <w:rFonts w:ascii="Arial" w:hAnsi="Arial" w:cs="Arial"/>
          <w:sz w:val="22"/>
          <w:szCs w:val="22"/>
        </w:rPr>
        <w:t>are</w:t>
      </w:r>
      <w:r w:rsidR="003D5D1E" w:rsidRPr="00B81BBB">
        <w:rPr>
          <w:rFonts w:ascii="Arial" w:hAnsi="Arial" w:cs="Arial"/>
          <w:sz w:val="22"/>
          <w:szCs w:val="22"/>
        </w:rPr>
        <w:t xml:space="preserve"> (i) </w:t>
      </w:r>
      <w:r w:rsidR="000179C7" w:rsidRPr="00B81BBB">
        <w:rPr>
          <w:rFonts w:ascii="Arial" w:hAnsi="Arial" w:cs="Arial"/>
          <w:sz w:val="22"/>
          <w:szCs w:val="22"/>
        </w:rPr>
        <w:t>its</w:t>
      </w:r>
      <w:r w:rsidR="003D5D1E" w:rsidRPr="00B81BBB">
        <w:rPr>
          <w:rFonts w:ascii="Arial" w:hAnsi="Arial" w:cs="Arial"/>
          <w:sz w:val="22"/>
          <w:szCs w:val="22"/>
        </w:rPr>
        <w:t xml:space="preserve"> financial cost, and (ii) the </w:t>
      </w:r>
      <w:r w:rsidR="00780DC1" w:rsidRPr="00B81BBB">
        <w:rPr>
          <w:rFonts w:ascii="Arial" w:hAnsi="Arial" w:cs="Arial"/>
          <w:sz w:val="22"/>
          <w:szCs w:val="22"/>
        </w:rPr>
        <w:t>speed</w:t>
      </w:r>
      <w:r w:rsidR="0057122A" w:rsidRPr="00B81BBB">
        <w:rPr>
          <w:rFonts w:ascii="Arial" w:hAnsi="Arial" w:cs="Arial"/>
          <w:sz w:val="22"/>
          <w:szCs w:val="22"/>
        </w:rPr>
        <w:t xml:space="preserve"> </w:t>
      </w:r>
      <w:r w:rsidR="00780DC1" w:rsidRPr="00B81BBB">
        <w:rPr>
          <w:rFonts w:ascii="Arial" w:hAnsi="Arial" w:cs="Arial"/>
          <w:sz w:val="22"/>
          <w:szCs w:val="22"/>
        </w:rPr>
        <w:t>of access to</w:t>
      </w:r>
      <w:r w:rsidR="0057122A" w:rsidRPr="00B81BBB">
        <w:rPr>
          <w:rFonts w:ascii="Arial" w:hAnsi="Arial" w:cs="Arial"/>
          <w:sz w:val="22"/>
          <w:szCs w:val="22"/>
        </w:rPr>
        <w:t xml:space="preserve"> resources. </w:t>
      </w:r>
      <w:r w:rsidR="000179C7" w:rsidRPr="00B81BBB">
        <w:rPr>
          <w:rFonts w:ascii="Arial" w:hAnsi="Arial" w:cs="Arial"/>
          <w:sz w:val="22"/>
          <w:szCs w:val="22"/>
        </w:rPr>
        <w:t>Hence</w:t>
      </w:r>
      <w:r w:rsidR="0057122A" w:rsidRPr="00B81BBB">
        <w:rPr>
          <w:rFonts w:ascii="Arial" w:hAnsi="Arial" w:cs="Arial"/>
          <w:sz w:val="22"/>
          <w:szCs w:val="22"/>
        </w:rPr>
        <w:t xml:space="preserve">, </w:t>
      </w:r>
      <w:r w:rsidR="000179C7" w:rsidRPr="00B81BBB">
        <w:rPr>
          <w:rFonts w:ascii="Arial" w:hAnsi="Arial" w:cs="Arial"/>
          <w:sz w:val="22"/>
          <w:szCs w:val="22"/>
        </w:rPr>
        <w:t xml:space="preserve">the </w:t>
      </w:r>
      <w:r w:rsidR="006D75AA" w:rsidRPr="00B81BBB">
        <w:rPr>
          <w:rFonts w:ascii="Arial" w:hAnsi="Arial" w:cs="Arial"/>
          <w:sz w:val="22"/>
          <w:szCs w:val="22"/>
        </w:rPr>
        <w:t>analysis</w:t>
      </w:r>
      <w:r w:rsidR="000179C7" w:rsidRPr="00B81BBB">
        <w:rPr>
          <w:rFonts w:ascii="Arial" w:hAnsi="Arial" w:cs="Arial"/>
          <w:sz w:val="22"/>
          <w:szCs w:val="22"/>
        </w:rPr>
        <w:t xml:space="preserve"> </w:t>
      </w:r>
      <w:r w:rsidR="008A39C4" w:rsidRPr="00B81BBB">
        <w:rPr>
          <w:rFonts w:ascii="Arial" w:hAnsi="Arial" w:cs="Arial"/>
          <w:sz w:val="22"/>
          <w:szCs w:val="22"/>
        </w:rPr>
        <w:t>will be limited</w:t>
      </w:r>
      <w:r w:rsidR="000179C7" w:rsidRPr="00B81BBB">
        <w:rPr>
          <w:rFonts w:ascii="Arial" w:hAnsi="Arial" w:cs="Arial"/>
          <w:sz w:val="22"/>
          <w:szCs w:val="22"/>
        </w:rPr>
        <w:t xml:space="preserve"> </w:t>
      </w:r>
      <w:r w:rsidR="008A39C4" w:rsidRPr="00B81BBB">
        <w:rPr>
          <w:rFonts w:ascii="Arial" w:hAnsi="Arial" w:cs="Arial"/>
          <w:sz w:val="22"/>
          <w:szCs w:val="22"/>
        </w:rPr>
        <w:t>to</w:t>
      </w:r>
      <w:r w:rsidR="000179C7" w:rsidRPr="00B81BBB">
        <w:rPr>
          <w:rFonts w:ascii="Arial" w:hAnsi="Arial" w:cs="Arial"/>
          <w:sz w:val="22"/>
          <w:szCs w:val="22"/>
        </w:rPr>
        <w:t xml:space="preserve"> </w:t>
      </w:r>
      <w:r w:rsidR="006D75AA" w:rsidRPr="00B81BBB">
        <w:rPr>
          <w:rFonts w:ascii="Arial" w:hAnsi="Arial" w:cs="Arial"/>
          <w:sz w:val="22"/>
          <w:szCs w:val="22"/>
        </w:rPr>
        <w:t>these two measures</w:t>
      </w:r>
      <w:r w:rsidR="00281A11" w:rsidRPr="00B81BBB">
        <w:rPr>
          <w:rFonts w:ascii="Arial" w:hAnsi="Arial" w:cs="Arial"/>
          <w:sz w:val="22"/>
          <w:szCs w:val="22"/>
        </w:rPr>
        <w:t>:</w:t>
      </w:r>
    </w:p>
    <w:p w14:paraId="134AAC71" w14:textId="2ABDD761" w:rsidR="00DA02AD" w:rsidRPr="00B81BBB" w:rsidRDefault="00236D49" w:rsidP="00236D49">
      <w:pPr>
        <w:pStyle w:val="Paragraph"/>
        <w:numPr>
          <w:ilvl w:val="0"/>
          <w:numId w:val="8"/>
        </w:numPr>
        <w:autoSpaceDE w:val="0"/>
        <w:autoSpaceDN w:val="0"/>
        <w:adjustRightInd w:val="0"/>
        <w:rPr>
          <w:rFonts w:ascii="Arial" w:hAnsi="Arial" w:cs="Arial"/>
          <w:sz w:val="22"/>
          <w:szCs w:val="22"/>
        </w:rPr>
      </w:pPr>
      <w:r w:rsidRPr="00B81BBB">
        <w:rPr>
          <w:rFonts w:ascii="Arial" w:hAnsi="Arial" w:cs="Arial"/>
          <w:sz w:val="22"/>
          <w:szCs w:val="22"/>
        </w:rPr>
        <w:t>how fast the Bank makes the CCF loan proceeds available to the borrower to cover unexpected public expenditures during the emergency, as compared to the time that takes through other IDB debt instruments</w:t>
      </w:r>
      <w:r w:rsidR="00DA02AD" w:rsidRPr="00B81BBB">
        <w:rPr>
          <w:rFonts w:ascii="Arial" w:hAnsi="Arial" w:cs="Arial"/>
          <w:sz w:val="22"/>
          <w:szCs w:val="22"/>
        </w:rPr>
        <w:t>; and</w:t>
      </w:r>
    </w:p>
    <w:p w14:paraId="7E103DA1" w14:textId="36AA41E6" w:rsidR="006D75AA" w:rsidRPr="00B81BBB" w:rsidRDefault="00DA02AD" w:rsidP="00831002">
      <w:pPr>
        <w:pStyle w:val="Paragraph"/>
        <w:numPr>
          <w:ilvl w:val="0"/>
          <w:numId w:val="8"/>
        </w:numPr>
        <w:autoSpaceDE w:val="0"/>
        <w:autoSpaceDN w:val="0"/>
        <w:adjustRightInd w:val="0"/>
        <w:rPr>
          <w:rFonts w:ascii="Arial" w:hAnsi="Arial" w:cs="Arial"/>
          <w:sz w:val="22"/>
          <w:szCs w:val="22"/>
        </w:rPr>
      </w:pPr>
      <w:r w:rsidRPr="00B81BBB">
        <w:rPr>
          <w:rFonts w:ascii="Arial" w:hAnsi="Arial" w:cs="Arial"/>
          <w:sz w:val="22"/>
          <w:szCs w:val="22"/>
        </w:rPr>
        <w:t>t</w:t>
      </w:r>
      <w:r w:rsidR="00403418" w:rsidRPr="00B81BBB">
        <w:rPr>
          <w:rFonts w:ascii="Arial" w:hAnsi="Arial" w:cs="Arial"/>
          <w:sz w:val="22"/>
          <w:szCs w:val="22"/>
        </w:rPr>
        <w:t xml:space="preserve">he cost of the resources, that is, the financial cost per unit </w:t>
      </w:r>
      <w:r w:rsidR="002C6F9E" w:rsidRPr="00B81BBB">
        <w:rPr>
          <w:rFonts w:ascii="Arial" w:hAnsi="Arial" w:cs="Arial"/>
          <w:sz w:val="22"/>
          <w:szCs w:val="22"/>
        </w:rPr>
        <w:t>of extraordinary emergency expenditure financed by the loan proceeds</w:t>
      </w:r>
      <w:r w:rsidR="006D75AA" w:rsidRPr="00B81BBB">
        <w:rPr>
          <w:rFonts w:ascii="Arial" w:hAnsi="Arial" w:cs="Arial"/>
          <w:sz w:val="22"/>
          <w:szCs w:val="22"/>
        </w:rPr>
        <w:t xml:space="preserve">, compared to that of </w:t>
      </w:r>
      <w:r w:rsidR="00EB7BD1" w:rsidRPr="00B81BBB">
        <w:rPr>
          <w:rFonts w:ascii="Arial" w:hAnsi="Arial" w:cs="Arial"/>
          <w:sz w:val="22"/>
          <w:szCs w:val="22"/>
        </w:rPr>
        <w:t>financing alternatives available to the country</w:t>
      </w:r>
      <w:r w:rsidR="0031072F" w:rsidRPr="00B81BBB">
        <w:rPr>
          <w:rFonts w:ascii="Arial" w:hAnsi="Arial" w:cs="Arial"/>
          <w:sz w:val="22"/>
          <w:szCs w:val="22"/>
        </w:rPr>
        <w:t xml:space="preserve">. </w:t>
      </w:r>
    </w:p>
    <w:p w14:paraId="495C7792" w14:textId="77777777" w:rsidR="00AD7F72" w:rsidRPr="00B81BBB" w:rsidRDefault="00AD7F72" w:rsidP="00831002">
      <w:pPr>
        <w:pStyle w:val="Paragraph"/>
        <w:numPr>
          <w:ilvl w:val="0"/>
          <w:numId w:val="0"/>
        </w:numPr>
        <w:autoSpaceDE w:val="0"/>
        <w:autoSpaceDN w:val="0"/>
        <w:adjustRightInd w:val="0"/>
        <w:ind w:left="720"/>
        <w:rPr>
          <w:rFonts w:ascii="Arial" w:hAnsi="Arial" w:cs="Arial"/>
          <w:sz w:val="22"/>
          <w:szCs w:val="22"/>
        </w:rPr>
      </w:pPr>
    </w:p>
    <w:p w14:paraId="088E57AB" w14:textId="52AC8147" w:rsidR="006D75AA" w:rsidRPr="00B81BBB" w:rsidRDefault="006D75AA" w:rsidP="00F86017">
      <w:pPr>
        <w:pStyle w:val="Paragraph"/>
        <w:numPr>
          <w:ilvl w:val="0"/>
          <w:numId w:val="0"/>
        </w:numPr>
        <w:autoSpaceDE w:val="0"/>
        <w:autoSpaceDN w:val="0"/>
        <w:adjustRightInd w:val="0"/>
        <w:ind w:left="1440"/>
        <w:rPr>
          <w:rFonts w:ascii="Arial" w:hAnsi="Arial" w:cs="Arial"/>
          <w:sz w:val="22"/>
          <w:szCs w:val="22"/>
        </w:rPr>
        <w:sectPr w:rsidR="006D75AA" w:rsidRPr="00B81BBB" w:rsidSect="0045688F">
          <w:type w:val="continuous"/>
          <w:pgSz w:w="12240" w:h="15840" w:code="1"/>
          <w:pgMar w:top="1440" w:right="1800" w:bottom="1440" w:left="1800" w:header="706" w:footer="436" w:gutter="0"/>
          <w:cols w:space="720"/>
          <w:formProt w:val="0"/>
          <w:docGrid w:linePitch="326"/>
        </w:sectPr>
      </w:pPr>
    </w:p>
    <w:p w14:paraId="57C5F7BD" w14:textId="77777777" w:rsidR="005F7A7D" w:rsidRPr="00B81BBB" w:rsidRDefault="00F36415" w:rsidP="00F86017">
      <w:pPr>
        <w:pStyle w:val="Chapter"/>
        <w:tabs>
          <w:tab w:val="clear" w:pos="1440"/>
          <w:tab w:val="clear" w:pos="2952"/>
        </w:tabs>
        <w:ind w:left="0" w:firstLine="0"/>
        <w:rPr>
          <w:rFonts w:ascii="Arial" w:hAnsi="Arial" w:cs="Arial"/>
        </w:rPr>
      </w:pPr>
      <w:bookmarkStart w:id="12" w:name="_Toc510433074"/>
      <w:bookmarkStart w:id="13" w:name="_Toc208109836"/>
      <w:bookmarkStart w:id="14" w:name="_Toc208118131"/>
      <w:r w:rsidRPr="00B81BBB">
        <w:rPr>
          <w:rFonts w:ascii="Arial" w:hAnsi="Arial" w:cs="Arial"/>
        </w:rPr>
        <w:t>Economic Costs and Measurement of Effectiveness in terms of Cost</w:t>
      </w:r>
      <w:bookmarkEnd w:id="12"/>
    </w:p>
    <w:p w14:paraId="60BDE579" w14:textId="22928162" w:rsidR="00694293" w:rsidRPr="00B81BBB" w:rsidRDefault="00724CE2" w:rsidP="002F0244">
      <w:pPr>
        <w:pStyle w:val="Paragraph"/>
        <w:tabs>
          <w:tab w:val="clear" w:pos="3600"/>
        </w:tabs>
        <w:autoSpaceDE w:val="0"/>
        <w:autoSpaceDN w:val="0"/>
        <w:adjustRightInd w:val="0"/>
        <w:spacing w:after="0"/>
        <w:ind w:left="720" w:hanging="720"/>
        <w:rPr>
          <w:rFonts w:ascii="Arial" w:hAnsi="Arial" w:cs="Arial"/>
          <w:sz w:val="22"/>
          <w:szCs w:val="22"/>
        </w:rPr>
      </w:pPr>
      <w:bookmarkStart w:id="15" w:name="_Ref517193208"/>
      <w:r w:rsidRPr="00B81BBB">
        <w:rPr>
          <w:rFonts w:ascii="Arial" w:hAnsi="Arial" w:cs="Arial"/>
          <w:sz w:val="22"/>
          <w:szCs w:val="22"/>
        </w:rPr>
        <w:t>As mentioned in paragraph 2.</w:t>
      </w:r>
      <w:r w:rsidR="00236D49" w:rsidRPr="00B81BBB">
        <w:rPr>
          <w:rFonts w:ascii="Arial" w:hAnsi="Arial" w:cs="Arial"/>
          <w:sz w:val="22"/>
          <w:szCs w:val="22"/>
        </w:rPr>
        <w:t>4</w:t>
      </w:r>
      <w:r w:rsidRPr="00B81BBB">
        <w:rPr>
          <w:rFonts w:ascii="Arial" w:hAnsi="Arial" w:cs="Arial"/>
          <w:sz w:val="22"/>
          <w:szCs w:val="22"/>
        </w:rPr>
        <w:t xml:space="preserve">, the analysis </w:t>
      </w:r>
      <w:r w:rsidR="009E1394" w:rsidRPr="00B81BBB">
        <w:rPr>
          <w:rFonts w:ascii="Arial" w:hAnsi="Arial" w:cs="Arial"/>
          <w:sz w:val="22"/>
          <w:szCs w:val="22"/>
        </w:rPr>
        <w:t>uses</w:t>
      </w:r>
      <w:r w:rsidRPr="00B81BBB">
        <w:rPr>
          <w:rFonts w:ascii="Arial" w:hAnsi="Arial" w:cs="Arial"/>
          <w:sz w:val="22"/>
          <w:szCs w:val="22"/>
        </w:rPr>
        <w:t xml:space="preserve"> two key indicators </w:t>
      </w:r>
      <w:r w:rsidR="009E1394" w:rsidRPr="00B81BBB">
        <w:rPr>
          <w:rFonts w:ascii="Arial" w:hAnsi="Arial" w:cs="Arial"/>
          <w:sz w:val="22"/>
          <w:szCs w:val="22"/>
        </w:rPr>
        <w:t>to determine the efficiency of</w:t>
      </w:r>
      <w:r w:rsidRPr="00B81BBB">
        <w:rPr>
          <w:rFonts w:ascii="Arial" w:hAnsi="Arial" w:cs="Arial"/>
          <w:sz w:val="22"/>
          <w:szCs w:val="22"/>
        </w:rPr>
        <w:t xml:space="preserve"> </w:t>
      </w:r>
      <w:r w:rsidR="009E1394" w:rsidRPr="00B81BBB">
        <w:rPr>
          <w:rFonts w:ascii="Arial" w:hAnsi="Arial" w:cs="Arial"/>
          <w:sz w:val="22"/>
          <w:szCs w:val="22"/>
        </w:rPr>
        <w:t xml:space="preserve">the financing alternatives. </w:t>
      </w:r>
      <w:r w:rsidR="00694293" w:rsidRPr="00B81BBB">
        <w:rPr>
          <w:rFonts w:ascii="Arial" w:hAnsi="Arial" w:cs="Arial"/>
          <w:sz w:val="22"/>
          <w:szCs w:val="22"/>
        </w:rPr>
        <w:t>Table 1</w:t>
      </w:r>
      <w:r w:rsidR="009E1394" w:rsidRPr="00B81BBB">
        <w:rPr>
          <w:rFonts w:ascii="Arial" w:hAnsi="Arial" w:cs="Arial"/>
          <w:sz w:val="22"/>
          <w:szCs w:val="22"/>
        </w:rPr>
        <w:t xml:space="preserve"> details the indicator</w:t>
      </w:r>
      <w:r w:rsidRPr="00B81BBB">
        <w:rPr>
          <w:rFonts w:ascii="Arial" w:hAnsi="Arial" w:cs="Arial"/>
          <w:sz w:val="22"/>
          <w:szCs w:val="22"/>
        </w:rPr>
        <w:t xml:space="preserve"> </w:t>
      </w:r>
      <w:r w:rsidR="009E1394" w:rsidRPr="00B81BBB">
        <w:rPr>
          <w:rFonts w:ascii="Arial" w:hAnsi="Arial" w:cs="Arial"/>
          <w:sz w:val="22"/>
          <w:szCs w:val="22"/>
        </w:rPr>
        <w:t>used for each criterion.</w:t>
      </w:r>
      <w:bookmarkEnd w:id="15"/>
    </w:p>
    <w:p w14:paraId="70194EA9" w14:textId="77777777" w:rsidR="002F0244" w:rsidRPr="00B81BBB" w:rsidRDefault="002F0244" w:rsidP="00694293">
      <w:pPr>
        <w:pStyle w:val="Paragraph"/>
        <w:numPr>
          <w:ilvl w:val="0"/>
          <w:numId w:val="0"/>
        </w:numPr>
        <w:autoSpaceDE w:val="0"/>
        <w:autoSpaceDN w:val="0"/>
        <w:adjustRightInd w:val="0"/>
        <w:spacing w:before="0" w:after="0"/>
        <w:rPr>
          <w:rFonts w:ascii="Arial" w:hAnsi="Arial" w:cs="Arial"/>
          <w:sz w:val="22"/>
          <w:szCs w:val="22"/>
        </w:rPr>
      </w:pPr>
    </w:p>
    <w:p w14:paraId="30E2F452" w14:textId="77777777" w:rsidR="00694293" w:rsidRPr="00987C15" w:rsidRDefault="00694293" w:rsidP="00694293">
      <w:pPr>
        <w:pStyle w:val="Paragraph"/>
        <w:numPr>
          <w:ilvl w:val="0"/>
          <w:numId w:val="0"/>
        </w:numPr>
        <w:spacing w:before="0" w:after="0"/>
        <w:jc w:val="center"/>
        <w:rPr>
          <w:rFonts w:ascii="Arial" w:hAnsi="Arial" w:cs="Arial"/>
          <w:b/>
          <w:bCs/>
          <w:color w:val="000000"/>
          <w:spacing w:val="-4"/>
          <w:sz w:val="20"/>
        </w:rPr>
      </w:pPr>
      <w:r w:rsidRPr="00987C15">
        <w:rPr>
          <w:rFonts w:ascii="Arial" w:hAnsi="Arial" w:cs="Arial"/>
          <w:b/>
          <w:bCs/>
          <w:color w:val="000000"/>
          <w:spacing w:val="-4"/>
          <w:sz w:val="20"/>
        </w:rPr>
        <w:t>Table 1: Criteria and indicators</w:t>
      </w:r>
    </w:p>
    <w:tbl>
      <w:tblPr>
        <w:tblStyle w:val="TableGrid"/>
        <w:tblpPr w:leftFromText="180" w:rightFromText="180" w:vertAnchor="text" w:horzAnchor="margin" w:tblpXSpec="right" w:tblpY="95"/>
        <w:tblW w:w="0" w:type="auto"/>
        <w:jc w:val="right"/>
        <w:tblLook w:val="04A0" w:firstRow="1" w:lastRow="0" w:firstColumn="1" w:lastColumn="0" w:noHBand="0" w:noVBand="1"/>
      </w:tblPr>
      <w:tblGrid>
        <w:gridCol w:w="625"/>
        <w:gridCol w:w="3690"/>
        <w:gridCol w:w="3600"/>
      </w:tblGrid>
      <w:tr w:rsidR="0089350D" w:rsidRPr="00B81BBB" w14:paraId="01F858A9" w14:textId="77777777" w:rsidTr="00987C15">
        <w:trPr>
          <w:trHeight w:val="259"/>
          <w:tblHeader/>
          <w:jc w:val="right"/>
        </w:trPr>
        <w:tc>
          <w:tcPr>
            <w:tcW w:w="625" w:type="dxa"/>
            <w:shd w:val="clear" w:color="auto" w:fill="DBE5F1" w:themeFill="accent1" w:themeFillTint="33"/>
          </w:tcPr>
          <w:p w14:paraId="0DC3AF94" w14:textId="77777777" w:rsidR="0089350D" w:rsidRPr="00B81BBB" w:rsidRDefault="0089350D" w:rsidP="00987C15">
            <w:pPr>
              <w:pStyle w:val="Paragraph"/>
              <w:numPr>
                <w:ilvl w:val="0"/>
                <w:numId w:val="0"/>
              </w:numPr>
              <w:autoSpaceDE w:val="0"/>
              <w:autoSpaceDN w:val="0"/>
              <w:adjustRightInd w:val="0"/>
              <w:spacing w:before="0" w:after="0"/>
              <w:ind w:hanging="720"/>
              <w:jc w:val="center"/>
              <w:rPr>
                <w:rFonts w:ascii="Arial" w:hAnsi="Arial" w:cs="Arial"/>
                <w:b/>
                <w:sz w:val="20"/>
              </w:rPr>
            </w:pPr>
          </w:p>
        </w:tc>
        <w:tc>
          <w:tcPr>
            <w:tcW w:w="3690" w:type="dxa"/>
            <w:shd w:val="clear" w:color="auto" w:fill="DBE5F1" w:themeFill="accent1" w:themeFillTint="33"/>
          </w:tcPr>
          <w:p w14:paraId="273386AD" w14:textId="77777777" w:rsidR="0089350D" w:rsidRPr="00B81BBB" w:rsidRDefault="009E1394" w:rsidP="00987C15">
            <w:pPr>
              <w:pStyle w:val="Paragraph"/>
              <w:numPr>
                <w:ilvl w:val="0"/>
                <w:numId w:val="0"/>
              </w:numPr>
              <w:autoSpaceDE w:val="0"/>
              <w:autoSpaceDN w:val="0"/>
              <w:adjustRightInd w:val="0"/>
              <w:ind w:hanging="720"/>
              <w:jc w:val="center"/>
              <w:rPr>
                <w:rFonts w:ascii="Arial" w:hAnsi="Arial" w:cs="Arial"/>
                <w:b/>
                <w:sz w:val="20"/>
              </w:rPr>
            </w:pPr>
            <w:r w:rsidRPr="00B81BBB">
              <w:rPr>
                <w:rFonts w:ascii="Arial" w:hAnsi="Arial" w:cs="Arial"/>
                <w:b/>
                <w:sz w:val="20"/>
              </w:rPr>
              <w:t>Criterion</w:t>
            </w:r>
          </w:p>
        </w:tc>
        <w:tc>
          <w:tcPr>
            <w:tcW w:w="3600" w:type="dxa"/>
            <w:shd w:val="clear" w:color="auto" w:fill="DBE5F1" w:themeFill="accent1" w:themeFillTint="33"/>
          </w:tcPr>
          <w:p w14:paraId="7EC26061" w14:textId="77777777" w:rsidR="0089350D" w:rsidRPr="00B81BBB" w:rsidRDefault="009E1394" w:rsidP="00987C15">
            <w:pPr>
              <w:pStyle w:val="Paragraph"/>
              <w:numPr>
                <w:ilvl w:val="0"/>
                <w:numId w:val="0"/>
              </w:numPr>
              <w:autoSpaceDE w:val="0"/>
              <w:autoSpaceDN w:val="0"/>
              <w:adjustRightInd w:val="0"/>
              <w:jc w:val="center"/>
              <w:rPr>
                <w:rFonts w:ascii="Arial" w:hAnsi="Arial" w:cs="Arial"/>
                <w:b/>
                <w:sz w:val="20"/>
              </w:rPr>
            </w:pPr>
            <w:r w:rsidRPr="00B81BBB">
              <w:rPr>
                <w:rFonts w:ascii="Arial" w:hAnsi="Arial" w:cs="Arial"/>
                <w:b/>
                <w:sz w:val="20"/>
              </w:rPr>
              <w:t>Indicator</w:t>
            </w:r>
          </w:p>
        </w:tc>
      </w:tr>
      <w:tr w:rsidR="0089350D" w:rsidRPr="00B81BBB" w14:paraId="673130CB" w14:textId="77777777" w:rsidTr="00987C15">
        <w:trPr>
          <w:trHeight w:val="620"/>
          <w:jc w:val="right"/>
        </w:trPr>
        <w:tc>
          <w:tcPr>
            <w:tcW w:w="625" w:type="dxa"/>
            <w:vAlign w:val="center"/>
          </w:tcPr>
          <w:p w14:paraId="2F6E02C5" w14:textId="77777777" w:rsidR="0089350D" w:rsidRPr="00B81BBB" w:rsidRDefault="0089350D" w:rsidP="00987C15">
            <w:pPr>
              <w:jc w:val="center"/>
              <w:rPr>
                <w:rFonts w:ascii="Arial" w:hAnsi="Arial" w:cs="Arial"/>
                <w:sz w:val="20"/>
              </w:rPr>
            </w:pPr>
            <w:r w:rsidRPr="00B81BBB">
              <w:rPr>
                <w:rFonts w:ascii="Arial" w:hAnsi="Arial" w:cs="Arial"/>
                <w:sz w:val="20"/>
              </w:rPr>
              <w:t>1</w:t>
            </w:r>
          </w:p>
        </w:tc>
        <w:tc>
          <w:tcPr>
            <w:tcW w:w="3690" w:type="dxa"/>
            <w:vAlign w:val="center"/>
          </w:tcPr>
          <w:p w14:paraId="2A6CFBF6" w14:textId="39815984" w:rsidR="0089350D" w:rsidRPr="00B81BBB" w:rsidRDefault="00FE3953" w:rsidP="00987C15">
            <w:pPr>
              <w:pStyle w:val="Paragraph"/>
              <w:numPr>
                <w:ilvl w:val="0"/>
                <w:numId w:val="0"/>
              </w:numPr>
              <w:autoSpaceDE w:val="0"/>
              <w:autoSpaceDN w:val="0"/>
              <w:adjustRightInd w:val="0"/>
              <w:spacing w:before="0" w:after="0"/>
              <w:ind w:left="162"/>
              <w:jc w:val="left"/>
              <w:rPr>
                <w:rFonts w:ascii="Arial" w:hAnsi="Arial" w:cs="Arial"/>
                <w:sz w:val="20"/>
              </w:rPr>
            </w:pPr>
            <w:r w:rsidRPr="00B81BBB">
              <w:rPr>
                <w:rFonts w:ascii="Arial" w:hAnsi="Arial" w:cs="Arial"/>
                <w:sz w:val="20"/>
              </w:rPr>
              <w:t>Speed of access to</w:t>
            </w:r>
            <w:r w:rsidR="008A39C4" w:rsidRPr="00B81BBB">
              <w:rPr>
                <w:rFonts w:ascii="Arial" w:hAnsi="Arial" w:cs="Arial"/>
                <w:sz w:val="20"/>
              </w:rPr>
              <w:t xml:space="preserve"> </w:t>
            </w:r>
            <w:r w:rsidR="00724CE2" w:rsidRPr="00B81BBB">
              <w:rPr>
                <w:rFonts w:ascii="Arial" w:hAnsi="Arial" w:cs="Arial"/>
                <w:sz w:val="20"/>
              </w:rPr>
              <w:t>resources to cover the emergency needs</w:t>
            </w:r>
            <w:r w:rsidRPr="00B81BBB">
              <w:rPr>
                <w:rFonts w:ascii="Arial" w:hAnsi="Arial" w:cs="Arial"/>
                <w:sz w:val="20"/>
              </w:rPr>
              <w:t>.</w:t>
            </w:r>
          </w:p>
        </w:tc>
        <w:tc>
          <w:tcPr>
            <w:tcW w:w="3600" w:type="dxa"/>
            <w:vAlign w:val="center"/>
          </w:tcPr>
          <w:p w14:paraId="320AE648" w14:textId="3D6C09FC" w:rsidR="0089350D" w:rsidRPr="00B81BBB" w:rsidRDefault="00FE3953" w:rsidP="00987C15">
            <w:pPr>
              <w:pStyle w:val="Paragraph"/>
              <w:numPr>
                <w:ilvl w:val="0"/>
                <w:numId w:val="0"/>
              </w:numPr>
              <w:autoSpaceDE w:val="0"/>
              <w:autoSpaceDN w:val="0"/>
              <w:adjustRightInd w:val="0"/>
              <w:spacing w:before="0" w:after="0"/>
              <w:ind w:left="162"/>
              <w:jc w:val="left"/>
              <w:rPr>
                <w:rFonts w:ascii="Arial" w:hAnsi="Arial" w:cs="Arial"/>
                <w:sz w:val="20"/>
              </w:rPr>
            </w:pPr>
            <w:r w:rsidRPr="00B81BBB">
              <w:rPr>
                <w:rFonts w:ascii="Arial" w:hAnsi="Arial" w:cs="Arial"/>
                <w:sz w:val="20"/>
              </w:rPr>
              <w:t>Number of days between the</w:t>
            </w:r>
            <w:r w:rsidR="00A95AD3" w:rsidRPr="00B81BBB">
              <w:rPr>
                <w:rFonts w:ascii="Arial" w:hAnsi="Arial" w:cs="Arial"/>
                <w:sz w:val="20"/>
              </w:rPr>
              <w:t xml:space="preserve"> </w:t>
            </w:r>
            <w:r w:rsidR="0003587B" w:rsidRPr="00B81BBB">
              <w:rPr>
                <w:rFonts w:ascii="Arial" w:hAnsi="Arial" w:cs="Arial"/>
                <w:sz w:val="20"/>
              </w:rPr>
              <w:t>activation of the coverage (date the country fulfills the contractual conditions for general eligibility to request disbursements) and the value date of the first disbursement</w:t>
            </w:r>
          </w:p>
        </w:tc>
      </w:tr>
      <w:tr w:rsidR="0089350D" w:rsidRPr="00B81BBB" w14:paraId="67EE42FA" w14:textId="77777777" w:rsidTr="00987C15">
        <w:trPr>
          <w:trHeight w:val="107"/>
          <w:jc w:val="right"/>
        </w:trPr>
        <w:tc>
          <w:tcPr>
            <w:tcW w:w="625" w:type="dxa"/>
            <w:vAlign w:val="center"/>
          </w:tcPr>
          <w:p w14:paraId="6529D760" w14:textId="77777777" w:rsidR="0089350D" w:rsidRPr="00B81BBB" w:rsidRDefault="0089350D" w:rsidP="00987C15">
            <w:pPr>
              <w:pStyle w:val="Paragraph"/>
              <w:numPr>
                <w:ilvl w:val="0"/>
                <w:numId w:val="0"/>
              </w:numPr>
              <w:autoSpaceDE w:val="0"/>
              <w:autoSpaceDN w:val="0"/>
              <w:adjustRightInd w:val="0"/>
              <w:spacing w:before="0" w:after="0"/>
              <w:jc w:val="center"/>
              <w:rPr>
                <w:rFonts w:ascii="Arial" w:hAnsi="Arial" w:cs="Arial"/>
                <w:sz w:val="20"/>
              </w:rPr>
            </w:pPr>
            <w:r w:rsidRPr="00B81BBB">
              <w:rPr>
                <w:rFonts w:ascii="Arial" w:hAnsi="Arial" w:cs="Arial"/>
                <w:sz w:val="20"/>
              </w:rPr>
              <w:t>2</w:t>
            </w:r>
          </w:p>
        </w:tc>
        <w:tc>
          <w:tcPr>
            <w:tcW w:w="3690" w:type="dxa"/>
            <w:vAlign w:val="center"/>
          </w:tcPr>
          <w:p w14:paraId="113872D7" w14:textId="77777777" w:rsidR="0089350D" w:rsidRPr="00B81BBB" w:rsidRDefault="00724CE2" w:rsidP="00987C15">
            <w:pPr>
              <w:pStyle w:val="Paragraph"/>
              <w:numPr>
                <w:ilvl w:val="0"/>
                <w:numId w:val="0"/>
              </w:numPr>
              <w:autoSpaceDE w:val="0"/>
              <w:autoSpaceDN w:val="0"/>
              <w:adjustRightInd w:val="0"/>
              <w:spacing w:before="0" w:after="0"/>
              <w:ind w:left="162"/>
              <w:jc w:val="left"/>
              <w:rPr>
                <w:rFonts w:ascii="Arial" w:hAnsi="Arial" w:cs="Arial"/>
                <w:sz w:val="20"/>
              </w:rPr>
            </w:pPr>
            <w:r w:rsidRPr="00B81BBB">
              <w:rPr>
                <w:rFonts w:ascii="Arial" w:hAnsi="Arial" w:cs="Arial"/>
                <w:sz w:val="20"/>
              </w:rPr>
              <w:t>Financial cost per unit of extraordinary emergency expenditure financed by the loan proceeds.</w:t>
            </w:r>
          </w:p>
        </w:tc>
        <w:tc>
          <w:tcPr>
            <w:tcW w:w="3600" w:type="dxa"/>
            <w:vAlign w:val="center"/>
          </w:tcPr>
          <w:p w14:paraId="3D9A6A56" w14:textId="77777777" w:rsidR="0089350D" w:rsidRPr="00B81BBB" w:rsidRDefault="00724CE2" w:rsidP="00987C15">
            <w:pPr>
              <w:pStyle w:val="Paragraph"/>
              <w:numPr>
                <w:ilvl w:val="0"/>
                <w:numId w:val="0"/>
              </w:numPr>
              <w:autoSpaceDE w:val="0"/>
              <w:autoSpaceDN w:val="0"/>
              <w:adjustRightInd w:val="0"/>
              <w:spacing w:before="0" w:after="0"/>
              <w:ind w:left="162"/>
              <w:jc w:val="left"/>
              <w:rPr>
                <w:rFonts w:ascii="Arial" w:hAnsi="Arial" w:cs="Arial"/>
                <w:sz w:val="20"/>
              </w:rPr>
            </w:pPr>
            <w:r w:rsidRPr="00B81BBB">
              <w:rPr>
                <w:rFonts w:ascii="Arial" w:hAnsi="Arial" w:cs="Arial"/>
                <w:sz w:val="20"/>
              </w:rPr>
              <w:t>Interest rate</w:t>
            </w:r>
          </w:p>
        </w:tc>
      </w:tr>
    </w:tbl>
    <w:p w14:paraId="3A8C5394" w14:textId="77777777" w:rsidR="002B489E" w:rsidRPr="00B81BBB" w:rsidRDefault="002B489E" w:rsidP="00B4522B">
      <w:pPr>
        <w:tabs>
          <w:tab w:val="left" w:pos="720"/>
        </w:tabs>
        <w:spacing w:after="120"/>
        <w:rPr>
          <w:rFonts w:ascii="Arial" w:hAnsi="Arial" w:cs="Arial"/>
          <w:sz w:val="22"/>
          <w:szCs w:val="22"/>
        </w:rPr>
      </w:pPr>
    </w:p>
    <w:p w14:paraId="094EE59A" w14:textId="4C10DB63" w:rsidR="00987C15" w:rsidRDefault="00987C15" w:rsidP="00987C15">
      <w:pPr>
        <w:pStyle w:val="Chapter"/>
        <w:numPr>
          <w:ilvl w:val="0"/>
          <w:numId w:val="0"/>
        </w:numPr>
        <w:tabs>
          <w:tab w:val="clear" w:pos="1440"/>
        </w:tabs>
        <w:jc w:val="left"/>
        <w:rPr>
          <w:rFonts w:ascii="Arial" w:hAnsi="Arial" w:cs="Arial"/>
        </w:rPr>
      </w:pPr>
      <w:bookmarkStart w:id="16" w:name="_Toc510433075"/>
    </w:p>
    <w:p w14:paraId="3DBD45B3" w14:textId="77777777" w:rsidR="00987C15" w:rsidRPr="00987C15" w:rsidRDefault="00987C15" w:rsidP="00987C15"/>
    <w:p w14:paraId="13030108" w14:textId="0B02E66F" w:rsidR="00121C06" w:rsidRPr="00B81BBB" w:rsidRDefault="00F36415" w:rsidP="00987C15">
      <w:pPr>
        <w:pStyle w:val="Chapter"/>
        <w:tabs>
          <w:tab w:val="clear" w:pos="1440"/>
          <w:tab w:val="clear" w:pos="2952"/>
        </w:tabs>
        <w:spacing w:before="360"/>
        <w:ind w:left="0" w:firstLine="0"/>
        <w:rPr>
          <w:rFonts w:ascii="Arial" w:hAnsi="Arial" w:cs="Arial"/>
        </w:rPr>
      </w:pPr>
      <w:r w:rsidRPr="00B81BBB">
        <w:rPr>
          <w:rFonts w:ascii="Arial" w:hAnsi="Arial" w:cs="Arial"/>
        </w:rPr>
        <w:t>Availability of Resources</w:t>
      </w:r>
      <w:bookmarkEnd w:id="16"/>
    </w:p>
    <w:p w14:paraId="754B5E94" w14:textId="73C6EEDE" w:rsidR="00D77705" w:rsidRPr="00B81BBB" w:rsidRDefault="008C6A77" w:rsidP="00F86017">
      <w:pPr>
        <w:pStyle w:val="Paragraph"/>
        <w:tabs>
          <w:tab w:val="clear" w:pos="3600"/>
        </w:tabs>
        <w:autoSpaceDE w:val="0"/>
        <w:autoSpaceDN w:val="0"/>
        <w:adjustRightInd w:val="0"/>
        <w:ind w:left="720" w:hanging="720"/>
        <w:rPr>
          <w:rFonts w:ascii="Arial" w:hAnsi="Arial" w:cs="Arial"/>
          <w:sz w:val="22"/>
          <w:szCs w:val="22"/>
        </w:rPr>
      </w:pPr>
      <w:r w:rsidRPr="00B81BBB">
        <w:rPr>
          <w:rFonts w:ascii="Arial" w:hAnsi="Arial" w:cs="Arial"/>
          <w:sz w:val="22"/>
          <w:szCs w:val="22"/>
        </w:rPr>
        <w:t xml:space="preserve">The availability </w:t>
      </w:r>
      <w:r w:rsidR="00C624EF" w:rsidRPr="00B81BBB">
        <w:rPr>
          <w:rFonts w:ascii="Arial" w:hAnsi="Arial" w:cs="Arial"/>
          <w:sz w:val="22"/>
          <w:szCs w:val="22"/>
        </w:rPr>
        <w:t xml:space="preserve">or speed of access </w:t>
      </w:r>
      <w:r w:rsidRPr="00B81BBB">
        <w:rPr>
          <w:rFonts w:ascii="Arial" w:hAnsi="Arial" w:cs="Arial"/>
          <w:sz w:val="22"/>
          <w:szCs w:val="22"/>
        </w:rPr>
        <w:t xml:space="preserve">to </w:t>
      </w:r>
      <w:r w:rsidR="00D77705" w:rsidRPr="00B81BBB">
        <w:rPr>
          <w:rFonts w:ascii="Arial" w:hAnsi="Arial" w:cs="Arial"/>
          <w:sz w:val="22"/>
          <w:szCs w:val="22"/>
        </w:rPr>
        <w:t xml:space="preserve">loan proceeds </w:t>
      </w:r>
      <w:r w:rsidR="00A11258" w:rsidRPr="00B81BBB">
        <w:rPr>
          <w:rFonts w:ascii="Arial" w:hAnsi="Arial" w:cs="Arial"/>
          <w:sz w:val="22"/>
          <w:szCs w:val="22"/>
        </w:rPr>
        <w:t xml:space="preserve">will be </w:t>
      </w:r>
      <w:r w:rsidRPr="00B81BBB">
        <w:rPr>
          <w:rFonts w:ascii="Arial" w:hAnsi="Arial" w:cs="Arial"/>
          <w:sz w:val="22"/>
          <w:szCs w:val="22"/>
        </w:rPr>
        <w:t xml:space="preserve">measured </w:t>
      </w:r>
      <w:r w:rsidR="00A95AD3" w:rsidRPr="00B81BBB">
        <w:rPr>
          <w:rFonts w:ascii="Arial" w:hAnsi="Arial" w:cs="Arial"/>
          <w:sz w:val="22"/>
          <w:szCs w:val="22"/>
        </w:rPr>
        <w:t xml:space="preserve">as the number of days between </w:t>
      </w:r>
      <w:r w:rsidR="00DA02AD" w:rsidRPr="00B81BBB">
        <w:rPr>
          <w:rFonts w:ascii="Arial" w:hAnsi="Arial" w:cs="Arial"/>
          <w:sz w:val="22"/>
          <w:szCs w:val="22"/>
        </w:rPr>
        <w:t>the activation of the coverage (date the country fulfills the contractual conditions for general eligibility to request disbursements) and the value date of the first disbursement</w:t>
      </w:r>
      <w:r w:rsidR="00C624EF" w:rsidRPr="00B81BBB">
        <w:rPr>
          <w:rFonts w:ascii="Arial" w:hAnsi="Arial" w:cs="Arial"/>
          <w:sz w:val="22"/>
          <w:szCs w:val="22"/>
        </w:rPr>
        <w:t xml:space="preserve">. For </w:t>
      </w:r>
      <w:r w:rsidR="00AC4EBB">
        <w:rPr>
          <w:rFonts w:ascii="Arial" w:hAnsi="Arial" w:cs="Arial"/>
          <w:sz w:val="22"/>
          <w:szCs w:val="22"/>
        </w:rPr>
        <w:t>Guyana</w:t>
      </w:r>
      <w:r w:rsidR="00C624EF" w:rsidRPr="00B81BBB">
        <w:rPr>
          <w:rFonts w:ascii="Arial" w:hAnsi="Arial" w:cs="Arial"/>
          <w:sz w:val="22"/>
          <w:szCs w:val="22"/>
        </w:rPr>
        <w:t>’s CCF operation this period is estimated to be</w:t>
      </w:r>
      <w:r w:rsidR="00D77705" w:rsidRPr="00B81BBB">
        <w:rPr>
          <w:rFonts w:ascii="Arial" w:hAnsi="Arial" w:cs="Arial"/>
          <w:sz w:val="22"/>
          <w:szCs w:val="22"/>
        </w:rPr>
        <w:t xml:space="preserve"> </w:t>
      </w:r>
      <w:r w:rsidR="003B5446">
        <w:rPr>
          <w:rFonts w:ascii="Arial" w:hAnsi="Arial" w:cs="Arial"/>
          <w:sz w:val="22"/>
          <w:szCs w:val="22"/>
        </w:rPr>
        <w:t>20</w:t>
      </w:r>
      <w:r w:rsidR="00595295" w:rsidRPr="00B81BBB">
        <w:rPr>
          <w:rFonts w:ascii="Arial" w:hAnsi="Arial" w:cs="Arial"/>
          <w:sz w:val="22"/>
          <w:szCs w:val="22"/>
        </w:rPr>
        <w:t xml:space="preserve"> </w:t>
      </w:r>
      <w:r w:rsidR="00D77705" w:rsidRPr="00B81BBB">
        <w:rPr>
          <w:rFonts w:ascii="Arial" w:hAnsi="Arial" w:cs="Arial"/>
          <w:sz w:val="22"/>
          <w:szCs w:val="22"/>
        </w:rPr>
        <w:t>days</w:t>
      </w:r>
      <w:r w:rsidR="003B5446">
        <w:rPr>
          <w:rFonts w:ascii="Arial" w:hAnsi="Arial" w:cs="Arial"/>
          <w:sz w:val="22"/>
          <w:szCs w:val="22"/>
        </w:rPr>
        <w:t xml:space="preserve"> at most</w:t>
      </w:r>
      <w:r w:rsidR="00A11258" w:rsidRPr="00B81BBB">
        <w:rPr>
          <w:rFonts w:ascii="Arial" w:hAnsi="Arial" w:cs="Arial"/>
          <w:sz w:val="22"/>
          <w:szCs w:val="22"/>
        </w:rPr>
        <w:t xml:space="preserve">. The estimation is based on the Bank’s operational rules for </w:t>
      </w:r>
      <w:r w:rsidR="00C91D60" w:rsidRPr="00B81BBB">
        <w:rPr>
          <w:rFonts w:ascii="Arial" w:hAnsi="Arial" w:cs="Arial"/>
          <w:sz w:val="22"/>
          <w:szCs w:val="22"/>
        </w:rPr>
        <w:t xml:space="preserve">Contingent Credit Facility for Natural Disaster </w:t>
      </w:r>
      <w:r w:rsidR="00C624EF" w:rsidRPr="00B81BBB">
        <w:rPr>
          <w:rFonts w:ascii="Arial" w:hAnsi="Arial" w:cs="Arial"/>
          <w:sz w:val="22"/>
          <w:szCs w:val="22"/>
        </w:rPr>
        <w:t xml:space="preserve">and Public Health </w:t>
      </w:r>
      <w:r w:rsidR="00C91D60" w:rsidRPr="00B81BBB">
        <w:rPr>
          <w:rFonts w:ascii="Arial" w:hAnsi="Arial" w:cs="Arial"/>
          <w:sz w:val="22"/>
          <w:szCs w:val="22"/>
        </w:rPr>
        <w:t>Emergencies (CCF)</w:t>
      </w:r>
      <w:r w:rsidR="00595295" w:rsidRPr="00B81BBB">
        <w:rPr>
          <w:rFonts w:ascii="Arial" w:hAnsi="Arial" w:cs="Arial"/>
          <w:sz w:val="22"/>
          <w:szCs w:val="22"/>
        </w:rPr>
        <w:t>,</w:t>
      </w:r>
      <w:r w:rsidR="00A116DA" w:rsidRPr="00B81BBB">
        <w:rPr>
          <w:rStyle w:val="FootnoteReference"/>
          <w:rFonts w:ascii="Arial" w:hAnsi="Arial" w:cs="Arial"/>
          <w:sz w:val="22"/>
          <w:szCs w:val="22"/>
        </w:rPr>
        <w:footnoteReference w:id="22"/>
      </w:r>
      <w:r w:rsidR="00595295" w:rsidRPr="00B81BBB">
        <w:rPr>
          <w:rFonts w:ascii="Arial" w:hAnsi="Arial" w:cs="Arial"/>
          <w:sz w:val="22"/>
          <w:szCs w:val="22"/>
        </w:rPr>
        <w:t xml:space="preserve"> which</w:t>
      </w:r>
      <w:r w:rsidR="00C91D60" w:rsidRPr="00B81BBB">
        <w:rPr>
          <w:rFonts w:ascii="Arial" w:hAnsi="Arial" w:cs="Arial"/>
          <w:sz w:val="22"/>
          <w:szCs w:val="22"/>
        </w:rPr>
        <w:t xml:space="preserve"> include the </w:t>
      </w:r>
      <w:r w:rsidR="00973F46" w:rsidRPr="00B81BBB">
        <w:rPr>
          <w:rFonts w:ascii="Arial" w:hAnsi="Arial" w:cs="Arial"/>
          <w:sz w:val="22"/>
          <w:szCs w:val="22"/>
        </w:rPr>
        <w:t xml:space="preserve">time the Bank takes </w:t>
      </w:r>
      <w:r w:rsidR="00C624EF" w:rsidRPr="00B81BBB">
        <w:rPr>
          <w:rFonts w:ascii="Arial" w:hAnsi="Arial" w:cs="Arial"/>
          <w:sz w:val="22"/>
          <w:szCs w:val="22"/>
        </w:rPr>
        <w:t>to process an operation and a disbursement request</w:t>
      </w:r>
      <w:r w:rsidR="00281C52" w:rsidRPr="00B81BBB">
        <w:rPr>
          <w:rFonts w:ascii="Arial" w:hAnsi="Arial" w:cs="Arial"/>
          <w:sz w:val="22"/>
          <w:szCs w:val="22"/>
        </w:rPr>
        <w:t>.</w:t>
      </w:r>
    </w:p>
    <w:p w14:paraId="67784953" w14:textId="38AF6885" w:rsidR="00886F27" w:rsidRPr="00B81BBB" w:rsidRDefault="00886F27" w:rsidP="00F86017">
      <w:pPr>
        <w:pStyle w:val="Paragraph"/>
        <w:tabs>
          <w:tab w:val="clear" w:pos="3600"/>
        </w:tabs>
        <w:autoSpaceDE w:val="0"/>
        <w:autoSpaceDN w:val="0"/>
        <w:adjustRightInd w:val="0"/>
        <w:ind w:left="720" w:hanging="720"/>
        <w:rPr>
          <w:rFonts w:ascii="Arial" w:hAnsi="Arial" w:cs="Arial"/>
          <w:sz w:val="22"/>
          <w:szCs w:val="22"/>
        </w:rPr>
      </w:pPr>
      <w:r w:rsidRPr="00B81BBB">
        <w:rPr>
          <w:rFonts w:ascii="Arial" w:hAnsi="Arial" w:cs="Arial"/>
          <w:sz w:val="22"/>
          <w:szCs w:val="22"/>
        </w:rPr>
        <w:t>Concerning</w:t>
      </w:r>
      <w:r w:rsidR="00AE080C" w:rsidRPr="00B81BBB">
        <w:rPr>
          <w:rFonts w:ascii="Arial" w:hAnsi="Arial" w:cs="Arial"/>
          <w:sz w:val="22"/>
          <w:szCs w:val="22"/>
        </w:rPr>
        <w:t xml:space="preserve"> the </w:t>
      </w:r>
      <w:r w:rsidRPr="00B81BBB">
        <w:rPr>
          <w:rFonts w:ascii="Arial" w:hAnsi="Arial" w:cs="Arial"/>
          <w:sz w:val="22"/>
          <w:szCs w:val="22"/>
        </w:rPr>
        <w:t xml:space="preserve">estimated </w:t>
      </w:r>
      <w:r w:rsidR="00AE080C" w:rsidRPr="00B81BBB">
        <w:rPr>
          <w:rFonts w:ascii="Arial" w:hAnsi="Arial" w:cs="Arial"/>
          <w:sz w:val="22"/>
          <w:szCs w:val="22"/>
        </w:rPr>
        <w:t>average</w:t>
      </w:r>
      <w:r w:rsidRPr="00B81BBB">
        <w:rPr>
          <w:rFonts w:ascii="Arial" w:hAnsi="Arial" w:cs="Arial"/>
          <w:sz w:val="22"/>
          <w:szCs w:val="22"/>
        </w:rPr>
        <w:t xml:space="preserve"> time for </w:t>
      </w:r>
      <w:r w:rsidR="00DA02AD" w:rsidRPr="00B81BBB">
        <w:rPr>
          <w:rFonts w:ascii="Arial" w:hAnsi="Arial" w:cs="Arial"/>
          <w:sz w:val="22"/>
          <w:szCs w:val="22"/>
        </w:rPr>
        <w:t xml:space="preserve">the Bank to make loan proceeds available to the borrower through other IDB debt instruments, it is </w:t>
      </w:r>
      <w:r w:rsidR="00F57695" w:rsidRPr="003B5446">
        <w:rPr>
          <w:rFonts w:ascii="Arial" w:hAnsi="Arial" w:cs="Arial"/>
          <w:sz w:val="22"/>
          <w:szCs w:val="22"/>
        </w:rPr>
        <w:t>25</w:t>
      </w:r>
      <w:r w:rsidR="00DA02AD" w:rsidRPr="003B5446">
        <w:rPr>
          <w:rFonts w:ascii="Arial" w:hAnsi="Arial" w:cs="Arial"/>
          <w:sz w:val="22"/>
          <w:szCs w:val="22"/>
        </w:rPr>
        <w:t xml:space="preserve"> days.</w:t>
      </w:r>
      <w:r w:rsidR="009D7C9A" w:rsidRPr="00B81BBB">
        <w:rPr>
          <w:rFonts w:ascii="Arial" w:hAnsi="Arial" w:cs="Arial"/>
          <w:sz w:val="22"/>
          <w:szCs w:val="22"/>
        </w:rPr>
        <w:t xml:space="preserve"> </w:t>
      </w:r>
      <w:r w:rsidR="00DA02AD" w:rsidRPr="00B81BBB">
        <w:rPr>
          <w:rFonts w:ascii="Arial" w:hAnsi="Arial" w:cs="Arial"/>
          <w:sz w:val="22"/>
          <w:szCs w:val="22"/>
        </w:rPr>
        <w:t>For the CCF loan, this period is estimated to be within</w:t>
      </w:r>
      <w:r w:rsidR="00F57695">
        <w:rPr>
          <w:rFonts w:ascii="Arial" w:hAnsi="Arial" w:cs="Arial"/>
          <w:sz w:val="22"/>
          <w:szCs w:val="22"/>
        </w:rPr>
        <w:t xml:space="preserve"> 20</w:t>
      </w:r>
      <w:r w:rsidR="00DA02AD" w:rsidRPr="00B81BBB">
        <w:rPr>
          <w:rFonts w:ascii="Arial" w:hAnsi="Arial" w:cs="Arial"/>
          <w:sz w:val="22"/>
          <w:szCs w:val="22"/>
        </w:rPr>
        <w:t xml:space="preserve"> days</w:t>
      </w:r>
      <w:r w:rsidR="00F57695">
        <w:rPr>
          <w:rFonts w:ascii="Arial" w:hAnsi="Arial" w:cs="Arial"/>
          <w:sz w:val="22"/>
          <w:szCs w:val="22"/>
        </w:rPr>
        <w:t xml:space="preserve"> at most</w:t>
      </w:r>
      <w:r w:rsidR="00DA02AD" w:rsidRPr="00B81BBB">
        <w:rPr>
          <w:rFonts w:ascii="Arial" w:hAnsi="Arial" w:cs="Arial"/>
          <w:sz w:val="22"/>
          <w:szCs w:val="22"/>
        </w:rPr>
        <w:t xml:space="preserve">, therefore </w:t>
      </w:r>
      <w:r w:rsidR="00247F77" w:rsidRPr="00B81BBB">
        <w:rPr>
          <w:rFonts w:ascii="Arial" w:hAnsi="Arial" w:cs="Arial"/>
          <w:sz w:val="22"/>
          <w:szCs w:val="22"/>
        </w:rPr>
        <w:t xml:space="preserve">the </w:t>
      </w:r>
      <w:r w:rsidR="00DA02AD" w:rsidRPr="00B81BBB">
        <w:rPr>
          <w:rFonts w:ascii="Arial" w:hAnsi="Arial" w:cs="Arial"/>
          <w:sz w:val="22"/>
          <w:szCs w:val="22"/>
        </w:rPr>
        <w:t>proposed</w:t>
      </w:r>
      <w:r w:rsidR="00247F77" w:rsidRPr="00B81BBB">
        <w:rPr>
          <w:rFonts w:ascii="Arial" w:hAnsi="Arial" w:cs="Arial"/>
          <w:sz w:val="22"/>
          <w:szCs w:val="22"/>
        </w:rPr>
        <w:t xml:space="preserve"> loan would be more efficient in terms of how quickly the country can access to the resources to cover</w:t>
      </w:r>
      <w:r w:rsidR="00DA02AD" w:rsidRPr="00B81BBB">
        <w:rPr>
          <w:rFonts w:ascii="Arial" w:hAnsi="Arial" w:cs="Arial"/>
          <w:sz w:val="22"/>
          <w:szCs w:val="22"/>
        </w:rPr>
        <w:t xml:space="preserve"> unexpected public expenditures during the emergency</w:t>
      </w:r>
      <w:r w:rsidR="00247F77" w:rsidRPr="00B81BBB">
        <w:rPr>
          <w:rFonts w:ascii="Arial" w:hAnsi="Arial" w:cs="Arial"/>
          <w:sz w:val="22"/>
          <w:szCs w:val="22"/>
        </w:rPr>
        <w:t>.</w:t>
      </w:r>
      <w:r w:rsidR="009D7C9A">
        <w:rPr>
          <w:rFonts w:ascii="Arial" w:hAnsi="Arial" w:cs="Arial"/>
          <w:sz w:val="22"/>
          <w:szCs w:val="22"/>
        </w:rPr>
        <w:t xml:space="preserve"> That is, CCF loan provides a reduction of 20% in the number of days </w:t>
      </w:r>
      <w:r w:rsidR="00373850">
        <w:rPr>
          <w:rFonts w:ascii="Arial" w:hAnsi="Arial" w:cs="Arial"/>
          <w:sz w:val="22"/>
          <w:szCs w:val="22"/>
        </w:rPr>
        <w:t>to</w:t>
      </w:r>
      <w:r w:rsidR="009D7C9A">
        <w:rPr>
          <w:rFonts w:ascii="Arial" w:hAnsi="Arial" w:cs="Arial"/>
          <w:sz w:val="22"/>
          <w:szCs w:val="22"/>
        </w:rPr>
        <w:t xml:space="preserve"> access IDB loan resources.</w:t>
      </w:r>
    </w:p>
    <w:p w14:paraId="0CA1F535" w14:textId="77777777" w:rsidR="00121C06" w:rsidRPr="00B81BBB" w:rsidRDefault="00F36415" w:rsidP="00F86017">
      <w:pPr>
        <w:pStyle w:val="Chapter"/>
        <w:tabs>
          <w:tab w:val="clear" w:pos="1440"/>
          <w:tab w:val="clear" w:pos="2952"/>
        </w:tabs>
        <w:ind w:left="0" w:firstLine="0"/>
        <w:rPr>
          <w:rFonts w:ascii="Arial" w:hAnsi="Arial" w:cs="Arial"/>
        </w:rPr>
      </w:pPr>
      <w:bookmarkStart w:id="17" w:name="_Toc510433076"/>
      <w:r w:rsidRPr="00B81BBB">
        <w:rPr>
          <w:rFonts w:ascii="Arial" w:hAnsi="Arial" w:cs="Arial"/>
        </w:rPr>
        <w:t>Financial Cost</w:t>
      </w:r>
      <w:bookmarkEnd w:id="17"/>
    </w:p>
    <w:p w14:paraId="31CA5936" w14:textId="77777777" w:rsidR="0011629A" w:rsidRDefault="000E0BF0" w:rsidP="0011629A">
      <w:pPr>
        <w:pStyle w:val="Paragraph"/>
        <w:tabs>
          <w:tab w:val="clear" w:pos="3600"/>
        </w:tabs>
        <w:autoSpaceDE w:val="0"/>
        <w:autoSpaceDN w:val="0"/>
        <w:adjustRightInd w:val="0"/>
        <w:ind w:left="720" w:hanging="720"/>
        <w:rPr>
          <w:rFonts w:ascii="Arial" w:hAnsi="Arial" w:cs="Arial"/>
          <w:sz w:val="22"/>
          <w:szCs w:val="22"/>
        </w:rPr>
      </w:pPr>
      <w:r w:rsidRPr="00B81BBB">
        <w:rPr>
          <w:rFonts w:ascii="Arial" w:hAnsi="Arial" w:cs="Arial"/>
          <w:sz w:val="22"/>
          <w:szCs w:val="22"/>
        </w:rPr>
        <w:t xml:space="preserve">Following the second criterion, </w:t>
      </w:r>
      <w:r w:rsidR="007C4D4A" w:rsidRPr="00B81BBB">
        <w:rPr>
          <w:rFonts w:ascii="Arial" w:hAnsi="Arial" w:cs="Arial"/>
          <w:sz w:val="22"/>
          <w:szCs w:val="22"/>
        </w:rPr>
        <w:t>the Bank’s proposed contingent loan is an efficient option as long as its financial cost is lower than a comparable alternative, that is, a</w:t>
      </w:r>
      <w:r w:rsidR="008F4139" w:rsidRPr="00B81BBB">
        <w:rPr>
          <w:rFonts w:ascii="Arial" w:hAnsi="Arial" w:cs="Arial"/>
          <w:sz w:val="22"/>
          <w:szCs w:val="22"/>
        </w:rPr>
        <w:t>n international</w:t>
      </w:r>
      <w:r w:rsidR="007C4D4A" w:rsidRPr="00B81BBB">
        <w:rPr>
          <w:rFonts w:ascii="Arial" w:hAnsi="Arial" w:cs="Arial"/>
          <w:sz w:val="22"/>
          <w:szCs w:val="22"/>
        </w:rPr>
        <w:t xml:space="preserve"> bond issue by the </w:t>
      </w:r>
      <w:r w:rsidR="00F92F00" w:rsidRPr="00B81BBB">
        <w:rPr>
          <w:rFonts w:ascii="Arial" w:hAnsi="Arial" w:cs="Arial"/>
          <w:sz w:val="22"/>
          <w:szCs w:val="22"/>
        </w:rPr>
        <w:t>G</w:t>
      </w:r>
      <w:r w:rsidR="007C4D4A" w:rsidRPr="00B81BBB">
        <w:rPr>
          <w:rFonts w:ascii="Arial" w:hAnsi="Arial" w:cs="Arial"/>
          <w:sz w:val="22"/>
          <w:szCs w:val="22"/>
        </w:rPr>
        <w:t xml:space="preserve">overnment of </w:t>
      </w:r>
      <w:r w:rsidR="00AC4EBB">
        <w:rPr>
          <w:rFonts w:ascii="Arial" w:hAnsi="Arial" w:cs="Arial"/>
          <w:sz w:val="22"/>
          <w:szCs w:val="22"/>
        </w:rPr>
        <w:t>Guyana</w:t>
      </w:r>
      <w:r w:rsidR="007C4D4A" w:rsidRPr="00B81BBB">
        <w:rPr>
          <w:rFonts w:ascii="Arial" w:hAnsi="Arial" w:cs="Arial"/>
          <w:sz w:val="22"/>
          <w:szCs w:val="22"/>
        </w:rPr>
        <w:t xml:space="preserve">. </w:t>
      </w:r>
    </w:p>
    <w:p w14:paraId="12C6309C" w14:textId="367493CB" w:rsidR="00130640" w:rsidRPr="00130640" w:rsidRDefault="00130640" w:rsidP="0011629A">
      <w:pPr>
        <w:pStyle w:val="Paragraph"/>
        <w:tabs>
          <w:tab w:val="clear" w:pos="3600"/>
        </w:tabs>
        <w:autoSpaceDE w:val="0"/>
        <w:autoSpaceDN w:val="0"/>
        <w:adjustRightInd w:val="0"/>
        <w:ind w:left="720" w:hanging="720"/>
        <w:rPr>
          <w:rFonts w:ascii="Arial" w:hAnsi="Arial" w:cs="Arial"/>
          <w:sz w:val="20"/>
        </w:rPr>
      </w:pPr>
      <w:r w:rsidRPr="00130640">
        <w:rPr>
          <w:rFonts w:ascii="Arial" w:hAnsi="Arial" w:cs="Arial"/>
          <w:sz w:val="22"/>
          <w:szCs w:val="18"/>
        </w:rPr>
        <w:t xml:space="preserve">The Bank has classified </w:t>
      </w:r>
      <w:r w:rsidR="0011629A" w:rsidRPr="00130640">
        <w:rPr>
          <w:rFonts w:ascii="Arial" w:hAnsi="Arial" w:cs="Arial"/>
          <w:sz w:val="22"/>
          <w:szCs w:val="18"/>
        </w:rPr>
        <w:t xml:space="preserve">Guyana as eligible </w:t>
      </w:r>
      <w:r w:rsidRPr="00130640">
        <w:rPr>
          <w:rFonts w:ascii="Arial" w:hAnsi="Arial" w:cs="Arial"/>
          <w:sz w:val="22"/>
          <w:szCs w:val="18"/>
        </w:rPr>
        <w:t xml:space="preserve">to access the allocation of concessional resources. Therefore, the final cost of the resources of an IDB loan for </w:t>
      </w:r>
      <w:r w:rsidR="000D3DC8">
        <w:rPr>
          <w:rFonts w:ascii="Arial" w:hAnsi="Arial" w:cs="Arial"/>
          <w:sz w:val="22"/>
          <w:szCs w:val="18"/>
        </w:rPr>
        <w:t xml:space="preserve">Guyana </w:t>
      </w:r>
      <w:r w:rsidRPr="00130640">
        <w:rPr>
          <w:rFonts w:ascii="Arial" w:hAnsi="Arial" w:cs="Arial"/>
          <w:sz w:val="22"/>
          <w:szCs w:val="18"/>
        </w:rPr>
        <w:t xml:space="preserve">would be a combination of the cost of </w:t>
      </w:r>
      <w:r w:rsidR="000D3DC8">
        <w:rPr>
          <w:rFonts w:ascii="Arial" w:hAnsi="Arial" w:cs="Arial"/>
          <w:sz w:val="22"/>
          <w:szCs w:val="18"/>
        </w:rPr>
        <w:t xml:space="preserve">regular Ordinary Capital (OC) </w:t>
      </w:r>
      <w:r w:rsidRPr="00130640">
        <w:rPr>
          <w:rFonts w:ascii="Arial" w:hAnsi="Arial" w:cs="Arial"/>
          <w:sz w:val="22"/>
          <w:szCs w:val="18"/>
        </w:rPr>
        <w:lastRenderedPageBreak/>
        <w:t xml:space="preserve">resources and the cost of </w:t>
      </w:r>
      <w:r w:rsidR="000D3DC8">
        <w:rPr>
          <w:rFonts w:ascii="Arial" w:hAnsi="Arial" w:cs="Arial"/>
          <w:sz w:val="22"/>
          <w:szCs w:val="18"/>
        </w:rPr>
        <w:t>OC concessional res</w:t>
      </w:r>
      <w:r w:rsidRPr="00130640">
        <w:rPr>
          <w:rFonts w:ascii="Arial" w:hAnsi="Arial" w:cs="Arial"/>
          <w:sz w:val="22"/>
          <w:szCs w:val="18"/>
        </w:rPr>
        <w:t>ources according to the combination established for the country (</w:t>
      </w:r>
      <w:r w:rsidR="000D3DC8">
        <w:rPr>
          <w:rFonts w:ascii="Arial" w:hAnsi="Arial" w:cs="Arial"/>
          <w:sz w:val="22"/>
          <w:szCs w:val="18"/>
        </w:rPr>
        <w:t>currently</w:t>
      </w:r>
      <w:r w:rsidRPr="00130640">
        <w:rPr>
          <w:rFonts w:ascii="Arial" w:hAnsi="Arial" w:cs="Arial"/>
          <w:sz w:val="22"/>
          <w:szCs w:val="18"/>
        </w:rPr>
        <w:t xml:space="preserve">, </w:t>
      </w:r>
      <w:r w:rsidR="000D3DC8">
        <w:rPr>
          <w:rFonts w:ascii="Arial" w:hAnsi="Arial" w:cs="Arial"/>
          <w:sz w:val="22"/>
          <w:szCs w:val="18"/>
        </w:rPr>
        <w:t>70</w:t>
      </w:r>
      <w:r w:rsidRPr="00130640">
        <w:rPr>
          <w:rFonts w:ascii="Arial" w:hAnsi="Arial" w:cs="Arial"/>
          <w:sz w:val="22"/>
          <w:szCs w:val="18"/>
        </w:rPr>
        <w:t xml:space="preserve">% </w:t>
      </w:r>
      <w:r w:rsidR="000D3DC8">
        <w:rPr>
          <w:rFonts w:ascii="Arial" w:hAnsi="Arial" w:cs="Arial"/>
          <w:sz w:val="22"/>
          <w:szCs w:val="18"/>
        </w:rPr>
        <w:t xml:space="preserve">OC regular </w:t>
      </w:r>
      <w:r w:rsidRPr="00130640">
        <w:rPr>
          <w:rFonts w:ascii="Arial" w:hAnsi="Arial" w:cs="Arial"/>
          <w:sz w:val="22"/>
          <w:szCs w:val="18"/>
        </w:rPr>
        <w:t>-</w:t>
      </w:r>
      <w:r w:rsidR="000D3DC8">
        <w:rPr>
          <w:rFonts w:ascii="Arial" w:hAnsi="Arial" w:cs="Arial"/>
          <w:sz w:val="22"/>
          <w:szCs w:val="18"/>
        </w:rPr>
        <w:t xml:space="preserve"> 3</w:t>
      </w:r>
      <w:r w:rsidRPr="00130640">
        <w:rPr>
          <w:rFonts w:ascii="Arial" w:hAnsi="Arial" w:cs="Arial"/>
          <w:sz w:val="22"/>
          <w:szCs w:val="18"/>
        </w:rPr>
        <w:t>0%</w:t>
      </w:r>
      <w:r w:rsidR="000D3DC8">
        <w:rPr>
          <w:rFonts w:ascii="Arial" w:hAnsi="Arial" w:cs="Arial"/>
          <w:sz w:val="22"/>
          <w:szCs w:val="18"/>
        </w:rPr>
        <w:t xml:space="preserve"> OC concessional</w:t>
      </w:r>
      <w:r w:rsidRPr="00130640">
        <w:rPr>
          <w:rFonts w:ascii="Arial" w:hAnsi="Arial" w:cs="Arial"/>
          <w:sz w:val="22"/>
          <w:szCs w:val="18"/>
        </w:rPr>
        <w:t xml:space="preserve">). Given that the interest rate on </w:t>
      </w:r>
      <w:r w:rsidR="000D3DC8">
        <w:rPr>
          <w:rFonts w:ascii="Arial" w:hAnsi="Arial" w:cs="Arial"/>
          <w:sz w:val="22"/>
          <w:szCs w:val="18"/>
        </w:rPr>
        <w:t xml:space="preserve">OC concessional </w:t>
      </w:r>
      <w:r w:rsidRPr="00130640">
        <w:rPr>
          <w:rFonts w:ascii="Arial" w:hAnsi="Arial" w:cs="Arial"/>
          <w:sz w:val="22"/>
          <w:szCs w:val="18"/>
        </w:rPr>
        <w:t xml:space="preserve">resources remains fixed (25bp) and that the positive evolution of the country's macroeconomic performance could imply a lower allocation of </w:t>
      </w:r>
      <w:r w:rsidR="00092C9D">
        <w:rPr>
          <w:rFonts w:ascii="Arial" w:hAnsi="Arial" w:cs="Arial"/>
          <w:sz w:val="22"/>
          <w:szCs w:val="18"/>
        </w:rPr>
        <w:t xml:space="preserve">concessional </w:t>
      </w:r>
      <w:r w:rsidRPr="00130640">
        <w:rPr>
          <w:rFonts w:ascii="Arial" w:hAnsi="Arial" w:cs="Arial"/>
          <w:sz w:val="22"/>
          <w:szCs w:val="18"/>
        </w:rPr>
        <w:t xml:space="preserve">resources, the analysis presented below, including sensitivity analysis, focuses on the portion of financial cost that corresponds to </w:t>
      </w:r>
      <w:r w:rsidR="00092C9D">
        <w:rPr>
          <w:rFonts w:ascii="Arial" w:hAnsi="Arial" w:cs="Arial"/>
          <w:sz w:val="22"/>
          <w:szCs w:val="18"/>
        </w:rPr>
        <w:t>OC</w:t>
      </w:r>
      <w:r w:rsidRPr="00130640">
        <w:rPr>
          <w:rFonts w:ascii="Arial" w:hAnsi="Arial" w:cs="Arial"/>
          <w:sz w:val="22"/>
          <w:szCs w:val="18"/>
        </w:rPr>
        <w:t xml:space="preserve"> </w:t>
      </w:r>
      <w:r w:rsidR="00092C9D">
        <w:rPr>
          <w:rFonts w:ascii="Arial" w:hAnsi="Arial" w:cs="Arial"/>
          <w:sz w:val="22"/>
          <w:szCs w:val="18"/>
        </w:rPr>
        <w:t xml:space="preserve">regular </w:t>
      </w:r>
      <w:r w:rsidRPr="00130640">
        <w:rPr>
          <w:rFonts w:ascii="Arial" w:hAnsi="Arial" w:cs="Arial"/>
          <w:sz w:val="22"/>
          <w:szCs w:val="18"/>
        </w:rPr>
        <w:t xml:space="preserve">resources. The cost of the </w:t>
      </w:r>
      <w:r w:rsidR="00092C9D">
        <w:rPr>
          <w:rFonts w:ascii="Arial" w:hAnsi="Arial" w:cs="Arial"/>
          <w:sz w:val="22"/>
          <w:szCs w:val="18"/>
        </w:rPr>
        <w:t>OC concessional</w:t>
      </w:r>
      <w:r w:rsidRPr="00130640">
        <w:rPr>
          <w:rFonts w:ascii="Arial" w:hAnsi="Arial" w:cs="Arial"/>
          <w:sz w:val="22"/>
          <w:szCs w:val="18"/>
        </w:rPr>
        <w:t xml:space="preserve"> resources will be incorporated in the final calculations necessary to determine the evaluation of the effectiveness based on the cost of the project.</w:t>
      </w:r>
    </w:p>
    <w:p w14:paraId="347519D5" w14:textId="6E021321" w:rsidR="0011629A" w:rsidRPr="0011629A" w:rsidRDefault="007C4D4A" w:rsidP="0011629A">
      <w:pPr>
        <w:pStyle w:val="Paragraph"/>
        <w:tabs>
          <w:tab w:val="clear" w:pos="3600"/>
        </w:tabs>
        <w:autoSpaceDE w:val="0"/>
        <w:autoSpaceDN w:val="0"/>
        <w:adjustRightInd w:val="0"/>
        <w:ind w:left="720" w:hanging="720"/>
        <w:rPr>
          <w:rFonts w:ascii="Arial" w:hAnsi="Arial" w:cs="Arial"/>
          <w:sz w:val="22"/>
          <w:szCs w:val="22"/>
        </w:rPr>
      </w:pPr>
      <w:r w:rsidRPr="00B81BBB">
        <w:rPr>
          <w:rFonts w:ascii="Arial" w:hAnsi="Arial" w:cs="Arial"/>
          <w:sz w:val="22"/>
          <w:szCs w:val="22"/>
        </w:rPr>
        <w:t>The financial cost of the Bank’s loan</w:t>
      </w:r>
      <w:r w:rsidR="00237210" w:rsidRPr="00B81BBB">
        <w:rPr>
          <w:rStyle w:val="FootnoteReference"/>
          <w:rFonts w:ascii="Arial" w:hAnsi="Arial" w:cs="Arial"/>
          <w:sz w:val="22"/>
          <w:szCs w:val="22"/>
        </w:rPr>
        <w:footnoteReference w:id="23"/>
      </w:r>
      <w:r w:rsidRPr="00B81BBB">
        <w:rPr>
          <w:rFonts w:ascii="Arial" w:hAnsi="Arial" w:cs="Arial"/>
          <w:sz w:val="22"/>
          <w:szCs w:val="22"/>
        </w:rPr>
        <w:t xml:space="preserve"> is set by the 3-month LIBOR rate (currently </w:t>
      </w:r>
      <w:r w:rsidR="00126571" w:rsidRPr="00B81BBB">
        <w:rPr>
          <w:rFonts w:ascii="Arial" w:hAnsi="Arial" w:cs="Arial"/>
          <w:sz w:val="22"/>
          <w:szCs w:val="22"/>
        </w:rPr>
        <w:t xml:space="preserve">at </w:t>
      </w:r>
      <w:r w:rsidR="00AC4EBB">
        <w:rPr>
          <w:rFonts w:ascii="Arial" w:hAnsi="Arial" w:cs="Arial"/>
          <w:sz w:val="22"/>
          <w:szCs w:val="22"/>
        </w:rPr>
        <w:t>122</w:t>
      </w:r>
      <w:r w:rsidR="007A190B" w:rsidRPr="00B81BBB">
        <w:rPr>
          <w:rFonts w:ascii="Arial" w:hAnsi="Arial" w:cs="Arial"/>
          <w:sz w:val="22"/>
          <w:szCs w:val="22"/>
        </w:rPr>
        <w:t xml:space="preserve"> </w:t>
      </w:r>
      <w:r w:rsidR="00126571" w:rsidRPr="00B81BBB">
        <w:rPr>
          <w:rFonts w:ascii="Arial" w:hAnsi="Arial" w:cs="Arial"/>
          <w:sz w:val="22"/>
          <w:szCs w:val="22"/>
        </w:rPr>
        <w:t xml:space="preserve">basis points), plus a funding margin of </w:t>
      </w:r>
      <w:r w:rsidR="00AC4EBB">
        <w:rPr>
          <w:rFonts w:ascii="Arial" w:hAnsi="Arial" w:cs="Arial"/>
          <w:sz w:val="22"/>
          <w:szCs w:val="22"/>
        </w:rPr>
        <w:t>9</w:t>
      </w:r>
      <w:r w:rsidR="00C624EF" w:rsidRPr="00B81BBB">
        <w:rPr>
          <w:rFonts w:ascii="Arial" w:hAnsi="Arial" w:cs="Arial"/>
          <w:sz w:val="22"/>
          <w:szCs w:val="22"/>
        </w:rPr>
        <w:t xml:space="preserve"> </w:t>
      </w:r>
      <w:r w:rsidR="00126571" w:rsidRPr="00B81BBB">
        <w:rPr>
          <w:rFonts w:ascii="Arial" w:hAnsi="Arial" w:cs="Arial"/>
          <w:sz w:val="22"/>
          <w:szCs w:val="22"/>
        </w:rPr>
        <w:t xml:space="preserve">basis points (bps) and a lending spread of </w:t>
      </w:r>
      <w:r w:rsidR="00AC4EBB">
        <w:rPr>
          <w:rFonts w:ascii="Arial" w:hAnsi="Arial" w:cs="Arial"/>
          <w:sz w:val="22"/>
          <w:szCs w:val="22"/>
        </w:rPr>
        <w:t>80</w:t>
      </w:r>
      <w:r w:rsidR="00126571" w:rsidRPr="00B81BBB">
        <w:rPr>
          <w:rFonts w:ascii="Arial" w:hAnsi="Arial" w:cs="Arial"/>
          <w:sz w:val="22"/>
          <w:szCs w:val="22"/>
        </w:rPr>
        <w:t xml:space="preserve"> bps, which is determined by the Finance Department every 6 months. This implies a financial cost of </w:t>
      </w:r>
      <w:r w:rsidR="00AC4EBB" w:rsidRPr="00AC4EBB">
        <w:rPr>
          <w:rFonts w:ascii="Arial" w:hAnsi="Arial" w:cs="Arial"/>
          <w:b/>
          <w:bCs/>
          <w:sz w:val="22"/>
          <w:szCs w:val="22"/>
        </w:rPr>
        <w:t>211</w:t>
      </w:r>
      <w:r w:rsidR="00C44266" w:rsidRPr="00B81BBB">
        <w:rPr>
          <w:rFonts w:ascii="Arial" w:hAnsi="Arial" w:cs="Arial"/>
          <w:b/>
          <w:sz w:val="22"/>
          <w:szCs w:val="22"/>
        </w:rPr>
        <w:t xml:space="preserve"> </w:t>
      </w:r>
      <w:r w:rsidR="00126571" w:rsidRPr="00B81BBB">
        <w:rPr>
          <w:rFonts w:ascii="Arial" w:hAnsi="Arial" w:cs="Arial"/>
          <w:b/>
          <w:sz w:val="22"/>
          <w:szCs w:val="22"/>
        </w:rPr>
        <w:t>bps</w:t>
      </w:r>
      <w:r w:rsidR="00126571" w:rsidRPr="00B81BBB">
        <w:rPr>
          <w:rFonts w:ascii="Arial" w:hAnsi="Arial" w:cs="Arial"/>
          <w:sz w:val="22"/>
          <w:szCs w:val="22"/>
        </w:rPr>
        <w:t xml:space="preserve"> </w:t>
      </w:r>
      <w:r w:rsidR="00EE2691" w:rsidRPr="00B81BBB">
        <w:rPr>
          <w:rFonts w:ascii="Arial" w:hAnsi="Arial" w:cs="Arial"/>
          <w:sz w:val="22"/>
          <w:szCs w:val="22"/>
        </w:rPr>
        <w:t xml:space="preserve">that would apply to resources from Ordinary Capital. </w:t>
      </w:r>
      <w:r w:rsidR="00122EDF" w:rsidRPr="00B81BBB">
        <w:rPr>
          <w:rFonts w:ascii="Arial" w:hAnsi="Arial" w:cs="Arial"/>
          <w:sz w:val="22"/>
          <w:szCs w:val="22"/>
        </w:rPr>
        <w:t xml:space="preserve">The </w:t>
      </w:r>
      <w:r w:rsidR="000149DF" w:rsidRPr="00B81BBB">
        <w:rPr>
          <w:rFonts w:ascii="Arial" w:hAnsi="Arial" w:cs="Arial"/>
          <w:sz w:val="22"/>
          <w:szCs w:val="22"/>
        </w:rPr>
        <w:t xml:space="preserve">LIBOR rate could </w:t>
      </w:r>
      <w:r w:rsidR="00B805B0" w:rsidRPr="00B81BBB">
        <w:rPr>
          <w:rFonts w:ascii="Arial" w:hAnsi="Arial" w:cs="Arial"/>
          <w:sz w:val="22"/>
          <w:szCs w:val="22"/>
        </w:rPr>
        <w:t xml:space="preserve">still </w:t>
      </w:r>
      <w:r w:rsidR="000149DF" w:rsidRPr="00B81BBB">
        <w:rPr>
          <w:rFonts w:ascii="Arial" w:hAnsi="Arial" w:cs="Arial"/>
          <w:sz w:val="22"/>
          <w:szCs w:val="22"/>
        </w:rPr>
        <w:t xml:space="preserve">increase during the </w:t>
      </w:r>
      <w:r w:rsidR="00B805B0" w:rsidRPr="00B81BBB">
        <w:rPr>
          <w:rFonts w:ascii="Arial" w:hAnsi="Arial" w:cs="Arial"/>
          <w:sz w:val="22"/>
          <w:szCs w:val="22"/>
        </w:rPr>
        <w:t xml:space="preserve">short </w:t>
      </w:r>
      <w:r w:rsidR="00864DF2" w:rsidRPr="00B81BBB">
        <w:rPr>
          <w:rFonts w:ascii="Arial" w:hAnsi="Arial" w:cs="Arial"/>
          <w:sz w:val="22"/>
          <w:szCs w:val="22"/>
        </w:rPr>
        <w:t xml:space="preserve">lifespan of the Bank’s loan since </w:t>
      </w:r>
      <w:r w:rsidR="000149DF" w:rsidRPr="00B81BBB">
        <w:rPr>
          <w:rFonts w:ascii="Arial" w:hAnsi="Arial" w:cs="Arial"/>
          <w:sz w:val="22"/>
          <w:szCs w:val="22"/>
        </w:rPr>
        <w:t xml:space="preserve">it is still </w:t>
      </w:r>
      <w:r w:rsidR="00864DF2" w:rsidRPr="00B81BBB">
        <w:rPr>
          <w:rFonts w:ascii="Arial" w:hAnsi="Arial" w:cs="Arial"/>
          <w:sz w:val="22"/>
          <w:szCs w:val="22"/>
        </w:rPr>
        <w:t>low</w:t>
      </w:r>
      <w:r w:rsidR="000149DF" w:rsidRPr="00B81BBB">
        <w:rPr>
          <w:rFonts w:ascii="Arial" w:hAnsi="Arial" w:cs="Arial"/>
          <w:sz w:val="22"/>
          <w:szCs w:val="22"/>
        </w:rPr>
        <w:t xml:space="preserve"> by historical standards</w:t>
      </w:r>
      <w:r w:rsidR="00864DF2" w:rsidRPr="00B81BBB">
        <w:rPr>
          <w:rFonts w:ascii="Arial" w:hAnsi="Arial" w:cs="Arial"/>
          <w:sz w:val="22"/>
          <w:szCs w:val="22"/>
        </w:rPr>
        <w:t xml:space="preserve">. Nevertheless, the country could opt for a fixed LIBOR rate to hedge against the risk of unfavorable movements in interest rates. If that were the case, </w:t>
      </w:r>
      <w:r w:rsidR="00084C22" w:rsidRPr="00B81BBB">
        <w:rPr>
          <w:rFonts w:ascii="Arial" w:hAnsi="Arial" w:cs="Arial"/>
          <w:sz w:val="22"/>
          <w:szCs w:val="22"/>
        </w:rPr>
        <w:t xml:space="preserve">the cost of the Bank’s loan would </w:t>
      </w:r>
      <w:r w:rsidR="0011629A">
        <w:rPr>
          <w:rFonts w:ascii="Arial" w:hAnsi="Arial" w:cs="Arial"/>
          <w:sz w:val="22"/>
          <w:szCs w:val="22"/>
        </w:rPr>
        <w:t>be</w:t>
      </w:r>
      <w:r w:rsidR="00AE1208" w:rsidRPr="00B81BBB">
        <w:rPr>
          <w:rFonts w:ascii="Arial" w:hAnsi="Arial" w:cs="Arial"/>
          <w:sz w:val="22"/>
          <w:szCs w:val="22"/>
        </w:rPr>
        <w:t xml:space="preserve"> </w:t>
      </w:r>
      <w:r w:rsidR="00AC4EBB" w:rsidRPr="00AC4EBB">
        <w:rPr>
          <w:rFonts w:ascii="Arial" w:hAnsi="Arial" w:cs="Arial"/>
          <w:b/>
          <w:bCs/>
          <w:sz w:val="22"/>
          <w:szCs w:val="22"/>
        </w:rPr>
        <w:t>185</w:t>
      </w:r>
      <w:r w:rsidR="00987C15">
        <w:rPr>
          <w:rFonts w:ascii="Arial" w:hAnsi="Arial" w:cs="Arial"/>
          <w:b/>
          <w:sz w:val="22"/>
          <w:szCs w:val="22"/>
        </w:rPr>
        <w:t> </w:t>
      </w:r>
      <w:r w:rsidR="00084C22" w:rsidRPr="00B81BBB">
        <w:rPr>
          <w:rFonts w:ascii="Arial" w:hAnsi="Arial" w:cs="Arial"/>
          <w:b/>
          <w:sz w:val="22"/>
          <w:szCs w:val="22"/>
        </w:rPr>
        <w:t>bps</w:t>
      </w:r>
      <w:r w:rsidR="00237210" w:rsidRPr="00B81BBB">
        <w:rPr>
          <w:rFonts w:ascii="Arial" w:hAnsi="Arial" w:cs="Arial"/>
          <w:sz w:val="22"/>
          <w:szCs w:val="22"/>
        </w:rPr>
        <w:t>.</w:t>
      </w:r>
      <w:r w:rsidR="00D14F06" w:rsidRPr="00B81BBB">
        <w:rPr>
          <w:rStyle w:val="FootnoteReference"/>
          <w:rFonts w:ascii="Arial" w:hAnsi="Arial" w:cs="Arial"/>
          <w:sz w:val="22"/>
          <w:szCs w:val="22"/>
        </w:rPr>
        <w:footnoteReference w:id="24"/>
      </w:r>
      <w:r w:rsidR="00AC4EBB" w:rsidRPr="00AC4EBB">
        <w:rPr>
          <w:rFonts w:ascii="Arial" w:hAnsi="Arial" w:cs="Arial"/>
          <w:sz w:val="22"/>
          <w:szCs w:val="22"/>
          <w:vertAlign w:val="superscript"/>
        </w:rPr>
        <w:t>,</w:t>
      </w:r>
      <w:r w:rsidR="00AC4EBB">
        <w:rPr>
          <w:rStyle w:val="FootnoteReference"/>
          <w:rFonts w:ascii="Arial" w:hAnsi="Arial" w:cs="Arial"/>
          <w:sz w:val="22"/>
          <w:szCs w:val="22"/>
        </w:rPr>
        <w:footnoteReference w:id="25"/>
      </w:r>
    </w:p>
    <w:p w14:paraId="15EA18A8" w14:textId="16CF9433" w:rsidR="00437E00" w:rsidRPr="00B81BBB" w:rsidRDefault="00C203F8" w:rsidP="00A72CEB">
      <w:pPr>
        <w:pStyle w:val="Paragraph"/>
        <w:tabs>
          <w:tab w:val="clear" w:pos="3600"/>
        </w:tabs>
        <w:autoSpaceDE w:val="0"/>
        <w:autoSpaceDN w:val="0"/>
        <w:adjustRightInd w:val="0"/>
        <w:ind w:left="720" w:hanging="720"/>
        <w:rPr>
          <w:rFonts w:ascii="Arial" w:hAnsi="Arial" w:cs="Arial"/>
          <w:b/>
          <w:sz w:val="22"/>
          <w:szCs w:val="22"/>
        </w:rPr>
      </w:pPr>
      <w:r w:rsidRPr="00B81BBB">
        <w:rPr>
          <w:rFonts w:ascii="Arial" w:hAnsi="Arial" w:cs="Arial"/>
          <w:sz w:val="22"/>
          <w:szCs w:val="22"/>
        </w:rPr>
        <w:t>Regarding the option of issuing sovereign bonds with a 10-year maturity</w:t>
      </w:r>
      <w:r w:rsidR="00463544">
        <w:rPr>
          <w:rFonts w:ascii="Arial" w:hAnsi="Arial" w:cs="Arial"/>
          <w:sz w:val="22"/>
          <w:szCs w:val="22"/>
        </w:rPr>
        <w:t xml:space="preserve">, Guyana has not made any recent bond issuance that would provide an estimated financing cost of the country to access international financial markets. </w:t>
      </w:r>
      <w:r w:rsidR="00943569">
        <w:rPr>
          <w:rFonts w:ascii="Arial" w:hAnsi="Arial" w:cs="Arial"/>
          <w:sz w:val="22"/>
          <w:szCs w:val="22"/>
        </w:rPr>
        <w:t>In 2017, the government-owned National Industrial and Commercial Investments Limited (NICIL) issued a 5-year syndicated external bond at a rate of 475bps. However, the bond issuance also had company’s assets as collateral in addition to the sovereign guarantee</w:t>
      </w:r>
      <w:r w:rsidR="00865637">
        <w:rPr>
          <w:rFonts w:ascii="Arial" w:hAnsi="Arial" w:cs="Arial"/>
          <w:sz w:val="22"/>
          <w:szCs w:val="22"/>
        </w:rPr>
        <w:t xml:space="preserve"> thus it does not provide an adequate estimation of Guyana’s market access financing conditions</w:t>
      </w:r>
      <w:r w:rsidR="00943569">
        <w:rPr>
          <w:rFonts w:ascii="Arial" w:hAnsi="Arial" w:cs="Arial"/>
          <w:sz w:val="22"/>
          <w:szCs w:val="22"/>
        </w:rPr>
        <w:t xml:space="preserve">. </w:t>
      </w:r>
      <w:r w:rsidR="00463544">
        <w:rPr>
          <w:rFonts w:ascii="Arial" w:hAnsi="Arial" w:cs="Arial"/>
          <w:sz w:val="22"/>
          <w:szCs w:val="22"/>
        </w:rPr>
        <w:t>Guyana has no credit rating by any major credit rating agency either</w:t>
      </w:r>
      <w:r w:rsidR="00B81476">
        <w:rPr>
          <w:rFonts w:ascii="Arial" w:hAnsi="Arial" w:cs="Arial"/>
          <w:sz w:val="22"/>
          <w:szCs w:val="22"/>
        </w:rPr>
        <w:t>, therefore other information was used to determine market rates for the country</w:t>
      </w:r>
      <w:r w:rsidR="00865637">
        <w:rPr>
          <w:rFonts w:ascii="Arial" w:hAnsi="Arial" w:cs="Arial"/>
          <w:sz w:val="22"/>
          <w:szCs w:val="22"/>
        </w:rPr>
        <w:t xml:space="preserve">. </w:t>
      </w:r>
      <w:r w:rsidR="00E07C77">
        <w:rPr>
          <w:rFonts w:ascii="Arial" w:hAnsi="Arial" w:cs="Arial"/>
          <w:sz w:val="22"/>
          <w:szCs w:val="22"/>
        </w:rPr>
        <w:t>On the o</w:t>
      </w:r>
      <w:r w:rsidR="00B81476">
        <w:rPr>
          <w:rFonts w:ascii="Arial" w:hAnsi="Arial" w:cs="Arial"/>
          <w:sz w:val="22"/>
          <w:szCs w:val="22"/>
        </w:rPr>
        <w:t xml:space="preserve">ne </w:t>
      </w:r>
      <w:r w:rsidR="00E07C77">
        <w:rPr>
          <w:rFonts w:ascii="Arial" w:hAnsi="Arial" w:cs="Arial"/>
          <w:sz w:val="22"/>
          <w:szCs w:val="22"/>
        </w:rPr>
        <w:t>hand, t</w:t>
      </w:r>
      <w:r w:rsidR="00865637">
        <w:rPr>
          <w:rFonts w:ascii="Arial" w:hAnsi="Arial" w:cs="Arial"/>
          <w:sz w:val="22"/>
          <w:szCs w:val="22"/>
        </w:rPr>
        <w:t>he country’s credit default spread</w:t>
      </w:r>
      <w:r w:rsidR="00E07C77">
        <w:rPr>
          <w:rFonts w:ascii="Arial" w:hAnsi="Arial" w:cs="Arial"/>
          <w:sz w:val="22"/>
          <w:szCs w:val="22"/>
        </w:rPr>
        <w:t xml:space="preserve"> was estimated</w:t>
      </w:r>
      <w:r w:rsidR="00865637">
        <w:rPr>
          <w:rFonts w:ascii="Arial" w:hAnsi="Arial" w:cs="Arial"/>
          <w:sz w:val="22"/>
          <w:szCs w:val="22"/>
        </w:rPr>
        <w:t xml:space="preserve"> at</w:t>
      </w:r>
      <w:r w:rsidR="00A72CEB" w:rsidRPr="00B81BBB">
        <w:rPr>
          <w:rFonts w:ascii="Arial" w:hAnsi="Arial" w:cs="Arial"/>
          <w:b/>
          <w:sz w:val="22"/>
          <w:szCs w:val="22"/>
        </w:rPr>
        <w:t xml:space="preserve"> </w:t>
      </w:r>
      <w:r w:rsidR="00865637">
        <w:rPr>
          <w:rFonts w:ascii="Arial" w:hAnsi="Arial" w:cs="Arial"/>
          <w:bCs/>
          <w:sz w:val="22"/>
          <w:szCs w:val="22"/>
        </w:rPr>
        <w:t>508 bps, which added to the risk-free rate would entail a rate of 578 bps.</w:t>
      </w:r>
      <w:r w:rsidR="00865637">
        <w:rPr>
          <w:rStyle w:val="FootnoteReference"/>
          <w:rFonts w:ascii="Arial" w:hAnsi="Arial" w:cs="Arial"/>
          <w:bCs/>
          <w:sz w:val="22"/>
          <w:szCs w:val="22"/>
        </w:rPr>
        <w:footnoteReference w:id="26"/>
      </w:r>
      <w:r w:rsidR="00865637">
        <w:rPr>
          <w:rFonts w:ascii="Arial" w:hAnsi="Arial" w:cs="Arial"/>
          <w:bCs/>
          <w:sz w:val="22"/>
          <w:szCs w:val="22"/>
        </w:rPr>
        <w:t xml:space="preserve"> </w:t>
      </w:r>
      <w:r w:rsidR="00B81476">
        <w:rPr>
          <w:rFonts w:ascii="Arial" w:hAnsi="Arial" w:cs="Arial"/>
          <w:bCs/>
          <w:sz w:val="22"/>
          <w:szCs w:val="22"/>
        </w:rPr>
        <w:t xml:space="preserve">On the other hand, a shadow rating </w:t>
      </w:r>
      <w:r w:rsidR="005A2D7A">
        <w:rPr>
          <w:rFonts w:ascii="Arial" w:hAnsi="Arial" w:cs="Arial"/>
          <w:bCs/>
          <w:sz w:val="22"/>
          <w:szCs w:val="22"/>
        </w:rPr>
        <w:t xml:space="preserve">of BB- has been estimated </w:t>
      </w:r>
      <w:r w:rsidR="00B81476">
        <w:rPr>
          <w:rFonts w:ascii="Arial" w:hAnsi="Arial" w:cs="Arial"/>
          <w:bCs/>
          <w:sz w:val="22"/>
          <w:szCs w:val="22"/>
        </w:rPr>
        <w:t>for</w:t>
      </w:r>
      <w:r w:rsidR="005A2D7A">
        <w:rPr>
          <w:rFonts w:ascii="Arial" w:hAnsi="Arial" w:cs="Arial"/>
          <w:bCs/>
          <w:sz w:val="22"/>
          <w:szCs w:val="22"/>
        </w:rPr>
        <w:t xml:space="preserve"> Guyana.</w:t>
      </w:r>
      <w:r w:rsidR="0024312E">
        <w:rPr>
          <w:rStyle w:val="FootnoteReference"/>
          <w:rFonts w:ascii="Arial" w:hAnsi="Arial" w:cs="Arial"/>
          <w:bCs/>
          <w:sz w:val="22"/>
          <w:szCs w:val="22"/>
        </w:rPr>
        <w:footnoteReference w:id="27"/>
      </w:r>
      <w:r w:rsidR="005A2D7A">
        <w:rPr>
          <w:rFonts w:ascii="Arial" w:hAnsi="Arial" w:cs="Arial"/>
          <w:bCs/>
          <w:sz w:val="22"/>
          <w:szCs w:val="22"/>
        </w:rPr>
        <w:t xml:space="preserve"> Using this rating</w:t>
      </w:r>
      <w:r w:rsidR="0024312E">
        <w:rPr>
          <w:rFonts w:ascii="Arial" w:hAnsi="Arial" w:cs="Arial"/>
          <w:bCs/>
          <w:sz w:val="22"/>
          <w:szCs w:val="22"/>
        </w:rPr>
        <w:t>, yields of sovereign international bonds with similar rating were averaged to estimate a rate for Guyana.</w:t>
      </w:r>
      <w:r w:rsidR="005A2D7A">
        <w:rPr>
          <w:rFonts w:ascii="Arial" w:hAnsi="Arial" w:cs="Arial"/>
          <w:bCs/>
          <w:sz w:val="22"/>
          <w:szCs w:val="22"/>
        </w:rPr>
        <w:t xml:space="preserve"> </w:t>
      </w:r>
      <w:r w:rsidR="00737B9B" w:rsidRPr="00B81BBB">
        <w:rPr>
          <w:rFonts w:ascii="Arial" w:hAnsi="Arial" w:cs="Arial"/>
          <w:sz w:val="22"/>
          <w:szCs w:val="22"/>
        </w:rPr>
        <w:t xml:space="preserve">The resulting comparable rate </w:t>
      </w:r>
      <w:r w:rsidR="00A72CEB" w:rsidRPr="00B81BBB">
        <w:rPr>
          <w:rFonts w:ascii="Arial" w:hAnsi="Arial" w:cs="Arial"/>
          <w:sz w:val="22"/>
          <w:szCs w:val="22"/>
        </w:rPr>
        <w:t>is</w:t>
      </w:r>
      <w:r w:rsidR="00737B9B" w:rsidRPr="00B81BBB">
        <w:rPr>
          <w:rFonts w:ascii="Arial" w:hAnsi="Arial" w:cs="Arial"/>
          <w:sz w:val="22"/>
          <w:szCs w:val="22"/>
        </w:rPr>
        <w:t xml:space="preserve"> </w:t>
      </w:r>
      <w:r w:rsidR="003C138B" w:rsidRPr="00E07C77">
        <w:rPr>
          <w:rFonts w:ascii="Arial" w:hAnsi="Arial" w:cs="Arial"/>
          <w:b/>
          <w:bCs/>
          <w:sz w:val="22"/>
          <w:szCs w:val="22"/>
        </w:rPr>
        <w:t>553</w:t>
      </w:r>
      <w:r w:rsidR="00737B9B" w:rsidRPr="00B81BBB">
        <w:rPr>
          <w:rFonts w:ascii="Arial" w:hAnsi="Arial" w:cs="Arial"/>
          <w:sz w:val="22"/>
          <w:szCs w:val="22"/>
        </w:rPr>
        <w:t xml:space="preserve"> </w:t>
      </w:r>
      <w:r w:rsidR="00737B9B" w:rsidRPr="00B81BBB">
        <w:rPr>
          <w:rFonts w:ascii="Arial" w:hAnsi="Arial" w:cs="Arial"/>
          <w:b/>
          <w:sz w:val="22"/>
          <w:szCs w:val="22"/>
        </w:rPr>
        <w:t>bps</w:t>
      </w:r>
      <w:r w:rsidR="00737B9B" w:rsidRPr="00B81BBB">
        <w:rPr>
          <w:rFonts w:ascii="Arial" w:hAnsi="Arial" w:cs="Arial"/>
          <w:sz w:val="22"/>
          <w:szCs w:val="22"/>
        </w:rPr>
        <w:t>.</w:t>
      </w:r>
      <w:r w:rsidR="0024312E">
        <w:rPr>
          <w:rFonts w:ascii="Arial" w:hAnsi="Arial" w:cs="Arial"/>
          <w:sz w:val="22"/>
          <w:szCs w:val="22"/>
        </w:rPr>
        <w:t xml:space="preserve"> This is the rate used as a conservative estimation for the purposes of this study </w:t>
      </w:r>
      <w:r w:rsidR="004D2F6B">
        <w:rPr>
          <w:rFonts w:ascii="Arial" w:hAnsi="Arial" w:cs="Arial"/>
          <w:sz w:val="22"/>
          <w:szCs w:val="22"/>
        </w:rPr>
        <w:t>which is to estimate IDB</w:t>
      </w:r>
      <w:r w:rsidR="0024312E">
        <w:rPr>
          <w:rFonts w:ascii="Arial" w:hAnsi="Arial" w:cs="Arial"/>
          <w:sz w:val="22"/>
          <w:szCs w:val="22"/>
        </w:rPr>
        <w:t xml:space="preserve"> loan’s </w:t>
      </w:r>
      <w:r w:rsidR="004D2F6B">
        <w:rPr>
          <w:rFonts w:ascii="Arial" w:hAnsi="Arial" w:cs="Arial"/>
          <w:sz w:val="22"/>
          <w:szCs w:val="22"/>
        </w:rPr>
        <w:t>cost-</w:t>
      </w:r>
      <w:r w:rsidR="0024312E">
        <w:rPr>
          <w:rFonts w:ascii="Arial" w:hAnsi="Arial" w:cs="Arial"/>
          <w:sz w:val="22"/>
          <w:szCs w:val="22"/>
        </w:rPr>
        <w:t>efficiency.</w:t>
      </w:r>
    </w:p>
    <w:p w14:paraId="1E039551" w14:textId="4C68B0DE" w:rsidR="008F30B8" w:rsidRPr="00B81BBB" w:rsidRDefault="006E1EFD" w:rsidP="002F0A8D">
      <w:pPr>
        <w:pStyle w:val="Paragraph"/>
        <w:tabs>
          <w:tab w:val="clear" w:pos="3600"/>
        </w:tabs>
        <w:autoSpaceDE w:val="0"/>
        <w:autoSpaceDN w:val="0"/>
        <w:adjustRightInd w:val="0"/>
        <w:ind w:left="720" w:hanging="720"/>
        <w:rPr>
          <w:rFonts w:ascii="Arial" w:hAnsi="Arial" w:cs="Arial"/>
          <w:sz w:val="22"/>
          <w:szCs w:val="22"/>
        </w:rPr>
      </w:pPr>
      <w:r w:rsidRPr="00B81BBB">
        <w:rPr>
          <w:rFonts w:ascii="Arial" w:hAnsi="Arial" w:cs="Arial"/>
          <w:sz w:val="22"/>
          <w:szCs w:val="22"/>
        </w:rPr>
        <w:t>If</w:t>
      </w:r>
      <w:r w:rsidR="00F46449" w:rsidRPr="00B81BBB">
        <w:rPr>
          <w:rFonts w:ascii="Arial" w:hAnsi="Arial" w:cs="Arial"/>
          <w:sz w:val="22"/>
          <w:szCs w:val="22"/>
        </w:rPr>
        <w:t xml:space="preserve"> the country’s </w:t>
      </w:r>
      <w:r w:rsidR="005B24C9" w:rsidRPr="00B81BBB">
        <w:rPr>
          <w:rFonts w:ascii="Arial" w:hAnsi="Arial" w:cs="Arial"/>
          <w:sz w:val="22"/>
          <w:szCs w:val="22"/>
        </w:rPr>
        <w:t xml:space="preserve">current </w:t>
      </w:r>
      <w:r w:rsidR="00F46449" w:rsidRPr="00B81BBB">
        <w:rPr>
          <w:rFonts w:ascii="Arial" w:hAnsi="Arial" w:cs="Arial"/>
          <w:sz w:val="22"/>
          <w:szCs w:val="22"/>
        </w:rPr>
        <w:t xml:space="preserve">borrowing conditions are likely to </w:t>
      </w:r>
      <w:r w:rsidR="005B24C9" w:rsidRPr="00B81BBB">
        <w:rPr>
          <w:rFonts w:ascii="Arial" w:hAnsi="Arial" w:cs="Arial"/>
          <w:sz w:val="22"/>
          <w:szCs w:val="22"/>
        </w:rPr>
        <w:t>continue</w:t>
      </w:r>
      <w:r w:rsidR="00EE49C5" w:rsidRPr="00B81BBB">
        <w:rPr>
          <w:rFonts w:ascii="Arial" w:hAnsi="Arial" w:cs="Arial"/>
          <w:sz w:val="22"/>
          <w:szCs w:val="22"/>
        </w:rPr>
        <w:t xml:space="preserve"> </w:t>
      </w:r>
      <w:r w:rsidR="006E12FF" w:rsidRPr="00B81BBB">
        <w:rPr>
          <w:rFonts w:ascii="Arial" w:hAnsi="Arial" w:cs="Arial"/>
          <w:sz w:val="22"/>
          <w:szCs w:val="22"/>
        </w:rPr>
        <w:t>in the near</w:t>
      </w:r>
      <w:r w:rsidR="0045688F" w:rsidRPr="00B81BBB">
        <w:rPr>
          <w:rFonts w:ascii="Arial" w:hAnsi="Arial" w:cs="Arial"/>
          <w:sz w:val="22"/>
          <w:szCs w:val="22"/>
        </w:rPr>
        <w:noBreakHyphen/>
      </w:r>
      <w:r w:rsidR="006E12FF" w:rsidRPr="00B81BBB">
        <w:rPr>
          <w:rFonts w:ascii="Arial" w:hAnsi="Arial" w:cs="Arial"/>
          <w:sz w:val="22"/>
          <w:szCs w:val="22"/>
        </w:rPr>
        <w:t>to</w:t>
      </w:r>
      <w:r w:rsidR="0045688F" w:rsidRPr="00B81BBB">
        <w:rPr>
          <w:rFonts w:ascii="Arial" w:hAnsi="Arial" w:cs="Arial"/>
          <w:sz w:val="22"/>
          <w:szCs w:val="22"/>
        </w:rPr>
        <w:noBreakHyphen/>
      </w:r>
      <w:r w:rsidR="006E12FF" w:rsidRPr="00B81BBB">
        <w:rPr>
          <w:rFonts w:ascii="Arial" w:hAnsi="Arial" w:cs="Arial"/>
          <w:sz w:val="22"/>
          <w:szCs w:val="22"/>
        </w:rPr>
        <w:t>medium term, the team expects the Bank’s loan to remain the most efficient option throughout the entire lifespan of the loan.</w:t>
      </w:r>
      <w:r w:rsidR="00437E00" w:rsidRPr="00B81BBB">
        <w:rPr>
          <w:rFonts w:ascii="Arial" w:hAnsi="Arial" w:cs="Arial"/>
          <w:sz w:val="22"/>
          <w:szCs w:val="22"/>
        </w:rPr>
        <w:t xml:space="preserve"> </w:t>
      </w:r>
      <w:r w:rsidR="008F30B8" w:rsidRPr="00B81BBB">
        <w:rPr>
          <w:rFonts w:ascii="Arial" w:hAnsi="Arial" w:cs="Arial"/>
          <w:sz w:val="22"/>
          <w:szCs w:val="22"/>
        </w:rPr>
        <w:t xml:space="preserve">Thus, the spread between </w:t>
      </w:r>
      <w:r w:rsidR="008F30B8" w:rsidRPr="00B81BBB">
        <w:rPr>
          <w:rFonts w:ascii="Arial" w:hAnsi="Arial" w:cs="Arial"/>
          <w:sz w:val="22"/>
          <w:szCs w:val="22"/>
        </w:rPr>
        <w:lastRenderedPageBreak/>
        <w:t xml:space="preserve">the cost of the Bank’s loan (floating LIBOR) and the cost of issuing sovereign bonds (current yield) is </w:t>
      </w:r>
      <w:r w:rsidR="00437E00" w:rsidRPr="00B81BBB">
        <w:rPr>
          <w:rFonts w:ascii="Arial" w:hAnsi="Arial" w:cs="Arial"/>
          <w:sz w:val="22"/>
          <w:szCs w:val="22"/>
        </w:rPr>
        <w:t xml:space="preserve">estimated as </w:t>
      </w:r>
      <w:r w:rsidR="00E07C77" w:rsidRPr="00E07C77">
        <w:rPr>
          <w:rFonts w:ascii="Arial" w:hAnsi="Arial" w:cs="Arial"/>
          <w:b/>
          <w:bCs/>
          <w:sz w:val="22"/>
          <w:szCs w:val="22"/>
        </w:rPr>
        <w:t>369</w:t>
      </w:r>
      <w:r w:rsidR="008F30B8" w:rsidRPr="00E07C77">
        <w:rPr>
          <w:rFonts w:ascii="Arial" w:hAnsi="Arial" w:cs="Arial"/>
          <w:b/>
          <w:bCs/>
          <w:sz w:val="22"/>
          <w:szCs w:val="22"/>
        </w:rPr>
        <w:t xml:space="preserve"> </w:t>
      </w:r>
      <w:r w:rsidR="008F30B8" w:rsidRPr="00B81BBB">
        <w:rPr>
          <w:rFonts w:ascii="Arial" w:hAnsi="Arial" w:cs="Arial"/>
          <w:b/>
          <w:sz w:val="22"/>
          <w:szCs w:val="22"/>
        </w:rPr>
        <w:t>bps</w:t>
      </w:r>
      <w:r w:rsidR="008F30B8" w:rsidRPr="00B81BBB">
        <w:rPr>
          <w:rFonts w:ascii="Arial" w:hAnsi="Arial" w:cs="Arial"/>
          <w:sz w:val="22"/>
          <w:szCs w:val="22"/>
        </w:rPr>
        <w:t>.</w:t>
      </w:r>
    </w:p>
    <w:p w14:paraId="6DE38C40" w14:textId="2D3B6187" w:rsidR="00952EE0" w:rsidRPr="00B81BBB" w:rsidRDefault="00154EAD" w:rsidP="00694293">
      <w:pPr>
        <w:pStyle w:val="Paragraph"/>
        <w:tabs>
          <w:tab w:val="clear" w:pos="3600"/>
        </w:tabs>
        <w:autoSpaceDE w:val="0"/>
        <w:autoSpaceDN w:val="0"/>
        <w:adjustRightInd w:val="0"/>
        <w:ind w:left="720" w:hanging="720"/>
        <w:rPr>
          <w:rFonts w:ascii="Arial" w:hAnsi="Arial" w:cs="Arial"/>
          <w:sz w:val="22"/>
          <w:szCs w:val="22"/>
        </w:rPr>
      </w:pPr>
      <w:r w:rsidRPr="00B81BBB">
        <w:rPr>
          <w:rFonts w:ascii="Arial" w:hAnsi="Arial" w:cs="Arial"/>
          <w:sz w:val="22"/>
          <w:szCs w:val="22"/>
        </w:rPr>
        <w:t xml:space="preserve">Moreover, in the case of </w:t>
      </w:r>
      <w:r w:rsidR="006E1EFD" w:rsidRPr="00B81BBB">
        <w:rPr>
          <w:rFonts w:ascii="Arial" w:hAnsi="Arial" w:cs="Arial"/>
          <w:sz w:val="22"/>
          <w:szCs w:val="22"/>
        </w:rPr>
        <w:t xml:space="preserve">deteriorating public financial position of the country and increased restrictions in access to international financial markets, </w:t>
      </w:r>
      <w:r w:rsidRPr="00B81BBB">
        <w:rPr>
          <w:rFonts w:ascii="Arial" w:hAnsi="Arial" w:cs="Arial"/>
          <w:sz w:val="22"/>
          <w:szCs w:val="22"/>
        </w:rPr>
        <w:t xml:space="preserve">the </w:t>
      </w:r>
      <w:r w:rsidR="00812B5B" w:rsidRPr="00B81BBB">
        <w:rPr>
          <w:rFonts w:ascii="Arial" w:hAnsi="Arial" w:cs="Arial"/>
          <w:sz w:val="22"/>
          <w:szCs w:val="22"/>
        </w:rPr>
        <w:t>spread</w:t>
      </w:r>
      <w:r w:rsidRPr="00B81BBB">
        <w:rPr>
          <w:rFonts w:ascii="Arial" w:hAnsi="Arial" w:cs="Arial"/>
          <w:sz w:val="22"/>
          <w:szCs w:val="22"/>
        </w:rPr>
        <w:t xml:space="preserve"> between the Bank’s </w:t>
      </w:r>
      <w:r w:rsidR="006E1EFD" w:rsidRPr="00B81BBB">
        <w:rPr>
          <w:rFonts w:ascii="Arial" w:hAnsi="Arial" w:cs="Arial"/>
          <w:sz w:val="22"/>
          <w:szCs w:val="22"/>
        </w:rPr>
        <w:t xml:space="preserve">CCF </w:t>
      </w:r>
      <w:r w:rsidRPr="00B81BBB">
        <w:rPr>
          <w:rFonts w:ascii="Arial" w:hAnsi="Arial" w:cs="Arial"/>
          <w:sz w:val="22"/>
          <w:szCs w:val="22"/>
        </w:rPr>
        <w:t>loan and a 10-year sovereign bond issu</w:t>
      </w:r>
      <w:r w:rsidR="006E1EFD" w:rsidRPr="00B81BBB">
        <w:rPr>
          <w:rFonts w:ascii="Arial" w:hAnsi="Arial" w:cs="Arial"/>
          <w:sz w:val="22"/>
          <w:szCs w:val="22"/>
        </w:rPr>
        <w:t>ance</w:t>
      </w:r>
      <w:r w:rsidR="00BA0097" w:rsidRPr="00B81BBB">
        <w:rPr>
          <w:rFonts w:ascii="Arial" w:hAnsi="Arial" w:cs="Arial"/>
          <w:sz w:val="22"/>
          <w:szCs w:val="22"/>
        </w:rPr>
        <w:t xml:space="preserve"> </w:t>
      </w:r>
      <w:r w:rsidRPr="00B81BBB">
        <w:rPr>
          <w:rFonts w:ascii="Arial" w:hAnsi="Arial" w:cs="Arial"/>
          <w:sz w:val="22"/>
          <w:szCs w:val="22"/>
        </w:rPr>
        <w:t>would probably be greater</w:t>
      </w:r>
      <w:r w:rsidR="00BA0097" w:rsidRPr="00B81BBB">
        <w:rPr>
          <w:rFonts w:ascii="Arial" w:hAnsi="Arial" w:cs="Arial"/>
          <w:sz w:val="22"/>
          <w:szCs w:val="22"/>
        </w:rPr>
        <w:t>.</w:t>
      </w:r>
      <w:r w:rsidR="0002688B" w:rsidRPr="00B81BBB">
        <w:rPr>
          <w:rStyle w:val="FootnoteReference"/>
          <w:rFonts w:ascii="Arial" w:hAnsi="Arial" w:cs="Arial"/>
          <w:sz w:val="22"/>
          <w:szCs w:val="22"/>
        </w:rPr>
        <w:footnoteReference w:id="28"/>
      </w:r>
      <w:r w:rsidR="00BA0097" w:rsidRPr="00B81BBB">
        <w:rPr>
          <w:rFonts w:ascii="Arial" w:hAnsi="Arial" w:cs="Arial"/>
          <w:sz w:val="22"/>
          <w:szCs w:val="22"/>
        </w:rPr>
        <w:t xml:space="preserve"> However, this cost-effective analysis </w:t>
      </w:r>
      <w:r w:rsidR="00694293" w:rsidRPr="00B81BBB">
        <w:rPr>
          <w:rFonts w:ascii="Arial" w:hAnsi="Arial" w:cs="Arial"/>
          <w:sz w:val="22"/>
          <w:szCs w:val="22"/>
        </w:rPr>
        <w:t xml:space="preserve">takes a conservative approach and </w:t>
      </w:r>
      <w:r w:rsidR="00BA0097" w:rsidRPr="00B81BBB">
        <w:rPr>
          <w:rFonts w:ascii="Arial" w:hAnsi="Arial" w:cs="Arial"/>
          <w:sz w:val="22"/>
          <w:szCs w:val="22"/>
        </w:rPr>
        <w:t xml:space="preserve">assumes </w:t>
      </w:r>
      <w:r w:rsidR="00694293" w:rsidRPr="00B81BBB">
        <w:rPr>
          <w:rFonts w:ascii="Arial" w:hAnsi="Arial" w:cs="Arial"/>
          <w:sz w:val="22"/>
          <w:szCs w:val="22"/>
        </w:rPr>
        <w:t>that the financial conditions for the government to issue bonds will remain stable</w:t>
      </w:r>
      <w:r w:rsidR="006E1EFD" w:rsidRPr="00B81BBB">
        <w:rPr>
          <w:rFonts w:ascii="Arial" w:hAnsi="Arial" w:cs="Arial"/>
          <w:sz w:val="22"/>
          <w:szCs w:val="22"/>
        </w:rPr>
        <w:t>.</w:t>
      </w:r>
    </w:p>
    <w:p w14:paraId="4D886870" w14:textId="77777777" w:rsidR="00BA456D" w:rsidRPr="00B81BBB" w:rsidRDefault="00F36415" w:rsidP="00F86017">
      <w:pPr>
        <w:pStyle w:val="Chapter"/>
        <w:tabs>
          <w:tab w:val="clear" w:pos="1440"/>
          <w:tab w:val="clear" w:pos="2952"/>
        </w:tabs>
        <w:ind w:left="0" w:firstLine="0"/>
        <w:rPr>
          <w:rFonts w:ascii="Arial" w:hAnsi="Arial" w:cs="Arial"/>
        </w:rPr>
      </w:pPr>
      <w:bookmarkStart w:id="18" w:name="_Toc510433077"/>
      <w:r w:rsidRPr="00B81BBB">
        <w:rPr>
          <w:rFonts w:ascii="Arial" w:hAnsi="Arial" w:cs="Arial"/>
        </w:rPr>
        <w:t>Indicators</w:t>
      </w:r>
      <w:bookmarkEnd w:id="18"/>
    </w:p>
    <w:p w14:paraId="051B6DD4" w14:textId="1ADF9738" w:rsidR="00694293" w:rsidRPr="00B81BBB" w:rsidRDefault="00694293" w:rsidP="002F0244">
      <w:pPr>
        <w:pStyle w:val="Paragraph"/>
        <w:tabs>
          <w:tab w:val="clear" w:pos="3600"/>
        </w:tabs>
        <w:autoSpaceDE w:val="0"/>
        <w:autoSpaceDN w:val="0"/>
        <w:adjustRightInd w:val="0"/>
        <w:spacing w:after="0"/>
        <w:ind w:left="720" w:hanging="720"/>
        <w:rPr>
          <w:rFonts w:ascii="Arial" w:hAnsi="Arial" w:cs="Arial"/>
          <w:sz w:val="22"/>
          <w:szCs w:val="22"/>
        </w:rPr>
      </w:pPr>
      <w:r w:rsidRPr="00B81BBB">
        <w:rPr>
          <w:rFonts w:ascii="Arial" w:hAnsi="Arial" w:cs="Arial"/>
          <w:sz w:val="22"/>
          <w:szCs w:val="22"/>
        </w:rPr>
        <w:t xml:space="preserve">Table 2 </w:t>
      </w:r>
      <w:r w:rsidR="004731A7" w:rsidRPr="00B81BBB">
        <w:rPr>
          <w:rFonts w:ascii="Arial" w:hAnsi="Arial" w:cs="Arial"/>
          <w:sz w:val="22"/>
          <w:szCs w:val="22"/>
        </w:rPr>
        <w:t>summari</w:t>
      </w:r>
      <w:r w:rsidR="00DC3521" w:rsidRPr="00B81BBB">
        <w:rPr>
          <w:rFonts w:ascii="Arial" w:hAnsi="Arial" w:cs="Arial"/>
          <w:sz w:val="22"/>
          <w:szCs w:val="22"/>
        </w:rPr>
        <w:t>z</w:t>
      </w:r>
      <w:r w:rsidR="004731A7" w:rsidRPr="00B81BBB">
        <w:rPr>
          <w:rFonts w:ascii="Arial" w:hAnsi="Arial" w:cs="Arial"/>
          <w:sz w:val="22"/>
          <w:szCs w:val="22"/>
        </w:rPr>
        <w:t>es</w:t>
      </w:r>
      <w:r w:rsidRPr="00B81BBB">
        <w:rPr>
          <w:rFonts w:ascii="Arial" w:hAnsi="Arial" w:cs="Arial"/>
          <w:sz w:val="22"/>
          <w:szCs w:val="22"/>
        </w:rPr>
        <w:t xml:space="preserve"> the </w:t>
      </w:r>
      <w:r w:rsidR="004731A7" w:rsidRPr="00B81BBB">
        <w:rPr>
          <w:rFonts w:ascii="Arial" w:hAnsi="Arial" w:cs="Arial"/>
          <w:sz w:val="22"/>
          <w:szCs w:val="22"/>
        </w:rPr>
        <w:t xml:space="preserve">values of the two efficiency indicators for </w:t>
      </w:r>
      <w:r w:rsidR="00831002" w:rsidRPr="00B81BBB">
        <w:rPr>
          <w:rFonts w:ascii="Arial" w:hAnsi="Arial" w:cs="Arial"/>
          <w:sz w:val="22"/>
          <w:szCs w:val="22"/>
        </w:rPr>
        <w:t>the proposed CCF loan and comparable benchmarks</w:t>
      </w:r>
      <w:r w:rsidR="004731A7" w:rsidRPr="00B81BBB">
        <w:rPr>
          <w:rFonts w:ascii="Arial" w:hAnsi="Arial" w:cs="Arial"/>
          <w:sz w:val="22"/>
          <w:szCs w:val="22"/>
        </w:rPr>
        <w:t>.</w:t>
      </w:r>
    </w:p>
    <w:p w14:paraId="08510907" w14:textId="77777777" w:rsidR="002F0244" w:rsidRPr="00B81BBB" w:rsidRDefault="002F0244" w:rsidP="0057363A">
      <w:pPr>
        <w:pStyle w:val="Paragraph"/>
        <w:numPr>
          <w:ilvl w:val="0"/>
          <w:numId w:val="0"/>
        </w:numPr>
        <w:spacing w:before="0" w:after="0"/>
        <w:jc w:val="center"/>
        <w:rPr>
          <w:rFonts w:ascii="Arial" w:hAnsi="Arial" w:cs="Arial"/>
          <w:color w:val="000000"/>
          <w:spacing w:val="-4"/>
          <w:sz w:val="22"/>
          <w:szCs w:val="22"/>
        </w:rPr>
      </w:pPr>
    </w:p>
    <w:p w14:paraId="27D40F10" w14:textId="6A649BA5" w:rsidR="00694293" w:rsidRPr="00987C15" w:rsidRDefault="00694293" w:rsidP="00694293">
      <w:pPr>
        <w:pStyle w:val="Paragraph"/>
        <w:numPr>
          <w:ilvl w:val="0"/>
          <w:numId w:val="0"/>
        </w:numPr>
        <w:spacing w:before="0"/>
        <w:jc w:val="center"/>
        <w:rPr>
          <w:rFonts w:ascii="Arial" w:hAnsi="Arial" w:cs="Arial"/>
          <w:b/>
          <w:bCs/>
          <w:color w:val="000000"/>
          <w:spacing w:val="-4"/>
          <w:sz w:val="20"/>
        </w:rPr>
      </w:pPr>
      <w:r w:rsidRPr="00987C15">
        <w:rPr>
          <w:rFonts w:ascii="Arial" w:hAnsi="Arial" w:cs="Arial"/>
          <w:b/>
          <w:bCs/>
          <w:color w:val="000000"/>
          <w:spacing w:val="-4"/>
          <w:sz w:val="20"/>
        </w:rPr>
        <w:t xml:space="preserve">Table 2: </w:t>
      </w:r>
      <w:r w:rsidR="004731A7" w:rsidRPr="00987C15">
        <w:rPr>
          <w:rFonts w:ascii="Arial" w:hAnsi="Arial" w:cs="Arial"/>
          <w:b/>
          <w:bCs/>
          <w:color w:val="000000"/>
          <w:spacing w:val="-4"/>
          <w:sz w:val="20"/>
        </w:rPr>
        <w:t xml:space="preserve">Summary of efficiency indicators </w:t>
      </w:r>
    </w:p>
    <w:tbl>
      <w:tblPr>
        <w:tblStyle w:val="TableGrid"/>
        <w:tblW w:w="7920" w:type="dxa"/>
        <w:jc w:val="right"/>
        <w:tblLayout w:type="fixed"/>
        <w:tblLook w:val="04A0" w:firstRow="1" w:lastRow="0" w:firstColumn="1" w:lastColumn="0" w:noHBand="0" w:noVBand="1"/>
      </w:tblPr>
      <w:tblGrid>
        <w:gridCol w:w="540"/>
        <w:gridCol w:w="3235"/>
        <w:gridCol w:w="2430"/>
        <w:gridCol w:w="1715"/>
      </w:tblGrid>
      <w:tr w:rsidR="00E812F4" w:rsidRPr="00B81BBB" w14:paraId="04414C1A" w14:textId="77777777" w:rsidTr="0045688F">
        <w:trPr>
          <w:jc w:val="right"/>
        </w:trPr>
        <w:tc>
          <w:tcPr>
            <w:tcW w:w="540" w:type="dxa"/>
            <w:shd w:val="clear" w:color="auto" w:fill="DBE5F1" w:themeFill="accent1" w:themeFillTint="33"/>
          </w:tcPr>
          <w:p w14:paraId="0D529129" w14:textId="77777777" w:rsidR="00E24EA4" w:rsidRPr="00B81BBB" w:rsidRDefault="00E24EA4" w:rsidP="00F86017">
            <w:pPr>
              <w:pStyle w:val="Paragraph"/>
              <w:numPr>
                <w:ilvl w:val="0"/>
                <w:numId w:val="0"/>
              </w:numPr>
              <w:autoSpaceDE w:val="0"/>
              <w:autoSpaceDN w:val="0"/>
              <w:adjustRightInd w:val="0"/>
              <w:ind w:hanging="720"/>
              <w:jc w:val="center"/>
              <w:rPr>
                <w:rFonts w:ascii="Arial" w:hAnsi="Arial" w:cs="Arial"/>
                <w:b/>
                <w:sz w:val="20"/>
                <w:highlight w:val="yellow"/>
              </w:rPr>
            </w:pPr>
          </w:p>
        </w:tc>
        <w:tc>
          <w:tcPr>
            <w:tcW w:w="3235" w:type="dxa"/>
            <w:shd w:val="clear" w:color="auto" w:fill="DBE5F1" w:themeFill="accent1" w:themeFillTint="33"/>
            <w:vAlign w:val="center"/>
          </w:tcPr>
          <w:p w14:paraId="33979C26" w14:textId="77777777" w:rsidR="00E24EA4" w:rsidRPr="00B81BBB" w:rsidRDefault="003D25D2" w:rsidP="00F86017">
            <w:pPr>
              <w:pStyle w:val="Paragraph"/>
              <w:numPr>
                <w:ilvl w:val="0"/>
                <w:numId w:val="0"/>
              </w:numPr>
              <w:autoSpaceDE w:val="0"/>
              <w:autoSpaceDN w:val="0"/>
              <w:adjustRightInd w:val="0"/>
              <w:jc w:val="center"/>
              <w:rPr>
                <w:rFonts w:ascii="Arial" w:hAnsi="Arial" w:cs="Arial"/>
                <w:b/>
                <w:sz w:val="20"/>
              </w:rPr>
            </w:pPr>
            <w:r w:rsidRPr="00B81BBB">
              <w:rPr>
                <w:rFonts w:ascii="Arial" w:hAnsi="Arial" w:cs="Arial"/>
                <w:b/>
                <w:sz w:val="20"/>
              </w:rPr>
              <w:t>Indicator</w:t>
            </w:r>
          </w:p>
        </w:tc>
        <w:tc>
          <w:tcPr>
            <w:tcW w:w="2430" w:type="dxa"/>
            <w:shd w:val="clear" w:color="auto" w:fill="DBE5F1" w:themeFill="accent1" w:themeFillTint="33"/>
            <w:vAlign w:val="center"/>
          </w:tcPr>
          <w:p w14:paraId="5A4E37DE" w14:textId="3431B3D3" w:rsidR="004731A7" w:rsidRPr="00B81BBB" w:rsidRDefault="003D25D2" w:rsidP="004731A7">
            <w:pPr>
              <w:pStyle w:val="Paragraph"/>
              <w:numPr>
                <w:ilvl w:val="0"/>
                <w:numId w:val="0"/>
              </w:numPr>
              <w:autoSpaceDE w:val="0"/>
              <w:autoSpaceDN w:val="0"/>
              <w:adjustRightInd w:val="0"/>
              <w:ind w:left="-64"/>
              <w:jc w:val="center"/>
              <w:rPr>
                <w:rFonts w:ascii="Arial" w:hAnsi="Arial" w:cs="Arial"/>
                <w:b/>
                <w:sz w:val="20"/>
              </w:rPr>
            </w:pPr>
            <w:r w:rsidRPr="00B81BBB">
              <w:rPr>
                <w:rFonts w:ascii="Arial" w:hAnsi="Arial" w:cs="Arial"/>
                <w:b/>
                <w:sz w:val="20"/>
              </w:rPr>
              <w:t xml:space="preserve">IDB </w:t>
            </w:r>
            <w:r w:rsidR="007D445E">
              <w:rPr>
                <w:rFonts w:ascii="Arial" w:hAnsi="Arial" w:cs="Arial"/>
                <w:b/>
                <w:sz w:val="20"/>
              </w:rPr>
              <w:t>CCF l</w:t>
            </w:r>
            <w:r w:rsidRPr="00B81BBB">
              <w:rPr>
                <w:rFonts w:ascii="Arial" w:hAnsi="Arial" w:cs="Arial"/>
                <w:b/>
                <w:sz w:val="20"/>
              </w:rPr>
              <w:t>oan</w:t>
            </w:r>
            <w:r w:rsidR="004731A7" w:rsidRPr="00B81BBB">
              <w:rPr>
                <w:rFonts w:ascii="Arial" w:hAnsi="Arial" w:cs="Arial"/>
                <w:b/>
                <w:sz w:val="20"/>
              </w:rPr>
              <w:t xml:space="preserve"> </w:t>
            </w:r>
            <w:r w:rsidR="007D445E">
              <w:rPr>
                <w:rFonts w:ascii="Arial" w:hAnsi="Arial" w:cs="Arial"/>
                <w:b/>
                <w:sz w:val="20"/>
              </w:rPr>
              <w:br/>
            </w:r>
            <w:r w:rsidR="004731A7" w:rsidRPr="00B81BBB">
              <w:rPr>
                <w:rFonts w:ascii="Arial" w:hAnsi="Arial" w:cs="Arial"/>
                <w:b/>
                <w:sz w:val="20"/>
              </w:rPr>
              <w:t>(fixed rate)</w:t>
            </w:r>
          </w:p>
        </w:tc>
        <w:tc>
          <w:tcPr>
            <w:tcW w:w="1715" w:type="dxa"/>
            <w:shd w:val="clear" w:color="auto" w:fill="DBE5F1" w:themeFill="accent1" w:themeFillTint="33"/>
          </w:tcPr>
          <w:p w14:paraId="05C2263B" w14:textId="0FFBAA42" w:rsidR="00E24EA4" w:rsidRPr="00B81BBB" w:rsidRDefault="00DA02AD" w:rsidP="00F86017">
            <w:pPr>
              <w:pStyle w:val="Paragraph"/>
              <w:numPr>
                <w:ilvl w:val="0"/>
                <w:numId w:val="0"/>
              </w:numPr>
              <w:autoSpaceDE w:val="0"/>
              <w:autoSpaceDN w:val="0"/>
              <w:adjustRightInd w:val="0"/>
              <w:ind w:left="-64"/>
              <w:jc w:val="center"/>
              <w:rPr>
                <w:rFonts w:ascii="Arial" w:hAnsi="Arial" w:cs="Arial"/>
                <w:b/>
                <w:sz w:val="20"/>
              </w:rPr>
            </w:pPr>
            <w:r w:rsidRPr="00B81BBB">
              <w:rPr>
                <w:rFonts w:ascii="Arial" w:hAnsi="Arial" w:cs="Arial"/>
                <w:b/>
                <w:sz w:val="20"/>
              </w:rPr>
              <w:t>Comparable benchmark</w:t>
            </w:r>
          </w:p>
        </w:tc>
      </w:tr>
      <w:tr w:rsidR="00CE3692" w:rsidRPr="00B81BBB" w14:paraId="0635AFB7" w14:textId="77777777" w:rsidTr="0045688F">
        <w:trPr>
          <w:jc w:val="right"/>
        </w:trPr>
        <w:tc>
          <w:tcPr>
            <w:tcW w:w="540" w:type="dxa"/>
          </w:tcPr>
          <w:p w14:paraId="58112A6E" w14:textId="77777777" w:rsidR="00E24EA4" w:rsidRPr="00B81BBB" w:rsidRDefault="00E24EA4" w:rsidP="00F86017">
            <w:pPr>
              <w:pStyle w:val="Paragraph"/>
              <w:numPr>
                <w:ilvl w:val="0"/>
                <w:numId w:val="0"/>
              </w:numPr>
              <w:autoSpaceDE w:val="0"/>
              <w:autoSpaceDN w:val="0"/>
              <w:adjustRightInd w:val="0"/>
              <w:rPr>
                <w:rFonts w:ascii="Arial" w:hAnsi="Arial" w:cs="Arial"/>
                <w:sz w:val="20"/>
              </w:rPr>
            </w:pPr>
            <w:r w:rsidRPr="00B81BBB">
              <w:rPr>
                <w:rFonts w:ascii="Arial" w:hAnsi="Arial" w:cs="Arial"/>
                <w:sz w:val="20"/>
              </w:rPr>
              <w:t>1</w:t>
            </w:r>
          </w:p>
        </w:tc>
        <w:tc>
          <w:tcPr>
            <w:tcW w:w="3235" w:type="dxa"/>
          </w:tcPr>
          <w:p w14:paraId="2595A584" w14:textId="514B5673" w:rsidR="00E24EA4" w:rsidRPr="00B81BBB" w:rsidRDefault="00247F77" w:rsidP="00F86017">
            <w:pPr>
              <w:pStyle w:val="Paragraph"/>
              <w:numPr>
                <w:ilvl w:val="0"/>
                <w:numId w:val="0"/>
              </w:numPr>
              <w:autoSpaceDE w:val="0"/>
              <w:autoSpaceDN w:val="0"/>
              <w:adjustRightInd w:val="0"/>
              <w:jc w:val="left"/>
              <w:rPr>
                <w:rFonts w:ascii="Arial" w:hAnsi="Arial" w:cs="Arial"/>
                <w:sz w:val="20"/>
              </w:rPr>
            </w:pPr>
            <w:r w:rsidRPr="00B81BBB">
              <w:rPr>
                <w:rFonts w:ascii="Arial" w:hAnsi="Arial" w:cs="Arial"/>
                <w:sz w:val="20"/>
              </w:rPr>
              <w:t xml:space="preserve">Number of days between </w:t>
            </w:r>
            <w:r w:rsidR="00876382" w:rsidRPr="00B81BBB">
              <w:rPr>
                <w:rFonts w:ascii="Arial" w:hAnsi="Arial" w:cs="Arial"/>
                <w:sz w:val="20"/>
              </w:rPr>
              <w:t>the</w:t>
            </w:r>
            <w:r w:rsidR="00DA02AD" w:rsidRPr="00B81BBB">
              <w:rPr>
                <w:rFonts w:ascii="Arial" w:hAnsi="Arial" w:cs="Arial"/>
                <w:sz w:val="20"/>
              </w:rPr>
              <w:t xml:space="preserve"> activation of the coverage (date the country fulfills the contractual conditions for general eligibility to request disbursements) and the value date of the first disbursement</w:t>
            </w:r>
          </w:p>
        </w:tc>
        <w:tc>
          <w:tcPr>
            <w:tcW w:w="2430" w:type="dxa"/>
            <w:vAlign w:val="center"/>
          </w:tcPr>
          <w:p w14:paraId="78FB6D7A" w14:textId="19E2E331" w:rsidR="00E24EA4" w:rsidRPr="00B81BBB" w:rsidRDefault="00F57695" w:rsidP="00F86017">
            <w:pPr>
              <w:pStyle w:val="Paragraph"/>
              <w:numPr>
                <w:ilvl w:val="0"/>
                <w:numId w:val="0"/>
              </w:numPr>
              <w:autoSpaceDE w:val="0"/>
              <w:autoSpaceDN w:val="0"/>
              <w:adjustRightInd w:val="0"/>
              <w:jc w:val="center"/>
              <w:rPr>
                <w:rFonts w:ascii="Arial" w:hAnsi="Arial" w:cs="Arial"/>
                <w:sz w:val="20"/>
              </w:rPr>
            </w:pPr>
            <w:r>
              <w:rPr>
                <w:rFonts w:ascii="Arial" w:hAnsi="Arial" w:cs="Arial"/>
                <w:sz w:val="20"/>
              </w:rPr>
              <w:t>20</w:t>
            </w:r>
          </w:p>
        </w:tc>
        <w:tc>
          <w:tcPr>
            <w:tcW w:w="1715" w:type="dxa"/>
            <w:vAlign w:val="center"/>
          </w:tcPr>
          <w:p w14:paraId="60A3C7D2" w14:textId="3FDF2752" w:rsidR="00E24EA4" w:rsidRPr="00B81BBB" w:rsidRDefault="00F57695" w:rsidP="00F86017">
            <w:pPr>
              <w:pStyle w:val="Paragraph"/>
              <w:numPr>
                <w:ilvl w:val="0"/>
                <w:numId w:val="0"/>
              </w:numPr>
              <w:autoSpaceDE w:val="0"/>
              <w:autoSpaceDN w:val="0"/>
              <w:adjustRightInd w:val="0"/>
              <w:jc w:val="center"/>
              <w:rPr>
                <w:rFonts w:ascii="Arial" w:hAnsi="Arial" w:cs="Arial"/>
                <w:sz w:val="20"/>
              </w:rPr>
            </w:pPr>
            <w:r>
              <w:rPr>
                <w:rFonts w:ascii="Arial" w:hAnsi="Arial" w:cs="Arial"/>
                <w:sz w:val="20"/>
              </w:rPr>
              <w:t>25</w:t>
            </w:r>
          </w:p>
        </w:tc>
      </w:tr>
      <w:tr w:rsidR="00CE3692" w:rsidRPr="00B81BBB" w14:paraId="4CE1795A" w14:textId="77777777" w:rsidTr="0045688F">
        <w:trPr>
          <w:jc w:val="right"/>
        </w:trPr>
        <w:tc>
          <w:tcPr>
            <w:tcW w:w="540" w:type="dxa"/>
          </w:tcPr>
          <w:p w14:paraId="54A2AC96" w14:textId="77777777" w:rsidR="00E24EA4" w:rsidRPr="00B81BBB" w:rsidRDefault="00CE3692" w:rsidP="00F86017">
            <w:pPr>
              <w:pStyle w:val="Paragraph"/>
              <w:numPr>
                <w:ilvl w:val="0"/>
                <w:numId w:val="0"/>
              </w:numPr>
              <w:autoSpaceDE w:val="0"/>
              <w:autoSpaceDN w:val="0"/>
              <w:adjustRightInd w:val="0"/>
              <w:rPr>
                <w:rFonts w:ascii="Arial" w:hAnsi="Arial" w:cs="Arial"/>
                <w:sz w:val="20"/>
              </w:rPr>
            </w:pPr>
            <w:r w:rsidRPr="00B81BBB">
              <w:rPr>
                <w:rFonts w:ascii="Arial" w:hAnsi="Arial" w:cs="Arial"/>
                <w:sz w:val="20"/>
              </w:rPr>
              <w:t>2</w:t>
            </w:r>
          </w:p>
        </w:tc>
        <w:tc>
          <w:tcPr>
            <w:tcW w:w="3235" w:type="dxa"/>
          </w:tcPr>
          <w:p w14:paraId="7FC3DDAA" w14:textId="77777777" w:rsidR="00E24EA4" w:rsidRPr="00B81BBB" w:rsidRDefault="003D25D2" w:rsidP="00F86017">
            <w:pPr>
              <w:pStyle w:val="Paragraph"/>
              <w:numPr>
                <w:ilvl w:val="0"/>
                <w:numId w:val="0"/>
              </w:numPr>
              <w:autoSpaceDE w:val="0"/>
              <w:autoSpaceDN w:val="0"/>
              <w:adjustRightInd w:val="0"/>
              <w:jc w:val="left"/>
              <w:rPr>
                <w:rFonts w:ascii="Arial" w:hAnsi="Arial" w:cs="Arial"/>
                <w:sz w:val="20"/>
              </w:rPr>
            </w:pPr>
            <w:r w:rsidRPr="00B81BBB">
              <w:rPr>
                <w:rFonts w:ascii="Arial" w:hAnsi="Arial" w:cs="Arial"/>
                <w:sz w:val="20"/>
              </w:rPr>
              <w:t>Financial cost (interest rate)</w:t>
            </w:r>
          </w:p>
        </w:tc>
        <w:tc>
          <w:tcPr>
            <w:tcW w:w="2430" w:type="dxa"/>
            <w:vAlign w:val="center"/>
          </w:tcPr>
          <w:p w14:paraId="181BC789" w14:textId="386973AE" w:rsidR="00855DE8" w:rsidRPr="00B81BBB" w:rsidRDefault="004D2F6B" w:rsidP="00F86017">
            <w:pPr>
              <w:pStyle w:val="Paragraph"/>
              <w:numPr>
                <w:ilvl w:val="0"/>
                <w:numId w:val="0"/>
              </w:numPr>
              <w:autoSpaceDE w:val="0"/>
              <w:autoSpaceDN w:val="0"/>
              <w:adjustRightInd w:val="0"/>
              <w:jc w:val="center"/>
              <w:rPr>
                <w:rFonts w:ascii="Arial" w:hAnsi="Arial" w:cs="Arial"/>
                <w:sz w:val="20"/>
              </w:rPr>
            </w:pPr>
            <w:r>
              <w:rPr>
                <w:rFonts w:ascii="Arial" w:hAnsi="Arial" w:cs="Arial"/>
                <w:sz w:val="20"/>
              </w:rPr>
              <w:t>185</w:t>
            </w:r>
            <w:r w:rsidR="006E1EFD" w:rsidRPr="00B81BBB">
              <w:rPr>
                <w:rFonts w:ascii="Arial" w:hAnsi="Arial" w:cs="Arial"/>
                <w:sz w:val="20"/>
              </w:rPr>
              <w:t xml:space="preserve"> </w:t>
            </w:r>
            <w:r w:rsidR="003D25D2" w:rsidRPr="00B81BBB">
              <w:rPr>
                <w:rFonts w:ascii="Arial" w:hAnsi="Arial" w:cs="Arial"/>
                <w:sz w:val="20"/>
              </w:rPr>
              <w:t>bps</w:t>
            </w:r>
          </w:p>
        </w:tc>
        <w:tc>
          <w:tcPr>
            <w:tcW w:w="1715" w:type="dxa"/>
            <w:vAlign w:val="center"/>
          </w:tcPr>
          <w:p w14:paraId="7CC28126" w14:textId="2C983EED" w:rsidR="0098684F" w:rsidRPr="00B81BBB" w:rsidRDefault="004D2F6B" w:rsidP="00F86017">
            <w:pPr>
              <w:pStyle w:val="Paragraph"/>
              <w:numPr>
                <w:ilvl w:val="0"/>
                <w:numId w:val="0"/>
              </w:numPr>
              <w:autoSpaceDE w:val="0"/>
              <w:autoSpaceDN w:val="0"/>
              <w:adjustRightInd w:val="0"/>
              <w:jc w:val="center"/>
              <w:rPr>
                <w:rFonts w:ascii="Arial" w:hAnsi="Arial" w:cs="Arial"/>
                <w:sz w:val="20"/>
              </w:rPr>
            </w:pPr>
            <w:r>
              <w:rPr>
                <w:rFonts w:ascii="Arial" w:hAnsi="Arial" w:cs="Arial"/>
                <w:sz w:val="20"/>
              </w:rPr>
              <w:t>553</w:t>
            </w:r>
            <w:r w:rsidR="004F1171" w:rsidRPr="00B81BBB">
              <w:rPr>
                <w:rFonts w:ascii="Arial" w:hAnsi="Arial" w:cs="Arial"/>
                <w:sz w:val="20"/>
              </w:rPr>
              <w:t xml:space="preserve"> </w:t>
            </w:r>
            <w:r w:rsidR="003D25D2" w:rsidRPr="00B81BBB">
              <w:rPr>
                <w:rFonts w:ascii="Arial" w:hAnsi="Arial" w:cs="Arial"/>
                <w:sz w:val="20"/>
              </w:rPr>
              <w:t>bps</w:t>
            </w:r>
          </w:p>
        </w:tc>
      </w:tr>
      <w:bookmarkEnd w:id="13"/>
      <w:bookmarkEnd w:id="14"/>
    </w:tbl>
    <w:p w14:paraId="00F956ED" w14:textId="77777777" w:rsidR="004844BD" w:rsidRPr="00B81BBB" w:rsidRDefault="004844BD" w:rsidP="0057363A">
      <w:pPr>
        <w:rPr>
          <w:rFonts w:ascii="Arial" w:hAnsi="Arial" w:cs="Arial"/>
          <w:sz w:val="22"/>
          <w:szCs w:val="22"/>
        </w:rPr>
      </w:pPr>
    </w:p>
    <w:p w14:paraId="788884C8" w14:textId="17826384" w:rsidR="005F7A7D" w:rsidRPr="00B81BBB" w:rsidRDefault="00F36415" w:rsidP="003268D3">
      <w:pPr>
        <w:pStyle w:val="Chapter"/>
        <w:tabs>
          <w:tab w:val="clear" w:pos="1440"/>
          <w:tab w:val="clear" w:pos="2952"/>
        </w:tabs>
        <w:ind w:left="0" w:firstLine="0"/>
        <w:rPr>
          <w:rFonts w:ascii="Arial" w:hAnsi="Arial" w:cs="Arial"/>
        </w:rPr>
      </w:pPr>
      <w:bookmarkStart w:id="19" w:name="_Toc510433078"/>
      <w:r w:rsidRPr="00B81BBB">
        <w:rPr>
          <w:rFonts w:ascii="Arial" w:hAnsi="Arial" w:cs="Arial"/>
        </w:rPr>
        <w:t>Cost-Effectiveness Analysis</w:t>
      </w:r>
      <w:bookmarkEnd w:id="19"/>
    </w:p>
    <w:p w14:paraId="285ADFD3" w14:textId="68791504" w:rsidR="00064BA2" w:rsidRPr="00B81BBB" w:rsidRDefault="00064BA2" w:rsidP="00F92E94">
      <w:pPr>
        <w:pStyle w:val="Paragraph"/>
        <w:tabs>
          <w:tab w:val="clear" w:pos="3600"/>
        </w:tabs>
        <w:ind w:left="720" w:hanging="720"/>
        <w:rPr>
          <w:rFonts w:ascii="Arial" w:hAnsi="Arial" w:cs="Arial"/>
          <w:sz w:val="22"/>
          <w:szCs w:val="22"/>
        </w:rPr>
      </w:pPr>
      <w:r w:rsidRPr="00B81BBB">
        <w:rPr>
          <w:rFonts w:ascii="Arial" w:hAnsi="Arial" w:cs="Arial"/>
          <w:sz w:val="22"/>
          <w:szCs w:val="22"/>
        </w:rPr>
        <w:t>Based on the information discussed in section III, the conclusion is that the</w:t>
      </w:r>
      <w:r w:rsidR="0005181C" w:rsidRPr="00B81BBB">
        <w:rPr>
          <w:rFonts w:ascii="Arial" w:hAnsi="Arial" w:cs="Arial"/>
          <w:sz w:val="22"/>
          <w:szCs w:val="22"/>
        </w:rPr>
        <w:t xml:space="preserve"> CCF</w:t>
      </w:r>
      <w:r w:rsidRPr="00B81BBB">
        <w:rPr>
          <w:rFonts w:ascii="Arial" w:hAnsi="Arial" w:cs="Arial"/>
          <w:sz w:val="22"/>
          <w:szCs w:val="22"/>
        </w:rPr>
        <w:t xml:space="preserve"> loan is</w:t>
      </w:r>
      <w:r w:rsidR="00172382" w:rsidRPr="00B81BBB">
        <w:rPr>
          <w:rFonts w:ascii="Arial" w:hAnsi="Arial" w:cs="Arial"/>
          <w:sz w:val="22"/>
          <w:szCs w:val="22"/>
        </w:rPr>
        <w:t xml:space="preserve"> the most efficient for </w:t>
      </w:r>
      <w:r w:rsidR="00AC29D0">
        <w:rPr>
          <w:rFonts w:ascii="Arial" w:hAnsi="Arial" w:cs="Arial"/>
          <w:sz w:val="22"/>
          <w:szCs w:val="22"/>
        </w:rPr>
        <w:t>Guyana</w:t>
      </w:r>
      <w:r w:rsidR="00172382" w:rsidRPr="00B81BBB">
        <w:rPr>
          <w:rFonts w:ascii="Arial" w:hAnsi="Arial" w:cs="Arial"/>
          <w:sz w:val="22"/>
          <w:szCs w:val="22"/>
        </w:rPr>
        <w:t xml:space="preserve">. </w:t>
      </w:r>
      <w:r w:rsidR="0005181C" w:rsidRPr="00B81BBB">
        <w:rPr>
          <w:rFonts w:ascii="Arial" w:hAnsi="Arial" w:cs="Arial"/>
          <w:sz w:val="22"/>
          <w:szCs w:val="22"/>
        </w:rPr>
        <w:t>T</w:t>
      </w:r>
      <w:r w:rsidR="00172382" w:rsidRPr="00B81BBB">
        <w:rPr>
          <w:rFonts w:ascii="Arial" w:hAnsi="Arial" w:cs="Arial"/>
          <w:sz w:val="22"/>
          <w:szCs w:val="22"/>
        </w:rPr>
        <w:t xml:space="preserve">he Bank’s proposed option would be efficient not only in terms of how fast the loan proceeds would be made available to the country to </w:t>
      </w:r>
      <w:r w:rsidR="004A051C" w:rsidRPr="00B81BBB">
        <w:rPr>
          <w:rFonts w:ascii="Arial" w:hAnsi="Arial" w:cs="Arial"/>
          <w:sz w:val="22"/>
          <w:szCs w:val="22"/>
        </w:rPr>
        <w:t>fund the unplanned financial needs</w:t>
      </w:r>
      <w:r w:rsidR="00172382" w:rsidRPr="00B81BBB">
        <w:rPr>
          <w:rFonts w:ascii="Arial" w:hAnsi="Arial" w:cs="Arial"/>
          <w:sz w:val="22"/>
          <w:szCs w:val="22"/>
        </w:rPr>
        <w:t xml:space="preserve">, but </w:t>
      </w:r>
      <w:r w:rsidR="004A051C" w:rsidRPr="00B81BBB">
        <w:rPr>
          <w:rFonts w:ascii="Arial" w:hAnsi="Arial" w:cs="Arial"/>
          <w:sz w:val="22"/>
          <w:szCs w:val="22"/>
        </w:rPr>
        <w:t xml:space="preserve">also </w:t>
      </w:r>
      <w:r w:rsidR="00172382" w:rsidRPr="00B81BBB">
        <w:rPr>
          <w:rFonts w:ascii="Arial" w:hAnsi="Arial" w:cs="Arial"/>
          <w:sz w:val="22"/>
          <w:szCs w:val="22"/>
        </w:rPr>
        <w:t>in terms of financial cost per unit of extraordinary public expenditure.</w:t>
      </w:r>
    </w:p>
    <w:p w14:paraId="414967B6" w14:textId="150942E5" w:rsidR="00471A3B" w:rsidRPr="00B81BBB" w:rsidRDefault="004A051C" w:rsidP="003268D3">
      <w:pPr>
        <w:pStyle w:val="Paragraph"/>
        <w:tabs>
          <w:tab w:val="clear" w:pos="3600"/>
        </w:tabs>
        <w:ind w:left="720" w:hanging="720"/>
        <w:rPr>
          <w:rFonts w:ascii="Arial" w:hAnsi="Arial" w:cs="Arial"/>
          <w:sz w:val="22"/>
          <w:szCs w:val="22"/>
        </w:rPr>
      </w:pPr>
      <w:r w:rsidRPr="00B81BBB">
        <w:rPr>
          <w:rFonts w:ascii="Arial" w:hAnsi="Arial" w:cs="Arial"/>
          <w:sz w:val="22"/>
          <w:szCs w:val="22"/>
        </w:rPr>
        <w:t xml:space="preserve">Saving in financial costs will enhance the government’s ability to properly finance the extraordinary expenditures caused by </w:t>
      </w:r>
      <w:r w:rsidR="0005181C" w:rsidRPr="00B81BBB">
        <w:rPr>
          <w:rFonts w:ascii="Arial" w:hAnsi="Arial" w:cs="Arial"/>
          <w:sz w:val="22"/>
          <w:szCs w:val="22"/>
        </w:rPr>
        <w:t>the public health emergency</w:t>
      </w:r>
      <w:r w:rsidR="00471A3B" w:rsidRPr="00B81BBB">
        <w:rPr>
          <w:rFonts w:ascii="Arial" w:hAnsi="Arial" w:cs="Arial"/>
          <w:sz w:val="22"/>
          <w:szCs w:val="22"/>
        </w:rPr>
        <w:t>. Likewise, faster access to resources will ease the liquidity pressures, and help contain human and material losses during emergencies, which in turn increases the likelihood of a speedy post-</w:t>
      </w:r>
      <w:r w:rsidR="0005181C" w:rsidRPr="00B81BBB">
        <w:rPr>
          <w:rFonts w:ascii="Arial" w:hAnsi="Arial" w:cs="Arial"/>
          <w:sz w:val="22"/>
          <w:szCs w:val="22"/>
        </w:rPr>
        <w:t>emergency</w:t>
      </w:r>
      <w:r w:rsidR="00471A3B" w:rsidRPr="00B81BBB">
        <w:rPr>
          <w:rFonts w:ascii="Arial" w:hAnsi="Arial" w:cs="Arial"/>
          <w:sz w:val="22"/>
          <w:szCs w:val="22"/>
        </w:rPr>
        <w:t xml:space="preserve"> economic recovery.</w:t>
      </w:r>
    </w:p>
    <w:p w14:paraId="381C8497" w14:textId="42DD006F" w:rsidR="002D38E5" w:rsidRPr="00B81BBB" w:rsidRDefault="002D38E5" w:rsidP="003268D3">
      <w:pPr>
        <w:pStyle w:val="Paragraph"/>
        <w:tabs>
          <w:tab w:val="clear" w:pos="3600"/>
        </w:tabs>
        <w:ind w:left="720" w:hanging="720"/>
        <w:rPr>
          <w:rFonts w:ascii="Arial" w:hAnsi="Arial" w:cs="Arial"/>
          <w:sz w:val="22"/>
          <w:szCs w:val="22"/>
        </w:rPr>
      </w:pPr>
      <w:r w:rsidRPr="00B81BBB">
        <w:rPr>
          <w:rFonts w:ascii="Arial" w:hAnsi="Arial" w:cs="Arial"/>
          <w:sz w:val="22"/>
          <w:szCs w:val="22"/>
        </w:rPr>
        <w:t xml:space="preserve">It is important to </w:t>
      </w:r>
      <w:r w:rsidR="007778A1" w:rsidRPr="00B81BBB">
        <w:rPr>
          <w:rFonts w:ascii="Arial" w:hAnsi="Arial" w:cs="Arial"/>
          <w:sz w:val="22"/>
          <w:szCs w:val="22"/>
        </w:rPr>
        <w:t>stress that the assumptions used in the analysis are conservative</w:t>
      </w:r>
      <w:r w:rsidR="00962058" w:rsidRPr="00B81BBB">
        <w:rPr>
          <w:rFonts w:ascii="Arial" w:hAnsi="Arial" w:cs="Arial"/>
          <w:sz w:val="22"/>
          <w:szCs w:val="22"/>
        </w:rPr>
        <w:t xml:space="preserve"> because</w:t>
      </w:r>
      <w:r w:rsidR="007778A1" w:rsidRPr="00B81BBB">
        <w:rPr>
          <w:rFonts w:ascii="Arial" w:hAnsi="Arial" w:cs="Arial"/>
          <w:sz w:val="22"/>
          <w:szCs w:val="22"/>
        </w:rPr>
        <w:t xml:space="preserve"> financing conditions of alternative options, both in terms of quickness and cost, </w:t>
      </w:r>
      <w:r w:rsidR="00962058" w:rsidRPr="00B81BBB">
        <w:rPr>
          <w:rFonts w:ascii="Arial" w:hAnsi="Arial" w:cs="Arial"/>
          <w:sz w:val="22"/>
          <w:szCs w:val="22"/>
        </w:rPr>
        <w:t>are assumed to remain</w:t>
      </w:r>
      <w:r w:rsidR="007778A1" w:rsidRPr="00B81BBB">
        <w:rPr>
          <w:rFonts w:ascii="Arial" w:hAnsi="Arial" w:cs="Arial"/>
          <w:sz w:val="22"/>
          <w:szCs w:val="22"/>
        </w:rPr>
        <w:t xml:space="preserve"> constant in the immediate aftermath of </w:t>
      </w:r>
      <w:r w:rsidR="0005181C" w:rsidRPr="00B81BBB">
        <w:rPr>
          <w:rFonts w:ascii="Arial" w:hAnsi="Arial" w:cs="Arial"/>
          <w:sz w:val="22"/>
          <w:szCs w:val="22"/>
        </w:rPr>
        <w:t xml:space="preserve">the </w:t>
      </w:r>
      <w:r w:rsidR="0005181C" w:rsidRPr="00B81BBB">
        <w:rPr>
          <w:rFonts w:ascii="Arial" w:hAnsi="Arial" w:cs="Arial"/>
          <w:sz w:val="22"/>
          <w:szCs w:val="22"/>
        </w:rPr>
        <w:lastRenderedPageBreak/>
        <w:t>emergency</w:t>
      </w:r>
      <w:r w:rsidR="00962058" w:rsidRPr="00B81BBB">
        <w:rPr>
          <w:rFonts w:ascii="Arial" w:hAnsi="Arial" w:cs="Arial"/>
          <w:sz w:val="22"/>
          <w:szCs w:val="22"/>
        </w:rPr>
        <w:t>. Notwithstanding, h</w:t>
      </w:r>
      <w:r w:rsidR="007778A1" w:rsidRPr="00B81BBB">
        <w:rPr>
          <w:rFonts w:ascii="Arial" w:hAnsi="Arial" w:cs="Arial"/>
          <w:sz w:val="22"/>
          <w:szCs w:val="22"/>
        </w:rPr>
        <w:t xml:space="preserve">istorical evidence shows that financing conditions </w:t>
      </w:r>
      <w:r w:rsidR="00962058" w:rsidRPr="00B81BBB">
        <w:rPr>
          <w:rFonts w:ascii="Arial" w:hAnsi="Arial" w:cs="Arial"/>
          <w:sz w:val="22"/>
          <w:szCs w:val="22"/>
        </w:rPr>
        <w:t>tend to</w:t>
      </w:r>
      <w:r w:rsidR="007778A1" w:rsidRPr="00B81BBB">
        <w:rPr>
          <w:rFonts w:ascii="Arial" w:hAnsi="Arial" w:cs="Arial"/>
          <w:sz w:val="22"/>
          <w:szCs w:val="22"/>
        </w:rPr>
        <w:t xml:space="preserve"> tighten </w:t>
      </w:r>
      <w:r w:rsidR="00962058" w:rsidRPr="00B81BBB">
        <w:rPr>
          <w:rFonts w:ascii="Arial" w:hAnsi="Arial" w:cs="Arial"/>
          <w:sz w:val="22"/>
          <w:szCs w:val="22"/>
        </w:rPr>
        <w:t xml:space="preserve">right after </w:t>
      </w:r>
      <w:r w:rsidR="0005181C" w:rsidRPr="00B81BBB">
        <w:rPr>
          <w:rFonts w:ascii="Arial" w:hAnsi="Arial" w:cs="Arial"/>
          <w:sz w:val="22"/>
          <w:szCs w:val="22"/>
        </w:rPr>
        <w:t>natural</w:t>
      </w:r>
      <w:r w:rsidR="00962058" w:rsidRPr="00B81BBB">
        <w:rPr>
          <w:rFonts w:ascii="Arial" w:hAnsi="Arial" w:cs="Arial"/>
          <w:sz w:val="22"/>
          <w:szCs w:val="22"/>
        </w:rPr>
        <w:t xml:space="preserve"> disaster</w:t>
      </w:r>
      <w:r w:rsidR="0005181C" w:rsidRPr="00B81BBB">
        <w:rPr>
          <w:rFonts w:ascii="Arial" w:hAnsi="Arial" w:cs="Arial"/>
          <w:sz w:val="22"/>
          <w:szCs w:val="22"/>
        </w:rPr>
        <w:t xml:space="preserve"> emergencies</w:t>
      </w:r>
      <w:r w:rsidR="007778A1" w:rsidRPr="00B81BBB">
        <w:rPr>
          <w:rFonts w:ascii="Arial" w:hAnsi="Arial" w:cs="Arial"/>
          <w:sz w:val="22"/>
          <w:szCs w:val="22"/>
        </w:rPr>
        <w:t xml:space="preserve"> as governments </w:t>
      </w:r>
      <w:r w:rsidR="00962058" w:rsidRPr="00B81BBB">
        <w:rPr>
          <w:rFonts w:ascii="Arial" w:hAnsi="Arial" w:cs="Arial"/>
          <w:sz w:val="22"/>
          <w:szCs w:val="22"/>
        </w:rPr>
        <w:t>usually</w:t>
      </w:r>
      <w:r w:rsidR="007778A1" w:rsidRPr="00B81BBB">
        <w:rPr>
          <w:rFonts w:ascii="Arial" w:hAnsi="Arial" w:cs="Arial"/>
          <w:sz w:val="22"/>
          <w:szCs w:val="22"/>
        </w:rPr>
        <w:t xml:space="preserve"> face</w:t>
      </w:r>
      <w:r w:rsidR="00962058" w:rsidRPr="00B81BBB">
        <w:rPr>
          <w:rFonts w:ascii="Arial" w:hAnsi="Arial" w:cs="Arial"/>
          <w:sz w:val="22"/>
          <w:szCs w:val="22"/>
        </w:rPr>
        <w:t xml:space="preserve"> lower tax revenues and increased unforeseen expenditures.</w:t>
      </w:r>
      <w:r w:rsidR="009C4A7D" w:rsidRPr="00B81BBB">
        <w:rPr>
          <w:rFonts w:ascii="Arial" w:hAnsi="Arial" w:cs="Arial"/>
          <w:sz w:val="22"/>
          <w:szCs w:val="22"/>
        </w:rPr>
        <w:t xml:space="preserve"> This implies that the expected comparative benefit of the Bank’s proposed loan might be even higher</w:t>
      </w:r>
      <w:r w:rsidR="001938E0" w:rsidRPr="00B81BBB">
        <w:rPr>
          <w:rFonts w:ascii="Arial" w:hAnsi="Arial" w:cs="Arial"/>
          <w:sz w:val="22"/>
          <w:szCs w:val="22"/>
        </w:rPr>
        <w:t>, though the real benefits can only be properly measure ex post.</w:t>
      </w:r>
    </w:p>
    <w:p w14:paraId="391755AB" w14:textId="77777777" w:rsidR="005B4D32" w:rsidRPr="00B81BBB" w:rsidRDefault="00F36415" w:rsidP="003268D3">
      <w:pPr>
        <w:pStyle w:val="Chapter"/>
        <w:tabs>
          <w:tab w:val="clear" w:pos="1440"/>
          <w:tab w:val="clear" w:pos="2952"/>
        </w:tabs>
        <w:ind w:left="0" w:firstLine="0"/>
        <w:rPr>
          <w:rFonts w:ascii="Arial" w:hAnsi="Arial" w:cs="Arial"/>
        </w:rPr>
      </w:pPr>
      <w:bookmarkStart w:id="20" w:name="_Toc510433079"/>
      <w:r w:rsidRPr="00B81BBB">
        <w:rPr>
          <w:rFonts w:ascii="Arial" w:hAnsi="Arial" w:cs="Arial"/>
        </w:rPr>
        <w:t>Sensibility Analysis</w:t>
      </w:r>
      <w:bookmarkEnd w:id="20"/>
    </w:p>
    <w:p w14:paraId="4F3E5F88" w14:textId="5BCCBF43" w:rsidR="0075508C" w:rsidRPr="00B81BBB" w:rsidRDefault="0075508C" w:rsidP="005031EB">
      <w:pPr>
        <w:pStyle w:val="Paragraph"/>
        <w:tabs>
          <w:tab w:val="clear" w:pos="3600"/>
        </w:tabs>
        <w:ind w:left="720" w:hanging="720"/>
        <w:rPr>
          <w:rFonts w:ascii="Arial" w:hAnsi="Arial" w:cs="Arial"/>
          <w:sz w:val="22"/>
          <w:szCs w:val="22"/>
        </w:rPr>
      </w:pPr>
      <w:r w:rsidRPr="00B81BBB">
        <w:rPr>
          <w:rFonts w:ascii="Arial" w:hAnsi="Arial" w:cs="Arial"/>
          <w:sz w:val="22"/>
          <w:szCs w:val="22"/>
        </w:rPr>
        <w:t>This section analyzes whether the Bank’s loan will remain</w:t>
      </w:r>
      <w:r w:rsidR="004E0EDC" w:rsidRPr="00B81BBB">
        <w:rPr>
          <w:rFonts w:ascii="Arial" w:hAnsi="Arial" w:cs="Arial"/>
          <w:sz w:val="22"/>
          <w:szCs w:val="22"/>
        </w:rPr>
        <w:t>, and to what extent,</w:t>
      </w:r>
      <w:r w:rsidRPr="00B81BBB">
        <w:rPr>
          <w:rFonts w:ascii="Arial" w:hAnsi="Arial" w:cs="Arial"/>
          <w:sz w:val="22"/>
          <w:szCs w:val="22"/>
        </w:rPr>
        <w:t xml:space="preserve"> the most efficient option for </w:t>
      </w:r>
      <w:r w:rsidR="00AC29D0">
        <w:rPr>
          <w:rFonts w:ascii="Arial" w:hAnsi="Arial" w:cs="Arial"/>
          <w:sz w:val="22"/>
          <w:szCs w:val="22"/>
        </w:rPr>
        <w:t>Guyana</w:t>
      </w:r>
      <w:r w:rsidR="00E30CDC" w:rsidRPr="00B81BBB">
        <w:rPr>
          <w:rFonts w:ascii="Arial" w:hAnsi="Arial" w:cs="Arial"/>
          <w:sz w:val="22"/>
          <w:szCs w:val="22"/>
        </w:rPr>
        <w:t xml:space="preserve"> </w:t>
      </w:r>
      <w:r w:rsidR="004E0EDC" w:rsidRPr="00B81BBB">
        <w:rPr>
          <w:rFonts w:ascii="Arial" w:hAnsi="Arial" w:cs="Arial"/>
          <w:sz w:val="22"/>
          <w:szCs w:val="22"/>
        </w:rPr>
        <w:t>if</w:t>
      </w:r>
      <w:r w:rsidRPr="00B81BBB">
        <w:rPr>
          <w:rFonts w:ascii="Arial" w:hAnsi="Arial" w:cs="Arial"/>
          <w:sz w:val="22"/>
          <w:szCs w:val="22"/>
        </w:rPr>
        <w:t xml:space="preserve"> the assumptions and financing conditions </w:t>
      </w:r>
      <w:r w:rsidR="004E0EDC" w:rsidRPr="00B81BBB">
        <w:rPr>
          <w:rFonts w:ascii="Arial" w:hAnsi="Arial" w:cs="Arial"/>
          <w:sz w:val="22"/>
          <w:szCs w:val="22"/>
        </w:rPr>
        <w:t xml:space="preserve">set in the previous sections change. The analysis shows that the Bank’s loan is the most efficient option in terms of the indicators </w:t>
      </w:r>
      <w:r w:rsidR="0005181C" w:rsidRPr="00B81BBB">
        <w:rPr>
          <w:rFonts w:ascii="Arial" w:hAnsi="Arial" w:cs="Arial"/>
          <w:sz w:val="22"/>
          <w:szCs w:val="22"/>
        </w:rPr>
        <w:t>e</w:t>
      </w:r>
      <w:r w:rsidR="004E0EDC" w:rsidRPr="00B81BBB">
        <w:rPr>
          <w:rFonts w:ascii="Arial" w:hAnsi="Arial" w:cs="Arial"/>
          <w:sz w:val="22"/>
          <w:szCs w:val="22"/>
        </w:rPr>
        <w:t>stablished in ¶</w:t>
      </w:r>
      <w:r w:rsidR="00F83539" w:rsidRPr="00B81BBB">
        <w:rPr>
          <w:rFonts w:ascii="Arial" w:hAnsi="Arial" w:cs="Arial"/>
          <w:sz w:val="22"/>
          <w:szCs w:val="22"/>
        </w:rPr>
        <w:fldChar w:fldCharType="begin"/>
      </w:r>
      <w:r w:rsidR="00F83539" w:rsidRPr="00B81BBB">
        <w:rPr>
          <w:rFonts w:ascii="Arial" w:hAnsi="Arial" w:cs="Arial"/>
          <w:sz w:val="22"/>
          <w:szCs w:val="22"/>
        </w:rPr>
        <w:instrText xml:space="preserve"> REF _Ref517193208 \r \h </w:instrText>
      </w:r>
      <w:r w:rsidR="00F83539" w:rsidRPr="00B81BBB">
        <w:rPr>
          <w:rFonts w:ascii="Arial" w:hAnsi="Arial" w:cs="Arial"/>
          <w:sz w:val="22"/>
          <w:szCs w:val="22"/>
        </w:rPr>
      </w:r>
      <w:r w:rsidR="00F83539" w:rsidRPr="00B81BBB">
        <w:rPr>
          <w:rFonts w:ascii="Arial" w:hAnsi="Arial" w:cs="Arial"/>
          <w:sz w:val="22"/>
          <w:szCs w:val="22"/>
        </w:rPr>
        <w:fldChar w:fldCharType="separate"/>
      </w:r>
      <w:r w:rsidR="007264FE">
        <w:rPr>
          <w:rFonts w:ascii="Arial" w:hAnsi="Arial" w:cs="Arial"/>
          <w:sz w:val="22"/>
          <w:szCs w:val="22"/>
        </w:rPr>
        <w:t>3.1</w:t>
      </w:r>
      <w:r w:rsidR="00F83539" w:rsidRPr="00B81BBB">
        <w:rPr>
          <w:rFonts w:ascii="Arial" w:hAnsi="Arial" w:cs="Arial"/>
          <w:sz w:val="22"/>
          <w:szCs w:val="22"/>
        </w:rPr>
        <w:fldChar w:fldCharType="end"/>
      </w:r>
      <w:r w:rsidR="0005181C" w:rsidRPr="00B81BBB">
        <w:rPr>
          <w:rFonts w:ascii="Arial" w:hAnsi="Arial" w:cs="Arial"/>
          <w:sz w:val="22"/>
          <w:szCs w:val="22"/>
        </w:rPr>
        <w:t>, since</w:t>
      </w:r>
      <w:r w:rsidR="0024017A" w:rsidRPr="00B81BBB">
        <w:rPr>
          <w:rFonts w:ascii="Arial" w:hAnsi="Arial" w:cs="Arial"/>
          <w:sz w:val="22"/>
          <w:szCs w:val="22"/>
        </w:rPr>
        <w:t xml:space="preserve"> its financial cost would be lower than any other financing alternatives</w:t>
      </w:r>
      <w:r w:rsidR="0005181C" w:rsidRPr="00B81BBB">
        <w:rPr>
          <w:rFonts w:ascii="Arial" w:hAnsi="Arial" w:cs="Arial"/>
          <w:sz w:val="22"/>
          <w:szCs w:val="22"/>
        </w:rPr>
        <w:t xml:space="preserve"> and loan resources will be made available faster</w:t>
      </w:r>
      <w:r w:rsidR="0024017A" w:rsidRPr="00B81BBB">
        <w:rPr>
          <w:rFonts w:ascii="Arial" w:hAnsi="Arial" w:cs="Arial"/>
          <w:sz w:val="22"/>
          <w:szCs w:val="22"/>
        </w:rPr>
        <w:t>.</w:t>
      </w:r>
    </w:p>
    <w:p w14:paraId="26E3B927" w14:textId="11F23E0A" w:rsidR="00A10305" w:rsidRPr="00B81BBB" w:rsidRDefault="00907535" w:rsidP="00A10305">
      <w:pPr>
        <w:pStyle w:val="Paragraph"/>
        <w:tabs>
          <w:tab w:val="clear" w:pos="3600"/>
        </w:tabs>
        <w:spacing w:after="0"/>
        <w:ind w:left="720" w:hanging="720"/>
        <w:rPr>
          <w:rFonts w:ascii="Arial" w:hAnsi="Arial" w:cs="Arial"/>
          <w:sz w:val="22"/>
          <w:szCs w:val="22"/>
        </w:rPr>
      </w:pPr>
      <w:r w:rsidRPr="00B81BBB">
        <w:rPr>
          <w:rFonts w:ascii="Arial" w:hAnsi="Arial" w:cs="Arial"/>
          <w:sz w:val="22"/>
          <w:szCs w:val="22"/>
        </w:rPr>
        <w:t xml:space="preserve">Though it is not </w:t>
      </w:r>
      <w:r w:rsidR="00376DB4" w:rsidRPr="00B81BBB">
        <w:rPr>
          <w:rFonts w:ascii="Arial" w:hAnsi="Arial" w:cs="Arial"/>
          <w:sz w:val="22"/>
          <w:szCs w:val="22"/>
        </w:rPr>
        <w:t>impossible</w:t>
      </w:r>
      <w:r w:rsidRPr="00B81BBB">
        <w:rPr>
          <w:rFonts w:ascii="Arial" w:hAnsi="Arial" w:cs="Arial"/>
          <w:sz w:val="22"/>
          <w:szCs w:val="22"/>
        </w:rPr>
        <w:t xml:space="preserve"> that the credit rating of the </w:t>
      </w:r>
      <w:r w:rsidR="00E30CDC" w:rsidRPr="00B81BBB">
        <w:rPr>
          <w:rFonts w:ascii="Arial" w:hAnsi="Arial" w:cs="Arial"/>
          <w:sz w:val="22"/>
          <w:szCs w:val="22"/>
        </w:rPr>
        <w:t>G</w:t>
      </w:r>
      <w:r w:rsidRPr="00B81BBB">
        <w:rPr>
          <w:rFonts w:ascii="Arial" w:hAnsi="Arial" w:cs="Arial"/>
          <w:sz w:val="22"/>
          <w:szCs w:val="22"/>
        </w:rPr>
        <w:t xml:space="preserve">overnment of </w:t>
      </w:r>
      <w:r w:rsidR="00AC29D0">
        <w:rPr>
          <w:rFonts w:ascii="Arial" w:hAnsi="Arial" w:cs="Arial"/>
          <w:sz w:val="22"/>
          <w:szCs w:val="22"/>
        </w:rPr>
        <w:t>Guyana</w:t>
      </w:r>
      <w:r w:rsidR="00E30CDC" w:rsidRPr="00B81BBB">
        <w:rPr>
          <w:rFonts w:ascii="Arial" w:hAnsi="Arial" w:cs="Arial"/>
          <w:sz w:val="22"/>
          <w:szCs w:val="22"/>
        </w:rPr>
        <w:t xml:space="preserve"> </w:t>
      </w:r>
      <w:r w:rsidRPr="00B81BBB">
        <w:rPr>
          <w:rFonts w:ascii="Arial" w:hAnsi="Arial" w:cs="Arial"/>
          <w:sz w:val="22"/>
          <w:szCs w:val="22"/>
        </w:rPr>
        <w:t xml:space="preserve">could </w:t>
      </w:r>
      <w:r w:rsidR="0006117B" w:rsidRPr="00B81BBB">
        <w:rPr>
          <w:rFonts w:ascii="Arial" w:hAnsi="Arial" w:cs="Arial"/>
          <w:sz w:val="22"/>
          <w:szCs w:val="22"/>
        </w:rPr>
        <w:t>worsen</w:t>
      </w:r>
      <w:r w:rsidRPr="00B81BBB">
        <w:rPr>
          <w:rFonts w:ascii="Arial" w:hAnsi="Arial" w:cs="Arial"/>
          <w:sz w:val="22"/>
          <w:szCs w:val="22"/>
        </w:rPr>
        <w:t xml:space="preserve"> during the lifespan of </w:t>
      </w:r>
      <w:r w:rsidR="00376DB4" w:rsidRPr="00B81BBB">
        <w:rPr>
          <w:rFonts w:ascii="Arial" w:hAnsi="Arial" w:cs="Arial"/>
          <w:sz w:val="22"/>
          <w:szCs w:val="22"/>
        </w:rPr>
        <w:t xml:space="preserve">this contingent loan operation, in which case the Bank’s option would be even more appealing, the analysis focuses on a scenario where </w:t>
      </w:r>
      <w:r w:rsidR="00D91169" w:rsidRPr="00B81BBB">
        <w:rPr>
          <w:rFonts w:ascii="Arial" w:hAnsi="Arial" w:cs="Arial"/>
          <w:sz w:val="22"/>
          <w:szCs w:val="22"/>
        </w:rPr>
        <w:t>the country</w:t>
      </w:r>
      <w:r w:rsidR="00376DB4" w:rsidRPr="00B81BBB">
        <w:rPr>
          <w:rFonts w:ascii="Arial" w:hAnsi="Arial" w:cs="Arial"/>
          <w:sz w:val="22"/>
          <w:szCs w:val="22"/>
        </w:rPr>
        <w:t xml:space="preserve"> </w:t>
      </w:r>
      <w:r w:rsidR="00D91169" w:rsidRPr="00B81BBB">
        <w:rPr>
          <w:rFonts w:ascii="Arial" w:hAnsi="Arial" w:cs="Arial"/>
          <w:sz w:val="22"/>
          <w:szCs w:val="22"/>
        </w:rPr>
        <w:t>reaches macroeconomic and macro financial conditions levels comparable to the best cases in the region</w:t>
      </w:r>
      <w:r w:rsidR="00376DB4" w:rsidRPr="00B81BBB">
        <w:rPr>
          <w:rFonts w:ascii="Arial" w:hAnsi="Arial" w:cs="Arial"/>
          <w:sz w:val="22"/>
          <w:szCs w:val="22"/>
        </w:rPr>
        <w:t>.</w:t>
      </w:r>
      <w:r w:rsidR="002D3C31" w:rsidRPr="00B81BBB">
        <w:rPr>
          <w:rFonts w:ascii="Arial" w:hAnsi="Arial" w:cs="Arial"/>
          <w:sz w:val="22"/>
          <w:szCs w:val="22"/>
        </w:rPr>
        <w:t xml:space="preserve"> The financial cost for </w:t>
      </w:r>
      <w:r w:rsidR="00221484">
        <w:rPr>
          <w:rFonts w:ascii="Arial" w:hAnsi="Arial" w:cs="Arial"/>
          <w:sz w:val="22"/>
          <w:szCs w:val="22"/>
        </w:rPr>
        <w:t xml:space="preserve">a </w:t>
      </w:r>
      <w:r w:rsidR="0005181C" w:rsidRPr="007D445E">
        <w:rPr>
          <w:rFonts w:ascii="Arial" w:hAnsi="Arial" w:cs="Arial"/>
          <w:sz w:val="22"/>
          <w:szCs w:val="22"/>
        </w:rPr>
        <w:t>comparable better performing countr</w:t>
      </w:r>
      <w:r w:rsidR="00221484">
        <w:rPr>
          <w:rFonts w:ascii="Arial" w:hAnsi="Arial" w:cs="Arial"/>
          <w:sz w:val="22"/>
          <w:szCs w:val="22"/>
        </w:rPr>
        <w:t>y</w:t>
      </w:r>
      <w:r w:rsidR="008E3549" w:rsidRPr="007D445E">
        <w:rPr>
          <w:rFonts w:ascii="Arial" w:hAnsi="Arial" w:cs="Arial"/>
          <w:sz w:val="22"/>
          <w:szCs w:val="22"/>
        </w:rPr>
        <w:t>,</w:t>
      </w:r>
      <w:r w:rsidR="002D3C31" w:rsidRPr="00B81BBB">
        <w:rPr>
          <w:rFonts w:ascii="Arial" w:hAnsi="Arial" w:cs="Arial"/>
          <w:sz w:val="22"/>
          <w:szCs w:val="22"/>
        </w:rPr>
        <w:t xml:space="preserve"> whose </w:t>
      </w:r>
      <w:r w:rsidR="00063BBF" w:rsidRPr="00B81BBB">
        <w:rPr>
          <w:rFonts w:ascii="Arial" w:hAnsi="Arial" w:cs="Arial"/>
          <w:sz w:val="22"/>
          <w:szCs w:val="22"/>
        </w:rPr>
        <w:t xml:space="preserve">credit rating </w:t>
      </w:r>
      <w:r w:rsidR="00221484">
        <w:rPr>
          <w:rFonts w:ascii="Arial" w:hAnsi="Arial" w:cs="Arial"/>
          <w:sz w:val="22"/>
          <w:szCs w:val="22"/>
        </w:rPr>
        <w:t>is</w:t>
      </w:r>
      <w:r w:rsidR="00063BBF" w:rsidRPr="00B81BBB">
        <w:rPr>
          <w:rFonts w:ascii="Arial" w:hAnsi="Arial" w:cs="Arial"/>
          <w:sz w:val="22"/>
          <w:szCs w:val="22"/>
        </w:rPr>
        <w:t xml:space="preserve"> higher, of issuing similar debt instruments in the financial markets </w:t>
      </w:r>
      <w:r w:rsidR="0006117B" w:rsidRPr="00B81BBB">
        <w:rPr>
          <w:rFonts w:ascii="Arial" w:hAnsi="Arial" w:cs="Arial"/>
          <w:sz w:val="22"/>
          <w:szCs w:val="22"/>
        </w:rPr>
        <w:t>is</w:t>
      </w:r>
      <w:r w:rsidR="00063BBF" w:rsidRPr="00B81BBB">
        <w:rPr>
          <w:rFonts w:ascii="Arial" w:hAnsi="Arial" w:cs="Arial"/>
          <w:sz w:val="22"/>
          <w:szCs w:val="22"/>
        </w:rPr>
        <w:t xml:space="preserve"> around </w:t>
      </w:r>
      <w:r w:rsidR="00221484" w:rsidRPr="00221484">
        <w:rPr>
          <w:rFonts w:ascii="Arial" w:hAnsi="Arial" w:cs="Arial"/>
          <w:b/>
          <w:bCs/>
          <w:sz w:val="22"/>
          <w:szCs w:val="22"/>
        </w:rPr>
        <w:t>528</w:t>
      </w:r>
      <w:r w:rsidR="00063BBF" w:rsidRPr="00221484">
        <w:rPr>
          <w:rFonts w:ascii="Arial" w:hAnsi="Arial" w:cs="Arial"/>
          <w:b/>
          <w:bCs/>
          <w:sz w:val="22"/>
          <w:szCs w:val="22"/>
        </w:rPr>
        <w:t xml:space="preserve"> bps</w:t>
      </w:r>
      <w:r w:rsidR="00063BBF" w:rsidRPr="00B81BBB">
        <w:rPr>
          <w:rFonts w:ascii="Arial" w:hAnsi="Arial" w:cs="Arial"/>
          <w:sz w:val="22"/>
          <w:szCs w:val="22"/>
        </w:rPr>
        <w:t xml:space="preserve">, which can be interpreted as the lower limit for </w:t>
      </w:r>
      <w:r w:rsidR="00221484">
        <w:rPr>
          <w:rFonts w:ascii="Arial" w:hAnsi="Arial" w:cs="Arial"/>
          <w:sz w:val="22"/>
          <w:szCs w:val="22"/>
        </w:rPr>
        <w:t>Guyana</w:t>
      </w:r>
      <w:r w:rsidR="00E30CDC" w:rsidRPr="00B81BBB">
        <w:rPr>
          <w:rFonts w:ascii="Arial" w:hAnsi="Arial" w:cs="Arial"/>
          <w:sz w:val="22"/>
          <w:szCs w:val="22"/>
        </w:rPr>
        <w:t xml:space="preserve"> </w:t>
      </w:r>
      <w:r w:rsidR="00063BBF" w:rsidRPr="00B81BBB">
        <w:rPr>
          <w:rFonts w:ascii="Arial" w:hAnsi="Arial" w:cs="Arial"/>
          <w:sz w:val="22"/>
          <w:szCs w:val="22"/>
        </w:rPr>
        <w:t>should the country improves its credit ratings. Clearly, the Bank’s loan (</w:t>
      </w:r>
      <w:r w:rsidR="007D445E" w:rsidRPr="007D445E">
        <w:rPr>
          <w:rFonts w:ascii="Arial" w:hAnsi="Arial" w:cs="Arial"/>
          <w:b/>
          <w:bCs/>
          <w:sz w:val="22"/>
          <w:szCs w:val="22"/>
        </w:rPr>
        <w:t>185</w:t>
      </w:r>
      <w:r w:rsidR="00C52028" w:rsidRPr="007D445E">
        <w:rPr>
          <w:rFonts w:ascii="Arial" w:hAnsi="Arial" w:cs="Arial"/>
          <w:b/>
          <w:bCs/>
          <w:sz w:val="22"/>
          <w:szCs w:val="22"/>
        </w:rPr>
        <w:t xml:space="preserve"> </w:t>
      </w:r>
      <w:r w:rsidR="00063BBF" w:rsidRPr="00B81BBB">
        <w:rPr>
          <w:rFonts w:ascii="Arial" w:hAnsi="Arial" w:cs="Arial"/>
          <w:b/>
          <w:sz w:val="22"/>
          <w:szCs w:val="22"/>
        </w:rPr>
        <w:t>bps</w:t>
      </w:r>
      <w:r w:rsidR="00063BBF" w:rsidRPr="00B81BBB">
        <w:rPr>
          <w:rFonts w:ascii="Arial" w:hAnsi="Arial" w:cs="Arial"/>
          <w:sz w:val="22"/>
          <w:szCs w:val="22"/>
        </w:rPr>
        <w:t>) would be more efficient in that optimistic scenario</w:t>
      </w:r>
      <w:r w:rsidR="00A10305" w:rsidRPr="00B81BBB">
        <w:rPr>
          <w:rFonts w:ascii="Arial" w:hAnsi="Arial" w:cs="Arial"/>
          <w:sz w:val="22"/>
          <w:szCs w:val="22"/>
        </w:rPr>
        <w:t xml:space="preserve"> (Table 3)</w:t>
      </w:r>
      <w:r w:rsidR="00063BBF" w:rsidRPr="00B81BBB">
        <w:rPr>
          <w:rFonts w:ascii="Arial" w:hAnsi="Arial" w:cs="Arial"/>
          <w:sz w:val="22"/>
          <w:szCs w:val="22"/>
        </w:rPr>
        <w:t>.</w:t>
      </w:r>
    </w:p>
    <w:p w14:paraId="1BEC779E" w14:textId="77777777" w:rsidR="005B24C9" w:rsidRPr="00B81BBB" w:rsidRDefault="005B24C9" w:rsidP="00A10305">
      <w:pPr>
        <w:pStyle w:val="Paragraph"/>
        <w:numPr>
          <w:ilvl w:val="0"/>
          <w:numId w:val="0"/>
        </w:numPr>
        <w:spacing w:before="0" w:after="0"/>
        <w:ind w:left="720"/>
        <w:rPr>
          <w:rFonts w:ascii="Arial" w:hAnsi="Arial" w:cs="Arial"/>
          <w:sz w:val="22"/>
          <w:szCs w:val="22"/>
        </w:rPr>
      </w:pPr>
    </w:p>
    <w:p w14:paraId="63664EC6" w14:textId="4F6AD969" w:rsidR="00CA6184" w:rsidRPr="00987C15" w:rsidRDefault="00A10305" w:rsidP="00A10305">
      <w:pPr>
        <w:pStyle w:val="Paragraph"/>
        <w:numPr>
          <w:ilvl w:val="0"/>
          <w:numId w:val="0"/>
        </w:numPr>
        <w:spacing w:before="0"/>
        <w:jc w:val="center"/>
        <w:rPr>
          <w:rFonts w:ascii="Arial" w:hAnsi="Arial" w:cs="Arial"/>
          <w:b/>
          <w:bCs/>
          <w:color w:val="000000"/>
          <w:spacing w:val="-4"/>
          <w:sz w:val="20"/>
        </w:rPr>
      </w:pPr>
      <w:r w:rsidRPr="00987C15">
        <w:rPr>
          <w:rFonts w:ascii="Arial" w:hAnsi="Arial" w:cs="Arial"/>
          <w:b/>
          <w:bCs/>
          <w:color w:val="000000"/>
          <w:spacing w:val="-4"/>
          <w:sz w:val="20"/>
        </w:rPr>
        <w:t>Table 3: Credit ratings and financing cost</w:t>
      </w:r>
    </w:p>
    <w:tbl>
      <w:tblPr>
        <w:tblStyle w:val="TableGrid"/>
        <w:tblW w:w="0" w:type="auto"/>
        <w:jc w:val="right"/>
        <w:tblLook w:val="04A0" w:firstRow="1" w:lastRow="0" w:firstColumn="1" w:lastColumn="0" w:noHBand="0" w:noVBand="1"/>
      </w:tblPr>
      <w:tblGrid>
        <w:gridCol w:w="3726"/>
        <w:gridCol w:w="2080"/>
        <w:gridCol w:w="1984"/>
      </w:tblGrid>
      <w:tr w:rsidR="006F3EEA" w:rsidRPr="00B81BBB" w14:paraId="5BDBC1E5" w14:textId="77777777" w:rsidTr="0045688F">
        <w:trPr>
          <w:trHeight w:val="278"/>
          <w:jc w:val="right"/>
        </w:trPr>
        <w:tc>
          <w:tcPr>
            <w:tcW w:w="3726" w:type="dxa"/>
            <w:shd w:val="clear" w:color="auto" w:fill="D9D9D9" w:themeFill="background1" w:themeFillShade="D9"/>
            <w:vAlign w:val="center"/>
          </w:tcPr>
          <w:p w14:paraId="66E8DD0A" w14:textId="77777777" w:rsidR="002B489E" w:rsidRPr="00B81BBB" w:rsidRDefault="004731A7" w:rsidP="005D38F4">
            <w:pPr>
              <w:pStyle w:val="Paragraph"/>
              <w:numPr>
                <w:ilvl w:val="0"/>
                <w:numId w:val="0"/>
              </w:numPr>
              <w:spacing w:before="40" w:after="40"/>
              <w:rPr>
                <w:rFonts w:ascii="Arial" w:hAnsi="Arial" w:cs="Arial"/>
                <w:b/>
                <w:sz w:val="20"/>
                <w:szCs w:val="22"/>
              </w:rPr>
            </w:pPr>
            <w:r w:rsidRPr="00B81BBB">
              <w:rPr>
                <w:rFonts w:ascii="Arial" w:hAnsi="Arial" w:cs="Arial"/>
                <w:b/>
                <w:sz w:val="20"/>
                <w:szCs w:val="22"/>
              </w:rPr>
              <w:t>Country</w:t>
            </w:r>
          </w:p>
        </w:tc>
        <w:tc>
          <w:tcPr>
            <w:tcW w:w="2080" w:type="dxa"/>
            <w:shd w:val="clear" w:color="auto" w:fill="D9D9D9" w:themeFill="background1" w:themeFillShade="D9"/>
            <w:vAlign w:val="center"/>
          </w:tcPr>
          <w:p w14:paraId="0E74C40B" w14:textId="77777777" w:rsidR="002B489E" w:rsidRPr="00B81BBB" w:rsidRDefault="001B5F39" w:rsidP="005D38F4">
            <w:pPr>
              <w:pStyle w:val="Paragraph"/>
              <w:numPr>
                <w:ilvl w:val="0"/>
                <w:numId w:val="0"/>
              </w:numPr>
              <w:tabs>
                <w:tab w:val="left" w:pos="1854"/>
              </w:tabs>
              <w:spacing w:before="40" w:after="40"/>
              <w:jc w:val="center"/>
              <w:rPr>
                <w:rFonts w:ascii="Arial" w:hAnsi="Arial" w:cs="Arial"/>
                <w:b/>
                <w:sz w:val="20"/>
                <w:szCs w:val="22"/>
              </w:rPr>
            </w:pPr>
            <w:r w:rsidRPr="00B81BBB">
              <w:rPr>
                <w:rFonts w:ascii="Arial" w:hAnsi="Arial" w:cs="Arial"/>
                <w:b/>
                <w:sz w:val="20"/>
                <w:szCs w:val="22"/>
              </w:rPr>
              <w:t>Rating</w:t>
            </w:r>
          </w:p>
        </w:tc>
        <w:tc>
          <w:tcPr>
            <w:tcW w:w="1984" w:type="dxa"/>
            <w:shd w:val="clear" w:color="auto" w:fill="D9D9D9" w:themeFill="background1" w:themeFillShade="D9"/>
            <w:vAlign w:val="center"/>
          </w:tcPr>
          <w:p w14:paraId="309193B1" w14:textId="77777777" w:rsidR="002B489E" w:rsidRPr="00B81BBB" w:rsidRDefault="001B5F39" w:rsidP="005D38F4">
            <w:pPr>
              <w:pStyle w:val="Paragraph"/>
              <w:numPr>
                <w:ilvl w:val="0"/>
                <w:numId w:val="0"/>
              </w:numPr>
              <w:spacing w:before="40" w:after="40"/>
              <w:jc w:val="center"/>
              <w:rPr>
                <w:rFonts w:ascii="Arial" w:hAnsi="Arial" w:cs="Arial"/>
                <w:b/>
                <w:sz w:val="20"/>
                <w:szCs w:val="22"/>
              </w:rPr>
            </w:pPr>
            <w:r w:rsidRPr="00B81BBB">
              <w:rPr>
                <w:rFonts w:ascii="Arial" w:hAnsi="Arial" w:cs="Arial"/>
                <w:b/>
                <w:sz w:val="20"/>
                <w:szCs w:val="22"/>
              </w:rPr>
              <w:t>Yield (</w:t>
            </w:r>
            <w:r w:rsidR="004731A7" w:rsidRPr="00B81BBB">
              <w:rPr>
                <w:rFonts w:ascii="Arial" w:hAnsi="Arial" w:cs="Arial"/>
                <w:b/>
                <w:sz w:val="20"/>
                <w:szCs w:val="22"/>
              </w:rPr>
              <w:t>bps</w:t>
            </w:r>
            <w:r w:rsidRPr="00B81BBB">
              <w:rPr>
                <w:rFonts w:ascii="Arial" w:hAnsi="Arial" w:cs="Arial"/>
                <w:b/>
                <w:sz w:val="20"/>
                <w:szCs w:val="22"/>
              </w:rPr>
              <w:t>)</w:t>
            </w:r>
          </w:p>
        </w:tc>
      </w:tr>
      <w:tr w:rsidR="00246FB4" w:rsidRPr="00B81BBB" w14:paraId="12667B43" w14:textId="77777777" w:rsidTr="0045688F">
        <w:trPr>
          <w:trHeight w:val="287"/>
          <w:jc w:val="right"/>
        </w:trPr>
        <w:tc>
          <w:tcPr>
            <w:tcW w:w="3726" w:type="dxa"/>
            <w:vAlign w:val="center"/>
          </w:tcPr>
          <w:p w14:paraId="18AA4ACE" w14:textId="2CEB6D4C" w:rsidR="002B489E" w:rsidRPr="00B81BBB" w:rsidRDefault="00221484" w:rsidP="005D38F4">
            <w:pPr>
              <w:pStyle w:val="Paragraph"/>
              <w:numPr>
                <w:ilvl w:val="0"/>
                <w:numId w:val="0"/>
              </w:numPr>
              <w:spacing w:before="40" w:after="40"/>
              <w:rPr>
                <w:rFonts w:ascii="Arial" w:hAnsi="Arial" w:cs="Arial"/>
                <w:sz w:val="20"/>
                <w:szCs w:val="22"/>
                <w:vertAlign w:val="superscript"/>
              </w:rPr>
            </w:pPr>
            <w:r>
              <w:rPr>
                <w:rFonts w:ascii="Arial" w:hAnsi="Arial" w:cs="Arial"/>
                <w:sz w:val="20"/>
                <w:szCs w:val="22"/>
              </w:rPr>
              <w:t>Trinidad and Tobago</w:t>
            </w:r>
            <w:r w:rsidR="00094F7A" w:rsidRPr="00B81BBB">
              <w:rPr>
                <w:rFonts w:ascii="Arial" w:hAnsi="Arial" w:cs="Arial"/>
                <w:sz w:val="20"/>
                <w:szCs w:val="22"/>
                <w:vertAlign w:val="superscript"/>
              </w:rPr>
              <w:t>1</w:t>
            </w:r>
          </w:p>
        </w:tc>
        <w:tc>
          <w:tcPr>
            <w:tcW w:w="2080" w:type="dxa"/>
            <w:vAlign w:val="center"/>
          </w:tcPr>
          <w:p w14:paraId="580487CB" w14:textId="08E2A646" w:rsidR="002B489E" w:rsidRPr="00B81BBB" w:rsidRDefault="00221484" w:rsidP="005D38F4">
            <w:pPr>
              <w:pStyle w:val="Paragraph"/>
              <w:numPr>
                <w:ilvl w:val="0"/>
                <w:numId w:val="0"/>
              </w:numPr>
              <w:tabs>
                <w:tab w:val="left" w:pos="1854"/>
              </w:tabs>
              <w:spacing w:before="40" w:after="40"/>
              <w:jc w:val="center"/>
              <w:rPr>
                <w:rFonts w:ascii="Arial" w:hAnsi="Arial" w:cs="Arial"/>
                <w:sz w:val="20"/>
                <w:szCs w:val="22"/>
              </w:rPr>
            </w:pPr>
            <w:r w:rsidRPr="00221484">
              <w:rPr>
                <w:rFonts w:ascii="Arial" w:hAnsi="Arial" w:cs="Arial"/>
                <w:sz w:val="20"/>
                <w:szCs w:val="22"/>
              </w:rPr>
              <w:t>BBB-</w:t>
            </w:r>
          </w:p>
        </w:tc>
        <w:tc>
          <w:tcPr>
            <w:tcW w:w="1984" w:type="dxa"/>
            <w:vAlign w:val="center"/>
          </w:tcPr>
          <w:p w14:paraId="40DA511C" w14:textId="6A714157" w:rsidR="002B489E" w:rsidRPr="00B81BBB" w:rsidRDefault="00221484" w:rsidP="005D38F4">
            <w:pPr>
              <w:pStyle w:val="Paragraph"/>
              <w:numPr>
                <w:ilvl w:val="0"/>
                <w:numId w:val="0"/>
              </w:numPr>
              <w:spacing w:before="40" w:after="40"/>
              <w:jc w:val="center"/>
              <w:rPr>
                <w:rFonts w:ascii="Arial" w:hAnsi="Arial" w:cs="Arial"/>
                <w:sz w:val="20"/>
                <w:szCs w:val="22"/>
              </w:rPr>
            </w:pPr>
            <w:r>
              <w:rPr>
                <w:rFonts w:ascii="Arial" w:hAnsi="Arial" w:cs="Arial"/>
                <w:sz w:val="20"/>
                <w:szCs w:val="22"/>
              </w:rPr>
              <w:t>528</w:t>
            </w:r>
          </w:p>
        </w:tc>
      </w:tr>
      <w:tr w:rsidR="00540C5D" w:rsidRPr="00B81BBB" w14:paraId="39F67863" w14:textId="77777777" w:rsidTr="0045688F">
        <w:trPr>
          <w:trHeight w:val="287"/>
          <w:jc w:val="right"/>
        </w:trPr>
        <w:tc>
          <w:tcPr>
            <w:tcW w:w="3726" w:type="dxa"/>
            <w:tcBorders>
              <w:bottom w:val="single" w:sz="4" w:space="0" w:color="auto"/>
            </w:tcBorders>
            <w:vAlign w:val="center"/>
          </w:tcPr>
          <w:p w14:paraId="27D74420" w14:textId="2A35E001" w:rsidR="00540C5D" w:rsidRPr="00B81BBB" w:rsidRDefault="00AC29D0" w:rsidP="005D38F4">
            <w:pPr>
              <w:pStyle w:val="Paragraph"/>
              <w:numPr>
                <w:ilvl w:val="0"/>
                <w:numId w:val="0"/>
              </w:numPr>
              <w:spacing w:before="40" w:after="40"/>
              <w:rPr>
                <w:rFonts w:ascii="Arial" w:hAnsi="Arial" w:cs="Arial"/>
                <w:sz w:val="20"/>
                <w:szCs w:val="22"/>
              </w:rPr>
            </w:pPr>
            <w:r>
              <w:rPr>
                <w:rFonts w:ascii="Arial" w:hAnsi="Arial" w:cs="Arial"/>
                <w:sz w:val="20"/>
                <w:szCs w:val="22"/>
              </w:rPr>
              <w:t>Guyana</w:t>
            </w:r>
            <w:r w:rsidR="00221484">
              <w:rPr>
                <w:rFonts w:ascii="Arial" w:hAnsi="Arial" w:cs="Arial"/>
                <w:sz w:val="20"/>
                <w:szCs w:val="22"/>
                <w:vertAlign w:val="superscript"/>
              </w:rPr>
              <w:t>2</w:t>
            </w:r>
          </w:p>
        </w:tc>
        <w:tc>
          <w:tcPr>
            <w:tcW w:w="2080" w:type="dxa"/>
            <w:tcBorders>
              <w:bottom w:val="single" w:sz="4" w:space="0" w:color="auto"/>
            </w:tcBorders>
            <w:vAlign w:val="center"/>
          </w:tcPr>
          <w:p w14:paraId="085D4C65" w14:textId="50DCB95D" w:rsidR="00540C5D" w:rsidRPr="00B81BBB" w:rsidRDefault="00AC29D0" w:rsidP="005D38F4">
            <w:pPr>
              <w:pStyle w:val="Paragraph"/>
              <w:numPr>
                <w:ilvl w:val="0"/>
                <w:numId w:val="0"/>
              </w:numPr>
              <w:tabs>
                <w:tab w:val="left" w:pos="1854"/>
              </w:tabs>
              <w:spacing w:before="40" w:after="40"/>
              <w:jc w:val="center"/>
              <w:rPr>
                <w:rFonts w:ascii="Arial" w:hAnsi="Arial" w:cs="Arial"/>
                <w:sz w:val="20"/>
                <w:szCs w:val="22"/>
              </w:rPr>
            </w:pPr>
            <w:r>
              <w:rPr>
                <w:rFonts w:ascii="Arial" w:hAnsi="Arial" w:cs="Arial"/>
                <w:sz w:val="20"/>
                <w:szCs w:val="22"/>
              </w:rPr>
              <w:t>BB-</w:t>
            </w:r>
          </w:p>
        </w:tc>
        <w:tc>
          <w:tcPr>
            <w:tcW w:w="1984" w:type="dxa"/>
            <w:tcBorders>
              <w:bottom w:val="single" w:sz="4" w:space="0" w:color="auto"/>
            </w:tcBorders>
            <w:vAlign w:val="center"/>
          </w:tcPr>
          <w:p w14:paraId="7E486277" w14:textId="78705343" w:rsidR="00540C5D" w:rsidRPr="00B81BBB" w:rsidRDefault="00636A6F" w:rsidP="005D38F4">
            <w:pPr>
              <w:pStyle w:val="Paragraph"/>
              <w:numPr>
                <w:ilvl w:val="0"/>
                <w:numId w:val="0"/>
              </w:numPr>
              <w:spacing w:before="40" w:after="40"/>
              <w:jc w:val="center"/>
              <w:rPr>
                <w:rFonts w:ascii="Arial" w:hAnsi="Arial" w:cs="Arial"/>
                <w:sz w:val="20"/>
                <w:szCs w:val="22"/>
              </w:rPr>
            </w:pPr>
            <w:r>
              <w:rPr>
                <w:rFonts w:ascii="Arial" w:hAnsi="Arial" w:cs="Arial"/>
                <w:sz w:val="20"/>
                <w:szCs w:val="22"/>
              </w:rPr>
              <w:t>553</w:t>
            </w:r>
          </w:p>
        </w:tc>
      </w:tr>
      <w:tr w:rsidR="00246FB4" w:rsidRPr="00B81BBB" w14:paraId="03C1F239" w14:textId="77777777" w:rsidTr="0045688F">
        <w:trPr>
          <w:trHeight w:val="287"/>
          <w:jc w:val="right"/>
        </w:trPr>
        <w:tc>
          <w:tcPr>
            <w:tcW w:w="3726" w:type="dxa"/>
            <w:shd w:val="clear" w:color="auto" w:fill="DBE5F1" w:themeFill="accent1" w:themeFillTint="33"/>
            <w:vAlign w:val="center"/>
          </w:tcPr>
          <w:p w14:paraId="3F7547A8" w14:textId="07AA456B" w:rsidR="002B489E" w:rsidRPr="00B81BBB" w:rsidRDefault="004731A7" w:rsidP="005D38F4">
            <w:pPr>
              <w:pStyle w:val="Paragraph"/>
              <w:numPr>
                <w:ilvl w:val="0"/>
                <w:numId w:val="0"/>
              </w:numPr>
              <w:tabs>
                <w:tab w:val="left" w:pos="2304"/>
              </w:tabs>
              <w:spacing w:before="40" w:after="40"/>
              <w:rPr>
                <w:rFonts w:ascii="Arial" w:hAnsi="Arial" w:cs="Arial"/>
                <w:sz w:val="20"/>
                <w:szCs w:val="22"/>
                <w:vertAlign w:val="superscript"/>
              </w:rPr>
            </w:pPr>
            <w:r w:rsidRPr="00B81BBB">
              <w:rPr>
                <w:rFonts w:ascii="Arial" w:hAnsi="Arial" w:cs="Arial"/>
                <w:sz w:val="20"/>
                <w:szCs w:val="22"/>
              </w:rPr>
              <w:t>IDB loan</w:t>
            </w:r>
            <w:r w:rsidR="00221484">
              <w:rPr>
                <w:rFonts w:ascii="Arial" w:hAnsi="Arial" w:cs="Arial"/>
                <w:sz w:val="20"/>
                <w:szCs w:val="22"/>
                <w:vertAlign w:val="superscript"/>
              </w:rPr>
              <w:t>3</w:t>
            </w:r>
          </w:p>
        </w:tc>
        <w:tc>
          <w:tcPr>
            <w:tcW w:w="2080" w:type="dxa"/>
            <w:shd w:val="clear" w:color="auto" w:fill="DBE5F1" w:themeFill="accent1" w:themeFillTint="33"/>
            <w:vAlign w:val="center"/>
          </w:tcPr>
          <w:p w14:paraId="114ABBC5" w14:textId="497B2259" w:rsidR="002B489E" w:rsidRPr="00B81BBB" w:rsidRDefault="00246FB4" w:rsidP="005D38F4">
            <w:pPr>
              <w:pStyle w:val="Paragraph"/>
              <w:numPr>
                <w:ilvl w:val="0"/>
                <w:numId w:val="0"/>
              </w:numPr>
              <w:tabs>
                <w:tab w:val="left" w:pos="1854"/>
              </w:tabs>
              <w:spacing w:before="40" w:after="40"/>
              <w:jc w:val="center"/>
              <w:rPr>
                <w:rFonts w:ascii="Arial" w:hAnsi="Arial" w:cs="Arial"/>
                <w:sz w:val="20"/>
                <w:szCs w:val="22"/>
              </w:rPr>
            </w:pPr>
            <w:r w:rsidRPr="00B81BBB">
              <w:rPr>
                <w:rFonts w:ascii="Arial" w:hAnsi="Arial" w:cs="Arial"/>
                <w:sz w:val="20"/>
                <w:szCs w:val="22"/>
              </w:rPr>
              <w:t>A</w:t>
            </w:r>
            <w:r w:rsidR="00636A6F">
              <w:rPr>
                <w:rFonts w:ascii="Arial" w:hAnsi="Arial" w:cs="Arial"/>
                <w:sz w:val="20"/>
                <w:szCs w:val="22"/>
              </w:rPr>
              <w:t>AA</w:t>
            </w:r>
          </w:p>
        </w:tc>
        <w:tc>
          <w:tcPr>
            <w:tcW w:w="1984" w:type="dxa"/>
            <w:shd w:val="clear" w:color="auto" w:fill="DBE5F1" w:themeFill="accent1" w:themeFillTint="33"/>
            <w:vAlign w:val="center"/>
          </w:tcPr>
          <w:p w14:paraId="7B122FD5" w14:textId="56162BD8" w:rsidR="002B489E" w:rsidRPr="00B81BBB" w:rsidRDefault="00636A6F" w:rsidP="005D38F4">
            <w:pPr>
              <w:pStyle w:val="Paragraph"/>
              <w:numPr>
                <w:ilvl w:val="0"/>
                <w:numId w:val="0"/>
              </w:numPr>
              <w:spacing w:before="40" w:after="40"/>
              <w:jc w:val="center"/>
              <w:rPr>
                <w:rFonts w:ascii="Arial" w:hAnsi="Arial" w:cs="Arial"/>
                <w:sz w:val="20"/>
                <w:szCs w:val="22"/>
              </w:rPr>
            </w:pPr>
            <w:r>
              <w:rPr>
                <w:rFonts w:ascii="Arial" w:hAnsi="Arial" w:cs="Arial"/>
                <w:sz w:val="20"/>
                <w:szCs w:val="22"/>
              </w:rPr>
              <w:t>185</w:t>
            </w:r>
          </w:p>
        </w:tc>
      </w:tr>
    </w:tbl>
    <w:p w14:paraId="48E7F0A5" w14:textId="67917B87" w:rsidR="006557AA" w:rsidRPr="00B81BBB" w:rsidRDefault="005D38F4" w:rsidP="006557AA">
      <w:pPr>
        <w:pStyle w:val="Paragraph"/>
        <w:numPr>
          <w:ilvl w:val="0"/>
          <w:numId w:val="0"/>
        </w:numPr>
        <w:spacing w:before="0" w:after="0"/>
        <w:ind w:left="634"/>
        <w:rPr>
          <w:rFonts w:ascii="Arial" w:hAnsi="Arial" w:cs="Arial"/>
          <w:sz w:val="18"/>
          <w:szCs w:val="22"/>
        </w:rPr>
      </w:pPr>
      <w:r w:rsidRPr="00B81BBB">
        <w:rPr>
          <w:rFonts w:ascii="Arial" w:hAnsi="Arial" w:cs="Arial"/>
          <w:sz w:val="22"/>
          <w:szCs w:val="22"/>
        </w:rPr>
        <w:t xml:space="preserve">  </w:t>
      </w:r>
      <w:r w:rsidR="006557AA" w:rsidRPr="00B81BBB">
        <w:rPr>
          <w:rFonts w:ascii="Arial" w:hAnsi="Arial" w:cs="Arial"/>
          <w:sz w:val="22"/>
          <w:szCs w:val="22"/>
        </w:rPr>
        <w:t xml:space="preserve"> </w:t>
      </w:r>
      <w:r w:rsidR="00094F7A" w:rsidRPr="00B81BBB">
        <w:rPr>
          <w:rFonts w:ascii="Arial" w:hAnsi="Arial" w:cs="Arial"/>
          <w:sz w:val="18"/>
          <w:szCs w:val="22"/>
        </w:rPr>
        <w:t>1</w:t>
      </w:r>
      <w:r w:rsidR="006557AA" w:rsidRPr="00B81BBB">
        <w:rPr>
          <w:rFonts w:ascii="Arial" w:hAnsi="Arial" w:cs="Arial"/>
          <w:sz w:val="18"/>
          <w:szCs w:val="22"/>
        </w:rPr>
        <w:t xml:space="preserve">/ </w:t>
      </w:r>
      <w:r w:rsidR="00813F62" w:rsidRPr="00B81BBB">
        <w:rPr>
          <w:rFonts w:ascii="Arial" w:hAnsi="Arial" w:cs="Arial"/>
          <w:sz w:val="18"/>
          <w:szCs w:val="22"/>
        </w:rPr>
        <w:t>Sovereign bond trading levels</w:t>
      </w:r>
      <w:r w:rsidR="006069C6" w:rsidRPr="00B81BBB">
        <w:rPr>
          <w:rFonts w:ascii="Arial" w:hAnsi="Arial" w:cs="Arial"/>
          <w:sz w:val="18"/>
          <w:szCs w:val="22"/>
        </w:rPr>
        <w:t xml:space="preserve"> [</w:t>
      </w:r>
      <w:r w:rsidR="00185C92">
        <w:rPr>
          <w:rFonts w:ascii="Arial" w:hAnsi="Arial" w:cs="Arial"/>
          <w:sz w:val="18"/>
          <w:szCs w:val="22"/>
        </w:rPr>
        <w:t>Bloomberg, IDB Finance Department. May 15, 2020</w:t>
      </w:r>
      <w:r w:rsidR="006069C6" w:rsidRPr="00B81BBB">
        <w:rPr>
          <w:rFonts w:ascii="Arial" w:hAnsi="Arial" w:cs="Arial"/>
          <w:sz w:val="18"/>
          <w:szCs w:val="22"/>
        </w:rPr>
        <w:t>]</w:t>
      </w:r>
      <w:r w:rsidR="006557AA" w:rsidRPr="00B81BBB">
        <w:rPr>
          <w:rFonts w:ascii="Arial" w:hAnsi="Arial" w:cs="Arial"/>
          <w:sz w:val="18"/>
          <w:szCs w:val="22"/>
        </w:rPr>
        <w:t>.</w:t>
      </w:r>
    </w:p>
    <w:p w14:paraId="3B3FF20E" w14:textId="5DF6FDFA" w:rsidR="00AC29D0" w:rsidRDefault="002301F3" w:rsidP="006557AA">
      <w:pPr>
        <w:pStyle w:val="Paragraph"/>
        <w:numPr>
          <w:ilvl w:val="0"/>
          <w:numId w:val="0"/>
        </w:numPr>
        <w:spacing w:before="0" w:after="0"/>
        <w:ind w:left="634"/>
        <w:rPr>
          <w:rFonts w:ascii="Arial" w:hAnsi="Arial" w:cs="Arial"/>
          <w:sz w:val="18"/>
        </w:rPr>
      </w:pPr>
      <w:r>
        <w:rPr>
          <w:rFonts w:ascii="Arial" w:hAnsi="Arial" w:cs="Arial"/>
          <w:sz w:val="18"/>
        </w:rPr>
        <w:tab/>
        <w:t xml:space="preserve">  </w:t>
      </w:r>
      <w:r w:rsidR="00221484">
        <w:rPr>
          <w:rFonts w:ascii="Arial" w:hAnsi="Arial" w:cs="Arial"/>
          <w:sz w:val="18"/>
        </w:rPr>
        <w:t>2</w:t>
      </w:r>
      <w:r>
        <w:rPr>
          <w:rFonts w:ascii="Arial" w:hAnsi="Arial" w:cs="Arial"/>
          <w:sz w:val="18"/>
        </w:rPr>
        <w:t>/</w:t>
      </w:r>
      <w:r w:rsidR="00636A6F">
        <w:rPr>
          <w:rFonts w:ascii="Arial" w:hAnsi="Arial" w:cs="Arial"/>
          <w:sz w:val="18"/>
        </w:rPr>
        <w:t xml:space="preserve"> Rating reflects estimated shadow rating calculated by Roubini Global Economics.</w:t>
      </w:r>
      <w:r>
        <w:rPr>
          <w:rFonts w:ascii="Arial" w:hAnsi="Arial" w:cs="Arial"/>
          <w:sz w:val="18"/>
        </w:rPr>
        <w:tab/>
      </w:r>
      <w:r w:rsidR="006557AA" w:rsidRPr="00B81BBB">
        <w:rPr>
          <w:rFonts w:ascii="Arial" w:hAnsi="Arial" w:cs="Arial"/>
          <w:sz w:val="18"/>
        </w:rPr>
        <w:t xml:space="preserve">    </w:t>
      </w:r>
    </w:p>
    <w:p w14:paraId="0507BED7" w14:textId="5AF0ECCD" w:rsidR="00DE0125" w:rsidRPr="00B81BBB" w:rsidRDefault="00185C92" w:rsidP="00185C92">
      <w:pPr>
        <w:pStyle w:val="Paragraph"/>
        <w:numPr>
          <w:ilvl w:val="0"/>
          <w:numId w:val="0"/>
        </w:numPr>
        <w:spacing w:before="0" w:after="0"/>
        <w:ind w:left="720"/>
        <w:rPr>
          <w:rFonts w:ascii="Arial" w:hAnsi="Arial" w:cs="Arial"/>
          <w:sz w:val="22"/>
          <w:szCs w:val="22"/>
        </w:rPr>
      </w:pPr>
      <w:r>
        <w:rPr>
          <w:rFonts w:ascii="Arial" w:hAnsi="Arial" w:cs="Arial"/>
          <w:sz w:val="18"/>
        </w:rPr>
        <w:t xml:space="preserve">  </w:t>
      </w:r>
      <w:r w:rsidR="00221484">
        <w:rPr>
          <w:rFonts w:ascii="Arial" w:hAnsi="Arial" w:cs="Arial"/>
          <w:sz w:val="18"/>
        </w:rPr>
        <w:t>3</w:t>
      </w:r>
      <w:r w:rsidR="006557AA" w:rsidRPr="00B81BBB">
        <w:rPr>
          <w:rFonts w:ascii="Arial" w:hAnsi="Arial" w:cs="Arial"/>
          <w:sz w:val="18"/>
        </w:rPr>
        <w:t>/ A</w:t>
      </w:r>
      <w:r w:rsidR="00636A6F">
        <w:rPr>
          <w:rFonts w:ascii="Arial" w:hAnsi="Arial" w:cs="Arial"/>
          <w:sz w:val="18"/>
        </w:rPr>
        <w:t>AA</w:t>
      </w:r>
      <w:r w:rsidR="006557AA" w:rsidRPr="00B81BBB">
        <w:rPr>
          <w:rFonts w:ascii="Arial" w:hAnsi="Arial" w:cs="Arial"/>
          <w:sz w:val="18"/>
        </w:rPr>
        <w:t xml:space="preserve"> is the c</w:t>
      </w:r>
      <w:r w:rsidR="005D38F4" w:rsidRPr="00B81BBB">
        <w:rPr>
          <w:rFonts w:ascii="Arial" w:hAnsi="Arial" w:cs="Arial"/>
          <w:sz w:val="18"/>
        </w:rPr>
        <w:t>redit rating that the IDB would likely receive as debt issuer given its funding cost.</w:t>
      </w:r>
      <w:r w:rsidR="005D38F4" w:rsidRPr="00B81BBB">
        <w:rPr>
          <w:rFonts w:ascii="Arial" w:hAnsi="Arial" w:cs="Arial"/>
          <w:sz w:val="22"/>
          <w:szCs w:val="22"/>
        </w:rPr>
        <w:tab/>
      </w:r>
    </w:p>
    <w:p w14:paraId="1530E9DE" w14:textId="77777777" w:rsidR="006557AA" w:rsidRPr="00B81BBB" w:rsidRDefault="006557AA" w:rsidP="006557AA">
      <w:pPr>
        <w:pStyle w:val="Paragraph"/>
        <w:numPr>
          <w:ilvl w:val="0"/>
          <w:numId w:val="0"/>
        </w:numPr>
        <w:spacing w:before="0" w:after="0"/>
        <w:ind w:left="634"/>
        <w:rPr>
          <w:rFonts w:ascii="Arial" w:hAnsi="Arial" w:cs="Arial"/>
          <w:sz w:val="22"/>
          <w:szCs w:val="22"/>
          <w:highlight w:val="yellow"/>
        </w:rPr>
      </w:pPr>
    </w:p>
    <w:p w14:paraId="1088A020" w14:textId="0A1CB00E" w:rsidR="00930F33" w:rsidRPr="00B81BBB" w:rsidRDefault="00A10305" w:rsidP="00930F33">
      <w:pPr>
        <w:pStyle w:val="Paragraph"/>
        <w:tabs>
          <w:tab w:val="clear" w:pos="3600"/>
        </w:tabs>
        <w:spacing w:before="0"/>
        <w:ind w:left="720" w:hanging="720"/>
        <w:rPr>
          <w:rFonts w:ascii="Arial" w:hAnsi="Arial" w:cs="Arial"/>
          <w:sz w:val="22"/>
          <w:szCs w:val="22"/>
        </w:rPr>
      </w:pPr>
      <w:r w:rsidRPr="00B81BBB">
        <w:rPr>
          <w:rFonts w:ascii="Arial" w:hAnsi="Arial" w:cs="Arial"/>
          <w:sz w:val="22"/>
          <w:szCs w:val="22"/>
        </w:rPr>
        <w:t xml:space="preserve">The only exogenous variable (to the Bank and the country) that could make the Bank’s loan less attractive would be the LIBOR rate. </w:t>
      </w:r>
      <w:r w:rsidR="00930F33" w:rsidRPr="00B81BBB">
        <w:rPr>
          <w:rFonts w:ascii="Arial" w:hAnsi="Arial" w:cs="Arial"/>
          <w:sz w:val="22"/>
          <w:szCs w:val="22"/>
        </w:rPr>
        <w:t>It would only not be efficient should (i) the LIBOR rate increases substantially during the coverage period, and (ii) the country reaches credit ratings that are on par with that of</w:t>
      </w:r>
      <w:r w:rsidR="006069C6" w:rsidRPr="00B81BBB">
        <w:rPr>
          <w:rFonts w:ascii="Arial" w:hAnsi="Arial" w:cs="Arial"/>
          <w:sz w:val="22"/>
          <w:szCs w:val="22"/>
        </w:rPr>
        <w:t xml:space="preserve"> </w:t>
      </w:r>
      <w:r w:rsidR="006069C6" w:rsidRPr="007D445E">
        <w:rPr>
          <w:rFonts w:ascii="Arial" w:hAnsi="Arial" w:cs="Arial"/>
          <w:sz w:val="22"/>
          <w:szCs w:val="22"/>
        </w:rPr>
        <w:t>comparable better performing countries</w:t>
      </w:r>
      <w:r w:rsidR="00930F33" w:rsidRPr="007D445E">
        <w:rPr>
          <w:rFonts w:ascii="Arial" w:hAnsi="Arial" w:cs="Arial"/>
          <w:sz w:val="22"/>
          <w:szCs w:val="22"/>
        </w:rPr>
        <w:t>. However</w:t>
      </w:r>
      <w:r w:rsidR="00930F33" w:rsidRPr="00B81BBB">
        <w:rPr>
          <w:rFonts w:ascii="Arial" w:hAnsi="Arial" w:cs="Arial"/>
          <w:sz w:val="22"/>
          <w:szCs w:val="22"/>
        </w:rPr>
        <w:t xml:space="preserve">, </w:t>
      </w:r>
      <w:r w:rsidR="006069C6" w:rsidRPr="00B81BBB">
        <w:rPr>
          <w:rFonts w:ascii="Arial" w:hAnsi="Arial" w:cs="Arial"/>
          <w:sz w:val="22"/>
          <w:szCs w:val="22"/>
        </w:rPr>
        <w:t xml:space="preserve">given </w:t>
      </w:r>
      <w:r w:rsidR="00930F33" w:rsidRPr="00B81BBB">
        <w:rPr>
          <w:rFonts w:ascii="Arial" w:hAnsi="Arial" w:cs="Arial"/>
          <w:sz w:val="22"/>
          <w:szCs w:val="22"/>
        </w:rPr>
        <w:t xml:space="preserve">the </w:t>
      </w:r>
      <w:r w:rsidR="006069C6" w:rsidRPr="00B81BBB">
        <w:rPr>
          <w:rFonts w:ascii="Arial" w:hAnsi="Arial" w:cs="Arial"/>
          <w:sz w:val="22"/>
          <w:szCs w:val="22"/>
        </w:rPr>
        <w:t xml:space="preserve">short </w:t>
      </w:r>
      <w:r w:rsidR="00930F33" w:rsidRPr="00B81BBB">
        <w:rPr>
          <w:rFonts w:ascii="Arial" w:hAnsi="Arial" w:cs="Arial"/>
          <w:sz w:val="22"/>
          <w:szCs w:val="22"/>
        </w:rPr>
        <w:t xml:space="preserve">lifespan of this operation, it is not reasonable to assume </w:t>
      </w:r>
      <w:r w:rsidR="006069C6" w:rsidRPr="00B81BBB">
        <w:rPr>
          <w:rFonts w:ascii="Arial" w:hAnsi="Arial" w:cs="Arial"/>
          <w:sz w:val="22"/>
          <w:szCs w:val="22"/>
        </w:rPr>
        <w:t xml:space="preserve">a substantial </w:t>
      </w:r>
      <w:r w:rsidR="00020DAE" w:rsidRPr="00B81BBB">
        <w:rPr>
          <w:rFonts w:ascii="Arial" w:hAnsi="Arial" w:cs="Arial"/>
          <w:sz w:val="22"/>
          <w:szCs w:val="22"/>
        </w:rPr>
        <w:t xml:space="preserve">LIBOR </w:t>
      </w:r>
      <w:r w:rsidR="006069C6" w:rsidRPr="00B81BBB">
        <w:rPr>
          <w:rFonts w:ascii="Arial" w:hAnsi="Arial" w:cs="Arial"/>
          <w:sz w:val="22"/>
          <w:szCs w:val="22"/>
        </w:rPr>
        <w:t xml:space="preserve">increase without an increase in </w:t>
      </w:r>
      <w:r w:rsidR="00930F33" w:rsidRPr="00B81BBB">
        <w:rPr>
          <w:rFonts w:ascii="Arial" w:hAnsi="Arial" w:cs="Arial"/>
          <w:sz w:val="22"/>
          <w:szCs w:val="22"/>
        </w:rPr>
        <w:t>th</w:t>
      </w:r>
      <w:r w:rsidR="00020DAE" w:rsidRPr="00B81BBB">
        <w:rPr>
          <w:rFonts w:ascii="Arial" w:hAnsi="Arial" w:cs="Arial"/>
          <w:sz w:val="22"/>
          <w:szCs w:val="22"/>
        </w:rPr>
        <w:t>e mentioned</w:t>
      </w:r>
      <w:r w:rsidR="00930F33" w:rsidRPr="00B81BBB">
        <w:rPr>
          <w:rFonts w:ascii="Arial" w:hAnsi="Arial" w:cs="Arial"/>
          <w:sz w:val="22"/>
          <w:szCs w:val="22"/>
        </w:rPr>
        <w:t xml:space="preserve"> sovereign yields. More likely, the yields would rise as well, therefore keeping the favorable cost differential of the Bank’s loan.</w:t>
      </w:r>
    </w:p>
    <w:p w14:paraId="6473A11F" w14:textId="6ADD4473" w:rsidR="00DE0125" w:rsidRPr="00B81BBB" w:rsidRDefault="00A10305" w:rsidP="00B130A0">
      <w:pPr>
        <w:pStyle w:val="Paragraph"/>
        <w:tabs>
          <w:tab w:val="clear" w:pos="3600"/>
        </w:tabs>
        <w:spacing w:before="0"/>
        <w:ind w:left="720" w:hanging="720"/>
        <w:rPr>
          <w:rFonts w:ascii="Arial" w:hAnsi="Arial" w:cs="Arial"/>
          <w:sz w:val="22"/>
          <w:szCs w:val="22"/>
        </w:rPr>
      </w:pPr>
      <w:r w:rsidRPr="00B81BBB">
        <w:rPr>
          <w:rFonts w:ascii="Arial" w:hAnsi="Arial" w:cs="Arial"/>
          <w:sz w:val="22"/>
          <w:szCs w:val="22"/>
        </w:rPr>
        <w:t xml:space="preserve">As mentioned before, the country has the option to opt for a fixed LIBOR rate </w:t>
      </w:r>
      <w:r w:rsidR="00930F33" w:rsidRPr="00B81BBB">
        <w:rPr>
          <w:rFonts w:ascii="Arial" w:hAnsi="Arial" w:cs="Arial"/>
          <w:sz w:val="22"/>
          <w:szCs w:val="22"/>
        </w:rPr>
        <w:t xml:space="preserve">instead of </w:t>
      </w:r>
      <w:r w:rsidRPr="00B81BBB">
        <w:rPr>
          <w:rFonts w:ascii="Arial" w:hAnsi="Arial" w:cs="Arial"/>
          <w:sz w:val="22"/>
          <w:szCs w:val="22"/>
        </w:rPr>
        <w:t>floating LIBOR rate. Given that the LIBOR rate is</w:t>
      </w:r>
      <w:r w:rsidR="006069C6" w:rsidRPr="00B81BBB">
        <w:rPr>
          <w:rFonts w:ascii="Arial" w:hAnsi="Arial" w:cs="Arial"/>
          <w:sz w:val="22"/>
          <w:szCs w:val="22"/>
        </w:rPr>
        <w:t xml:space="preserve"> </w:t>
      </w:r>
      <w:r w:rsidRPr="00B81BBB">
        <w:rPr>
          <w:rFonts w:ascii="Arial" w:hAnsi="Arial" w:cs="Arial"/>
          <w:sz w:val="22"/>
          <w:szCs w:val="22"/>
        </w:rPr>
        <w:t>low by historical standa</w:t>
      </w:r>
      <w:r w:rsidR="00F813E0" w:rsidRPr="00B81BBB">
        <w:rPr>
          <w:rFonts w:ascii="Arial" w:hAnsi="Arial" w:cs="Arial"/>
          <w:sz w:val="22"/>
          <w:szCs w:val="22"/>
        </w:rPr>
        <w:t xml:space="preserve">rds (Figure 2), it is reasonable that the country would choose a fixed rate. If that were the case, the cost of the contingent loan would </w:t>
      </w:r>
      <w:r w:rsidR="00BB7140">
        <w:rPr>
          <w:rFonts w:ascii="Arial" w:hAnsi="Arial" w:cs="Arial"/>
          <w:sz w:val="22"/>
          <w:szCs w:val="22"/>
        </w:rPr>
        <w:t>be</w:t>
      </w:r>
      <w:r w:rsidR="00F813E0" w:rsidRPr="00B81BBB">
        <w:rPr>
          <w:rFonts w:ascii="Arial" w:hAnsi="Arial" w:cs="Arial"/>
          <w:sz w:val="22"/>
          <w:szCs w:val="22"/>
        </w:rPr>
        <w:t xml:space="preserve"> </w:t>
      </w:r>
      <w:r w:rsidR="00BB7140">
        <w:rPr>
          <w:rFonts w:ascii="Arial" w:hAnsi="Arial" w:cs="Arial"/>
          <w:sz w:val="22"/>
          <w:szCs w:val="22"/>
        </w:rPr>
        <w:t>185</w:t>
      </w:r>
      <w:r w:rsidR="00930F33" w:rsidRPr="00B81BBB">
        <w:rPr>
          <w:rFonts w:ascii="Arial" w:hAnsi="Arial" w:cs="Arial"/>
          <w:b/>
          <w:sz w:val="22"/>
          <w:szCs w:val="22"/>
        </w:rPr>
        <w:t xml:space="preserve"> </w:t>
      </w:r>
      <w:r w:rsidR="00F813E0" w:rsidRPr="00B81BBB">
        <w:rPr>
          <w:rFonts w:ascii="Arial" w:hAnsi="Arial" w:cs="Arial"/>
          <w:b/>
          <w:sz w:val="22"/>
          <w:szCs w:val="22"/>
        </w:rPr>
        <w:t>bps</w:t>
      </w:r>
      <w:r w:rsidR="00930F33" w:rsidRPr="00B81BBB">
        <w:rPr>
          <w:rFonts w:ascii="Arial" w:hAnsi="Arial" w:cs="Arial"/>
          <w:sz w:val="22"/>
          <w:szCs w:val="22"/>
        </w:rPr>
        <w:t>, which</w:t>
      </w:r>
      <w:r w:rsidR="00FE072B" w:rsidRPr="00B81BBB">
        <w:rPr>
          <w:rFonts w:ascii="Arial" w:hAnsi="Arial" w:cs="Arial"/>
          <w:sz w:val="22"/>
          <w:szCs w:val="22"/>
        </w:rPr>
        <w:t xml:space="preserve"> is less expensive than issuing sovereign bonds under the best possible conditions (Table 3)</w:t>
      </w:r>
      <w:r w:rsidR="00F813E0" w:rsidRPr="00B81BBB">
        <w:rPr>
          <w:rFonts w:ascii="Arial" w:hAnsi="Arial" w:cs="Arial"/>
          <w:sz w:val="22"/>
          <w:szCs w:val="22"/>
        </w:rPr>
        <w:t>.</w:t>
      </w:r>
    </w:p>
    <w:p w14:paraId="42F916A0" w14:textId="0528814A" w:rsidR="00AA35E7" w:rsidRPr="00B81BBB" w:rsidRDefault="00633871" w:rsidP="005031EB">
      <w:pPr>
        <w:pStyle w:val="Paragraph"/>
        <w:tabs>
          <w:tab w:val="clear" w:pos="3600"/>
        </w:tabs>
        <w:spacing w:before="0"/>
        <w:ind w:left="720" w:hanging="720"/>
        <w:rPr>
          <w:rFonts w:ascii="Arial" w:hAnsi="Arial" w:cs="Arial"/>
          <w:sz w:val="22"/>
          <w:szCs w:val="22"/>
        </w:rPr>
      </w:pPr>
      <w:r w:rsidRPr="00B81BBB">
        <w:rPr>
          <w:rFonts w:ascii="Arial" w:hAnsi="Arial" w:cs="Arial"/>
          <w:sz w:val="22"/>
          <w:szCs w:val="22"/>
        </w:rPr>
        <w:lastRenderedPageBreak/>
        <w:t>In case</w:t>
      </w:r>
      <w:r w:rsidR="00AA35E7" w:rsidRPr="00B81BBB">
        <w:rPr>
          <w:rFonts w:ascii="Arial" w:hAnsi="Arial" w:cs="Arial"/>
          <w:sz w:val="22"/>
          <w:szCs w:val="22"/>
        </w:rPr>
        <w:t xml:space="preserve"> the country </w:t>
      </w:r>
      <w:r w:rsidRPr="00B81BBB">
        <w:rPr>
          <w:rFonts w:ascii="Arial" w:hAnsi="Arial" w:cs="Arial"/>
          <w:sz w:val="22"/>
          <w:szCs w:val="22"/>
        </w:rPr>
        <w:t>chooses</w:t>
      </w:r>
      <w:r w:rsidR="00AA35E7" w:rsidRPr="00B81BBB">
        <w:rPr>
          <w:rFonts w:ascii="Arial" w:hAnsi="Arial" w:cs="Arial"/>
          <w:sz w:val="22"/>
          <w:szCs w:val="22"/>
        </w:rPr>
        <w:t xml:space="preserve"> floating LIBOR rate, the financial cost of the Bank’s loan would be </w:t>
      </w:r>
      <w:r w:rsidR="00D770A5">
        <w:rPr>
          <w:rFonts w:ascii="Arial" w:hAnsi="Arial" w:cs="Arial"/>
          <w:bCs/>
          <w:sz w:val="22"/>
          <w:szCs w:val="22"/>
        </w:rPr>
        <w:t>211</w:t>
      </w:r>
      <w:r w:rsidR="00304711" w:rsidRPr="00B81BBB">
        <w:rPr>
          <w:rFonts w:ascii="Arial" w:hAnsi="Arial" w:cs="Arial"/>
          <w:b/>
          <w:sz w:val="22"/>
          <w:szCs w:val="22"/>
        </w:rPr>
        <w:t xml:space="preserve"> </w:t>
      </w:r>
      <w:r w:rsidR="00AA35E7" w:rsidRPr="00B81BBB">
        <w:rPr>
          <w:rFonts w:ascii="Arial" w:hAnsi="Arial" w:cs="Arial"/>
          <w:b/>
          <w:sz w:val="22"/>
          <w:szCs w:val="22"/>
        </w:rPr>
        <w:t>bps</w:t>
      </w:r>
      <w:r w:rsidRPr="00B81BBB">
        <w:rPr>
          <w:rFonts w:ascii="Arial" w:hAnsi="Arial" w:cs="Arial"/>
          <w:sz w:val="22"/>
          <w:szCs w:val="22"/>
        </w:rPr>
        <w:t xml:space="preserve">, though it would be exposed to unfavorable movements in interest rates throughout the lifespan of this operation. </w:t>
      </w:r>
      <w:r w:rsidR="00B130A0" w:rsidRPr="00B81BBB">
        <w:rPr>
          <w:rFonts w:ascii="Arial" w:hAnsi="Arial" w:cs="Arial"/>
          <w:sz w:val="22"/>
          <w:szCs w:val="22"/>
        </w:rPr>
        <w:t>Based on</w:t>
      </w:r>
      <w:r w:rsidRPr="00B81BBB">
        <w:rPr>
          <w:rFonts w:ascii="Arial" w:hAnsi="Arial" w:cs="Arial"/>
          <w:sz w:val="22"/>
          <w:szCs w:val="22"/>
        </w:rPr>
        <w:t xml:space="preserve"> the historical behavior of the LIBOR</w:t>
      </w:r>
      <w:r w:rsidR="00510F79" w:rsidRPr="00B81BBB">
        <w:rPr>
          <w:rFonts w:ascii="Arial" w:hAnsi="Arial" w:cs="Arial"/>
          <w:sz w:val="22"/>
          <w:szCs w:val="22"/>
        </w:rPr>
        <w:t xml:space="preserve"> (Figure 2)</w:t>
      </w:r>
      <w:r w:rsidRPr="00B81BBB">
        <w:rPr>
          <w:rFonts w:ascii="Arial" w:hAnsi="Arial" w:cs="Arial"/>
          <w:sz w:val="22"/>
          <w:szCs w:val="22"/>
        </w:rPr>
        <w:t>,</w:t>
      </w:r>
      <w:r w:rsidR="00B130A0" w:rsidRPr="00B81BBB">
        <w:rPr>
          <w:rFonts w:ascii="Arial" w:hAnsi="Arial" w:cs="Arial"/>
          <w:sz w:val="22"/>
          <w:szCs w:val="22"/>
        </w:rPr>
        <w:t xml:space="preserve"> the annual standard deviation is </w:t>
      </w:r>
      <w:r w:rsidR="00D770A5">
        <w:rPr>
          <w:rFonts w:ascii="Arial" w:hAnsi="Arial" w:cs="Arial"/>
          <w:sz w:val="22"/>
          <w:szCs w:val="22"/>
        </w:rPr>
        <w:t>43</w:t>
      </w:r>
      <w:r w:rsidR="00B130A0" w:rsidRPr="00B81BBB">
        <w:rPr>
          <w:rFonts w:ascii="Arial" w:hAnsi="Arial" w:cs="Arial"/>
          <w:sz w:val="22"/>
          <w:szCs w:val="22"/>
        </w:rPr>
        <w:t xml:space="preserve">%, </w:t>
      </w:r>
      <w:r w:rsidR="00510F79" w:rsidRPr="00B81BBB">
        <w:rPr>
          <w:rFonts w:ascii="Arial" w:hAnsi="Arial" w:cs="Arial"/>
          <w:sz w:val="22"/>
          <w:szCs w:val="22"/>
        </w:rPr>
        <w:t>or</w:t>
      </w:r>
      <w:r w:rsidR="00B130A0" w:rsidRPr="00B81BBB">
        <w:rPr>
          <w:rFonts w:ascii="Arial" w:hAnsi="Arial" w:cs="Arial"/>
          <w:sz w:val="22"/>
          <w:szCs w:val="22"/>
        </w:rPr>
        <w:t xml:space="preserve"> </w:t>
      </w:r>
      <w:r w:rsidR="00D770A5">
        <w:rPr>
          <w:rFonts w:ascii="Arial" w:hAnsi="Arial" w:cs="Arial"/>
          <w:sz w:val="22"/>
          <w:szCs w:val="22"/>
        </w:rPr>
        <w:t>52</w:t>
      </w:r>
      <w:r w:rsidR="00304711" w:rsidRPr="00B81BBB">
        <w:rPr>
          <w:rFonts w:ascii="Arial" w:hAnsi="Arial" w:cs="Arial"/>
          <w:b/>
          <w:sz w:val="22"/>
          <w:szCs w:val="22"/>
        </w:rPr>
        <w:t xml:space="preserve"> </w:t>
      </w:r>
      <w:r w:rsidR="00510F79" w:rsidRPr="00B81BBB">
        <w:rPr>
          <w:rFonts w:ascii="Arial" w:hAnsi="Arial" w:cs="Arial"/>
          <w:sz w:val="22"/>
          <w:szCs w:val="22"/>
        </w:rPr>
        <w:t>bps</w:t>
      </w:r>
      <w:r w:rsidR="00AB5C31" w:rsidRPr="00B81BBB">
        <w:rPr>
          <w:rFonts w:ascii="Arial" w:hAnsi="Arial" w:cs="Arial"/>
          <w:sz w:val="22"/>
          <w:szCs w:val="22"/>
        </w:rPr>
        <w:t xml:space="preserve"> over 3-month LIBOR</w:t>
      </w:r>
      <w:r w:rsidR="00510F79" w:rsidRPr="00B81BBB">
        <w:rPr>
          <w:rFonts w:ascii="Arial" w:hAnsi="Arial" w:cs="Arial"/>
          <w:sz w:val="22"/>
          <w:szCs w:val="22"/>
        </w:rPr>
        <w:t>.</w:t>
      </w:r>
    </w:p>
    <w:p w14:paraId="7A129B1E" w14:textId="77777777" w:rsidR="007D445E" w:rsidRPr="00B81BBB" w:rsidRDefault="007D445E" w:rsidP="00510F79">
      <w:pPr>
        <w:pStyle w:val="ListParagraph"/>
        <w:rPr>
          <w:rFonts w:cs="Arial"/>
          <w:sz w:val="22"/>
          <w:szCs w:val="22"/>
          <w:highlight w:val="yellow"/>
        </w:rPr>
      </w:pPr>
    </w:p>
    <w:p w14:paraId="4814F5F4" w14:textId="4A695A2C" w:rsidR="00B130A0" w:rsidRPr="00987C15" w:rsidRDefault="00B130A0" w:rsidP="00B130A0">
      <w:pPr>
        <w:pStyle w:val="Paragraph"/>
        <w:numPr>
          <w:ilvl w:val="0"/>
          <w:numId w:val="0"/>
        </w:numPr>
        <w:spacing w:before="0"/>
        <w:jc w:val="center"/>
        <w:rPr>
          <w:rFonts w:ascii="Arial" w:hAnsi="Arial" w:cs="Arial"/>
          <w:b/>
          <w:bCs/>
          <w:color w:val="000000"/>
          <w:spacing w:val="-4"/>
          <w:sz w:val="20"/>
        </w:rPr>
      </w:pPr>
      <w:r w:rsidRPr="00987C15">
        <w:rPr>
          <w:rFonts w:ascii="Arial" w:hAnsi="Arial" w:cs="Arial"/>
          <w:b/>
          <w:bCs/>
          <w:color w:val="000000"/>
          <w:spacing w:val="-4"/>
          <w:sz w:val="20"/>
        </w:rPr>
        <w:t>Figure 2: 3-month LIBOR, US$ (%)</w:t>
      </w:r>
    </w:p>
    <w:p w14:paraId="5C45D92B" w14:textId="39354D2B" w:rsidR="0039689C" w:rsidRDefault="0039689C" w:rsidP="0039689C">
      <w:pPr>
        <w:pStyle w:val="Paragraph"/>
        <w:numPr>
          <w:ilvl w:val="0"/>
          <w:numId w:val="0"/>
        </w:numPr>
        <w:spacing w:before="0" w:after="0"/>
        <w:jc w:val="center"/>
        <w:rPr>
          <w:noProof/>
        </w:rPr>
      </w:pPr>
      <w:r>
        <w:rPr>
          <w:noProof/>
        </w:rPr>
        <w:drawing>
          <wp:inline distT="0" distB="0" distL="0" distR="0" wp14:anchorId="4CDE3ADE" wp14:editId="34CFB468">
            <wp:extent cx="5697352" cy="2416225"/>
            <wp:effectExtent l="0" t="0" r="0" b="3175"/>
            <wp:docPr id="2" name="Picture 2" descr="A screenshot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redgraph.png"/>
                    <pic:cNvPicPr/>
                  </pic:nvPicPr>
                  <pic:blipFill>
                    <a:blip r:embed="rId17">
                      <a:extLst>
                        <a:ext uri="{28A0092B-C50C-407E-A947-70E740481C1C}">
                          <a14:useLocalDpi xmlns:a14="http://schemas.microsoft.com/office/drawing/2010/main" val="0"/>
                        </a:ext>
                      </a:extLst>
                    </a:blip>
                    <a:stretch>
                      <a:fillRect/>
                    </a:stretch>
                  </pic:blipFill>
                  <pic:spPr>
                    <a:xfrm>
                      <a:off x="0" y="0"/>
                      <a:ext cx="5717712" cy="2424860"/>
                    </a:xfrm>
                    <a:prstGeom prst="rect">
                      <a:avLst/>
                    </a:prstGeom>
                  </pic:spPr>
                </pic:pic>
              </a:graphicData>
            </a:graphic>
          </wp:inline>
        </w:drawing>
      </w:r>
    </w:p>
    <w:p w14:paraId="4612E670" w14:textId="23C8E06F" w:rsidR="0039689C" w:rsidRPr="0039689C" w:rsidRDefault="0039689C" w:rsidP="00B130A0">
      <w:pPr>
        <w:pStyle w:val="Paragraph"/>
        <w:numPr>
          <w:ilvl w:val="0"/>
          <w:numId w:val="0"/>
        </w:numPr>
        <w:spacing w:before="0" w:after="0"/>
        <w:jc w:val="left"/>
        <w:rPr>
          <w:noProof/>
          <w:sz w:val="20"/>
          <w:szCs w:val="16"/>
        </w:rPr>
      </w:pPr>
      <w:r w:rsidRPr="0039689C">
        <w:rPr>
          <w:rFonts w:ascii="Lucida Sans" w:hAnsi="Lucida Sans"/>
          <w:color w:val="333333"/>
          <w:sz w:val="14"/>
          <w:szCs w:val="14"/>
          <w:shd w:val="clear" w:color="auto" w:fill="FFFFFF"/>
        </w:rPr>
        <w:t>Source: ICE Benchmark Administration Limited (IBA), 3-Month London Interbank Offered Rate (LIBOR), based on U.S. Dollar [USD3MTD156N], retrieved from FRED, Federal Reserve Bank of St. Louis</w:t>
      </w:r>
    </w:p>
    <w:p w14:paraId="6E983113" w14:textId="77777777" w:rsidR="0039689C" w:rsidRPr="00B81BBB" w:rsidRDefault="0039689C" w:rsidP="00B130A0">
      <w:pPr>
        <w:pStyle w:val="Paragraph"/>
        <w:numPr>
          <w:ilvl w:val="0"/>
          <w:numId w:val="0"/>
        </w:numPr>
        <w:spacing w:before="0" w:after="0"/>
        <w:jc w:val="left"/>
        <w:rPr>
          <w:rFonts w:ascii="Arial" w:hAnsi="Arial" w:cs="Arial"/>
          <w:sz w:val="22"/>
          <w:szCs w:val="22"/>
        </w:rPr>
      </w:pPr>
    </w:p>
    <w:tbl>
      <w:tblPr>
        <w:tblW w:w="3961" w:type="dxa"/>
        <w:jc w:val="center"/>
        <w:tblLook w:val="04A0" w:firstRow="1" w:lastRow="0" w:firstColumn="1" w:lastColumn="0" w:noHBand="0" w:noVBand="1"/>
      </w:tblPr>
      <w:tblGrid>
        <w:gridCol w:w="2827"/>
        <w:gridCol w:w="1134"/>
      </w:tblGrid>
      <w:tr w:rsidR="00A177B0" w:rsidRPr="00B81BBB" w14:paraId="268073AD" w14:textId="77777777" w:rsidTr="0055205D">
        <w:trPr>
          <w:trHeight w:val="330"/>
          <w:jc w:val="center"/>
        </w:trPr>
        <w:tc>
          <w:tcPr>
            <w:tcW w:w="3961" w:type="dxa"/>
            <w:gridSpan w:val="2"/>
            <w:tcBorders>
              <w:top w:val="single" w:sz="8" w:space="0" w:color="auto"/>
              <w:left w:val="single" w:sz="8" w:space="0" w:color="auto"/>
              <w:bottom w:val="single" w:sz="8" w:space="0" w:color="auto"/>
              <w:right w:val="single" w:sz="8" w:space="0" w:color="000000"/>
            </w:tcBorders>
            <w:shd w:val="clear" w:color="000000" w:fill="C6D9F1"/>
            <w:noWrap/>
            <w:vAlign w:val="center"/>
            <w:hideMark/>
          </w:tcPr>
          <w:p w14:paraId="7FEF9DAA" w14:textId="77777777" w:rsidR="00A177B0" w:rsidRPr="00B81BBB" w:rsidRDefault="005D38F4" w:rsidP="00F86017">
            <w:pPr>
              <w:jc w:val="center"/>
              <w:rPr>
                <w:rFonts w:ascii="Arial" w:hAnsi="Arial" w:cs="Arial"/>
                <w:b/>
                <w:bCs/>
                <w:color w:val="000000"/>
                <w:sz w:val="22"/>
                <w:szCs w:val="22"/>
              </w:rPr>
            </w:pPr>
            <w:r w:rsidRPr="00B81BBB">
              <w:rPr>
                <w:rFonts w:ascii="Arial" w:hAnsi="Arial" w:cs="Arial"/>
                <w:b/>
                <w:bCs/>
                <w:color w:val="000000"/>
                <w:sz w:val="22"/>
                <w:szCs w:val="22"/>
              </w:rPr>
              <w:t>LIBOR analysis</w:t>
            </w:r>
          </w:p>
        </w:tc>
      </w:tr>
      <w:tr w:rsidR="00A177B0" w:rsidRPr="00B81BBB" w14:paraId="43387AEE" w14:textId="77777777" w:rsidTr="0055205D">
        <w:trPr>
          <w:trHeight w:val="300"/>
          <w:jc w:val="center"/>
        </w:trPr>
        <w:tc>
          <w:tcPr>
            <w:tcW w:w="2827" w:type="dxa"/>
            <w:tcBorders>
              <w:top w:val="nil"/>
              <w:left w:val="single" w:sz="8" w:space="0" w:color="auto"/>
              <w:bottom w:val="nil"/>
              <w:right w:val="nil"/>
            </w:tcBorders>
            <w:shd w:val="clear" w:color="auto" w:fill="auto"/>
            <w:noWrap/>
            <w:vAlign w:val="center"/>
            <w:hideMark/>
          </w:tcPr>
          <w:p w14:paraId="28E28380" w14:textId="77777777" w:rsidR="00A177B0" w:rsidRPr="00B81BBB" w:rsidRDefault="005D38F4" w:rsidP="0039689C">
            <w:pPr>
              <w:rPr>
                <w:rFonts w:ascii="Arial" w:hAnsi="Arial" w:cs="Arial"/>
                <w:b/>
                <w:bCs/>
                <w:color w:val="000000"/>
                <w:sz w:val="22"/>
                <w:szCs w:val="22"/>
              </w:rPr>
            </w:pPr>
            <w:r w:rsidRPr="00B81BBB">
              <w:rPr>
                <w:rFonts w:ascii="Arial" w:hAnsi="Arial" w:cs="Arial"/>
                <w:b/>
                <w:bCs/>
                <w:color w:val="000000"/>
                <w:sz w:val="22"/>
                <w:szCs w:val="22"/>
              </w:rPr>
              <w:t>Minimum</w:t>
            </w:r>
          </w:p>
        </w:tc>
        <w:tc>
          <w:tcPr>
            <w:tcW w:w="1134" w:type="dxa"/>
            <w:tcBorders>
              <w:top w:val="nil"/>
              <w:left w:val="nil"/>
              <w:bottom w:val="nil"/>
              <w:right w:val="single" w:sz="8" w:space="0" w:color="auto"/>
            </w:tcBorders>
            <w:shd w:val="clear" w:color="auto" w:fill="auto"/>
            <w:noWrap/>
            <w:vAlign w:val="center"/>
          </w:tcPr>
          <w:p w14:paraId="14DB7C33" w14:textId="325BDECF" w:rsidR="00A177B0" w:rsidRPr="00BD0A68" w:rsidRDefault="00B74BDA" w:rsidP="00B74BDA">
            <w:pPr>
              <w:jc w:val="right"/>
              <w:rPr>
                <w:rFonts w:ascii="Arial" w:hAnsi="Arial" w:cs="Arial"/>
                <w:sz w:val="22"/>
                <w:szCs w:val="22"/>
              </w:rPr>
            </w:pPr>
            <w:r w:rsidRPr="00BD0A68">
              <w:rPr>
                <w:rFonts w:ascii="Arial" w:hAnsi="Arial" w:cs="Arial"/>
                <w:sz w:val="22"/>
                <w:szCs w:val="22"/>
              </w:rPr>
              <w:t>0.222</w:t>
            </w:r>
            <w:r w:rsidR="00BD0A68" w:rsidRPr="00BD0A68">
              <w:rPr>
                <w:rFonts w:ascii="Arial" w:hAnsi="Arial" w:cs="Arial"/>
                <w:sz w:val="22"/>
                <w:szCs w:val="22"/>
              </w:rPr>
              <w:t>9</w:t>
            </w:r>
          </w:p>
        </w:tc>
      </w:tr>
      <w:tr w:rsidR="00A177B0" w:rsidRPr="00B81BBB" w14:paraId="1E72D5AB" w14:textId="77777777" w:rsidTr="0055205D">
        <w:trPr>
          <w:trHeight w:val="300"/>
          <w:jc w:val="center"/>
        </w:trPr>
        <w:tc>
          <w:tcPr>
            <w:tcW w:w="2827" w:type="dxa"/>
            <w:tcBorders>
              <w:top w:val="nil"/>
              <w:left w:val="single" w:sz="8" w:space="0" w:color="auto"/>
              <w:bottom w:val="nil"/>
              <w:right w:val="nil"/>
            </w:tcBorders>
            <w:shd w:val="clear" w:color="auto" w:fill="auto"/>
            <w:noWrap/>
            <w:vAlign w:val="center"/>
            <w:hideMark/>
          </w:tcPr>
          <w:p w14:paraId="68D0E476" w14:textId="77777777" w:rsidR="00A177B0" w:rsidRPr="00B81BBB" w:rsidRDefault="005D38F4" w:rsidP="00F86017">
            <w:pPr>
              <w:rPr>
                <w:rFonts w:ascii="Arial" w:hAnsi="Arial" w:cs="Arial"/>
                <w:b/>
                <w:bCs/>
                <w:color w:val="000000"/>
                <w:sz w:val="22"/>
                <w:szCs w:val="22"/>
              </w:rPr>
            </w:pPr>
            <w:r w:rsidRPr="00B81BBB">
              <w:rPr>
                <w:rFonts w:ascii="Arial" w:hAnsi="Arial" w:cs="Arial"/>
                <w:b/>
                <w:bCs/>
                <w:color w:val="000000"/>
                <w:sz w:val="22"/>
                <w:szCs w:val="22"/>
              </w:rPr>
              <w:t>Maximum</w:t>
            </w:r>
          </w:p>
        </w:tc>
        <w:tc>
          <w:tcPr>
            <w:tcW w:w="1134" w:type="dxa"/>
            <w:tcBorders>
              <w:top w:val="nil"/>
              <w:left w:val="nil"/>
              <w:bottom w:val="nil"/>
              <w:right w:val="single" w:sz="8" w:space="0" w:color="auto"/>
            </w:tcBorders>
            <w:shd w:val="clear" w:color="auto" w:fill="auto"/>
            <w:noWrap/>
            <w:vAlign w:val="center"/>
          </w:tcPr>
          <w:p w14:paraId="30D96134" w14:textId="3B677F13" w:rsidR="00A177B0" w:rsidRPr="00BD0A68" w:rsidRDefault="00B74BDA" w:rsidP="00F86017">
            <w:pPr>
              <w:jc w:val="right"/>
              <w:rPr>
                <w:rFonts w:ascii="Arial" w:hAnsi="Arial" w:cs="Arial"/>
                <w:b/>
                <w:bCs/>
                <w:color w:val="FF0000"/>
                <w:sz w:val="22"/>
                <w:szCs w:val="22"/>
              </w:rPr>
            </w:pPr>
            <w:r w:rsidRPr="00BD0A68">
              <w:rPr>
                <w:rFonts w:ascii="Arial" w:hAnsi="Arial" w:cs="Arial"/>
                <w:sz w:val="22"/>
                <w:szCs w:val="22"/>
              </w:rPr>
              <w:t>10.6</w:t>
            </w:r>
            <w:r w:rsidR="00BD0A68" w:rsidRPr="00BD0A68">
              <w:rPr>
                <w:rFonts w:ascii="Arial" w:hAnsi="Arial" w:cs="Arial"/>
                <w:sz w:val="22"/>
                <w:szCs w:val="22"/>
              </w:rPr>
              <w:t>300</w:t>
            </w:r>
            <w:r w:rsidRPr="00BD0A68">
              <w:rPr>
                <w:rFonts w:ascii="Arial" w:hAnsi="Arial" w:cs="Arial"/>
                <w:sz w:val="22"/>
                <w:szCs w:val="22"/>
              </w:rPr>
              <w:t xml:space="preserve"> </w:t>
            </w:r>
          </w:p>
        </w:tc>
      </w:tr>
      <w:tr w:rsidR="00A177B0" w:rsidRPr="00B81BBB" w14:paraId="6CE84B9B" w14:textId="77777777" w:rsidTr="0055205D">
        <w:trPr>
          <w:trHeight w:val="300"/>
          <w:jc w:val="center"/>
        </w:trPr>
        <w:tc>
          <w:tcPr>
            <w:tcW w:w="2827" w:type="dxa"/>
            <w:tcBorders>
              <w:top w:val="nil"/>
              <w:left w:val="single" w:sz="8" w:space="0" w:color="auto"/>
              <w:bottom w:val="nil"/>
              <w:right w:val="nil"/>
            </w:tcBorders>
            <w:shd w:val="clear" w:color="auto" w:fill="auto"/>
            <w:noWrap/>
            <w:vAlign w:val="center"/>
            <w:hideMark/>
          </w:tcPr>
          <w:p w14:paraId="367BC96E" w14:textId="77777777" w:rsidR="00A177B0" w:rsidRPr="00B81BBB" w:rsidRDefault="005D38F4" w:rsidP="00F86017">
            <w:pPr>
              <w:rPr>
                <w:rFonts w:ascii="Arial" w:hAnsi="Arial" w:cs="Arial"/>
                <w:b/>
                <w:bCs/>
                <w:color w:val="000000"/>
                <w:sz w:val="22"/>
                <w:szCs w:val="22"/>
              </w:rPr>
            </w:pPr>
            <w:r w:rsidRPr="00B81BBB">
              <w:rPr>
                <w:rFonts w:ascii="Arial" w:hAnsi="Arial" w:cs="Arial"/>
                <w:b/>
                <w:bCs/>
                <w:color w:val="000000"/>
                <w:sz w:val="22"/>
                <w:szCs w:val="22"/>
              </w:rPr>
              <w:t>Mean</w:t>
            </w:r>
          </w:p>
        </w:tc>
        <w:tc>
          <w:tcPr>
            <w:tcW w:w="1134" w:type="dxa"/>
            <w:tcBorders>
              <w:top w:val="nil"/>
              <w:left w:val="nil"/>
              <w:bottom w:val="nil"/>
              <w:right w:val="single" w:sz="8" w:space="0" w:color="auto"/>
            </w:tcBorders>
            <w:shd w:val="clear" w:color="auto" w:fill="auto"/>
            <w:noWrap/>
            <w:vAlign w:val="center"/>
          </w:tcPr>
          <w:p w14:paraId="45EB3F4D" w14:textId="7D1CB516" w:rsidR="00A177B0" w:rsidRPr="00BD0A68" w:rsidRDefault="00BD0A68" w:rsidP="00F86017">
            <w:pPr>
              <w:jc w:val="right"/>
              <w:rPr>
                <w:rFonts w:ascii="Arial" w:hAnsi="Arial" w:cs="Arial"/>
                <w:b/>
                <w:bCs/>
                <w:color w:val="FF0000"/>
                <w:sz w:val="22"/>
                <w:szCs w:val="22"/>
              </w:rPr>
            </w:pPr>
            <w:r w:rsidRPr="00BD0A68">
              <w:rPr>
                <w:rFonts w:ascii="Arial" w:hAnsi="Arial" w:cs="Arial"/>
                <w:sz w:val="22"/>
                <w:szCs w:val="22"/>
              </w:rPr>
              <w:t>3.7014</w:t>
            </w:r>
          </w:p>
        </w:tc>
      </w:tr>
      <w:tr w:rsidR="00A177B0" w:rsidRPr="00B81BBB" w14:paraId="5E92EA61" w14:textId="77777777" w:rsidTr="0055205D">
        <w:trPr>
          <w:trHeight w:val="315"/>
          <w:jc w:val="center"/>
        </w:trPr>
        <w:tc>
          <w:tcPr>
            <w:tcW w:w="2827" w:type="dxa"/>
            <w:tcBorders>
              <w:top w:val="nil"/>
              <w:left w:val="single" w:sz="8" w:space="0" w:color="auto"/>
              <w:bottom w:val="single" w:sz="8" w:space="0" w:color="auto"/>
              <w:right w:val="nil"/>
            </w:tcBorders>
            <w:shd w:val="clear" w:color="auto" w:fill="auto"/>
            <w:noWrap/>
            <w:vAlign w:val="center"/>
            <w:hideMark/>
          </w:tcPr>
          <w:p w14:paraId="26A962F6" w14:textId="77777777" w:rsidR="00A177B0" w:rsidRPr="00B81BBB" w:rsidRDefault="005D38F4" w:rsidP="00F86017">
            <w:pPr>
              <w:rPr>
                <w:rFonts w:ascii="Arial" w:hAnsi="Arial" w:cs="Arial"/>
                <w:b/>
                <w:bCs/>
                <w:color w:val="000000"/>
                <w:sz w:val="22"/>
                <w:szCs w:val="22"/>
              </w:rPr>
            </w:pPr>
            <w:r w:rsidRPr="00B81BBB">
              <w:rPr>
                <w:rFonts w:ascii="Arial" w:hAnsi="Arial" w:cs="Arial"/>
                <w:b/>
                <w:bCs/>
                <w:color w:val="000000"/>
                <w:sz w:val="22"/>
                <w:szCs w:val="22"/>
              </w:rPr>
              <w:t>Median</w:t>
            </w:r>
          </w:p>
        </w:tc>
        <w:tc>
          <w:tcPr>
            <w:tcW w:w="1134" w:type="dxa"/>
            <w:tcBorders>
              <w:top w:val="nil"/>
              <w:left w:val="nil"/>
              <w:bottom w:val="single" w:sz="8" w:space="0" w:color="auto"/>
              <w:right w:val="single" w:sz="8" w:space="0" w:color="auto"/>
            </w:tcBorders>
            <w:shd w:val="clear" w:color="auto" w:fill="auto"/>
            <w:noWrap/>
            <w:vAlign w:val="center"/>
          </w:tcPr>
          <w:p w14:paraId="4B462F57" w14:textId="42C0E1C7" w:rsidR="00A177B0" w:rsidRPr="00BD0A68" w:rsidRDefault="00BD0A68" w:rsidP="00F86017">
            <w:pPr>
              <w:jc w:val="right"/>
              <w:rPr>
                <w:rFonts w:ascii="Arial" w:hAnsi="Arial" w:cs="Arial"/>
                <w:b/>
                <w:bCs/>
                <w:color w:val="FF0000"/>
                <w:sz w:val="22"/>
                <w:szCs w:val="22"/>
              </w:rPr>
            </w:pPr>
            <w:r w:rsidRPr="00BD0A68">
              <w:rPr>
                <w:rFonts w:ascii="Arial" w:hAnsi="Arial" w:cs="Arial"/>
                <w:sz w:val="22"/>
                <w:szCs w:val="22"/>
              </w:rPr>
              <w:t>3.4400</w:t>
            </w:r>
          </w:p>
        </w:tc>
      </w:tr>
      <w:tr w:rsidR="00A177B0" w:rsidRPr="00B81BBB" w14:paraId="648CAB2E" w14:textId="77777777" w:rsidTr="0055205D">
        <w:trPr>
          <w:trHeight w:val="300"/>
          <w:jc w:val="center"/>
        </w:trPr>
        <w:tc>
          <w:tcPr>
            <w:tcW w:w="2827" w:type="dxa"/>
            <w:tcBorders>
              <w:top w:val="nil"/>
              <w:left w:val="single" w:sz="8" w:space="0" w:color="auto"/>
              <w:bottom w:val="nil"/>
              <w:right w:val="nil"/>
            </w:tcBorders>
            <w:shd w:val="clear" w:color="auto" w:fill="auto"/>
            <w:noWrap/>
            <w:vAlign w:val="center"/>
            <w:hideMark/>
          </w:tcPr>
          <w:p w14:paraId="453679E8" w14:textId="77777777" w:rsidR="00A177B0" w:rsidRPr="00B81BBB" w:rsidRDefault="005D38F4" w:rsidP="00F86017">
            <w:pPr>
              <w:rPr>
                <w:rFonts w:ascii="Arial" w:hAnsi="Arial" w:cs="Arial"/>
                <w:iCs/>
                <w:color w:val="000000"/>
                <w:sz w:val="22"/>
                <w:szCs w:val="22"/>
              </w:rPr>
            </w:pPr>
            <w:r w:rsidRPr="00B81BBB">
              <w:rPr>
                <w:rFonts w:ascii="Arial" w:hAnsi="Arial" w:cs="Arial"/>
                <w:iCs/>
                <w:color w:val="000000"/>
                <w:sz w:val="22"/>
                <w:szCs w:val="22"/>
              </w:rPr>
              <w:t>VOLATILITY</w:t>
            </w:r>
            <w:r w:rsidR="00A177B0" w:rsidRPr="00B81BBB">
              <w:rPr>
                <w:rFonts w:ascii="Arial" w:hAnsi="Arial" w:cs="Arial"/>
                <w:iCs/>
                <w:color w:val="000000"/>
                <w:sz w:val="22"/>
                <w:szCs w:val="22"/>
              </w:rPr>
              <w:t>:</w:t>
            </w:r>
          </w:p>
        </w:tc>
        <w:tc>
          <w:tcPr>
            <w:tcW w:w="1134" w:type="dxa"/>
            <w:tcBorders>
              <w:top w:val="nil"/>
              <w:left w:val="nil"/>
              <w:bottom w:val="nil"/>
              <w:right w:val="single" w:sz="8" w:space="0" w:color="auto"/>
            </w:tcBorders>
            <w:shd w:val="clear" w:color="auto" w:fill="auto"/>
            <w:noWrap/>
            <w:vAlign w:val="center"/>
          </w:tcPr>
          <w:p w14:paraId="55EF9DFC" w14:textId="519ABF9F" w:rsidR="00A177B0" w:rsidRPr="00B81BBB" w:rsidRDefault="00A177B0" w:rsidP="00F86017">
            <w:pPr>
              <w:rPr>
                <w:rFonts w:ascii="Arial" w:hAnsi="Arial" w:cs="Arial"/>
                <w:color w:val="000000"/>
                <w:sz w:val="22"/>
                <w:szCs w:val="22"/>
              </w:rPr>
            </w:pPr>
          </w:p>
        </w:tc>
      </w:tr>
      <w:tr w:rsidR="00A177B0" w:rsidRPr="00B81BBB" w14:paraId="4996E083" w14:textId="77777777" w:rsidTr="0055205D">
        <w:trPr>
          <w:trHeight w:val="315"/>
          <w:jc w:val="center"/>
        </w:trPr>
        <w:tc>
          <w:tcPr>
            <w:tcW w:w="2827" w:type="dxa"/>
            <w:tcBorders>
              <w:top w:val="nil"/>
              <w:left w:val="single" w:sz="8" w:space="0" w:color="auto"/>
              <w:bottom w:val="single" w:sz="8" w:space="0" w:color="auto"/>
              <w:right w:val="nil"/>
            </w:tcBorders>
            <w:shd w:val="clear" w:color="auto" w:fill="auto"/>
            <w:noWrap/>
            <w:vAlign w:val="center"/>
            <w:hideMark/>
          </w:tcPr>
          <w:p w14:paraId="038FED5D" w14:textId="77777777" w:rsidR="00A177B0" w:rsidRPr="000468D2" w:rsidRDefault="008C4B74" w:rsidP="00F86017">
            <w:pPr>
              <w:rPr>
                <w:rFonts w:ascii="Arial" w:hAnsi="Arial" w:cs="Arial"/>
                <w:b/>
                <w:bCs/>
                <w:color w:val="000000"/>
                <w:sz w:val="22"/>
                <w:szCs w:val="22"/>
              </w:rPr>
            </w:pPr>
            <w:r w:rsidRPr="000468D2">
              <w:rPr>
                <w:rFonts w:ascii="Arial" w:hAnsi="Arial" w:cs="Arial"/>
                <w:b/>
                <w:bCs/>
                <w:color w:val="000000"/>
                <w:sz w:val="22"/>
                <w:szCs w:val="22"/>
              </w:rPr>
              <w:t>Annualized s</w:t>
            </w:r>
            <w:r w:rsidR="005D38F4" w:rsidRPr="000468D2">
              <w:rPr>
                <w:rFonts w:ascii="Arial" w:hAnsi="Arial" w:cs="Arial"/>
                <w:b/>
                <w:bCs/>
                <w:color w:val="000000"/>
                <w:sz w:val="22"/>
                <w:szCs w:val="22"/>
              </w:rPr>
              <w:t xml:space="preserve">tandard deviation </w:t>
            </w:r>
            <w:r w:rsidRPr="000468D2">
              <w:rPr>
                <w:rFonts w:ascii="Arial" w:hAnsi="Arial" w:cs="Arial"/>
                <w:b/>
                <w:bCs/>
                <w:color w:val="000000"/>
                <w:sz w:val="22"/>
                <w:szCs w:val="22"/>
              </w:rPr>
              <w:t>(%)</w:t>
            </w:r>
          </w:p>
        </w:tc>
        <w:tc>
          <w:tcPr>
            <w:tcW w:w="1134" w:type="dxa"/>
            <w:tcBorders>
              <w:top w:val="nil"/>
              <w:left w:val="nil"/>
              <w:bottom w:val="single" w:sz="8" w:space="0" w:color="auto"/>
              <w:right w:val="single" w:sz="8" w:space="0" w:color="auto"/>
            </w:tcBorders>
            <w:shd w:val="clear" w:color="auto" w:fill="auto"/>
            <w:noWrap/>
            <w:vAlign w:val="center"/>
          </w:tcPr>
          <w:p w14:paraId="4391C09B" w14:textId="3C6C8BDA" w:rsidR="00A177B0" w:rsidRPr="000468D2" w:rsidRDefault="000468D2" w:rsidP="00F86017">
            <w:pPr>
              <w:jc w:val="right"/>
              <w:rPr>
                <w:rFonts w:ascii="Arial" w:hAnsi="Arial" w:cs="Arial"/>
                <w:b/>
                <w:bCs/>
                <w:color w:val="FF0000"/>
                <w:sz w:val="22"/>
                <w:szCs w:val="22"/>
              </w:rPr>
            </w:pPr>
            <w:r w:rsidRPr="000468D2">
              <w:rPr>
                <w:rFonts w:ascii="Arial" w:hAnsi="Arial" w:cs="Arial"/>
                <w:sz w:val="22"/>
                <w:szCs w:val="22"/>
              </w:rPr>
              <w:t>43.0774</w:t>
            </w:r>
          </w:p>
        </w:tc>
      </w:tr>
    </w:tbl>
    <w:p w14:paraId="3C2FD223" w14:textId="77777777" w:rsidR="00810A51" w:rsidRPr="00B81BBB" w:rsidRDefault="00810A51" w:rsidP="007406B5">
      <w:pPr>
        <w:pStyle w:val="Paragraph"/>
        <w:numPr>
          <w:ilvl w:val="0"/>
          <w:numId w:val="0"/>
        </w:numPr>
        <w:rPr>
          <w:rFonts w:ascii="Arial" w:hAnsi="Arial" w:cs="Arial"/>
          <w:sz w:val="22"/>
          <w:szCs w:val="22"/>
          <w:highlight w:val="yellow"/>
        </w:rPr>
      </w:pPr>
    </w:p>
    <w:p w14:paraId="119D6CAC" w14:textId="2F9C16C6" w:rsidR="00484363" w:rsidRPr="00B81BBB" w:rsidRDefault="00092572" w:rsidP="00AA7FFD">
      <w:pPr>
        <w:pStyle w:val="Paragraph"/>
        <w:tabs>
          <w:tab w:val="clear" w:pos="3600"/>
        </w:tabs>
        <w:ind w:left="720" w:hanging="720"/>
        <w:rPr>
          <w:rFonts w:ascii="Arial" w:hAnsi="Arial" w:cs="Arial"/>
          <w:sz w:val="22"/>
          <w:szCs w:val="22"/>
        </w:rPr>
      </w:pPr>
      <w:r w:rsidRPr="00B81BBB">
        <w:rPr>
          <w:rFonts w:ascii="Arial" w:hAnsi="Arial" w:cs="Arial"/>
          <w:sz w:val="22"/>
          <w:szCs w:val="22"/>
        </w:rPr>
        <w:t xml:space="preserve">Further analysis </w:t>
      </w:r>
      <w:r w:rsidR="00330BF9" w:rsidRPr="00B81BBB">
        <w:rPr>
          <w:rFonts w:ascii="Arial" w:hAnsi="Arial" w:cs="Arial"/>
          <w:sz w:val="22"/>
          <w:szCs w:val="22"/>
        </w:rPr>
        <w:t xml:space="preserve">would be done if the country prefers the option of floating LIBOR rate. The expected future volatility of the LIBOR would be estimated through Monte Carlo simulations, which in turn serves as input to </w:t>
      </w:r>
      <w:r w:rsidR="00031418" w:rsidRPr="00B81BBB">
        <w:rPr>
          <w:rFonts w:ascii="Arial" w:hAnsi="Arial" w:cs="Arial"/>
          <w:sz w:val="22"/>
          <w:szCs w:val="22"/>
        </w:rPr>
        <w:t>define</w:t>
      </w:r>
      <w:r w:rsidR="00330BF9" w:rsidRPr="00B81BBB">
        <w:rPr>
          <w:rFonts w:ascii="Arial" w:hAnsi="Arial" w:cs="Arial"/>
          <w:sz w:val="22"/>
          <w:szCs w:val="22"/>
        </w:rPr>
        <w:t xml:space="preserve"> probabilistic scenarios of </w:t>
      </w:r>
      <w:r w:rsidR="00031418" w:rsidRPr="00B81BBB">
        <w:rPr>
          <w:rFonts w:ascii="Arial" w:hAnsi="Arial" w:cs="Arial"/>
          <w:sz w:val="22"/>
          <w:szCs w:val="22"/>
        </w:rPr>
        <w:t>the ranges of the LIBOR rate for the next 5 years. Thus, the simulations would provide a good estimation of the probability that the financial cost of the Bank’s loan would increase substantially over the period of analysis.</w:t>
      </w:r>
      <w:r w:rsidR="00330BF9" w:rsidRPr="00B81BBB">
        <w:rPr>
          <w:rFonts w:ascii="Arial" w:hAnsi="Arial" w:cs="Arial"/>
          <w:sz w:val="22"/>
          <w:szCs w:val="22"/>
        </w:rPr>
        <w:t xml:space="preserve"> </w:t>
      </w:r>
    </w:p>
    <w:p w14:paraId="513D9B9B" w14:textId="6BAC38C2" w:rsidR="005031EB" w:rsidRPr="00B81BBB" w:rsidRDefault="005031EB" w:rsidP="009300A1">
      <w:pPr>
        <w:pStyle w:val="Paragraph"/>
        <w:tabs>
          <w:tab w:val="clear" w:pos="3600"/>
        </w:tabs>
        <w:ind w:left="720" w:hanging="720"/>
        <w:rPr>
          <w:rFonts w:ascii="Arial" w:hAnsi="Arial" w:cs="Arial"/>
          <w:sz w:val="22"/>
          <w:szCs w:val="22"/>
        </w:rPr>
      </w:pPr>
      <w:r w:rsidRPr="00B81BBB">
        <w:rPr>
          <w:rFonts w:ascii="Arial" w:hAnsi="Arial" w:cs="Arial"/>
          <w:sz w:val="22"/>
          <w:szCs w:val="22"/>
        </w:rPr>
        <w:t>The NPV of the cost of financing US$</w:t>
      </w:r>
      <w:r w:rsidR="00D770A5">
        <w:rPr>
          <w:rFonts w:ascii="Arial" w:hAnsi="Arial" w:cs="Arial"/>
          <w:sz w:val="22"/>
          <w:szCs w:val="22"/>
        </w:rPr>
        <w:t>22</w:t>
      </w:r>
      <w:r w:rsidR="00CD2625" w:rsidRPr="00B81BBB">
        <w:rPr>
          <w:rFonts w:ascii="Arial" w:hAnsi="Arial" w:cs="Arial"/>
          <w:sz w:val="22"/>
          <w:szCs w:val="22"/>
        </w:rPr>
        <w:t xml:space="preserve"> </w:t>
      </w:r>
      <w:r w:rsidRPr="00B81BBB">
        <w:rPr>
          <w:rFonts w:ascii="Arial" w:hAnsi="Arial" w:cs="Arial"/>
          <w:sz w:val="22"/>
          <w:szCs w:val="22"/>
        </w:rPr>
        <w:t xml:space="preserve">million through the Bank’s </w:t>
      </w:r>
      <w:r w:rsidR="00304711" w:rsidRPr="00B81BBB">
        <w:rPr>
          <w:rFonts w:ascii="Arial" w:hAnsi="Arial" w:cs="Arial"/>
          <w:sz w:val="22"/>
          <w:szCs w:val="22"/>
        </w:rPr>
        <w:t>CCF</w:t>
      </w:r>
      <w:r w:rsidRPr="00B81BBB">
        <w:rPr>
          <w:rFonts w:ascii="Arial" w:hAnsi="Arial" w:cs="Arial"/>
          <w:sz w:val="22"/>
          <w:szCs w:val="22"/>
        </w:rPr>
        <w:t xml:space="preserve"> loan, with a discount rate of 12%, would be US$ </w:t>
      </w:r>
      <w:r w:rsidR="00791D2A">
        <w:rPr>
          <w:rFonts w:ascii="Arial" w:hAnsi="Arial" w:cs="Arial"/>
          <w:sz w:val="22"/>
          <w:szCs w:val="22"/>
        </w:rPr>
        <w:t>5</w:t>
      </w:r>
      <w:r w:rsidR="00D770A5">
        <w:rPr>
          <w:rFonts w:ascii="Arial" w:hAnsi="Arial" w:cs="Arial"/>
          <w:sz w:val="22"/>
          <w:szCs w:val="22"/>
        </w:rPr>
        <w:t>.</w:t>
      </w:r>
      <w:r w:rsidR="00791D2A">
        <w:rPr>
          <w:rFonts w:ascii="Arial" w:hAnsi="Arial" w:cs="Arial"/>
          <w:sz w:val="22"/>
          <w:szCs w:val="22"/>
        </w:rPr>
        <w:t>26</w:t>
      </w:r>
      <w:r w:rsidR="00304711" w:rsidRPr="00B81BBB">
        <w:rPr>
          <w:rFonts w:ascii="Arial" w:hAnsi="Arial" w:cs="Arial"/>
          <w:b/>
          <w:sz w:val="22"/>
          <w:szCs w:val="22"/>
        </w:rPr>
        <w:t xml:space="preserve"> </w:t>
      </w:r>
      <w:r w:rsidRPr="00B81BBB">
        <w:rPr>
          <w:rFonts w:ascii="Arial" w:hAnsi="Arial" w:cs="Arial"/>
          <w:sz w:val="22"/>
          <w:szCs w:val="22"/>
        </w:rPr>
        <w:t>million. In contrast, using the same discount rate, the NPV of issuing sovereign bonds to raise the same amount would be US$</w:t>
      </w:r>
      <w:r w:rsidR="00D770A5">
        <w:rPr>
          <w:rFonts w:ascii="Arial" w:hAnsi="Arial" w:cs="Arial"/>
          <w:sz w:val="22"/>
          <w:szCs w:val="22"/>
        </w:rPr>
        <w:t>13.96</w:t>
      </w:r>
      <w:r w:rsidR="00304711" w:rsidRPr="00B81BBB">
        <w:rPr>
          <w:rFonts w:ascii="Arial" w:hAnsi="Arial" w:cs="Arial"/>
          <w:b/>
          <w:sz w:val="22"/>
          <w:szCs w:val="22"/>
        </w:rPr>
        <w:t xml:space="preserve"> </w:t>
      </w:r>
      <w:r w:rsidRPr="00B81BBB">
        <w:rPr>
          <w:rFonts w:ascii="Arial" w:hAnsi="Arial" w:cs="Arial"/>
          <w:sz w:val="22"/>
          <w:szCs w:val="22"/>
        </w:rPr>
        <w:t xml:space="preserve">million. Therefore, the </w:t>
      </w:r>
      <w:r w:rsidR="00016C40" w:rsidRPr="00B81BBB">
        <w:rPr>
          <w:rFonts w:ascii="Arial" w:hAnsi="Arial" w:cs="Arial"/>
          <w:sz w:val="22"/>
          <w:szCs w:val="22"/>
        </w:rPr>
        <w:t xml:space="preserve">Bank’s loan is </w:t>
      </w:r>
      <w:r w:rsidR="00791D2A">
        <w:rPr>
          <w:rFonts w:ascii="Arial" w:hAnsi="Arial" w:cs="Arial"/>
          <w:sz w:val="22"/>
          <w:szCs w:val="22"/>
        </w:rPr>
        <w:t>62</w:t>
      </w:r>
      <w:r w:rsidR="00D770A5">
        <w:rPr>
          <w:rFonts w:ascii="Arial" w:hAnsi="Arial" w:cs="Arial"/>
          <w:sz w:val="22"/>
          <w:szCs w:val="22"/>
        </w:rPr>
        <w:t>.</w:t>
      </w:r>
      <w:r w:rsidR="00791D2A">
        <w:rPr>
          <w:rFonts w:ascii="Arial" w:hAnsi="Arial" w:cs="Arial"/>
          <w:sz w:val="22"/>
          <w:szCs w:val="22"/>
        </w:rPr>
        <w:t>3</w:t>
      </w:r>
      <w:r w:rsidR="00D770A5">
        <w:rPr>
          <w:rFonts w:ascii="Arial" w:hAnsi="Arial" w:cs="Arial"/>
          <w:sz w:val="22"/>
          <w:szCs w:val="22"/>
        </w:rPr>
        <w:t xml:space="preserve">% </w:t>
      </w:r>
      <w:r w:rsidR="003B0891" w:rsidRPr="00B81BBB">
        <w:rPr>
          <w:rFonts w:ascii="Arial" w:hAnsi="Arial" w:cs="Arial"/>
          <w:sz w:val="22"/>
          <w:szCs w:val="22"/>
        </w:rPr>
        <w:t>cheaper</w:t>
      </w:r>
      <w:r w:rsidR="00016C40" w:rsidRPr="00B81BBB">
        <w:rPr>
          <w:rFonts w:ascii="Arial" w:hAnsi="Arial" w:cs="Arial"/>
          <w:sz w:val="22"/>
          <w:szCs w:val="22"/>
        </w:rPr>
        <w:t xml:space="preserve"> than the alternative option. For more information, </w:t>
      </w:r>
      <w:r w:rsidR="007137DF" w:rsidRPr="00B81BBB">
        <w:rPr>
          <w:rFonts w:ascii="Arial" w:hAnsi="Arial" w:cs="Arial"/>
          <w:sz w:val="22"/>
          <w:szCs w:val="22"/>
        </w:rPr>
        <w:t>please refer to the calculation</w:t>
      </w:r>
      <w:r w:rsidR="00016C40" w:rsidRPr="00B81BBB">
        <w:rPr>
          <w:rFonts w:ascii="Arial" w:hAnsi="Arial" w:cs="Arial"/>
          <w:sz w:val="22"/>
          <w:szCs w:val="22"/>
        </w:rPr>
        <w:t xml:space="preserve"> spreadsheet</w:t>
      </w:r>
      <w:r w:rsidR="007264FE">
        <w:rPr>
          <w:rFonts w:ascii="Arial" w:hAnsi="Arial" w:cs="Arial"/>
          <w:sz w:val="22"/>
          <w:szCs w:val="22"/>
        </w:rPr>
        <w:t>.</w:t>
      </w:r>
    </w:p>
    <w:p w14:paraId="438763BF" w14:textId="77777777" w:rsidR="000709C5" w:rsidRPr="00B81BBB" w:rsidRDefault="000709C5" w:rsidP="00AA7FFD">
      <w:pPr>
        <w:ind w:left="720" w:hanging="720"/>
        <w:rPr>
          <w:rFonts w:ascii="Arial" w:hAnsi="Arial" w:cs="Arial"/>
        </w:rPr>
        <w:sectPr w:rsidR="000709C5" w:rsidRPr="00B81BBB" w:rsidSect="0045688F">
          <w:type w:val="continuous"/>
          <w:pgSz w:w="12240" w:h="15840" w:code="1"/>
          <w:pgMar w:top="1440" w:right="1800" w:bottom="1440" w:left="1800" w:header="706" w:footer="706" w:gutter="0"/>
          <w:cols w:space="720"/>
          <w:formProt w:val="0"/>
          <w:titlePg/>
        </w:sectPr>
      </w:pPr>
    </w:p>
    <w:p w14:paraId="3C0A7971" w14:textId="77777777" w:rsidR="00375CC7" w:rsidRPr="00B81BBB" w:rsidRDefault="00F36415" w:rsidP="00AA7FFD">
      <w:pPr>
        <w:pStyle w:val="Chapter"/>
        <w:tabs>
          <w:tab w:val="clear" w:pos="1440"/>
          <w:tab w:val="clear" w:pos="2952"/>
        </w:tabs>
        <w:ind w:left="0" w:firstLine="0"/>
        <w:rPr>
          <w:rFonts w:ascii="Arial" w:hAnsi="Arial" w:cs="Arial"/>
        </w:rPr>
      </w:pPr>
      <w:bookmarkStart w:id="21" w:name="_Toc510433080"/>
      <w:r w:rsidRPr="00B81BBB">
        <w:rPr>
          <w:rFonts w:ascii="Arial" w:hAnsi="Arial" w:cs="Arial"/>
        </w:rPr>
        <w:lastRenderedPageBreak/>
        <w:t>Conclusions</w:t>
      </w:r>
      <w:bookmarkEnd w:id="21"/>
    </w:p>
    <w:p w14:paraId="78E1C2D5" w14:textId="2B0B9CBD" w:rsidR="00AA3B41" w:rsidRPr="00B81BBB" w:rsidRDefault="008910AA" w:rsidP="00A50187">
      <w:pPr>
        <w:pStyle w:val="Paragraph"/>
        <w:tabs>
          <w:tab w:val="clear" w:pos="3600"/>
        </w:tabs>
        <w:ind w:left="720" w:hanging="720"/>
        <w:rPr>
          <w:rFonts w:ascii="Arial" w:hAnsi="Arial" w:cs="Arial"/>
          <w:sz w:val="22"/>
          <w:szCs w:val="22"/>
        </w:rPr>
      </w:pPr>
      <w:r w:rsidRPr="00B81BBB">
        <w:rPr>
          <w:rFonts w:ascii="Arial" w:hAnsi="Arial" w:cs="Arial"/>
          <w:sz w:val="22"/>
          <w:szCs w:val="22"/>
        </w:rPr>
        <w:t xml:space="preserve">A </w:t>
      </w:r>
      <w:r w:rsidR="00F92E94" w:rsidRPr="00B81BBB">
        <w:rPr>
          <w:rFonts w:ascii="Arial" w:hAnsi="Arial" w:cs="Arial"/>
          <w:sz w:val="22"/>
          <w:szCs w:val="22"/>
        </w:rPr>
        <w:t>cost-effective</w:t>
      </w:r>
      <w:r w:rsidR="00304711" w:rsidRPr="00B81BBB">
        <w:rPr>
          <w:rFonts w:ascii="Arial" w:hAnsi="Arial" w:cs="Arial"/>
          <w:sz w:val="22"/>
          <w:szCs w:val="22"/>
        </w:rPr>
        <w:t xml:space="preserve"> CCF</w:t>
      </w:r>
      <w:r w:rsidR="00F92E94" w:rsidRPr="00B81BBB">
        <w:rPr>
          <w:rFonts w:ascii="Arial" w:hAnsi="Arial" w:cs="Arial"/>
          <w:sz w:val="22"/>
          <w:szCs w:val="22"/>
        </w:rPr>
        <w:t xml:space="preserve"> loan that provides financial coverage is necessary for countries highly exposed </w:t>
      </w:r>
      <w:r w:rsidR="00304711" w:rsidRPr="00B81BBB">
        <w:rPr>
          <w:rFonts w:ascii="Arial" w:hAnsi="Arial" w:cs="Arial"/>
          <w:sz w:val="22"/>
          <w:szCs w:val="22"/>
        </w:rPr>
        <w:t>to the effects of the COVID-19 pandemic outbreak s</w:t>
      </w:r>
      <w:r w:rsidR="00F92E94" w:rsidRPr="00B81BBB">
        <w:rPr>
          <w:rFonts w:ascii="Arial" w:hAnsi="Arial" w:cs="Arial"/>
          <w:sz w:val="22"/>
          <w:szCs w:val="22"/>
        </w:rPr>
        <w:t xml:space="preserve">uch as </w:t>
      </w:r>
      <w:r w:rsidR="00D770A5">
        <w:rPr>
          <w:rFonts w:ascii="Arial" w:hAnsi="Arial" w:cs="Arial"/>
          <w:sz w:val="22"/>
          <w:szCs w:val="22"/>
        </w:rPr>
        <w:t>Guyana</w:t>
      </w:r>
      <w:r w:rsidR="00F92E94" w:rsidRPr="00B81BBB">
        <w:rPr>
          <w:rFonts w:ascii="Arial" w:hAnsi="Arial" w:cs="Arial"/>
          <w:sz w:val="22"/>
          <w:szCs w:val="22"/>
        </w:rPr>
        <w:t>. The absent of a proper financing</w:t>
      </w:r>
      <w:r w:rsidR="004F518B" w:rsidRPr="00B81BBB">
        <w:rPr>
          <w:rFonts w:ascii="Arial" w:hAnsi="Arial" w:cs="Arial"/>
          <w:sz w:val="22"/>
          <w:szCs w:val="22"/>
        </w:rPr>
        <w:t xml:space="preserve"> solution makes the country’s public finances vulnerable </w:t>
      </w:r>
      <w:r w:rsidR="00304711" w:rsidRPr="00B81BBB">
        <w:rPr>
          <w:rFonts w:ascii="Arial" w:hAnsi="Arial" w:cs="Arial"/>
          <w:sz w:val="22"/>
          <w:szCs w:val="22"/>
        </w:rPr>
        <w:t>and</w:t>
      </w:r>
      <w:r w:rsidR="004F518B" w:rsidRPr="00B81BBB">
        <w:rPr>
          <w:rFonts w:ascii="Arial" w:hAnsi="Arial" w:cs="Arial"/>
          <w:sz w:val="22"/>
          <w:szCs w:val="22"/>
        </w:rPr>
        <w:t xml:space="preserve"> could </w:t>
      </w:r>
      <w:r w:rsidR="007A4865" w:rsidRPr="00B81BBB">
        <w:rPr>
          <w:rFonts w:ascii="Arial" w:hAnsi="Arial" w:cs="Arial"/>
          <w:sz w:val="22"/>
          <w:szCs w:val="22"/>
        </w:rPr>
        <w:t xml:space="preserve">even </w:t>
      </w:r>
      <w:r w:rsidR="004F518B" w:rsidRPr="00B81BBB">
        <w:rPr>
          <w:rFonts w:ascii="Arial" w:hAnsi="Arial" w:cs="Arial"/>
          <w:sz w:val="22"/>
          <w:szCs w:val="22"/>
        </w:rPr>
        <w:t xml:space="preserve">put the incipient economic recovery </w:t>
      </w:r>
      <w:r w:rsidR="00A50187" w:rsidRPr="00B81BBB">
        <w:rPr>
          <w:rFonts w:ascii="Arial" w:hAnsi="Arial" w:cs="Arial"/>
          <w:sz w:val="22"/>
          <w:szCs w:val="22"/>
        </w:rPr>
        <w:t>in jeopardy.</w:t>
      </w:r>
    </w:p>
    <w:p w14:paraId="07FC5CF8" w14:textId="2F73FC9E" w:rsidR="008C266A" w:rsidRDefault="007A4865" w:rsidP="006F0711">
      <w:pPr>
        <w:pStyle w:val="Paragraph"/>
        <w:tabs>
          <w:tab w:val="clear" w:pos="3600"/>
        </w:tabs>
        <w:ind w:left="720" w:hanging="720"/>
        <w:rPr>
          <w:rFonts w:ascii="Arial" w:hAnsi="Arial" w:cs="Arial"/>
          <w:sz w:val="22"/>
          <w:szCs w:val="22"/>
        </w:rPr>
      </w:pPr>
      <w:r w:rsidRPr="00B81BBB">
        <w:rPr>
          <w:rFonts w:ascii="Arial" w:hAnsi="Arial" w:cs="Arial"/>
          <w:sz w:val="22"/>
          <w:szCs w:val="22"/>
        </w:rPr>
        <w:t xml:space="preserve">The economic analysis shows that the Bank’s </w:t>
      </w:r>
      <w:r w:rsidR="00304711" w:rsidRPr="00B81BBB">
        <w:rPr>
          <w:rFonts w:ascii="Arial" w:hAnsi="Arial" w:cs="Arial"/>
          <w:sz w:val="22"/>
          <w:szCs w:val="22"/>
        </w:rPr>
        <w:t>CCF</w:t>
      </w:r>
      <w:r w:rsidRPr="00B81BBB">
        <w:rPr>
          <w:rFonts w:ascii="Arial" w:hAnsi="Arial" w:cs="Arial"/>
          <w:sz w:val="22"/>
          <w:szCs w:val="22"/>
        </w:rPr>
        <w:t xml:space="preserve"> loan is the most efficient and cost-effective option</w:t>
      </w:r>
      <w:r w:rsidR="008F4139" w:rsidRPr="00B81BBB">
        <w:rPr>
          <w:rFonts w:ascii="Arial" w:hAnsi="Arial" w:cs="Arial"/>
          <w:sz w:val="22"/>
          <w:szCs w:val="22"/>
        </w:rPr>
        <w:t xml:space="preserve"> to cover the extraordinary expenditures in the COVID-19 pandemic outbreak</w:t>
      </w:r>
      <w:r w:rsidRPr="00B81BBB">
        <w:rPr>
          <w:rFonts w:ascii="Arial" w:hAnsi="Arial" w:cs="Arial"/>
          <w:sz w:val="22"/>
          <w:szCs w:val="22"/>
        </w:rPr>
        <w:t xml:space="preserve">, </w:t>
      </w:r>
      <w:r w:rsidR="008F4139" w:rsidRPr="00B81BBB">
        <w:rPr>
          <w:rFonts w:ascii="Arial" w:hAnsi="Arial" w:cs="Arial"/>
          <w:sz w:val="22"/>
          <w:szCs w:val="22"/>
        </w:rPr>
        <w:t xml:space="preserve">when </w:t>
      </w:r>
      <w:r w:rsidR="00D629CB" w:rsidRPr="00B81BBB">
        <w:rPr>
          <w:rFonts w:ascii="Arial" w:hAnsi="Arial" w:cs="Arial"/>
          <w:sz w:val="22"/>
          <w:szCs w:val="22"/>
        </w:rPr>
        <w:t>contrasted</w:t>
      </w:r>
      <w:r w:rsidRPr="00B81BBB">
        <w:rPr>
          <w:rFonts w:ascii="Arial" w:hAnsi="Arial" w:cs="Arial"/>
          <w:sz w:val="22"/>
          <w:szCs w:val="22"/>
        </w:rPr>
        <w:t xml:space="preserve"> </w:t>
      </w:r>
      <w:r w:rsidR="00D629CB" w:rsidRPr="00B81BBB">
        <w:rPr>
          <w:rFonts w:ascii="Arial" w:hAnsi="Arial" w:cs="Arial"/>
          <w:sz w:val="22"/>
          <w:szCs w:val="22"/>
        </w:rPr>
        <w:t xml:space="preserve">with comparable benchmarks for the two efficiency criteria </w:t>
      </w:r>
      <w:r w:rsidR="008F4139" w:rsidRPr="00B81BBB">
        <w:rPr>
          <w:rFonts w:ascii="Arial" w:hAnsi="Arial" w:cs="Arial"/>
          <w:sz w:val="22"/>
          <w:szCs w:val="22"/>
        </w:rPr>
        <w:t>analyzed</w:t>
      </w:r>
      <w:r w:rsidR="00D629CB" w:rsidRPr="00B81BBB">
        <w:rPr>
          <w:rFonts w:ascii="Arial" w:hAnsi="Arial" w:cs="Arial"/>
          <w:sz w:val="22"/>
          <w:szCs w:val="22"/>
        </w:rPr>
        <w:t xml:space="preserve">: i) </w:t>
      </w:r>
      <w:r w:rsidR="008F4139" w:rsidRPr="00B81BBB">
        <w:rPr>
          <w:rFonts w:ascii="Arial" w:hAnsi="Arial" w:cs="Arial"/>
          <w:sz w:val="22"/>
          <w:szCs w:val="22"/>
        </w:rPr>
        <w:t xml:space="preserve">in terms of financial cost, the loan is less expensive than </w:t>
      </w:r>
      <w:r w:rsidRPr="00B81BBB">
        <w:rPr>
          <w:rFonts w:ascii="Arial" w:hAnsi="Arial" w:cs="Arial"/>
          <w:sz w:val="22"/>
          <w:szCs w:val="22"/>
        </w:rPr>
        <w:t>a sovereign bond issue</w:t>
      </w:r>
      <w:r w:rsidR="008F4139" w:rsidRPr="00B81BBB">
        <w:rPr>
          <w:rFonts w:ascii="Arial" w:hAnsi="Arial" w:cs="Arial"/>
          <w:sz w:val="22"/>
          <w:szCs w:val="22"/>
        </w:rPr>
        <w:t>; and ii) in terms of speed of access</w:t>
      </w:r>
      <w:r w:rsidR="00091444" w:rsidRPr="00B81BBB">
        <w:rPr>
          <w:rFonts w:ascii="Arial" w:hAnsi="Arial" w:cs="Arial"/>
          <w:sz w:val="22"/>
          <w:szCs w:val="22"/>
        </w:rPr>
        <w:t xml:space="preserve">, </w:t>
      </w:r>
      <w:r w:rsidR="008F4139" w:rsidRPr="00B81BBB">
        <w:rPr>
          <w:rFonts w:ascii="Arial" w:hAnsi="Arial" w:cs="Arial"/>
          <w:sz w:val="22"/>
          <w:szCs w:val="22"/>
        </w:rPr>
        <w:t>the CCF loan is more</w:t>
      </w:r>
      <w:r w:rsidR="00091444" w:rsidRPr="00B81BBB">
        <w:rPr>
          <w:rFonts w:ascii="Arial" w:hAnsi="Arial" w:cs="Arial"/>
          <w:sz w:val="22"/>
          <w:szCs w:val="22"/>
        </w:rPr>
        <w:t xml:space="preserve"> efficient in terms of how fast the country can access to the proceeds. </w:t>
      </w:r>
    </w:p>
    <w:p w14:paraId="0FAF0E98" w14:textId="0BAA9F48" w:rsidR="007D445E" w:rsidRPr="00B81BBB" w:rsidRDefault="007D445E" w:rsidP="006F0711">
      <w:pPr>
        <w:pStyle w:val="Paragraph"/>
        <w:tabs>
          <w:tab w:val="clear" w:pos="3600"/>
        </w:tabs>
        <w:ind w:left="720" w:hanging="720"/>
        <w:rPr>
          <w:rFonts w:ascii="Arial" w:hAnsi="Arial" w:cs="Arial"/>
          <w:sz w:val="22"/>
          <w:szCs w:val="22"/>
        </w:rPr>
      </w:pPr>
      <w:r>
        <w:rPr>
          <w:rFonts w:ascii="Arial" w:hAnsi="Arial" w:cs="Arial"/>
          <w:sz w:val="22"/>
          <w:szCs w:val="22"/>
        </w:rPr>
        <w:t>In terms of financial cost, t</w:t>
      </w:r>
      <w:r w:rsidRPr="00B81BBB">
        <w:rPr>
          <w:rFonts w:ascii="Arial" w:hAnsi="Arial" w:cs="Arial"/>
          <w:sz w:val="22"/>
          <w:szCs w:val="22"/>
        </w:rPr>
        <w:t xml:space="preserve">he NPV of the cost of financing US$ </w:t>
      </w:r>
      <w:r>
        <w:rPr>
          <w:rFonts w:ascii="Arial" w:hAnsi="Arial" w:cs="Arial"/>
          <w:sz w:val="22"/>
          <w:szCs w:val="22"/>
        </w:rPr>
        <w:t>22</w:t>
      </w:r>
      <w:r w:rsidRPr="00B81BBB">
        <w:rPr>
          <w:rFonts w:ascii="Arial" w:hAnsi="Arial" w:cs="Arial"/>
          <w:sz w:val="22"/>
          <w:szCs w:val="22"/>
        </w:rPr>
        <w:t xml:space="preserve"> million through the Bank’s CCF loan, with a discount rate of 12%, would be US$ </w:t>
      </w:r>
      <w:r w:rsidR="00791D2A">
        <w:rPr>
          <w:rFonts w:ascii="Arial" w:hAnsi="Arial" w:cs="Arial"/>
          <w:sz w:val="22"/>
          <w:szCs w:val="22"/>
        </w:rPr>
        <w:t>5.26</w:t>
      </w:r>
      <w:r w:rsidRPr="00B81BBB">
        <w:rPr>
          <w:rFonts w:ascii="Arial" w:hAnsi="Arial" w:cs="Arial"/>
          <w:b/>
          <w:sz w:val="22"/>
          <w:szCs w:val="22"/>
        </w:rPr>
        <w:t xml:space="preserve"> </w:t>
      </w:r>
      <w:r w:rsidRPr="00B81BBB">
        <w:rPr>
          <w:rFonts w:ascii="Arial" w:hAnsi="Arial" w:cs="Arial"/>
          <w:sz w:val="22"/>
          <w:szCs w:val="22"/>
        </w:rPr>
        <w:t xml:space="preserve">million. In contrast, using the same discount rate, the NPV of issuing sovereign bonds to raise the same amount would be US$ </w:t>
      </w:r>
      <w:r>
        <w:rPr>
          <w:rFonts w:ascii="Arial" w:hAnsi="Arial" w:cs="Arial"/>
          <w:sz w:val="22"/>
          <w:szCs w:val="22"/>
        </w:rPr>
        <w:t>13.96</w:t>
      </w:r>
      <w:r w:rsidRPr="00B81BBB">
        <w:rPr>
          <w:rFonts w:ascii="Arial" w:hAnsi="Arial" w:cs="Arial"/>
          <w:b/>
          <w:sz w:val="22"/>
          <w:szCs w:val="22"/>
        </w:rPr>
        <w:t xml:space="preserve"> </w:t>
      </w:r>
      <w:r w:rsidRPr="00B81BBB">
        <w:rPr>
          <w:rFonts w:ascii="Arial" w:hAnsi="Arial" w:cs="Arial"/>
          <w:sz w:val="22"/>
          <w:szCs w:val="22"/>
        </w:rPr>
        <w:t xml:space="preserve">million. Therefore, the Bank’s loan is </w:t>
      </w:r>
      <w:r w:rsidR="00791D2A">
        <w:rPr>
          <w:rFonts w:ascii="Arial" w:hAnsi="Arial" w:cs="Arial"/>
          <w:sz w:val="22"/>
          <w:szCs w:val="22"/>
        </w:rPr>
        <w:t>62</w:t>
      </w:r>
      <w:r w:rsidR="00221484">
        <w:rPr>
          <w:rFonts w:ascii="Arial" w:hAnsi="Arial" w:cs="Arial"/>
          <w:sz w:val="22"/>
          <w:szCs w:val="22"/>
        </w:rPr>
        <w:t>.</w:t>
      </w:r>
      <w:r w:rsidR="00791D2A">
        <w:rPr>
          <w:rFonts w:ascii="Arial" w:hAnsi="Arial" w:cs="Arial"/>
          <w:sz w:val="22"/>
          <w:szCs w:val="22"/>
        </w:rPr>
        <w:t>3</w:t>
      </w:r>
      <w:r w:rsidR="00221484">
        <w:rPr>
          <w:rFonts w:ascii="Arial" w:hAnsi="Arial" w:cs="Arial"/>
          <w:sz w:val="22"/>
          <w:szCs w:val="22"/>
        </w:rPr>
        <w:t>%</w:t>
      </w:r>
      <w:r w:rsidRPr="00B81BBB">
        <w:rPr>
          <w:rFonts w:ascii="Arial" w:hAnsi="Arial" w:cs="Arial"/>
          <w:b/>
          <w:sz w:val="22"/>
          <w:szCs w:val="22"/>
        </w:rPr>
        <w:t xml:space="preserve"> </w:t>
      </w:r>
      <w:r w:rsidRPr="00B81BBB">
        <w:rPr>
          <w:rFonts w:ascii="Arial" w:hAnsi="Arial" w:cs="Arial"/>
          <w:sz w:val="22"/>
          <w:szCs w:val="22"/>
        </w:rPr>
        <w:t>cheaper than the alternative option.</w:t>
      </w:r>
      <w:r>
        <w:rPr>
          <w:rFonts w:ascii="Arial" w:hAnsi="Arial" w:cs="Arial"/>
          <w:sz w:val="22"/>
          <w:szCs w:val="22"/>
        </w:rPr>
        <w:t xml:space="preserve"> </w:t>
      </w:r>
      <w:r>
        <w:rPr>
          <w:rFonts w:ascii="Arial" w:hAnsi="Arial" w:cs="Arial"/>
          <w:sz w:val="22"/>
        </w:rPr>
        <w:t>E</w:t>
      </w:r>
      <w:r w:rsidRPr="005F467B">
        <w:rPr>
          <w:rFonts w:ascii="Arial" w:hAnsi="Arial" w:cs="Arial"/>
          <w:sz w:val="22"/>
        </w:rPr>
        <w:t>ven in the event of minimally probable variations in the main indicators, there is a wide range of values in which the IDB</w:t>
      </w:r>
      <w:r>
        <w:rPr>
          <w:rFonts w:ascii="Arial" w:hAnsi="Arial" w:cs="Arial"/>
          <w:sz w:val="22"/>
        </w:rPr>
        <w:t>’s CCF</w:t>
      </w:r>
      <w:r w:rsidRPr="005F467B">
        <w:rPr>
          <w:rFonts w:ascii="Arial" w:hAnsi="Arial" w:cs="Arial"/>
          <w:sz w:val="22"/>
        </w:rPr>
        <w:t xml:space="preserve"> loan alternative remains the most efficient</w:t>
      </w:r>
      <w:r w:rsidR="00221484">
        <w:rPr>
          <w:rFonts w:ascii="Arial" w:hAnsi="Arial" w:cs="Arial"/>
          <w:sz w:val="22"/>
        </w:rPr>
        <w:t>.</w:t>
      </w:r>
    </w:p>
    <w:sectPr w:rsidR="007D445E" w:rsidRPr="00B81BBB" w:rsidSect="0045688F">
      <w:type w:val="continuous"/>
      <w:pgSz w:w="12240" w:h="15840" w:code="1"/>
      <w:pgMar w:top="1440" w:right="1800" w:bottom="1440" w:left="1800" w:header="706" w:footer="706"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0B9EC1" w14:textId="77777777" w:rsidR="001B2CBA" w:rsidRDefault="001B2CBA">
      <w:r>
        <w:separator/>
      </w:r>
    </w:p>
  </w:endnote>
  <w:endnote w:type="continuationSeparator" w:id="0">
    <w:p w14:paraId="252DF1AF" w14:textId="77777777" w:rsidR="001B2CBA" w:rsidRDefault="001B2CBA">
      <w:r>
        <w:continuationSeparator/>
      </w:r>
    </w:p>
  </w:endnote>
  <w:endnote w:type="continuationNotice" w:id="1">
    <w:p w14:paraId="2B518B88" w14:textId="77777777" w:rsidR="001B2CBA" w:rsidRDefault="001B2C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Lucida Sans">
    <w:panose1 w:val="020B0602040502020204"/>
    <w:charset w:val="00"/>
    <w:family w:val="swiss"/>
    <w:pitch w:val="variable"/>
    <w:sig w:usb0="8100AAF7" w:usb1="0000807B" w:usb2="00000008" w:usb3="00000000" w:csb0="000100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0EA119" w14:textId="77777777" w:rsidR="001B2CBA" w:rsidRDefault="001B2CBA">
      <w:r>
        <w:separator/>
      </w:r>
    </w:p>
  </w:footnote>
  <w:footnote w:type="continuationSeparator" w:id="0">
    <w:p w14:paraId="32EDEC49" w14:textId="77777777" w:rsidR="001B2CBA" w:rsidRDefault="001B2CBA">
      <w:r>
        <w:continuationSeparator/>
      </w:r>
    </w:p>
  </w:footnote>
  <w:footnote w:type="continuationNotice" w:id="1">
    <w:p w14:paraId="3132DB33" w14:textId="77777777" w:rsidR="001B2CBA" w:rsidRDefault="001B2CBA"/>
  </w:footnote>
  <w:footnote w:id="2">
    <w:p w14:paraId="66D20070" w14:textId="77777777" w:rsidR="006C2B33" w:rsidRPr="00E96CF2" w:rsidRDefault="006C2B33" w:rsidP="006C2B33">
      <w:pPr>
        <w:pStyle w:val="FootnoteText"/>
        <w:spacing w:after="0"/>
        <w:rPr>
          <w:rFonts w:ascii="Arial" w:hAnsi="Arial" w:cs="Arial"/>
          <w:sz w:val="18"/>
          <w:szCs w:val="18"/>
        </w:rPr>
      </w:pPr>
      <w:r w:rsidRPr="00E96CF2">
        <w:rPr>
          <w:rStyle w:val="FootnoteReference"/>
          <w:rFonts w:ascii="Arial" w:hAnsi="Arial" w:cs="Arial"/>
          <w:sz w:val="18"/>
          <w:szCs w:val="18"/>
        </w:rPr>
        <w:footnoteRef/>
      </w:r>
      <w:r w:rsidRPr="00E96CF2">
        <w:rPr>
          <w:rFonts w:ascii="Arial" w:hAnsi="Arial" w:cs="Arial"/>
          <w:sz w:val="18"/>
          <w:szCs w:val="18"/>
        </w:rPr>
        <w:t xml:space="preserve"> </w:t>
      </w:r>
      <w:r w:rsidRPr="00E96CF2">
        <w:rPr>
          <w:rFonts w:ascii="Arial" w:hAnsi="Arial" w:cs="Arial"/>
          <w:sz w:val="18"/>
          <w:szCs w:val="18"/>
        </w:rPr>
        <w:tab/>
        <w:t xml:space="preserve">See </w:t>
      </w:r>
      <w:hyperlink r:id="rId1" w:history="1">
        <w:r w:rsidRPr="00E96CF2">
          <w:rPr>
            <w:rStyle w:val="Hyperlink"/>
            <w:rFonts w:ascii="Arial" w:hAnsi="Arial" w:cs="Arial"/>
            <w:sz w:val="18"/>
            <w:szCs w:val="18"/>
          </w:rPr>
          <w:t>WHO Coronavirus disease (COVID-2019) situation reports</w:t>
        </w:r>
      </w:hyperlink>
      <w:r w:rsidRPr="00E96CF2">
        <w:rPr>
          <w:rFonts w:ascii="Arial" w:hAnsi="Arial" w:cs="Arial"/>
          <w:sz w:val="18"/>
          <w:szCs w:val="18"/>
        </w:rPr>
        <w:t xml:space="preserve">. </w:t>
      </w:r>
    </w:p>
  </w:footnote>
  <w:footnote w:id="3">
    <w:p w14:paraId="0AF8C7D9" w14:textId="77777777" w:rsidR="006C2B33" w:rsidRPr="007247E6" w:rsidRDefault="006C2B33" w:rsidP="006C2B33">
      <w:pPr>
        <w:pStyle w:val="FootnoteText"/>
        <w:spacing w:after="0"/>
        <w:rPr>
          <w:rFonts w:ascii="Arial" w:hAnsi="Arial" w:cs="Arial"/>
          <w:sz w:val="18"/>
          <w:szCs w:val="18"/>
        </w:rPr>
      </w:pPr>
      <w:r w:rsidRPr="007247E6">
        <w:rPr>
          <w:rStyle w:val="FootnoteReference"/>
          <w:rFonts w:ascii="Arial" w:hAnsi="Arial" w:cs="Arial"/>
          <w:sz w:val="18"/>
          <w:szCs w:val="18"/>
        </w:rPr>
        <w:footnoteRef/>
      </w:r>
      <w:r w:rsidRPr="007247E6">
        <w:rPr>
          <w:rFonts w:ascii="Arial" w:hAnsi="Arial" w:cs="Arial"/>
          <w:sz w:val="18"/>
          <w:szCs w:val="18"/>
        </w:rPr>
        <w:t xml:space="preserve"> </w:t>
      </w:r>
      <w:r w:rsidRPr="007247E6">
        <w:rPr>
          <w:rFonts w:ascii="Arial" w:hAnsi="Arial" w:cs="Arial"/>
          <w:sz w:val="18"/>
          <w:szCs w:val="18"/>
        </w:rPr>
        <w:tab/>
      </w:r>
      <w:hyperlink r:id="rId2" w:history="1">
        <w:r w:rsidRPr="003A4262">
          <w:rPr>
            <w:rStyle w:val="Hyperlink"/>
            <w:rFonts w:ascii="Arial" w:hAnsi="Arial" w:cs="Arial"/>
            <w:sz w:val="18"/>
            <w:szCs w:val="18"/>
          </w:rPr>
          <w:t>WHO’s latest Coronavirus disease (COVID-2019) situation report</w:t>
        </w:r>
      </w:hyperlink>
      <w:r w:rsidRPr="007247E6">
        <w:rPr>
          <w:rFonts w:ascii="Arial" w:hAnsi="Arial" w:cs="Arial"/>
          <w:sz w:val="18"/>
          <w:szCs w:val="18"/>
        </w:rPr>
        <w:t>.</w:t>
      </w:r>
    </w:p>
  </w:footnote>
  <w:footnote w:id="4">
    <w:p w14:paraId="05177CCB" w14:textId="77777777" w:rsidR="006C2B33" w:rsidRPr="007247E6" w:rsidRDefault="006C2B33" w:rsidP="006C2B33">
      <w:pPr>
        <w:autoSpaceDE w:val="0"/>
        <w:autoSpaceDN w:val="0"/>
        <w:adjustRightInd w:val="0"/>
        <w:ind w:left="270" w:hanging="270"/>
        <w:jc w:val="both"/>
        <w:rPr>
          <w:rFonts w:ascii="Arial" w:hAnsi="Arial" w:cs="Arial"/>
          <w:sz w:val="18"/>
          <w:szCs w:val="18"/>
        </w:rPr>
      </w:pPr>
      <w:r w:rsidRPr="007247E6">
        <w:rPr>
          <w:rFonts w:ascii="Arial" w:hAnsi="Arial" w:cs="Arial"/>
          <w:spacing w:val="-3"/>
          <w:sz w:val="18"/>
          <w:szCs w:val="18"/>
          <w:vertAlign w:val="superscript"/>
        </w:rPr>
        <w:footnoteRef/>
      </w:r>
      <w:r w:rsidRPr="007247E6">
        <w:rPr>
          <w:rFonts w:ascii="Arial" w:hAnsi="Arial" w:cs="Arial"/>
          <w:spacing w:val="-3"/>
          <w:sz w:val="18"/>
          <w:szCs w:val="18"/>
        </w:rPr>
        <w:t xml:space="preserve"> </w:t>
      </w:r>
      <w:r>
        <w:rPr>
          <w:rFonts w:ascii="Arial" w:hAnsi="Arial" w:cs="Arial"/>
          <w:spacing w:val="-3"/>
          <w:sz w:val="18"/>
          <w:szCs w:val="18"/>
        </w:rPr>
        <w:tab/>
      </w:r>
      <w:r w:rsidRPr="007247E6">
        <w:rPr>
          <w:rFonts w:ascii="Arial" w:hAnsi="Arial" w:cs="Arial"/>
          <w:spacing w:val="-3"/>
          <w:sz w:val="18"/>
          <w:szCs w:val="18"/>
        </w:rPr>
        <w:t>After the first confirmed case of COVID-19 in the country, Guyana took a series of measures aimed at controlling the spread of the pandemic</w:t>
      </w:r>
      <w:r>
        <w:rPr>
          <w:rFonts w:ascii="Arial" w:hAnsi="Arial" w:cs="Arial"/>
          <w:spacing w:val="-3"/>
          <w:sz w:val="18"/>
          <w:szCs w:val="18"/>
        </w:rPr>
        <w:t>, among them</w:t>
      </w:r>
      <w:r w:rsidRPr="007247E6">
        <w:rPr>
          <w:rFonts w:ascii="Arial" w:hAnsi="Arial" w:cs="Arial"/>
          <w:spacing w:val="-3"/>
          <w:sz w:val="18"/>
          <w:szCs w:val="18"/>
        </w:rPr>
        <w:t xml:space="preserve"> borders were closed</w:t>
      </w:r>
      <w:r>
        <w:rPr>
          <w:rFonts w:ascii="Arial" w:hAnsi="Arial" w:cs="Arial"/>
          <w:spacing w:val="-3"/>
          <w:sz w:val="18"/>
          <w:szCs w:val="18"/>
        </w:rPr>
        <w:t xml:space="preserve">, </w:t>
      </w:r>
      <w:r w:rsidRPr="007247E6">
        <w:rPr>
          <w:rFonts w:ascii="Arial" w:hAnsi="Arial" w:cs="Arial"/>
          <w:spacing w:val="-3"/>
          <w:sz w:val="18"/>
          <w:szCs w:val="18"/>
        </w:rPr>
        <w:t>schools and educational centers were shut, international airports were closed</w:t>
      </w:r>
      <w:r>
        <w:rPr>
          <w:rFonts w:ascii="Arial" w:hAnsi="Arial" w:cs="Arial"/>
          <w:spacing w:val="-3"/>
          <w:sz w:val="18"/>
          <w:szCs w:val="18"/>
        </w:rPr>
        <w:t>, l</w:t>
      </w:r>
      <w:r w:rsidRPr="007247E6">
        <w:rPr>
          <w:rFonts w:ascii="Arial" w:hAnsi="Arial" w:cs="Arial"/>
          <w:spacing w:val="-3"/>
          <w:sz w:val="18"/>
          <w:szCs w:val="18"/>
        </w:rPr>
        <w:t>arge gatherings and assemblies were banned</w:t>
      </w:r>
      <w:r>
        <w:rPr>
          <w:rFonts w:ascii="Arial" w:hAnsi="Arial" w:cs="Arial"/>
          <w:spacing w:val="-3"/>
          <w:sz w:val="18"/>
          <w:szCs w:val="18"/>
        </w:rPr>
        <w:t>,</w:t>
      </w:r>
      <w:r w:rsidRPr="007247E6">
        <w:rPr>
          <w:rFonts w:ascii="Arial" w:hAnsi="Arial" w:cs="Arial"/>
          <w:spacing w:val="-3"/>
          <w:sz w:val="18"/>
          <w:szCs w:val="18"/>
        </w:rPr>
        <w:t xml:space="preserve"> a “stay at home” order was stated</w:t>
      </w:r>
      <w:r>
        <w:rPr>
          <w:rFonts w:ascii="Arial" w:hAnsi="Arial" w:cs="Arial"/>
          <w:spacing w:val="-3"/>
          <w:sz w:val="18"/>
          <w:szCs w:val="18"/>
        </w:rPr>
        <w:t xml:space="preserve"> and</w:t>
      </w:r>
      <w:r w:rsidRPr="007247E6">
        <w:rPr>
          <w:rFonts w:ascii="Arial" w:hAnsi="Arial" w:cs="Arial"/>
          <w:spacing w:val="-3"/>
          <w:sz w:val="18"/>
          <w:szCs w:val="18"/>
        </w:rPr>
        <w:t xml:space="preserve"> a mandatory curfew was established, reducing all activities considered non-essential. </w:t>
      </w:r>
      <w:r>
        <w:rPr>
          <w:rFonts w:ascii="Arial" w:hAnsi="Arial" w:cs="Arial"/>
          <w:spacing w:val="-3"/>
          <w:sz w:val="18"/>
          <w:szCs w:val="18"/>
        </w:rPr>
        <w:t>Additionally</w:t>
      </w:r>
      <w:r w:rsidRPr="007247E6">
        <w:rPr>
          <w:rFonts w:ascii="Arial" w:hAnsi="Arial" w:cs="Arial"/>
          <w:spacing w:val="-3"/>
          <w:sz w:val="18"/>
          <w:szCs w:val="18"/>
        </w:rPr>
        <w:t xml:space="preserve">, on March 18, the President enacted a National Public Health Ordinance, asserting that COVID-19 constitutes an emergency that threatens national security and granting comprehensive powers to government, particularly the </w:t>
      </w:r>
      <w:r>
        <w:rPr>
          <w:rFonts w:ascii="Arial" w:hAnsi="Arial" w:cs="Arial"/>
          <w:spacing w:val="-3"/>
          <w:sz w:val="18"/>
          <w:szCs w:val="18"/>
        </w:rPr>
        <w:t>Ministry of Public Health (</w:t>
      </w:r>
      <w:proofErr w:type="spellStart"/>
      <w:r w:rsidRPr="007247E6">
        <w:rPr>
          <w:rFonts w:ascii="Arial" w:hAnsi="Arial" w:cs="Arial"/>
          <w:spacing w:val="-3"/>
          <w:sz w:val="18"/>
          <w:szCs w:val="18"/>
        </w:rPr>
        <w:t>MoPH</w:t>
      </w:r>
      <w:proofErr w:type="spellEnd"/>
      <w:r>
        <w:rPr>
          <w:rFonts w:ascii="Arial" w:hAnsi="Arial" w:cs="Arial"/>
          <w:spacing w:val="-3"/>
          <w:sz w:val="18"/>
          <w:szCs w:val="18"/>
        </w:rPr>
        <w:t>)</w:t>
      </w:r>
      <w:r w:rsidRPr="007247E6">
        <w:rPr>
          <w:rFonts w:ascii="Arial" w:hAnsi="Arial" w:cs="Arial"/>
          <w:spacing w:val="-3"/>
          <w:sz w:val="18"/>
          <w:szCs w:val="18"/>
        </w:rPr>
        <w:t>, to take the necessary measures to control the epidemic.</w:t>
      </w:r>
      <w:r w:rsidRPr="007247E6">
        <w:rPr>
          <w:rStyle w:val="FootnoteReference"/>
          <w:rFonts w:ascii="Arial" w:hAnsi="Arial" w:cs="Arial"/>
          <w:sz w:val="18"/>
          <w:szCs w:val="18"/>
        </w:rPr>
        <w:t xml:space="preserve"> </w:t>
      </w:r>
    </w:p>
  </w:footnote>
  <w:footnote w:id="5">
    <w:p w14:paraId="711B2A9F" w14:textId="77777777" w:rsidR="006C2B33" w:rsidRPr="007247E6" w:rsidRDefault="006C2B33" w:rsidP="006C2B33">
      <w:pPr>
        <w:pStyle w:val="FootnoteText"/>
        <w:spacing w:after="0"/>
        <w:ind w:left="270" w:hanging="270"/>
        <w:rPr>
          <w:rFonts w:ascii="Arial" w:hAnsi="Arial" w:cs="Arial"/>
          <w:sz w:val="18"/>
          <w:szCs w:val="18"/>
        </w:rPr>
      </w:pPr>
      <w:r w:rsidRPr="007247E6">
        <w:rPr>
          <w:rStyle w:val="FootnoteReference"/>
          <w:rFonts w:ascii="Arial" w:hAnsi="Arial" w:cs="Arial"/>
          <w:sz w:val="18"/>
          <w:szCs w:val="18"/>
        </w:rPr>
        <w:footnoteRef/>
      </w:r>
      <w:r w:rsidRPr="007247E6">
        <w:rPr>
          <w:rFonts w:ascii="Arial" w:hAnsi="Arial" w:cs="Arial"/>
          <w:sz w:val="18"/>
          <w:szCs w:val="18"/>
        </w:rPr>
        <w:t xml:space="preserve"> </w:t>
      </w:r>
      <w:r>
        <w:rPr>
          <w:rFonts w:ascii="Arial" w:hAnsi="Arial" w:cs="Arial"/>
          <w:sz w:val="18"/>
          <w:szCs w:val="18"/>
        </w:rPr>
        <w:tab/>
      </w:r>
      <w:r w:rsidRPr="007247E6">
        <w:rPr>
          <w:rFonts w:ascii="Arial" w:hAnsi="Arial" w:cs="Arial"/>
          <w:sz w:val="18"/>
          <w:szCs w:val="18"/>
        </w:rPr>
        <w:t xml:space="preserve">Estimates by PAHO. </w:t>
      </w:r>
    </w:p>
  </w:footnote>
  <w:footnote w:id="6">
    <w:p w14:paraId="3A3EFC6A" w14:textId="77777777" w:rsidR="006C2B33" w:rsidRDefault="006C2B33" w:rsidP="006C2B33">
      <w:pPr>
        <w:pStyle w:val="FootnoteText"/>
        <w:spacing w:after="0"/>
      </w:pPr>
      <w:r w:rsidRPr="005E7BF3">
        <w:rPr>
          <w:rStyle w:val="FootnoteReference"/>
          <w:rFonts w:ascii="Arial" w:hAnsi="Arial" w:cs="Arial"/>
          <w:sz w:val="18"/>
          <w:szCs w:val="18"/>
        </w:rPr>
        <w:footnoteRef/>
      </w:r>
      <w:r w:rsidRPr="005E7BF3">
        <w:rPr>
          <w:rFonts w:ascii="Arial" w:hAnsi="Arial" w:cs="Arial"/>
          <w:sz w:val="18"/>
          <w:szCs w:val="18"/>
        </w:rPr>
        <w:t xml:space="preserve"> </w:t>
      </w:r>
      <w:r w:rsidRPr="005E7BF3">
        <w:rPr>
          <w:rFonts w:ascii="Arial" w:hAnsi="Arial" w:cs="Arial"/>
          <w:sz w:val="18"/>
          <w:szCs w:val="18"/>
        </w:rPr>
        <w:tab/>
      </w:r>
      <w:r w:rsidRPr="00D841A6">
        <w:rPr>
          <w:rFonts w:ascii="Arial" w:hAnsi="Arial" w:cs="Arial"/>
          <w:sz w:val="18"/>
          <w:szCs w:val="18"/>
        </w:rPr>
        <w:t xml:space="preserve">During phase 1, </w:t>
      </w:r>
      <w:r>
        <w:rPr>
          <w:rFonts w:ascii="Arial" w:hAnsi="Arial" w:cs="Arial"/>
          <w:sz w:val="18"/>
          <w:szCs w:val="18"/>
        </w:rPr>
        <w:t>a</w:t>
      </w:r>
      <w:r w:rsidRPr="00D841A6">
        <w:rPr>
          <w:rFonts w:ascii="Arial" w:hAnsi="Arial" w:cs="Arial"/>
          <w:sz w:val="18"/>
          <w:szCs w:val="18"/>
        </w:rPr>
        <w:t xml:space="preserve">ll food establishments will be permitted to operate takeout and delivery, hardware stores will be allowed to operate, exercise for up to 90 minutes </w:t>
      </w:r>
      <w:r>
        <w:rPr>
          <w:rFonts w:ascii="Arial" w:hAnsi="Arial" w:cs="Arial"/>
          <w:sz w:val="18"/>
          <w:szCs w:val="18"/>
        </w:rPr>
        <w:t xml:space="preserve">will be allowed </w:t>
      </w:r>
      <w:r w:rsidRPr="00D841A6">
        <w:rPr>
          <w:rFonts w:ascii="Arial" w:hAnsi="Arial" w:cs="Arial"/>
          <w:sz w:val="18"/>
          <w:szCs w:val="18"/>
        </w:rPr>
        <w:t>in open public spaces, and public transportation will continue to operate at 50% passenger capacity. The stay-at-home order and the curfew remain,</w:t>
      </w:r>
      <w:r>
        <w:rPr>
          <w:rFonts w:ascii="Arial" w:hAnsi="Arial" w:cs="Arial"/>
          <w:sz w:val="18"/>
          <w:szCs w:val="18"/>
        </w:rPr>
        <w:t xml:space="preserve"> </w:t>
      </w:r>
      <w:r w:rsidRPr="00D841A6">
        <w:rPr>
          <w:rFonts w:ascii="Arial" w:hAnsi="Arial" w:cs="Arial"/>
          <w:sz w:val="18"/>
          <w:szCs w:val="18"/>
        </w:rPr>
        <w:t xml:space="preserve">and gatherings of more than five people </w:t>
      </w:r>
      <w:r>
        <w:rPr>
          <w:rFonts w:ascii="Arial" w:hAnsi="Arial" w:cs="Arial"/>
          <w:sz w:val="18"/>
          <w:szCs w:val="18"/>
        </w:rPr>
        <w:t>are</w:t>
      </w:r>
      <w:r w:rsidRPr="00D841A6">
        <w:rPr>
          <w:rFonts w:ascii="Arial" w:hAnsi="Arial" w:cs="Arial"/>
          <w:sz w:val="18"/>
          <w:szCs w:val="18"/>
        </w:rPr>
        <w:t xml:space="preserve"> prohibited.</w:t>
      </w:r>
      <w:r>
        <w:rPr>
          <w:rFonts w:ascii="Arial" w:hAnsi="Arial" w:cs="Arial"/>
          <w:sz w:val="18"/>
          <w:szCs w:val="18"/>
        </w:rPr>
        <w:t xml:space="preserve"> Schools are expected to remain closed until at least September. The opening of Guyana’s international airports would take place on phase 6. </w:t>
      </w:r>
    </w:p>
  </w:footnote>
  <w:footnote w:id="7">
    <w:p w14:paraId="1D6642A8" w14:textId="77777777" w:rsidR="006C2B33" w:rsidRPr="007247E6" w:rsidRDefault="006C2B33" w:rsidP="006C2B33">
      <w:pPr>
        <w:pStyle w:val="FootnoteText"/>
        <w:spacing w:after="0"/>
        <w:ind w:left="270" w:hanging="270"/>
        <w:rPr>
          <w:rFonts w:ascii="Arial" w:hAnsi="Arial" w:cs="Arial"/>
          <w:sz w:val="18"/>
          <w:szCs w:val="18"/>
        </w:rPr>
      </w:pPr>
      <w:r w:rsidRPr="007247E6">
        <w:rPr>
          <w:rStyle w:val="FootnoteReference"/>
          <w:rFonts w:ascii="Arial" w:hAnsi="Arial" w:cs="Arial"/>
          <w:sz w:val="18"/>
          <w:szCs w:val="18"/>
        </w:rPr>
        <w:footnoteRef/>
      </w:r>
      <w:r w:rsidRPr="007247E6">
        <w:rPr>
          <w:rFonts w:ascii="Arial" w:hAnsi="Arial" w:cs="Arial"/>
          <w:sz w:val="18"/>
          <w:szCs w:val="18"/>
        </w:rPr>
        <w:t xml:space="preserve"> </w:t>
      </w:r>
      <w:r>
        <w:rPr>
          <w:rFonts w:ascii="Arial" w:hAnsi="Arial" w:cs="Arial"/>
          <w:sz w:val="18"/>
          <w:szCs w:val="18"/>
        </w:rPr>
        <w:tab/>
      </w:r>
      <w:r w:rsidRPr="007247E6">
        <w:rPr>
          <w:rFonts w:ascii="Arial" w:hAnsi="Arial" w:cs="Arial"/>
          <w:sz w:val="18"/>
          <w:szCs w:val="18"/>
        </w:rPr>
        <w:t xml:space="preserve">As with other countries in LAC </w:t>
      </w:r>
      <w:r>
        <w:rPr>
          <w:rFonts w:ascii="Arial" w:hAnsi="Arial" w:cs="Arial"/>
          <w:sz w:val="18"/>
          <w:szCs w:val="18"/>
        </w:rPr>
        <w:t>and the world</w:t>
      </w:r>
      <w:r w:rsidRPr="007247E6">
        <w:rPr>
          <w:rFonts w:ascii="Arial" w:hAnsi="Arial" w:cs="Arial"/>
          <w:sz w:val="18"/>
          <w:szCs w:val="18"/>
        </w:rPr>
        <w:t>, Guyana has been facing a lot of social and economic pressure to start loosening some of the restrictions imposed to slow the spread of the pandemic. Most countries have started lifting measures as they approach a R</w:t>
      </w:r>
      <w:r w:rsidRPr="007247E6">
        <w:rPr>
          <w:rFonts w:ascii="Arial" w:hAnsi="Arial" w:cs="Arial"/>
          <w:sz w:val="18"/>
          <w:szCs w:val="18"/>
          <w:vertAlign w:val="subscript"/>
        </w:rPr>
        <w:t>e</w:t>
      </w:r>
      <w:r w:rsidRPr="007247E6">
        <w:rPr>
          <w:rFonts w:ascii="Arial" w:hAnsi="Arial" w:cs="Arial"/>
          <w:sz w:val="18"/>
          <w:szCs w:val="18"/>
        </w:rPr>
        <w:t xml:space="preserve"> closer to 1 (at a R</w:t>
      </w:r>
      <w:r w:rsidRPr="007247E6">
        <w:rPr>
          <w:rFonts w:ascii="Arial" w:hAnsi="Arial" w:cs="Arial"/>
          <w:sz w:val="18"/>
          <w:szCs w:val="18"/>
          <w:vertAlign w:val="subscript"/>
        </w:rPr>
        <w:t xml:space="preserve">e </w:t>
      </w:r>
      <w:r w:rsidRPr="007247E6">
        <w:rPr>
          <w:rFonts w:ascii="Arial" w:hAnsi="Arial" w:cs="Arial"/>
          <w:sz w:val="18"/>
          <w:szCs w:val="18"/>
        </w:rPr>
        <w:t xml:space="preserve">of less than 1, the epidemic tends to </w:t>
      </w:r>
      <w:r>
        <w:rPr>
          <w:rFonts w:ascii="Arial" w:hAnsi="Arial" w:cs="Arial"/>
          <w:sz w:val="18"/>
          <w:szCs w:val="18"/>
        </w:rPr>
        <w:t>die out</w:t>
      </w:r>
      <w:r w:rsidRPr="007247E6">
        <w:rPr>
          <w:rFonts w:ascii="Arial" w:hAnsi="Arial" w:cs="Arial"/>
          <w:sz w:val="18"/>
          <w:szCs w:val="18"/>
        </w:rPr>
        <w:t xml:space="preserve">). </w:t>
      </w:r>
      <w:r>
        <w:rPr>
          <w:rFonts w:ascii="Arial" w:hAnsi="Arial" w:cs="Arial"/>
          <w:sz w:val="18"/>
          <w:szCs w:val="18"/>
        </w:rPr>
        <w:t>As Guyana starts to lift</w:t>
      </w:r>
      <w:r w:rsidRPr="007247E6">
        <w:rPr>
          <w:rFonts w:ascii="Arial" w:hAnsi="Arial" w:cs="Arial"/>
          <w:sz w:val="18"/>
          <w:szCs w:val="18"/>
        </w:rPr>
        <w:t xml:space="preserve"> NPIs and social distancing measures</w:t>
      </w:r>
      <w:r>
        <w:rPr>
          <w:rFonts w:ascii="Arial" w:hAnsi="Arial" w:cs="Arial"/>
          <w:sz w:val="18"/>
          <w:szCs w:val="18"/>
        </w:rPr>
        <w:t>,</w:t>
      </w:r>
      <w:r w:rsidRPr="007247E6">
        <w:rPr>
          <w:rFonts w:ascii="Arial" w:hAnsi="Arial" w:cs="Arial"/>
          <w:sz w:val="18"/>
          <w:szCs w:val="18"/>
        </w:rPr>
        <w:t xml:space="preserve"> </w:t>
      </w:r>
      <w:r>
        <w:rPr>
          <w:rFonts w:ascii="Arial" w:hAnsi="Arial" w:cs="Arial"/>
          <w:sz w:val="18"/>
          <w:szCs w:val="18"/>
        </w:rPr>
        <w:t xml:space="preserve">the </w:t>
      </w:r>
      <w:r w:rsidRPr="007247E6">
        <w:rPr>
          <w:rFonts w:ascii="Arial" w:hAnsi="Arial" w:cs="Arial"/>
          <w:sz w:val="18"/>
          <w:szCs w:val="18"/>
        </w:rPr>
        <w:t xml:space="preserve">Re </w:t>
      </w:r>
      <w:r>
        <w:rPr>
          <w:rFonts w:ascii="Arial" w:hAnsi="Arial" w:cs="Arial"/>
          <w:sz w:val="18"/>
          <w:szCs w:val="18"/>
        </w:rPr>
        <w:t xml:space="preserve">is estimated to gradually rise </w:t>
      </w:r>
      <w:r w:rsidRPr="007247E6">
        <w:rPr>
          <w:rFonts w:ascii="Arial" w:hAnsi="Arial" w:cs="Arial"/>
          <w:sz w:val="18"/>
          <w:szCs w:val="18"/>
        </w:rPr>
        <w:t>to about 2.</w:t>
      </w:r>
    </w:p>
  </w:footnote>
  <w:footnote w:id="8">
    <w:p w14:paraId="37C3455E" w14:textId="77777777" w:rsidR="006C2B33" w:rsidRPr="00D96B87" w:rsidRDefault="006C2B33" w:rsidP="006C2B33">
      <w:pPr>
        <w:pStyle w:val="FootnoteText"/>
        <w:spacing w:after="0"/>
        <w:rPr>
          <w:rFonts w:ascii="Arial" w:hAnsi="Arial" w:cs="Arial"/>
          <w:sz w:val="18"/>
          <w:szCs w:val="18"/>
        </w:rPr>
      </w:pPr>
      <w:r w:rsidRPr="00D96B87">
        <w:rPr>
          <w:rStyle w:val="FootnoteReference"/>
          <w:rFonts w:ascii="Arial" w:hAnsi="Arial" w:cs="Arial"/>
          <w:sz w:val="18"/>
          <w:szCs w:val="18"/>
        </w:rPr>
        <w:footnoteRef/>
      </w:r>
      <w:r w:rsidRPr="00D96B87">
        <w:rPr>
          <w:rFonts w:ascii="Arial" w:hAnsi="Arial" w:cs="Arial"/>
          <w:sz w:val="18"/>
          <w:szCs w:val="18"/>
        </w:rPr>
        <w:t xml:space="preserve"> </w:t>
      </w:r>
      <w:r w:rsidRPr="00D96B87">
        <w:rPr>
          <w:rFonts w:ascii="Arial" w:hAnsi="Arial" w:cs="Arial"/>
          <w:sz w:val="18"/>
          <w:szCs w:val="18"/>
        </w:rPr>
        <w:tab/>
      </w:r>
      <w:r>
        <w:rPr>
          <w:rFonts w:ascii="Arial" w:hAnsi="Arial" w:cs="Arial"/>
          <w:sz w:val="18"/>
          <w:szCs w:val="18"/>
        </w:rPr>
        <w:t>T</w:t>
      </w:r>
      <w:r w:rsidRPr="00D96B87">
        <w:rPr>
          <w:rFonts w:ascii="Arial" w:hAnsi="Arial" w:cs="Arial"/>
          <w:sz w:val="18"/>
          <w:szCs w:val="18"/>
        </w:rPr>
        <w:t>he SPRP</w:t>
      </w:r>
      <w:r>
        <w:rPr>
          <w:rFonts w:ascii="Arial" w:hAnsi="Arial" w:cs="Arial"/>
          <w:sz w:val="18"/>
          <w:szCs w:val="18"/>
        </w:rPr>
        <w:t xml:space="preserve"> proposes eight pillars of intervention: </w:t>
      </w:r>
      <w:r w:rsidRPr="00F919FB">
        <w:rPr>
          <w:rFonts w:ascii="Arial" w:hAnsi="Arial" w:cs="Arial"/>
          <w:sz w:val="18"/>
          <w:szCs w:val="18"/>
        </w:rPr>
        <w:t xml:space="preserve">(i) coordination, planning, and monitoring; (ii) risk communication and community engagement; (iii) surveillance, rapid-response teams, and case investigation; (iv) points of entry; (v) national laboratories; (vi) infection prevention and control; (vii) case management; and (viii) operational support and logistics. There is evidence of the effectiveness of the proposed interventions (optional link </w:t>
      </w:r>
      <w:r>
        <w:rPr>
          <w:rFonts w:ascii="Arial" w:hAnsi="Arial" w:cs="Arial"/>
          <w:sz w:val="18"/>
          <w:szCs w:val="18"/>
        </w:rPr>
        <w:t>5</w:t>
      </w:r>
      <w:r w:rsidRPr="00F919FB">
        <w:rPr>
          <w:rFonts w:ascii="Arial" w:hAnsi="Arial" w:cs="Arial"/>
          <w:sz w:val="18"/>
          <w:szCs w:val="18"/>
        </w:rPr>
        <w:t>)</w:t>
      </w:r>
    </w:p>
  </w:footnote>
  <w:footnote w:id="9">
    <w:p w14:paraId="306F4F35" w14:textId="77777777" w:rsidR="006C2B33" w:rsidRPr="0080307F" w:rsidRDefault="006C2B33" w:rsidP="006C2B33">
      <w:pPr>
        <w:pStyle w:val="FootnoteText"/>
        <w:spacing w:after="0"/>
        <w:rPr>
          <w:rFonts w:ascii="Arial" w:hAnsi="Arial" w:cs="Arial"/>
          <w:sz w:val="18"/>
          <w:szCs w:val="18"/>
        </w:rPr>
      </w:pPr>
      <w:r w:rsidRPr="0080307F">
        <w:rPr>
          <w:rStyle w:val="FootnoteReference"/>
          <w:rFonts w:ascii="Arial" w:hAnsi="Arial" w:cs="Arial"/>
          <w:sz w:val="18"/>
          <w:szCs w:val="18"/>
        </w:rPr>
        <w:footnoteRef/>
      </w:r>
      <w:r w:rsidRPr="0080307F">
        <w:rPr>
          <w:rFonts w:ascii="Arial" w:hAnsi="Arial" w:cs="Arial"/>
          <w:sz w:val="18"/>
          <w:szCs w:val="18"/>
        </w:rPr>
        <w:t xml:space="preserve"> </w:t>
      </w:r>
      <w:r>
        <w:rPr>
          <w:rFonts w:ascii="Arial" w:hAnsi="Arial" w:cs="Arial"/>
          <w:sz w:val="18"/>
          <w:szCs w:val="18"/>
        </w:rPr>
        <w:tab/>
      </w:r>
      <w:r w:rsidRPr="0080307F">
        <w:rPr>
          <w:rFonts w:ascii="Arial" w:hAnsi="Arial" w:cs="Arial"/>
          <w:sz w:val="18"/>
          <w:szCs w:val="18"/>
        </w:rPr>
        <w:t>The sectors with the greatest estimated growth rates in 2019 include construction, and finance and insurance, growing 10.5 percent and 6 percent, respectively. Other areas of significant growth include real estate activities and wholesale and retail trade with grow rates of 5.5 percent</w:t>
      </w:r>
    </w:p>
  </w:footnote>
  <w:footnote w:id="10">
    <w:p w14:paraId="393E61FF" w14:textId="77777777" w:rsidR="006C2B33" w:rsidRPr="00406854" w:rsidRDefault="006C2B33" w:rsidP="006C2B33">
      <w:pPr>
        <w:pStyle w:val="FootnoteText"/>
        <w:spacing w:after="0"/>
        <w:rPr>
          <w:rFonts w:ascii="Arial" w:hAnsi="Arial" w:cs="Arial"/>
          <w:sz w:val="18"/>
          <w:szCs w:val="18"/>
        </w:rPr>
      </w:pPr>
      <w:r w:rsidRPr="00406854">
        <w:rPr>
          <w:rStyle w:val="FootnoteReference"/>
          <w:rFonts w:ascii="Arial" w:hAnsi="Arial" w:cs="Arial"/>
          <w:sz w:val="18"/>
          <w:szCs w:val="18"/>
        </w:rPr>
        <w:footnoteRef/>
      </w:r>
      <w:r w:rsidRPr="00406854">
        <w:rPr>
          <w:rFonts w:ascii="Arial" w:hAnsi="Arial" w:cs="Arial"/>
          <w:sz w:val="18"/>
          <w:szCs w:val="18"/>
        </w:rPr>
        <w:t xml:space="preserve"> </w:t>
      </w:r>
      <w:r w:rsidRPr="00406854">
        <w:rPr>
          <w:rFonts w:ascii="Arial" w:hAnsi="Arial" w:cs="Arial"/>
          <w:sz w:val="18"/>
          <w:szCs w:val="18"/>
        </w:rPr>
        <w:tab/>
        <w:t xml:space="preserve">The IMF </w:t>
      </w:r>
      <w:r>
        <w:rPr>
          <w:rFonts w:ascii="Arial" w:hAnsi="Arial" w:cs="Arial"/>
          <w:sz w:val="18"/>
          <w:szCs w:val="18"/>
        </w:rPr>
        <w:t xml:space="preserve">cut the country’s GDP growth in 2020 from 85.5% to 52.8%.  </w:t>
      </w:r>
    </w:p>
  </w:footnote>
  <w:footnote w:id="11">
    <w:p w14:paraId="294240E4" w14:textId="77777777" w:rsidR="006C2B33" w:rsidRPr="00DE502D" w:rsidRDefault="006C2B33" w:rsidP="006C2B33">
      <w:pPr>
        <w:pStyle w:val="FootnoteText"/>
        <w:spacing w:after="0"/>
        <w:rPr>
          <w:rFonts w:ascii="Arial" w:hAnsi="Arial" w:cs="Arial"/>
          <w:sz w:val="18"/>
          <w:szCs w:val="18"/>
        </w:rPr>
      </w:pPr>
      <w:r w:rsidRPr="00DE502D">
        <w:rPr>
          <w:rStyle w:val="FootnoteReference"/>
          <w:rFonts w:ascii="Arial" w:hAnsi="Arial" w:cs="Arial"/>
          <w:sz w:val="18"/>
          <w:szCs w:val="18"/>
        </w:rPr>
        <w:footnoteRef/>
      </w:r>
      <w:r w:rsidRPr="00DE502D">
        <w:rPr>
          <w:rFonts w:ascii="Arial" w:hAnsi="Arial" w:cs="Arial"/>
          <w:sz w:val="18"/>
          <w:szCs w:val="18"/>
        </w:rPr>
        <w:t xml:space="preserve"> </w:t>
      </w:r>
      <w:r w:rsidRPr="00DE502D">
        <w:rPr>
          <w:rFonts w:ascii="Arial" w:hAnsi="Arial" w:cs="Arial"/>
          <w:sz w:val="18"/>
          <w:szCs w:val="18"/>
        </w:rPr>
        <w:tab/>
        <w:t>World Economic Outlook. International Monetary Fund, 04/2020; Bank of Guyana, 2019</w:t>
      </w:r>
      <w:r w:rsidRPr="00EB70FB">
        <w:rPr>
          <w:rFonts w:ascii="Arial" w:hAnsi="Arial" w:cs="Arial"/>
          <w:sz w:val="18"/>
          <w:szCs w:val="18"/>
        </w:rPr>
        <w:t>.</w:t>
      </w:r>
    </w:p>
  </w:footnote>
  <w:footnote w:id="12">
    <w:p w14:paraId="6DC028B7" w14:textId="77777777" w:rsidR="006C2B33" w:rsidRPr="00DE502D" w:rsidRDefault="006C2B33" w:rsidP="006C2B33">
      <w:pPr>
        <w:pStyle w:val="FootnoteText"/>
        <w:spacing w:after="0"/>
        <w:rPr>
          <w:rFonts w:ascii="Arial" w:hAnsi="Arial" w:cs="Arial"/>
          <w:sz w:val="18"/>
          <w:szCs w:val="18"/>
        </w:rPr>
      </w:pPr>
      <w:r w:rsidRPr="00E44603">
        <w:rPr>
          <w:rStyle w:val="FootnoteReference"/>
          <w:rFonts w:ascii="Arial" w:hAnsi="Arial" w:cs="Arial"/>
          <w:sz w:val="18"/>
          <w:szCs w:val="18"/>
        </w:rPr>
        <w:footnoteRef/>
      </w:r>
      <w:r w:rsidRPr="00E44603">
        <w:rPr>
          <w:rFonts w:ascii="Arial" w:hAnsi="Arial" w:cs="Arial"/>
          <w:sz w:val="18"/>
          <w:szCs w:val="18"/>
        </w:rPr>
        <w:t xml:space="preserve"> </w:t>
      </w:r>
      <w:r w:rsidRPr="00E44603">
        <w:rPr>
          <w:rFonts w:ascii="Arial" w:hAnsi="Arial" w:cs="Arial"/>
          <w:sz w:val="18"/>
          <w:szCs w:val="18"/>
        </w:rPr>
        <w:tab/>
        <w:t>The NRF currently holds approximately US$ 95 million and it is estimated to reach around US$ 115 million in 2020.</w:t>
      </w:r>
      <w:r>
        <w:rPr>
          <w:rFonts w:ascii="Arial" w:hAnsi="Arial" w:cs="Arial"/>
          <w:sz w:val="18"/>
          <w:szCs w:val="18"/>
        </w:rPr>
        <w:t xml:space="preserve"> Resources from the NRF </w:t>
      </w:r>
      <w:r w:rsidRPr="002A7C80">
        <w:rPr>
          <w:rFonts w:ascii="Arial" w:hAnsi="Arial" w:cs="Arial"/>
          <w:sz w:val="18"/>
          <w:szCs w:val="18"/>
        </w:rPr>
        <w:t>can</w:t>
      </w:r>
      <w:r>
        <w:rPr>
          <w:rFonts w:ascii="Arial" w:hAnsi="Arial" w:cs="Arial"/>
          <w:sz w:val="18"/>
          <w:szCs w:val="18"/>
        </w:rPr>
        <w:t xml:space="preserve"> only </w:t>
      </w:r>
      <w:r w:rsidRPr="002A7C80">
        <w:rPr>
          <w:rFonts w:ascii="Arial" w:hAnsi="Arial" w:cs="Arial"/>
          <w:sz w:val="18"/>
          <w:szCs w:val="18"/>
        </w:rPr>
        <w:t xml:space="preserve">be </w:t>
      </w:r>
      <w:r>
        <w:rPr>
          <w:rFonts w:ascii="Arial" w:hAnsi="Arial" w:cs="Arial"/>
          <w:sz w:val="18"/>
          <w:szCs w:val="18"/>
        </w:rPr>
        <w:t xml:space="preserve">withdrawn with </w:t>
      </w:r>
      <w:r w:rsidRPr="002A7C80">
        <w:rPr>
          <w:rFonts w:ascii="Arial" w:hAnsi="Arial" w:cs="Arial"/>
          <w:sz w:val="18"/>
          <w:szCs w:val="18"/>
        </w:rPr>
        <w:t>Parliament</w:t>
      </w:r>
      <w:r>
        <w:rPr>
          <w:rFonts w:ascii="Arial" w:hAnsi="Arial" w:cs="Arial"/>
          <w:sz w:val="18"/>
          <w:szCs w:val="18"/>
        </w:rPr>
        <w:t xml:space="preserve"> approval and subject to the limits of an </w:t>
      </w:r>
      <w:r w:rsidRPr="001B3701">
        <w:rPr>
          <w:rFonts w:ascii="Arial" w:hAnsi="Arial" w:cs="Arial"/>
          <w:sz w:val="18"/>
          <w:szCs w:val="18"/>
        </w:rPr>
        <w:t xml:space="preserve">Economically and </w:t>
      </w:r>
      <w:r>
        <w:rPr>
          <w:rFonts w:ascii="Arial" w:hAnsi="Arial" w:cs="Arial"/>
          <w:sz w:val="18"/>
          <w:szCs w:val="18"/>
        </w:rPr>
        <w:t>F</w:t>
      </w:r>
      <w:r w:rsidRPr="001B3701">
        <w:rPr>
          <w:rFonts w:ascii="Arial" w:hAnsi="Arial" w:cs="Arial"/>
          <w:sz w:val="18"/>
          <w:szCs w:val="18"/>
        </w:rPr>
        <w:t>iscally Sustainable</w:t>
      </w:r>
      <w:r>
        <w:rPr>
          <w:rFonts w:ascii="Arial" w:hAnsi="Arial" w:cs="Arial"/>
          <w:sz w:val="18"/>
          <w:szCs w:val="18"/>
        </w:rPr>
        <w:t xml:space="preserve"> amount.</w:t>
      </w:r>
    </w:p>
  </w:footnote>
  <w:footnote w:id="13">
    <w:p w14:paraId="7FE6F607" w14:textId="77777777" w:rsidR="006C2B33" w:rsidRPr="00DE502D" w:rsidRDefault="006C2B33" w:rsidP="006C2B33">
      <w:pPr>
        <w:pStyle w:val="FootnoteText"/>
        <w:spacing w:after="0"/>
        <w:rPr>
          <w:rFonts w:ascii="Arial" w:hAnsi="Arial" w:cs="Arial"/>
          <w:sz w:val="18"/>
          <w:szCs w:val="18"/>
        </w:rPr>
      </w:pPr>
      <w:r w:rsidRPr="00DE502D">
        <w:rPr>
          <w:rStyle w:val="FootnoteReference"/>
          <w:rFonts w:ascii="Arial" w:hAnsi="Arial" w:cs="Arial"/>
          <w:sz w:val="18"/>
          <w:szCs w:val="18"/>
        </w:rPr>
        <w:footnoteRef/>
      </w:r>
      <w:r w:rsidRPr="00DE502D">
        <w:rPr>
          <w:rFonts w:ascii="Arial" w:hAnsi="Arial" w:cs="Arial"/>
          <w:sz w:val="18"/>
          <w:szCs w:val="18"/>
        </w:rPr>
        <w:t xml:space="preserve"> </w:t>
      </w:r>
      <w:r w:rsidRPr="00DE502D">
        <w:rPr>
          <w:rFonts w:ascii="Arial" w:hAnsi="Arial" w:cs="Arial"/>
          <w:sz w:val="18"/>
          <w:szCs w:val="18"/>
        </w:rPr>
        <w:tab/>
        <w:t>World Economic Outlook. International Monetary Fund, 04/2020</w:t>
      </w:r>
      <w:r>
        <w:rPr>
          <w:rFonts w:ascii="Arial" w:hAnsi="Arial" w:cs="Arial"/>
          <w:sz w:val="18"/>
          <w:szCs w:val="18"/>
        </w:rPr>
        <w:t>.</w:t>
      </w:r>
    </w:p>
  </w:footnote>
  <w:footnote w:id="14">
    <w:p w14:paraId="5A796CFE" w14:textId="77777777" w:rsidR="006C2B33" w:rsidRPr="00E44603" w:rsidRDefault="006C2B33" w:rsidP="006C2B33">
      <w:pPr>
        <w:pStyle w:val="FootnoteText"/>
        <w:spacing w:after="0"/>
        <w:rPr>
          <w:rFonts w:ascii="Arial" w:hAnsi="Arial" w:cs="Arial"/>
          <w:sz w:val="18"/>
          <w:szCs w:val="18"/>
        </w:rPr>
      </w:pPr>
      <w:r w:rsidRPr="00DE502D">
        <w:rPr>
          <w:rStyle w:val="FootnoteReference"/>
          <w:rFonts w:ascii="Arial" w:hAnsi="Arial" w:cs="Arial"/>
          <w:sz w:val="18"/>
          <w:szCs w:val="18"/>
        </w:rPr>
        <w:footnoteRef/>
      </w:r>
      <w:r w:rsidRPr="00DE502D">
        <w:rPr>
          <w:rFonts w:ascii="Arial" w:hAnsi="Arial" w:cs="Arial"/>
          <w:sz w:val="18"/>
          <w:szCs w:val="18"/>
        </w:rPr>
        <w:t xml:space="preserve"> </w:t>
      </w:r>
      <w:r>
        <w:rPr>
          <w:rFonts w:ascii="Arial" w:hAnsi="Arial" w:cs="Arial"/>
          <w:sz w:val="18"/>
          <w:szCs w:val="18"/>
        </w:rPr>
        <w:tab/>
      </w:r>
      <w:r w:rsidRPr="00EF020A">
        <w:rPr>
          <w:rFonts w:ascii="Arial" w:hAnsi="Arial" w:cs="Arial"/>
          <w:sz w:val="18"/>
          <w:szCs w:val="18"/>
        </w:rPr>
        <w:t xml:space="preserve">The results of a close-run election held on March </w:t>
      </w:r>
      <w:r>
        <w:rPr>
          <w:rFonts w:ascii="Arial" w:hAnsi="Arial" w:cs="Arial"/>
          <w:sz w:val="18"/>
          <w:szCs w:val="18"/>
        </w:rPr>
        <w:t>2</w:t>
      </w:r>
      <w:r w:rsidRPr="00EF020A">
        <w:rPr>
          <w:rFonts w:ascii="Arial" w:hAnsi="Arial" w:cs="Arial"/>
          <w:sz w:val="18"/>
          <w:szCs w:val="18"/>
          <w:vertAlign w:val="superscript"/>
        </w:rPr>
        <w:t>nd</w:t>
      </w:r>
      <w:r>
        <w:rPr>
          <w:rFonts w:ascii="Arial" w:hAnsi="Arial" w:cs="Arial"/>
          <w:sz w:val="18"/>
          <w:szCs w:val="18"/>
        </w:rPr>
        <w:t xml:space="preserve">, </w:t>
      </w:r>
      <w:r w:rsidRPr="00EF020A">
        <w:rPr>
          <w:rFonts w:ascii="Arial" w:hAnsi="Arial" w:cs="Arial"/>
          <w:sz w:val="18"/>
          <w:szCs w:val="18"/>
        </w:rPr>
        <w:t xml:space="preserve">2020, is delaying the </w:t>
      </w:r>
      <w:r>
        <w:rPr>
          <w:rFonts w:ascii="Arial" w:hAnsi="Arial" w:cs="Arial"/>
          <w:sz w:val="18"/>
          <w:szCs w:val="18"/>
        </w:rPr>
        <w:t xml:space="preserve">installation of a new </w:t>
      </w:r>
      <w:r w:rsidRPr="00E44603">
        <w:rPr>
          <w:rFonts w:ascii="Arial" w:hAnsi="Arial" w:cs="Arial"/>
          <w:sz w:val="18"/>
          <w:szCs w:val="18"/>
        </w:rPr>
        <w:t>Parliament</w:t>
      </w:r>
      <w:r>
        <w:rPr>
          <w:rFonts w:ascii="Arial" w:hAnsi="Arial" w:cs="Arial"/>
          <w:sz w:val="18"/>
          <w:szCs w:val="18"/>
        </w:rPr>
        <w:t>. The former parliament</w:t>
      </w:r>
      <w:r w:rsidRPr="00E44603">
        <w:rPr>
          <w:rFonts w:ascii="Arial" w:hAnsi="Arial" w:cs="Arial"/>
          <w:sz w:val="18"/>
          <w:szCs w:val="18"/>
        </w:rPr>
        <w:t xml:space="preserve"> was dissolved at the end of 2019.</w:t>
      </w:r>
    </w:p>
  </w:footnote>
  <w:footnote w:id="15">
    <w:p w14:paraId="30564C07" w14:textId="77777777" w:rsidR="002E4CD4" w:rsidRPr="00CB20E3" w:rsidRDefault="002E4CD4" w:rsidP="002E4CD4">
      <w:pPr>
        <w:pStyle w:val="FootnoteText"/>
        <w:spacing w:after="0"/>
        <w:rPr>
          <w:rFonts w:ascii="Arial" w:hAnsi="Arial" w:cs="Arial"/>
          <w:sz w:val="18"/>
          <w:szCs w:val="18"/>
        </w:rPr>
      </w:pPr>
      <w:r w:rsidRPr="00025A1B">
        <w:rPr>
          <w:rStyle w:val="FootnoteReference"/>
          <w:rFonts w:ascii="Arial" w:hAnsi="Arial" w:cs="Arial"/>
          <w:sz w:val="18"/>
          <w:szCs w:val="18"/>
        </w:rPr>
        <w:footnoteRef/>
      </w:r>
      <w:r w:rsidRPr="00025A1B">
        <w:rPr>
          <w:rFonts w:ascii="Arial" w:hAnsi="Arial" w:cs="Arial"/>
          <w:sz w:val="18"/>
          <w:szCs w:val="18"/>
        </w:rPr>
        <w:t xml:space="preserve"> </w:t>
      </w:r>
      <w:r w:rsidRPr="00025A1B">
        <w:rPr>
          <w:rFonts w:ascii="Arial" w:hAnsi="Arial" w:cs="Arial"/>
          <w:sz w:val="18"/>
          <w:szCs w:val="18"/>
        </w:rPr>
        <w:tab/>
        <w:t>IDB calculations based on Operational Planning Guidelines to Support Country Preparedness and Response, WHO, 2020 for 100 cases and a 3-month period excluding international staff and training. Estimates depend largely on underlying starting conditions of equipment and human resources.</w:t>
      </w:r>
    </w:p>
  </w:footnote>
  <w:footnote w:id="16">
    <w:p w14:paraId="79AF726B" w14:textId="77777777" w:rsidR="002E4CD4" w:rsidRPr="00CE596A" w:rsidRDefault="002E4CD4" w:rsidP="002E4CD4">
      <w:pPr>
        <w:pStyle w:val="FootnoteText"/>
        <w:spacing w:after="0"/>
        <w:rPr>
          <w:rFonts w:ascii="Arial" w:hAnsi="Arial" w:cs="Arial"/>
        </w:rPr>
      </w:pPr>
      <w:r w:rsidRPr="00CE596A">
        <w:rPr>
          <w:rStyle w:val="FootnoteReference"/>
          <w:rFonts w:ascii="Arial" w:hAnsi="Arial" w:cs="Arial"/>
          <w:sz w:val="18"/>
          <w:szCs w:val="18"/>
        </w:rPr>
        <w:footnoteRef/>
      </w:r>
      <w:r w:rsidRPr="00CE596A">
        <w:rPr>
          <w:rFonts w:ascii="Arial" w:hAnsi="Arial" w:cs="Arial"/>
          <w:sz w:val="18"/>
          <w:szCs w:val="18"/>
        </w:rPr>
        <w:t xml:space="preserve"> </w:t>
      </w:r>
      <w:r>
        <w:rPr>
          <w:rFonts w:ascii="Arial" w:hAnsi="Arial" w:cs="Arial"/>
          <w:sz w:val="18"/>
          <w:szCs w:val="18"/>
        </w:rPr>
        <w:tab/>
      </w:r>
      <w:r w:rsidRPr="00CE596A">
        <w:rPr>
          <w:rFonts w:ascii="Arial" w:hAnsi="Arial" w:cs="Arial"/>
          <w:sz w:val="18"/>
          <w:szCs w:val="18"/>
        </w:rPr>
        <w:t xml:space="preserve">Budget figures were calculated, assuming 1,400 confirmed cases in Guyana, 28,000 suspect cases tested, 8,400 contacts identified from COVID-19 positive cases of which 70% quarantine in a facility supervised by </w:t>
      </w:r>
      <w:proofErr w:type="spellStart"/>
      <w:r w:rsidRPr="00CE596A">
        <w:rPr>
          <w:rFonts w:ascii="Arial" w:hAnsi="Arial" w:cs="Arial"/>
          <w:sz w:val="18"/>
          <w:szCs w:val="18"/>
        </w:rPr>
        <w:t>MoPH</w:t>
      </w:r>
      <w:proofErr w:type="spellEnd"/>
      <w:r>
        <w:rPr>
          <w:rFonts w:ascii="Arial" w:hAnsi="Arial" w:cs="Arial"/>
          <w:sz w:val="18"/>
          <w:szCs w:val="18"/>
        </w:rPr>
        <w:t>.</w:t>
      </w:r>
    </w:p>
  </w:footnote>
  <w:footnote w:id="17">
    <w:p w14:paraId="70F15DAA" w14:textId="77777777" w:rsidR="00617868" w:rsidRPr="00C32D60" w:rsidRDefault="00617868" w:rsidP="00617868">
      <w:pPr>
        <w:pStyle w:val="FootnoteText"/>
        <w:spacing w:after="0"/>
        <w:rPr>
          <w:rFonts w:ascii="Arial" w:hAnsi="Arial" w:cs="Arial"/>
        </w:rPr>
      </w:pPr>
      <w:r w:rsidRPr="00C32D60">
        <w:rPr>
          <w:rStyle w:val="FootnoteReference"/>
          <w:rFonts w:ascii="Arial" w:hAnsi="Arial" w:cs="Arial"/>
          <w:sz w:val="18"/>
          <w:szCs w:val="18"/>
        </w:rPr>
        <w:footnoteRef/>
      </w:r>
      <w:r w:rsidRPr="00C32D60">
        <w:rPr>
          <w:rFonts w:ascii="Arial" w:hAnsi="Arial" w:cs="Arial"/>
          <w:sz w:val="18"/>
          <w:szCs w:val="18"/>
        </w:rPr>
        <w:t xml:space="preserve"> </w:t>
      </w:r>
      <w:r w:rsidRPr="00C32D60">
        <w:rPr>
          <w:rFonts w:ascii="Arial" w:hAnsi="Arial" w:cs="Arial"/>
          <w:sz w:val="18"/>
          <w:szCs w:val="18"/>
        </w:rPr>
        <w:tab/>
        <w:t xml:space="preserve">WHO (2018). </w:t>
      </w:r>
      <w:hyperlink r:id="rId3" w:history="1">
        <w:r w:rsidRPr="00C32D60">
          <w:rPr>
            <w:rStyle w:val="Hyperlink"/>
            <w:rFonts w:ascii="Arial" w:hAnsi="Arial" w:cs="Arial"/>
            <w:sz w:val="18"/>
            <w:szCs w:val="18"/>
          </w:rPr>
          <w:t>Managing Epidemics</w:t>
        </w:r>
      </w:hyperlink>
      <w:r w:rsidRPr="00C32D60">
        <w:rPr>
          <w:rFonts w:ascii="Arial" w:hAnsi="Arial" w:cs="Arial"/>
          <w:sz w:val="18"/>
          <w:szCs w:val="18"/>
        </w:rPr>
        <w:t>.</w:t>
      </w:r>
    </w:p>
  </w:footnote>
  <w:footnote w:id="18">
    <w:p w14:paraId="4E015F93" w14:textId="47D8615D" w:rsidR="00352CFD" w:rsidRPr="00167836" w:rsidRDefault="00352CFD" w:rsidP="00352CFD">
      <w:pPr>
        <w:pStyle w:val="FootnoteText"/>
        <w:tabs>
          <w:tab w:val="left" w:pos="180"/>
        </w:tabs>
        <w:spacing w:after="0"/>
        <w:ind w:left="270" w:hanging="270"/>
        <w:rPr>
          <w:rFonts w:ascii="Arial" w:hAnsi="Arial" w:cs="Arial"/>
          <w:sz w:val="18"/>
          <w:szCs w:val="18"/>
        </w:rPr>
      </w:pPr>
      <w:r w:rsidRPr="00167836">
        <w:rPr>
          <w:rStyle w:val="FootnoteReference"/>
          <w:rFonts w:ascii="Arial" w:hAnsi="Arial" w:cs="Arial"/>
          <w:sz w:val="18"/>
          <w:szCs w:val="18"/>
        </w:rPr>
        <w:footnoteRef/>
      </w:r>
      <w:r w:rsidRPr="00167836">
        <w:rPr>
          <w:rFonts w:ascii="Arial" w:hAnsi="Arial" w:cs="Arial"/>
          <w:sz w:val="18"/>
          <w:szCs w:val="18"/>
        </w:rPr>
        <w:t xml:space="preserve"> </w:t>
      </w:r>
      <w:r>
        <w:rPr>
          <w:rFonts w:ascii="Arial" w:hAnsi="Arial" w:cs="Arial"/>
          <w:sz w:val="18"/>
          <w:szCs w:val="18"/>
        </w:rPr>
        <w:tab/>
        <w:t>T</w:t>
      </w:r>
      <w:r w:rsidRPr="00167836">
        <w:rPr>
          <w:rFonts w:ascii="Arial" w:hAnsi="Arial" w:cs="Arial"/>
          <w:sz w:val="18"/>
          <w:szCs w:val="18"/>
        </w:rPr>
        <w:t xml:space="preserve">he literature of natural disasters and their fiscal impact is extensive and well documented. Government spending tends to increase, budget balances usually worsen, and public debt typically rises.  See, for example, The Dealing with Increased Risk of Natural disasters (Freeman et al. 2003); Economics of Natural Disasters. (Cavallo and </w:t>
      </w:r>
      <w:proofErr w:type="spellStart"/>
      <w:r w:rsidRPr="00167836">
        <w:rPr>
          <w:rFonts w:ascii="Arial" w:hAnsi="Arial" w:cs="Arial"/>
          <w:sz w:val="18"/>
          <w:szCs w:val="18"/>
        </w:rPr>
        <w:t>Noy</w:t>
      </w:r>
      <w:proofErr w:type="spellEnd"/>
      <w:r w:rsidRPr="00167836">
        <w:rPr>
          <w:rFonts w:ascii="Arial" w:hAnsi="Arial" w:cs="Arial"/>
          <w:sz w:val="18"/>
          <w:szCs w:val="18"/>
        </w:rPr>
        <w:t>, 2009); and The Fiscal Implications of Hurricane Strikes in the Caribbean (</w:t>
      </w:r>
      <w:proofErr w:type="spellStart"/>
      <w:r w:rsidRPr="00167836">
        <w:rPr>
          <w:rFonts w:ascii="Arial" w:hAnsi="Arial" w:cs="Arial"/>
          <w:sz w:val="18"/>
          <w:szCs w:val="18"/>
        </w:rPr>
        <w:t>Quattara</w:t>
      </w:r>
      <w:proofErr w:type="spellEnd"/>
      <w:r w:rsidRPr="00167836">
        <w:rPr>
          <w:rFonts w:ascii="Arial" w:hAnsi="Arial" w:cs="Arial"/>
          <w:sz w:val="18"/>
          <w:szCs w:val="18"/>
        </w:rPr>
        <w:t xml:space="preserve"> and Strobl, 2013).</w:t>
      </w:r>
    </w:p>
  </w:footnote>
  <w:footnote w:id="19">
    <w:p w14:paraId="25BC5721" w14:textId="77777777" w:rsidR="00352CFD" w:rsidRPr="00D52A80" w:rsidRDefault="00352CFD" w:rsidP="00D52A80">
      <w:pPr>
        <w:pStyle w:val="FootnoteText"/>
        <w:tabs>
          <w:tab w:val="left" w:pos="270"/>
        </w:tabs>
        <w:spacing w:after="0"/>
        <w:ind w:left="270" w:hanging="270"/>
        <w:rPr>
          <w:rFonts w:ascii="Arial" w:hAnsi="Arial" w:cs="Arial"/>
          <w:sz w:val="18"/>
          <w:szCs w:val="18"/>
        </w:rPr>
      </w:pPr>
      <w:r w:rsidRPr="00167836">
        <w:rPr>
          <w:rStyle w:val="FootnoteReference"/>
          <w:rFonts w:ascii="Arial" w:hAnsi="Arial" w:cs="Arial"/>
          <w:sz w:val="18"/>
          <w:szCs w:val="18"/>
        </w:rPr>
        <w:footnoteRef/>
      </w:r>
      <w:r w:rsidRPr="00167836">
        <w:rPr>
          <w:rFonts w:ascii="Arial" w:hAnsi="Arial" w:cs="Arial"/>
          <w:sz w:val="18"/>
          <w:szCs w:val="18"/>
        </w:rPr>
        <w:t xml:space="preserve"> </w:t>
      </w:r>
      <w:r>
        <w:rPr>
          <w:rFonts w:ascii="Arial" w:hAnsi="Arial" w:cs="Arial"/>
          <w:sz w:val="18"/>
          <w:szCs w:val="18"/>
        </w:rPr>
        <w:tab/>
      </w:r>
      <w:r w:rsidRPr="00167836">
        <w:rPr>
          <w:rFonts w:ascii="Arial" w:hAnsi="Arial" w:cs="Arial"/>
          <w:sz w:val="18"/>
          <w:szCs w:val="18"/>
        </w:rPr>
        <w:t xml:space="preserve">IDB (2010). Natural Disasters Financial Risk Management. Technical and Policy Underpinnings for the Use of Disaster-Linked Financial </w:t>
      </w:r>
      <w:r w:rsidRPr="00D52A80">
        <w:rPr>
          <w:rFonts w:ascii="Arial" w:hAnsi="Arial" w:cs="Arial"/>
          <w:sz w:val="18"/>
          <w:szCs w:val="18"/>
        </w:rPr>
        <w:t xml:space="preserve">Instruments in Latin America and the Caribbean, </w:t>
      </w:r>
      <w:hyperlink r:id="rId4" w:history="1">
        <w:r w:rsidRPr="00D52A80">
          <w:rPr>
            <w:rStyle w:val="Hyperlink"/>
            <w:rFonts w:ascii="Arial" w:hAnsi="Arial" w:cs="Arial"/>
            <w:sz w:val="18"/>
            <w:szCs w:val="18"/>
          </w:rPr>
          <w:t>IDB-TN-175</w:t>
        </w:r>
      </w:hyperlink>
      <w:r w:rsidRPr="00D52A80">
        <w:rPr>
          <w:rFonts w:ascii="Arial" w:hAnsi="Arial" w:cs="Arial"/>
          <w:sz w:val="18"/>
          <w:szCs w:val="18"/>
        </w:rPr>
        <w:t>.</w:t>
      </w:r>
    </w:p>
  </w:footnote>
  <w:footnote w:id="20">
    <w:p w14:paraId="0B0C443A" w14:textId="0D66F41C" w:rsidR="00D52A80" w:rsidRDefault="00D52A80" w:rsidP="00D52A80">
      <w:pPr>
        <w:pStyle w:val="FootnoteText"/>
        <w:spacing w:after="0"/>
      </w:pPr>
      <w:r w:rsidRPr="00D52A80">
        <w:rPr>
          <w:rStyle w:val="FootnoteReference"/>
          <w:rFonts w:ascii="Arial" w:hAnsi="Arial" w:cs="Arial"/>
          <w:sz w:val="18"/>
          <w:szCs w:val="18"/>
        </w:rPr>
        <w:footnoteRef/>
      </w:r>
      <w:r w:rsidRPr="00D52A80">
        <w:rPr>
          <w:rFonts w:ascii="Arial" w:hAnsi="Arial" w:cs="Arial"/>
          <w:sz w:val="18"/>
          <w:szCs w:val="18"/>
        </w:rPr>
        <w:t xml:space="preserve"> </w:t>
      </w:r>
      <w:r>
        <w:rPr>
          <w:rFonts w:ascii="Arial" w:hAnsi="Arial" w:cs="Arial"/>
          <w:sz w:val="18"/>
          <w:szCs w:val="18"/>
        </w:rPr>
        <w:tab/>
      </w:r>
      <w:r w:rsidRPr="00D52A80">
        <w:rPr>
          <w:rFonts w:ascii="Arial" w:hAnsi="Arial" w:cs="Arial"/>
          <w:sz w:val="18"/>
          <w:szCs w:val="18"/>
        </w:rPr>
        <w:t>Though the scope of the study only covers natural hazards of low probability of occurrence and significant impact, these risks are inherently similar in certain important ways to emerging public health risks such as pandemics and epidemics. Both types of events are unpredictable, low-frequency, high impact and exogenous shocks. Similarly, public health risks are an important source of fiscal contingent liabilities and, when materialized, can represent a significant burden for public finances and endanger public debt sustainability. Governments, therefore, need adequate financial instruments to handle these public health risks.</w:t>
      </w:r>
    </w:p>
  </w:footnote>
  <w:footnote w:id="21">
    <w:p w14:paraId="7C33A1FD" w14:textId="77777777" w:rsidR="007C5027" w:rsidRDefault="007C5027" w:rsidP="007C5027">
      <w:pPr>
        <w:pStyle w:val="FootnoteText"/>
      </w:pPr>
      <w:r w:rsidRPr="00DF6A81">
        <w:rPr>
          <w:rFonts w:ascii="Arial" w:hAnsi="Arial" w:cs="Arial"/>
          <w:sz w:val="18"/>
          <w:szCs w:val="18"/>
          <w:vertAlign w:val="superscript"/>
        </w:rPr>
        <w:footnoteRef/>
      </w:r>
      <w:r w:rsidRPr="00DF6A81">
        <w:rPr>
          <w:rFonts w:ascii="Arial" w:hAnsi="Arial" w:cs="Arial"/>
          <w:sz w:val="18"/>
          <w:szCs w:val="18"/>
          <w:vertAlign w:val="superscript"/>
        </w:rPr>
        <w:t xml:space="preserve"> </w:t>
      </w:r>
      <w:r>
        <w:rPr>
          <w:rFonts w:ascii="Arial" w:hAnsi="Arial" w:cs="Arial"/>
          <w:sz w:val="18"/>
          <w:szCs w:val="18"/>
        </w:rPr>
        <w:tab/>
      </w:r>
      <w:r w:rsidRPr="00DF6A81">
        <w:rPr>
          <w:rFonts w:ascii="Arial" w:hAnsi="Arial" w:cs="Arial"/>
          <w:sz w:val="18"/>
          <w:szCs w:val="18"/>
        </w:rPr>
        <w:t>Given the nature of CCF loans, the single component of this operation is the provision of a financial coverage, therefore specific use of resources is not yet determined at the time of elaboration of this document.</w:t>
      </w:r>
    </w:p>
  </w:footnote>
  <w:footnote w:id="22">
    <w:p w14:paraId="78738257" w14:textId="77777777" w:rsidR="00A116DA" w:rsidRPr="00167836" w:rsidRDefault="00A116DA" w:rsidP="00A116DA">
      <w:pPr>
        <w:pStyle w:val="FootnoteText"/>
        <w:tabs>
          <w:tab w:val="left" w:pos="270"/>
        </w:tabs>
        <w:spacing w:after="0"/>
        <w:ind w:left="270" w:hanging="270"/>
        <w:rPr>
          <w:rFonts w:ascii="Arial" w:hAnsi="Arial" w:cs="Arial"/>
          <w:sz w:val="18"/>
          <w:szCs w:val="18"/>
        </w:rPr>
      </w:pPr>
      <w:r w:rsidRPr="00167836">
        <w:rPr>
          <w:rStyle w:val="FootnoteReference"/>
          <w:rFonts w:ascii="Arial" w:hAnsi="Arial" w:cs="Arial"/>
          <w:sz w:val="18"/>
          <w:szCs w:val="18"/>
        </w:rPr>
        <w:footnoteRef/>
      </w:r>
      <w:r w:rsidRPr="00167836">
        <w:rPr>
          <w:rFonts w:ascii="Arial" w:hAnsi="Arial" w:cs="Arial"/>
          <w:sz w:val="18"/>
          <w:szCs w:val="18"/>
        </w:rPr>
        <w:t xml:space="preserve"> </w:t>
      </w:r>
      <w:r>
        <w:rPr>
          <w:rFonts w:ascii="Arial" w:hAnsi="Arial" w:cs="Arial"/>
          <w:sz w:val="18"/>
          <w:szCs w:val="18"/>
        </w:rPr>
        <w:tab/>
      </w:r>
      <w:r w:rsidRPr="00167836">
        <w:rPr>
          <w:rFonts w:ascii="Arial" w:hAnsi="Arial" w:cs="Arial"/>
          <w:sz w:val="18"/>
          <w:szCs w:val="18"/>
        </w:rPr>
        <w:t>Document GN-2502-3.</w:t>
      </w:r>
    </w:p>
  </w:footnote>
  <w:footnote w:id="23">
    <w:p w14:paraId="5E387976" w14:textId="11999213" w:rsidR="005031EB" w:rsidRPr="00167836" w:rsidRDefault="005031EB" w:rsidP="00167836">
      <w:pPr>
        <w:pStyle w:val="FootnoteText"/>
        <w:tabs>
          <w:tab w:val="left" w:pos="270"/>
        </w:tabs>
        <w:spacing w:after="0"/>
        <w:ind w:left="270" w:hanging="270"/>
        <w:rPr>
          <w:rFonts w:ascii="Arial" w:hAnsi="Arial" w:cs="Arial"/>
          <w:sz w:val="18"/>
          <w:szCs w:val="18"/>
        </w:rPr>
      </w:pPr>
      <w:r w:rsidRPr="00167836">
        <w:rPr>
          <w:rStyle w:val="FootnoteReference"/>
          <w:rFonts w:ascii="Arial" w:hAnsi="Arial" w:cs="Arial"/>
          <w:sz w:val="18"/>
          <w:szCs w:val="18"/>
        </w:rPr>
        <w:footnoteRef/>
      </w:r>
      <w:r w:rsidRPr="00167836">
        <w:rPr>
          <w:rFonts w:ascii="Arial" w:hAnsi="Arial" w:cs="Arial"/>
          <w:sz w:val="18"/>
          <w:szCs w:val="18"/>
        </w:rPr>
        <w:t xml:space="preserve"> </w:t>
      </w:r>
      <w:r w:rsidR="004544EA">
        <w:rPr>
          <w:rFonts w:ascii="Arial" w:hAnsi="Arial" w:cs="Arial"/>
          <w:sz w:val="18"/>
          <w:szCs w:val="18"/>
        </w:rPr>
        <w:tab/>
      </w:r>
      <w:r w:rsidRPr="00167836">
        <w:rPr>
          <w:rFonts w:ascii="Arial" w:hAnsi="Arial" w:cs="Arial"/>
          <w:sz w:val="18"/>
          <w:szCs w:val="18"/>
        </w:rPr>
        <w:t>The calculation is based on the la</w:t>
      </w:r>
      <w:r w:rsidR="00357FB8">
        <w:rPr>
          <w:rFonts w:ascii="Arial" w:hAnsi="Arial" w:cs="Arial"/>
          <w:sz w:val="18"/>
          <w:szCs w:val="18"/>
        </w:rPr>
        <w:t>test</w:t>
      </w:r>
      <w:r w:rsidRPr="00167836">
        <w:rPr>
          <w:rFonts w:ascii="Arial" w:hAnsi="Arial" w:cs="Arial"/>
          <w:sz w:val="18"/>
          <w:szCs w:val="18"/>
        </w:rPr>
        <w:t xml:space="preserve"> information on interest rates and loan charges </w:t>
      </w:r>
      <w:r w:rsidR="00092C9D">
        <w:rPr>
          <w:rFonts w:ascii="Arial" w:hAnsi="Arial" w:cs="Arial"/>
          <w:sz w:val="18"/>
          <w:szCs w:val="18"/>
        </w:rPr>
        <w:t xml:space="preserve">for OC regular resources </w:t>
      </w:r>
      <w:r w:rsidRPr="00167836">
        <w:rPr>
          <w:rFonts w:ascii="Arial" w:hAnsi="Arial" w:cs="Arial"/>
          <w:sz w:val="18"/>
          <w:szCs w:val="18"/>
        </w:rPr>
        <w:t xml:space="preserve">published by the Finance Department </w:t>
      </w:r>
      <w:r w:rsidR="00AC4EBB">
        <w:rPr>
          <w:rFonts w:ascii="Arial" w:hAnsi="Arial" w:cs="Arial"/>
          <w:sz w:val="18"/>
          <w:szCs w:val="18"/>
        </w:rPr>
        <w:t>for the second quarter of 2020</w:t>
      </w:r>
      <w:r w:rsidRPr="00167836">
        <w:rPr>
          <w:rFonts w:ascii="Arial" w:hAnsi="Arial" w:cs="Arial"/>
          <w:sz w:val="18"/>
          <w:szCs w:val="18"/>
        </w:rPr>
        <w:t>.</w:t>
      </w:r>
    </w:p>
  </w:footnote>
  <w:footnote w:id="24">
    <w:p w14:paraId="0688C554" w14:textId="08F47100" w:rsidR="00D14F06" w:rsidRPr="00167836" w:rsidRDefault="00D14F06" w:rsidP="003C138B">
      <w:pPr>
        <w:pStyle w:val="FootnoteText"/>
        <w:tabs>
          <w:tab w:val="left" w:pos="270"/>
        </w:tabs>
        <w:spacing w:after="0"/>
        <w:ind w:left="274" w:hanging="274"/>
        <w:rPr>
          <w:rFonts w:ascii="Arial" w:hAnsi="Arial" w:cs="Arial"/>
          <w:sz w:val="18"/>
          <w:szCs w:val="18"/>
        </w:rPr>
      </w:pPr>
      <w:r w:rsidRPr="00167836">
        <w:rPr>
          <w:rStyle w:val="FootnoteReference"/>
          <w:rFonts w:ascii="Arial" w:hAnsi="Arial" w:cs="Arial"/>
          <w:sz w:val="18"/>
          <w:szCs w:val="18"/>
        </w:rPr>
        <w:footnoteRef/>
      </w:r>
      <w:r w:rsidRPr="00167836">
        <w:rPr>
          <w:rFonts w:ascii="Arial" w:hAnsi="Arial" w:cs="Arial"/>
          <w:sz w:val="18"/>
          <w:szCs w:val="18"/>
        </w:rPr>
        <w:t xml:space="preserve"> </w:t>
      </w:r>
      <w:r>
        <w:rPr>
          <w:rFonts w:ascii="Arial" w:hAnsi="Arial" w:cs="Arial"/>
          <w:sz w:val="18"/>
          <w:szCs w:val="18"/>
        </w:rPr>
        <w:tab/>
      </w:r>
      <w:r w:rsidRPr="00167836">
        <w:rPr>
          <w:rFonts w:ascii="Arial" w:hAnsi="Arial" w:cs="Arial"/>
          <w:sz w:val="18"/>
          <w:szCs w:val="18"/>
        </w:rPr>
        <w:t xml:space="preserve">Information provided by </w:t>
      </w:r>
      <w:r w:rsidRPr="007B604E">
        <w:rPr>
          <w:rFonts w:ascii="Arial" w:hAnsi="Arial" w:cs="Arial"/>
          <w:sz w:val="18"/>
          <w:szCs w:val="18"/>
        </w:rPr>
        <w:t>the Finance Department, as of</w:t>
      </w:r>
      <w:r w:rsidR="000D34AF">
        <w:rPr>
          <w:rFonts w:ascii="Arial" w:hAnsi="Arial" w:cs="Arial"/>
          <w:sz w:val="18"/>
          <w:szCs w:val="18"/>
        </w:rPr>
        <w:t xml:space="preserve"> </w:t>
      </w:r>
      <w:r w:rsidR="00AC4EBB">
        <w:rPr>
          <w:rFonts w:ascii="Arial" w:hAnsi="Arial" w:cs="Arial"/>
          <w:sz w:val="18"/>
          <w:szCs w:val="18"/>
        </w:rPr>
        <w:t>May 15,</w:t>
      </w:r>
      <w:r w:rsidR="003C138B">
        <w:rPr>
          <w:rFonts w:ascii="Arial" w:hAnsi="Arial" w:cs="Arial"/>
          <w:sz w:val="18"/>
          <w:szCs w:val="18"/>
        </w:rPr>
        <w:t xml:space="preserve"> </w:t>
      </w:r>
      <w:r w:rsidR="00AC4EBB">
        <w:rPr>
          <w:rFonts w:ascii="Arial" w:hAnsi="Arial" w:cs="Arial"/>
          <w:sz w:val="18"/>
          <w:szCs w:val="18"/>
        </w:rPr>
        <w:t>2020</w:t>
      </w:r>
      <w:r w:rsidRPr="007B604E">
        <w:rPr>
          <w:rFonts w:ascii="Arial" w:hAnsi="Arial" w:cs="Arial"/>
          <w:sz w:val="18"/>
          <w:szCs w:val="18"/>
        </w:rPr>
        <w:t xml:space="preserve">. The </w:t>
      </w:r>
      <w:r w:rsidR="00EA6B27">
        <w:rPr>
          <w:rFonts w:ascii="Arial" w:hAnsi="Arial" w:cs="Arial"/>
          <w:sz w:val="18"/>
          <w:szCs w:val="18"/>
        </w:rPr>
        <w:t>IDB fixed rates</w:t>
      </w:r>
      <w:r w:rsidRPr="007B604E">
        <w:rPr>
          <w:rFonts w:ascii="Arial" w:hAnsi="Arial" w:cs="Arial"/>
          <w:sz w:val="18"/>
          <w:szCs w:val="18"/>
        </w:rPr>
        <w:t xml:space="preserve"> assume a fixed rate conversion by the Bank </w:t>
      </w:r>
      <w:r w:rsidR="00392611" w:rsidRPr="00392611">
        <w:rPr>
          <w:rFonts w:ascii="Arial" w:hAnsi="Arial" w:cs="Arial"/>
          <w:sz w:val="18"/>
          <w:szCs w:val="18"/>
        </w:rPr>
        <w:t>through a swap</w:t>
      </w:r>
      <w:r w:rsidR="00392611" w:rsidRPr="007B604E">
        <w:rPr>
          <w:rFonts w:ascii="Arial" w:hAnsi="Arial" w:cs="Arial"/>
          <w:sz w:val="18"/>
          <w:szCs w:val="18"/>
        </w:rPr>
        <w:t xml:space="preserve"> </w:t>
      </w:r>
      <w:r w:rsidRPr="007B604E">
        <w:rPr>
          <w:rFonts w:ascii="Arial" w:hAnsi="Arial" w:cs="Arial"/>
          <w:sz w:val="18"/>
          <w:szCs w:val="18"/>
        </w:rPr>
        <w:t>with the same tenor as the remaining life of outstanding sovereign bonds</w:t>
      </w:r>
      <w:r>
        <w:rPr>
          <w:rFonts w:ascii="Arial" w:hAnsi="Arial" w:cs="Arial"/>
          <w:sz w:val="18"/>
          <w:szCs w:val="18"/>
        </w:rPr>
        <w:t xml:space="preserve"> (approximately </w:t>
      </w:r>
      <w:r w:rsidRPr="007B604E">
        <w:rPr>
          <w:rFonts w:ascii="Arial" w:hAnsi="Arial" w:cs="Arial"/>
          <w:sz w:val="18"/>
          <w:szCs w:val="18"/>
        </w:rPr>
        <w:t>10</w:t>
      </w:r>
      <w:r>
        <w:rPr>
          <w:rFonts w:ascii="Arial" w:hAnsi="Arial" w:cs="Arial"/>
          <w:sz w:val="18"/>
          <w:szCs w:val="18"/>
        </w:rPr>
        <w:t xml:space="preserve"> </w:t>
      </w:r>
      <w:r w:rsidRPr="007B604E">
        <w:rPr>
          <w:rFonts w:ascii="Arial" w:hAnsi="Arial" w:cs="Arial"/>
          <w:sz w:val="18"/>
          <w:szCs w:val="18"/>
        </w:rPr>
        <w:t>year</w:t>
      </w:r>
      <w:r>
        <w:rPr>
          <w:rFonts w:ascii="Arial" w:hAnsi="Arial" w:cs="Arial"/>
          <w:sz w:val="18"/>
          <w:szCs w:val="18"/>
        </w:rPr>
        <w:t>s)</w:t>
      </w:r>
      <w:r w:rsidRPr="007B604E">
        <w:rPr>
          <w:rFonts w:ascii="Arial" w:hAnsi="Arial" w:cs="Arial"/>
          <w:sz w:val="18"/>
          <w:szCs w:val="18"/>
        </w:rPr>
        <w:t xml:space="preserve">, plus </w:t>
      </w:r>
      <w:r w:rsidR="00766505">
        <w:rPr>
          <w:rFonts w:ascii="Arial" w:hAnsi="Arial" w:cs="Arial"/>
          <w:sz w:val="18"/>
          <w:szCs w:val="18"/>
        </w:rPr>
        <w:t>a</w:t>
      </w:r>
      <w:r w:rsidRPr="007B604E">
        <w:rPr>
          <w:rFonts w:ascii="Arial" w:hAnsi="Arial" w:cs="Arial"/>
          <w:sz w:val="18"/>
          <w:szCs w:val="18"/>
        </w:rPr>
        <w:t xml:space="preserve"> lending</w:t>
      </w:r>
      <w:r w:rsidRPr="00167836">
        <w:rPr>
          <w:rFonts w:ascii="Arial" w:hAnsi="Arial" w:cs="Arial"/>
          <w:sz w:val="18"/>
          <w:szCs w:val="18"/>
        </w:rPr>
        <w:t xml:space="preserve"> margin.</w:t>
      </w:r>
      <w:r w:rsidR="00AC4EBB">
        <w:rPr>
          <w:rFonts w:ascii="Arial" w:hAnsi="Arial" w:cs="Arial"/>
          <w:sz w:val="18"/>
          <w:szCs w:val="18"/>
        </w:rPr>
        <w:t xml:space="preserve"> Since </w:t>
      </w:r>
      <w:r w:rsidR="00392611">
        <w:rPr>
          <w:rFonts w:ascii="Arial" w:hAnsi="Arial" w:cs="Arial"/>
          <w:sz w:val="18"/>
          <w:szCs w:val="18"/>
        </w:rPr>
        <w:t xml:space="preserve">there are no outstanding sovereign bonds </w:t>
      </w:r>
      <w:r w:rsidR="00AC4EBB">
        <w:rPr>
          <w:rFonts w:ascii="Arial" w:hAnsi="Arial" w:cs="Arial"/>
          <w:sz w:val="18"/>
          <w:szCs w:val="18"/>
        </w:rPr>
        <w:t xml:space="preserve">for </w:t>
      </w:r>
      <w:r w:rsidR="00392611">
        <w:rPr>
          <w:rFonts w:ascii="Arial" w:hAnsi="Arial" w:cs="Arial"/>
          <w:sz w:val="18"/>
          <w:szCs w:val="18"/>
        </w:rPr>
        <w:t>Guyana, an average of IDB fixed rates for comparable countries was used for this analysis</w:t>
      </w:r>
      <w:r w:rsidR="003C138B">
        <w:rPr>
          <w:rFonts w:ascii="Arial" w:hAnsi="Arial" w:cs="Arial"/>
          <w:sz w:val="18"/>
          <w:szCs w:val="18"/>
        </w:rPr>
        <w:t>.</w:t>
      </w:r>
    </w:p>
  </w:footnote>
  <w:footnote w:id="25">
    <w:p w14:paraId="00437D32" w14:textId="2FAC9213" w:rsidR="00AC4EBB" w:rsidRPr="00392611" w:rsidRDefault="00AC4EBB" w:rsidP="00392611">
      <w:pPr>
        <w:pStyle w:val="FootnoteText"/>
        <w:spacing w:after="0"/>
        <w:rPr>
          <w:rFonts w:ascii="Arial" w:hAnsi="Arial" w:cs="Arial"/>
          <w:sz w:val="18"/>
          <w:szCs w:val="18"/>
        </w:rPr>
      </w:pPr>
      <w:r w:rsidRPr="00392611">
        <w:rPr>
          <w:rStyle w:val="FootnoteReference"/>
          <w:rFonts w:ascii="Arial" w:hAnsi="Arial" w:cs="Arial"/>
          <w:sz w:val="18"/>
          <w:szCs w:val="18"/>
        </w:rPr>
        <w:footnoteRef/>
      </w:r>
      <w:r w:rsidRPr="00392611">
        <w:rPr>
          <w:rFonts w:ascii="Arial" w:hAnsi="Arial" w:cs="Arial"/>
          <w:sz w:val="18"/>
          <w:szCs w:val="18"/>
        </w:rPr>
        <w:t xml:space="preserve"> </w:t>
      </w:r>
      <w:r w:rsidR="00392611" w:rsidRPr="00392611">
        <w:rPr>
          <w:rFonts w:ascii="Arial" w:hAnsi="Arial" w:cs="Arial"/>
          <w:sz w:val="18"/>
          <w:szCs w:val="18"/>
        </w:rPr>
        <w:tab/>
        <w:t xml:space="preserve">It is worth to note that </w:t>
      </w:r>
      <w:r w:rsidR="00392611">
        <w:rPr>
          <w:rFonts w:ascii="Arial" w:hAnsi="Arial" w:cs="Arial"/>
          <w:sz w:val="18"/>
          <w:szCs w:val="18"/>
        </w:rPr>
        <w:t xml:space="preserve">IDB fixed rate is lower than its variable lending rate. </w:t>
      </w:r>
      <w:r w:rsidR="003C138B">
        <w:rPr>
          <w:rFonts w:ascii="Arial" w:hAnsi="Arial" w:cs="Arial"/>
          <w:sz w:val="18"/>
          <w:szCs w:val="18"/>
        </w:rPr>
        <w:t>T</w:t>
      </w:r>
      <w:r w:rsidR="003C138B" w:rsidRPr="003C138B">
        <w:rPr>
          <w:rFonts w:ascii="Arial" w:hAnsi="Arial" w:cs="Arial"/>
          <w:sz w:val="18"/>
          <w:szCs w:val="18"/>
        </w:rPr>
        <w:t xml:space="preserve">his is a reflection of current market conditions in which the USD swap rates are lower than the Libor rates. </w:t>
      </w:r>
      <w:r w:rsidR="003C138B">
        <w:rPr>
          <w:rFonts w:ascii="Arial" w:hAnsi="Arial" w:cs="Arial"/>
          <w:sz w:val="18"/>
          <w:szCs w:val="18"/>
        </w:rPr>
        <w:t>T</w:t>
      </w:r>
      <w:r w:rsidR="003C138B" w:rsidRPr="003C138B">
        <w:rPr>
          <w:rFonts w:ascii="Arial" w:hAnsi="Arial" w:cs="Arial"/>
          <w:sz w:val="18"/>
          <w:szCs w:val="18"/>
        </w:rPr>
        <w:t xml:space="preserve">he current scenario of lower interest rates in the US, the rate cuts by the FED and the inversion of the US yield curve, </w:t>
      </w:r>
      <w:r w:rsidR="003C138B">
        <w:rPr>
          <w:rFonts w:ascii="Arial" w:hAnsi="Arial" w:cs="Arial"/>
          <w:sz w:val="18"/>
          <w:szCs w:val="18"/>
        </w:rPr>
        <w:t>among other factors</w:t>
      </w:r>
      <w:r w:rsidR="003C138B" w:rsidRPr="003C138B">
        <w:rPr>
          <w:rFonts w:ascii="Arial" w:hAnsi="Arial" w:cs="Arial"/>
          <w:sz w:val="18"/>
          <w:szCs w:val="18"/>
        </w:rPr>
        <w:t>, are driving the swap rates down.</w:t>
      </w:r>
    </w:p>
  </w:footnote>
  <w:footnote w:id="26">
    <w:p w14:paraId="30FFCF89" w14:textId="22F5BDF8" w:rsidR="00865637" w:rsidRPr="00E07C77" w:rsidRDefault="00865637" w:rsidP="00865637">
      <w:pPr>
        <w:pStyle w:val="FootnoteText"/>
        <w:spacing w:after="0"/>
        <w:rPr>
          <w:rFonts w:ascii="Arial" w:hAnsi="Arial" w:cs="Arial"/>
          <w:sz w:val="18"/>
          <w:szCs w:val="18"/>
        </w:rPr>
      </w:pPr>
      <w:r w:rsidRPr="00E07C77">
        <w:rPr>
          <w:rStyle w:val="FootnoteReference"/>
          <w:rFonts w:ascii="Arial" w:hAnsi="Arial" w:cs="Arial"/>
          <w:sz w:val="18"/>
          <w:szCs w:val="18"/>
        </w:rPr>
        <w:footnoteRef/>
      </w:r>
      <w:r w:rsidRPr="00E07C77">
        <w:rPr>
          <w:rFonts w:ascii="Arial" w:hAnsi="Arial" w:cs="Arial"/>
          <w:sz w:val="18"/>
          <w:szCs w:val="18"/>
        </w:rPr>
        <w:t xml:space="preserve">  </w:t>
      </w:r>
      <w:r w:rsidRPr="00E07C77">
        <w:rPr>
          <w:rFonts w:ascii="Arial" w:hAnsi="Arial" w:cs="Arial"/>
          <w:sz w:val="18"/>
          <w:szCs w:val="18"/>
        </w:rPr>
        <w:tab/>
      </w:r>
      <w:r w:rsidR="00E07C77" w:rsidRPr="00E07C77">
        <w:rPr>
          <w:rFonts w:ascii="Arial" w:hAnsi="Arial" w:cs="Arial"/>
          <w:sz w:val="18"/>
          <w:szCs w:val="18"/>
        </w:rPr>
        <w:t xml:space="preserve">Damodaran, </w:t>
      </w:r>
      <w:proofErr w:type="spellStart"/>
      <w:r w:rsidR="00E07C77" w:rsidRPr="00E07C77">
        <w:rPr>
          <w:rFonts w:ascii="Arial" w:hAnsi="Arial" w:cs="Arial"/>
          <w:sz w:val="18"/>
          <w:szCs w:val="18"/>
        </w:rPr>
        <w:t>Aswath</w:t>
      </w:r>
      <w:proofErr w:type="spellEnd"/>
      <w:r w:rsidR="00E07C77" w:rsidRPr="00E07C77">
        <w:rPr>
          <w:rFonts w:ascii="Arial" w:hAnsi="Arial" w:cs="Arial"/>
          <w:sz w:val="18"/>
          <w:szCs w:val="18"/>
        </w:rPr>
        <w:t>, Country Risk: Determinants, Measures and Implications – The 2016 Edition.</w:t>
      </w:r>
      <w:r w:rsidR="00E07C77">
        <w:rPr>
          <w:rFonts w:ascii="Arial" w:hAnsi="Arial" w:cs="Arial"/>
          <w:sz w:val="18"/>
          <w:szCs w:val="18"/>
        </w:rPr>
        <w:t xml:space="preserve"> </w:t>
      </w:r>
      <w:r w:rsidR="00E07C77" w:rsidRPr="00E07C77">
        <w:rPr>
          <w:rFonts w:ascii="Arial" w:hAnsi="Arial" w:cs="Arial"/>
          <w:sz w:val="18"/>
          <w:szCs w:val="18"/>
        </w:rPr>
        <w:t xml:space="preserve">New York University, Stern School of Business. Results from this study were updated in 2019: </w:t>
      </w:r>
      <w:r w:rsidRPr="00E07C77">
        <w:rPr>
          <w:rFonts w:ascii="Arial" w:hAnsi="Arial" w:cs="Arial"/>
          <w:sz w:val="18"/>
          <w:szCs w:val="18"/>
        </w:rPr>
        <w:t>Country Default Spreads and Risk Premiums</w:t>
      </w:r>
      <w:r w:rsidR="00E07C77" w:rsidRPr="00E07C77">
        <w:rPr>
          <w:rFonts w:ascii="Arial" w:hAnsi="Arial" w:cs="Arial"/>
          <w:sz w:val="18"/>
          <w:szCs w:val="18"/>
        </w:rPr>
        <w:t>.</w:t>
      </w:r>
    </w:p>
  </w:footnote>
  <w:footnote w:id="27">
    <w:p w14:paraId="3D7D532C" w14:textId="5708F1F7" w:rsidR="0024312E" w:rsidRPr="0024312E" w:rsidRDefault="0024312E" w:rsidP="0024312E">
      <w:pPr>
        <w:pStyle w:val="FootnoteText"/>
        <w:spacing w:after="0"/>
        <w:rPr>
          <w:rFonts w:ascii="Arial" w:hAnsi="Arial" w:cs="Arial"/>
          <w:sz w:val="18"/>
          <w:szCs w:val="18"/>
        </w:rPr>
      </w:pPr>
      <w:r w:rsidRPr="0024312E">
        <w:rPr>
          <w:rStyle w:val="FootnoteReference"/>
          <w:rFonts w:ascii="Arial" w:hAnsi="Arial" w:cs="Arial"/>
          <w:sz w:val="18"/>
          <w:szCs w:val="18"/>
        </w:rPr>
        <w:footnoteRef/>
      </w:r>
      <w:r w:rsidRPr="0024312E">
        <w:rPr>
          <w:rFonts w:ascii="Arial" w:hAnsi="Arial" w:cs="Arial"/>
          <w:sz w:val="18"/>
          <w:szCs w:val="18"/>
        </w:rPr>
        <w:t xml:space="preserve"> </w:t>
      </w:r>
      <w:r w:rsidRPr="0024312E">
        <w:rPr>
          <w:rFonts w:ascii="Arial" w:hAnsi="Arial" w:cs="Arial"/>
          <w:sz w:val="18"/>
          <w:szCs w:val="18"/>
        </w:rPr>
        <w:tab/>
        <w:t>Roubini Global Economics, 2017.</w:t>
      </w:r>
    </w:p>
  </w:footnote>
  <w:footnote w:id="28">
    <w:p w14:paraId="338D8C0E" w14:textId="5E8A2CBE" w:rsidR="0002688B" w:rsidRPr="00167836" w:rsidRDefault="0002688B" w:rsidP="0002688B">
      <w:pPr>
        <w:pStyle w:val="FootnoteText"/>
        <w:tabs>
          <w:tab w:val="left" w:pos="270"/>
        </w:tabs>
        <w:spacing w:after="0"/>
        <w:ind w:left="270" w:hanging="270"/>
        <w:rPr>
          <w:rFonts w:ascii="Arial" w:hAnsi="Arial" w:cs="Arial"/>
          <w:sz w:val="18"/>
          <w:szCs w:val="18"/>
        </w:rPr>
      </w:pPr>
      <w:r w:rsidRPr="004876A2">
        <w:rPr>
          <w:rStyle w:val="FootnoteReference"/>
          <w:rFonts w:ascii="Arial" w:hAnsi="Arial" w:cs="Arial"/>
          <w:sz w:val="18"/>
          <w:szCs w:val="18"/>
        </w:rPr>
        <w:footnoteRef/>
      </w:r>
      <w:r w:rsidRPr="004876A2">
        <w:rPr>
          <w:rFonts w:ascii="Arial" w:hAnsi="Arial" w:cs="Arial"/>
          <w:sz w:val="18"/>
          <w:szCs w:val="18"/>
        </w:rPr>
        <w:t xml:space="preserve"> </w:t>
      </w:r>
      <w:r w:rsidRPr="004876A2">
        <w:rPr>
          <w:rFonts w:ascii="Arial" w:hAnsi="Arial" w:cs="Arial"/>
          <w:sz w:val="18"/>
          <w:szCs w:val="18"/>
        </w:rPr>
        <w:tab/>
      </w:r>
      <w:r w:rsidR="006E1EFD">
        <w:rPr>
          <w:rFonts w:ascii="Arial" w:hAnsi="Arial" w:cs="Arial"/>
          <w:sz w:val="18"/>
          <w:szCs w:val="18"/>
        </w:rPr>
        <w:t>Although no specific study has yet been carried for pandemic outbreaks, a</w:t>
      </w:r>
      <w:r w:rsidRPr="004876A2">
        <w:rPr>
          <w:rFonts w:ascii="Arial" w:hAnsi="Arial" w:cs="Arial"/>
          <w:sz w:val="18"/>
          <w:szCs w:val="18"/>
        </w:rPr>
        <w:t>ccording to a report by Standard &amp; Poor’s, a once-in-250 year</w:t>
      </w:r>
      <w:r w:rsidR="00737B9B">
        <w:rPr>
          <w:rFonts w:ascii="Arial" w:hAnsi="Arial" w:cs="Arial"/>
          <w:sz w:val="18"/>
          <w:szCs w:val="18"/>
        </w:rPr>
        <w:t>s</w:t>
      </w:r>
      <w:r w:rsidRPr="004876A2">
        <w:rPr>
          <w:rFonts w:ascii="Arial" w:hAnsi="Arial" w:cs="Arial"/>
          <w:sz w:val="18"/>
          <w:szCs w:val="18"/>
        </w:rPr>
        <w:t xml:space="preserve"> natural disaster would have strong effects on public finances, mainly due to increased government spending and the resulting economic downturn.</w:t>
      </w:r>
      <w:r w:rsidR="006E1EFD">
        <w:rPr>
          <w:rFonts w:ascii="Arial" w:hAnsi="Arial" w:cs="Arial"/>
          <w:sz w:val="18"/>
          <w:szCs w:val="18"/>
        </w:rPr>
        <w:t xml:space="preserve"> </w:t>
      </w:r>
      <w:r w:rsidR="00392611">
        <w:rPr>
          <w:rFonts w:ascii="Arial" w:hAnsi="Arial" w:cs="Arial"/>
          <w:sz w:val="18"/>
          <w:szCs w:val="18"/>
        </w:rPr>
        <w:t>N</w:t>
      </w:r>
      <w:r w:rsidR="004876A2" w:rsidRPr="004876A2">
        <w:rPr>
          <w:rFonts w:ascii="Arial" w:hAnsi="Arial" w:cs="Arial"/>
          <w:sz w:val="18"/>
          <w:szCs w:val="18"/>
        </w:rPr>
        <w:t xml:space="preserve">egative impacts </w:t>
      </w:r>
      <w:r w:rsidRPr="004876A2">
        <w:rPr>
          <w:rFonts w:ascii="Arial" w:hAnsi="Arial" w:cs="Arial"/>
          <w:sz w:val="18"/>
          <w:szCs w:val="18"/>
        </w:rPr>
        <w:t>could lead to downgrades of credit rating</w:t>
      </w:r>
      <w:r w:rsidR="004876A2" w:rsidRPr="004876A2">
        <w:rPr>
          <w:rFonts w:ascii="Arial" w:hAnsi="Arial" w:cs="Arial"/>
          <w:sz w:val="18"/>
          <w:szCs w:val="18"/>
        </w:rPr>
        <w:t>s</w:t>
      </w:r>
      <w:r w:rsidRPr="004876A2">
        <w:rPr>
          <w:rFonts w:ascii="Arial" w:hAnsi="Arial" w:cs="Arial"/>
          <w:sz w:val="18"/>
          <w:szCs w:val="18"/>
        </w:rPr>
        <w:t xml:space="preserve"> of up to </w:t>
      </w:r>
      <w:r w:rsidR="007D445E">
        <w:rPr>
          <w:rFonts w:ascii="Arial" w:hAnsi="Arial" w:cs="Arial"/>
          <w:sz w:val="18"/>
          <w:szCs w:val="18"/>
        </w:rPr>
        <w:t>two</w:t>
      </w:r>
      <w:r w:rsidRPr="004876A2">
        <w:rPr>
          <w:rFonts w:ascii="Arial" w:hAnsi="Arial" w:cs="Arial"/>
          <w:sz w:val="18"/>
          <w:szCs w:val="18"/>
        </w:rPr>
        <w:t xml:space="preserve"> notches, and therefore, raising the cost of financing. See</w:t>
      </w:r>
      <w:r w:rsidR="004876A2">
        <w:rPr>
          <w:rFonts w:ascii="Arial" w:hAnsi="Arial" w:cs="Arial"/>
          <w:sz w:val="18"/>
          <w:szCs w:val="18"/>
        </w:rPr>
        <w:t>:</w:t>
      </w:r>
      <w:r w:rsidRPr="004876A2">
        <w:rPr>
          <w:rFonts w:ascii="Arial" w:hAnsi="Arial" w:cs="Arial"/>
          <w:sz w:val="18"/>
          <w:szCs w:val="18"/>
        </w:rPr>
        <w:t xml:space="preserve"> The</w:t>
      </w:r>
      <w:r w:rsidR="004876A2">
        <w:rPr>
          <w:rFonts w:ascii="Arial" w:hAnsi="Arial" w:cs="Arial"/>
          <w:sz w:val="18"/>
          <w:szCs w:val="18"/>
        </w:rPr>
        <w:t xml:space="preserve"> </w:t>
      </w:r>
      <w:r w:rsidRPr="004876A2">
        <w:rPr>
          <w:rFonts w:ascii="Arial" w:hAnsi="Arial" w:cs="Arial"/>
          <w:sz w:val="18"/>
          <w:szCs w:val="18"/>
        </w:rPr>
        <w:t>Heat is On: How Climate Change Can Impact Sovereign Ratings (Standard &amp; Poor’s, 2015).</w:t>
      </w:r>
      <w:r w:rsidRPr="00167836">
        <w:rPr>
          <w:rFonts w:ascii="Arial"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D364EF" w14:textId="77777777" w:rsidR="005031EB" w:rsidRDefault="005031EB">
    <w:pPr>
      <w:pStyle w:val="Header"/>
      <w:ind w:right="360"/>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B0CF56" w14:textId="1519C812" w:rsidR="00D97685" w:rsidRPr="00D97685" w:rsidRDefault="001B2CBA" w:rsidP="00D97685">
    <w:pPr>
      <w:pStyle w:val="Header"/>
      <w:tabs>
        <w:tab w:val="clear" w:pos="4320"/>
      </w:tabs>
      <w:jc w:val="center"/>
      <w:rPr>
        <w:rFonts w:ascii="Arial" w:eastAsiaTheme="majorEastAsia" w:hAnsi="Arial" w:cs="Arial"/>
        <w:sz w:val="18"/>
        <w:szCs w:val="18"/>
      </w:rPr>
    </w:pPr>
    <w:sdt>
      <w:sdtPr>
        <w:rPr>
          <w:rFonts w:asciiTheme="majorHAnsi" w:eastAsiaTheme="majorEastAsia" w:hAnsiTheme="majorHAnsi" w:cstheme="majorBidi"/>
          <w:sz w:val="28"/>
          <w:szCs w:val="28"/>
        </w:rPr>
        <w:id w:val="1930002271"/>
        <w:docPartObj>
          <w:docPartGallery w:val="Page Numbers (Top of Page)"/>
          <w:docPartUnique/>
        </w:docPartObj>
      </w:sdtPr>
      <w:sdtEndPr>
        <w:rPr>
          <w:rFonts w:ascii="Arial" w:hAnsi="Arial" w:cs="Arial"/>
          <w:sz w:val="18"/>
          <w:szCs w:val="18"/>
        </w:rPr>
      </w:sdtEndPr>
      <w:sdtContent>
        <w:r w:rsidR="00D97685">
          <w:rPr>
            <w:rFonts w:ascii="Arial" w:eastAsiaTheme="majorEastAsia" w:hAnsi="Arial" w:cs="Arial"/>
            <w:sz w:val="18"/>
            <w:szCs w:val="18"/>
          </w:rPr>
          <w:t>-</w:t>
        </w:r>
        <w:r w:rsidR="00D97685" w:rsidRPr="00D97685">
          <w:rPr>
            <w:rFonts w:ascii="Arial" w:eastAsiaTheme="majorEastAsia" w:hAnsi="Arial" w:cs="Arial"/>
            <w:sz w:val="18"/>
            <w:szCs w:val="18"/>
          </w:rPr>
          <w:t xml:space="preserve"> </w:t>
        </w:r>
        <w:r w:rsidR="00D97685" w:rsidRPr="00D97685">
          <w:rPr>
            <w:rFonts w:ascii="Arial" w:eastAsiaTheme="minorEastAsia" w:hAnsi="Arial" w:cs="Arial"/>
            <w:sz w:val="18"/>
            <w:szCs w:val="18"/>
          </w:rPr>
          <w:fldChar w:fldCharType="begin"/>
        </w:r>
        <w:r w:rsidR="00D97685" w:rsidRPr="00D97685">
          <w:rPr>
            <w:rFonts w:ascii="Arial" w:hAnsi="Arial" w:cs="Arial"/>
            <w:sz w:val="18"/>
            <w:szCs w:val="18"/>
          </w:rPr>
          <w:instrText xml:space="preserve"> PAGE    \* MERGEFORMAT </w:instrText>
        </w:r>
        <w:r w:rsidR="00D97685" w:rsidRPr="00D97685">
          <w:rPr>
            <w:rFonts w:ascii="Arial" w:eastAsiaTheme="minorEastAsia" w:hAnsi="Arial" w:cs="Arial"/>
            <w:sz w:val="18"/>
            <w:szCs w:val="18"/>
          </w:rPr>
          <w:fldChar w:fldCharType="separate"/>
        </w:r>
        <w:r w:rsidR="00D97685">
          <w:rPr>
            <w:rFonts w:ascii="Arial" w:hAnsi="Arial" w:cs="Arial"/>
            <w:sz w:val="18"/>
            <w:szCs w:val="18"/>
          </w:rPr>
          <w:t>2</w:t>
        </w:r>
        <w:r w:rsidR="00D97685" w:rsidRPr="00D97685">
          <w:rPr>
            <w:rFonts w:ascii="Arial" w:eastAsiaTheme="majorEastAsia" w:hAnsi="Arial" w:cs="Arial"/>
            <w:noProof/>
            <w:sz w:val="18"/>
            <w:szCs w:val="18"/>
          </w:rPr>
          <w:fldChar w:fldCharType="end"/>
        </w:r>
        <w:r w:rsidR="00D97685" w:rsidRPr="00D97685">
          <w:rPr>
            <w:rFonts w:ascii="Arial" w:eastAsiaTheme="majorEastAsia" w:hAnsi="Arial" w:cs="Arial"/>
            <w:sz w:val="18"/>
            <w:szCs w:val="18"/>
          </w:rPr>
          <w:t xml:space="preserve"> </w:t>
        </w:r>
        <w:r w:rsidR="00D97685">
          <w:rPr>
            <w:rFonts w:ascii="Arial" w:eastAsiaTheme="majorEastAsia" w:hAnsi="Arial" w:cs="Arial"/>
            <w:sz w:val="18"/>
            <w:szCs w:val="18"/>
          </w:rPr>
          <w:t>-</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E393D4" w14:textId="4D15CC8D" w:rsidR="004544EA" w:rsidRPr="00D97685" w:rsidRDefault="004544EA">
    <w:pPr>
      <w:pStyle w:val="Header"/>
      <w:jc w:val="center"/>
      <w:rPr>
        <w:rFonts w:ascii="Arial" w:eastAsiaTheme="majorEastAsia" w:hAnsi="Arial" w:cs="Arial"/>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443223" w14:textId="3D618DCB" w:rsidR="00D97685" w:rsidRPr="00D97685" w:rsidRDefault="00D97685">
    <w:pPr>
      <w:pStyle w:val="Header"/>
      <w:jc w:val="center"/>
      <w:rPr>
        <w:rFonts w:ascii="Arial" w:eastAsiaTheme="majorEastAsia"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7A2B35"/>
    <w:multiLevelType w:val="multilevel"/>
    <w:tmpl w:val="A7FA976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sz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 w15:restartNumberingAfterBreak="0">
    <w:nsid w:val="0DAB7FC9"/>
    <w:multiLevelType w:val="multilevel"/>
    <w:tmpl w:val="8DEC35A0"/>
    <w:lvl w:ilvl="0">
      <w:start w:val="1"/>
      <w:numFmt w:val="upperRoman"/>
      <w:lvlText w:val="%1."/>
      <w:lvlJc w:val="center"/>
      <w:pPr>
        <w:tabs>
          <w:tab w:val="num" w:pos="3780"/>
        </w:tabs>
        <w:ind w:left="3132" w:firstLine="288"/>
      </w:pPr>
      <w:rPr>
        <w:rFonts w:hint="default"/>
        <w:b/>
        <w:i w:val="0"/>
      </w:rPr>
    </w:lvl>
    <w:lvl w:ilvl="1">
      <w:start w:val="1"/>
      <w:numFmt w:val="decimal"/>
      <w:isLgl/>
      <w:lvlText w:val="%1.%2"/>
      <w:lvlJc w:val="left"/>
      <w:pPr>
        <w:tabs>
          <w:tab w:val="num" w:pos="720"/>
        </w:tabs>
        <w:ind w:left="720" w:hanging="720"/>
      </w:pPr>
      <w:rPr>
        <w:rFonts w:hint="default"/>
        <w:b w:val="0"/>
      </w:rPr>
    </w:lvl>
    <w:lvl w:ilvl="2">
      <w:start w:val="1"/>
      <w:numFmt w:val="lowerLetter"/>
      <w:lvlText w:val="%3)"/>
      <w:lvlJc w:val="left"/>
      <w:pPr>
        <w:tabs>
          <w:tab w:val="num" w:pos="1152"/>
        </w:tabs>
        <w:ind w:left="1152" w:hanging="432"/>
      </w:pPr>
      <w:rPr>
        <w:rFonts w:hint="default"/>
        <w:b/>
        <w:i w:val="0"/>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 w15:restartNumberingAfterBreak="0">
    <w:nsid w:val="16AF5CCA"/>
    <w:multiLevelType w:val="multilevel"/>
    <w:tmpl w:val="E0944734"/>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 w15:restartNumberingAfterBreak="0">
    <w:nsid w:val="1D79533A"/>
    <w:multiLevelType w:val="multilevel"/>
    <w:tmpl w:val="D24C2D3A"/>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4" w15:restartNumberingAfterBreak="0">
    <w:nsid w:val="49575A9A"/>
    <w:multiLevelType w:val="hybridMultilevel"/>
    <w:tmpl w:val="4E8E30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608460A"/>
    <w:multiLevelType w:val="hybridMultilevel"/>
    <w:tmpl w:val="AC56E03A"/>
    <w:lvl w:ilvl="0" w:tplc="655627C8">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AE37978"/>
    <w:multiLevelType w:val="multilevel"/>
    <w:tmpl w:val="71424E70"/>
    <w:lvl w:ilvl="0">
      <w:start w:val="1"/>
      <w:numFmt w:val="upperRoman"/>
      <w:lvlRestart w:val="0"/>
      <w:pStyle w:val="Chapter"/>
      <w:lvlText w:val="%1."/>
      <w:lvlJc w:val="center"/>
      <w:pPr>
        <w:tabs>
          <w:tab w:val="num" w:pos="2952"/>
        </w:tabs>
        <w:ind w:left="2304" w:firstLine="288"/>
      </w:pPr>
      <w:rPr>
        <w:b/>
        <w:i w:val="0"/>
      </w:rPr>
    </w:lvl>
    <w:lvl w:ilvl="1">
      <w:start w:val="1"/>
      <w:numFmt w:val="decimal"/>
      <w:pStyle w:val="Paragraph"/>
      <w:isLgl/>
      <w:lvlText w:val="%1.%2"/>
      <w:lvlJc w:val="left"/>
      <w:pPr>
        <w:tabs>
          <w:tab w:val="num" w:pos="3600"/>
        </w:tabs>
        <w:ind w:left="3600" w:hanging="1296"/>
      </w:pPr>
      <w:rPr>
        <w:rFonts w:ascii="Arial" w:hAnsi="Arial" w:cs="Arial" w:hint="default"/>
        <w:b w:val="0"/>
        <w:bCs/>
        <w:sz w:val="22"/>
        <w:szCs w:val="18"/>
      </w:rPr>
    </w:lvl>
    <w:lvl w:ilvl="2">
      <w:start w:val="1"/>
      <w:numFmt w:val="lowerLetter"/>
      <w:pStyle w:val="subpar"/>
      <w:lvlText w:val="%3."/>
      <w:lvlJc w:val="left"/>
      <w:pPr>
        <w:tabs>
          <w:tab w:val="num" w:pos="3456"/>
        </w:tabs>
        <w:ind w:left="3456" w:hanging="432"/>
      </w:pPr>
    </w:lvl>
    <w:lvl w:ilvl="3">
      <w:start w:val="1"/>
      <w:numFmt w:val="lowerRoman"/>
      <w:pStyle w:val="SubSubPar"/>
      <w:lvlText w:val="%4."/>
      <w:lvlJc w:val="right"/>
      <w:pPr>
        <w:tabs>
          <w:tab w:val="num" w:pos="3888"/>
        </w:tabs>
        <w:ind w:left="3888" w:hanging="288"/>
      </w:pPr>
    </w:lvl>
    <w:lvl w:ilvl="4">
      <w:start w:val="1"/>
      <w:numFmt w:val="decimal"/>
      <w:lvlText w:val="%1.%2.%3.%4.%5"/>
      <w:lvlJc w:val="left"/>
      <w:pPr>
        <w:ind w:left="3312" w:hanging="1008"/>
      </w:pPr>
    </w:lvl>
    <w:lvl w:ilvl="5">
      <w:start w:val="1"/>
      <w:numFmt w:val="decimal"/>
      <w:lvlText w:val="%1.%2.%3.%4.%5.%6"/>
      <w:lvlJc w:val="left"/>
      <w:pPr>
        <w:ind w:left="3456" w:hanging="1152"/>
      </w:pPr>
    </w:lvl>
    <w:lvl w:ilvl="6">
      <w:start w:val="1"/>
      <w:numFmt w:val="decimal"/>
      <w:lvlText w:val="%1.%2.%3.%4.%5.%6.%7"/>
      <w:lvlJc w:val="left"/>
      <w:pPr>
        <w:ind w:left="3600" w:hanging="1296"/>
      </w:pPr>
    </w:lvl>
    <w:lvl w:ilvl="7">
      <w:start w:val="1"/>
      <w:numFmt w:val="decimal"/>
      <w:lvlText w:val="%1.%2.%3.%4.%5.%6.%7.%8"/>
      <w:lvlJc w:val="left"/>
      <w:pPr>
        <w:ind w:left="3744" w:hanging="1440"/>
      </w:pPr>
    </w:lvl>
    <w:lvl w:ilvl="8">
      <w:start w:val="1"/>
      <w:numFmt w:val="decimal"/>
      <w:lvlText w:val="%1.%2.%3.%4.%5.%6.%7.%8.%9"/>
      <w:lvlJc w:val="left"/>
      <w:pPr>
        <w:ind w:left="3888" w:hanging="1584"/>
      </w:pPr>
    </w:lvl>
  </w:abstractNum>
  <w:abstractNum w:abstractNumId="7" w15:restartNumberingAfterBreak="0">
    <w:nsid w:val="739031CB"/>
    <w:multiLevelType w:val="hybridMultilevel"/>
    <w:tmpl w:val="09D68FD4"/>
    <w:lvl w:ilvl="0" w:tplc="F3CA3E4E">
      <w:start w:val="1"/>
      <w:numFmt w:val="upperRoman"/>
      <w:lvlText w:val="%1."/>
      <w:lvlJc w:val="left"/>
      <w:pPr>
        <w:ind w:left="1080" w:hanging="720"/>
      </w:pPr>
      <w:rPr>
        <w:rFonts w:hint="default"/>
      </w:rPr>
    </w:lvl>
    <w:lvl w:ilvl="1" w:tplc="935EE7FE" w:tentative="1">
      <w:start w:val="1"/>
      <w:numFmt w:val="lowerLetter"/>
      <w:lvlText w:val="%2."/>
      <w:lvlJc w:val="left"/>
      <w:pPr>
        <w:ind w:left="1440" w:hanging="360"/>
      </w:pPr>
    </w:lvl>
    <w:lvl w:ilvl="2" w:tplc="A7A4CB98" w:tentative="1">
      <w:start w:val="1"/>
      <w:numFmt w:val="lowerRoman"/>
      <w:lvlText w:val="%3."/>
      <w:lvlJc w:val="right"/>
      <w:pPr>
        <w:ind w:left="2160" w:hanging="180"/>
      </w:pPr>
    </w:lvl>
    <w:lvl w:ilvl="3" w:tplc="0C2C3330" w:tentative="1">
      <w:start w:val="1"/>
      <w:numFmt w:val="decimal"/>
      <w:lvlText w:val="%4."/>
      <w:lvlJc w:val="left"/>
      <w:pPr>
        <w:ind w:left="2880" w:hanging="360"/>
      </w:pPr>
    </w:lvl>
    <w:lvl w:ilvl="4" w:tplc="1F40355E" w:tentative="1">
      <w:start w:val="1"/>
      <w:numFmt w:val="lowerLetter"/>
      <w:lvlText w:val="%5."/>
      <w:lvlJc w:val="left"/>
      <w:pPr>
        <w:ind w:left="3600" w:hanging="360"/>
      </w:pPr>
    </w:lvl>
    <w:lvl w:ilvl="5" w:tplc="B94E8374" w:tentative="1">
      <w:start w:val="1"/>
      <w:numFmt w:val="lowerRoman"/>
      <w:lvlText w:val="%6."/>
      <w:lvlJc w:val="right"/>
      <w:pPr>
        <w:ind w:left="4320" w:hanging="180"/>
      </w:pPr>
    </w:lvl>
    <w:lvl w:ilvl="6" w:tplc="A31ABA7A" w:tentative="1">
      <w:start w:val="1"/>
      <w:numFmt w:val="decimal"/>
      <w:lvlText w:val="%7."/>
      <w:lvlJc w:val="left"/>
      <w:pPr>
        <w:ind w:left="5040" w:hanging="360"/>
      </w:pPr>
    </w:lvl>
    <w:lvl w:ilvl="7" w:tplc="8E2EF368" w:tentative="1">
      <w:start w:val="1"/>
      <w:numFmt w:val="lowerLetter"/>
      <w:lvlText w:val="%8."/>
      <w:lvlJc w:val="left"/>
      <w:pPr>
        <w:ind w:left="5760" w:hanging="360"/>
      </w:pPr>
    </w:lvl>
    <w:lvl w:ilvl="8" w:tplc="7DC2DDA6" w:tentative="1">
      <w:start w:val="1"/>
      <w:numFmt w:val="lowerRoman"/>
      <w:lvlText w:val="%9."/>
      <w:lvlJc w:val="right"/>
      <w:pPr>
        <w:ind w:left="6480" w:hanging="180"/>
      </w:pPr>
    </w:lvl>
  </w:abstractNum>
  <w:abstractNum w:abstractNumId="8" w15:restartNumberingAfterBreak="0">
    <w:nsid w:val="74C74592"/>
    <w:multiLevelType w:val="multilevel"/>
    <w:tmpl w:val="9908391E"/>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9" w15:restartNumberingAfterBreak="0">
    <w:nsid w:val="79E63B93"/>
    <w:multiLevelType w:val="multilevel"/>
    <w:tmpl w:val="B05066CE"/>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num w:numId="1">
    <w:abstractNumId w:val="8"/>
  </w:num>
  <w:num w:numId="2">
    <w:abstractNumId w:val="8"/>
  </w:num>
  <w:num w:numId="3">
    <w:abstractNumId w:val="8"/>
  </w:num>
  <w:num w:numId="4">
    <w:abstractNumId w:val="8"/>
  </w:num>
  <w:num w:numId="5">
    <w:abstractNumId w:val="1"/>
  </w:num>
  <w:num w:numId="6">
    <w:abstractNumId w:val="3"/>
  </w:num>
  <w:num w:numId="7">
    <w:abstractNumId w:val="7"/>
  </w:num>
  <w:num w:numId="8">
    <w:abstractNumId w:val="5"/>
  </w:num>
  <w:num w:numId="9">
    <w:abstractNumId w:val="6"/>
  </w:num>
  <w:num w:numId="10">
    <w:abstractNumId w:val="6"/>
  </w:num>
  <w:num w:numId="11">
    <w:abstractNumId w:val="6"/>
  </w:num>
  <w:num w:numId="12">
    <w:abstractNumId w:val="4"/>
  </w:num>
  <w:num w:numId="13">
    <w:abstractNumId w:val="0"/>
  </w:num>
  <w:num w:numId="14">
    <w:abstractNumId w:val="9"/>
  </w:num>
  <w:num w:numId="15">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s-ES_tradnl" w:vendorID="64" w:dllVersion="6" w:nlCheck="1" w:checkStyle="1"/>
  <w:activeWritingStyle w:appName="MSWord" w:lang="es-MX" w:vendorID="64" w:dllVersion="6" w:nlCheck="1" w:checkStyle="1"/>
  <w:activeWritingStyle w:appName="MSWord" w:lang="es-ES" w:vendorID="64" w:dllVersion="6" w:nlCheck="1" w:checkStyle="1"/>
  <w:activeWritingStyle w:appName="MSWord" w:lang="en-US" w:vendorID="64" w:dllVersion="0" w:nlCheck="1" w:checkStyle="0"/>
  <w:activeWritingStyle w:appName="MSWord" w:lang="pt-BR" w:vendorID="64" w:dllVersion="0" w:nlCheck="1" w:checkStyle="0"/>
  <w:activeWritingStyle w:appName="MSWord" w:lang="es-ES_tradnl" w:vendorID="64" w:dllVersion="0" w:nlCheck="1" w:checkStyle="0"/>
  <w:activeWritingStyle w:appName="MSWord" w:lang="es-419" w:vendorID="64" w:dllVersion="0" w:nlCheck="1" w:checkStyle="0"/>
  <w:activeWritingStyle w:appName="MSWord" w:lang="es-MX" w:vendorID="64" w:dllVersion="0" w:nlCheck="1" w:checkStyle="0"/>
  <w:activeWritingStyle w:appName="MSWord" w:lang="es-ES" w:vendorID="64" w:dllVersion="0" w:nlCheck="1" w:checkStyle="0"/>
  <w:activeWritingStyle w:appName="MSWord" w:lang="en-029" w:vendorID="64" w:dllVersion="0" w:nlCheck="1" w:checkStyle="0"/>
  <w:activeWritingStyle w:appName="MSWord" w:lang="fr-FR" w:vendorID="64" w:dllVersion="0" w:nlCheck="1" w:checkStyle="0"/>
  <w:activeWritingStyle w:appName="MSWord" w:lang="es-US" w:vendorID="64" w:dllVersion="0" w:nlCheck="1" w:checkStyle="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TYPE" w:val="PR"/>
    <w:docVar w:name="TotalAbbr" w:val="0"/>
  </w:docVars>
  <w:rsids>
    <w:rsidRoot w:val="00E12118"/>
    <w:rsid w:val="00001C03"/>
    <w:rsid w:val="0001084E"/>
    <w:rsid w:val="00010AF0"/>
    <w:rsid w:val="00013EC8"/>
    <w:rsid w:val="000149DF"/>
    <w:rsid w:val="00014DFB"/>
    <w:rsid w:val="00016837"/>
    <w:rsid w:val="00016C40"/>
    <w:rsid w:val="000179C7"/>
    <w:rsid w:val="00020283"/>
    <w:rsid w:val="00020CB6"/>
    <w:rsid w:val="00020DAE"/>
    <w:rsid w:val="00021104"/>
    <w:rsid w:val="000236DB"/>
    <w:rsid w:val="000250F5"/>
    <w:rsid w:val="00026019"/>
    <w:rsid w:val="00026720"/>
    <w:rsid w:val="0002688B"/>
    <w:rsid w:val="00031418"/>
    <w:rsid w:val="0003587B"/>
    <w:rsid w:val="0003767E"/>
    <w:rsid w:val="00037B83"/>
    <w:rsid w:val="00040111"/>
    <w:rsid w:val="0004143C"/>
    <w:rsid w:val="00042256"/>
    <w:rsid w:val="000433CD"/>
    <w:rsid w:val="000457C7"/>
    <w:rsid w:val="000468D2"/>
    <w:rsid w:val="0005181C"/>
    <w:rsid w:val="00053C33"/>
    <w:rsid w:val="00053D30"/>
    <w:rsid w:val="000576B5"/>
    <w:rsid w:val="00060466"/>
    <w:rsid w:val="00060572"/>
    <w:rsid w:val="0006117B"/>
    <w:rsid w:val="000624A8"/>
    <w:rsid w:val="000624C4"/>
    <w:rsid w:val="00063BBF"/>
    <w:rsid w:val="00064BA2"/>
    <w:rsid w:val="0006551F"/>
    <w:rsid w:val="00065D35"/>
    <w:rsid w:val="00066E41"/>
    <w:rsid w:val="00067038"/>
    <w:rsid w:val="0007069C"/>
    <w:rsid w:val="000709C5"/>
    <w:rsid w:val="00072020"/>
    <w:rsid w:val="00072486"/>
    <w:rsid w:val="0007257B"/>
    <w:rsid w:val="00073BA0"/>
    <w:rsid w:val="0007445D"/>
    <w:rsid w:val="000747F6"/>
    <w:rsid w:val="0008015F"/>
    <w:rsid w:val="00081371"/>
    <w:rsid w:val="00082C75"/>
    <w:rsid w:val="00084C22"/>
    <w:rsid w:val="000851E7"/>
    <w:rsid w:val="0008533A"/>
    <w:rsid w:val="00087242"/>
    <w:rsid w:val="00090C14"/>
    <w:rsid w:val="00091444"/>
    <w:rsid w:val="00092572"/>
    <w:rsid w:val="00092C9D"/>
    <w:rsid w:val="000930A4"/>
    <w:rsid w:val="000938DB"/>
    <w:rsid w:val="0009392C"/>
    <w:rsid w:val="00094083"/>
    <w:rsid w:val="00094D52"/>
    <w:rsid w:val="00094F7A"/>
    <w:rsid w:val="000955A2"/>
    <w:rsid w:val="00097B8F"/>
    <w:rsid w:val="000A1AA0"/>
    <w:rsid w:val="000A4829"/>
    <w:rsid w:val="000A4E4C"/>
    <w:rsid w:val="000A57EC"/>
    <w:rsid w:val="000A6738"/>
    <w:rsid w:val="000B1FB1"/>
    <w:rsid w:val="000B24A9"/>
    <w:rsid w:val="000B25B8"/>
    <w:rsid w:val="000B2F6F"/>
    <w:rsid w:val="000B32BC"/>
    <w:rsid w:val="000B3BD5"/>
    <w:rsid w:val="000B41BB"/>
    <w:rsid w:val="000B4DCC"/>
    <w:rsid w:val="000B66A8"/>
    <w:rsid w:val="000B72FC"/>
    <w:rsid w:val="000B7B90"/>
    <w:rsid w:val="000C010B"/>
    <w:rsid w:val="000C3762"/>
    <w:rsid w:val="000C41CC"/>
    <w:rsid w:val="000C42BA"/>
    <w:rsid w:val="000C6158"/>
    <w:rsid w:val="000D0B75"/>
    <w:rsid w:val="000D34AF"/>
    <w:rsid w:val="000D3822"/>
    <w:rsid w:val="000D3DC8"/>
    <w:rsid w:val="000E0506"/>
    <w:rsid w:val="000E0BF0"/>
    <w:rsid w:val="000E2BFF"/>
    <w:rsid w:val="000E4899"/>
    <w:rsid w:val="000E4BB5"/>
    <w:rsid w:val="000E5DFC"/>
    <w:rsid w:val="000F30BE"/>
    <w:rsid w:val="000F4193"/>
    <w:rsid w:val="000F5399"/>
    <w:rsid w:val="000F59CA"/>
    <w:rsid w:val="000F63BE"/>
    <w:rsid w:val="000F6431"/>
    <w:rsid w:val="001014FA"/>
    <w:rsid w:val="001019B2"/>
    <w:rsid w:val="00102FDE"/>
    <w:rsid w:val="0010316C"/>
    <w:rsid w:val="00103744"/>
    <w:rsid w:val="00107EAC"/>
    <w:rsid w:val="001107BE"/>
    <w:rsid w:val="0011224C"/>
    <w:rsid w:val="001123A5"/>
    <w:rsid w:val="00114F7D"/>
    <w:rsid w:val="001160A2"/>
    <w:rsid w:val="0011629A"/>
    <w:rsid w:val="001164F0"/>
    <w:rsid w:val="00117DDA"/>
    <w:rsid w:val="00121C06"/>
    <w:rsid w:val="00122EDF"/>
    <w:rsid w:val="00123D65"/>
    <w:rsid w:val="00126571"/>
    <w:rsid w:val="00127BFC"/>
    <w:rsid w:val="001303CC"/>
    <w:rsid w:val="00130640"/>
    <w:rsid w:val="00130F75"/>
    <w:rsid w:val="001348D5"/>
    <w:rsid w:val="00135492"/>
    <w:rsid w:val="00140F80"/>
    <w:rsid w:val="00141606"/>
    <w:rsid w:val="00141A56"/>
    <w:rsid w:val="00142ABD"/>
    <w:rsid w:val="00142CDE"/>
    <w:rsid w:val="0014405E"/>
    <w:rsid w:val="00144B10"/>
    <w:rsid w:val="00144C00"/>
    <w:rsid w:val="00146F2A"/>
    <w:rsid w:val="001471FA"/>
    <w:rsid w:val="00153822"/>
    <w:rsid w:val="00154EAD"/>
    <w:rsid w:val="001552AA"/>
    <w:rsid w:val="001552EB"/>
    <w:rsid w:val="00155F40"/>
    <w:rsid w:val="00156AB7"/>
    <w:rsid w:val="00156B23"/>
    <w:rsid w:val="00156E2D"/>
    <w:rsid w:val="00162F22"/>
    <w:rsid w:val="00162F28"/>
    <w:rsid w:val="0016331E"/>
    <w:rsid w:val="00163C20"/>
    <w:rsid w:val="001642A9"/>
    <w:rsid w:val="00164F9A"/>
    <w:rsid w:val="00165916"/>
    <w:rsid w:val="0016712A"/>
    <w:rsid w:val="00167836"/>
    <w:rsid w:val="00167B4F"/>
    <w:rsid w:val="001716A9"/>
    <w:rsid w:val="001720CB"/>
    <w:rsid w:val="00172382"/>
    <w:rsid w:val="00172C66"/>
    <w:rsid w:val="00173107"/>
    <w:rsid w:val="0017428F"/>
    <w:rsid w:val="00175146"/>
    <w:rsid w:val="0017796D"/>
    <w:rsid w:val="00177DE8"/>
    <w:rsid w:val="00177FDE"/>
    <w:rsid w:val="00180EC9"/>
    <w:rsid w:val="00180FBB"/>
    <w:rsid w:val="00181A7F"/>
    <w:rsid w:val="0018215B"/>
    <w:rsid w:val="0018315D"/>
    <w:rsid w:val="00185C92"/>
    <w:rsid w:val="00191F38"/>
    <w:rsid w:val="00191FDB"/>
    <w:rsid w:val="00192576"/>
    <w:rsid w:val="00192E9E"/>
    <w:rsid w:val="001938E0"/>
    <w:rsid w:val="001942E3"/>
    <w:rsid w:val="001942FB"/>
    <w:rsid w:val="00194616"/>
    <w:rsid w:val="00195A15"/>
    <w:rsid w:val="001A0256"/>
    <w:rsid w:val="001A0E2B"/>
    <w:rsid w:val="001A1A9C"/>
    <w:rsid w:val="001A236A"/>
    <w:rsid w:val="001A33A5"/>
    <w:rsid w:val="001A42BD"/>
    <w:rsid w:val="001A4F42"/>
    <w:rsid w:val="001A59DF"/>
    <w:rsid w:val="001B16BB"/>
    <w:rsid w:val="001B2CBA"/>
    <w:rsid w:val="001B5E18"/>
    <w:rsid w:val="001B5F39"/>
    <w:rsid w:val="001B6342"/>
    <w:rsid w:val="001B718E"/>
    <w:rsid w:val="001C357E"/>
    <w:rsid w:val="001C4655"/>
    <w:rsid w:val="001C546E"/>
    <w:rsid w:val="001C5A17"/>
    <w:rsid w:val="001C5E0F"/>
    <w:rsid w:val="001C61E2"/>
    <w:rsid w:val="001D1C2F"/>
    <w:rsid w:val="001D2083"/>
    <w:rsid w:val="001D22E0"/>
    <w:rsid w:val="001D2516"/>
    <w:rsid w:val="001D3190"/>
    <w:rsid w:val="001D4EA3"/>
    <w:rsid w:val="001E040E"/>
    <w:rsid w:val="001E1103"/>
    <w:rsid w:val="001E12A1"/>
    <w:rsid w:val="001E1369"/>
    <w:rsid w:val="001E3B3E"/>
    <w:rsid w:val="001E4151"/>
    <w:rsid w:val="001E5F8B"/>
    <w:rsid w:val="001E6498"/>
    <w:rsid w:val="001E7997"/>
    <w:rsid w:val="001F154B"/>
    <w:rsid w:val="001F284D"/>
    <w:rsid w:val="001F48A4"/>
    <w:rsid w:val="001F739F"/>
    <w:rsid w:val="001F76DF"/>
    <w:rsid w:val="002014C3"/>
    <w:rsid w:val="0020184F"/>
    <w:rsid w:val="00203185"/>
    <w:rsid w:val="00203CA7"/>
    <w:rsid w:val="00205481"/>
    <w:rsid w:val="00205B6A"/>
    <w:rsid w:val="00210CC1"/>
    <w:rsid w:val="00210D0D"/>
    <w:rsid w:val="00210F56"/>
    <w:rsid w:val="00213B01"/>
    <w:rsid w:val="0021514D"/>
    <w:rsid w:val="00215C08"/>
    <w:rsid w:val="00215CF1"/>
    <w:rsid w:val="00215E24"/>
    <w:rsid w:val="002164BE"/>
    <w:rsid w:val="00217641"/>
    <w:rsid w:val="00217E41"/>
    <w:rsid w:val="00221484"/>
    <w:rsid w:val="00221613"/>
    <w:rsid w:val="002223A1"/>
    <w:rsid w:val="00223ADC"/>
    <w:rsid w:val="00223F77"/>
    <w:rsid w:val="002244E7"/>
    <w:rsid w:val="00225316"/>
    <w:rsid w:val="00225796"/>
    <w:rsid w:val="00225BB7"/>
    <w:rsid w:val="0022691B"/>
    <w:rsid w:val="002301F3"/>
    <w:rsid w:val="00231525"/>
    <w:rsid w:val="00235003"/>
    <w:rsid w:val="00235B0D"/>
    <w:rsid w:val="00235FBB"/>
    <w:rsid w:val="00236D49"/>
    <w:rsid w:val="00236E6D"/>
    <w:rsid w:val="0023703C"/>
    <w:rsid w:val="0023717F"/>
    <w:rsid w:val="00237210"/>
    <w:rsid w:val="0024017A"/>
    <w:rsid w:val="002412A3"/>
    <w:rsid w:val="002414F1"/>
    <w:rsid w:val="00242565"/>
    <w:rsid w:val="0024312E"/>
    <w:rsid w:val="0024524D"/>
    <w:rsid w:val="00246340"/>
    <w:rsid w:val="00246FB4"/>
    <w:rsid w:val="00247F77"/>
    <w:rsid w:val="00252036"/>
    <w:rsid w:val="002520DF"/>
    <w:rsid w:val="00253F74"/>
    <w:rsid w:val="002566CF"/>
    <w:rsid w:val="0025763D"/>
    <w:rsid w:val="00261A5F"/>
    <w:rsid w:val="00265B8A"/>
    <w:rsid w:val="00266180"/>
    <w:rsid w:val="0027102F"/>
    <w:rsid w:val="002720AC"/>
    <w:rsid w:val="00275112"/>
    <w:rsid w:val="00275E77"/>
    <w:rsid w:val="00277DDE"/>
    <w:rsid w:val="00280096"/>
    <w:rsid w:val="00281A11"/>
    <w:rsid w:val="00281A51"/>
    <w:rsid w:val="00281B95"/>
    <w:rsid w:val="00281C52"/>
    <w:rsid w:val="002821BF"/>
    <w:rsid w:val="00284C7C"/>
    <w:rsid w:val="0028648B"/>
    <w:rsid w:val="002910BB"/>
    <w:rsid w:val="002931AD"/>
    <w:rsid w:val="0029377A"/>
    <w:rsid w:val="002947C1"/>
    <w:rsid w:val="00296727"/>
    <w:rsid w:val="002967D4"/>
    <w:rsid w:val="00297757"/>
    <w:rsid w:val="002A314E"/>
    <w:rsid w:val="002A3332"/>
    <w:rsid w:val="002A3386"/>
    <w:rsid w:val="002A5172"/>
    <w:rsid w:val="002A56E8"/>
    <w:rsid w:val="002A5BCC"/>
    <w:rsid w:val="002A74F9"/>
    <w:rsid w:val="002B0A8D"/>
    <w:rsid w:val="002B1704"/>
    <w:rsid w:val="002B2592"/>
    <w:rsid w:val="002B3256"/>
    <w:rsid w:val="002B489E"/>
    <w:rsid w:val="002B5F6A"/>
    <w:rsid w:val="002B64E1"/>
    <w:rsid w:val="002B7458"/>
    <w:rsid w:val="002C3694"/>
    <w:rsid w:val="002C3902"/>
    <w:rsid w:val="002C487B"/>
    <w:rsid w:val="002C5F61"/>
    <w:rsid w:val="002C6F9E"/>
    <w:rsid w:val="002C78F9"/>
    <w:rsid w:val="002C7F8B"/>
    <w:rsid w:val="002D23EF"/>
    <w:rsid w:val="002D38E5"/>
    <w:rsid w:val="002D3C31"/>
    <w:rsid w:val="002D4815"/>
    <w:rsid w:val="002D7030"/>
    <w:rsid w:val="002D7574"/>
    <w:rsid w:val="002D7E32"/>
    <w:rsid w:val="002E0904"/>
    <w:rsid w:val="002E1643"/>
    <w:rsid w:val="002E18C2"/>
    <w:rsid w:val="002E409B"/>
    <w:rsid w:val="002E4605"/>
    <w:rsid w:val="002E4CD4"/>
    <w:rsid w:val="002F0244"/>
    <w:rsid w:val="002F1293"/>
    <w:rsid w:val="002F2F82"/>
    <w:rsid w:val="002F3035"/>
    <w:rsid w:val="002F4A4D"/>
    <w:rsid w:val="002F4CB9"/>
    <w:rsid w:val="002F564A"/>
    <w:rsid w:val="002F6476"/>
    <w:rsid w:val="002F684A"/>
    <w:rsid w:val="002F72F5"/>
    <w:rsid w:val="00303592"/>
    <w:rsid w:val="003037B4"/>
    <w:rsid w:val="00304711"/>
    <w:rsid w:val="00306037"/>
    <w:rsid w:val="0031072F"/>
    <w:rsid w:val="00314116"/>
    <w:rsid w:val="0031495D"/>
    <w:rsid w:val="00314E0A"/>
    <w:rsid w:val="00316E99"/>
    <w:rsid w:val="00320457"/>
    <w:rsid w:val="003207F1"/>
    <w:rsid w:val="003219DB"/>
    <w:rsid w:val="003225D3"/>
    <w:rsid w:val="00323342"/>
    <w:rsid w:val="00324C02"/>
    <w:rsid w:val="003268D3"/>
    <w:rsid w:val="003305FC"/>
    <w:rsid w:val="00330BF9"/>
    <w:rsid w:val="00331D7F"/>
    <w:rsid w:val="003337B0"/>
    <w:rsid w:val="0033437E"/>
    <w:rsid w:val="00335240"/>
    <w:rsid w:val="00336398"/>
    <w:rsid w:val="003367CC"/>
    <w:rsid w:val="003372D9"/>
    <w:rsid w:val="003410A1"/>
    <w:rsid w:val="00341538"/>
    <w:rsid w:val="00343584"/>
    <w:rsid w:val="003435D4"/>
    <w:rsid w:val="00345652"/>
    <w:rsid w:val="00345A36"/>
    <w:rsid w:val="00345EF0"/>
    <w:rsid w:val="00346ABD"/>
    <w:rsid w:val="003476E8"/>
    <w:rsid w:val="00350DFA"/>
    <w:rsid w:val="0035114C"/>
    <w:rsid w:val="00351DC9"/>
    <w:rsid w:val="00352CFD"/>
    <w:rsid w:val="00353ED2"/>
    <w:rsid w:val="00357E37"/>
    <w:rsid w:val="00357FB8"/>
    <w:rsid w:val="00360FF7"/>
    <w:rsid w:val="0036257A"/>
    <w:rsid w:val="0036361E"/>
    <w:rsid w:val="00363D7A"/>
    <w:rsid w:val="00363E93"/>
    <w:rsid w:val="003655FC"/>
    <w:rsid w:val="00370BC6"/>
    <w:rsid w:val="0037248A"/>
    <w:rsid w:val="00372EA7"/>
    <w:rsid w:val="00373850"/>
    <w:rsid w:val="00374ED9"/>
    <w:rsid w:val="003751AD"/>
    <w:rsid w:val="00375CC7"/>
    <w:rsid w:val="00375F9E"/>
    <w:rsid w:val="00376DB4"/>
    <w:rsid w:val="003779EA"/>
    <w:rsid w:val="00380288"/>
    <w:rsid w:val="003809EA"/>
    <w:rsid w:val="00380B8B"/>
    <w:rsid w:val="00380F0B"/>
    <w:rsid w:val="00380FB1"/>
    <w:rsid w:val="00381971"/>
    <w:rsid w:val="00382FCF"/>
    <w:rsid w:val="0038326B"/>
    <w:rsid w:val="00385DF9"/>
    <w:rsid w:val="003869CA"/>
    <w:rsid w:val="0038742A"/>
    <w:rsid w:val="00387F86"/>
    <w:rsid w:val="00391856"/>
    <w:rsid w:val="00392611"/>
    <w:rsid w:val="00395F3F"/>
    <w:rsid w:val="00396834"/>
    <w:rsid w:val="0039689C"/>
    <w:rsid w:val="003976D4"/>
    <w:rsid w:val="003A02CA"/>
    <w:rsid w:val="003A0563"/>
    <w:rsid w:val="003A0DFF"/>
    <w:rsid w:val="003A2D06"/>
    <w:rsid w:val="003A3585"/>
    <w:rsid w:val="003A371A"/>
    <w:rsid w:val="003A3A20"/>
    <w:rsid w:val="003A3F65"/>
    <w:rsid w:val="003A6422"/>
    <w:rsid w:val="003A7890"/>
    <w:rsid w:val="003B0602"/>
    <w:rsid w:val="003B0891"/>
    <w:rsid w:val="003B2235"/>
    <w:rsid w:val="003B2663"/>
    <w:rsid w:val="003B2DE1"/>
    <w:rsid w:val="003B5446"/>
    <w:rsid w:val="003B60E5"/>
    <w:rsid w:val="003B71D7"/>
    <w:rsid w:val="003C07E2"/>
    <w:rsid w:val="003C138B"/>
    <w:rsid w:val="003C17D7"/>
    <w:rsid w:val="003C3A3F"/>
    <w:rsid w:val="003C3C6A"/>
    <w:rsid w:val="003C712C"/>
    <w:rsid w:val="003C7273"/>
    <w:rsid w:val="003C75CF"/>
    <w:rsid w:val="003D0598"/>
    <w:rsid w:val="003D25D2"/>
    <w:rsid w:val="003D552B"/>
    <w:rsid w:val="003D5D1E"/>
    <w:rsid w:val="003D779E"/>
    <w:rsid w:val="003E3109"/>
    <w:rsid w:val="003E3835"/>
    <w:rsid w:val="003E55D7"/>
    <w:rsid w:val="003E6BEC"/>
    <w:rsid w:val="003E7251"/>
    <w:rsid w:val="003F06C8"/>
    <w:rsid w:val="003F27D7"/>
    <w:rsid w:val="003F3016"/>
    <w:rsid w:val="003F309E"/>
    <w:rsid w:val="003F45DD"/>
    <w:rsid w:val="003F5774"/>
    <w:rsid w:val="003F7F42"/>
    <w:rsid w:val="004000F8"/>
    <w:rsid w:val="00401062"/>
    <w:rsid w:val="004022F3"/>
    <w:rsid w:val="0040241E"/>
    <w:rsid w:val="00402763"/>
    <w:rsid w:val="0040315C"/>
    <w:rsid w:val="00403418"/>
    <w:rsid w:val="004038A7"/>
    <w:rsid w:val="00404898"/>
    <w:rsid w:val="004054D4"/>
    <w:rsid w:val="00406939"/>
    <w:rsid w:val="00410322"/>
    <w:rsid w:val="0041531D"/>
    <w:rsid w:val="00415549"/>
    <w:rsid w:val="0041610E"/>
    <w:rsid w:val="00425DBA"/>
    <w:rsid w:val="004269DB"/>
    <w:rsid w:val="00427A9E"/>
    <w:rsid w:val="004301F8"/>
    <w:rsid w:val="0043256E"/>
    <w:rsid w:val="00433290"/>
    <w:rsid w:val="00433791"/>
    <w:rsid w:val="004341BA"/>
    <w:rsid w:val="00434F98"/>
    <w:rsid w:val="00437546"/>
    <w:rsid w:val="00437E00"/>
    <w:rsid w:val="00443165"/>
    <w:rsid w:val="0044599E"/>
    <w:rsid w:val="00445D68"/>
    <w:rsid w:val="00446AA8"/>
    <w:rsid w:val="00450757"/>
    <w:rsid w:val="0045248B"/>
    <w:rsid w:val="00453E76"/>
    <w:rsid w:val="004544EA"/>
    <w:rsid w:val="004561C6"/>
    <w:rsid w:val="0045688F"/>
    <w:rsid w:val="00456A35"/>
    <w:rsid w:val="00463544"/>
    <w:rsid w:val="00466286"/>
    <w:rsid w:val="004707BC"/>
    <w:rsid w:val="00470DEE"/>
    <w:rsid w:val="00471A3B"/>
    <w:rsid w:val="004731A7"/>
    <w:rsid w:val="0047482C"/>
    <w:rsid w:val="00476B1E"/>
    <w:rsid w:val="00476CE3"/>
    <w:rsid w:val="0048007D"/>
    <w:rsid w:val="004814B0"/>
    <w:rsid w:val="0048189D"/>
    <w:rsid w:val="00482A45"/>
    <w:rsid w:val="004842D6"/>
    <w:rsid w:val="00484363"/>
    <w:rsid w:val="004844BD"/>
    <w:rsid w:val="004846FF"/>
    <w:rsid w:val="0048564E"/>
    <w:rsid w:val="004862F0"/>
    <w:rsid w:val="004876A2"/>
    <w:rsid w:val="004914E3"/>
    <w:rsid w:val="00492349"/>
    <w:rsid w:val="004946D9"/>
    <w:rsid w:val="0049634F"/>
    <w:rsid w:val="004971D5"/>
    <w:rsid w:val="004A051C"/>
    <w:rsid w:val="004A061B"/>
    <w:rsid w:val="004A0CF5"/>
    <w:rsid w:val="004A26B3"/>
    <w:rsid w:val="004A3BBA"/>
    <w:rsid w:val="004A41FC"/>
    <w:rsid w:val="004A456B"/>
    <w:rsid w:val="004A584E"/>
    <w:rsid w:val="004A5A36"/>
    <w:rsid w:val="004A639E"/>
    <w:rsid w:val="004A6921"/>
    <w:rsid w:val="004A7091"/>
    <w:rsid w:val="004A748A"/>
    <w:rsid w:val="004A7529"/>
    <w:rsid w:val="004A7A73"/>
    <w:rsid w:val="004B0C95"/>
    <w:rsid w:val="004B2470"/>
    <w:rsid w:val="004B26C7"/>
    <w:rsid w:val="004B5DC9"/>
    <w:rsid w:val="004B6404"/>
    <w:rsid w:val="004B657E"/>
    <w:rsid w:val="004C0367"/>
    <w:rsid w:val="004C0BCB"/>
    <w:rsid w:val="004C5D27"/>
    <w:rsid w:val="004C613F"/>
    <w:rsid w:val="004D2E16"/>
    <w:rsid w:val="004D2F6B"/>
    <w:rsid w:val="004D4A53"/>
    <w:rsid w:val="004D5B1E"/>
    <w:rsid w:val="004D76F1"/>
    <w:rsid w:val="004D7FA2"/>
    <w:rsid w:val="004E0EDC"/>
    <w:rsid w:val="004E12D9"/>
    <w:rsid w:val="004E1B7A"/>
    <w:rsid w:val="004E3816"/>
    <w:rsid w:val="004E3927"/>
    <w:rsid w:val="004E6AC2"/>
    <w:rsid w:val="004F0422"/>
    <w:rsid w:val="004F086E"/>
    <w:rsid w:val="004F1171"/>
    <w:rsid w:val="004F139A"/>
    <w:rsid w:val="004F307F"/>
    <w:rsid w:val="004F4198"/>
    <w:rsid w:val="004F518B"/>
    <w:rsid w:val="004F6D47"/>
    <w:rsid w:val="004F7695"/>
    <w:rsid w:val="005031EB"/>
    <w:rsid w:val="00505E4B"/>
    <w:rsid w:val="00507A2E"/>
    <w:rsid w:val="00510F79"/>
    <w:rsid w:val="0051148C"/>
    <w:rsid w:val="00513C16"/>
    <w:rsid w:val="00513CF4"/>
    <w:rsid w:val="0051513D"/>
    <w:rsid w:val="00516D8C"/>
    <w:rsid w:val="0051708C"/>
    <w:rsid w:val="00517632"/>
    <w:rsid w:val="00520D90"/>
    <w:rsid w:val="00520DF2"/>
    <w:rsid w:val="005244AC"/>
    <w:rsid w:val="005244FD"/>
    <w:rsid w:val="0052506E"/>
    <w:rsid w:val="00525D16"/>
    <w:rsid w:val="00525D9D"/>
    <w:rsid w:val="0052677C"/>
    <w:rsid w:val="00526B41"/>
    <w:rsid w:val="00530144"/>
    <w:rsid w:val="00530312"/>
    <w:rsid w:val="0053071B"/>
    <w:rsid w:val="0053402E"/>
    <w:rsid w:val="00534BA3"/>
    <w:rsid w:val="005375BD"/>
    <w:rsid w:val="00540023"/>
    <w:rsid w:val="00540511"/>
    <w:rsid w:val="00540C5D"/>
    <w:rsid w:val="00542144"/>
    <w:rsid w:val="00542A9D"/>
    <w:rsid w:val="00545485"/>
    <w:rsid w:val="005512BB"/>
    <w:rsid w:val="0055205D"/>
    <w:rsid w:val="00556E65"/>
    <w:rsid w:val="005606FB"/>
    <w:rsid w:val="00560F6F"/>
    <w:rsid w:val="005610DF"/>
    <w:rsid w:val="0056205A"/>
    <w:rsid w:val="00564016"/>
    <w:rsid w:val="0056462F"/>
    <w:rsid w:val="00566DD1"/>
    <w:rsid w:val="005673D0"/>
    <w:rsid w:val="005678BF"/>
    <w:rsid w:val="0057122A"/>
    <w:rsid w:val="0057258A"/>
    <w:rsid w:val="0057363A"/>
    <w:rsid w:val="005743CD"/>
    <w:rsid w:val="00574441"/>
    <w:rsid w:val="0057475C"/>
    <w:rsid w:val="005749C8"/>
    <w:rsid w:val="0057531D"/>
    <w:rsid w:val="005777AE"/>
    <w:rsid w:val="00583B51"/>
    <w:rsid w:val="00583ED0"/>
    <w:rsid w:val="005849CF"/>
    <w:rsid w:val="0058525C"/>
    <w:rsid w:val="005861EF"/>
    <w:rsid w:val="00590220"/>
    <w:rsid w:val="005904FC"/>
    <w:rsid w:val="005912FA"/>
    <w:rsid w:val="00591407"/>
    <w:rsid w:val="00593F82"/>
    <w:rsid w:val="0059521B"/>
    <w:rsid w:val="00595295"/>
    <w:rsid w:val="00597811"/>
    <w:rsid w:val="005A0734"/>
    <w:rsid w:val="005A127A"/>
    <w:rsid w:val="005A24BB"/>
    <w:rsid w:val="005A2531"/>
    <w:rsid w:val="005A2D7A"/>
    <w:rsid w:val="005A337F"/>
    <w:rsid w:val="005A4EED"/>
    <w:rsid w:val="005A5523"/>
    <w:rsid w:val="005A65F1"/>
    <w:rsid w:val="005A6D07"/>
    <w:rsid w:val="005A6D46"/>
    <w:rsid w:val="005A7A8C"/>
    <w:rsid w:val="005B1260"/>
    <w:rsid w:val="005B2039"/>
    <w:rsid w:val="005B24C9"/>
    <w:rsid w:val="005B2C97"/>
    <w:rsid w:val="005B429C"/>
    <w:rsid w:val="005B4D32"/>
    <w:rsid w:val="005B4DFE"/>
    <w:rsid w:val="005B4FA0"/>
    <w:rsid w:val="005B5DC1"/>
    <w:rsid w:val="005C115B"/>
    <w:rsid w:val="005C2319"/>
    <w:rsid w:val="005C35CB"/>
    <w:rsid w:val="005C3EE5"/>
    <w:rsid w:val="005C5796"/>
    <w:rsid w:val="005C5FC3"/>
    <w:rsid w:val="005D20DB"/>
    <w:rsid w:val="005D29FA"/>
    <w:rsid w:val="005D3133"/>
    <w:rsid w:val="005D38F4"/>
    <w:rsid w:val="005D53E8"/>
    <w:rsid w:val="005D559A"/>
    <w:rsid w:val="005D6C53"/>
    <w:rsid w:val="005E1DCA"/>
    <w:rsid w:val="005E4372"/>
    <w:rsid w:val="005E4B21"/>
    <w:rsid w:val="005E5067"/>
    <w:rsid w:val="005E5968"/>
    <w:rsid w:val="005E5A7B"/>
    <w:rsid w:val="005E691C"/>
    <w:rsid w:val="005E7DFD"/>
    <w:rsid w:val="005F05C8"/>
    <w:rsid w:val="005F1A4C"/>
    <w:rsid w:val="005F2D29"/>
    <w:rsid w:val="005F3CD4"/>
    <w:rsid w:val="005F5734"/>
    <w:rsid w:val="005F7A7D"/>
    <w:rsid w:val="005F7D3D"/>
    <w:rsid w:val="006008DD"/>
    <w:rsid w:val="0060167A"/>
    <w:rsid w:val="006033EC"/>
    <w:rsid w:val="006069C6"/>
    <w:rsid w:val="0060746C"/>
    <w:rsid w:val="00607575"/>
    <w:rsid w:val="0061096E"/>
    <w:rsid w:val="006111D8"/>
    <w:rsid w:val="00613857"/>
    <w:rsid w:val="00614F29"/>
    <w:rsid w:val="006154DE"/>
    <w:rsid w:val="00616D67"/>
    <w:rsid w:val="00617868"/>
    <w:rsid w:val="0062519F"/>
    <w:rsid w:val="00630B6B"/>
    <w:rsid w:val="00631B4F"/>
    <w:rsid w:val="0063297D"/>
    <w:rsid w:val="00632A5E"/>
    <w:rsid w:val="00633836"/>
    <w:rsid w:val="00633871"/>
    <w:rsid w:val="00634339"/>
    <w:rsid w:val="00635812"/>
    <w:rsid w:val="006360A7"/>
    <w:rsid w:val="00636A6F"/>
    <w:rsid w:val="00637C50"/>
    <w:rsid w:val="00641D57"/>
    <w:rsid w:val="0064307D"/>
    <w:rsid w:val="0064542B"/>
    <w:rsid w:val="00647A42"/>
    <w:rsid w:val="006514A5"/>
    <w:rsid w:val="00651C96"/>
    <w:rsid w:val="0065234E"/>
    <w:rsid w:val="00653572"/>
    <w:rsid w:val="0065426D"/>
    <w:rsid w:val="006557AA"/>
    <w:rsid w:val="00655B95"/>
    <w:rsid w:val="00655D47"/>
    <w:rsid w:val="00661AA6"/>
    <w:rsid w:val="00662E28"/>
    <w:rsid w:val="00662EF5"/>
    <w:rsid w:val="00665DD8"/>
    <w:rsid w:val="00666A6B"/>
    <w:rsid w:val="006675F7"/>
    <w:rsid w:val="00667BD6"/>
    <w:rsid w:val="00667FD0"/>
    <w:rsid w:val="00670F13"/>
    <w:rsid w:val="00671528"/>
    <w:rsid w:val="00671B41"/>
    <w:rsid w:val="0067674A"/>
    <w:rsid w:val="006771DA"/>
    <w:rsid w:val="00677958"/>
    <w:rsid w:val="006804B0"/>
    <w:rsid w:val="00680797"/>
    <w:rsid w:val="00680D6D"/>
    <w:rsid w:val="00681369"/>
    <w:rsid w:val="00682036"/>
    <w:rsid w:val="00682460"/>
    <w:rsid w:val="00683491"/>
    <w:rsid w:val="00683D25"/>
    <w:rsid w:val="006861CB"/>
    <w:rsid w:val="00686F97"/>
    <w:rsid w:val="0068765F"/>
    <w:rsid w:val="00691DCC"/>
    <w:rsid w:val="00692B36"/>
    <w:rsid w:val="00693EAF"/>
    <w:rsid w:val="00694293"/>
    <w:rsid w:val="00696847"/>
    <w:rsid w:val="00696BCD"/>
    <w:rsid w:val="00697A63"/>
    <w:rsid w:val="006A0954"/>
    <w:rsid w:val="006A10A8"/>
    <w:rsid w:val="006A1933"/>
    <w:rsid w:val="006A22F4"/>
    <w:rsid w:val="006A2958"/>
    <w:rsid w:val="006A297F"/>
    <w:rsid w:val="006A4F1A"/>
    <w:rsid w:val="006A60E1"/>
    <w:rsid w:val="006A623F"/>
    <w:rsid w:val="006A624D"/>
    <w:rsid w:val="006A6915"/>
    <w:rsid w:val="006A6DE4"/>
    <w:rsid w:val="006B1297"/>
    <w:rsid w:val="006B1399"/>
    <w:rsid w:val="006B2D6E"/>
    <w:rsid w:val="006B2ED2"/>
    <w:rsid w:val="006B3ECD"/>
    <w:rsid w:val="006B6BB8"/>
    <w:rsid w:val="006C2AA9"/>
    <w:rsid w:val="006C2B33"/>
    <w:rsid w:val="006C30A6"/>
    <w:rsid w:val="006C354A"/>
    <w:rsid w:val="006C54B3"/>
    <w:rsid w:val="006C6FF7"/>
    <w:rsid w:val="006D0109"/>
    <w:rsid w:val="006D1CC0"/>
    <w:rsid w:val="006D24C3"/>
    <w:rsid w:val="006D329E"/>
    <w:rsid w:val="006D722F"/>
    <w:rsid w:val="006D75AA"/>
    <w:rsid w:val="006E0170"/>
    <w:rsid w:val="006E12FF"/>
    <w:rsid w:val="006E1EFD"/>
    <w:rsid w:val="006E361D"/>
    <w:rsid w:val="006E4711"/>
    <w:rsid w:val="006E5876"/>
    <w:rsid w:val="006E6530"/>
    <w:rsid w:val="006E79E7"/>
    <w:rsid w:val="006F15F6"/>
    <w:rsid w:val="006F2B09"/>
    <w:rsid w:val="006F3ACC"/>
    <w:rsid w:val="006F3EEA"/>
    <w:rsid w:val="006F6339"/>
    <w:rsid w:val="006F649B"/>
    <w:rsid w:val="006F7CD0"/>
    <w:rsid w:val="007011A2"/>
    <w:rsid w:val="00701C8D"/>
    <w:rsid w:val="00701E8E"/>
    <w:rsid w:val="00703D4B"/>
    <w:rsid w:val="00705DD5"/>
    <w:rsid w:val="00711518"/>
    <w:rsid w:val="0071299D"/>
    <w:rsid w:val="0071320B"/>
    <w:rsid w:val="007137DF"/>
    <w:rsid w:val="00716E84"/>
    <w:rsid w:val="00717FD1"/>
    <w:rsid w:val="0072095F"/>
    <w:rsid w:val="00723328"/>
    <w:rsid w:val="007246A2"/>
    <w:rsid w:val="00724CE2"/>
    <w:rsid w:val="0072517E"/>
    <w:rsid w:val="007264FE"/>
    <w:rsid w:val="007269FC"/>
    <w:rsid w:val="00726AF4"/>
    <w:rsid w:val="00726BAC"/>
    <w:rsid w:val="007272D2"/>
    <w:rsid w:val="00731883"/>
    <w:rsid w:val="00732AF6"/>
    <w:rsid w:val="00737B9B"/>
    <w:rsid w:val="00737F3B"/>
    <w:rsid w:val="007406B5"/>
    <w:rsid w:val="00740F9D"/>
    <w:rsid w:val="007422C5"/>
    <w:rsid w:val="0074238F"/>
    <w:rsid w:val="007426B5"/>
    <w:rsid w:val="0074443A"/>
    <w:rsid w:val="00744843"/>
    <w:rsid w:val="00744C7F"/>
    <w:rsid w:val="0074637A"/>
    <w:rsid w:val="00746DA6"/>
    <w:rsid w:val="00750930"/>
    <w:rsid w:val="0075218F"/>
    <w:rsid w:val="007532B2"/>
    <w:rsid w:val="00753B47"/>
    <w:rsid w:val="00754CFD"/>
    <w:rsid w:val="0075508C"/>
    <w:rsid w:val="0076094B"/>
    <w:rsid w:val="00760CD7"/>
    <w:rsid w:val="00762229"/>
    <w:rsid w:val="007642D2"/>
    <w:rsid w:val="0076498C"/>
    <w:rsid w:val="007649D0"/>
    <w:rsid w:val="00766505"/>
    <w:rsid w:val="007676AE"/>
    <w:rsid w:val="00771BFB"/>
    <w:rsid w:val="00776CA7"/>
    <w:rsid w:val="00777354"/>
    <w:rsid w:val="007778A1"/>
    <w:rsid w:val="00780DC1"/>
    <w:rsid w:val="00782C6A"/>
    <w:rsid w:val="00782FE9"/>
    <w:rsid w:val="00784123"/>
    <w:rsid w:val="00785CE1"/>
    <w:rsid w:val="00785EE9"/>
    <w:rsid w:val="007870EB"/>
    <w:rsid w:val="007878C6"/>
    <w:rsid w:val="00790A32"/>
    <w:rsid w:val="00791D2A"/>
    <w:rsid w:val="0079302C"/>
    <w:rsid w:val="00793E2F"/>
    <w:rsid w:val="0079409D"/>
    <w:rsid w:val="00795511"/>
    <w:rsid w:val="00796200"/>
    <w:rsid w:val="00797337"/>
    <w:rsid w:val="007A190B"/>
    <w:rsid w:val="007A1EA7"/>
    <w:rsid w:val="007A2F74"/>
    <w:rsid w:val="007A3C4B"/>
    <w:rsid w:val="007A4865"/>
    <w:rsid w:val="007A4EDF"/>
    <w:rsid w:val="007A559C"/>
    <w:rsid w:val="007A764C"/>
    <w:rsid w:val="007B0472"/>
    <w:rsid w:val="007B17DE"/>
    <w:rsid w:val="007B33DD"/>
    <w:rsid w:val="007B3F68"/>
    <w:rsid w:val="007B4C57"/>
    <w:rsid w:val="007B5DF9"/>
    <w:rsid w:val="007B604E"/>
    <w:rsid w:val="007C003A"/>
    <w:rsid w:val="007C01FE"/>
    <w:rsid w:val="007C3F86"/>
    <w:rsid w:val="007C4D4A"/>
    <w:rsid w:val="007C5027"/>
    <w:rsid w:val="007C5BF2"/>
    <w:rsid w:val="007D1E03"/>
    <w:rsid w:val="007D2803"/>
    <w:rsid w:val="007D3834"/>
    <w:rsid w:val="007D445E"/>
    <w:rsid w:val="007D724F"/>
    <w:rsid w:val="007D72E5"/>
    <w:rsid w:val="007E06FC"/>
    <w:rsid w:val="007E291B"/>
    <w:rsid w:val="007E3B7F"/>
    <w:rsid w:val="007E6874"/>
    <w:rsid w:val="007F02A3"/>
    <w:rsid w:val="007F16F8"/>
    <w:rsid w:val="007F17C0"/>
    <w:rsid w:val="007F1BCB"/>
    <w:rsid w:val="007F3EE0"/>
    <w:rsid w:val="007F5EB8"/>
    <w:rsid w:val="007F6B67"/>
    <w:rsid w:val="007F75CF"/>
    <w:rsid w:val="00800A45"/>
    <w:rsid w:val="00802C9A"/>
    <w:rsid w:val="00804D7A"/>
    <w:rsid w:val="00805CA7"/>
    <w:rsid w:val="008068F3"/>
    <w:rsid w:val="00810A51"/>
    <w:rsid w:val="00810A75"/>
    <w:rsid w:val="00810B27"/>
    <w:rsid w:val="00812B5B"/>
    <w:rsid w:val="00813465"/>
    <w:rsid w:val="00813F62"/>
    <w:rsid w:val="008178CF"/>
    <w:rsid w:val="0082015B"/>
    <w:rsid w:val="00820858"/>
    <w:rsid w:val="00822068"/>
    <w:rsid w:val="0082429D"/>
    <w:rsid w:val="00825C66"/>
    <w:rsid w:val="00825E6E"/>
    <w:rsid w:val="00825E81"/>
    <w:rsid w:val="00827A69"/>
    <w:rsid w:val="00831002"/>
    <w:rsid w:val="00832DC1"/>
    <w:rsid w:val="008344EA"/>
    <w:rsid w:val="00834BBA"/>
    <w:rsid w:val="00835250"/>
    <w:rsid w:val="0084075D"/>
    <w:rsid w:val="00842787"/>
    <w:rsid w:val="0084365C"/>
    <w:rsid w:val="0084433A"/>
    <w:rsid w:val="00845A68"/>
    <w:rsid w:val="00851D5E"/>
    <w:rsid w:val="00852B03"/>
    <w:rsid w:val="00852F58"/>
    <w:rsid w:val="0085570A"/>
    <w:rsid w:val="00855869"/>
    <w:rsid w:val="00855DE8"/>
    <w:rsid w:val="00857C46"/>
    <w:rsid w:val="008601F0"/>
    <w:rsid w:val="00861F24"/>
    <w:rsid w:val="00864DF2"/>
    <w:rsid w:val="00865637"/>
    <w:rsid w:val="00865A87"/>
    <w:rsid w:val="0086751A"/>
    <w:rsid w:val="0086784A"/>
    <w:rsid w:val="008700E1"/>
    <w:rsid w:val="00873058"/>
    <w:rsid w:val="00873FD9"/>
    <w:rsid w:val="008740BD"/>
    <w:rsid w:val="00874A76"/>
    <w:rsid w:val="00875201"/>
    <w:rsid w:val="00876309"/>
    <w:rsid w:val="00876382"/>
    <w:rsid w:val="00876B58"/>
    <w:rsid w:val="00876CF7"/>
    <w:rsid w:val="008779B7"/>
    <w:rsid w:val="00881979"/>
    <w:rsid w:val="00883DAD"/>
    <w:rsid w:val="00884A69"/>
    <w:rsid w:val="0088533C"/>
    <w:rsid w:val="0088551C"/>
    <w:rsid w:val="00886F27"/>
    <w:rsid w:val="00887615"/>
    <w:rsid w:val="008876D8"/>
    <w:rsid w:val="00890BEA"/>
    <w:rsid w:val="00890FBC"/>
    <w:rsid w:val="008910AA"/>
    <w:rsid w:val="00891C9D"/>
    <w:rsid w:val="0089350D"/>
    <w:rsid w:val="00893E57"/>
    <w:rsid w:val="0089663E"/>
    <w:rsid w:val="008967EF"/>
    <w:rsid w:val="00896A90"/>
    <w:rsid w:val="0089799E"/>
    <w:rsid w:val="008A0D1C"/>
    <w:rsid w:val="008A0D26"/>
    <w:rsid w:val="008A1145"/>
    <w:rsid w:val="008A155F"/>
    <w:rsid w:val="008A2996"/>
    <w:rsid w:val="008A2C7C"/>
    <w:rsid w:val="008A39C4"/>
    <w:rsid w:val="008A3F08"/>
    <w:rsid w:val="008A41D1"/>
    <w:rsid w:val="008A438D"/>
    <w:rsid w:val="008A44A4"/>
    <w:rsid w:val="008A581C"/>
    <w:rsid w:val="008A731B"/>
    <w:rsid w:val="008B11E0"/>
    <w:rsid w:val="008B3A99"/>
    <w:rsid w:val="008B44B6"/>
    <w:rsid w:val="008B52A4"/>
    <w:rsid w:val="008B69AA"/>
    <w:rsid w:val="008B74AA"/>
    <w:rsid w:val="008C0D1B"/>
    <w:rsid w:val="008C0F6E"/>
    <w:rsid w:val="008C1729"/>
    <w:rsid w:val="008C266A"/>
    <w:rsid w:val="008C2BC6"/>
    <w:rsid w:val="008C3747"/>
    <w:rsid w:val="008C3A81"/>
    <w:rsid w:val="008C3BA1"/>
    <w:rsid w:val="008C3E9C"/>
    <w:rsid w:val="008C3F30"/>
    <w:rsid w:val="008C4B74"/>
    <w:rsid w:val="008C5F35"/>
    <w:rsid w:val="008C6A77"/>
    <w:rsid w:val="008C721E"/>
    <w:rsid w:val="008C7706"/>
    <w:rsid w:val="008D0B99"/>
    <w:rsid w:val="008D21B9"/>
    <w:rsid w:val="008D2C95"/>
    <w:rsid w:val="008D3F40"/>
    <w:rsid w:val="008D5670"/>
    <w:rsid w:val="008D7323"/>
    <w:rsid w:val="008D7579"/>
    <w:rsid w:val="008D7927"/>
    <w:rsid w:val="008E0577"/>
    <w:rsid w:val="008E3549"/>
    <w:rsid w:val="008E4027"/>
    <w:rsid w:val="008E42EC"/>
    <w:rsid w:val="008E629C"/>
    <w:rsid w:val="008E64E8"/>
    <w:rsid w:val="008F30B8"/>
    <w:rsid w:val="008F3A77"/>
    <w:rsid w:val="008F4139"/>
    <w:rsid w:val="008F4C33"/>
    <w:rsid w:val="008F5A02"/>
    <w:rsid w:val="00900605"/>
    <w:rsid w:val="00902540"/>
    <w:rsid w:val="00906DB3"/>
    <w:rsid w:val="00907535"/>
    <w:rsid w:val="00910B3A"/>
    <w:rsid w:val="00911FAC"/>
    <w:rsid w:val="00912D5C"/>
    <w:rsid w:val="009148CC"/>
    <w:rsid w:val="00914B28"/>
    <w:rsid w:val="00914C4D"/>
    <w:rsid w:val="00916B32"/>
    <w:rsid w:val="0092028F"/>
    <w:rsid w:val="00920FE2"/>
    <w:rsid w:val="00921EFF"/>
    <w:rsid w:val="00922CC7"/>
    <w:rsid w:val="0092418A"/>
    <w:rsid w:val="009300A1"/>
    <w:rsid w:val="00930F33"/>
    <w:rsid w:val="009323A8"/>
    <w:rsid w:val="009323ED"/>
    <w:rsid w:val="009331CF"/>
    <w:rsid w:val="00933646"/>
    <w:rsid w:val="0093369D"/>
    <w:rsid w:val="00933F42"/>
    <w:rsid w:val="00937047"/>
    <w:rsid w:val="009379B8"/>
    <w:rsid w:val="0094060A"/>
    <w:rsid w:val="00943569"/>
    <w:rsid w:val="00945C10"/>
    <w:rsid w:val="00945DEC"/>
    <w:rsid w:val="0094653E"/>
    <w:rsid w:val="00947E1B"/>
    <w:rsid w:val="009523F8"/>
    <w:rsid w:val="00952400"/>
    <w:rsid w:val="00952EE0"/>
    <w:rsid w:val="00953272"/>
    <w:rsid w:val="00953670"/>
    <w:rsid w:val="00953740"/>
    <w:rsid w:val="00954076"/>
    <w:rsid w:val="00954909"/>
    <w:rsid w:val="00955C11"/>
    <w:rsid w:val="00956921"/>
    <w:rsid w:val="00957720"/>
    <w:rsid w:val="00957E4E"/>
    <w:rsid w:val="009612C8"/>
    <w:rsid w:val="00961DD3"/>
    <w:rsid w:val="00962058"/>
    <w:rsid w:val="00962798"/>
    <w:rsid w:val="0096493E"/>
    <w:rsid w:val="0096496B"/>
    <w:rsid w:val="009650C0"/>
    <w:rsid w:val="00966D43"/>
    <w:rsid w:val="00967A0D"/>
    <w:rsid w:val="00971300"/>
    <w:rsid w:val="00972131"/>
    <w:rsid w:val="00972DA2"/>
    <w:rsid w:val="00973118"/>
    <w:rsid w:val="00973F46"/>
    <w:rsid w:val="0097444D"/>
    <w:rsid w:val="00974563"/>
    <w:rsid w:val="00974D84"/>
    <w:rsid w:val="00974DA9"/>
    <w:rsid w:val="00974E2A"/>
    <w:rsid w:val="00975A4F"/>
    <w:rsid w:val="0097609D"/>
    <w:rsid w:val="009762E4"/>
    <w:rsid w:val="00976867"/>
    <w:rsid w:val="009805CB"/>
    <w:rsid w:val="0098064E"/>
    <w:rsid w:val="009823C3"/>
    <w:rsid w:val="009829BF"/>
    <w:rsid w:val="00982FAA"/>
    <w:rsid w:val="009830E7"/>
    <w:rsid w:val="0098684F"/>
    <w:rsid w:val="00987573"/>
    <w:rsid w:val="00987C15"/>
    <w:rsid w:val="00987E76"/>
    <w:rsid w:val="009932EC"/>
    <w:rsid w:val="00996055"/>
    <w:rsid w:val="00996672"/>
    <w:rsid w:val="00996B05"/>
    <w:rsid w:val="00996D33"/>
    <w:rsid w:val="009A02C8"/>
    <w:rsid w:val="009A117D"/>
    <w:rsid w:val="009A2B82"/>
    <w:rsid w:val="009A31F3"/>
    <w:rsid w:val="009A5A62"/>
    <w:rsid w:val="009A5BBA"/>
    <w:rsid w:val="009B04CB"/>
    <w:rsid w:val="009B198B"/>
    <w:rsid w:val="009B20E2"/>
    <w:rsid w:val="009B2501"/>
    <w:rsid w:val="009B2E84"/>
    <w:rsid w:val="009B2F28"/>
    <w:rsid w:val="009B3AD6"/>
    <w:rsid w:val="009B5706"/>
    <w:rsid w:val="009B714E"/>
    <w:rsid w:val="009C10B2"/>
    <w:rsid w:val="009C2946"/>
    <w:rsid w:val="009C4A7D"/>
    <w:rsid w:val="009C5C8C"/>
    <w:rsid w:val="009D0647"/>
    <w:rsid w:val="009D3D2F"/>
    <w:rsid w:val="009D423D"/>
    <w:rsid w:val="009D68B9"/>
    <w:rsid w:val="009D7C9A"/>
    <w:rsid w:val="009E0C08"/>
    <w:rsid w:val="009E1394"/>
    <w:rsid w:val="009E5CB7"/>
    <w:rsid w:val="009E72E9"/>
    <w:rsid w:val="009E7541"/>
    <w:rsid w:val="009F28DC"/>
    <w:rsid w:val="009F325C"/>
    <w:rsid w:val="009F3C08"/>
    <w:rsid w:val="009F4231"/>
    <w:rsid w:val="009F453A"/>
    <w:rsid w:val="009F4889"/>
    <w:rsid w:val="009F636B"/>
    <w:rsid w:val="00A00F96"/>
    <w:rsid w:val="00A01F13"/>
    <w:rsid w:val="00A02550"/>
    <w:rsid w:val="00A02BA7"/>
    <w:rsid w:val="00A05612"/>
    <w:rsid w:val="00A0621B"/>
    <w:rsid w:val="00A07396"/>
    <w:rsid w:val="00A10305"/>
    <w:rsid w:val="00A11258"/>
    <w:rsid w:val="00A116DA"/>
    <w:rsid w:val="00A12539"/>
    <w:rsid w:val="00A14DB0"/>
    <w:rsid w:val="00A150FC"/>
    <w:rsid w:val="00A15F19"/>
    <w:rsid w:val="00A177B0"/>
    <w:rsid w:val="00A20835"/>
    <w:rsid w:val="00A22676"/>
    <w:rsid w:val="00A22D82"/>
    <w:rsid w:val="00A2443E"/>
    <w:rsid w:val="00A25305"/>
    <w:rsid w:val="00A254F0"/>
    <w:rsid w:val="00A27776"/>
    <w:rsid w:val="00A27A4B"/>
    <w:rsid w:val="00A301C4"/>
    <w:rsid w:val="00A30271"/>
    <w:rsid w:val="00A30623"/>
    <w:rsid w:val="00A30AD1"/>
    <w:rsid w:val="00A3449A"/>
    <w:rsid w:val="00A344A9"/>
    <w:rsid w:val="00A368EF"/>
    <w:rsid w:val="00A37CE1"/>
    <w:rsid w:val="00A40F96"/>
    <w:rsid w:val="00A4141A"/>
    <w:rsid w:val="00A41BE1"/>
    <w:rsid w:val="00A4223D"/>
    <w:rsid w:val="00A430B2"/>
    <w:rsid w:val="00A43766"/>
    <w:rsid w:val="00A4526E"/>
    <w:rsid w:val="00A454AA"/>
    <w:rsid w:val="00A4609A"/>
    <w:rsid w:val="00A50187"/>
    <w:rsid w:val="00A50A05"/>
    <w:rsid w:val="00A526FB"/>
    <w:rsid w:val="00A541CF"/>
    <w:rsid w:val="00A542E5"/>
    <w:rsid w:val="00A546E3"/>
    <w:rsid w:val="00A572C0"/>
    <w:rsid w:val="00A6061A"/>
    <w:rsid w:val="00A60CE6"/>
    <w:rsid w:val="00A66400"/>
    <w:rsid w:val="00A670B5"/>
    <w:rsid w:val="00A670DC"/>
    <w:rsid w:val="00A67368"/>
    <w:rsid w:val="00A70923"/>
    <w:rsid w:val="00A71A67"/>
    <w:rsid w:val="00A72182"/>
    <w:rsid w:val="00A72CEB"/>
    <w:rsid w:val="00A74125"/>
    <w:rsid w:val="00A74267"/>
    <w:rsid w:val="00A75EF4"/>
    <w:rsid w:val="00A7626E"/>
    <w:rsid w:val="00A802DF"/>
    <w:rsid w:val="00A825AA"/>
    <w:rsid w:val="00A826D3"/>
    <w:rsid w:val="00A827D2"/>
    <w:rsid w:val="00A8342E"/>
    <w:rsid w:val="00A85CB8"/>
    <w:rsid w:val="00A90321"/>
    <w:rsid w:val="00A90B14"/>
    <w:rsid w:val="00A90D10"/>
    <w:rsid w:val="00A924E5"/>
    <w:rsid w:val="00A949FF"/>
    <w:rsid w:val="00A958A7"/>
    <w:rsid w:val="00A95AD3"/>
    <w:rsid w:val="00A95CC1"/>
    <w:rsid w:val="00AA2BE0"/>
    <w:rsid w:val="00AA35E7"/>
    <w:rsid w:val="00AA36C3"/>
    <w:rsid w:val="00AA3B41"/>
    <w:rsid w:val="00AA42CF"/>
    <w:rsid w:val="00AA54BB"/>
    <w:rsid w:val="00AA7FFD"/>
    <w:rsid w:val="00AB25AF"/>
    <w:rsid w:val="00AB5BB7"/>
    <w:rsid w:val="00AB5C31"/>
    <w:rsid w:val="00AB62CF"/>
    <w:rsid w:val="00AC0E33"/>
    <w:rsid w:val="00AC12FC"/>
    <w:rsid w:val="00AC1388"/>
    <w:rsid w:val="00AC29D0"/>
    <w:rsid w:val="00AC2AF7"/>
    <w:rsid w:val="00AC4EBB"/>
    <w:rsid w:val="00AC527A"/>
    <w:rsid w:val="00AC5976"/>
    <w:rsid w:val="00AC6077"/>
    <w:rsid w:val="00AC6882"/>
    <w:rsid w:val="00AC7368"/>
    <w:rsid w:val="00AC7461"/>
    <w:rsid w:val="00AC77B3"/>
    <w:rsid w:val="00AD0A4D"/>
    <w:rsid w:val="00AD0C24"/>
    <w:rsid w:val="00AD1671"/>
    <w:rsid w:val="00AD25EA"/>
    <w:rsid w:val="00AD34ED"/>
    <w:rsid w:val="00AD4E50"/>
    <w:rsid w:val="00AD7F72"/>
    <w:rsid w:val="00AE03C6"/>
    <w:rsid w:val="00AE080C"/>
    <w:rsid w:val="00AE0D17"/>
    <w:rsid w:val="00AE1037"/>
    <w:rsid w:val="00AE1208"/>
    <w:rsid w:val="00AE1961"/>
    <w:rsid w:val="00AE5561"/>
    <w:rsid w:val="00AE697A"/>
    <w:rsid w:val="00AE71F7"/>
    <w:rsid w:val="00AF3810"/>
    <w:rsid w:val="00AF396C"/>
    <w:rsid w:val="00AF5838"/>
    <w:rsid w:val="00AF65F3"/>
    <w:rsid w:val="00AF7960"/>
    <w:rsid w:val="00B00559"/>
    <w:rsid w:val="00B01D78"/>
    <w:rsid w:val="00B0355A"/>
    <w:rsid w:val="00B04E7C"/>
    <w:rsid w:val="00B07842"/>
    <w:rsid w:val="00B1137D"/>
    <w:rsid w:val="00B130A0"/>
    <w:rsid w:val="00B1386D"/>
    <w:rsid w:val="00B14E78"/>
    <w:rsid w:val="00B160B2"/>
    <w:rsid w:val="00B16E81"/>
    <w:rsid w:val="00B16EFF"/>
    <w:rsid w:val="00B178E2"/>
    <w:rsid w:val="00B2072E"/>
    <w:rsid w:val="00B20FF0"/>
    <w:rsid w:val="00B24CDD"/>
    <w:rsid w:val="00B25DC4"/>
    <w:rsid w:val="00B304A2"/>
    <w:rsid w:val="00B309E7"/>
    <w:rsid w:val="00B34F47"/>
    <w:rsid w:val="00B3587D"/>
    <w:rsid w:val="00B36897"/>
    <w:rsid w:val="00B36E75"/>
    <w:rsid w:val="00B36F1F"/>
    <w:rsid w:val="00B370A8"/>
    <w:rsid w:val="00B37BD3"/>
    <w:rsid w:val="00B42166"/>
    <w:rsid w:val="00B42573"/>
    <w:rsid w:val="00B44186"/>
    <w:rsid w:val="00B4506A"/>
    <w:rsid w:val="00B4522B"/>
    <w:rsid w:val="00B462AB"/>
    <w:rsid w:val="00B46AD6"/>
    <w:rsid w:val="00B470DE"/>
    <w:rsid w:val="00B478C5"/>
    <w:rsid w:val="00B5122A"/>
    <w:rsid w:val="00B5304B"/>
    <w:rsid w:val="00B531CF"/>
    <w:rsid w:val="00B54114"/>
    <w:rsid w:val="00B544DB"/>
    <w:rsid w:val="00B549D2"/>
    <w:rsid w:val="00B5620C"/>
    <w:rsid w:val="00B56688"/>
    <w:rsid w:val="00B62915"/>
    <w:rsid w:val="00B62F45"/>
    <w:rsid w:val="00B64747"/>
    <w:rsid w:val="00B65D0A"/>
    <w:rsid w:val="00B661F4"/>
    <w:rsid w:val="00B706EB"/>
    <w:rsid w:val="00B7072D"/>
    <w:rsid w:val="00B70B9A"/>
    <w:rsid w:val="00B7157E"/>
    <w:rsid w:val="00B720A7"/>
    <w:rsid w:val="00B73218"/>
    <w:rsid w:val="00B73DE0"/>
    <w:rsid w:val="00B74503"/>
    <w:rsid w:val="00B749CB"/>
    <w:rsid w:val="00B74BDA"/>
    <w:rsid w:val="00B74F88"/>
    <w:rsid w:val="00B805B0"/>
    <w:rsid w:val="00B81476"/>
    <w:rsid w:val="00B815A9"/>
    <w:rsid w:val="00B81BBB"/>
    <w:rsid w:val="00B82978"/>
    <w:rsid w:val="00B843D4"/>
    <w:rsid w:val="00B859D8"/>
    <w:rsid w:val="00B86087"/>
    <w:rsid w:val="00B86547"/>
    <w:rsid w:val="00B92C59"/>
    <w:rsid w:val="00B92FDC"/>
    <w:rsid w:val="00B933F4"/>
    <w:rsid w:val="00B93567"/>
    <w:rsid w:val="00B94001"/>
    <w:rsid w:val="00B94A76"/>
    <w:rsid w:val="00B97F00"/>
    <w:rsid w:val="00BA0097"/>
    <w:rsid w:val="00BA0A74"/>
    <w:rsid w:val="00BA222C"/>
    <w:rsid w:val="00BA2AFE"/>
    <w:rsid w:val="00BA2EF9"/>
    <w:rsid w:val="00BA456D"/>
    <w:rsid w:val="00BA5109"/>
    <w:rsid w:val="00BA5947"/>
    <w:rsid w:val="00BA5D96"/>
    <w:rsid w:val="00BA687E"/>
    <w:rsid w:val="00BA7B3C"/>
    <w:rsid w:val="00BB17A8"/>
    <w:rsid w:val="00BB6AF9"/>
    <w:rsid w:val="00BB7140"/>
    <w:rsid w:val="00BB739E"/>
    <w:rsid w:val="00BB79AF"/>
    <w:rsid w:val="00BC065A"/>
    <w:rsid w:val="00BC12E1"/>
    <w:rsid w:val="00BC1407"/>
    <w:rsid w:val="00BC20ED"/>
    <w:rsid w:val="00BC2DCD"/>
    <w:rsid w:val="00BC346C"/>
    <w:rsid w:val="00BC47F5"/>
    <w:rsid w:val="00BC56AD"/>
    <w:rsid w:val="00BC692F"/>
    <w:rsid w:val="00BC69C0"/>
    <w:rsid w:val="00BD0A68"/>
    <w:rsid w:val="00BD1BE7"/>
    <w:rsid w:val="00BD24A1"/>
    <w:rsid w:val="00BD3298"/>
    <w:rsid w:val="00BD32B4"/>
    <w:rsid w:val="00BD656B"/>
    <w:rsid w:val="00BD7362"/>
    <w:rsid w:val="00BE2E6E"/>
    <w:rsid w:val="00BE37B5"/>
    <w:rsid w:val="00BE3AE6"/>
    <w:rsid w:val="00BE724B"/>
    <w:rsid w:val="00BE742F"/>
    <w:rsid w:val="00BF0B92"/>
    <w:rsid w:val="00BF1615"/>
    <w:rsid w:val="00BF2445"/>
    <w:rsid w:val="00BF58DA"/>
    <w:rsid w:val="00BF5F1C"/>
    <w:rsid w:val="00C026B2"/>
    <w:rsid w:val="00C02EF6"/>
    <w:rsid w:val="00C0371B"/>
    <w:rsid w:val="00C03BB3"/>
    <w:rsid w:val="00C05FD2"/>
    <w:rsid w:val="00C06D8A"/>
    <w:rsid w:val="00C10C75"/>
    <w:rsid w:val="00C11CB5"/>
    <w:rsid w:val="00C14C92"/>
    <w:rsid w:val="00C16EBD"/>
    <w:rsid w:val="00C173AE"/>
    <w:rsid w:val="00C203F8"/>
    <w:rsid w:val="00C23756"/>
    <w:rsid w:val="00C24758"/>
    <w:rsid w:val="00C24F47"/>
    <w:rsid w:val="00C253D5"/>
    <w:rsid w:val="00C2580A"/>
    <w:rsid w:val="00C259BE"/>
    <w:rsid w:val="00C26042"/>
    <w:rsid w:val="00C26AAA"/>
    <w:rsid w:val="00C272E2"/>
    <w:rsid w:val="00C306E1"/>
    <w:rsid w:val="00C30BEF"/>
    <w:rsid w:val="00C313D2"/>
    <w:rsid w:val="00C31455"/>
    <w:rsid w:val="00C317DC"/>
    <w:rsid w:val="00C32767"/>
    <w:rsid w:val="00C332EF"/>
    <w:rsid w:val="00C34A2B"/>
    <w:rsid w:val="00C351FB"/>
    <w:rsid w:val="00C35782"/>
    <w:rsid w:val="00C35E35"/>
    <w:rsid w:val="00C361D1"/>
    <w:rsid w:val="00C370D2"/>
    <w:rsid w:val="00C40A1B"/>
    <w:rsid w:val="00C40EE9"/>
    <w:rsid w:val="00C43F11"/>
    <w:rsid w:val="00C44266"/>
    <w:rsid w:val="00C44B9C"/>
    <w:rsid w:val="00C4560D"/>
    <w:rsid w:val="00C460D3"/>
    <w:rsid w:val="00C468E1"/>
    <w:rsid w:val="00C46FCB"/>
    <w:rsid w:val="00C4759E"/>
    <w:rsid w:val="00C476AA"/>
    <w:rsid w:val="00C50E95"/>
    <w:rsid w:val="00C50F55"/>
    <w:rsid w:val="00C51179"/>
    <w:rsid w:val="00C52028"/>
    <w:rsid w:val="00C5409B"/>
    <w:rsid w:val="00C547DC"/>
    <w:rsid w:val="00C61331"/>
    <w:rsid w:val="00C616C1"/>
    <w:rsid w:val="00C624EF"/>
    <w:rsid w:val="00C63408"/>
    <w:rsid w:val="00C63827"/>
    <w:rsid w:val="00C641CC"/>
    <w:rsid w:val="00C644D3"/>
    <w:rsid w:val="00C656C4"/>
    <w:rsid w:val="00C658B5"/>
    <w:rsid w:val="00C65EA0"/>
    <w:rsid w:val="00C666CB"/>
    <w:rsid w:val="00C66F70"/>
    <w:rsid w:val="00C714BC"/>
    <w:rsid w:val="00C7280D"/>
    <w:rsid w:val="00C73032"/>
    <w:rsid w:val="00C736AD"/>
    <w:rsid w:val="00C756A6"/>
    <w:rsid w:val="00C75B71"/>
    <w:rsid w:val="00C761E7"/>
    <w:rsid w:val="00C765E7"/>
    <w:rsid w:val="00C77ED7"/>
    <w:rsid w:val="00C816CB"/>
    <w:rsid w:val="00C82FD7"/>
    <w:rsid w:val="00C832DB"/>
    <w:rsid w:val="00C83636"/>
    <w:rsid w:val="00C847E6"/>
    <w:rsid w:val="00C84C90"/>
    <w:rsid w:val="00C854ED"/>
    <w:rsid w:val="00C8677B"/>
    <w:rsid w:val="00C86996"/>
    <w:rsid w:val="00C86DCC"/>
    <w:rsid w:val="00C875EC"/>
    <w:rsid w:val="00C879E1"/>
    <w:rsid w:val="00C87DC4"/>
    <w:rsid w:val="00C91D60"/>
    <w:rsid w:val="00C920B3"/>
    <w:rsid w:val="00C924E0"/>
    <w:rsid w:val="00C92E91"/>
    <w:rsid w:val="00C942EE"/>
    <w:rsid w:val="00C946CF"/>
    <w:rsid w:val="00C958D0"/>
    <w:rsid w:val="00C9613B"/>
    <w:rsid w:val="00C97C4B"/>
    <w:rsid w:val="00CA11FD"/>
    <w:rsid w:val="00CA2415"/>
    <w:rsid w:val="00CA46DB"/>
    <w:rsid w:val="00CA4AC9"/>
    <w:rsid w:val="00CA6184"/>
    <w:rsid w:val="00CA62CE"/>
    <w:rsid w:val="00CA644A"/>
    <w:rsid w:val="00CA73D3"/>
    <w:rsid w:val="00CB55FB"/>
    <w:rsid w:val="00CB7368"/>
    <w:rsid w:val="00CB7EFB"/>
    <w:rsid w:val="00CB7F82"/>
    <w:rsid w:val="00CC00B8"/>
    <w:rsid w:val="00CC1682"/>
    <w:rsid w:val="00CC7DB7"/>
    <w:rsid w:val="00CD0231"/>
    <w:rsid w:val="00CD0AF5"/>
    <w:rsid w:val="00CD2625"/>
    <w:rsid w:val="00CD3245"/>
    <w:rsid w:val="00CD509A"/>
    <w:rsid w:val="00CD7D9C"/>
    <w:rsid w:val="00CE0C42"/>
    <w:rsid w:val="00CE29A5"/>
    <w:rsid w:val="00CE3692"/>
    <w:rsid w:val="00CE3E19"/>
    <w:rsid w:val="00CE5BA9"/>
    <w:rsid w:val="00CE6EDA"/>
    <w:rsid w:val="00CF0773"/>
    <w:rsid w:val="00CF0BD1"/>
    <w:rsid w:val="00CF11EB"/>
    <w:rsid w:val="00CF17A3"/>
    <w:rsid w:val="00CF2001"/>
    <w:rsid w:val="00CF6CC1"/>
    <w:rsid w:val="00CF6D4B"/>
    <w:rsid w:val="00CF7927"/>
    <w:rsid w:val="00D001A0"/>
    <w:rsid w:val="00D01210"/>
    <w:rsid w:val="00D012F8"/>
    <w:rsid w:val="00D02E84"/>
    <w:rsid w:val="00D038AB"/>
    <w:rsid w:val="00D04D82"/>
    <w:rsid w:val="00D05522"/>
    <w:rsid w:val="00D06E0D"/>
    <w:rsid w:val="00D12195"/>
    <w:rsid w:val="00D12D00"/>
    <w:rsid w:val="00D12EDB"/>
    <w:rsid w:val="00D13130"/>
    <w:rsid w:val="00D131C3"/>
    <w:rsid w:val="00D13779"/>
    <w:rsid w:val="00D13C5A"/>
    <w:rsid w:val="00D1436C"/>
    <w:rsid w:val="00D14812"/>
    <w:rsid w:val="00D14F06"/>
    <w:rsid w:val="00D16954"/>
    <w:rsid w:val="00D21325"/>
    <w:rsid w:val="00D21C57"/>
    <w:rsid w:val="00D22C86"/>
    <w:rsid w:val="00D24163"/>
    <w:rsid w:val="00D242FF"/>
    <w:rsid w:val="00D25FBA"/>
    <w:rsid w:val="00D271AD"/>
    <w:rsid w:val="00D313AD"/>
    <w:rsid w:val="00D3375D"/>
    <w:rsid w:val="00D34A60"/>
    <w:rsid w:val="00D37846"/>
    <w:rsid w:val="00D4083C"/>
    <w:rsid w:val="00D41431"/>
    <w:rsid w:val="00D4145C"/>
    <w:rsid w:val="00D418B6"/>
    <w:rsid w:val="00D41B69"/>
    <w:rsid w:val="00D430D4"/>
    <w:rsid w:val="00D459DE"/>
    <w:rsid w:val="00D45A82"/>
    <w:rsid w:val="00D46BB1"/>
    <w:rsid w:val="00D46CB3"/>
    <w:rsid w:val="00D47DDE"/>
    <w:rsid w:val="00D5011E"/>
    <w:rsid w:val="00D51922"/>
    <w:rsid w:val="00D51C77"/>
    <w:rsid w:val="00D52A80"/>
    <w:rsid w:val="00D53BC7"/>
    <w:rsid w:val="00D55998"/>
    <w:rsid w:val="00D571C9"/>
    <w:rsid w:val="00D61127"/>
    <w:rsid w:val="00D62435"/>
    <w:rsid w:val="00D629CB"/>
    <w:rsid w:val="00D6549A"/>
    <w:rsid w:val="00D67FEE"/>
    <w:rsid w:val="00D71909"/>
    <w:rsid w:val="00D72CA8"/>
    <w:rsid w:val="00D73AC5"/>
    <w:rsid w:val="00D75703"/>
    <w:rsid w:val="00D75F33"/>
    <w:rsid w:val="00D76BCD"/>
    <w:rsid w:val="00D770A5"/>
    <w:rsid w:val="00D77494"/>
    <w:rsid w:val="00D77705"/>
    <w:rsid w:val="00D80450"/>
    <w:rsid w:val="00D80C41"/>
    <w:rsid w:val="00D87332"/>
    <w:rsid w:val="00D8772A"/>
    <w:rsid w:val="00D90848"/>
    <w:rsid w:val="00D91169"/>
    <w:rsid w:val="00D91AC9"/>
    <w:rsid w:val="00D93089"/>
    <w:rsid w:val="00D93CB0"/>
    <w:rsid w:val="00D97685"/>
    <w:rsid w:val="00DA02AD"/>
    <w:rsid w:val="00DA0520"/>
    <w:rsid w:val="00DA0A95"/>
    <w:rsid w:val="00DA20A6"/>
    <w:rsid w:val="00DA2FFD"/>
    <w:rsid w:val="00DA5E8F"/>
    <w:rsid w:val="00DA604E"/>
    <w:rsid w:val="00DA754D"/>
    <w:rsid w:val="00DB0973"/>
    <w:rsid w:val="00DB2434"/>
    <w:rsid w:val="00DB31EF"/>
    <w:rsid w:val="00DB362D"/>
    <w:rsid w:val="00DB372E"/>
    <w:rsid w:val="00DB3EB8"/>
    <w:rsid w:val="00DB3F7A"/>
    <w:rsid w:val="00DB76D6"/>
    <w:rsid w:val="00DC2DE4"/>
    <w:rsid w:val="00DC3521"/>
    <w:rsid w:val="00DC4AFC"/>
    <w:rsid w:val="00DC59DA"/>
    <w:rsid w:val="00DC7F7F"/>
    <w:rsid w:val="00DD1622"/>
    <w:rsid w:val="00DD337E"/>
    <w:rsid w:val="00DD3F4B"/>
    <w:rsid w:val="00DD41CD"/>
    <w:rsid w:val="00DD4200"/>
    <w:rsid w:val="00DD4975"/>
    <w:rsid w:val="00DD6C7D"/>
    <w:rsid w:val="00DD6E2C"/>
    <w:rsid w:val="00DE0125"/>
    <w:rsid w:val="00DE2244"/>
    <w:rsid w:val="00DE2D47"/>
    <w:rsid w:val="00DE3460"/>
    <w:rsid w:val="00DE48A3"/>
    <w:rsid w:val="00DE5133"/>
    <w:rsid w:val="00DE6149"/>
    <w:rsid w:val="00DF2563"/>
    <w:rsid w:val="00DF42DA"/>
    <w:rsid w:val="00DF503E"/>
    <w:rsid w:val="00DF510F"/>
    <w:rsid w:val="00DF5210"/>
    <w:rsid w:val="00DF5395"/>
    <w:rsid w:val="00DF65AD"/>
    <w:rsid w:val="00DF6A81"/>
    <w:rsid w:val="00DF7395"/>
    <w:rsid w:val="00DF7719"/>
    <w:rsid w:val="00E0146D"/>
    <w:rsid w:val="00E01C8D"/>
    <w:rsid w:val="00E02409"/>
    <w:rsid w:val="00E02E71"/>
    <w:rsid w:val="00E02F07"/>
    <w:rsid w:val="00E03DF1"/>
    <w:rsid w:val="00E04F36"/>
    <w:rsid w:val="00E05BFC"/>
    <w:rsid w:val="00E05F84"/>
    <w:rsid w:val="00E067A8"/>
    <w:rsid w:val="00E07C77"/>
    <w:rsid w:val="00E1142C"/>
    <w:rsid w:val="00E12118"/>
    <w:rsid w:val="00E129C4"/>
    <w:rsid w:val="00E12BCA"/>
    <w:rsid w:val="00E13791"/>
    <w:rsid w:val="00E1587B"/>
    <w:rsid w:val="00E17844"/>
    <w:rsid w:val="00E21423"/>
    <w:rsid w:val="00E22655"/>
    <w:rsid w:val="00E233EB"/>
    <w:rsid w:val="00E23CA7"/>
    <w:rsid w:val="00E24EA4"/>
    <w:rsid w:val="00E252D9"/>
    <w:rsid w:val="00E26D09"/>
    <w:rsid w:val="00E308C8"/>
    <w:rsid w:val="00E30CDC"/>
    <w:rsid w:val="00E31C39"/>
    <w:rsid w:val="00E31EC4"/>
    <w:rsid w:val="00E322F8"/>
    <w:rsid w:val="00E33397"/>
    <w:rsid w:val="00E34DB9"/>
    <w:rsid w:val="00E3690C"/>
    <w:rsid w:val="00E36AA8"/>
    <w:rsid w:val="00E37954"/>
    <w:rsid w:val="00E41F69"/>
    <w:rsid w:val="00E42F86"/>
    <w:rsid w:val="00E433A3"/>
    <w:rsid w:val="00E444B6"/>
    <w:rsid w:val="00E5045D"/>
    <w:rsid w:val="00E5058D"/>
    <w:rsid w:val="00E50E66"/>
    <w:rsid w:val="00E51D69"/>
    <w:rsid w:val="00E52A7D"/>
    <w:rsid w:val="00E55EF7"/>
    <w:rsid w:val="00E56418"/>
    <w:rsid w:val="00E5778E"/>
    <w:rsid w:val="00E60F40"/>
    <w:rsid w:val="00E61703"/>
    <w:rsid w:val="00E62DC6"/>
    <w:rsid w:val="00E63EB1"/>
    <w:rsid w:val="00E646A3"/>
    <w:rsid w:val="00E65C46"/>
    <w:rsid w:val="00E73296"/>
    <w:rsid w:val="00E73B0C"/>
    <w:rsid w:val="00E75D3D"/>
    <w:rsid w:val="00E75E60"/>
    <w:rsid w:val="00E80675"/>
    <w:rsid w:val="00E812F4"/>
    <w:rsid w:val="00E828C3"/>
    <w:rsid w:val="00E831DD"/>
    <w:rsid w:val="00E835A3"/>
    <w:rsid w:val="00E83E4A"/>
    <w:rsid w:val="00E8427D"/>
    <w:rsid w:val="00E85C49"/>
    <w:rsid w:val="00E86060"/>
    <w:rsid w:val="00E86811"/>
    <w:rsid w:val="00E86CEA"/>
    <w:rsid w:val="00E86FA0"/>
    <w:rsid w:val="00E91433"/>
    <w:rsid w:val="00E93311"/>
    <w:rsid w:val="00E95511"/>
    <w:rsid w:val="00E9618F"/>
    <w:rsid w:val="00E9725B"/>
    <w:rsid w:val="00EA0D9A"/>
    <w:rsid w:val="00EA1943"/>
    <w:rsid w:val="00EA1F93"/>
    <w:rsid w:val="00EA3FA8"/>
    <w:rsid w:val="00EA44FA"/>
    <w:rsid w:val="00EA4A1E"/>
    <w:rsid w:val="00EA521C"/>
    <w:rsid w:val="00EA5799"/>
    <w:rsid w:val="00EA5FF5"/>
    <w:rsid w:val="00EA6B27"/>
    <w:rsid w:val="00EA7131"/>
    <w:rsid w:val="00EA745C"/>
    <w:rsid w:val="00EB045E"/>
    <w:rsid w:val="00EB35F8"/>
    <w:rsid w:val="00EB4019"/>
    <w:rsid w:val="00EB5FC5"/>
    <w:rsid w:val="00EB67CF"/>
    <w:rsid w:val="00EB7BD1"/>
    <w:rsid w:val="00EB7C71"/>
    <w:rsid w:val="00EC02DE"/>
    <w:rsid w:val="00EC15D5"/>
    <w:rsid w:val="00EC3ACF"/>
    <w:rsid w:val="00EC4354"/>
    <w:rsid w:val="00EC4900"/>
    <w:rsid w:val="00ED1461"/>
    <w:rsid w:val="00ED205A"/>
    <w:rsid w:val="00ED3115"/>
    <w:rsid w:val="00ED3C75"/>
    <w:rsid w:val="00ED4B41"/>
    <w:rsid w:val="00ED6405"/>
    <w:rsid w:val="00ED73E9"/>
    <w:rsid w:val="00ED748E"/>
    <w:rsid w:val="00EE08B1"/>
    <w:rsid w:val="00EE0F0F"/>
    <w:rsid w:val="00EE22E2"/>
    <w:rsid w:val="00EE2691"/>
    <w:rsid w:val="00EE49C5"/>
    <w:rsid w:val="00EE4B34"/>
    <w:rsid w:val="00EE65FD"/>
    <w:rsid w:val="00EE6E1B"/>
    <w:rsid w:val="00EF0985"/>
    <w:rsid w:val="00EF0A25"/>
    <w:rsid w:val="00EF0A6E"/>
    <w:rsid w:val="00EF1ACA"/>
    <w:rsid w:val="00EF4EB5"/>
    <w:rsid w:val="00EF4F54"/>
    <w:rsid w:val="00EF671F"/>
    <w:rsid w:val="00EF6EC8"/>
    <w:rsid w:val="00EF7381"/>
    <w:rsid w:val="00F03210"/>
    <w:rsid w:val="00F03EC9"/>
    <w:rsid w:val="00F049EF"/>
    <w:rsid w:val="00F04CCF"/>
    <w:rsid w:val="00F052E5"/>
    <w:rsid w:val="00F05518"/>
    <w:rsid w:val="00F07119"/>
    <w:rsid w:val="00F1034A"/>
    <w:rsid w:val="00F111DF"/>
    <w:rsid w:val="00F12EC3"/>
    <w:rsid w:val="00F132B4"/>
    <w:rsid w:val="00F14005"/>
    <w:rsid w:val="00F1491C"/>
    <w:rsid w:val="00F14BE8"/>
    <w:rsid w:val="00F15E90"/>
    <w:rsid w:val="00F2013C"/>
    <w:rsid w:val="00F20A78"/>
    <w:rsid w:val="00F23490"/>
    <w:rsid w:val="00F248BC"/>
    <w:rsid w:val="00F24A60"/>
    <w:rsid w:val="00F25182"/>
    <w:rsid w:val="00F25C12"/>
    <w:rsid w:val="00F25F8F"/>
    <w:rsid w:val="00F2603B"/>
    <w:rsid w:val="00F274A4"/>
    <w:rsid w:val="00F30DEE"/>
    <w:rsid w:val="00F3166E"/>
    <w:rsid w:val="00F31745"/>
    <w:rsid w:val="00F325F9"/>
    <w:rsid w:val="00F326B9"/>
    <w:rsid w:val="00F36415"/>
    <w:rsid w:val="00F37125"/>
    <w:rsid w:val="00F40038"/>
    <w:rsid w:val="00F40266"/>
    <w:rsid w:val="00F4094F"/>
    <w:rsid w:val="00F420D1"/>
    <w:rsid w:val="00F42F23"/>
    <w:rsid w:val="00F46449"/>
    <w:rsid w:val="00F47D4D"/>
    <w:rsid w:val="00F5233B"/>
    <w:rsid w:val="00F52D13"/>
    <w:rsid w:val="00F5414A"/>
    <w:rsid w:val="00F56070"/>
    <w:rsid w:val="00F570F5"/>
    <w:rsid w:val="00F57695"/>
    <w:rsid w:val="00F6004D"/>
    <w:rsid w:val="00F614B7"/>
    <w:rsid w:val="00F649CB"/>
    <w:rsid w:val="00F64B54"/>
    <w:rsid w:val="00F66336"/>
    <w:rsid w:val="00F67441"/>
    <w:rsid w:val="00F70BFE"/>
    <w:rsid w:val="00F7516D"/>
    <w:rsid w:val="00F7537D"/>
    <w:rsid w:val="00F75641"/>
    <w:rsid w:val="00F76936"/>
    <w:rsid w:val="00F77693"/>
    <w:rsid w:val="00F7780E"/>
    <w:rsid w:val="00F77E69"/>
    <w:rsid w:val="00F80395"/>
    <w:rsid w:val="00F813E0"/>
    <w:rsid w:val="00F81AEC"/>
    <w:rsid w:val="00F83539"/>
    <w:rsid w:val="00F83678"/>
    <w:rsid w:val="00F8399A"/>
    <w:rsid w:val="00F83F7E"/>
    <w:rsid w:val="00F8415E"/>
    <w:rsid w:val="00F86017"/>
    <w:rsid w:val="00F92E94"/>
    <w:rsid w:val="00F92F00"/>
    <w:rsid w:val="00F956BA"/>
    <w:rsid w:val="00F96010"/>
    <w:rsid w:val="00F974D8"/>
    <w:rsid w:val="00F97502"/>
    <w:rsid w:val="00FA0929"/>
    <w:rsid w:val="00FA1773"/>
    <w:rsid w:val="00FA3F52"/>
    <w:rsid w:val="00FA59A0"/>
    <w:rsid w:val="00FA7254"/>
    <w:rsid w:val="00FA7796"/>
    <w:rsid w:val="00FB1407"/>
    <w:rsid w:val="00FB3C70"/>
    <w:rsid w:val="00FB68CC"/>
    <w:rsid w:val="00FB7F81"/>
    <w:rsid w:val="00FB7FB2"/>
    <w:rsid w:val="00FC0037"/>
    <w:rsid w:val="00FC186F"/>
    <w:rsid w:val="00FC4839"/>
    <w:rsid w:val="00FC4A09"/>
    <w:rsid w:val="00FC757A"/>
    <w:rsid w:val="00FC787E"/>
    <w:rsid w:val="00FC7B83"/>
    <w:rsid w:val="00FD01CA"/>
    <w:rsid w:val="00FD1160"/>
    <w:rsid w:val="00FD4785"/>
    <w:rsid w:val="00FD4A1A"/>
    <w:rsid w:val="00FD6BC2"/>
    <w:rsid w:val="00FD7704"/>
    <w:rsid w:val="00FE072B"/>
    <w:rsid w:val="00FE08F7"/>
    <w:rsid w:val="00FE116D"/>
    <w:rsid w:val="00FE13A8"/>
    <w:rsid w:val="00FE234D"/>
    <w:rsid w:val="00FE27E0"/>
    <w:rsid w:val="00FE3953"/>
    <w:rsid w:val="00FE575E"/>
    <w:rsid w:val="00FE5971"/>
    <w:rsid w:val="00FE5D91"/>
    <w:rsid w:val="00FE6BC7"/>
    <w:rsid w:val="00FE75F5"/>
    <w:rsid w:val="00FF35BE"/>
    <w:rsid w:val="00FF41AA"/>
    <w:rsid w:val="00FF424F"/>
    <w:rsid w:val="00FF452A"/>
    <w:rsid w:val="00FF5244"/>
    <w:rsid w:val="00FF5C34"/>
    <w:rsid w:val="4A6F36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A2AAC6"/>
  <w15:docId w15:val="{09247681-DC50-4B9A-8C61-8DA7F4A0D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C15D5"/>
    <w:rPr>
      <w:sz w:val="24"/>
    </w:rPr>
  </w:style>
  <w:style w:type="paragraph" w:styleId="Heading1">
    <w:name w:val="heading 1"/>
    <w:basedOn w:val="Normal"/>
    <w:next w:val="Normal"/>
    <w:qFormat/>
    <w:rsid w:val="00EC15D5"/>
    <w:pPr>
      <w:keepNext/>
      <w:numPr>
        <w:numId w:val="1"/>
      </w:numPr>
      <w:spacing w:before="240" w:after="60"/>
      <w:outlineLvl w:val="0"/>
    </w:pPr>
    <w:rPr>
      <w:rFonts w:ascii="Arial" w:hAnsi="Arial"/>
      <w:b/>
      <w:kern w:val="28"/>
      <w:sz w:val="28"/>
    </w:rPr>
  </w:style>
  <w:style w:type="paragraph" w:styleId="Heading2">
    <w:name w:val="heading 2"/>
    <w:basedOn w:val="Normal"/>
    <w:next w:val="Normal"/>
    <w:qFormat/>
    <w:rsid w:val="00EC15D5"/>
    <w:pPr>
      <w:keepNext/>
      <w:numPr>
        <w:ilvl w:val="1"/>
        <w:numId w:val="2"/>
      </w:numPr>
      <w:spacing w:before="240" w:after="60"/>
      <w:outlineLvl w:val="1"/>
    </w:pPr>
    <w:rPr>
      <w:rFonts w:ascii="Arial" w:hAnsi="Arial"/>
      <w:b/>
      <w:i/>
    </w:rPr>
  </w:style>
  <w:style w:type="paragraph" w:styleId="Heading3">
    <w:name w:val="heading 3"/>
    <w:basedOn w:val="Normal"/>
    <w:next w:val="Normal"/>
    <w:qFormat/>
    <w:rsid w:val="00EC15D5"/>
    <w:pPr>
      <w:keepNext/>
      <w:numPr>
        <w:ilvl w:val="2"/>
        <w:numId w:val="3"/>
      </w:numPr>
      <w:spacing w:before="240" w:after="60"/>
      <w:outlineLvl w:val="2"/>
    </w:pPr>
    <w:rPr>
      <w:rFonts w:ascii="Arial" w:hAnsi="Arial"/>
    </w:rPr>
  </w:style>
  <w:style w:type="paragraph" w:styleId="Heading4">
    <w:name w:val="heading 4"/>
    <w:basedOn w:val="Normal"/>
    <w:next w:val="Normal"/>
    <w:qFormat/>
    <w:rsid w:val="00EC15D5"/>
    <w:pPr>
      <w:keepNext/>
      <w:numPr>
        <w:ilvl w:val="3"/>
        <w:numId w:val="4"/>
      </w:numPr>
      <w:spacing w:before="240" w:after="60"/>
      <w:outlineLvl w:val="3"/>
    </w:pPr>
    <w:rPr>
      <w:rFonts w:ascii="Arial" w:hAnsi="Arial"/>
      <w:b/>
    </w:rPr>
  </w:style>
  <w:style w:type="paragraph" w:styleId="Heading5">
    <w:name w:val="heading 5"/>
    <w:basedOn w:val="Normal"/>
    <w:next w:val="Normal"/>
    <w:qFormat/>
    <w:rsid w:val="00CD3245"/>
    <w:pPr>
      <w:numPr>
        <w:ilvl w:val="4"/>
        <w:numId w:val="6"/>
      </w:numPr>
      <w:spacing w:before="240" w:after="60"/>
      <w:outlineLvl w:val="4"/>
    </w:pPr>
    <w:rPr>
      <w:sz w:val="22"/>
    </w:rPr>
  </w:style>
  <w:style w:type="paragraph" w:styleId="Heading6">
    <w:name w:val="heading 6"/>
    <w:basedOn w:val="Normal"/>
    <w:next w:val="Normal"/>
    <w:qFormat/>
    <w:rsid w:val="00CD3245"/>
    <w:pPr>
      <w:numPr>
        <w:ilvl w:val="5"/>
        <w:numId w:val="6"/>
      </w:numPr>
      <w:spacing w:before="240" w:after="60"/>
      <w:outlineLvl w:val="5"/>
    </w:pPr>
    <w:rPr>
      <w:i/>
      <w:sz w:val="22"/>
    </w:rPr>
  </w:style>
  <w:style w:type="paragraph" w:styleId="Heading7">
    <w:name w:val="heading 7"/>
    <w:basedOn w:val="Normal"/>
    <w:next w:val="Normal"/>
    <w:qFormat/>
    <w:rsid w:val="00CD3245"/>
    <w:pPr>
      <w:numPr>
        <w:ilvl w:val="6"/>
        <w:numId w:val="6"/>
      </w:numPr>
      <w:spacing w:before="240" w:after="60"/>
      <w:outlineLvl w:val="6"/>
    </w:pPr>
    <w:rPr>
      <w:rFonts w:ascii="Arial" w:hAnsi="Arial"/>
    </w:rPr>
  </w:style>
  <w:style w:type="paragraph" w:styleId="Heading8">
    <w:name w:val="heading 8"/>
    <w:basedOn w:val="Normal"/>
    <w:next w:val="Normal"/>
    <w:qFormat/>
    <w:rsid w:val="00CD3245"/>
    <w:pPr>
      <w:numPr>
        <w:ilvl w:val="7"/>
        <w:numId w:val="6"/>
      </w:numPr>
      <w:spacing w:before="240" w:after="60"/>
      <w:outlineLvl w:val="7"/>
    </w:pPr>
    <w:rPr>
      <w:rFonts w:ascii="Arial" w:hAnsi="Arial"/>
      <w:i/>
    </w:rPr>
  </w:style>
  <w:style w:type="paragraph" w:styleId="Heading9">
    <w:name w:val="heading 9"/>
    <w:basedOn w:val="Normal"/>
    <w:next w:val="Normal"/>
    <w:qFormat/>
    <w:rsid w:val="00CD3245"/>
    <w:pPr>
      <w:numPr>
        <w:ilvl w:val="8"/>
        <w:numId w:val="6"/>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EC15D5"/>
    <w:rPr>
      <w:caps/>
    </w:rPr>
  </w:style>
  <w:style w:type="paragraph" w:customStyle="1" w:styleId="ABBR">
    <w:name w:val="ABBR"/>
    <w:basedOn w:val="Annex"/>
    <w:rsid w:val="00EC15D5"/>
  </w:style>
  <w:style w:type="paragraph" w:customStyle="1" w:styleId="AbbrDesc">
    <w:name w:val="AbbrDesc"/>
    <w:basedOn w:val="Normal"/>
    <w:rsid w:val="00EC15D5"/>
    <w:pPr>
      <w:tabs>
        <w:tab w:val="left" w:pos="3060"/>
      </w:tabs>
      <w:jc w:val="both"/>
    </w:pPr>
  </w:style>
  <w:style w:type="paragraph" w:styleId="BodyText">
    <w:name w:val="Body Text"/>
    <w:basedOn w:val="Normal"/>
    <w:rsid w:val="00EC15D5"/>
    <w:pPr>
      <w:tabs>
        <w:tab w:val="left" w:pos="3060"/>
      </w:tabs>
      <w:jc w:val="center"/>
    </w:pPr>
  </w:style>
  <w:style w:type="paragraph" w:styleId="BodyTextIndent">
    <w:name w:val="Body Text Indent"/>
    <w:basedOn w:val="Normal"/>
    <w:rsid w:val="00EC15D5"/>
    <w:pPr>
      <w:spacing w:after="120"/>
      <w:ind w:left="360"/>
    </w:pPr>
  </w:style>
  <w:style w:type="paragraph" w:styleId="BodyTextIndent3">
    <w:name w:val="Body Text Indent 3"/>
    <w:basedOn w:val="Normal"/>
    <w:rsid w:val="00EC15D5"/>
    <w:pPr>
      <w:spacing w:after="120"/>
      <w:ind w:left="360"/>
    </w:pPr>
  </w:style>
  <w:style w:type="paragraph" w:customStyle="1" w:styleId="Chapter">
    <w:name w:val="Chapter"/>
    <w:basedOn w:val="Normal"/>
    <w:next w:val="Normal"/>
    <w:rsid w:val="00CD3245"/>
    <w:pPr>
      <w:keepNext/>
      <w:numPr>
        <w:numId w:val="9"/>
      </w:numPr>
      <w:tabs>
        <w:tab w:val="left" w:pos="1440"/>
      </w:tabs>
      <w:spacing w:before="240" w:after="240"/>
      <w:jc w:val="center"/>
    </w:pPr>
    <w:rPr>
      <w:b/>
      <w:smallCaps/>
    </w:rPr>
  </w:style>
  <w:style w:type="paragraph" w:styleId="DocumentMap">
    <w:name w:val="Document Map"/>
    <w:basedOn w:val="Normal"/>
    <w:semiHidden/>
    <w:rsid w:val="00EC15D5"/>
    <w:pPr>
      <w:shd w:val="clear" w:color="auto" w:fill="000080"/>
    </w:pPr>
    <w:rPr>
      <w:rFonts w:ascii="Tahoma" w:hAnsi="Tahoma"/>
    </w:rPr>
  </w:style>
  <w:style w:type="paragraph" w:customStyle="1" w:styleId="FirstHeading">
    <w:name w:val="FirstHeading"/>
    <w:basedOn w:val="Normal"/>
    <w:next w:val="Normal"/>
    <w:rsid w:val="00CD3245"/>
    <w:pPr>
      <w:keepNext/>
      <w:numPr>
        <w:numId w:val="6"/>
      </w:numPr>
      <w:tabs>
        <w:tab w:val="left" w:pos="0"/>
        <w:tab w:val="left" w:pos="86"/>
      </w:tabs>
      <w:spacing w:before="120" w:after="120"/>
      <w:ind w:left="720"/>
    </w:pPr>
    <w:rPr>
      <w:b/>
    </w:rPr>
  </w:style>
  <w:style w:type="paragraph" w:styleId="Footer">
    <w:name w:val="footer"/>
    <w:basedOn w:val="Normal"/>
    <w:link w:val="FooterChar"/>
    <w:uiPriority w:val="99"/>
    <w:rsid w:val="00EC15D5"/>
    <w:pPr>
      <w:tabs>
        <w:tab w:val="center" w:pos="4320"/>
        <w:tab w:val="right" w:pos="8640"/>
      </w:tabs>
    </w:pPr>
  </w:style>
  <w:style w:type="paragraph" w:styleId="FootnoteText">
    <w:name w:val="footnote text"/>
    <w:aliases w:val="fn,Texto nota pie IIRSA,foottextfra,footnote,F,Car,ft,Texto,nota,pie,Ref.,al,F1,texto de nota al pie,NOTA AL PIE TESIS PUCP,footnote text,Geneva 9,Font: Geneva 9,Boston 10,f,Fußnotentextr,Texto nota pie Car Car,single space,Fußn,nota_rodap"/>
    <w:basedOn w:val="Normal"/>
    <w:link w:val="FootnoteTextChar"/>
    <w:uiPriority w:val="99"/>
    <w:qFormat/>
    <w:rsid w:val="00EC15D5"/>
    <w:pPr>
      <w:keepNext/>
      <w:keepLines/>
      <w:spacing w:after="120"/>
      <w:ind w:left="288" w:hanging="288"/>
      <w:jc w:val="both"/>
    </w:pPr>
    <w:rPr>
      <w:spacing w:val="-3"/>
      <w:sz w:val="20"/>
    </w:rPr>
  </w:style>
  <w:style w:type="paragraph" w:styleId="Header">
    <w:name w:val="header"/>
    <w:basedOn w:val="Normal"/>
    <w:link w:val="HeaderChar"/>
    <w:uiPriority w:val="99"/>
    <w:rsid w:val="00EC15D5"/>
    <w:pPr>
      <w:tabs>
        <w:tab w:val="center" w:pos="4320"/>
        <w:tab w:val="right" w:pos="8640"/>
      </w:tabs>
    </w:pPr>
  </w:style>
  <w:style w:type="character" w:styleId="LineNumber">
    <w:name w:val="line number"/>
    <w:basedOn w:val="DefaultParagraphFont"/>
    <w:rsid w:val="00EC15D5"/>
  </w:style>
  <w:style w:type="paragraph" w:customStyle="1" w:styleId="MasterSourceText">
    <w:name w:val="Master_SourceText"/>
    <w:basedOn w:val="Normal"/>
    <w:rsid w:val="00EC15D5"/>
    <w:pPr>
      <w:tabs>
        <w:tab w:val="left" w:pos="1440"/>
      </w:tabs>
      <w:ind w:left="1440" w:hanging="720"/>
      <w:jc w:val="both"/>
    </w:pPr>
    <w:rPr>
      <w:sz w:val="20"/>
    </w:rPr>
  </w:style>
  <w:style w:type="paragraph" w:customStyle="1" w:styleId="Newpage">
    <w:name w:val="Newpage"/>
    <w:basedOn w:val="Chapter"/>
    <w:rsid w:val="00EC15D5"/>
    <w:pPr>
      <w:numPr>
        <w:numId w:val="0"/>
      </w:numPr>
      <w:tabs>
        <w:tab w:val="left" w:pos="3060"/>
      </w:tabs>
      <w:spacing w:after="0"/>
    </w:pPr>
  </w:style>
  <w:style w:type="character" w:styleId="PageNumber">
    <w:name w:val="page number"/>
    <w:basedOn w:val="DefaultParagraphFont"/>
    <w:rsid w:val="00EC15D5"/>
  </w:style>
  <w:style w:type="paragraph" w:customStyle="1" w:styleId="Paragraph">
    <w:name w:val="Paragraph"/>
    <w:aliases w:val="paragraph,p,PARAGRAPH,PG,pa,at"/>
    <w:basedOn w:val="BodyTextIndent"/>
    <w:link w:val="ParagraphChar"/>
    <w:qFormat/>
    <w:rsid w:val="00CD3245"/>
    <w:pPr>
      <w:numPr>
        <w:ilvl w:val="1"/>
        <w:numId w:val="9"/>
      </w:numPr>
      <w:spacing w:before="120"/>
      <w:jc w:val="both"/>
      <w:outlineLvl w:val="1"/>
    </w:pPr>
  </w:style>
  <w:style w:type="paragraph" w:customStyle="1" w:styleId="RegheadTab">
    <w:name w:val="RegheadTab"/>
    <w:basedOn w:val="FirstHeading"/>
    <w:rsid w:val="00EC15D5"/>
    <w:pPr>
      <w:numPr>
        <w:numId w:val="0"/>
      </w:numPr>
      <w:tabs>
        <w:tab w:val="num" w:pos="504"/>
      </w:tabs>
      <w:spacing w:after="0"/>
      <w:ind w:left="504" w:hanging="504"/>
      <w:jc w:val="center"/>
    </w:pPr>
  </w:style>
  <w:style w:type="paragraph" w:customStyle="1" w:styleId="SecHeading">
    <w:name w:val="SecHeading"/>
    <w:basedOn w:val="Normal"/>
    <w:next w:val="Paragraph"/>
    <w:rsid w:val="00CD3245"/>
    <w:pPr>
      <w:keepNext/>
      <w:numPr>
        <w:ilvl w:val="1"/>
        <w:numId w:val="6"/>
      </w:numPr>
      <w:tabs>
        <w:tab w:val="clear" w:pos="5400"/>
        <w:tab w:val="num" w:pos="1296"/>
      </w:tabs>
      <w:spacing w:before="120" w:after="120"/>
      <w:ind w:left="1296"/>
    </w:pPr>
    <w:rPr>
      <w:b/>
    </w:rPr>
  </w:style>
  <w:style w:type="paragraph" w:customStyle="1" w:styleId="SubHeading1">
    <w:name w:val="SubHeading1"/>
    <w:basedOn w:val="SecHeading"/>
    <w:rsid w:val="00CD3245"/>
    <w:pPr>
      <w:numPr>
        <w:ilvl w:val="2"/>
      </w:numPr>
      <w:tabs>
        <w:tab w:val="clear" w:pos="5976"/>
        <w:tab w:val="num" w:pos="1872"/>
      </w:tabs>
      <w:ind w:left="1872"/>
    </w:pPr>
  </w:style>
  <w:style w:type="paragraph" w:customStyle="1" w:styleId="Subheading2">
    <w:name w:val="Subheading2"/>
    <w:basedOn w:val="SecHeading"/>
    <w:rsid w:val="00CD3245"/>
    <w:pPr>
      <w:numPr>
        <w:ilvl w:val="3"/>
      </w:numPr>
      <w:tabs>
        <w:tab w:val="clear" w:pos="6480"/>
        <w:tab w:val="num" w:pos="2376"/>
      </w:tabs>
      <w:ind w:left="2376"/>
    </w:pPr>
  </w:style>
  <w:style w:type="paragraph" w:customStyle="1" w:styleId="subpar">
    <w:name w:val="subpar"/>
    <w:basedOn w:val="BodyTextIndent3"/>
    <w:rsid w:val="00CD3245"/>
    <w:pPr>
      <w:numPr>
        <w:ilvl w:val="2"/>
        <w:numId w:val="9"/>
      </w:numPr>
      <w:tabs>
        <w:tab w:val="clear" w:pos="3456"/>
        <w:tab w:val="num" w:pos="1152"/>
      </w:tabs>
      <w:spacing w:before="120"/>
      <w:ind w:left="1152"/>
      <w:jc w:val="both"/>
      <w:outlineLvl w:val="2"/>
    </w:pPr>
  </w:style>
  <w:style w:type="paragraph" w:customStyle="1" w:styleId="SubSubPar">
    <w:name w:val="SubSubPar"/>
    <w:basedOn w:val="subpar"/>
    <w:rsid w:val="00CD3245"/>
    <w:pPr>
      <w:numPr>
        <w:ilvl w:val="3"/>
      </w:numPr>
      <w:tabs>
        <w:tab w:val="clear" w:pos="3888"/>
        <w:tab w:val="left" w:pos="0"/>
        <w:tab w:val="num" w:pos="1296"/>
      </w:tabs>
      <w:ind w:left="1296"/>
    </w:pPr>
  </w:style>
  <w:style w:type="paragraph" w:styleId="Title">
    <w:name w:val="Title"/>
    <w:basedOn w:val="Normal"/>
    <w:qFormat/>
    <w:rsid w:val="00EC15D5"/>
    <w:pPr>
      <w:tabs>
        <w:tab w:val="left" w:pos="1440"/>
        <w:tab w:val="left" w:pos="3060"/>
      </w:tabs>
      <w:jc w:val="center"/>
      <w:outlineLvl w:val="0"/>
    </w:pPr>
  </w:style>
  <w:style w:type="paragraph" w:styleId="TOC1">
    <w:name w:val="toc 1"/>
    <w:basedOn w:val="Normal"/>
    <w:next w:val="Normal"/>
    <w:autoRedefine/>
    <w:uiPriority w:val="39"/>
    <w:rsid w:val="0045688F"/>
    <w:pPr>
      <w:tabs>
        <w:tab w:val="left" w:pos="540"/>
        <w:tab w:val="right" w:leader="dot" w:pos="8640"/>
      </w:tabs>
      <w:spacing w:before="240" w:after="240"/>
      <w:ind w:left="547" w:hanging="547"/>
    </w:pPr>
    <w:rPr>
      <w:rFonts w:ascii="Arial" w:hAnsi="Arial" w:cs="Arial"/>
      <w:smallCaps/>
      <w:noProof/>
      <w:sz w:val="22"/>
    </w:rPr>
  </w:style>
  <w:style w:type="paragraph" w:styleId="TOC2">
    <w:name w:val="toc 2"/>
    <w:basedOn w:val="Normal"/>
    <w:next w:val="Normal"/>
    <w:autoRedefine/>
    <w:semiHidden/>
    <w:rsid w:val="00EC15D5"/>
    <w:pPr>
      <w:tabs>
        <w:tab w:val="left" w:pos="540"/>
        <w:tab w:val="left" w:pos="600"/>
        <w:tab w:val="left" w:pos="1166"/>
        <w:tab w:val="right" w:leader="dot" w:pos="8640"/>
        <w:tab w:val="right" w:leader="dot" w:pos="8741"/>
      </w:tabs>
      <w:ind w:left="1166" w:hanging="605"/>
    </w:pPr>
    <w:rPr>
      <w:rFonts w:ascii="Arial" w:hAnsi="Arial" w:cs="Arial"/>
      <w:noProof/>
      <w:sz w:val="22"/>
      <w:szCs w:val="24"/>
    </w:rPr>
  </w:style>
  <w:style w:type="paragraph" w:styleId="TOC3">
    <w:name w:val="toc 3"/>
    <w:basedOn w:val="Normal"/>
    <w:next w:val="Normal"/>
    <w:autoRedefine/>
    <w:semiHidden/>
    <w:rsid w:val="00EC15D5"/>
    <w:pPr>
      <w:tabs>
        <w:tab w:val="left" w:pos="1728"/>
        <w:tab w:val="right" w:leader="dot" w:pos="8640"/>
      </w:tabs>
      <w:ind w:left="1714" w:hanging="562"/>
    </w:pPr>
    <w:rPr>
      <w:rFonts w:ascii="Arial" w:hAnsi="Arial" w:cs="Arial"/>
      <w:noProof/>
      <w:sz w:val="22"/>
    </w:rPr>
  </w:style>
  <w:style w:type="paragraph" w:styleId="TOC4">
    <w:name w:val="toc 4"/>
    <w:basedOn w:val="Normal"/>
    <w:next w:val="Normal"/>
    <w:autoRedefine/>
    <w:semiHidden/>
    <w:rsid w:val="00EC15D5"/>
    <w:pPr>
      <w:ind w:left="400"/>
    </w:pPr>
  </w:style>
  <w:style w:type="paragraph" w:styleId="TOC5">
    <w:name w:val="toc 5"/>
    <w:basedOn w:val="Normal"/>
    <w:next w:val="Normal"/>
    <w:autoRedefine/>
    <w:semiHidden/>
    <w:rsid w:val="00EC15D5"/>
    <w:pPr>
      <w:ind w:left="600"/>
    </w:pPr>
  </w:style>
  <w:style w:type="paragraph" w:styleId="TOC6">
    <w:name w:val="toc 6"/>
    <w:basedOn w:val="Normal"/>
    <w:next w:val="Normal"/>
    <w:autoRedefine/>
    <w:semiHidden/>
    <w:rsid w:val="00EC15D5"/>
    <w:pPr>
      <w:ind w:left="800"/>
    </w:pPr>
  </w:style>
  <w:style w:type="paragraph" w:styleId="TOC7">
    <w:name w:val="toc 7"/>
    <w:basedOn w:val="Normal"/>
    <w:next w:val="Normal"/>
    <w:autoRedefine/>
    <w:semiHidden/>
    <w:rsid w:val="00EC15D5"/>
    <w:pPr>
      <w:ind w:left="1000"/>
    </w:pPr>
  </w:style>
  <w:style w:type="paragraph" w:styleId="TOC8">
    <w:name w:val="toc 8"/>
    <w:basedOn w:val="Normal"/>
    <w:next w:val="Normal"/>
    <w:autoRedefine/>
    <w:semiHidden/>
    <w:rsid w:val="00EC15D5"/>
    <w:pPr>
      <w:ind w:left="1200"/>
    </w:pPr>
  </w:style>
  <w:style w:type="paragraph" w:styleId="TOC9">
    <w:name w:val="toc 9"/>
    <w:basedOn w:val="Normal"/>
    <w:next w:val="Normal"/>
    <w:autoRedefine/>
    <w:semiHidden/>
    <w:rsid w:val="00EC15D5"/>
    <w:pPr>
      <w:ind w:left="1400"/>
    </w:pPr>
  </w:style>
  <w:style w:type="character" w:styleId="Hyperlink">
    <w:name w:val="Hyperlink"/>
    <w:basedOn w:val="DefaultParagraphFont"/>
    <w:rsid w:val="00EC15D5"/>
    <w:rPr>
      <w:color w:val="0000FF"/>
      <w:u w:val="single"/>
    </w:rPr>
  </w:style>
  <w:style w:type="character" w:styleId="FollowedHyperlink">
    <w:name w:val="FollowedHyperlink"/>
    <w:basedOn w:val="DefaultParagraphFont"/>
    <w:rsid w:val="00EC15D5"/>
    <w:rPr>
      <w:color w:val="800080"/>
      <w:u w:val="single"/>
    </w:rPr>
  </w:style>
  <w:style w:type="paragraph" w:styleId="BodyText3">
    <w:name w:val="Body Text 3"/>
    <w:basedOn w:val="Normal"/>
    <w:rsid w:val="00EC15D5"/>
    <w:rPr>
      <w:rFonts w:ascii="Palatino Linotype" w:hAnsi="Palatino Linotype"/>
      <w:sz w:val="22"/>
    </w:rPr>
  </w:style>
  <w:style w:type="character" w:styleId="FootnoteReference">
    <w:name w:val="footnote reference"/>
    <w:aliases w:val="Fußnotenzeichen DISS,16 Point,Superscript 6 Point,ftref,Footnote Reference Number,Footnote,BVI fnr,Ref,de nota al pie,Normal + Font:9 Point,Superscript 3 Point Times,FC,SUPERS,EN Footnote Reference,number, BVI fnr,Знак сноски 1"/>
    <w:basedOn w:val="DefaultParagraphFont"/>
    <w:link w:val="CarattereCarattereCharCharCharCharCharCharZchn"/>
    <w:uiPriority w:val="99"/>
    <w:qFormat/>
    <w:rsid w:val="00EC15D5"/>
    <w:rPr>
      <w:vertAlign w:val="superscript"/>
    </w:rPr>
  </w:style>
  <w:style w:type="paragraph" w:styleId="Subtitle">
    <w:name w:val="Subtitle"/>
    <w:basedOn w:val="Normal"/>
    <w:qFormat/>
    <w:rsid w:val="00EC15D5"/>
    <w:pPr>
      <w:jc w:val="center"/>
    </w:pPr>
    <w:rPr>
      <w:b/>
      <w:bCs/>
      <w:sz w:val="28"/>
      <w:szCs w:val="24"/>
    </w:rPr>
  </w:style>
  <w:style w:type="paragraph" w:customStyle="1" w:styleId="xl29">
    <w:name w:val="xl29"/>
    <w:basedOn w:val="Normal"/>
    <w:rsid w:val="00EC15D5"/>
    <w:pPr>
      <w:pBdr>
        <w:left w:val="single" w:sz="4" w:space="0" w:color="auto"/>
        <w:bottom w:val="single" w:sz="4" w:space="0" w:color="auto"/>
      </w:pBdr>
      <w:spacing w:before="100" w:beforeAutospacing="1" w:after="100" w:afterAutospacing="1"/>
      <w:jc w:val="center"/>
    </w:pPr>
    <w:rPr>
      <w:rFonts w:ascii="Arial" w:eastAsia="Arial Unicode MS" w:hAnsi="Arial" w:cs="Arial"/>
      <w:b/>
      <w:bCs/>
      <w:szCs w:val="24"/>
    </w:rPr>
  </w:style>
  <w:style w:type="paragraph" w:customStyle="1" w:styleId="Textodebalo">
    <w:name w:val="Texto de balão"/>
    <w:basedOn w:val="Normal"/>
    <w:semiHidden/>
    <w:rsid w:val="00EC15D5"/>
    <w:rPr>
      <w:rFonts w:ascii="Tahoma" w:hAnsi="Tahoma" w:cs="Tahoma"/>
      <w:sz w:val="16"/>
      <w:szCs w:val="16"/>
    </w:rPr>
  </w:style>
  <w:style w:type="paragraph" w:styleId="BalloonText">
    <w:name w:val="Balloon Text"/>
    <w:basedOn w:val="Normal"/>
    <w:semiHidden/>
    <w:rsid w:val="00D4145C"/>
    <w:rPr>
      <w:rFonts w:ascii="Tahoma" w:hAnsi="Tahoma" w:cs="Tahoma"/>
      <w:sz w:val="16"/>
      <w:szCs w:val="16"/>
    </w:rPr>
  </w:style>
  <w:style w:type="character" w:customStyle="1" w:styleId="ParagraphChar">
    <w:name w:val="Paragraph Char"/>
    <w:basedOn w:val="DefaultParagraphFont"/>
    <w:link w:val="Paragraph"/>
    <w:rsid w:val="00CD3245"/>
    <w:rPr>
      <w:sz w:val="24"/>
    </w:rPr>
  </w:style>
  <w:style w:type="character" w:styleId="Emphasis">
    <w:name w:val="Emphasis"/>
    <w:basedOn w:val="DefaultParagraphFont"/>
    <w:qFormat/>
    <w:rsid w:val="003F27D7"/>
    <w:rPr>
      <w:i/>
      <w:iCs/>
    </w:rPr>
  </w:style>
  <w:style w:type="paragraph" w:styleId="ListParagraph">
    <w:name w:val="List Paragraph"/>
    <w:basedOn w:val="Normal"/>
    <w:uiPriority w:val="34"/>
    <w:qFormat/>
    <w:rsid w:val="001F48A4"/>
    <w:pPr>
      <w:ind w:left="720"/>
      <w:contextualSpacing/>
    </w:pPr>
    <w:rPr>
      <w:rFonts w:ascii="Arial" w:hAnsi="Arial"/>
      <w:sz w:val="20"/>
    </w:rPr>
  </w:style>
  <w:style w:type="table" w:styleId="TableGrid">
    <w:name w:val="Table Grid"/>
    <w:basedOn w:val="TableNormal"/>
    <w:rsid w:val="003832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74D84"/>
    <w:rPr>
      <w:sz w:val="24"/>
    </w:rPr>
  </w:style>
  <w:style w:type="paragraph" w:styleId="NormalWeb">
    <w:name w:val="Normal (Web)"/>
    <w:basedOn w:val="Normal"/>
    <w:uiPriority w:val="99"/>
    <w:unhideWhenUsed/>
    <w:rsid w:val="00D37846"/>
    <w:rPr>
      <w:rFonts w:eastAsia="Calibri"/>
      <w:szCs w:val="24"/>
    </w:rPr>
  </w:style>
  <w:style w:type="character" w:styleId="CommentReference">
    <w:name w:val="annotation reference"/>
    <w:basedOn w:val="DefaultParagraphFont"/>
    <w:rsid w:val="00E322F8"/>
    <w:rPr>
      <w:sz w:val="16"/>
      <w:szCs w:val="16"/>
    </w:rPr>
  </w:style>
  <w:style w:type="paragraph" w:styleId="CommentText">
    <w:name w:val="annotation text"/>
    <w:basedOn w:val="Normal"/>
    <w:link w:val="CommentTextChar"/>
    <w:rsid w:val="00E322F8"/>
    <w:rPr>
      <w:sz w:val="20"/>
    </w:rPr>
  </w:style>
  <w:style w:type="character" w:customStyle="1" w:styleId="CommentTextChar">
    <w:name w:val="Comment Text Char"/>
    <w:basedOn w:val="DefaultParagraphFont"/>
    <w:link w:val="CommentText"/>
    <w:rsid w:val="00E322F8"/>
  </w:style>
  <w:style w:type="paragraph" w:styleId="CommentSubject">
    <w:name w:val="annotation subject"/>
    <w:basedOn w:val="CommentText"/>
    <w:next w:val="CommentText"/>
    <w:link w:val="CommentSubjectChar"/>
    <w:rsid w:val="00E322F8"/>
    <w:rPr>
      <w:b/>
      <w:bCs/>
    </w:rPr>
  </w:style>
  <w:style w:type="character" w:customStyle="1" w:styleId="CommentSubjectChar">
    <w:name w:val="Comment Subject Char"/>
    <w:basedOn w:val="CommentTextChar"/>
    <w:link w:val="CommentSubject"/>
    <w:rsid w:val="00E322F8"/>
    <w:rPr>
      <w:b/>
      <w:bCs/>
    </w:rPr>
  </w:style>
  <w:style w:type="character" w:customStyle="1" w:styleId="FootnoteTextChar">
    <w:name w:val="Footnote Text Char"/>
    <w:aliases w:val="fn Char,Texto nota pie IIRSA Char,foottextfra Char,footnote Char,F Char,Car Char,ft Char,Texto Char,nota Char,pie Char,Ref. Char,al Char,F1 Char,texto de nota al pie Char,NOTA AL PIE TESIS PUCP Char,footnote text Char,Geneva 9 Char"/>
    <w:basedOn w:val="DefaultParagraphFont"/>
    <w:link w:val="FootnoteText"/>
    <w:uiPriority w:val="99"/>
    <w:locked/>
    <w:rsid w:val="00CE29A5"/>
    <w:rPr>
      <w:spacing w:val="-3"/>
    </w:rPr>
  </w:style>
  <w:style w:type="paragraph" w:styleId="Revision">
    <w:name w:val="Revision"/>
    <w:hidden/>
    <w:uiPriority w:val="99"/>
    <w:semiHidden/>
    <w:rsid w:val="008E0577"/>
    <w:rPr>
      <w:sz w:val="24"/>
    </w:rPr>
  </w:style>
  <w:style w:type="character" w:customStyle="1" w:styleId="FootnoteTextChar1">
    <w:name w:val="Footnote Text Char1"/>
    <w:aliases w:val="fn Char1,Texto nota pie IIRSA Char1,foottextfra Char1,footnote Char1,F Char1"/>
    <w:basedOn w:val="DefaultParagraphFont"/>
    <w:uiPriority w:val="99"/>
    <w:semiHidden/>
    <w:locked/>
    <w:rsid w:val="0074637A"/>
    <w:rPr>
      <w:rFonts w:cs="Times New Roman"/>
      <w:spacing w:val="-3"/>
      <w:lang w:val="en-US" w:eastAsia="en-US" w:bidi="ar-SA"/>
    </w:rPr>
  </w:style>
  <w:style w:type="character" w:customStyle="1" w:styleId="apple-style-span">
    <w:name w:val="apple-style-span"/>
    <w:basedOn w:val="DefaultParagraphFont"/>
    <w:rsid w:val="005673D0"/>
  </w:style>
  <w:style w:type="character" w:customStyle="1" w:styleId="apple-converted-space">
    <w:name w:val="apple-converted-space"/>
    <w:basedOn w:val="DefaultParagraphFont"/>
    <w:rsid w:val="005673D0"/>
  </w:style>
  <w:style w:type="paragraph" w:customStyle="1" w:styleId="Regtable">
    <w:name w:val="Regtable"/>
    <w:basedOn w:val="Normal"/>
    <w:link w:val="RegtableChar"/>
    <w:rsid w:val="00CD3245"/>
    <w:pPr>
      <w:keepLines/>
      <w:framePr w:wrap="around" w:vAnchor="text" w:hAnchor="text" w:y="1"/>
      <w:spacing w:before="20" w:after="20"/>
    </w:pPr>
    <w:rPr>
      <w:sz w:val="20"/>
      <w:lang w:val="es-ES_tradnl"/>
    </w:rPr>
  </w:style>
  <w:style w:type="character" w:customStyle="1" w:styleId="RegtableChar">
    <w:name w:val="Regtable Char"/>
    <w:basedOn w:val="DefaultParagraphFont"/>
    <w:link w:val="Regtable"/>
    <w:rsid w:val="00CD3245"/>
    <w:rPr>
      <w:lang w:val="es-ES_tradnl"/>
    </w:rPr>
  </w:style>
  <w:style w:type="paragraph" w:customStyle="1" w:styleId="TableTitle">
    <w:name w:val="TableTitle"/>
    <w:basedOn w:val="Normal"/>
    <w:link w:val="TableTitleChar"/>
    <w:rsid w:val="00CD3245"/>
    <w:pPr>
      <w:keepNext/>
      <w:framePr w:wrap="around" w:vAnchor="text" w:hAnchor="text" w:y="1"/>
      <w:spacing w:before="20" w:after="20"/>
      <w:jc w:val="center"/>
    </w:pPr>
    <w:rPr>
      <w:rFonts w:ascii="Times New Roman Bold" w:hAnsi="Times New Roman Bold"/>
      <w:b/>
      <w:spacing w:val="-3"/>
      <w:sz w:val="20"/>
      <w:lang w:val="es-ES_tradnl"/>
    </w:rPr>
  </w:style>
  <w:style w:type="character" w:customStyle="1" w:styleId="TableTitleChar">
    <w:name w:val="TableTitle Char"/>
    <w:basedOn w:val="DefaultParagraphFont"/>
    <w:link w:val="TableTitle"/>
    <w:rsid w:val="00CD3245"/>
    <w:rPr>
      <w:rFonts w:ascii="Times New Roman Bold" w:hAnsi="Times New Roman Bold"/>
      <w:b/>
      <w:spacing w:val="-3"/>
      <w:lang w:val="es-ES_tradnl"/>
    </w:rPr>
  </w:style>
  <w:style w:type="character" w:styleId="UnresolvedMention">
    <w:name w:val="Unresolved Mention"/>
    <w:basedOn w:val="DefaultParagraphFont"/>
    <w:uiPriority w:val="99"/>
    <w:semiHidden/>
    <w:unhideWhenUsed/>
    <w:rsid w:val="00014DFB"/>
    <w:rPr>
      <w:color w:val="808080"/>
      <w:shd w:val="clear" w:color="auto" w:fill="E6E6E6"/>
    </w:rPr>
  </w:style>
  <w:style w:type="character" w:customStyle="1" w:styleId="HeaderChar">
    <w:name w:val="Header Char"/>
    <w:basedOn w:val="DefaultParagraphFont"/>
    <w:link w:val="Header"/>
    <w:uiPriority w:val="99"/>
    <w:rsid w:val="004544EA"/>
    <w:rPr>
      <w:sz w:val="24"/>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rsid w:val="00617868"/>
    <w:pPr>
      <w:spacing w:after="160" w:line="240" w:lineRule="exact"/>
    </w:pPr>
    <w:rPr>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07649">
      <w:bodyDiv w:val="1"/>
      <w:marLeft w:val="0"/>
      <w:marRight w:val="0"/>
      <w:marTop w:val="0"/>
      <w:marBottom w:val="0"/>
      <w:divBdr>
        <w:top w:val="none" w:sz="0" w:space="0" w:color="auto"/>
        <w:left w:val="none" w:sz="0" w:space="0" w:color="auto"/>
        <w:bottom w:val="none" w:sz="0" w:space="0" w:color="auto"/>
        <w:right w:val="none" w:sz="0" w:space="0" w:color="auto"/>
      </w:divBdr>
    </w:div>
    <w:div w:id="119348329">
      <w:bodyDiv w:val="1"/>
      <w:marLeft w:val="0"/>
      <w:marRight w:val="0"/>
      <w:marTop w:val="0"/>
      <w:marBottom w:val="0"/>
      <w:divBdr>
        <w:top w:val="none" w:sz="0" w:space="0" w:color="auto"/>
        <w:left w:val="none" w:sz="0" w:space="0" w:color="auto"/>
        <w:bottom w:val="none" w:sz="0" w:space="0" w:color="auto"/>
        <w:right w:val="none" w:sz="0" w:space="0" w:color="auto"/>
      </w:divBdr>
    </w:div>
    <w:div w:id="335110591">
      <w:bodyDiv w:val="1"/>
      <w:marLeft w:val="0"/>
      <w:marRight w:val="0"/>
      <w:marTop w:val="0"/>
      <w:marBottom w:val="0"/>
      <w:divBdr>
        <w:top w:val="none" w:sz="0" w:space="0" w:color="auto"/>
        <w:left w:val="none" w:sz="0" w:space="0" w:color="auto"/>
        <w:bottom w:val="none" w:sz="0" w:space="0" w:color="auto"/>
        <w:right w:val="none" w:sz="0" w:space="0" w:color="auto"/>
      </w:divBdr>
    </w:div>
    <w:div w:id="478226342">
      <w:bodyDiv w:val="1"/>
      <w:marLeft w:val="0"/>
      <w:marRight w:val="0"/>
      <w:marTop w:val="0"/>
      <w:marBottom w:val="0"/>
      <w:divBdr>
        <w:top w:val="none" w:sz="0" w:space="0" w:color="auto"/>
        <w:left w:val="none" w:sz="0" w:space="0" w:color="auto"/>
        <w:bottom w:val="none" w:sz="0" w:space="0" w:color="auto"/>
        <w:right w:val="none" w:sz="0" w:space="0" w:color="auto"/>
      </w:divBdr>
    </w:div>
    <w:div w:id="789670678">
      <w:bodyDiv w:val="1"/>
      <w:marLeft w:val="0"/>
      <w:marRight w:val="0"/>
      <w:marTop w:val="0"/>
      <w:marBottom w:val="0"/>
      <w:divBdr>
        <w:top w:val="none" w:sz="0" w:space="0" w:color="auto"/>
        <w:left w:val="none" w:sz="0" w:space="0" w:color="auto"/>
        <w:bottom w:val="none" w:sz="0" w:space="0" w:color="auto"/>
        <w:right w:val="none" w:sz="0" w:space="0" w:color="auto"/>
      </w:divBdr>
    </w:div>
    <w:div w:id="794370795">
      <w:bodyDiv w:val="1"/>
      <w:marLeft w:val="0"/>
      <w:marRight w:val="0"/>
      <w:marTop w:val="0"/>
      <w:marBottom w:val="0"/>
      <w:divBdr>
        <w:top w:val="none" w:sz="0" w:space="0" w:color="auto"/>
        <w:left w:val="none" w:sz="0" w:space="0" w:color="auto"/>
        <w:bottom w:val="none" w:sz="0" w:space="0" w:color="auto"/>
        <w:right w:val="none" w:sz="0" w:space="0" w:color="auto"/>
      </w:divBdr>
    </w:div>
    <w:div w:id="1245458336">
      <w:bodyDiv w:val="1"/>
      <w:marLeft w:val="0"/>
      <w:marRight w:val="0"/>
      <w:marTop w:val="0"/>
      <w:marBottom w:val="0"/>
      <w:divBdr>
        <w:top w:val="none" w:sz="0" w:space="0" w:color="auto"/>
        <w:left w:val="none" w:sz="0" w:space="0" w:color="auto"/>
        <w:bottom w:val="none" w:sz="0" w:space="0" w:color="auto"/>
        <w:right w:val="none" w:sz="0" w:space="0" w:color="auto"/>
      </w:divBdr>
    </w:div>
    <w:div w:id="1342122783">
      <w:bodyDiv w:val="1"/>
      <w:marLeft w:val="0"/>
      <w:marRight w:val="0"/>
      <w:marTop w:val="0"/>
      <w:marBottom w:val="0"/>
      <w:divBdr>
        <w:top w:val="none" w:sz="0" w:space="0" w:color="auto"/>
        <w:left w:val="none" w:sz="0" w:space="0" w:color="auto"/>
        <w:bottom w:val="none" w:sz="0" w:space="0" w:color="auto"/>
        <w:right w:val="none" w:sz="0" w:space="0" w:color="auto"/>
      </w:divBdr>
    </w:div>
    <w:div w:id="1483691349">
      <w:bodyDiv w:val="1"/>
      <w:marLeft w:val="0"/>
      <w:marRight w:val="0"/>
      <w:marTop w:val="0"/>
      <w:marBottom w:val="0"/>
      <w:divBdr>
        <w:top w:val="none" w:sz="0" w:space="0" w:color="auto"/>
        <w:left w:val="none" w:sz="0" w:space="0" w:color="auto"/>
        <w:bottom w:val="none" w:sz="0" w:space="0" w:color="auto"/>
        <w:right w:val="none" w:sz="0" w:space="0" w:color="auto"/>
      </w:divBdr>
    </w:div>
    <w:div w:id="1491869973">
      <w:bodyDiv w:val="1"/>
      <w:marLeft w:val="0"/>
      <w:marRight w:val="0"/>
      <w:marTop w:val="0"/>
      <w:marBottom w:val="0"/>
      <w:divBdr>
        <w:top w:val="none" w:sz="0" w:space="0" w:color="auto"/>
        <w:left w:val="none" w:sz="0" w:space="0" w:color="auto"/>
        <w:bottom w:val="none" w:sz="0" w:space="0" w:color="auto"/>
        <w:right w:val="none" w:sz="0" w:space="0" w:color="auto"/>
      </w:divBdr>
    </w:div>
    <w:div w:id="1557938458">
      <w:bodyDiv w:val="1"/>
      <w:marLeft w:val="0"/>
      <w:marRight w:val="0"/>
      <w:marTop w:val="0"/>
      <w:marBottom w:val="0"/>
      <w:divBdr>
        <w:top w:val="none" w:sz="0" w:space="0" w:color="auto"/>
        <w:left w:val="none" w:sz="0" w:space="0" w:color="auto"/>
        <w:bottom w:val="none" w:sz="0" w:space="0" w:color="auto"/>
        <w:right w:val="none" w:sz="0" w:space="0" w:color="auto"/>
      </w:divBdr>
    </w:div>
    <w:div w:id="1668702120">
      <w:bodyDiv w:val="1"/>
      <w:marLeft w:val="0"/>
      <w:marRight w:val="0"/>
      <w:marTop w:val="0"/>
      <w:marBottom w:val="0"/>
      <w:divBdr>
        <w:top w:val="none" w:sz="0" w:space="0" w:color="auto"/>
        <w:left w:val="none" w:sz="0" w:space="0" w:color="auto"/>
        <w:bottom w:val="none" w:sz="0" w:space="0" w:color="auto"/>
        <w:right w:val="none" w:sz="0" w:space="0" w:color="auto"/>
      </w:divBdr>
    </w:div>
    <w:div w:id="1730691737">
      <w:bodyDiv w:val="1"/>
      <w:marLeft w:val="0"/>
      <w:marRight w:val="0"/>
      <w:marTop w:val="0"/>
      <w:marBottom w:val="0"/>
      <w:divBdr>
        <w:top w:val="none" w:sz="0" w:space="0" w:color="auto"/>
        <w:left w:val="none" w:sz="0" w:space="0" w:color="auto"/>
        <w:bottom w:val="none" w:sz="0" w:space="0" w:color="auto"/>
        <w:right w:val="none" w:sz="0" w:space="0" w:color="auto"/>
      </w:divBdr>
    </w:div>
    <w:div w:id="1812670026">
      <w:bodyDiv w:val="1"/>
      <w:marLeft w:val="0"/>
      <w:marRight w:val="0"/>
      <w:marTop w:val="0"/>
      <w:marBottom w:val="0"/>
      <w:divBdr>
        <w:top w:val="none" w:sz="0" w:space="0" w:color="auto"/>
        <w:left w:val="none" w:sz="0" w:space="0" w:color="auto"/>
        <w:bottom w:val="none" w:sz="0" w:space="0" w:color="auto"/>
        <w:right w:val="none" w:sz="0" w:space="0" w:color="auto"/>
      </w:divBdr>
    </w:div>
    <w:div w:id="1835102459">
      <w:bodyDiv w:val="1"/>
      <w:marLeft w:val="0"/>
      <w:marRight w:val="0"/>
      <w:marTop w:val="0"/>
      <w:marBottom w:val="0"/>
      <w:divBdr>
        <w:top w:val="none" w:sz="0" w:space="0" w:color="auto"/>
        <w:left w:val="none" w:sz="0" w:space="0" w:color="auto"/>
        <w:bottom w:val="none" w:sz="0" w:space="0" w:color="auto"/>
        <w:right w:val="none" w:sz="0" w:space="0" w:color="auto"/>
      </w:divBdr>
    </w:div>
    <w:div w:id="1838302210">
      <w:bodyDiv w:val="1"/>
      <w:marLeft w:val="0"/>
      <w:marRight w:val="0"/>
      <w:marTop w:val="0"/>
      <w:marBottom w:val="0"/>
      <w:divBdr>
        <w:top w:val="none" w:sz="0" w:space="0" w:color="auto"/>
        <w:left w:val="none" w:sz="0" w:space="0" w:color="auto"/>
        <w:bottom w:val="none" w:sz="0" w:space="0" w:color="auto"/>
        <w:right w:val="none" w:sz="0" w:space="0" w:color="auto"/>
      </w:divBdr>
    </w:div>
    <w:div w:id="1858080875">
      <w:bodyDiv w:val="1"/>
      <w:marLeft w:val="0"/>
      <w:marRight w:val="0"/>
      <w:marTop w:val="0"/>
      <w:marBottom w:val="0"/>
      <w:divBdr>
        <w:top w:val="none" w:sz="0" w:space="0" w:color="auto"/>
        <w:left w:val="none" w:sz="0" w:space="0" w:color="auto"/>
        <w:bottom w:val="none" w:sz="0" w:space="0" w:color="auto"/>
        <w:right w:val="none" w:sz="0" w:space="0" w:color="auto"/>
      </w:divBdr>
      <w:divsChild>
        <w:div w:id="278074416">
          <w:marLeft w:val="547"/>
          <w:marRight w:val="0"/>
          <w:marTop w:val="77"/>
          <w:marBottom w:val="0"/>
          <w:divBdr>
            <w:top w:val="none" w:sz="0" w:space="0" w:color="auto"/>
            <w:left w:val="none" w:sz="0" w:space="0" w:color="auto"/>
            <w:bottom w:val="none" w:sz="0" w:space="0" w:color="auto"/>
            <w:right w:val="none" w:sz="0" w:space="0" w:color="auto"/>
          </w:divBdr>
        </w:div>
        <w:div w:id="373427808">
          <w:marLeft w:val="547"/>
          <w:marRight w:val="0"/>
          <w:marTop w:val="77"/>
          <w:marBottom w:val="0"/>
          <w:divBdr>
            <w:top w:val="none" w:sz="0" w:space="0" w:color="auto"/>
            <w:left w:val="none" w:sz="0" w:space="0" w:color="auto"/>
            <w:bottom w:val="none" w:sz="0" w:space="0" w:color="auto"/>
            <w:right w:val="none" w:sz="0" w:space="0" w:color="auto"/>
          </w:divBdr>
        </w:div>
        <w:div w:id="483006385">
          <w:marLeft w:val="547"/>
          <w:marRight w:val="0"/>
          <w:marTop w:val="77"/>
          <w:marBottom w:val="0"/>
          <w:divBdr>
            <w:top w:val="none" w:sz="0" w:space="0" w:color="auto"/>
            <w:left w:val="none" w:sz="0" w:space="0" w:color="auto"/>
            <w:bottom w:val="none" w:sz="0" w:space="0" w:color="auto"/>
            <w:right w:val="none" w:sz="0" w:space="0" w:color="auto"/>
          </w:divBdr>
        </w:div>
        <w:div w:id="1994410989">
          <w:marLeft w:val="547"/>
          <w:marRight w:val="0"/>
          <w:marTop w:val="77"/>
          <w:marBottom w:val="0"/>
          <w:divBdr>
            <w:top w:val="none" w:sz="0" w:space="0" w:color="auto"/>
            <w:left w:val="none" w:sz="0" w:space="0" w:color="auto"/>
            <w:bottom w:val="none" w:sz="0" w:space="0" w:color="auto"/>
            <w:right w:val="none" w:sz="0" w:space="0" w:color="auto"/>
          </w:divBdr>
        </w:div>
        <w:div w:id="2092775542">
          <w:marLeft w:val="547"/>
          <w:marRight w:val="0"/>
          <w:marTop w:val="77"/>
          <w:marBottom w:val="0"/>
          <w:divBdr>
            <w:top w:val="none" w:sz="0" w:space="0" w:color="auto"/>
            <w:left w:val="none" w:sz="0" w:space="0" w:color="auto"/>
            <w:bottom w:val="none" w:sz="0" w:space="0" w:color="auto"/>
            <w:right w:val="none" w:sz="0" w:space="0" w:color="auto"/>
          </w:divBdr>
        </w:div>
        <w:div w:id="2100372486">
          <w:marLeft w:val="547"/>
          <w:marRight w:val="0"/>
          <w:marTop w:val="77"/>
          <w:marBottom w:val="0"/>
          <w:divBdr>
            <w:top w:val="none" w:sz="0" w:space="0" w:color="auto"/>
            <w:left w:val="none" w:sz="0" w:space="0" w:color="auto"/>
            <w:bottom w:val="none" w:sz="0" w:space="0" w:color="auto"/>
            <w:right w:val="none" w:sz="0" w:space="0" w:color="auto"/>
          </w:divBdr>
        </w:div>
        <w:div w:id="2104181682">
          <w:marLeft w:val="547"/>
          <w:marRight w:val="0"/>
          <w:marTop w:val="77"/>
          <w:marBottom w:val="0"/>
          <w:divBdr>
            <w:top w:val="none" w:sz="0" w:space="0" w:color="auto"/>
            <w:left w:val="none" w:sz="0" w:space="0" w:color="auto"/>
            <w:bottom w:val="none" w:sz="0" w:space="0" w:color="auto"/>
            <w:right w:val="none" w:sz="0" w:space="0" w:color="auto"/>
          </w:divBdr>
        </w:div>
        <w:div w:id="2111507089">
          <w:marLeft w:val="547"/>
          <w:marRight w:val="0"/>
          <w:marTop w:val="77"/>
          <w:marBottom w:val="0"/>
          <w:divBdr>
            <w:top w:val="none" w:sz="0" w:space="0" w:color="auto"/>
            <w:left w:val="none" w:sz="0" w:space="0" w:color="auto"/>
            <w:bottom w:val="none" w:sz="0" w:space="0" w:color="auto"/>
            <w:right w:val="none" w:sz="0" w:space="0" w:color="auto"/>
          </w:divBdr>
        </w:div>
      </w:divsChild>
    </w:div>
    <w:div w:id="2010980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www.who.int/emergencies/diseases/managing-epidemics/en/" TargetMode="External"/><Relationship Id="rId2" Type="http://schemas.openxmlformats.org/officeDocument/2006/relationships/hyperlink" Target="https://www.who.int/docs/default-source/coronaviruse/situation-reports/20200622-covid-19-sitrep-154.pdf?sfvrsn=d0249d8d_2" TargetMode="External"/><Relationship Id="rId1" Type="http://schemas.openxmlformats.org/officeDocument/2006/relationships/hyperlink" Target="https://www.who.int/emergencies/diseases/novel-coronavirus-2019/situation-reports" TargetMode="External"/><Relationship Id="rId4" Type="http://schemas.openxmlformats.org/officeDocument/2006/relationships/hyperlink" Target="https://publications.iadb.org/bitstream/handle/11319/1564/Natural%20Disasters%20Financial%20Risk%20Management.pdf?sequence=1&amp;isAllowed=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oan%20Document\INVe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R0002166885</Record_x0020_Number>
    <Key_x0020_Document xmlns="cdc7663a-08f0-4737-9e8c-148ce897a09c">false</Key_x0020_Document>
    <Other_x0020_Author xmlns="cdc7663a-08f0-4737-9e8c-148ce897a09c" xsi:nil="true"/>
    <Division_x0020_or_x0020_Unit xmlns="cdc7663a-08f0-4737-9e8c-148ce897a09c">IFD/CMF</Division_x0020_or_x0020_Unit>
    <IDBDocs_x0020_Number xmlns="cdc7663a-08f0-4737-9e8c-148ce897a09c" xsi:nil="true"/>
    <Document_x0020_Author xmlns="cdc7663a-08f0-4737-9e8c-148ce897a09c">Gaggero, Annabella</Document_x0020_Author>
    <_dlc_DocId xmlns="cdc7663a-08f0-4737-9e8c-148ce897a09c">EZSHARE-2122383238-9</_dlc_DocId>
    <Operation_x0020_Type xmlns="cdc7663a-08f0-4737-9e8c-148ce897a09c">CON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Belize</TermName>
          <TermId xmlns="http://schemas.microsoft.com/office/infopath/2007/PartnerControls">b25f8918-d2fc-4ffa-abe7-d7f0a99f2d4b</TermId>
        </TermInfo>
      </Terms>
    </ic46d7e087fd4a108fb86518ca413cc6>
    <TaxCatchAll xmlns="cdc7663a-08f0-4737-9e8c-148ce897a09c">
      <Value>19</Value>
      <Value>18</Value>
      <Value>17</Value>
      <Value>16</Value>
      <Value>2</Value>
    </TaxCatchAll>
    <Fiscal_x0020_Year_x0020_IDB xmlns="cdc7663a-08f0-4737-9e8c-148ce897a09c">2019</Fiscal_x0020_Year_x0020_IDB>
    <b26cdb1da78c4bb4b1c1bac2f6ac5911 xmlns="cdc7663a-08f0-4737-9e8c-148ce897a09c">
      <Terms xmlns="http://schemas.microsoft.com/office/infopath/2007/PartnerControls"/>
    </b26cdb1da78c4bb4b1c1bac2f6ac5911>
    <Project_x0020_Number xmlns="cdc7663a-08f0-4737-9e8c-148ce897a09c">BL-O0005</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RISK FINANCING</TermName>
          <TermId xmlns="http://schemas.microsoft.com/office/infopath/2007/PartnerControls">c5c38d86-fff1-494c-a3d8-b52714531aea</TermId>
        </TermInfo>
      </Terms>
    </b2ec7cfb18674cb8803df6b262e8b107>
    <Document_x0020_Language_x0020_IDB xmlns="cdc7663a-08f0-4737-9e8c-148ce897a09c">English</Document_x0020_Language_x0020_IDB>
    <_dlc_DocIdUrl xmlns="cdc7663a-08f0-4737-9e8c-148ce897a09c">
      <Url>https://idbg.sharepoint.com/teams/EZ-GY-CON/GY-O0006/_layouts/15/DocIdRedir.aspx?ID=EZSHARE-2122383238-9</Url>
      <Description>EZSHARE-2122383238-9</Description>
    </_dlc_DocIdUrl>
    <Phase xmlns="cdc7663a-08f0-4737-9e8c-148ce897a09c">ACTIVE</Phas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194AE26ABB1434298DF9B50010BC0E9" ma:contentTypeVersion="0" ma:contentTypeDescription="A content type to manage public (operations) IDB documents" ma:contentTypeScope="" ma:versionID="9a41d4f46abb96417e224dcb86c55506">
  <xsd:schema xmlns:xsd="http://www.w3.org/2001/XMLSchema" xmlns:xs="http://www.w3.org/2001/XMLSchema" xmlns:p="http://schemas.microsoft.com/office/2006/metadata/properties" xmlns:ns2="cdc7663a-08f0-4737-9e8c-148ce897a09c" targetNamespace="http://schemas.microsoft.com/office/2006/metadata/properties" ma:root="true" ma:fieldsID="5fe8172f50f78932b5ba0ec3a1a3905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GY-O000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6B0112EF-62E0-4CE7-BC0A-E323C1361514}">
  <ds:schemaRefs>
    <ds:schemaRef ds:uri="Microsoft.SharePoint.Taxonomy.ContentTypeSync"/>
  </ds:schemaRefs>
</ds:datastoreItem>
</file>

<file path=customXml/itemProps2.xml><?xml version="1.0" encoding="utf-8"?>
<ds:datastoreItem xmlns:ds="http://schemas.openxmlformats.org/officeDocument/2006/customXml" ds:itemID="{48328393-53C1-4760-B1FC-398E6B73D0C4}">
  <ds:schemaRefs>
    <ds:schemaRef ds:uri="http://schemas.microsoft.com/sharepoint/events"/>
  </ds:schemaRefs>
</ds:datastoreItem>
</file>

<file path=customXml/itemProps3.xml><?xml version="1.0" encoding="utf-8"?>
<ds:datastoreItem xmlns:ds="http://schemas.openxmlformats.org/officeDocument/2006/customXml" ds:itemID="{DBCDA7C4-25C0-4CD6-853D-83F4F671EC65}">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F2B214C9-0CC7-470F-AEBE-3F3CC5C494EA}">
  <ds:schemaRefs>
    <ds:schemaRef ds:uri="http://schemas.openxmlformats.org/officeDocument/2006/bibliography"/>
  </ds:schemaRefs>
</ds:datastoreItem>
</file>

<file path=customXml/itemProps5.xml><?xml version="1.0" encoding="utf-8"?>
<ds:datastoreItem xmlns:ds="http://schemas.openxmlformats.org/officeDocument/2006/customXml" ds:itemID="{61652C0B-55C2-438C-A258-8B64656CB025}"/>
</file>

<file path=customXml/itemProps6.xml><?xml version="1.0" encoding="utf-8"?>
<ds:datastoreItem xmlns:ds="http://schemas.openxmlformats.org/officeDocument/2006/customXml" ds:itemID="{D2406D40-54E5-4ED9-9E46-695FEE73D14E}">
  <ds:schemaRefs>
    <ds:schemaRef ds:uri="http://schemas.microsoft.com/sharepoint/v3/contenttype/forms"/>
  </ds:schemaRefs>
</ds:datastoreItem>
</file>

<file path=customXml/itemProps7.xml><?xml version="1.0" encoding="utf-8"?>
<ds:datastoreItem xmlns:ds="http://schemas.openxmlformats.org/officeDocument/2006/customXml" ds:itemID="{4CC9278B-A144-4180-8716-2A239B7FE3E4}"/>
</file>

<file path=docProps/app.xml><?xml version="1.0" encoding="utf-8"?>
<Properties xmlns="http://schemas.openxmlformats.org/officeDocument/2006/extended-properties" xmlns:vt="http://schemas.openxmlformats.org/officeDocument/2006/docPropsVTypes">
  <Template>INVeng.dot</Template>
  <TotalTime>269</TotalTime>
  <Pages>12</Pages>
  <Words>3534</Words>
  <Characters>20147</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DOCUMENT OF THE INTER-AMERICAN DEVELOPMENT BANK</vt:lpstr>
    </vt:vector>
  </TitlesOfParts>
  <Company>InterAmerican Development Bank</Company>
  <LinksUpToDate>false</LinksUpToDate>
  <CharactersWithSpaces>23634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OF THE INTER-AMERICAN DEVELOPMENT BANK</dc:title>
  <dc:creator>MARTINC</dc:creator>
  <cp:keywords/>
  <cp:lastModifiedBy>Gaggero, Annabella</cp:lastModifiedBy>
  <cp:revision>31</cp:revision>
  <cp:lastPrinted>2018-03-23T18:45:00Z</cp:lastPrinted>
  <dcterms:created xsi:type="dcterms:W3CDTF">2020-06-13T21:59:00Z</dcterms:created>
  <dcterms:modified xsi:type="dcterms:W3CDTF">2020-06-26T20:54:00Z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TaxKeywordTaxHTField">
    <vt:lpwstr/>
  </property>
  <property fmtid="{D5CDD505-2E9C-101B-9397-08002B2CF9AE}" pid="4" name="Series Operations IDB">
    <vt:lpwstr/>
  </property>
  <property fmtid="{D5CDD505-2E9C-101B-9397-08002B2CF9AE}" pid="5" name="Sub-Sector">
    <vt:lpwstr>18;#RISK FINANCING|c5c38d86-fff1-494c-a3d8-b52714531aea</vt:lpwstr>
  </property>
  <property fmtid="{D5CDD505-2E9C-101B-9397-08002B2CF9AE}" pid="6" name="Country">
    <vt:lpwstr>19;#Belize|b25f8918-d2fc-4ffa-abe7-d7f0a99f2d4b</vt:lpwstr>
  </property>
  <property fmtid="{D5CDD505-2E9C-101B-9397-08002B2CF9AE}" pid="7" name="Fund IDB">
    <vt:lpwstr>16;#ORC|c028a4b2-ad8b-4cf4-9cac-a2ae6a778e23</vt:lpwstr>
  </property>
  <property fmtid="{D5CDD505-2E9C-101B-9397-08002B2CF9AE}" pid="8" name="_dlc_DocIdItemGuid">
    <vt:lpwstr>4a4c8f37-c54a-4cdd-a262-f4cf609b7c7a</vt:lpwstr>
  </property>
  <property fmtid="{D5CDD505-2E9C-101B-9397-08002B2CF9AE}" pid="9" name="Sector IDB">
    <vt:lpwstr>17;#FINANCIAL MARKETS|75500f29-2419-473a-bcd8-84901ddc2aa7</vt:lpwstr>
  </property>
  <property fmtid="{D5CDD505-2E9C-101B-9397-08002B2CF9AE}" pid="10" name="Function Operations IDB">
    <vt:lpwstr>2;#Monitoring and Reporting|df3c2aa1-d63e-41aa-b1f5-bb15dee691ca</vt:lpwstr>
  </property>
  <property fmtid="{D5CDD505-2E9C-101B-9397-08002B2CF9AE}" pid="11" name="RecordPoint_ActiveItemMoved">
    <vt:lpwstr>/teams/EZ-BH-CON/BH-O0003/15 LifeCycle Milestones/Draft Area/BH-O0003. Economic Analysis (clean).docx</vt:lpwstr>
  </property>
  <property fmtid="{D5CDD505-2E9C-101B-9397-08002B2CF9AE}" pid="12" name="RecordStorageActiveId">
    <vt:lpwstr>cadb9629-6753-4134-aa27-e93edcdfaa56</vt:lpwstr>
  </property>
  <property fmtid="{D5CDD505-2E9C-101B-9397-08002B2CF9AE}" pid="13" name="AuthorIds_UIVersion_514">
    <vt:lpwstr>73</vt:lpwstr>
  </property>
  <property fmtid="{D5CDD505-2E9C-101B-9397-08002B2CF9AE}" pid="14" name="AuthorIds_UIVersion_515">
    <vt:lpwstr>73</vt:lpwstr>
  </property>
  <property fmtid="{D5CDD505-2E9C-101B-9397-08002B2CF9AE}" pid="15" name="AuthorIds_UIVersion_516">
    <vt:lpwstr>73</vt:lpwstr>
  </property>
  <property fmtid="{D5CDD505-2E9C-101B-9397-08002B2CF9AE}" pid="16" name="AuthorIds_UIVersion_517">
    <vt:lpwstr>73</vt:lpwstr>
  </property>
  <property fmtid="{D5CDD505-2E9C-101B-9397-08002B2CF9AE}" pid="17" name="Disclosure Activity">
    <vt:lpwstr>Loan Proposal</vt:lpwstr>
  </property>
  <property fmtid="{D5CDD505-2E9C-101B-9397-08002B2CF9AE}" pid="18" name="ContentTypeId">
    <vt:lpwstr>0x0101001A458A224826124E8B45B1D613300CFC00D194AE26ABB1434298DF9B50010BC0E9</vt:lpwstr>
  </property>
</Properties>
</file>