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BF4FC" w14:textId="77777777" w:rsidR="0089230D" w:rsidRPr="00D97FAD" w:rsidRDefault="0091508A" w:rsidP="0089230D">
      <w:pPr>
        <w:spacing w:before="120" w:after="120" w:line="240" w:lineRule="auto"/>
        <w:jc w:val="center"/>
        <w:rPr>
          <w:rFonts w:ascii="Arial" w:hAnsi="Arial" w:cs="Arial"/>
          <w:lang w:val="es-ES"/>
        </w:rPr>
      </w:pPr>
      <w:r w:rsidRPr="00D97FAD">
        <w:rPr>
          <w:rFonts w:ascii="Arial" w:hAnsi="Arial" w:cs="Arial"/>
          <w:b/>
          <w:sz w:val="24"/>
          <w:szCs w:val="24"/>
          <w:lang w:val="es-ES"/>
        </w:rPr>
        <w:t xml:space="preserve">Documento de </w:t>
      </w:r>
      <w:r w:rsidR="00F00960" w:rsidRPr="00D97FAD">
        <w:rPr>
          <w:rFonts w:ascii="Arial" w:hAnsi="Arial" w:cs="Arial"/>
          <w:b/>
          <w:sz w:val="24"/>
          <w:szCs w:val="24"/>
          <w:lang w:val="es-ES"/>
        </w:rPr>
        <w:t>Cooperación</w:t>
      </w:r>
      <w:r w:rsidRPr="00D97FAD">
        <w:rPr>
          <w:rFonts w:ascii="Arial" w:hAnsi="Arial" w:cs="Arial"/>
          <w:b/>
          <w:sz w:val="24"/>
          <w:szCs w:val="24"/>
          <w:lang w:val="es-ES"/>
        </w:rPr>
        <w:t xml:space="preserve"> T</w:t>
      </w:r>
      <w:r w:rsidR="00F00960" w:rsidRPr="00D97FAD">
        <w:rPr>
          <w:rFonts w:ascii="Arial" w:hAnsi="Arial" w:cs="Arial"/>
          <w:b/>
          <w:sz w:val="24"/>
          <w:szCs w:val="24"/>
          <w:lang w:val="es-ES"/>
        </w:rPr>
        <w:t>é</w:t>
      </w:r>
      <w:r w:rsidR="0089230D">
        <w:rPr>
          <w:rFonts w:ascii="Arial" w:hAnsi="Arial" w:cs="Arial"/>
          <w:b/>
          <w:sz w:val="24"/>
          <w:szCs w:val="24"/>
          <w:lang w:val="es-ES"/>
        </w:rPr>
        <w:t>cnica</w:t>
      </w:r>
    </w:p>
    <w:p w14:paraId="35D2602F" w14:textId="77777777" w:rsidR="0095711B" w:rsidRPr="0089230D" w:rsidRDefault="0095711B" w:rsidP="0089230D">
      <w:pPr>
        <w:spacing w:before="120" w:after="120" w:line="240" w:lineRule="auto"/>
        <w:jc w:val="both"/>
        <w:rPr>
          <w:rFonts w:ascii="Arial" w:hAnsi="Arial" w:cs="Arial"/>
          <w:lang w:val="es-ES"/>
        </w:rPr>
      </w:pPr>
    </w:p>
    <w:p w14:paraId="62C0AFA2" w14:textId="77777777" w:rsidR="0095711B" w:rsidRPr="005358DE" w:rsidRDefault="00E33333" w:rsidP="008F4286">
      <w:pPr>
        <w:pStyle w:val="ListParagraph"/>
        <w:numPr>
          <w:ilvl w:val="0"/>
          <w:numId w:val="5"/>
        </w:numPr>
        <w:spacing w:before="120" w:after="120" w:line="240" w:lineRule="auto"/>
        <w:contextualSpacing w:val="0"/>
        <w:jc w:val="both"/>
        <w:rPr>
          <w:rFonts w:ascii="Arial" w:hAnsi="Arial" w:cs="Arial"/>
          <w:b/>
          <w:lang w:val="es-ES"/>
        </w:rPr>
      </w:pPr>
      <w:r w:rsidRPr="00D97FAD">
        <w:rPr>
          <w:rFonts w:ascii="Arial" w:hAnsi="Arial" w:cs="Arial"/>
          <w:b/>
          <w:lang w:val="es-ES"/>
        </w:rPr>
        <w:t>Información</w:t>
      </w:r>
      <w:r w:rsidR="0091508A" w:rsidRPr="00D97FAD">
        <w:rPr>
          <w:rFonts w:ascii="Arial" w:hAnsi="Arial" w:cs="Arial"/>
          <w:b/>
          <w:lang w:val="es-ES"/>
        </w:rPr>
        <w:t xml:space="preserve"> </w:t>
      </w:r>
      <w:r w:rsidRPr="00D97FAD">
        <w:rPr>
          <w:rFonts w:ascii="Arial" w:hAnsi="Arial" w:cs="Arial"/>
          <w:b/>
          <w:lang w:val="es-ES"/>
        </w:rPr>
        <w:t>Básica</w:t>
      </w:r>
      <w:r w:rsidR="0091508A" w:rsidRPr="00D97FAD">
        <w:rPr>
          <w:rFonts w:ascii="Arial" w:hAnsi="Arial" w:cs="Arial"/>
          <w:b/>
          <w:lang w:val="es-ES"/>
        </w:rPr>
        <w:t xml:space="preserve"> de la CT</w:t>
      </w:r>
    </w:p>
    <w:p w14:paraId="151EBB69" w14:textId="77777777" w:rsidR="005358DE" w:rsidRPr="00D97FAD" w:rsidRDefault="005358DE" w:rsidP="005358DE">
      <w:pPr>
        <w:pStyle w:val="ListParagraph"/>
        <w:spacing w:after="0" w:line="240" w:lineRule="auto"/>
        <w:ind w:left="360"/>
        <w:contextualSpacing w:val="0"/>
        <w:jc w:val="both"/>
        <w:rPr>
          <w:rFonts w:ascii="Arial" w:hAnsi="Arial" w:cs="Arial"/>
          <w:b/>
          <w:lang w:val="es-ES"/>
        </w:rPr>
      </w:pPr>
    </w:p>
    <w:tbl>
      <w:tblPr>
        <w:tblStyle w:val="TableGrid"/>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89230D" w:rsidRPr="00D97FAD" w14:paraId="76C04AF0" w14:textId="77777777" w:rsidTr="007C6B4B">
        <w:tc>
          <w:tcPr>
            <w:tcW w:w="4140" w:type="dxa"/>
          </w:tcPr>
          <w:p w14:paraId="570871A7"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País/Región:</w:t>
            </w:r>
          </w:p>
        </w:tc>
        <w:tc>
          <w:tcPr>
            <w:tcW w:w="4428" w:type="dxa"/>
          </w:tcPr>
          <w:p w14:paraId="79FCEA95"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Chile / CSC</w:t>
            </w:r>
          </w:p>
        </w:tc>
      </w:tr>
      <w:tr w:rsidR="0089230D" w:rsidRPr="003A54E2" w14:paraId="0869FE34" w14:textId="77777777" w:rsidTr="007C6B4B">
        <w:tc>
          <w:tcPr>
            <w:tcW w:w="4140" w:type="dxa"/>
          </w:tcPr>
          <w:p w14:paraId="4A07E048"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Nombre de la CT:</w:t>
            </w:r>
          </w:p>
        </w:tc>
        <w:tc>
          <w:tcPr>
            <w:tcW w:w="4428" w:type="dxa"/>
          </w:tcPr>
          <w:p w14:paraId="2B34172E"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Apoyo a la política laboral y de formación para el trabajo basado en competencias en Chile</w:t>
            </w:r>
          </w:p>
        </w:tc>
      </w:tr>
      <w:tr w:rsidR="0089230D" w:rsidRPr="00D97FAD" w14:paraId="5B9E8958" w14:textId="77777777" w:rsidTr="007C6B4B">
        <w:tc>
          <w:tcPr>
            <w:tcW w:w="4140" w:type="dxa"/>
          </w:tcPr>
          <w:p w14:paraId="6549D719"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Número de CT:</w:t>
            </w:r>
          </w:p>
        </w:tc>
        <w:tc>
          <w:tcPr>
            <w:tcW w:w="4428" w:type="dxa"/>
          </w:tcPr>
          <w:p w14:paraId="5CCDBB7D"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CH-T1189</w:t>
            </w:r>
          </w:p>
        </w:tc>
      </w:tr>
      <w:tr w:rsidR="0089230D" w:rsidRPr="003A54E2" w14:paraId="589D1EB6" w14:textId="77777777" w:rsidTr="007C6B4B">
        <w:tc>
          <w:tcPr>
            <w:tcW w:w="4140" w:type="dxa"/>
          </w:tcPr>
          <w:p w14:paraId="6C07D420"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Jefe de Equipo/Miembros:</w:t>
            </w:r>
          </w:p>
        </w:tc>
        <w:tc>
          <w:tcPr>
            <w:tcW w:w="4428" w:type="dxa"/>
          </w:tcPr>
          <w:p w14:paraId="0361C3B1" w14:textId="4F5210D8" w:rsidR="0089230D" w:rsidRPr="003A54E2" w:rsidRDefault="0089230D" w:rsidP="003A54E2">
            <w:pPr>
              <w:spacing w:after="60"/>
              <w:ind w:left="140"/>
              <w:jc w:val="both"/>
              <w:rPr>
                <w:rFonts w:ascii="Arial" w:hAnsi="Arial" w:cs="Arial"/>
                <w:sz w:val="17"/>
                <w:szCs w:val="17"/>
                <w:lang w:val="es-ES"/>
              </w:rPr>
            </w:pPr>
            <w:r w:rsidRPr="003A54E2">
              <w:rPr>
                <w:rFonts w:ascii="Arial" w:hAnsi="Arial" w:cs="Arial"/>
                <w:sz w:val="17"/>
                <w:szCs w:val="17"/>
                <w:lang w:val="es-ES"/>
              </w:rPr>
              <w:t xml:space="preserve">Dulce Baptista (SCL/LMK), jefe de equipo; Carmen </w:t>
            </w:r>
            <w:proofErr w:type="spellStart"/>
            <w:r w:rsidRPr="003A54E2">
              <w:rPr>
                <w:rFonts w:ascii="Arial" w:hAnsi="Arial" w:cs="Arial"/>
                <w:sz w:val="17"/>
                <w:szCs w:val="17"/>
                <w:lang w:val="es-ES"/>
              </w:rPr>
              <w:t>Pages</w:t>
            </w:r>
            <w:proofErr w:type="spellEnd"/>
            <w:r w:rsidRPr="003A54E2">
              <w:rPr>
                <w:rFonts w:ascii="Arial" w:hAnsi="Arial" w:cs="Arial"/>
                <w:sz w:val="17"/>
                <w:szCs w:val="17"/>
                <w:lang w:val="es-ES"/>
              </w:rPr>
              <w:t xml:space="preserve"> (SCL/LMK), jefa de equipo alterna; Verónica Alaimo (SCL/LMK); Nicole Amaral (SCL/LMK); Ethel Muhlstein (SCL/LMK); Alonso </w:t>
            </w:r>
            <w:proofErr w:type="spellStart"/>
            <w:r w:rsidRPr="003A54E2">
              <w:rPr>
                <w:rFonts w:ascii="Arial" w:hAnsi="Arial" w:cs="Arial"/>
                <w:sz w:val="17"/>
                <w:szCs w:val="17"/>
                <w:lang w:val="es-ES"/>
              </w:rPr>
              <w:t>Chaverri</w:t>
            </w:r>
            <w:proofErr w:type="spellEnd"/>
            <w:r w:rsidRPr="003A54E2">
              <w:rPr>
                <w:rFonts w:ascii="Arial" w:hAnsi="Arial" w:cs="Arial"/>
                <w:sz w:val="17"/>
                <w:szCs w:val="17"/>
                <w:lang w:val="es-ES"/>
              </w:rPr>
              <w:t xml:space="preserve"> (LEG/SGO);</w:t>
            </w:r>
            <w:r w:rsidR="003A0193" w:rsidRPr="003A54E2">
              <w:rPr>
                <w:rFonts w:ascii="Arial" w:hAnsi="Arial" w:cs="Arial"/>
                <w:sz w:val="17"/>
                <w:szCs w:val="17"/>
                <w:lang w:val="es-ES"/>
              </w:rPr>
              <w:t xml:space="preserve"> y Tania Gaona (SCL/LMK).</w:t>
            </w:r>
          </w:p>
        </w:tc>
      </w:tr>
      <w:tr w:rsidR="0089230D" w:rsidRPr="0089230D" w14:paraId="53D14D33" w14:textId="77777777" w:rsidTr="007C6B4B">
        <w:tc>
          <w:tcPr>
            <w:tcW w:w="4140" w:type="dxa"/>
          </w:tcPr>
          <w:p w14:paraId="1EB01BEA"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 xml:space="preserve">Indicar si es: Apoyo Operativo, Apoyo al Cliente, o Investigación y Difusión </w:t>
            </w:r>
          </w:p>
        </w:tc>
        <w:tc>
          <w:tcPr>
            <w:tcW w:w="4428" w:type="dxa"/>
          </w:tcPr>
          <w:p w14:paraId="652B93C8"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Apoyo Operativo (OS)</w:t>
            </w:r>
          </w:p>
        </w:tc>
      </w:tr>
      <w:tr w:rsidR="00CC716E" w:rsidRPr="0089230D" w14:paraId="2941F869" w14:textId="77777777" w:rsidTr="007C6B4B">
        <w:tc>
          <w:tcPr>
            <w:tcW w:w="4140" w:type="dxa"/>
          </w:tcPr>
          <w:p w14:paraId="1F8B8CCC" w14:textId="77777777" w:rsidR="00CC716E" w:rsidRPr="003A54E2" w:rsidRDefault="00CC716E" w:rsidP="00DA0911">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Si es Apoyo Operativo, proveer número y nombre de la operación que apoyará la CT:</w:t>
            </w:r>
          </w:p>
        </w:tc>
        <w:tc>
          <w:tcPr>
            <w:tcW w:w="4428" w:type="dxa"/>
          </w:tcPr>
          <w:p w14:paraId="47A53DD5" w14:textId="77777777" w:rsidR="00CC716E"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CH-L1135</w:t>
            </w:r>
          </w:p>
        </w:tc>
      </w:tr>
      <w:tr w:rsidR="0089230D" w:rsidRPr="0089230D" w14:paraId="5F453E45" w14:textId="77777777" w:rsidTr="007C6B4B">
        <w:tc>
          <w:tcPr>
            <w:tcW w:w="4140" w:type="dxa"/>
          </w:tcPr>
          <w:p w14:paraId="62E39A6D"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Fecha de Autorización del Abstracto de CT:</w:t>
            </w:r>
          </w:p>
        </w:tc>
        <w:tc>
          <w:tcPr>
            <w:tcW w:w="4428" w:type="dxa"/>
          </w:tcPr>
          <w:p w14:paraId="50A82FF9"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1 de marzo de 2017</w:t>
            </w:r>
          </w:p>
        </w:tc>
      </w:tr>
      <w:tr w:rsidR="0089230D" w:rsidRPr="003A54E2" w14:paraId="0AEEE0E0" w14:textId="77777777" w:rsidTr="007C6B4B">
        <w:tc>
          <w:tcPr>
            <w:tcW w:w="4140" w:type="dxa"/>
          </w:tcPr>
          <w:p w14:paraId="7E72BC99"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Beneficiario (países o entidades que recibirán la asistencia técnica):</w:t>
            </w:r>
          </w:p>
        </w:tc>
        <w:tc>
          <w:tcPr>
            <w:tcW w:w="4428" w:type="dxa"/>
          </w:tcPr>
          <w:p w14:paraId="12BA2A21" w14:textId="77777777" w:rsidR="0089230D" w:rsidRPr="003A54E2" w:rsidRDefault="0089230D" w:rsidP="003A54E2">
            <w:pPr>
              <w:spacing w:after="60"/>
              <w:ind w:left="140"/>
              <w:jc w:val="both"/>
              <w:rPr>
                <w:rFonts w:ascii="Arial" w:hAnsi="Arial" w:cs="Arial"/>
                <w:sz w:val="17"/>
                <w:szCs w:val="17"/>
                <w:lang w:val="es-ES"/>
              </w:rPr>
            </w:pPr>
            <w:proofErr w:type="spellStart"/>
            <w:r w:rsidRPr="003A54E2">
              <w:rPr>
                <w:rFonts w:ascii="Arial" w:hAnsi="Arial" w:cs="Arial"/>
                <w:sz w:val="17"/>
                <w:szCs w:val="17"/>
                <w:lang w:val="es-ES"/>
              </w:rPr>
              <w:t>Rep</w:t>
            </w:r>
            <w:r w:rsidRPr="003A54E2">
              <w:rPr>
                <w:rFonts w:ascii="Arial" w:hAnsi="Arial" w:cs="Arial"/>
                <w:sz w:val="17"/>
                <w:szCs w:val="17"/>
                <w:lang w:val="es-ES_tradnl"/>
              </w:rPr>
              <w:t>ública</w:t>
            </w:r>
            <w:proofErr w:type="spellEnd"/>
            <w:r w:rsidRPr="003A54E2">
              <w:rPr>
                <w:rFonts w:ascii="Arial" w:hAnsi="Arial" w:cs="Arial"/>
                <w:sz w:val="17"/>
                <w:szCs w:val="17"/>
                <w:lang w:val="es-ES_tradnl"/>
              </w:rPr>
              <w:t xml:space="preserve"> de Chile, a través del </w:t>
            </w:r>
            <w:r w:rsidRPr="003A54E2">
              <w:rPr>
                <w:rFonts w:ascii="Arial" w:hAnsi="Arial" w:cs="Arial"/>
                <w:sz w:val="17"/>
                <w:szCs w:val="17"/>
                <w:lang w:val="es-ES"/>
              </w:rPr>
              <w:t xml:space="preserve">Ministerio de Trabajo y Previsión Social </w:t>
            </w:r>
          </w:p>
        </w:tc>
      </w:tr>
      <w:tr w:rsidR="0089230D" w:rsidRPr="003A54E2" w14:paraId="6A862714" w14:textId="77777777" w:rsidTr="007C6B4B">
        <w:tc>
          <w:tcPr>
            <w:tcW w:w="4140" w:type="dxa"/>
          </w:tcPr>
          <w:p w14:paraId="09359D49" w14:textId="1AC501E4"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Agencia Ejecutora y nombre de contacto</w:t>
            </w:r>
            <w:r w:rsidR="003A0193" w:rsidRPr="003A54E2">
              <w:rPr>
                <w:rFonts w:ascii="Arial" w:hAnsi="Arial" w:cs="Arial"/>
                <w:sz w:val="17"/>
                <w:szCs w:val="17"/>
                <w:lang w:val="es-ES"/>
              </w:rPr>
              <w:t>:</w:t>
            </w:r>
            <w:r w:rsidRPr="003A54E2">
              <w:rPr>
                <w:rFonts w:ascii="Arial" w:hAnsi="Arial" w:cs="Arial"/>
                <w:sz w:val="17"/>
                <w:szCs w:val="17"/>
                <w:lang w:val="es-ES"/>
              </w:rPr>
              <w:t xml:space="preserve"> </w:t>
            </w:r>
          </w:p>
        </w:tc>
        <w:tc>
          <w:tcPr>
            <w:tcW w:w="4428" w:type="dxa"/>
          </w:tcPr>
          <w:p w14:paraId="68DFBDED" w14:textId="7A040DA0" w:rsidR="0089230D" w:rsidRPr="003A54E2" w:rsidRDefault="0089230D" w:rsidP="003A54E2">
            <w:pPr>
              <w:spacing w:after="60"/>
              <w:ind w:left="140"/>
              <w:jc w:val="both"/>
              <w:rPr>
                <w:rFonts w:ascii="Arial" w:hAnsi="Arial" w:cs="Arial"/>
                <w:sz w:val="17"/>
                <w:szCs w:val="17"/>
                <w:lang w:val="es-ES"/>
              </w:rPr>
            </w:pPr>
            <w:r w:rsidRPr="003A54E2">
              <w:rPr>
                <w:rFonts w:ascii="Arial" w:hAnsi="Arial" w:cs="Arial"/>
                <w:sz w:val="17"/>
                <w:szCs w:val="17"/>
                <w:lang w:val="es-ES"/>
              </w:rPr>
              <w:t xml:space="preserve">Banco Interamericano de Desarrollo (BID), Sector Social, División de Mercados Laborales y Seguridad Social (SCL/LMK), contacto Dulce Baptista, </w:t>
            </w:r>
            <w:proofErr w:type="spellStart"/>
            <w:r w:rsidRPr="003A54E2">
              <w:rPr>
                <w:rFonts w:ascii="Arial" w:hAnsi="Arial" w:cs="Arial"/>
                <w:sz w:val="17"/>
                <w:szCs w:val="17"/>
                <w:lang w:val="es-ES"/>
              </w:rPr>
              <w:t>dulced</w:t>
            </w:r>
            <w:proofErr w:type="spellEnd"/>
            <w:r w:rsidRPr="003A54E2">
              <w:rPr>
                <w:rFonts w:ascii="Arial" w:hAnsi="Arial" w:cs="Arial"/>
                <w:sz w:val="17"/>
                <w:szCs w:val="17"/>
                <w:lang w:val="es-ES_tradnl"/>
              </w:rPr>
              <w:t>@iadb.org</w:t>
            </w:r>
            <w:r w:rsidR="003A0193" w:rsidRPr="003A54E2">
              <w:rPr>
                <w:rFonts w:ascii="Arial" w:hAnsi="Arial" w:cs="Arial"/>
                <w:sz w:val="17"/>
                <w:szCs w:val="17"/>
                <w:lang w:val="es-ES"/>
              </w:rPr>
              <w:t>.</w:t>
            </w:r>
          </w:p>
        </w:tc>
      </w:tr>
      <w:tr w:rsidR="0089230D" w:rsidRPr="003A54E2" w14:paraId="1EE94547" w14:textId="77777777" w:rsidTr="007C6B4B">
        <w:tc>
          <w:tcPr>
            <w:tcW w:w="4140" w:type="dxa"/>
          </w:tcPr>
          <w:p w14:paraId="37961F61"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Donantes que proveerán financiamiento (Monto y nombre del fondo):</w:t>
            </w:r>
          </w:p>
        </w:tc>
        <w:tc>
          <w:tcPr>
            <w:tcW w:w="4428" w:type="dxa"/>
          </w:tcPr>
          <w:p w14:paraId="153EA269" w14:textId="4BA7D28B" w:rsidR="0089230D" w:rsidRPr="003A54E2" w:rsidRDefault="00E95CAF" w:rsidP="003A54E2">
            <w:pPr>
              <w:spacing w:after="60"/>
              <w:ind w:left="140"/>
              <w:jc w:val="both"/>
              <w:rPr>
                <w:rFonts w:ascii="Arial" w:hAnsi="Arial" w:cs="Arial"/>
                <w:sz w:val="17"/>
                <w:szCs w:val="17"/>
                <w:lang w:val="es-ES"/>
              </w:rPr>
            </w:pPr>
            <w:r w:rsidRPr="003A54E2">
              <w:rPr>
                <w:rFonts w:ascii="Arial" w:hAnsi="Arial" w:cs="Arial"/>
                <w:sz w:val="17"/>
                <w:szCs w:val="17"/>
                <w:lang w:val="es-ES"/>
              </w:rPr>
              <w:t xml:space="preserve">Programa Estratégico para el Desarrollo Social Financiado con Capital Ordinario </w:t>
            </w:r>
            <w:r w:rsidR="0089230D" w:rsidRPr="003A54E2">
              <w:rPr>
                <w:rFonts w:ascii="Arial" w:hAnsi="Arial" w:cs="Arial"/>
                <w:sz w:val="17"/>
                <w:szCs w:val="17"/>
                <w:lang w:val="es-ES"/>
              </w:rPr>
              <w:t>(ORC/</w:t>
            </w:r>
            <w:r w:rsidR="00A35359" w:rsidRPr="003A54E2">
              <w:rPr>
                <w:rFonts w:ascii="Arial" w:hAnsi="Arial" w:cs="Arial"/>
                <w:sz w:val="17"/>
                <w:szCs w:val="17"/>
                <w:lang w:val="es-ES"/>
              </w:rPr>
              <w:t>SOC</w:t>
            </w:r>
            <w:r w:rsidR="0089230D" w:rsidRPr="003A54E2">
              <w:rPr>
                <w:rFonts w:ascii="Arial" w:hAnsi="Arial" w:cs="Arial"/>
                <w:sz w:val="17"/>
                <w:szCs w:val="17"/>
                <w:lang w:val="es-ES"/>
              </w:rPr>
              <w:t>).</w:t>
            </w:r>
          </w:p>
        </w:tc>
      </w:tr>
      <w:tr w:rsidR="0089230D" w:rsidRPr="00D97FAD" w14:paraId="1502B806" w14:textId="77777777" w:rsidTr="007C6B4B">
        <w:tc>
          <w:tcPr>
            <w:tcW w:w="4140" w:type="dxa"/>
          </w:tcPr>
          <w:p w14:paraId="761371EE"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Financiamiento Solicitado del BID:</w:t>
            </w:r>
          </w:p>
        </w:tc>
        <w:tc>
          <w:tcPr>
            <w:tcW w:w="4428" w:type="dxa"/>
          </w:tcPr>
          <w:p w14:paraId="6306C00E"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US$350.000</w:t>
            </w:r>
          </w:p>
        </w:tc>
      </w:tr>
      <w:tr w:rsidR="0089230D" w:rsidRPr="0089230D" w14:paraId="50A03004" w14:textId="77777777" w:rsidTr="007C6B4B">
        <w:tc>
          <w:tcPr>
            <w:tcW w:w="4140" w:type="dxa"/>
          </w:tcPr>
          <w:p w14:paraId="245A76FA"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Contrapartida Local, si hay:</w:t>
            </w:r>
          </w:p>
        </w:tc>
        <w:tc>
          <w:tcPr>
            <w:tcW w:w="4428" w:type="dxa"/>
          </w:tcPr>
          <w:p w14:paraId="3D932285"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US$0</w:t>
            </w:r>
          </w:p>
        </w:tc>
      </w:tr>
      <w:tr w:rsidR="0089230D" w:rsidRPr="003A0193" w14:paraId="6D1B1BE4" w14:textId="77777777" w:rsidTr="007C6B4B">
        <w:tc>
          <w:tcPr>
            <w:tcW w:w="4140" w:type="dxa"/>
          </w:tcPr>
          <w:p w14:paraId="2C5EF248" w14:textId="24E76166"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 xml:space="preserve">Periodo de </w:t>
            </w:r>
            <w:r w:rsidR="003A0193" w:rsidRPr="003A54E2">
              <w:rPr>
                <w:rFonts w:ascii="Arial" w:hAnsi="Arial" w:cs="Arial"/>
                <w:sz w:val="17"/>
                <w:szCs w:val="17"/>
                <w:lang w:val="es-ES"/>
              </w:rPr>
              <w:t>Ejecución y Desembolso:</w:t>
            </w:r>
          </w:p>
        </w:tc>
        <w:tc>
          <w:tcPr>
            <w:tcW w:w="4428" w:type="dxa"/>
          </w:tcPr>
          <w:p w14:paraId="51816C0D" w14:textId="39A7D813"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30 meses</w:t>
            </w:r>
          </w:p>
        </w:tc>
      </w:tr>
      <w:tr w:rsidR="0089230D" w:rsidRPr="0017678E" w14:paraId="37FDBABA" w14:textId="77777777" w:rsidTr="007C6B4B">
        <w:tc>
          <w:tcPr>
            <w:tcW w:w="4140" w:type="dxa"/>
          </w:tcPr>
          <w:p w14:paraId="4409EC9E"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Fecha de Inicio requerido:</w:t>
            </w:r>
          </w:p>
        </w:tc>
        <w:tc>
          <w:tcPr>
            <w:tcW w:w="4428" w:type="dxa"/>
          </w:tcPr>
          <w:p w14:paraId="4BC74DBA" w14:textId="4EC700FB" w:rsidR="0089230D" w:rsidRPr="003A54E2" w:rsidRDefault="0017678E" w:rsidP="003A54E2">
            <w:pPr>
              <w:spacing w:after="60"/>
              <w:ind w:left="140"/>
              <w:rPr>
                <w:rFonts w:ascii="Arial" w:hAnsi="Arial" w:cs="Arial"/>
                <w:sz w:val="17"/>
                <w:szCs w:val="17"/>
                <w:lang w:val="es-ES"/>
              </w:rPr>
            </w:pPr>
            <w:r w:rsidRPr="003A54E2">
              <w:rPr>
                <w:rFonts w:ascii="Arial" w:hAnsi="Arial" w:cs="Arial"/>
                <w:sz w:val="17"/>
                <w:szCs w:val="17"/>
                <w:lang w:val="es-ES"/>
              </w:rPr>
              <w:t>30 de junio de 2017</w:t>
            </w:r>
          </w:p>
        </w:tc>
      </w:tr>
      <w:tr w:rsidR="0089230D" w:rsidRPr="00D97FAD" w14:paraId="08258629" w14:textId="77777777" w:rsidTr="007C6B4B">
        <w:tc>
          <w:tcPr>
            <w:tcW w:w="4140" w:type="dxa"/>
          </w:tcPr>
          <w:p w14:paraId="1BF14977" w14:textId="078F9A6B"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Tipos de consultores:</w:t>
            </w:r>
          </w:p>
        </w:tc>
        <w:tc>
          <w:tcPr>
            <w:tcW w:w="4428" w:type="dxa"/>
          </w:tcPr>
          <w:p w14:paraId="129C102F"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Firmas y consultores individuales</w:t>
            </w:r>
          </w:p>
        </w:tc>
      </w:tr>
      <w:tr w:rsidR="0089230D" w:rsidRPr="003A54E2" w14:paraId="7F1B15A4" w14:textId="77777777" w:rsidTr="007C6B4B">
        <w:tc>
          <w:tcPr>
            <w:tcW w:w="4140" w:type="dxa"/>
          </w:tcPr>
          <w:p w14:paraId="22989762"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Unidad de Preparación:</w:t>
            </w:r>
          </w:p>
        </w:tc>
        <w:tc>
          <w:tcPr>
            <w:tcW w:w="4428" w:type="dxa"/>
          </w:tcPr>
          <w:p w14:paraId="52F43ED3" w14:textId="77777777" w:rsidR="0089230D" w:rsidRPr="003A54E2" w:rsidRDefault="0089230D" w:rsidP="003A54E2">
            <w:pPr>
              <w:spacing w:after="60"/>
              <w:ind w:left="140"/>
              <w:jc w:val="both"/>
              <w:rPr>
                <w:rFonts w:ascii="Arial" w:hAnsi="Arial" w:cs="Arial"/>
                <w:sz w:val="17"/>
                <w:szCs w:val="17"/>
                <w:lang w:val="es-ES"/>
              </w:rPr>
            </w:pPr>
            <w:r w:rsidRPr="003A54E2">
              <w:rPr>
                <w:rFonts w:ascii="Arial" w:hAnsi="Arial" w:cs="Arial"/>
                <w:sz w:val="17"/>
                <w:szCs w:val="17"/>
                <w:lang w:val="es-ES"/>
              </w:rPr>
              <w:t>Sector Social, División de Mercados Laborales (SCL/LMK)</w:t>
            </w:r>
          </w:p>
        </w:tc>
      </w:tr>
      <w:tr w:rsidR="0089230D" w:rsidRPr="00D97FAD" w14:paraId="0D805297" w14:textId="77777777" w:rsidTr="007C6B4B">
        <w:tc>
          <w:tcPr>
            <w:tcW w:w="4140" w:type="dxa"/>
          </w:tcPr>
          <w:p w14:paraId="4D1A317C"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Unidad Responsable de Desembolso:</w:t>
            </w:r>
          </w:p>
        </w:tc>
        <w:tc>
          <w:tcPr>
            <w:tcW w:w="4428" w:type="dxa"/>
          </w:tcPr>
          <w:p w14:paraId="00E93419" w14:textId="77777777"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SCL/LMK</w:t>
            </w:r>
          </w:p>
        </w:tc>
      </w:tr>
      <w:tr w:rsidR="0089230D" w:rsidRPr="00D97FAD" w14:paraId="3C1845CC" w14:textId="77777777" w:rsidTr="007C6B4B">
        <w:tc>
          <w:tcPr>
            <w:tcW w:w="4140" w:type="dxa"/>
          </w:tcPr>
          <w:p w14:paraId="0EED247B"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pt-BR"/>
              </w:rPr>
            </w:pPr>
            <w:r w:rsidRPr="003A54E2">
              <w:rPr>
                <w:rFonts w:ascii="Arial" w:hAnsi="Arial" w:cs="Arial"/>
                <w:sz w:val="17"/>
                <w:szCs w:val="17"/>
                <w:lang w:val="es-ES"/>
              </w:rPr>
              <w:t xml:space="preserve">CT incluida en la Estrategia de País (s/n): </w:t>
            </w:r>
          </w:p>
        </w:tc>
        <w:tc>
          <w:tcPr>
            <w:tcW w:w="4428" w:type="dxa"/>
          </w:tcPr>
          <w:p w14:paraId="3A9D3573" w14:textId="569C9138" w:rsidR="0089230D" w:rsidRPr="003A54E2" w:rsidRDefault="0089230D" w:rsidP="003A54E2">
            <w:pPr>
              <w:spacing w:after="60"/>
              <w:ind w:left="140"/>
              <w:rPr>
                <w:rFonts w:ascii="Arial" w:hAnsi="Arial" w:cs="Arial"/>
                <w:sz w:val="17"/>
                <w:szCs w:val="17"/>
                <w:lang w:val="pt-BR"/>
              </w:rPr>
            </w:pPr>
            <w:r w:rsidRPr="003A54E2">
              <w:rPr>
                <w:rFonts w:ascii="Arial" w:hAnsi="Arial" w:cs="Arial"/>
                <w:sz w:val="17"/>
                <w:szCs w:val="17"/>
                <w:lang w:val="pt-BR"/>
              </w:rPr>
              <w:t>No</w:t>
            </w:r>
            <w:r w:rsidR="0017678E" w:rsidRPr="003A54E2">
              <w:rPr>
                <w:rFonts w:ascii="Arial" w:hAnsi="Arial" w:cs="Arial"/>
                <w:sz w:val="17"/>
                <w:szCs w:val="17"/>
                <w:lang w:val="pt-BR"/>
              </w:rPr>
              <w:t>.</w:t>
            </w:r>
          </w:p>
        </w:tc>
      </w:tr>
      <w:tr w:rsidR="0089230D" w:rsidRPr="0017678E" w14:paraId="65433C1C" w14:textId="77777777" w:rsidTr="007C6B4B">
        <w:tc>
          <w:tcPr>
            <w:tcW w:w="4140" w:type="dxa"/>
          </w:tcPr>
          <w:p w14:paraId="0A3A6A25"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pt-BR"/>
              </w:rPr>
            </w:pPr>
            <w:r w:rsidRPr="003A54E2">
              <w:rPr>
                <w:rFonts w:ascii="Arial" w:hAnsi="Arial" w:cs="Arial"/>
                <w:sz w:val="17"/>
                <w:szCs w:val="17"/>
                <w:lang w:val="pt-BR"/>
              </w:rPr>
              <w:t xml:space="preserve">CT incluída </w:t>
            </w:r>
            <w:proofErr w:type="spellStart"/>
            <w:r w:rsidRPr="003A54E2">
              <w:rPr>
                <w:rFonts w:ascii="Arial" w:hAnsi="Arial" w:cs="Arial"/>
                <w:sz w:val="17"/>
                <w:szCs w:val="17"/>
                <w:lang w:val="pt-BR"/>
              </w:rPr>
              <w:t>en</w:t>
            </w:r>
            <w:proofErr w:type="spellEnd"/>
            <w:r w:rsidRPr="003A54E2">
              <w:rPr>
                <w:rFonts w:ascii="Arial" w:hAnsi="Arial" w:cs="Arial"/>
                <w:sz w:val="17"/>
                <w:szCs w:val="17"/>
                <w:lang w:val="pt-BR"/>
              </w:rPr>
              <w:t xml:space="preserve"> CPD (s/n):</w:t>
            </w:r>
          </w:p>
        </w:tc>
        <w:tc>
          <w:tcPr>
            <w:tcW w:w="4428" w:type="dxa"/>
          </w:tcPr>
          <w:p w14:paraId="7E06C868" w14:textId="745AFB57" w:rsidR="0089230D" w:rsidRPr="003A54E2" w:rsidRDefault="0089230D" w:rsidP="003A54E2">
            <w:pPr>
              <w:spacing w:after="60"/>
              <w:ind w:left="140"/>
              <w:rPr>
                <w:rFonts w:ascii="Arial" w:hAnsi="Arial" w:cs="Arial"/>
                <w:sz w:val="17"/>
                <w:szCs w:val="17"/>
                <w:lang w:val="es-ES_tradnl"/>
              </w:rPr>
            </w:pPr>
            <w:r w:rsidRPr="003A54E2">
              <w:rPr>
                <w:rFonts w:ascii="Arial" w:hAnsi="Arial" w:cs="Arial"/>
                <w:sz w:val="17"/>
                <w:szCs w:val="17"/>
                <w:lang w:val="es-ES_tradnl"/>
              </w:rPr>
              <w:t>S</w:t>
            </w:r>
            <w:r w:rsidR="0017678E" w:rsidRPr="003A54E2">
              <w:rPr>
                <w:rFonts w:ascii="Arial" w:hAnsi="Arial" w:cs="Arial"/>
                <w:sz w:val="17"/>
                <w:szCs w:val="17"/>
                <w:lang w:val="es-ES_tradnl"/>
              </w:rPr>
              <w:t>í. (GN-2884, Anexo 2)</w:t>
            </w:r>
          </w:p>
        </w:tc>
      </w:tr>
      <w:tr w:rsidR="0089230D" w:rsidRPr="003A54E2" w14:paraId="49B7503C" w14:textId="77777777" w:rsidTr="007C6B4B">
        <w:tc>
          <w:tcPr>
            <w:tcW w:w="4140" w:type="dxa"/>
          </w:tcPr>
          <w:p w14:paraId="5F65E19A" w14:textId="77777777" w:rsidR="0089230D" w:rsidRPr="003A54E2" w:rsidRDefault="0089230D" w:rsidP="0089230D">
            <w:pPr>
              <w:pStyle w:val="ListParagraph"/>
              <w:numPr>
                <w:ilvl w:val="0"/>
                <w:numId w:val="2"/>
              </w:numPr>
              <w:spacing w:after="60"/>
              <w:ind w:left="180" w:hanging="180"/>
              <w:contextualSpacing w:val="0"/>
              <w:jc w:val="both"/>
              <w:rPr>
                <w:rFonts w:ascii="Arial" w:hAnsi="Arial" w:cs="Arial"/>
                <w:sz w:val="17"/>
                <w:szCs w:val="17"/>
                <w:lang w:val="es-ES"/>
              </w:rPr>
            </w:pPr>
            <w:r w:rsidRPr="003A54E2">
              <w:rPr>
                <w:rFonts w:ascii="Arial" w:hAnsi="Arial" w:cs="Arial"/>
                <w:sz w:val="17"/>
                <w:szCs w:val="17"/>
                <w:lang w:val="es-ES"/>
              </w:rPr>
              <w:t>Alineación a la Actualización de la Estrategia Institucional 2010-2020:</w:t>
            </w:r>
          </w:p>
        </w:tc>
        <w:tc>
          <w:tcPr>
            <w:tcW w:w="4428" w:type="dxa"/>
          </w:tcPr>
          <w:p w14:paraId="628CAC35" w14:textId="67396223" w:rsidR="0089230D" w:rsidRPr="003A54E2" w:rsidRDefault="0089230D" w:rsidP="003A54E2">
            <w:pPr>
              <w:spacing w:after="60"/>
              <w:ind w:left="140"/>
              <w:rPr>
                <w:rFonts w:ascii="Arial" w:hAnsi="Arial" w:cs="Arial"/>
                <w:sz w:val="17"/>
                <w:szCs w:val="17"/>
                <w:lang w:val="es-ES"/>
              </w:rPr>
            </w:pPr>
            <w:r w:rsidRPr="003A54E2">
              <w:rPr>
                <w:rFonts w:ascii="Arial" w:hAnsi="Arial" w:cs="Arial"/>
                <w:sz w:val="17"/>
                <w:szCs w:val="17"/>
                <w:lang w:val="es-ES"/>
              </w:rPr>
              <w:t>(i) inclusión social e igualdad; y (ii)</w:t>
            </w:r>
            <w:r w:rsidR="003A0193" w:rsidRPr="003A54E2">
              <w:rPr>
                <w:rFonts w:ascii="Arial" w:hAnsi="Arial" w:cs="Arial"/>
                <w:sz w:val="17"/>
                <w:szCs w:val="17"/>
                <w:lang w:val="es-ES"/>
              </w:rPr>
              <w:t> </w:t>
            </w:r>
            <w:r w:rsidRPr="003A54E2">
              <w:rPr>
                <w:rFonts w:ascii="Arial" w:hAnsi="Arial" w:cs="Arial"/>
                <w:sz w:val="17"/>
                <w:szCs w:val="17"/>
                <w:lang w:val="es-ES"/>
              </w:rPr>
              <w:t>productividad e innovación</w:t>
            </w:r>
          </w:p>
        </w:tc>
      </w:tr>
    </w:tbl>
    <w:p w14:paraId="188DE59E" w14:textId="77777777" w:rsidR="005D330B" w:rsidRPr="00D97FAD" w:rsidRDefault="00F00960"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Descripción</w:t>
      </w:r>
      <w:r w:rsidR="005D330B" w:rsidRPr="00D97FAD">
        <w:rPr>
          <w:rFonts w:ascii="Arial" w:hAnsi="Arial" w:cs="Arial"/>
          <w:b/>
          <w:lang w:val="es-ES"/>
        </w:rPr>
        <w:t xml:space="preserve"> </w:t>
      </w:r>
      <w:r w:rsidR="00E33333" w:rsidRPr="00D97FAD">
        <w:rPr>
          <w:rFonts w:ascii="Arial" w:hAnsi="Arial" w:cs="Arial"/>
          <w:b/>
          <w:lang w:val="es-ES"/>
        </w:rPr>
        <w:t xml:space="preserve">del </w:t>
      </w:r>
      <w:r w:rsidRPr="00D97FAD">
        <w:rPr>
          <w:rFonts w:ascii="Arial" w:hAnsi="Arial" w:cs="Arial"/>
          <w:b/>
          <w:lang w:val="es-ES"/>
        </w:rPr>
        <w:t>Préstamo</w:t>
      </w:r>
      <w:r w:rsidR="00E33333" w:rsidRPr="00D97FAD">
        <w:rPr>
          <w:rFonts w:ascii="Arial" w:hAnsi="Arial" w:cs="Arial"/>
          <w:b/>
          <w:lang w:val="es-ES"/>
        </w:rPr>
        <w:t>/</w:t>
      </w:r>
      <w:r w:rsidRPr="00D97FAD">
        <w:rPr>
          <w:rFonts w:ascii="Arial" w:hAnsi="Arial" w:cs="Arial"/>
          <w:b/>
          <w:lang w:val="es-ES"/>
        </w:rPr>
        <w:t>Garantía</w:t>
      </w:r>
      <w:r w:rsidR="00E33333" w:rsidRPr="00D97FAD">
        <w:rPr>
          <w:rFonts w:ascii="Arial" w:hAnsi="Arial" w:cs="Arial"/>
          <w:b/>
          <w:lang w:val="es-ES"/>
        </w:rPr>
        <w:t xml:space="preserve"> Asociado</w:t>
      </w:r>
    </w:p>
    <w:p w14:paraId="16AE8D62" w14:textId="6169289F" w:rsidR="005058EF" w:rsidRPr="00BD64A7" w:rsidRDefault="005058EF" w:rsidP="00E63E77">
      <w:pPr>
        <w:pStyle w:val="ListParagraph"/>
        <w:numPr>
          <w:ilvl w:val="1"/>
          <w:numId w:val="5"/>
        </w:numPr>
        <w:spacing w:before="120" w:after="120" w:line="240" w:lineRule="auto"/>
        <w:ind w:left="360" w:hanging="540"/>
        <w:contextualSpacing w:val="0"/>
        <w:jc w:val="both"/>
        <w:rPr>
          <w:rFonts w:ascii="Arial" w:hAnsi="Arial" w:cs="Arial"/>
          <w:lang w:val="es-ES_tradnl"/>
        </w:rPr>
      </w:pPr>
      <w:r w:rsidRPr="005058EF">
        <w:rPr>
          <w:rFonts w:ascii="Arial" w:hAnsi="Arial" w:cs="Arial"/>
          <w:lang w:val="es-ES_tradnl"/>
        </w:rPr>
        <w:t>El objetivo del Programa de Fortalecimiento del Sistema de Intermediación Laboral en Chile (CH-L1135) es mejorar la integración y la provisión de servicios de intermediación laboral a buscadores de empleo y empresas en Chile. Para ello, apoyará acciones de política dirigidas al logro de los siguientes objetivos específicos: (i)</w:t>
      </w:r>
      <w:r w:rsidR="0017678E">
        <w:rPr>
          <w:rFonts w:ascii="Arial" w:hAnsi="Arial" w:cs="Arial"/>
          <w:lang w:val="es-ES_tradnl"/>
        </w:rPr>
        <w:t> </w:t>
      </w:r>
      <w:r w:rsidRPr="005058EF">
        <w:rPr>
          <w:rFonts w:ascii="Arial" w:hAnsi="Arial" w:cs="Arial"/>
          <w:lang w:val="es-ES_tradnl"/>
        </w:rPr>
        <w:t>reformular el modelo de gobernanza de</w:t>
      </w:r>
      <w:r w:rsidR="00F10B05">
        <w:rPr>
          <w:rFonts w:ascii="Arial" w:hAnsi="Arial" w:cs="Arial"/>
          <w:lang w:val="es-ES_tradnl"/>
        </w:rPr>
        <w:t xml:space="preserve"> las entidades públicas del</w:t>
      </w:r>
      <w:r w:rsidRPr="005058EF">
        <w:rPr>
          <w:rFonts w:ascii="Arial" w:hAnsi="Arial" w:cs="Arial"/>
          <w:lang w:val="es-ES_tradnl"/>
        </w:rPr>
        <w:t xml:space="preserve"> </w:t>
      </w:r>
      <w:r w:rsidR="00F10B05">
        <w:rPr>
          <w:rFonts w:ascii="Arial" w:hAnsi="Arial" w:cs="Arial"/>
          <w:lang w:val="es-ES_tradnl"/>
        </w:rPr>
        <w:t>Sistema</w:t>
      </w:r>
      <w:r w:rsidR="003B72EC">
        <w:rPr>
          <w:rFonts w:ascii="Arial" w:hAnsi="Arial" w:cs="Arial"/>
          <w:lang w:val="es-ES_tradnl"/>
        </w:rPr>
        <w:t xml:space="preserve"> de </w:t>
      </w:r>
      <w:r w:rsidR="00F10B05">
        <w:rPr>
          <w:rFonts w:ascii="Arial" w:hAnsi="Arial" w:cs="Arial"/>
          <w:lang w:val="es-ES_tradnl"/>
        </w:rPr>
        <w:t>I</w:t>
      </w:r>
      <w:r w:rsidR="003B72EC">
        <w:rPr>
          <w:rFonts w:ascii="Arial" w:hAnsi="Arial" w:cs="Arial"/>
          <w:lang w:val="es-ES_tradnl"/>
        </w:rPr>
        <w:t xml:space="preserve">ntermediación </w:t>
      </w:r>
      <w:r w:rsidR="00F10B05">
        <w:rPr>
          <w:rFonts w:ascii="Arial" w:hAnsi="Arial" w:cs="Arial"/>
          <w:lang w:val="es-ES_tradnl"/>
        </w:rPr>
        <w:t>L</w:t>
      </w:r>
      <w:r w:rsidR="003B72EC">
        <w:rPr>
          <w:rFonts w:ascii="Arial" w:hAnsi="Arial" w:cs="Arial"/>
          <w:lang w:val="es-ES_tradnl"/>
        </w:rPr>
        <w:t>aboral (</w:t>
      </w:r>
      <w:r w:rsidRPr="005058EF">
        <w:rPr>
          <w:rFonts w:ascii="Arial" w:hAnsi="Arial" w:cs="Arial"/>
          <w:lang w:val="es-ES_tradnl"/>
        </w:rPr>
        <w:t>SIL</w:t>
      </w:r>
      <w:r w:rsidR="003B72EC">
        <w:rPr>
          <w:rFonts w:ascii="Arial" w:hAnsi="Arial" w:cs="Arial"/>
          <w:lang w:val="es-ES_tradnl"/>
        </w:rPr>
        <w:t>)</w:t>
      </w:r>
      <w:r w:rsidRPr="005058EF">
        <w:rPr>
          <w:rFonts w:ascii="Arial" w:hAnsi="Arial" w:cs="Arial"/>
          <w:lang w:val="es-ES_tradnl"/>
        </w:rPr>
        <w:t xml:space="preserve">; (ii) adecuar la oferta y la prestación de </w:t>
      </w:r>
      <w:r w:rsidR="00F10B05">
        <w:rPr>
          <w:rFonts w:ascii="Arial" w:hAnsi="Arial" w:cs="Arial"/>
          <w:lang w:val="es-ES_tradnl"/>
        </w:rPr>
        <w:t xml:space="preserve">los </w:t>
      </w:r>
      <w:r w:rsidRPr="005058EF">
        <w:rPr>
          <w:rFonts w:ascii="Arial" w:hAnsi="Arial" w:cs="Arial"/>
          <w:lang w:val="es-ES_tradnl"/>
        </w:rPr>
        <w:t>servicios de</w:t>
      </w:r>
      <w:r w:rsidR="00CD29D0">
        <w:rPr>
          <w:rFonts w:ascii="Arial" w:hAnsi="Arial" w:cs="Arial"/>
          <w:lang w:val="es-ES_tradnl"/>
        </w:rPr>
        <w:t xml:space="preserve"> </w:t>
      </w:r>
      <w:r w:rsidR="00F10B05">
        <w:rPr>
          <w:rFonts w:ascii="Arial" w:hAnsi="Arial" w:cs="Arial"/>
          <w:lang w:val="es-ES_tradnl"/>
        </w:rPr>
        <w:t xml:space="preserve">intermediación laboral (SSIL) provistos por entidades </w:t>
      </w:r>
      <w:r w:rsidR="003B72EC">
        <w:rPr>
          <w:rFonts w:ascii="Arial" w:hAnsi="Arial" w:cs="Arial"/>
          <w:lang w:val="es-ES_tradnl"/>
        </w:rPr>
        <w:t>públic</w:t>
      </w:r>
      <w:r w:rsidR="00F10B05">
        <w:rPr>
          <w:rFonts w:ascii="Arial" w:hAnsi="Arial" w:cs="Arial"/>
          <w:lang w:val="es-ES_tradnl"/>
        </w:rPr>
        <w:t>as</w:t>
      </w:r>
      <w:r w:rsidRPr="005058EF">
        <w:rPr>
          <w:rFonts w:ascii="Arial" w:hAnsi="Arial" w:cs="Arial"/>
          <w:lang w:val="es-ES_tradnl"/>
        </w:rPr>
        <w:t xml:space="preserve"> y restructurar su modelo de gestión; y (iii)</w:t>
      </w:r>
      <w:r w:rsidR="00CD29D0">
        <w:rPr>
          <w:rFonts w:ascii="Arial" w:hAnsi="Arial" w:cs="Arial"/>
          <w:lang w:val="es-ES_tradnl"/>
        </w:rPr>
        <w:t xml:space="preserve"> </w:t>
      </w:r>
      <w:r w:rsidRPr="005058EF">
        <w:rPr>
          <w:rFonts w:ascii="Arial" w:hAnsi="Arial" w:cs="Arial"/>
          <w:lang w:val="es-ES_tradnl"/>
        </w:rPr>
        <w:t xml:space="preserve">avanzar hacia la ampliación y articulación de un sistema de información del mercado laboral (SIML) y la generación de conocimiento del sector. </w:t>
      </w:r>
    </w:p>
    <w:p w14:paraId="417297CE" w14:textId="527A2619" w:rsidR="005058EF" w:rsidRPr="005058EF" w:rsidRDefault="005058EF" w:rsidP="009761D6">
      <w:pPr>
        <w:pStyle w:val="ListParagraph"/>
        <w:numPr>
          <w:ilvl w:val="1"/>
          <w:numId w:val="5"/>
        </w:numPr>
        <w:spacing w:before="120" w:after="120" w:line="240" w:lineRule="auto"/>
        <w:ind w:left="360" w:hanging="540"/>
        <w:contextualSpacing w:val="0"/>
        <w:jc w:val="both"/>
        <w:rPr>
          <w:rFonts w:ascii="Arial" w:hAnsi="Arial" w:cs="Arial"/>
          <w:lang w:val="es-ES_tradnl"/>
        </w:rPr>
      </w:pPr>
      <w:r w:rsidRPr="005058EF">
        <w:rPr>
          <w:rFonts w:ascii="Arial" w:hAnsi="Arial" w:cs="Arial"/>
          <w:lang w:val="es-ES_tradnl"/>
        </w:rPr>
        <w:lastRenderedPageBreak/>
        <w:t>El Ministerio de Trabajo y Previsión Social (MTPS) tiene a su cargo el análisis, desarrollo de propuestas y evaluación de políticas de empleo. En el marco de estas funciones también tiene a su cargo la supervisión de</w:t>
      </w:r>
      <w:r w:rsidR="00F10B05">
        <w:rPr>
          <w:rFonts w:ascii="Arial" w:hAnsi="Arial" w:cs="Arial"/>
          <w:lang w:val="es-ES_tradnl"/>
        </w:rPr>
        <w:t xml:space="preserve"> las entidades públicas que ofrecen S</w:t>
      </w:r>
      <w:r w:rsidRPr="005058EF">
        <w:rPr>
          <w:rFonts w:ascii="Arial" w:hAnsi="Arial" w:cs="Arial"/>
          <w:lang w:val="es-ES_tradnl"/>
        </w:rPr>
        <w:t>SIL. Por su parte, el Servicio Nacional de Capacitación</w:t>
      </w:r>
      <w:r w:rsidR="00F10B05">
        <w:rPr>
          <w:rFonts w:ascii="Arial" w:hAnsi="Arial" w:cs="Arial"/>
          <w:lang w:val="es-ES_tradnl"/>
        </w:rPr>
        <w:t xml:space="preserve"> y Empleo</w:t>
      </w:r>
      <w:r w:rsidRPr="005058EF">
        <w:rPr>
          <w:rFonts w:ascii="Arial" w:hAnsi="Arial" w:cs="Arial"/>
          <w:lang w:val="es-ES_tradnl"/>
        </w:rPr>
        <w:t xml:space="preserve"> (SENCE), que </w:t>
      </w:r>
      <w:r w:rsidR="00F10B05">
        <w:rPr>
          <w:rFonts w:ascii="Arial" w:hAnsi="Arial" w:cs="Arial"/>
          <w:lang w:val="es-ES_tradnl"/>
        </w:rPr>
        <w:t>se relaciona</w:t>
      </w:r>
      <w:r w:rsidR="00F10B05" w:rsidRPr="005058EF">
        <w:rPr>
          <w:rFonts w:ascii="Arial" w:hAnsi="Arial" w:cs="Arial"/>
          <w:lang w:val="es-ES_tradnl"/>
        </w:rPr>
        <w:t xml:space="preserve"> </w:t>
      </w:r>
      <w:r w:rsidR="00F10B05">
        <w:rPr>
          <w:rFonts w:ascii="Arial" w:hAnsi="Arial" w:cs="Arial"/>
          <w:lang w:val="es-ES_tradnl"/>
        </w:rPr>
        <w:t xml:space="preserve">con el Gobierno a través </w:t>
      </w:r>
      <w:r w:rsidRPr="005058EF">
        <w:rPr>
          <w:rFonts w:ascii="Arial" w:hAnsi="Arial" w:cs="Arial"/>
          <w:lang w:val="es-ES_tradnl"/>
        </w:rPr>
        <w:t xml:space="preserve">del MTPS, es el </w:t>
      </w:r>
      <w:r w:rsidR="00F10B05">
        <w:rPr>
          <w:rFonts w:ascii="Arial" w:hAnsi="Arial" w:cs="Arial"/>
          <w:lang w:val="es-ES_tradnl"/>
        </w:rPr>
        <w:t xml:space="preserve">organismo de mayor importancia en </w:t>
      </w:r>
      <w:r w:rsidRPr="005058EF">
        <w:rPr>
          <w:rFonts w:ascii="Arial" w:hAnsi="Arial" w:cs="Arial"/>
          <w:lang w:val="es-ES_tradnl"/>
        </w:rPr>
        <w:t xml:space="preserve">la provisión de </w:t>
      </w:r>
      <w:r w:rsidR="00CD29D0">
        <w:rPr>
          <w:rFonts w:ascii="Arial" w:hAnsi="Arial" w:cs="Arial"/>
          <w:lang w:val="es-ES_tradnl"/>
        </w:rPr>
        <w:t>S</w:t>
      </w:r>
      <w:r w:rsidRPr="005058EF">
        <w:rPr>
          <w:rFonts w:ascii="Arial" w:hAnsi="Arial" w:cs="Arial"/>
          <w:lang w:val="es-ES_tradnl"/>
        </w:rPr>
        <w:t>SIL público</w:t>
      </w:r>
      <w:r w:rsidR="00CD29D0">
        <w:rPr>
          <w:rFonts w:ascii="Arial" w:hAnsi="Arial" w:cs="Arial"/>
          <w:lang w:val="es-ES_tradnl"/>
        </w:rPr>
        <w:t>s</w:t>
      </w:r>
      <w:r w:rsidRPr="005058EF">
        <w:rPr>
          <w:rFonts w:ascii="Arial" w:hAnsi="Arial" w:cs="Arial"/>
          <w:lang w:val="es-ES_tradnl"/>
        </w:rPr>
        <w:t xml:space="preserve">. </w:t>
      </w:r>
      <w:r w:rsidRPr="005058EF">
        <w:rPr>
          <w:rFonts w:ascii="Arial" w:hAnsi="Arial" w:cs="Arial"/>
          <w:lang w:val="es-ES"/>
        </w:rPr>
        <w:t>A pesar de los avances realizados, es necesario seguir fortaleciendo</w:t>
      </w:r>
      <w:r w:rsidR="003B72EC">
        <w:rPr>
          <w:rFonts w:ascii="Arial" w:hAnsi="Arial" w:cs="Arial"/>
          <w:lang w:val="es-ES"/>
        </w:rPr>
        <w:t xml:space="preserve"> l</w:t>
      </w:r>
      <w:r w:rsidR="00F10B05">
        <w:rPr>
          <w:rFonts w:ascii="Arial" w:hAnsi="Arial" w:cs="Arial"/>
          <w:lang w:val="es-ES"/>
        </w:rPr>
        <w:t>as entidades de IL públicas</w:t>
      </w:r>
      <w:r w:rsidR="003B72EC">
        <w:rPr>
          <w:rFonts w:ascii="Arial" w:hAnsi="Arial" w:cs="Arial"/>
          <w:lang w:val="es-ES"/>
        </w:rPr>
        <w:t xml:space="preserve"> en Chile</w:t>
      </w:r>
      <w:r w:rsidRPr="005058EF">
        <w:rPr>
          <w:rFonts w:ascii="Arial" w:hAnsi="Arial" w:cs="Arial"/>
          <w:lang w:val="es-ES"/>
        </w:rPr>
        <w:t>, ya que se encuentra desarticulado entre varios actores públicos y privados y carece aún de un modelo de entrega de servicios integrado (OIT, 2016).</w:t>
      </w:r>
    </w:p>
    <w:p w14:paraId="6436A44F" w14:textId="5AC59125" w:rsidR="005058EF" w:rsidRPr="003A54E2" w:rsidRDefault="005058EF" w:rsidP="005058EF">
      <w:pPr>
        <w:pStyle w:val="ListParagraph"/>
        <w:numPr>
          <w:ilvl w:val="1"/>
          <w:numId w:val="5"/>
        </w:numPr>
        <w:spacing w:before="120" w:after="120" w:line="240" w:lineRule="auto"/>
        <w:ind w:left="360" w:hanging="540"/>
        <w:contextualSpacing w:val="0"/>
        <w:jc w:val="both"/>
        <w:rPr>
          <w:rFonts w:ascii="Arial" w:hAnsi="Arial" w:cs="Arial"/>
          <w:spacing w:val="-4"/>
          <w:lang w:val="es-ES_tradnl"/>
        </w:rPr>
      </w:pPr>
      <w:r w:rsidRPr="003A54E2">
        <w:rPr>
          <w:rFonts w:ascii="Arial" w:hAnsi="Arial" w:cs="Arial"/>
          <w:spacing w:val="-4"/>
          <w:lang w:val="es-ES_tradnl"/>
        </w:rPr>
        <w:t>El Gobierno de Chile ha solicitado al Banco una operación estructurada bajo la modalidad de Préstamo en Apoyo de Reformas de Política de Tramos Múltiples (PBL</w:t>
      </w:r>
      <w:r w:rsidR="003B72EC" w:rsidRPr="003A54E2">
        <w:rPr>
          <w:rFonts w:ascii="Arial" w:hAnsi="Arial" w:cs="Arial"/>
          <w:spacing w:val="-4"/>
          <w:lang w:val="es-ES_tradnl"/>
        </w:rPr>
        <w:t xml:space="preserve"> de múltiples tramos</w:t>
      </w:r>
      <w:r w:rsidRPr="003A54E2">
        <w:rPr>
          <w:rFonts w:ascii="Arial" w:hAnsi="Arial" w:cs="Arial"/>
          <w:spacing w:val="-4"/>
          <w:lang w:val="es-ES_tradnl"/>
        </w:rPr>
        <w:t xml:space="preserve">). La selección de esta modalidad, en tanto instrumento de apoyo a reformas sectoriales y cambios institucionales, responde a su efectividad como herramienta para enfrentar los desafíos de desarrollo de políticas y por la </w:t>
      </w:r>
      <w:proofErr w:type="spellStart"/>
      <w:r w:rsidRPr="003A54E2">
        <w:rPr>
          <w:rFonts w:ascii="Arial" w:hAnsi="Arial" w:cs="Arial"/>
          <w:spacing w:val="-4"/>
          <w:lang w:val="es-ES_tradnl"/>
        </w:rPr>
        <w:t>adicionalidad</w:t>
      </w:r>
      <w:proofErr w:type="spellEnd"/>
      <w:r w:rsidRPr="003A54E2">
        <w:rPr>
          <w:rFonts w:ascii="Arial" w:hAnsi="Arial" w:cs="Arial"/>
          <w:spacing w:val="-4"/>
          <w:lang w:val="es-ES_tradnl"/>
        </w:rPr>
        <w:t xml:space="preserve"> que el Banco aporta para la implementación de reformas de política que vienen realizando de forma parcial el MTPS y SENCE desde la administración anterior. La estructura de la operación sigue y es consistente con los lineamientos y directrices establecidas en el documento CS-3633-1 (Préstamos en Apoyo de Reformas de Política: Directrices sobre Preparación y Aplicación). El monto de financiamiento asciende a US$100</w:t>
      </w:r>
      <w:r w:rsidR="00CD29D0" w:rsidRPr="003A54E2">
        <w:rPr>
          <w:rFonts w:ascii="Arial" w:hAnsi="Arial" w:cs="Arial"/>
          <w:spacing w:val="-4"/>
          <w:lang w:val="es-ES_tradnl"/>
        </w:rPr>
        <w:t xml:space="preserve"> </w:t>
      </w:r>
      <w:r w:rsidRPr="003A54E2">
        <w:rPr>
          <w:rFonts w:ascii="Arial" w:hAnsi="Arial" w:cs="Arial"/>
          <w:spacing w:val="-4"/>
          <w:lang w:val="es-ES_tradnl"/>
        </w:rPr>
        <w:t xml:space="preserve">millones que provendrán de recursos de Capital Ordinario (CO), y se desembolsará en dos tramos iguales y consecutivos de </w:t>
      </w:r>
      <w:r w:rsidR="003B72EC" w:rsidRPr="003A54E2">
        <w:rPr>
          <w:rFonts w:ascii="Arial" w:hAnsi="Arial" w:cs="Arial"/>
          <w:spacing w:val="-4"/>
          <w:lang w:val="es-ES_tradnl"/>
        </w:rPr>
        <w:t xml:space="preserve">hasta </w:t>
      </w:r>
      <w:r w:rsidRPr="003A54E2">
        <w:rPr>
          <w:rFonts w:ascii="Arial" w:hAnsi="Arial" w:cs="Arial"/>
          <w:spacing w:val="-4"/>
          <w:lang w:val="es-ES_tradnl"/>
        </w:rPr>
        <w:t>US$50</w:t>
      </w:r>
      <w:r w:rsidR="00CD29D0" w:rsidRPr="003A54E2">
        <w:rPr>
          <w:rFonts w:ascii="Arial" w:hAnsi="Arial" w:cs="Arial"/>
          <w:spacing w:val="-4"/>
          <w:lang w:val="es-ES_tradnl"/>
        </w:rPr>
        <w:t xml:space="preserve"> </w:t>
      </w:r>
      <w:r w:rsidRPr="003A54E2">
        <w:rPr>
          <w:rFonts w:ascii="Arial" w:hAnsi="Arial" w:cs="Arial"/>
          <w:spacing w:val="-4"/>
          <w:lang w:val="es-ES_tradnl"/>
        </w:rPr>
        <w:t xml:space="preserve">millones, a ser desembolsados potencialmente en septiembre de 2017 y marzo de 2018. </w:t>
      </w:r>
    </w:p>
    <w:p w14:paraId="1F4A48D0" w14:textId="1A484AE2" w:rsidR="005D330B" w:rsidRPr="00D97FAD" w:rsidRDefault="005058EF" w:rsidP="008F4286">
      <w:pPr>
        <w:pStyle w:val="ListParagraph"/>
        <w:numPr>
          <w:ilvl w:val="1"/>
          <w:numId w:val="5"/>
        </w:numPr>
        <w:spacing w:before="120" w:after="120" w:line="240" w:lineRule="auto"/>
        <w:ind w:left="360" w:hanging="540"/>
        <w:contextualSpacing w:val="0"/>
        <w:jc w:val="both"/>
        <w:rPr>
          <w:rFonts w:ascii="Arial" w:hAnsi="Arial" w:cs="Arial"/>
          <w:lang w:val="es-ES"/>
        </w:rPr>
      </w:pPr>
      <w:r>
        <w:rPr>
          <w:rFonts w:ascii="Arial" w:hAnsi="Arial" w:cs="Arial"/>
          <w:lang w:val="es-ES"/>
        </w:rPr>
        <w:t xml:space="preserve">El programa </w:t>
      </w:r>
      <w:r w:rsidR="000A731E">
        <w:rPr>
          <w:rFonts w:ascii="Arial" w:hAnsi="Arial" w:cs="Arial"/>
          <w:lang w:val="es-ES"/>
        </w:rPr>
        <w:t>s</w:t>
      </w:r>
      <w:r>
        <w:rPr>
          <w:rFonts w:ascii="Arial" w:hAnsi="Arial" w:cs="Arial"/>
          <w:lang w:val="es-ES"/>
        </w:rPr>
        <w:t xml:space="preserve">e encuentra en fase de diseño con una fecha estimada de aprobación de Directorio Ejecutivo del Banco para el </w:t>
      </w:r>
      <w:r w:rsidR="0017678E">
        <w:rPr>
          <w:rFonts w:ascii="Arial" w:hAnsi="Arial" w:cs="Arial"/>
          <w:lang w:val="es-ES"/>
        </w:rPr>
        <w:t>19</w:t>
      </w:r>
      <w:r>
        <w:rPr>
          <w:rFonts w:ascii="Arial" w:hAnsi="Arial" w:cs="Arial"/>
          <w:lang w:val="es-ES"/>
        </w:rPr>
        <w:t xml:space="preserve"> de junio de 2017. </w:t>
      </w:r>
    </w:p>
    <w:p w14:paraId="7FD80C6E" w14:textId="77777777" w:rsidR="0095711B" w:rsidRPr="00D97FAD" w:rsidRDefault="00C43E24"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Obje</w:t>
      </w:r>
      <w:r w:rsidR="00F00960" w:rsidRPr="00D97FAD">
        <w:rPr>
          <w:rFonts w:ascii="Arial" w:hAnsi="Arial" w:cs="Arial"/>
          <w:b/>
          <w:lang w:val="es-ES"/>
        </w:rPr>
        <w:t>tivos</w:t>
      </w:r>
      <w:r w:rsidRPr="00D97FAD">
        <w:rPr>
          <w:rFonts w:ascii="Arial" w:hAnsi="Arial" w:cs="Arial"/>
          <w:b/>
          <w:lang w:val="es-ES"/>
        </w:rPr>
        <w:t xml:space="preserve"> </w:t>
      </w:r>
      <w:r w:rsidR="00F00960" w:rsidRPr="00D97FAD">
        <w:rPr>
          <w:rFonts w:ascii="Arial" w:hAnsi="Arial" w:cs="Arial"/>
          <w:b/>
          <w:lang w:val="es-ES"/>
        </w:rPr>
        <w:t>y Justificación de la CT</w:t>
      </w:r>
      <w:r w:rsidR="00A12C27" w:rsidRPr="00D97FAD">
        <w:rPr>
          <w:rFonts w:ascii="Arial" w:hAnsi="Arial" w:cs="Arial"/>
          <w:highlight w:val="yellow"/>
          <w:lang w:val="es-ES"/>
        </w:rPr>
        <w:t xml:space="preserve"> </w:t>
      </w:r>
    </w:p>
    <w:p w14:paraId="1E61D2FF" w14:textId="77777777" w:rsidR="0089230D" w:rsidRDefault="0089230D" w:rsidP="0089230D">
      <w:pPr>
        <w:pStyle w:val="ListParagraph"/>
        <w:numPr>
          <w:ilvl w:val="1"/>
          <w:numId w:val="5"/>
        </w:numPr>
        <w:spacing w:before="120" w:after="120" w:line="240" w:lineRule="auto"/>
        <w:ind w:left="360" w:hanging="540"/>
        <w:contextualSpacing w:val="0"/>
        <w:jc w:val="both"/>
        <w:rPr>
          <w:rFonts w:ascii="Arial" w:hAnsi="Arial" w:cs="Arial"/>
          <w:lang w:val="es-ES"/>
        </w:rPr>
      </w:pPr>
      <w:r>
        <w:rPr>
          <w:rFonts w:ascii="Arial" w:hAnsi="Arial" w:cs="Arial"/>
          <w:lang w:val="es-ES"/>
        </w:rPr>
        <w:t>En Chile, el mercado laboral se enfrenta con problemas de baja productividad. En los últimos 10 años, la productividad laboral creció a un ritmo promedio menor al 1% anual (</w:t>
      </w:r>
      <w:proofErr w:type="spellStart"/>
      <w:r>
        <w:rPr>
          <w:rFonts w:ascii="Arial" w:hAnsi="Arial" w:cs="Arial"/>
          <w:lang w:val="es-ES"/>
        </w:rPr>
        <w:t>Conference</w:t>
      </w:r>
      <w:proofErr w:type="spellEnd"/>
      <w:r>
        <w:rPr>
          <w:rFonts w:ascii="Arial" w:hAnsi="Arial" w:cs="Arial"/>
          <w:lang w:val="es-ES"/>
        </w:rPr>
        <w:t xml:space="preserve"> </w:t>
      </w:r>
      <w:proofErr w:type="spellStart"/>
      <w:r>
        <w:rPr>
          <w:rFonts w:ascii="Arial" w:hAnsi="Arial" w:cs="Arial"/>
          <w:lang w:val="es-ES"/>
        </w:rPr>
        <w:t>Board</w:t>
      </w:r>
      <w:proofErr w:type="spellEnd"/>
      <w:r>
        <w:rPr>
          <w:rFonts w:ascii="Arial" w:hAnsi="Arial" w:cs="Arial"/>
          <w:lang w:val="es-ES"/>
        </w:rPr>
        <w:t xml:space="preserve">, 2016). En un contexto de perspectivas de crecimiento poco auspiciosas (FMI 2015, OCDE, 2016) y en ausencia de factores externos que impulsen la economía, será necesario propiciar ganancias más importantes en la productividad y convertir el mercado de trabajo en fuente de mayor crecimiento (Alaimo y otros, 2015). Varios factores afectan la productividad del empleo: las habilidades y competencias del trabajador, la calidad del ajuste entre el trabajador y los requerimientos de la vacante, la tecnología y procesos (de trabajo, de reclutamiento) de las empresas, y el ambiente de negocios (Alaimo y otros, 2015). </w:t>
      </w:r>
    </w:p>
    <w:p w14:paraId="29E83E01" w14:textId="057A2FF5" w:rsidR="0089230D" w:rsidRDefault="0089230D" w:rsidP="0089230D">
      <w:pPr>
        <w:pStyle w:val="ListParagraph"/>
        <w:numPr>
          <w:ilvl w:val="1"/>
          <w:numId w:val="5"/>
        </w:numPr>
        <w:spacing w:before="120" w:after="120" w:line="240" w:lineRule="auto"/>
        <w:ind w:left="360" w:hanging="540"/>
        <w:contextualSpacing w:val="0"/>
        <w:jc w:val="both"/>
        <w:rPr>
          <w:rFonts w:ascii="Arial" w:hAnsi="Arial" w:cs="Arial"/>
          <w:lang w:val="es-ES"/>
        </w:rPr>
      </w:pPr>
      <w:r>
        <w:rPr>
          <w:rFonts w:ascii="Arial" w:hAnsi="Arial" w:cs="Arial"/>
          <w:lang w:val="es-ES"/>
        </w:rPr>
        <w:t xml:space="preserve">El acervo de habilidades de la fuerza de trabajo es uno de los determinantes principales de la productividad (OCDE, 1994, 2011; </w:t>
      </w:r>
      <w:proofErr w:type="spellStart"/>
      <w:r>
        <w:rPr>
          <w:rFonts w:ascii="Arial" w:hAnsi="Arial" w:cs="Arial"/>
          <w:lang w:val="es-ES"/>
        </w:rPr>
        <w:t>Hanushek</w:t>
      </w:r>
      <w:proofErr w:type="spellEnd"/>
      <w:r>
        <w:rPr>
          <w:rFonts w:ascii="Arial" w:hAnsi="Arial" w:cs="Arial"/>
          <w:lang w:val="es-ES"/>
        </w:rPr>
        <w:t xml:space="preserve"> y </w:t>
      </w:r>
      <w:proofErr w:type="spellStart"/>
      <w:r>
        <w:rPr>
          <w:rFonts w:ascii="Arial" w:hAnsi="Arial" w:cs="Arial"/>
          <w:lang w:val="es-ES"/>
        </w:rPr>
        <w:t>Woessmann</w:t>
      </w:r>
      <w:proofErr w:type="spellEnd"/>
      <w:r>
        <w:rPr>
          <w:rFonts w:ascii="Arial" w:hAnsi="Arial" w:cs="Arial"/>
          <w:lang w:val="es-ES"/>
        </w:rPr>
        <w:t>, 2008; Pagés, 2010; Bassi, Rucci y Urzúa, 2014). Un mayor nivel de habilidades de la fuerza laboral promueve la productividad en forma directa, y de forma indirecta impulsando la innovación, la adopción de tecnologías nuevas y la capacidad gerencial de las empresas (</w:t>
      </w:r>
      <w:proofErr w:type="spellStart"/>
      <w:r>
        <w:rPr>
          <w:rFonts w:ascii="Arial" w:hAnsi="Arial" w:cs="Arial"/>
          <w:lang w:val="es-ES"/>
        </w:rPr>
        <w:t>Bauernschuster</w:t>
      </w:r>
      <w:proofErr w:type="spellEnd"/>
      <w:r>
        <w:rPr>
          <w:rFonts w:ascii="Arial" w:hAnsi="Arial" w:cs="Arial"/>
          <w:lang w:val="es-ES"/>
        </w:rPr>
        <w:t xml:space="preserve">, </w:t>
      </w:r>
      <w:proofErr w:type="spellStart"/>
      <w:r>
        <w:rPr>
          <w:rFonts w:ascii="Arial" w:hAnsi="Arial" w:cs="Arial"/>
          <w:lang w:val="es-ES"/>
        </w:rPr>
        <w:t>Falck</w:t>
      </w:r>
      <w:proofErr w:type="spellEnd"/>
      <w:r>
        <w:rPr>
          <w:rFonts w:ascii="Arial" w:hAnsi="Arial" w:cs="Arial"/>
          <w:lang w:val="es-ES"/>
        </w:rPr>
        <w:t xml:space="preserve"> y </w:t>
      </w:r>
      <w:proofErr w:type="spellStart"/>
      <w:r>
        <w:rPr>
          <w:rFonts w:ascii="Arial" w:hAnsi="Arial" w:cs="Arial"/>
          <w:lang w:val="es-ES"/>
        </w:rPr>
        <w:t>Heblich</w:t>
      </w:r>
      <w:proofErr w:type="spellEnd"/>
      <w:r>
        <w:rPr>
          <w:rFonts w:ascii="Arial" w:hAnsi="Arial" w:cs="Arial"/>
          <w:lang w:val="es-ES"/>
        </w:rPr>
        <w:t xml:space="preserve">, 2009; </w:t>
      </w:r>
      <w:proofErr w:type="spellStart"/>
      <w:r>
        <w:rPr>
          <w:rFonts w:ascii="Arial" w:hAnsi="Arial" w:cs="Arial"/>
          <w:lang w:val="es-ES"/>
        </w:rPr>
        <w:t>Dostie</w:t>
      </w:r>
      <w:proofErr w:type="spellEnd"/>
      <w:r>
        <w:rPr>
          <w:rFonts w:ascii="Arial" w:hAnsi="Arial" w:cs="Arial"/>
          <w:lang w:val="es-ES"/>
        </w:rPr>
        <w:t xml:space="preserve">, 2014b; </w:t>
      </w:r>
      <w:proofErr w:type="spellStart"/>
      <w:r>
        <w:rPr>
          <w:rFonts w:ascii="Arial" w:hAnsi="Arial" w:cs="Arial"/>
          <w:lang w:val="es-ES"/>
        </w:rPr>
        <w:t>Backes-Gellner</w:t>
      </w:r>
      <w:proofErr w:type="spellEnd"/>
      <w:r>
        <w:rPr>
          <w:rFonts w:ascii="Arial" w:hAnsi="Arial" w:cs="Arial"/>
          <w:lang w:val="es-ES"/>
        </w:rPr>
        <w:t xml:space="preserve">, </w:t>
      </w:r>
      <w:proofErr w:type="spellStart"/>
      <w:r>
        <w:rPr>
          <w:rFonts w:ascii="Arial" w:hAnsi="Arial" w:cs="Arial"/>
          <w:lang w:val="es-ES"/>
        </w:rPr>
        <w:t>Kluike</w:t>
      </w:r>
      <w:proofErr w:type="spellEnd"/>
      <w:r>
        <w:rPr>
          <w:rFonts w:ascii="Arial" w:hAnsi="Arial" w:cs="Arial"/>
          <w:lang w:val="es-ES"/>
        </w:rPr>
        <w:t xml:space="preserve">, </w:t>
      </w:r>
      <w:proofErr w:type="spellStart"/>
      <w:r>
        <w:rPr>
          <w:rFonts w:ascii="Arial" w:hAnsi="Arial" w:cs="Arial"/>
          <w:lang w:val="es-ES"/>
        </w:rPr>
        <w:t>Pull</w:t>
      </w:r>
      <w:proofErr w:type="spellEnd"/>
      <w:r>
        <w:rPr>
          <w:rFonts w:ascii="Arial" w:hAnsi="Arial" w:cs="Arial"/>
          <w:lang w:val="es-ES"/>
        </w:rPr>
        <w:t xml:space="preserve"> y </w:t>
      </w:r>
      <w:proofErr w:type="spellStart"/>
      <w:r>
        <w:rPr>
          <w:rFonts w:ascii="Arial" w:hAnsi="Arial" w:cs="Arial"/>
          <w:lang w:val="es-ES"/>
        </w:rPr>
        <w:t>Teuber</w:t>
      </w:r>
      <w:proofErr w:type="spellEnd"/>
      <w:r>
        <w:rPr>
          <w:rFonts w:ascii="Arial" w:hAnsi="Arial" w:cs="Arial"/>
          <w:lang w:val="es-ES"/>
        </w:rPr>
        <w:t xml:space="preserve">, 2016). En este sentido, el desarrollo de un sistema de formación para el trabajo basado en competencias puede jugar un rol clave. Un sistema de formación para el trabajo se define como el conjunto de políticas, instrumentos y </w:t>
      </w:r>
      <w:r>
        <w:rPr>
          <w:rFonts w:ascii="Arial" w:hAnsi="Arial" w:cs="Arial"/>
          <w:lang w:val="es-ES"/>
        </w:rPr>
        <w:lastRenderedPageBreak/>
        <w:t>funciones conducentes a identificar, formar, evaluar y certificar las competencias requeridas para desarrollar una carrera en un oficio particular</w:t>
      </w:r>
      <w:r>
        <w:rPr>
          <w:rStyle w:val="FootnoteReference"/>
          <w:rFonts w:ascii="Arial" w:hAnsi="Arial" w:cs="Arial"/>
          <w:lang w:val="es-ES"/>
        </w:rPr>
        <w:footnoteReference w:id="1"/>
      </w:r>
      <w:r w:rsidR="004D7AE9">
        <w:rPr>
          <w:rFonts w:ascii="Arial" w:hAnsi="Arial" w:cs="Arial"/>
          <w:lang w:val="es-ES"/>
        </w:rPr>
        <w:t>.</w:t>
      </w:r>
    </w:p>
    <w:p w14:paraId="4D9F7D23" w14:textId="0474904E" w:rsidR="0089230D" w:rsidRPr="003A54E2" w:rsidRDefault="0089230D" w:rsidP="0089230D">
      <w:pPr>
        <w:pStyle w:val="ListParagraph"/>
        <w:numPr>
          <w:ilvl w:val="1"/>
          <w:numId w:val="5"/>
        </w:numPr>
        <w:spacing w:before="120" w:after="120" w:line="240" w:lineRule="auto"/>
        <w:ind w:left="360" w:hanging="540"/>
        <w:contextualSpacing w:val="0"/>
        <w:jc w:val="both"/>
        <w:rPr>
          <w:rFonts w:ascii="Arial" w:hAnsi="Arial" w:cs="Arial"/>
          <w:spacing w:val="-4"/>
          <w:lang w:val="es-ES"/>
        </w:rPr>
      </w:pPr>
      <w:r w:rsidRPr="003A54E2">
        <w:rPr>
          <w:rFonts w:ascii="Arial" w:hAnsi="Arial" w:cs="Arial"/>
          <w:spacing w:val="-4"/>
          <w:lang w:val="es-ES"/>
        </w:rPr>
        <w:t xml:space="preserve">La calidad del </w:t>
      </w:r>
      <w:r w:rsidR="002A79D4" w:rsidRPr="003A54E2">
        <w:rPr>
          <w:rFonts w:ascii="Arial" w:hAnsi="Arial" w:cs="Arial"/>
          <w:spacing w:val="-4"/>
          <w:lang w:val="es-ES"/>
        </w:rPr>
        <w:t xml:space="preserve">acoplamiento </w:t>
      </w:r>
      <w:r w:rsidRPr="003A54E2">
        <w:rPr>
          <w:rFonts w:ascii="Arial" w:hAnsi="Arial" w:cs="Arial"/>
          <w:spacing w:val="-4"/>
          <w:lang w:val="es-ES"/>
        </w:rPr>
        <w:t xml:space="preserve">entre el trabajador y los requerimientos de la vacante afecta la productividad laboral del trabajador, de la empresa, y en agregado, de la economía en su conjunto. Los </w:t>
      </w:r>
      <w:r w:rsidR="003B72EC" w:rsidRPr="003A54E2">
        <w:rPr>
          <w:rFonts w:ascii="Arial" w:hAnsi="Arial" w:cs="Arial"/>
          <w:spacing w:val="-4"/>
          <w:lang w:val="es-ES"/>
        </w:rPr>
        <w:t>S</w:t>
      </w:r>
      <w:r w:rsidRPr="003A54E2">
        <w:rPr>
          <w:rFonts w:ascii="Arial" w:hAnsi="Arial" w:cs="Arial"/>
          <w:spacing w:val="-4"/>
          <w:lang w:val="es-ES"/>
        </w:rPr>
        <w:t xml:space="preserve">SIL </w:t>
      </w:r>
      <w:r w:rsidRPr="003A54E2">
        <w:rPr>
          <w:rFonts w:ascii="Arial" w:hAnsi="Arial" w:cs="Arial"/>
          <w:spacing w:val="-4"/>
          <w:lang w:val="es-ES_tradnl"/>
        </w:rPr>
        <w:t xml:space="preserve">pueden contribuir a mejorar </w:t>
      </w:r>
      <w:r w:rsidRPr="003A54E2">
        <w:rPr>
          <w:rFonts w:ascii="Arial" w:hAnsi="Arial" w:cs="Arial"/>
          <w:spacing w:val="-4"/>
          <w:lang w:val="es-ES"/>
        </w:rPr>
        <w:t>los</w:t>
      </w:r>
      <w:r w:rsidRPr="003A54E2">
        <w:rPr>
          <w:rFonts w:ascii="Arial" w:hAnsi="Arial" w:cs="Arial"/>
          <w:spacing w:val="-4"/>
          <w:lang w:val="es-ES_tradnl"/>
        </w:rPr>
        <w:t xml:space="preserve"> niveles de productividad, dado que permiten</w:t>
      </w:r>
      <w:r w:rsidRPr="003A54E2">
        <w:rPr>
          <w:rFonts w:ascii="Arial" w:hAnsi="Arial" w:cs="Arial"/>
          <w:spacing w:val="-4"/>
          <w:lang w:val="es-ES"/>
        </w:rPr>
        <w:t xml:space="preserve"> mejorar el </w:t>
      </w:r>
      <w:r w:rsidR="002A79D4" w:rsidRPr="003A54E2">
        <w:rPr>
          <w:rFonts w:ascii="Arial" w:hAnsi="Arial" w:cs="Arial"/>
          <w:spacing w:val="-4"/>
          <w:lang w:val="es-ES"/>
        </w:rPr>
        <w:t xml:space="preserve">acoplamiento </w:t>
      </w:r>
      <w:r w:rsidRPr="003A54E2">
        <w:rPr>
          <w:rFonts w:ascii="Arial" w:hAnsi="Arial" w:cs="Arial"/>
          <w:spacing w:val="-4"/>
          <w:lang w:val="es-ES"/>
        </w:rPr>
        <w:t xml:space="preserve">entre oferta y demanda laboral (lo que mejora la productividad en el puesto de trabajo) y reasignar trabajadores hacia empleos más productivos. Los </w:t>
      </w:r>
      <w:r w:rsidR="003B72EC" w:rsidRPr="003A54E2">
        <w:rPr>
          <w:rFonts w:ascii="Arial" w:hAnsi="Arial" w:cs="Arial"/>
          <w:spacing w:val="-4"/>
          <w:lang w:val="es-ES"/>
        </w:rPr>
        <w:t>S</w:t>
      </w:r>
      <w:r w:rsidRPr="003A54E2">
        <w:rPr>
          <w:rFonts w:ascii="Arial" w:hAnsi="Arial" w:cs="Arial"/>
          <w:spacing w:val="-4"/>
          <w:lang w:val="es-ES"/>
        </w:rPr>
        <w:t xml:space="preserve">SIL conforman un </w:t>
      </w:r>
      <w:r w:rsidR="002A79D4" w:rsidRPr="003A54E2">
        <w:rPr>
          <w:rFonts w:ascii="Arial" w:hAnsi="Arial" w:cs="Arial"/>
          <w:spacing w:val="-4"/>
          <w:lang w:val="es-ES"/>
        </w:rPr>
        <w:t>S</w:t>
      </w:r>
      <w:r w:rsidRPr="003A54E2">
        <w:rPr>
          <w:rFonts w:ascii="Arial" w:hAnsi="Arial" w:cs="Arial"/>
          <w:spacing w:val="-4"/>
          <w:lang w:val="es-ES"/>
        </w:rPr>
        <w:t xml:space="preserve">istema </w:t>
      </w:r>
      <w:r w:rsidR="002A79D4" w:rsidRPr="003A54E2">
        <w:rPr>
          <w:rFonts w:ascii="Arial" w:hAnsi="Arial" w:cs="Arial"/>
          <w:spacing w:val="-4"/>
          <w:lang w:val="es-ES"/>
        </w:rPr>
        <w:t xml:space="preserve">de Intermediación Laboral (SIL) </w:t>
      </w:r>
      <w:r w:rsidRPr="003A54E2">
        <w:rPr>
          <w:rFonts w:ascii="Arial" w:hAnsi="Arial" w:cs="Arial"/>
          <w:spacing w:val="-4"/>
          <w:lang w:val="es-ES"/>
        </w:rPr>
        <w:t xml:space="preserve">que incluye </w:t>
      </w:r>
      <w:r w:rsidR="002A79D4" w:rsidRPr="003A54E2">
        <w:rPr>
          <w:rFonts w:ascii="Arial" w:hAnsi="Arial" w:cs="Arial"/>
          <w:spacing w:val="-4"/>
          <w:lang w:val="es-ES"/>
        </w:rPr>
        <w:t>entidades</w:t>
      </w:r>
      <w:r w:rsidRPr="003A54E2">
        <w:rPr>
          <w:rFonts w:ascii="Arial" w:hAnsi="Arial" w:cs="Arial"/>
          <w:spacing w:val="-4"/>
          <w:lang w:val="es-ES"/>
        </w:rPr>
        <w:t xml:space="preserve"> </w:t>
      </w:r>
      <w:r w:rsidR="002A79D4" w:rsidRPr="003A54E2">
        <w:rPr>
          <w:rFonts w:ascii="Arial" w:hAnsi="Arial" w:cs="Arial"/>
          <w:spacing w:val="-4"/>
          <w:lang w:val="es-ES"/>
        </w:rPr>
        <w:t xml:space="preserve">públicas </w:t>
      </w:r>
      <w:r w:rsidRPr="003A54E2">
        <w:rPr>
          <w:rFonts w:ascii="Arial" w:hAnsi="Arial" w:cs="Arial"/>
          <w:spacing w:val="-4"/>
          <w:lang w:val="es-ES"/>
        </w:rPr>
        <w:t>(</w:t>
      </w:r>
      <w:r w:rsidR="002A79D4" w:rsidRPr="003A54E2">
        <w:rPr>
          <w:rFonts w:ascii="Arial" w:hAnsi="Arial" w:cs="Arial"/>
          <w:spacing w:val="-4"/>
          <w:lang w:val="es-ES"/>
        </w:rPr>
        <w:t xml:space="preserve">conocidas en muchos países </w:t>
      </w:r>
      <w:r w:rsidRPr="003A54E2">
        <w:rPr>
          <w:rFonts w:ascii="Arial" w:hAnsi="Arial" w:cs="Arial"/>
          <w:spacing w:val="-4"/>
          <w:lang w:val="es-ES"/>
        </w:rPr>
        <w:t>como Servicios Públicos de Empleo, SPE)</w:t>
      </w:r>
      <w:r w:rsidR="002A79D4" w:rsidRPr="003A54E2">
        <w:rPr>
          <w:rFonts w:ascii="Arial" w:hAnsi="Arial" w:cs="Arial"/>
          <w:spacing w:val="-4"/>
          <w:lang w:val="es-ES"/>
        </w:rPr>
        <w:t xml:space="preserve"> y privadas (tales como </w:t>
      </w:r>
      <w:r w:rsidRPr="003A54E2">
        <w:rPr>
          <w:rFonts w:ascii="Arial" w:hAnsi="Arial" w:cs="Arial"/>
          <w:spacing w:val="-4"/>
          <w:lang w:val="es-ES"/>
        </w:rPr>
        <w:t>bolsas de empleo privadas o agencias de colocación temporal) y las Organizaciones de la Sociedad Civil (OSC) que realizan vinculación (OIT, 2012)</w:t>
      </w:r>
      <w:r w:rsidRPr="003A54E2">
        <w:rPr>
          <w:rStyle w:val="FootnoteReference"/>
          <w:rFonts w:ascii="Arial" w:hAnsi="Arial" w:cs="Arial"/>
          <w:spacing w:val="-4"/>
          <w:lang w:val="es-ES"/>
        </w:rPr>
        <w:footnoteReference w:id="2"/>
      </w:r>
      <w:r w:rsidR="004D7AE9" w:rsidRPr="003A54E2">
        <w:rPr>
          <w:rFonts w:ascii="Arial" w:hAnsi="Arial" w:cs="Arial"/>
          <w:spacing w:val="-4"/>
          <w:lang w:val="es-ES"/>
        </w:rPr>
        <w:t>.</w:t>
      </w:r>
      <w:r w:rsidRPr="003A54E2">
        <w:rPr>
          <w:rFonts w:ascii="Arial" w:hAnsi="Arial" w:cs="Arial"/>
          <w:spacing w:val="-4"/>
          <w:lang w:val="es-ES"/>
        </w:rPr>
        <w:t xml:space="preserve"> </w:t>
      </w:r>
      <w:r w:rsidR="0017678E" w:rsidRPr="003A54E2">
        <w:rPr>
          <w:rFonts w:ascii="Arial" w:hAnsi="Arial" w:cs="Arial"/>
          <w:spacing w:val="-4"/>
          <w:lang w:val="es-ES"/>
        </w:rPr>
        <w:t>L</w:t>
      </w:r>
      <w:r w:rsidRPr="003A54E2">
        <w:rPr>
          <w:rFonts w:ascii="Arial" w:hAnsi="Arial" w:cs="Arial"/>
          <w:spacing w:val="-4"/>
          <w:lang w:val="es-ES"/>
        </w:rPr>
        <w:t xml:space="preserve">a evidencia disponible muestra que </w:t>
      </w:r>
      <w:r w:rsidR="002A79D4" w:rsidRPr="003A54E2">
        <w:rPr>
          <w:rFonts w:ascii="Arial" w:hAnsi="Arial" w:cs="Arial"/>
          <w:spacing w:val="-4"/>
          <w:lang w:val="es-ES"/>
        </w:rPr>
        <w:t>la intermediación laboral es</w:t>
      </w:r>
      <w:r w:rsidRPr="003A54E2">
        <w:rPr>
          <w:rFonts w:ascii="Arial" w:hAnsi="Arial" w:cs="Arial"/>
          <w:spacing w:val="-4"/>
          <w:lang w:val="es-ES"/>
        </w:rPr>
        <w:t xml:space="preserve"> </w:t>
      </w:r>
      <w:r w:rsidR="002A79D4" w:rsidRPr="003A54E2">
        <w:rPr>
          <w:rFonts w:ascii="Arial" w:hAnsi="Arial" w:cs="Arial"/>
          <w:spacing w:val="-4"/>
          <w:lang w:val="es-ES"/>
        </w:rPr>
        <w:t>una intervención</w:t>
      </w:r>
      <w:r w:rsidRPr="003A54E2">
        <w:rPr>
          <w:rFonts w:ascii="Arial" w:hAnsi="Arial" w:cs="Arial"/>
          <w:spacing w:val="-4"/>
          <w:lang w:val="es-ES"/>
        </w:rPr>
        <w:t xml:space="preserve"> costo-efectiva (</w:t>
      </w:r>
      <w:r w:rsidRPr="003A54E2">
        <w:rPr>
          <w:rFonts w:ascii="Arial" w:hAnsi="Arial" w:cs="Arial"/>
          <w:spacing w:val="-4"/>
          <w:lang w:val="es-ES_tradnl"/>
        </w:rPr>
        <w:t xml:space="preserve">Card, </w:t>
      </w:r>
      <w:proofErr w:type="spellStart"/>
      <w:r w:rsidRPr="003A54E2">
        <w:rPr>
          <w:rFonts w:ascii="Arial" w:hAnsi="Arial" w:cs="Arial"/>
          <w:spacing w:val="-4"/>
          <w:lang w:val="es-ES"/>
        </w:rPr>
        <w:t>Kluve</w:t>
      </w:r>
      <w:proofErr w:type="spellEnd"/>
      <w:r w:rsidRPr="003A54E2">
        <w:rPr>
          <w:rFonts w:ascii="Arial" w:hAnsi="Arial" w:cs="Arial"/>
          <w:spacing w:val="-4"/>
          <w:lang w:val="es-ES_tradnl"/>
        </w:rPr>
        <w:t xml:space="preserve"> y Weber, 2010, 2015)</w:t>
      </w:r>
      <w:r w:rsidR="002A79D4" w:rsidRPr="003A54E2">
        <w:rPr>
          <w:rFonts w:ascii="Arial" w:hAnsi="Arial" w:cs="Arial"/>
          <w:spacing w:val="-4"/>
          <w:lang w:val="es-ES_tradnl"/>
        </w:rPr>
        <w:t xml:space="preserve"> y</w:t>
      </w:r>
      <w:r w:rsidRPr="003A54E2">
        <w:rPr>
          <w:rFonts w:ascii="Arial" w:hAnsi="Arial" w:cs="Arial"/>
          <w:spacing w:val="-4"/>
          <w:lang w:val="es-ES_tradnl"/>
        </w:rPr>
        <w:t xml:space="preserve"> </w:t>
      </w:r>
      <w:r w:rsidR="002A79D4" w:rsidRPr="003A54E2">
        <w:rPr>
          <w:rFonts w:ascii="Arial" w:hAnsi="Arial" w:cs="Arial"/>
          <w:spacing w:val="-4"/>
          <w:lang w:val="es-ES_tradnl"/>
        </w:rPr>
        <w:t>puede ayudar a reducir el tiempo de búsqueda de los trabajadores (</w:t>
      </w:r>
      <w:proofErr w:type="spellStart"/>
      <w:r w:rsidR="002A79D4" w:rsidRPr="003A54E2">
        <w:rPr>
          <w:rFonts w:ascii="Arial" w:hAnsi="Arial" w:cs="Arial"/>
          <w:spacing w:val="-4"/>
          <w:lang w:val="es-ES_tradnl"/>
        </w:rPr>
        <w:t>Michaelides</w:t>
      </w:r>
      <w:proofErr w:type="spellEnd"/>
      <w:r w:rsidR="002A79D4" w:rsidRPr="003A54E2">
        <w:rPr>
          <w:rFonts w:ascii="Arial" w:hAnsi="Arial" w:cs="Arial"/>
          <w:spacing w:val="-4"/>
          <w:lang w:val="es-ES_tradnl"/>
        </w:rPr>
        <w:t>, 2013)</w:t>
      </w:r>
      <w:r w:rsidRPr="003A54E2">
        <w:rPr>
          <w:rFonts w:ascii="Arial" w:hAnsi="Arial" w:cs="Arial"/>
          <w:spacing w:val="-4"/>
          <w:lang w:val="es-ES"/>
        </w:rPr>
        <w:t xml:space="preserve"> y </w:t>
      </w:r>
      <w:r w:rsidR="002A79D4" w:rsidRPr="003A54E2">
        <w:rPr>
          <w:rFonts w:ascii="Arial" w:hAnsi="Arial" w:cs="Arial"/>
          <w:spacing w:val="-4"/>
          <w:lang w:val="es-ES_tradnl"/>
        </w:rPr>
        <w:t xml:space="preserve">a encontrar empleos </w:t>
      </w:r>
      <w:r w:rsidRPr="003A54E2">
        <w:rPr>
          <w:rFonts w:ascii="Arial" w:hAnsi="Arial" w:cs="Arial"/>
          <w:spacing w:val="-4"/>
          <w:lang w:val="es-ES"/>
        </w:rPr>
        <w:t>mejor remunerados (Flores Lima, 2010).</w:t>
      </w:r>
    </w:p>
    <w:p w14:paraId="7A907A35" w14:textId="77777777" w:rsidR="0089230D" w:rsidRPr="003A54E2" w:rsidRDefault="0089230D" w:rsidP="0089230D">
      <w:pPr>
        <w:pStyle w:val="ListParagraph"/>
        <w:numPr>
          <w:ilvl w:val="1"/>
          <w:numId w:val="5"/>
        </w:numPr>
        <w:spacing w:before="120" w:after="120" w:line="240" w:lineRule="auto"/>
        <w:ind w:left="360" w:hanging="540"/>
        <w:contextualSpacing w:val="0"/>
        <w:jc w:val="both"/>
        <w:rPr>
          <w:rFonts w:ascii="Arial" w:hAnsi="Arial" w:cs="Arial"/>
          <w:spacing w:val="-4"/>
          <w:lang w:val="es-ES"/>
        </w:rPr>
      </w:pPr>
      <w:r w:rsidRPr="003A54E2">
        <w:rPr>
          <w:rFonts w:ascii="Arial" w:hAnsi="Arial" w:cs="Arial"/>
          <w:spacing w:val="-4"/>
          <w:lang w:val="es-ES"/>
        </w:rPr>
        <w:t>En el caso de Chile, se observan tanto problemas de oferta como de demanda. Por el lado de la oferta, la fuerza laboral chilena presenta importantes retos a nivel de desarrollo de capital humano.</w:t>
      </w:r>
      <w:r w:rsidRPr="003A54E2">
        <w:rPr>
          <w:rFonts w:ascii="Arial" w:hAnsi="Arial" w:cs="Arial"/>
          <w:b/>
          <w:spacing w:val="-4"/>
          <w:lang w:val="es-ES"/>
        </w:rPr>
        <w:t xml:space="preserve"> </w:t>
      </w:r>
      <w:r w:rsidRPr="003A54E2">
        <w:rPr>
          <w:rFonts w:ascii="Arial" w:hAnsi="Arial" w:cs="Arial"/>
          <w:spacing w:val="-4"/>
          <w:lang w:val="es-ES_tradnl"/>
        </w:rPr>
        <w:t xml:space="preserve">En particular, datos de la Encuesta del Programa de Evaluación Internacional de Competencias en Adultos (PIACC), indican que la proporción de adultos con muy bajos niveles en habilidades de lectura, matemática y uso de tecnología es mucho mayor a lo observado en los demás países de la OCDE (OCDE, 2016). </w:t>
      </w:r>
      <w:r w:rsidRPr="003A54E2">
        <w:rPr>
          <w:rFonts w:ascii="Arial" w:hAnsi="Arial" w:cs="Arial"/>
          <w:spacing w:val="-4"/>
          <w:lang w:val="es-ES"/>
        </w:rPr>
        <w:t>Además, más de la mitad de los chilenos no cuentan información suficiente sobre vacantes de calidad y buscan empleo por métodos informales, es decir por medio de consultas a amigos, familiares, empleadores y/o visitas personales a empresas. Estos métodos informales tienen cobertura limitada y son relativamente menos efectivos para la población más vulnerable (Mazza, 2017). Ambos problemas generan una desconexión entre las habilidades que las empresas requieren en sus vacantes y las habilidades con las que cuenta la fuerza laboral. Por el lado de la demanda, la mitad de las empresas tienen problemas para encontrar el personal calificado (INSEAD, 2016). Asimismo, el 45,8% de las empresas reporta que la mano de obra sin las habilidades adecuadas constituye una restricción importante para la producción (BM, 2016).</w:t>
      </w:r>
    </w:p>
    <w:p w14:paraId="13AD42EF" w14:textId="50D8831C" w:rsidR="0089230D" w:rsidRPr="003A54E2" w:rsidRDefault="0089230D" w:rsidP="0089230D">
      <w:pPr>
        <w:pStyle w:val="ListParagraph"/>
        <w:numPr>
          <w:ilvl w:val="1"/>
          <w:numId w:val="5"/>
        </w:numPr>
        <w:spacing w:before="120" w:after="120" w:line="240" w:lineRule="auto"/>
        <w:ind w:left="360" w:hanging="540"/>
        <w:contextualSpacing w:val="0"/>
        <w:jc w:val="both"/>
        <w:rPr>
          <w:spacing w:val="-4"/>
          <w:lang w:val="es-ES_tradnl"/>
        </w:rPr>
      </w:pPr>
      <w:r w:rsidRPr="003A54E2">
        <w:rPr>
          <w:rFonts w:ascii="Arial" w:hAnsi="Arial" w:cs="Arial"/>
          <w:spacing w:val="-4"/>
          <w:lang w:val="es-ES"/>
        </w:rPr>
        <w:t>El Gobierno de Chile ha mostrado su compromiso con el objetivo de mejorar las competencias de los trabajadores, así como de fortalecer su</w:t>
      </w:r>
      <w:r w:rsidR="006A3D59" w:rsidRPr="003A54E2">
        <w:rPr>
          <w:rFonts w:ascii="Arial" w:hAnsi="Arial" w:cs="Arial"/>
          <w:spacing w:val="-4"/>
          <w:lang w:val="es-ES"/>
        </w:rPr>
        <w:t>s</w:t>
      </w:r>
      <w:r w:rsidRPr="003A54E2">
        <w:rPr>
          <w:rFonts w:ascii="Arial" w:hAnsi="Arial" w:cs="Arial"/>
          <w:spacing w:val="-4"/>
          <w:lang w:val="es-ES"/>
        </w:rPr>
        <w:t xml:space="preserve"> </w:t>
      </w:r>
      <w:r w:rsidR="00CA053B" w:rsidRPr="003A54E2">
        <w:rPr>
          <w:rFonts w:ascii="Arial" w:hAnsi="Arial" w:cs="Arial"/>
          <w:spacing w:val="-4"/>
          <w:lang w:val="es-ES"/>
        </w:rPr>
        <w:t xml:space="preserve">entidades </w:t>
      </w:r>
      <w:r w:rsidR="00CD29D0" w:rsidRPr="003A54E2">
        <w:rPr>
          <w:rFonts w:ascii="Arial" w:hAnsi="Arial" w:cs="Arial"/>
          <w:spacing w:val="-4"/>
          <w:lang w:val="es-ES"/>
        </w:rPr>
        <w:t>públic</w:t>
      </w:r>
      <w:r w:rsidR="00CA053B" w:rsidRPr="003A54E2">
        <w:rPr>
          <w:rFonts w:ascii="Arial" w:hAnsi="Arial" w:cs="Arial"/>
          <w:spacing w:val="-4"/>
          <w:lang w:val="es-ES"/>
        </w:rPr>
        <w:t>as de IL</w:t>
      </w:r>
      <w:r w:rsidRPr="003A54E2">
        <w:rPr>
          <w:rFonts w:ascii="Arial" w:hAnsi="Arial" w:cs="Arial"/>
          <w:spacing w:val="-4"/>
          <w:lang w:val="es-ES"/>
        </w:rPr>
        <w:t xml:space="preserve">. </w:t>
      </w:r>
    </w:p>
    <w:p w14:paraId="78ED9214" w14:textId="0ED42CA5" w:rsidR="0089230D" w:rsidRPr="00374EAB" w:rsidRDefault="0089230D" w:rsidP="0089230D">
      <w:pPr>
        <w:pStyle w:val="ListParagraph"/>
        <w:numPr>
          <w:ilvl w:val="1"/>
          <w:numId w:val="5"/>
        </w:numPr>
        <w:spacing w:before="120" w:after="120" w:line="240" w:lineRule="auto"/>
        <w:ind w:left="360" w:hanging="540"/>
        <w:contextualSpacing w:val="0"/>
        <w:jc w:val="both"/>
        <w:rPr>
          <w:spacing w:val="-6"/>
          <w:lang w:val="es-ES_tradnl"/>
        </w:rPr>
      </w:pPr>
      <w:r w:rsidRPr="00374EAB">
        <w:rPr>
          <w:rFonts w:ascii="Arial" w:hAnsi="Arial" w:cs="Arial"/>
          <w:bCs/>
          <w:spacing w:val="-6"/>
          <w:lang w:val="es-ES_tradnl"/>
        </w:rPr>
        <w:t xml:space="preserve">La Comisión Nacional de Productividad (CNP), </w:t>
      </w:r>
      <w:r w:rsidRPr="00374EAB">
        <w:rPr>
          <w:rFonts w:ascii="Arial" w:hAnsi="Arial" w:cs="Arial"/>
          <w:spacing w:val="-6"/>
          <w:lang w:val="es-ES_tradnl"/>
        </w:rPr>
        <w:t xml:space="preserve">organismo permanente e independiente, a cargo de asesorar al Presidente de la República en temas de productividad, tiene entre sus mandatos prioritarios la formulación de recomendaciones para el desarrollo del capital humano en Chile a través del </w:t>
      </w:r>
      <w:r w:rsidRPr="00374EAB">
        <w:rPr>
          <w:rFonts w:ascii="Arial" w:hAnsi="Arial" w:cs="Arial"/>
          <w:spacing w:val="-6"/>
          <w:lang w:val="es-ES"/>
        </w:rPr>
        <w:t>fortalecimiento</w:t>
      </w:r>
      <w:r w:rsidRPr="00374EAB">
        <w:rPr>
          <w:rFonts w:ascii="Arial" w:hAnsi="Arial" w:cs="Arial"/>
          <w:spacing w:val="-6"/>
          <w:lang w:val="es-ES_tradnl"/>
        </w:rPr>
        <w:t xml:space="preserve"> del sistema de formación para el trabajo </w:t>
      </w:r>
      <w:r w:rsidRPr="00374EAB">
        <w:rPr>
          <w:rFonts w:ascii="Arial" w:hAnsi="Arial" w:cs="Arial"/>
          <w:spacing w:val="-6"/>
          <w:lang w:val="es-ES_tradnl"/>
        </w:rPr>
        <w:lastRenderedPageBreak/>
        <w:t xml:space="preserve">basado en competencias, que acerque el ámbito formativo al sector productivo. </w:t>
      </w:r>
      <w:r w:rsidRPr="00374EAB">
        <w:rPr>
          <w:rFonts w:ascii="Arial" w:hAnsi="Arial" w:cs="Arial"/>
          <w:spacing w:val="-6"/>
          <w:lang w:val="es-ES"/>
        </w:rPr>
        <w:t xml:space="preserve">Chile </w:t>
      </w:r>
      <w:r w:rsidRPr="00374EAB">
        <w:rPr>
          <w:rFonts w:ascii="Arial" w:hAnsi="Arial" w:cs="Arial"/>
          <w:spacing w:val="-6"/>
          <w:lang w:val="es-ES_tradnl"/>
        </w:rPr>
        <w:t xml:space="preserve">ha invertido numerosos recursos en promover el acceso a la educación superior y en fortalecer programas de oficios conducentes a </w:t>
      </w:r>
      <w:r w:rsidRPr="00374EAB">
        <w:rPr>
          <w:rFonts w:ascii="Arial" w:hAnsi="Arial" w:cs="Arial"/>
          <w:spacing w:val="-6"/>
          <w:lang w:val="es-ES"/>
        </w:rPr>
        <w:t>mejorar</w:t>
      </w:r>
      <w:r w:rsidRPr="00374EAB">
        <w:rPr>
          <w:rFonts w:ascii="Arial" w:hAnsi="Arial" w:cs="Arial"/>
          <w:spacing w:val="-6"/>
          <w:lang w:val="es-ES_tradnl"/>
        </w:rPr>
        <w:t xml:space="preserve"> la empleabilidad de las personas, </w:t>
      </w:r>
      <w:r w:rsidRPr="00374EAB">
        <w:rPr>
          <w:rFonts w:ascii="Arial" w:hAnsi="Arial" w:cs="Arial"/>
          <w:spacing w:val="-6"/>
          <w:lang w:val="es-ES"/>
        </w:rPr>
        <w:t>fortaleciendo</w:t>
      </w:r>
      <w:r w:rsidRPr="00374EAB">
        <w:rPr>
          <w:rFonts w:ascii="Arial" w:hAnsi="Arial" w:cs="Arial"/>
          <w:spacing w:val="-6"/>
          <w:lang w:val="es-ES_tradnl"/>
        </w:rPr>
        <w:t xml:space="preserve"> el vínculo con el sector productivo. Sin embargo, el país no cuenta con un sistema de competencias de carácter integrado que sea comparable con las mejores prácticas internacionales. El sistema se encuentra enfocado principalmente en la trasferencia de conocimientos sin la adecuada conexión entre instituciones de educación y empresas. En este contexto, el gobierno de Chile ha pedido del apoyo del Banco a través de una cooperación técnica </w:t>
      </w:r>
      <w:r w:rsidR="005058EF" w:rsidRPr="00374EAB">
        <w:rPr>
          <w:rFonts w:ascii="Arial" w:hAnsi="Arial" w:cs="Arial"/>
          <w:spacing w:val="-6"/>
          <w:lang w:val="es-ES_tradnl"/>
        </w:rPr>
        <w:t xml:space="preserve">(CT) </w:t>
      </w:r>
      <w:r w:rsidRPr="00374EAB">
        <w:rPr>
          <w:rFonts w:ascii="Arial" w:hAnsi="Arial" w:cs="Arial"/>
          <w:spacing w:val="-6"/>
          <w:lang w:val="es-ES_tradnl"/>
        </w:rPr>
        <w:t>para el apoyo al fortalecimiento del sistema de formación para el trabajo (</w:t>
      </w:r>
      <w:r w:rsidR="00A56FD1" w:rsidRPr="00374EAB">
        <w:rPr>
          <w:rFonts w:ascii="Arial" w:hAnsi="Arial" w:cs="Arial"/>
          <w:spacing w:val="-6"/>
          <w:lang w:val="es-ES_tradnl"/>
        </w:rPr>
        <w:t xml:space="preserve">contemplado en la CT </w:t>
      </w:r>
      <w:r w:rsidRPr="00374EAB">
        <w:rPr>
          <w:rFonts w:ascii="Arial" w:hAnsi="Arial" w:cs="Arial"/>
          <w:spacing w:val="-6"/>
          <w:lang w:val="es-ES_tradnl"/>
        </w:rPr>
        <w:t>CH-T1179), acercando el ámbito formativo al sector productivo.</w:t>
      </w:r>
    </w:p>
    <w:p w14:paraId="4D09FF81" w14:textId="7CC1684A" w:rsidR="0089230D" w:rsidRPr="003A54E2" w:rsidRDefault="0089230D" w:rsidP="00364984">
      <w:pPr>
        <w:pStyle w:val="ListParagraph"/>
        <w:numPr>
          <w:ilvl w:val="1"/>
          <w:numId w:val="5"/>
        </w:numPr>
        <w:spacing w:before="120" w:after="120" w:line="240" w:lineRule="auto"/>
        <w:ind w:left="360" w:hanging="540"/>
        <w:contextualSpacing w:val="0"/>
        <w:jc w:val="both"/>
        <w:rPr>
          <w:rFonts w:ascii="Arial" w:hAnsi="Arial" w:cs="Arial"/>
          <w:spacing w:val="-4"/>
          <w:lang w:val="es-ES"/>
        </w:rPr>
      </w:pPr>
      <w:r w:rsidRPr="003A54E2">
        <w:rPr>
          <w:rFonts w:ascii="Arial" w:hAnsi="Arial" w:cs="Arial"/>
          <w:spacing w:val="-4"/>
          <w:lang w:val="es-ES_tradnl"/>
        </w:rPr>
        <w:t xml:space="preserve">Desde sus inicios, </w:t>
      </w:r>
      <w:r w:rsidR="00CA053B" w:rsidRPr="003A54E2">
        <w:rPr>
          <w:rFonts w:ascii="Arial" w:hAnsi="Arial" w:cs="Arial"/>
          <w:spacing w:val="-4"/>
          <w:lang w:val="es-ES_tradnl"/>
        </w:rPr>
        <w:t>las entidades de IL públicas</w:t>
      </w:r>
      <w:r w:rsidRPr="003A54E2">
        <w:rPr>
          <w:rFonts w:ascii="Arial" w:hAnsi="Arial" w:cs="Arial"/>
          <w:spacing w:val="-4"/>
          <w:lang w:val="es-ES_tradnl"/>
        </w:rPr>
        <w:t xml:space="preserve"> </w:t>
      </w:r>
      <w:r w:rsidR="005058EF" w:rsidRPr="003A54E2">
        <w:rPr>
          <w:rFonts w:ascii="Arial" w:hAnsi="Arial" w:cs="Arial"/>
          <w:spacing w:val="-4"/>
          <w:lang w:val="es-ES_tradnl"/>
        </w:rPr>
        <w:t xml:space="preserve">en Chile </w:t>
      </w:r>
      <w:r w:rsidRPr="003A54E2">
        <w:rPr>
          <w:rFonts w:ascii="Arial" w:hAnsi="Arial" w:cs="Arial"/>
          <w:spacing w:val="-4"/>
          <w:lang w:val="es-ES_tradnl"/>
        </w:rPr>
        <w:t xml:space="preserve">se </w:t>
      </w:r>
      <w:r w:rsidR="006A3D59" w:rsidRPr="003A54E2">
        <w:rPr>
          <w:rFonts w:ascii="Arial" w:hAnsi="Arial" w:cs="Arial"/>
          <w:spacing w:val="-4"/>
          <w:lang w:val="es-ES_tradnl"/>
        </w:rPr>
        <w:t xml:space="preserve">crearon </w:t>
      </w:r>
      <w:r w:rsidRPr="003A54E2">
        <w:rPr>
          <w:rFonts w:ascii="Arial" w:hAnsi="Arial" w:cs="Arial"/>
          <w:spacing w:val="-4"/>
          <w:lang w:val="es-ES_tradnl"/>
        </w:rPr>
        <w:t>con una lógica de descentralización territorial, y en este marco se crearon las Oficinas Municipales de Información Laboral (OMIL) orientadas básicamente al acercamiento entre oferta y demanda local de trabajo. En 2015, Chile contaba con una amplia red territorial de 326</w:t>
      </w:r>
      <w:r w:rsidR="0005093D" w:rsidRPr="003A54E2">
        <w:rPr>
          <w:rFonts w:ascii="Arial" w:hAnsi="Arial" w:cs="Arial"/>
          <w:spacing w:val="-4"/>
          <w:lang w:val="es-ES_tradnl"/>
        </w:rPr>
        <w:t> </w:t>
      </w:r>
      <w:proofErr w:type="spellStart"/>
      <w:r w:rsidRPr="003A54E2">
        <w:rPr>
          <w:rFonts w:ascii="Arial" w:hAnsi="Arial" w:cs="Arial"/>
          <w:spacing w:val="-4"/>
          <w:lang w:val="es-ES_tradnl"/>
        </w:rPr>
        <w:t>OMILs</w:t>
      </w:r>
      <w:proofErr w:type="spellEnd"/>
      <w:r w:rsidRPr="003A54E2">
        <w:rPr>
          <w:rFonts w:ascii="Arial" w:hAnsi="Arial" w:cs="Arial"/>
          <w:spacing w:val="-4"/>
          <w:lang w:val="es-ES_tradnl"/>
        </w:rPr>
        <w:t xml:space="preserve"> y con una Bolsa Nacional de Empleo (BNE) funcionando a nivel nacional. Además de</w:t>
      </w:r>
      <w:r w:rsidR="006A3D59" w:rsidRPr="003A54E2">
        <w:rPr>
          <w:rFonts w:ascii="Arial" w:hAnsi="Arial" w:cs="Arial"/>
          <w:spacing w:val="-4"/>
          <w:lang w:val="es-ES_tradnl"/>
        </w:rPr>
        <w:t xml:space="preserve"> </w:t>
      </w:r>
      <w:r w:rsidRPr="003A54E2">
        <w:rPr>
          <w:rFonts w:ascii="Arial" w:hAnsi="Arial" w:cs="Arial"/>
          <w:spacing w:val="-4"/>
          <w:lang w:val="es-ES_tradnl"/>
        </w:rPr>
        <w:t>l</w:t>
      </w:r>
      <w:r w:rsidR="006A3D59" w:rsidRPr="003A54E2">
        <w:rPr>
          <w:rFonts w:ascii="Arial" w:hAnsi="Arial" w:cs="Arial"/>
          <w:spacing w:val="-4"/>
          <w:lang w:val="es-ES_tradnl"/>
        </w:rPr>
        <w:t>os</w:t>
      </w:r>
      <w:r w:rsidRPr="003A54E2">
        <w:rPr>
          <w:rFonts w:ascii="Arial" w:hAnsi="Arial" w:cs="Arial"/>
          <w:spacing w:val="-4"/>
          <w:lang w:val="es-ES_tradnl"/>
        </w:rPr>
        <w:t xml:space="preserve"> </w:t>
      </w:r>
      <w:r w:rsidR="006A3D59" w:rsidRPr="003A54E2">
        <w:rPr>
          <w:rFonts w:ascii="Arial" w:hAnsi="Arial" w:cs="Arial"/>
          <w:spacing w:val="-4"/>
          <w:lang w:val="es-ES_tradnl"/>
        </w:rPr>
        <w:t>S</w:t>
      </w:r>
      <w:r w:rsidRPr="003A54E2">
        <w:rPr>
          <w:rFonts w:ascii="Arial" w:hAnsi="Arial" w:cs="Arial"/>
          <w:spacing w:val="-4"/>
          <w:lang w:val="es-ES_tradnl"/>
        </w:rPr>
        <w:t>SIL público</w:t>
      </w:r>
      <w:r w:rsidR="006A3D59" w:rsidRPr="003A54E2">
        <w:rPr>
          <w:rFonts w:ascii="Arial" w:hAnsi="Arial" w:cs="Arial"/>
          <w:spacing w:val="-4"/>
          <w:lang w:val="es-ES_tradnl"/>
        </w:rPr>
        <w:t>s</w:t>
      </w:r>
      <w:r w:rsidRPr="003A54E2">
        <w:rPr>
          <w:rFonts w:ascii="Arial" w:hAnsi="Arial" w:cs="Arial"/>
          <w:spacing w:val="-4"/>
          <w:lang w:val="es-ES_tradnl"/>
        </w:rPr>
        <w:t xml:space="preserve">, Chile cuenta </w:t>
      </w:r>
      <w:r w:rsidRPr="003A54E2">
        <w:rPr>
          <w:rFonts w:ascii="Arial" w:hAnsi="Arial" w:cs="Arial"/>
          <w:spacing w:val="-4"/>
          <w:lang w:val="es-ES"/>
        </w:rPr>
        <w:t>también</w:t>
      </w:r>
      <w:r w:rsidRPr="003A54E2">
        <w:rPr>
          <w:rFonts w:ascii="Arial" w:hAnsi="Arial" w:cs="Arial"/>
          <w:spacing w:val="-4"/>
          <w:lang w:val="es-ES_tradnl"/>
        </w:rPr>
        <w:t xml:space="preserve"> con agentes privados de intermediación y </w:t>
      </w:r>
      <w:proofErr w:type="spellStart"/>
      <w:r w:rsidRPr="003A54E2">
        <w:rPr>
          <w:rFonts w:ascii="Arial" w:hAnsi="Arial" w:cs="Arial"/>
          <w:spacing w:val="-4"/>
          <w:lang w:val="es-ES_tradnl"/>
        </w:rPr>
        <w:t>OSCs</w:t>
      </w:r>
      <w:proofErr w:type="spellEnd"/>
      <w:r w:rsidRPr="003A54E2">
        <w:rPr>
          <w:rFonts w:ascii="Arial" w:hAnsi="Arial" w:cs="Arial"/>
          <w:spacing w:val="-4"/>
          <w:lang w:val="es-ES_tradnl"/>
        </w:rPr>
        <w:t xml:space="preserve"> (</w:t>
      </w:r>
      <w:proofErr w:type="spellStart"/>
      <w:r w:rsidRPr="003A54E2">
        <w:rPr>
          <w:rFonts w:ascii="Arial" w:hAnsi="Arial" w:cs="Arial"/>
          <w:spacing w:val="-4"/>
          <w:lang w:val="es-ES_tradnl"/>
        </w:rPr>
        <w:t>Surlatina</w:t>
      </w:r>
      <w:proofErr w:type="spellEnd"/>
      <w:r w:rsidRPr="003A54E2">
        <w:rPr>
          <w:rFonts w:ascii="Arial" w:hAnsi="Arial" w:cs="Arial"/>
          <w:spacing w:val="-4"/>
          <w:lang w:val="es-ES_tradnl"/>
        </w:rPr>
        <w:t xml:space="preserve">, 2017). El SENCE, mediante el Programa de Fortalecimiento de las OMIL (FOMIL), ha venido invirtiendo en acciones tendientes a mejorar la supervisión técnica de las OMIL a través del fortalecimiento de su gestión y el desarrollo de instrumentos, procesos y acciones que apuntan a mejorar la atención e inserción laboral de los buscadores de empleo que acuden a las OMIL. </w:t>
      </w:r>
      <w:r w:rsidRPr="003A54E2">
        <w:rPr>
          <w:rFonts w:ascii="Arial" w:hAnsi="Arial" w:cs="Arial"/>
          <w:spacing w:val="-4"/>
          <w:lang w:val="es-ES"/>
        </w:rPr>
        <w:t xml:space="preserve">Además, tanto el MTPS como el SENCE realizaron importantes avances en generación y análisis de información de mercado laboral a través de la implementación de Observatorios Laborales a nivel central y regional y la creación de un Sistema de </w:t>
      </w:r>
      <w:r w:rsidR="0017678E" w:rsidRPr="003A54E2">
        <w:rPr>
          <w:rFonts w:ascii="Arial" w:hAnsi="Arial" w:cs="Arial"/>
          <w:spacing w:val="-4"/>
          <w:lang w:val="es-ES"/>
        </w:rPr>
        <w:t>I</w:t>
      </w:r>
      <w:r w:rsidRPr="003A54E2">
        <w:rPr>
          <w:rFonts w:ascii="Arial" w:hAnsi="Arial" w:cs="Arial"/>
          <w:spacing w:val="-4"/>
          <w:lang w:val="es-ES"/>
        </w:rPr>
        <w:t>nformación Laboral a nivel nacional. Finalmente, en los últimos años, el Gobierno ha dedicado crecientes recursos a programas de capacitación e inserción laboral que buscan mejorar la empleabilidad de grupos especialmente vulnerables</w:t>
      </w:r>
      <w:r w:rsidRPr="003A54E2">
        <w:rPr>
          <w:rStyle w:val="FootnoteReference"/>
          <w:rFonts w:ascii="Arial" w:hAnsi="Arial" w:cs="Arial"/>
          <w:spacing w:val="-4"/>
          <w:lang w:val="es-ES"/>
        </w:rPr>
        <w:footnoteReference w:id="3"/>
      </w:r>
      <w:r w:rsidRPr="003A54E2">
        <w:rPr>
          <w:rFonts w:ascii="Arial" w:hAnsi="Arial" w:cs="Arial"/>
          <w:spacing w:val="-4"/>
          <w:lang w:val="es-ES"/>
        </w:rPr>
        <w:t xml:space="preserve">. A pesar de los avances realizados, es necesario seguir fortaleciendo </w:t>
      </w:r>
      <w:r w:rsidR="00256808" w:rsidRPr="003A54E2">
        <w:rPr>
          <w:rFonts w:ascii="Arial" w:hAnsi="Arial" w:cs="Arial"/>
          <w:spacing w:val="-4"/>
          <w:lang w:val="es-ES"/>
        </w:rPr>
        <w:t>l</w:t>
      </w:r>
      <w:r w:rsidR="00CA053B" w:rsidRPr="003A54E2">
        <w:rPr>
          <w:rFonts w:ascii="Arial" w:hAnsi="Arial" w:cs="Arial"/>
          <w:spacing w:val="-4"/>
          <w:lang w:val="es-ES"/>
        </w:rPr>
        <w:t xml:space="preserve">as entidades de IL </w:t>
      </w:r>
      <w:r w:rsidR="003B72EC" w:rsidRPr="003A54E2">
        <w:rPr>
          <w:rFonts w:ascii="Arial" w:hAnsi="Arial" w:cs="Arial"/>
          <w:spacing w:val="-4"/>
          <w:lang w:val="es-ES"/>
        </w:rPr>
        <w:t>públic</w:t>
      </w:r>
      <w:r w:rsidR="00CA053B" w:rsidRPr="003A54E2">
        <w:rPr>
          <w:rFonts w:ascii="Arial" w:hAnsi="Arial" w:cs="Arial"/>
          <w:spacing w:val="-4"/>
          <w:lang w:val="es-ES"/>
        </w:rPr>
        <w:t>a</w:t>
      </w:r>
      <w:r w:rsidR="00256808" w:rsidRPr="003A54E2">
        <w:rPr>
          <w:rFonts w:ascii="Arial" w:hAnsi="Arial" w:cs="Arial"/>
          <w:spacing w:val="-4"/>
          <w:lang w:val="es-ES"/>
        </w:rPr>
        <w:t>s</w:t>
      </w:r>
      <w:r w:rsidR="009D3664" w:rsidRPr="003A54E2">
        <w:rPr>
          <w:rFonts w:ascii="Arial" w:hAnsi="Arial" w:cs="Arial"/>
          <w:spacing w:val="-4"/>
          <w:lang w:val="es-ES"/>
        </w:rPr>
        <w:t>.</w:t>
      </w:r>
      <w:r w:rsidRPr="003A54E2">
        <w:rPr>
          <w:rFonts w:ascii="Arial" w:hAnsi="Arial" w:cs="Arial"/>
          <w:spacing w:val="-4"/>
          <w:lang w:val="es-ES"/>
        </w:rPr>
        <w:t xml:space="preserve"> </w:t>
      </w:r>
      <w:r w:rsidR="005058EF" w:rsidRPr="003A54E2">
        <w:rPr>
          <w:rFonts w:ascii="Arial" w:hAnsi="Arial" w:cs="Arial"/>
          <w:spacing w:val="-4"/>
          <w:lang w:val="es-ES"/>
        </w:rPr>
        <w:t>Como se mencionó arriba, l</w:t>
      </w:r>
      <w:r w:rsidRPr="003A54E2">
        <w:rPr>
          <w:rFonts w:ascii="Arial" w:hAnsi="Arial" w:cs="Arial"/>
          <w:spacing w:val="-4"/>
          <w:lang w:val="es-ES"/>
        </w:rPr>
        <w:t xml:space="preserve">a operación CH-L1135, en fase de preparación, buscará apoyar el cambio institucional necesario para fortalecer </w:t>
      </w:r>
      <w:r w:rsidR="00256808" w:rsidRPr="003A54E2">
        <w:rPr>
          <w:rFonts w:ascii="Arial" w:hAnsi="Arial" w:cs="Arial"/>
          <w:spacing w:val="-4"/>
          <w:lang w:val="es-ES"/>
        </w:rPr>
        <w:t>l</w:t>
      </w:r>
      <w:r w:rsidR="00CA053B" w:rsidRPr="003A54E2">
        <w:rPr>
          <w:rFonts w:ascii="Arial" w:hAnsi="Arial" w:cs="Arial"/>
          <w:spacing w:val="-4"/>
          <w:lang w:val="es-ES"/>
        </w:rPr>
        <w:t>a entidades</w:t>
      </w:r>
      <w:r w:rsidR="003B72EC" w:rsidRPr="003A54E2">
        <w:rPr>
          <w:rFonts w:ascii="Arial" w:hAnsi="Arial" w:cs="Arial"/>
          <w:spacing w:val="-4"/>
          <w:lang w:val="es-ES"/>
        </w:rPr>
        <w:t xml:space="preserve"> públic</w:t>
      </w:r>
      <w:r w:rsidR="00CA053B" w:rsidRPr="003A54E2">
        <w:rPr>
          <w:rFonts w:ascii="Arial" w:hAnsi="Arial" w:cs="Arial"/>
          <w:spacing w:val="-4"/>
          <w:lang w:val="es-ES"/>
        </w:rPr>
        <w:t>a</w:t>
      </w:r>
      <w:r w:rsidR="00256808" w:rsidRPr="003A54E2">
        <w:rPr>
          <w:rFonts w:ascii="Arial" w:hAnsi="Arial" w:cs="Arial"/>
          <w:spacing w:val="-4"/>
          <w:lang w:val="es-ES"/>
        </w:rPr>
        <w:t>s</w:t>
      </w:r>
      <w:r w:rsidRPr="003A54E2">
        <w:rPr>
          <w:rFonts w:ascii="Arial" w:hAnsi="Arial" w:cs="Arial"/>
          <w:spacing w:val="-4"/>
          <w:lang w:val="es-ES"/>
        </w:rPr>
        <w:t xml:space="preserve"> </w:t>
      </w:r>
      <w:r w:rsidR="00CA053B" w:rsidRPr="003A54E2">
        <w:rPr>
          <w:rFonts w:ascii="Arial" w:hAnsi="Arial" w:cs="Arial"/>
          <w:spacing w:val="-4"/>
          <w:lang w:val="es-ES"/>
        </w:rPr>
        <w:t xml:space="preserve">de IL </w:t>
      </w:r>
      <w:r w:rsidRPr="003A54E2">
        <w:rPr>
          <w:rFonts w:ascii="Arial" w:hAnsi="Arial" w:cs="Arial"/>
          <w:spacing w:val="-4"/>
          <w:lang w:val="es-ES"/>
        </w:rPr>
        <w:t>chilen</w:t>
      </w:r>
      <w:r w:rsidR="00CA053B" w:rsidRPr="003A54E2">
        <w:rPr>
          <w:rFonts w:ascii="Arial" w:hAnsi="Arial" w:cs="Arial"/>
          <w:spacing w:val="-4"/>
          <w:lang w:val="es-ES"/>
        </w:rPr>
        <w:t>as</w:t>
      </w:r>
      <w:r w:rsidRPr="003A54E2">
        <w:rPr>
          <w:rFonts w:ascii="Arial" w:hAnsi="Arial" w:cs="Arial"/>
          <w:spacing w:val="-4"/>
          <w:lang w:val="es-ES"/>
        </w:rPr>
        <w:t xml:space="preserve"> en esta dimensión</w:t>
      </w:r>
      <w:r w:rsidR="005058EF" w:rsidRPr="003A54E2">
        <w:rPr>
          <w:rFonts w:ascii="Arial" w:hAnsi="Arial" w:cs="Arial"/>
          <w:spacing w:val="-4"/>
          <w:lang w:val="es-ES"/>
        </w:rPr>
        <w:t>.</w:t>
      </w:r>
    </w:p>
    <w:p w14:paraId="139BC39E" w14:textId="47B6B6CD" w:rsidR="0089230D" w:rsidRPr="0005093D" w:rsidRDefault="0089230D" w:rsidP="0089230D">
      <w:pPr>
        <w:pStyle w:val="ListParagraph"/>
        <w:numPr>
          <w:ilvl w:val="1"/>
          <w:numId w:val="5"/>
        </w:numPr>
        <w:spacing w:before="120" w:after="120" w:line="240" w:lineRule="auto"/>
        <w:ind w:left="360" w:hanging="540"/>
        <w:contextualSpacing w:val="0"/>
        <w:jc w:val="both"/>
        <w:rPr>
          <w:rFonts w:ascii="Arial" w:hAnsi="Arial" w:cs="Arial"/>
          <w:lang w:val="es-ES"/>
        </w:rPr>
      </w:pPr>
      <w:r>
        <w:rPr>
          <w:rFonts w:ascii="Arial" w:hAnsi="Arial" w:cs="Arial"/>
          <w:lang w:val="es-ES"/>
        </w:rPr>
        <w:t xml:space="preserve">El objetivo general de esta </w:t>
      </w:r>
      <w:r w:rsidR="00374EAB">
        <w:rPr>
          <w:rFonts w:ascii="Arial" w:hAnsi="Arial" w:cs="Arial"/>
          <w:lang w:val="es-ES"/>
        </w:rPr>
        <w:t>CT</w:t>
      </w:r>
      <w:r>
        <w:rPr>
          <w:rFonts w:ascii="Arial" w:hAnsi="Arial" w:cs="Arial"/>
          <w:lang w:val="es-ES"/>
        </w:rPr>
        <w:t xml:space="preserve"> es apoyar el Gobierno de Chile a fortalecer la política laboral y de formación para el trabajo basado en competencias en Chile</w:t>
      </w:r>
      <w:r w:rsidR="009B6BE6">
        <w:rPr>
          <w:rFonts w:ascii="Arial" w:hAnsi="Arial" w:cs="Arial"/>
          <w:lang w:val="es-ES"/>
        </w:rPr>
        <w:t xml:space="preserve">, tanto a través del apoyo a los objetivos de CH-L1135 como a los de la </w:t>
      </w:r>
      <w:r w:rsidR="00374EAB">
        <w:rPr>
          <w:rFonts w:ascii="Arial" w:hAnsi="Arial" w:cs="Arial"/>
          <w:lang w:val="es-ES"/>
        </w:rPr>
        <w:t>CT</w:t>
      </w:r>
      <w:r w:rsidR="009B6BE6">
        <w:rPr>
          <w:rFonts w:ascii="Arial" w:hAnsi="Arial" w:cs="Arial"/>
          <w:lang w:val="es-ES"/>
        </w:rPr>
        <w:t xml:space="preserve"> CH-T1179, siendo ambas operaciones instrumentos para mejorar la productividad de los trabajadores</w:t>
      </w:r>
      <w:r>
        <w:rPr>
          <w:rFonts w:ascii="Arial" w:hAnsi="Arial" w:cs="Arial"/>
          <w:lang w:val="es-ES"/>
        </w:rPr>
        <w:t>. Los objetivos específicos son: (i)</w:t>
      </w:r>
      <w:r w:rsidR="0017678E">
        <w:rPr>
          <w:rFonts w:ascii="Arial" w:hAnsi="Arial" w:cs="Arial"/>
          <w:lang w:val="es-ES"/>
        </w:rPr>
        <w:t> </w:t>
      </w:r>
      <w:r w:rsidR="007427A8">
        <w:rPr>
          <w:rFonts w:ascii="Arial" w:hAnsi="Arial" w:cs="Arial"/>
          <w:lang w:val="es-ES"/>
        </w:rPr>
        <w:t>c</w:t>
      </w:r>
      <w:r>
        <w:rPr>
          <w:rFonts w:ascii="Arial" w:hAnsi="Arial" w:cs="Arial"/>
          <w:lang w:val="es-ES"/>
        </w:rPr>
        <w:t xml:space="preserve">ontinuar apoyando </w:t>
      </w:r>
      <w:r w:rsidR="00A56FD1">
        <w:rPr>
          <w:rFonts w:ascii="Arial" w:hAnsi="Arial" w:cs="Arial"/>
          <w:lang w:val="es-ES"/>
        </w:rPr>
        <w:t xml:space="preserve">a Chile en </w:t>
      </w:r>
      <w:r>
        <w:rPr>
          <w:rFonts w:ascii="Arial" w:hAnsi="Arial" w:cs="Arial"/>
          <w:lang w:val="es-ES"/>
        </w:rPr>
        <w:t xml:space="preserve">las actividades de la </w:t>
      </w:r>
      <w:r w:rsidR="009D3664">
        <w:rPr>
          <w:rFonts w:ascii="Arial" w:hAnsi="Arial" w:cs="Arial"/>
          <w:lang w:val="es-ES"/>
        </w:rPr>
        <w:t>CT</w:t>
      </w:r>
      <w:r>
        <w:rPr>
          <w:rFonts w:ascii="Arial" w:hAnsi="Arial" w:cs="Arial"/>
          <w:lang w:val="es-ES"/>
        </w:rPr>
        <w:t xml:space="preserve"> CH-T1179 para el fortalecimiento del Sistema de Formación de Competencias para el Trabajo existente, tomando en consideración la demanda y desafíos que el país enfrentará a futuro para satisfacer la demanda de habilidades del sector productivo, incluyendo aspectos institucionales, regulatorios y políticos,</w:t>
      </w:r>
      <w:r w:rsidR="00ED1932">
        <w:rPr>
          <w:rFonts w:ascii="Arial" w:hAnsi="Arial" w:cs="Arial"/>
          <w:lang w:val="es-ES"/>
        </w:rPr>
        <w:t xml:space="preserve"> </w:t>
      </w:r>
      <w:r w:rsidR="00026B44">
        <w:rPr>
          <w:rFonts w:ascii="Arial" w:hAnsi="Arial" w:cs="Arial"/>
          <w:lang w:val="es-ES"/>
        </w:rPr>
        <w:t>con miras al aumento de productividad de la fuerza laboral</w:t>
      </w:r>
      <w:r w:rsidR="00114051">
        <w:rPr>
          <w:rFonts w:ascii="Arial" w:hAnsi="Arial" w:cs="Arial"/>
          <w:lang w:val="es-ES"/>
        </w:rPr>
        <w:t>; y</w:t>
      </w:r>
      <w:r>
        <w:rPr>
          <w:rFonts w:ascii="Arial" w:hAnsi="Arial" w:cs="Arial"/>
          <w:lang w:val="es-ES"/>
        </w:rPr>
        <w:t xml:space="preserve"> (ii)</w:t>
      </w:r>
      <w:r w:rsidR="00CA053B">
        <w:rPr>
          <w:rFonts w:ascii="Arial" w:hAnsi="Arial" w:cs="Arial"/>
          <w:lang w:val="es-ES"/>
        </w:rPr>
        <w:t xml:space="preserve"> </w:t>
      </w:r>
      <w:r w:rsidR="007427A8">
        <w:rPr>
          <w:rFonts w:ascii="Arial" w:hAnsi="Arial" w:cs="Arial"/>
          <w:lang w:val="es-ES"/>
        </w:rPr>
        <w:t>r</w:t>
      </w:r>
      <w:r>
        <w:rPr>
          <w:rFonts w:ascii="Arial" w:hAnsi="Arial" w:cs="Arial"/>
          <w:lang w:val="es-ES"/>
        </w:rPr>
        <w:t xml:space="preserve">ealizar estudios necesarios para </w:t>
      </w:r>
      <w:r w:rsidR="00A56FD1">
        <w:rPr>
          <w:rFonts w:ascii="Arial" w:hAnsi="Arial" w:cs="Arial"/>
          <w:lang w:val="es-ES"/>
        </w:rPr>
        <w:t xml:space="preserve">colaborar a que Chile cumpla </w:t>
      </w:r>
      <w:r>
        <w:rPr>
          <w:rFonts w:ascii="Arial" w:hAnsi="Arial" w:cs="Arial"/>
          <w:lang w:val="es-ES"/>
        </w:rPr>
        <w:t xml:space="preserve">con las condiciones </w:t>
      </w:r>
      <w:r w:rsidR="003B72EC">
        <w:rPr>
          <w:rFonts w:ascii="Arial" w:hAnsi="Arial" w:cs="Arial"/>
          <w:lang w:val="es-ES"/>
        </w:rPr>
        <w:t xml:space="preserve">de política </w:t>
      </w:r>
      <w:r>
        <w:rPr>
          <w:rFonts w:ascii="Arial" w:hAnsi="Arial" w:cs="Arial"/>
          <w:lang w:val="es-ES"/>
        </w:rPr>
        <w:t xml:space="preserve">comprometidas en el </w:t>
      </w:r>
      <w:r w:rsidR="00A56FD1">
        <w:rPr>
          <w:rFonts w:ascii="Arial" w:hAnsi="Arial" w:cs="Arial"/>
          <w:lang w:val="es-ES"/>
        </w:rPr>
        <w:t>Programa de Fortalecimiento del Sistema de Intermediación Laboral en Chile (</w:t>
      </w:r>
      <w:r>
        <w:rPr>
          <w:rFonts w:ascii="Arial" w:hAnsi="Arial" w:cs="Arial"/>
          <w:lang w:val="es-ES"/>
        </w:rPr>
        <w:t>CH-L1135</w:t>
      </w:r>
      <w:r w:rsidR="00A56FD1">
        <w:rPr>
          <w:rFonts w:ascii="Arial" w:hAnsi="Arial" w:cs="Arial"/>
          <w:lang w:val="es-ES"/>
        </w:rPr>
        <w:t>)</w:t>
      </w:r>
      <w:r w:rsidRPr="0005093D">
        <w:rPr>
          <w:rFonts w:ascii="Arial" w:hAnsi="Arial" w:cs="Arial"/>
          <w:lang w:val="es-ES"/>
        </w:rPr>
        <w:t>.</w:t>
      </w:r>
      <w:r w:rsidR="00A50C5E">
        <w:rPr>
          <w:rFonts w:ascii="Arial" w:hAnsi="Arial" w:cs="Arial"/>
          <w:lang w:val="es-ES"/>
        </w:rPr>
        <w:t xml:space="preserve"> </w:t>
      </w:r>
    </w:p>
    <w:p w14:paraId="59AC5060" w14:textId="40329400" w:rsidR="0089230D" w:rsidRPr="003A54E2" w:rsidRDefault="0089230D" w:rsidP="0089230D">
      <w:pPr>
        <w:pStyle w:val="ListParagraph"/>
        <w:numPr>
          <w:ilvl w:val="1"/>
          <w:numId w:val="5"/>
        </w:numPr>
        <w:spacing w:before="120" w:after="120" w:line="240" w:lineRule="auto"/>
        <w:ind w:left="360" w:hanging="540"/>
        <w:contextualSpacing w:val="0"/>
        <w:jc w:val="both"/>
        <w:rPr>
          <w:rFonts w:ascii="Arial" w:hAnsi="Arial" w:cs="Arial"/>
          <w:spacing w:val="-4"/>
          <w:lang w:val="es-ES"/>
        </w:rPr>
      </w:pPr>
      <w:r w:rsidRPr="003A54E2">
        <w:rPr>
          <w:rFonts w:ascii="Arial" w:hAnsi="Arial" w:cs="Arial"/>
          <w:spacing w:val="-4"/>
          <w:lang w:val="es-ES"/>
        </w:rPr>
        <w:t xml:space="preserve">En este sentido, la presente CT es consistente con la </w:t>
      </w:r>
      <w:r w:rsidRPr="003A54E2">
        <w:rPr>
          <w:rFonts w:ascii="Arial" w:hAnsi="Arial" w:cs="Arial"/>
          <w:spacing w:val="-4"/>
          <w:lang w:val="es-ES_tradnl"/>
        </w:rPr>
        <w:t>Actualización de la Estrategia Institucional (UIS) 2010-2020 (AB-3008)</w:t>
      </w:r>
      <w:r w:rsidR="003B72EC" w:rsidRPr="003A54E2">
        <w:rPr>
          <w:rFonts w:ascii="Arial" w:hAnsi="Arial" w:cs="Arial"/>
          <w:spacing w:val="-4"/>
          <w:lang w:val="es-ES_tradnl"/>
        </w:rPr>
        <w:t xml:space="preserve"> </w:t>
      </w:r>
      <w:r w:rsidRPr="003A54E2">
        <w:rPr>
          <w:rFonts w:ascii="Arial" w:hAnsi="Arial" w:cs="Arial"/>
          <w:spacing w:val="-4"/>
          <w:lang w:val="es-ES_tradnl"/>
        </w:rPr>
        <w:t>y</w:t>
      </w:r>
      <w:r w:rsidR="0005093D" w:rsidRPr="003A54E2">
        <w:rPr>
          <w:rFonts w:ascii="Arial" w:hAnsi="Arial" w:cs="Arial"/>
          <w:spacing w:val="-4"/>
          <w:lang w:val="es-ES_tradnl"/>
        </w:rPr>
        <w:t xml:space="preserve"> </w:t>
      </w:r>
      <w:r w:rsidRPr="003A54E2">
        <w:rPr>
          <w:rFonts w:ascii="Arial" w:hAnsi="Arial" w:cs="Arial"/>
          <w:spacing w:val="-4"/>
          <w:lang w:val="es-ES"/>
        </w:rPr>
        <w:t xml:space="preserve">se alinea estratégicamente con los desafíos de </w:t>
      </w:r>
      <w:r w:rsidRPr="003A54E2">
        <w:rPr>
          <w:rFonts w:ascii="Arial" w:hAnsi="Arial" w:cs="Arial"/>
          <w:spacing w:val="-4"/>
          <w:lang w:val="es-ES"/>
        </w:rPr>
        <w:lastRenderedPageBreak/>
        <w:t xml:space="preserve">desarrollo de: </w:t>
      </w:r>
      <w:bookmarkStart w:id="0" w:name="_Hlk477525642"/>
      <w:r w:rsidRPr="003A54E2">
        <w:rPr>
          <w:rFonts w:ascii="Arial" w:hAnsi="Arial" w:cs="Arial"/>
          <w:spacing w:val="-4"/>
          <w:lang w:val="es-ES_tradnl"/>
        </w:rPr>
        <w:t>(i) inclusión social e igualdad, al promover acceso igualitario a mejores oportunidades laborales</w:t>
      </w:r>
      <w:r w:rsidR="008463AC" w:rsidRPr="003A54E2">
        <w:rPr>
          <w:rFonts w:ascii="Arial" w:hAnsi="Arial" w:cs="Arial"/>
          <w:spacing w:val="-4"/>
          <w:lang w:val="es-ES_tradnl"/>
        </w:rPr>
        <w:t xml:space="preserve">, ya que más del 40% de </w:t>
      </w:r>
      <w:r w:rsidR="008A125A" w:rsidRPr="003A54E2">
        <w:rPr>
          <w:rFonts w:ascii="Arial" w:hAnsi="Arial" w:cs="Arial"/>
          <w:spacing w:val="-4"/>
          <w:lang w:val="es-ES_tradnl"/>
        </w:rPr>
        <w:t>los</w:t>
      </w:r>
      <w:r w:rsidR="008463AC" w:rsidRPr="003A54E2">
        <w:rPr>
          <w:rFonts w:ascii="Arial" w:hAnsi="Arial" w:cs="Arial"/>
          <w:spacing w:val="-4"/>
          <w:lang w:val="es-ES_tradnl"/>
        </w:rPr>
        <w:t xml:space="preserve"> beneficiarios</w:t>
      </w:r>
      <w:r w:rsidR="008A125A" w:rsidRPr="003A54E2">
        <w:rPr>
          <w:rFonts w:ascii="Arial" w:hAnsi="Arial" w:cs="Arial"/>
          <w:spacing w:val="-4"/>
          <w:lang w:val="es-ES_tradnl"/>
        </w:rPr>
        <w:t xml:space="preserve"> del SSIL públicos</w:t>
      </w:r>
      <w:r w:rsidR="008463AC" w:rsidRPr="003A54E2">
        <w:rPr>
          <w:rFonts w:ascii="Arial" w:hAnsi="Arial" w:cs="Arial"/>
          <w:spacing w:val="-4"/>
          <w:lang w:val="es-ES_tradnl"/>
        </w:rPr>
        <w:t xml:space="preserve"> son desocupados o personas excluidas del mercado laboral</w:t>
      </w:r>
      <w:r w:rsidRPr="003A54E2">
        <w:rPr>
          <w:rFonts w:ascii="Arial" w:hAnsi="Arial" w:cs="Arial"/>
          <w:spacing w:val="-4"/>
          <w:lang w:val="es-ES_tradnl"/>
        </w:rPr>
        <w:t>; y (ii)</w:t>
      </w:r>
      <w:r w:rsidR="002325FF" w:rsidRPr="003A54E2">
        <w:rPr>
          <w:rFonts w:ascii="Arial" w:hAnsi="Arial" w:cs="Arial"/>
          <w:spacing w:val="-4"/>
          <w:lang w:val="es-ES_tradnl"/>
        </w:rPr>
        <w:t> </w:t>
      </w:r>
      <w:r w:rsidRPr="003A54E2">
        <w:rPr>
          <w:rFonts w:ascii="Arial" w:hAnsi="Arial" w:cs="Arial"/>
          <w:spacing w:val="-4"/>
          <w:lang w:val="es-ES_tradnl"/>
        </w:rPr>
        <w:t xml:space="preserve">productividad e innovación, </w:t>
      </w:r>
      <w:bookmarkEnd w:id="0"/>
      <w:r w:rsidRPr="003A54E2">
        <w:rPr>
          <w:rFonts w:ascii="Arial" w:hAnsi="Arial" w:cs="Arial"/>
          <w:spacing w:val="-4"/>
          <w:lang w:val="es-ES_tradnl"/>
        </w:rPr>
        <w:t xml:space="preserve">al mejorar </w:t>
      </w:r>
      <w:r w:rsidR="009D3664" w:rsidRPr="003A54E2">
        <w:rPr>
          <w:rFonts w:ascii="Arial" w:hAnsi="Arial" w:cs="Arial"/>
          <w:spacing w:val="-4"/>
          <w:lang w:val="es-ES_tradnl"/>
        </w:rPr>
        <w:t xml:space="preserve">las habilidades de las personas y </w:t>
      </w:r>
      <w:r w:rsidRPr="003A54E2">
        <w:rPr>
          <w:rFonts w:ascii="Arial" w:hAnsi="Arial" w:cs="Arial"/>
          <w:spacing w:val="-4"/>
          <w:lang w:val="es-ES_tradnl"/>
        </w:rPr>
        <w:t xml:space="preserve">el </w:t>
      </w:r>
      <w:r w:rsidR="002A79D4" w:rsidRPr="003A54E2">
        <w:rPr>
          <w:rFonts w:ascii="Arial" w:hAnsi="Arial" w:cs="Arial"/>
          <w:spacing w:val="-4"/>
          <w:lang w:val="es-ES_tradnl"/>
        </w:rPr>
        <w:t>acoplamiento</w:t>
      </w:r>
      <w:r w:rsidRPr="003A54E2">
        <w:rPr>
          <w:rFonts w:ascii="Arial" w:hAnsi="Arial" w:cs="Arial"/>
          <w:spacing w:val="-4"/>
          <w:lang w:val="es-ES_tradnl"/>
        </w:rPr>
        <w:t xml:space="preserve"> entre la demanda de trabajadores y la oferta de los buscadores de empleo</w:t>
      </w:r>
      <w:r w:rsidR="008A125A" w:rsidRPr="003A54E2">
        <w:rPr>
          <w:rFonts w:ascii="Arial" w:hAnsi="Arial" w:cs="Arial"/>
          <w:spacing w:val="-4"/>
          <w:lang w:val="es-ES_tradnl"/>
        </w:rPr>
        <w:t xml:space="preserve"> a través de mejoras en la capacitación e intermediación laboral</w:t>
      </w:r>
      <w:r w:rsidRPr="003A54E2">
        <w:rPr>
          <w:rFonts w:ascii="Arial" w:hAnsi="Arial" w:cs="Arial"/>
          <w:spacing w:val="-4"/>
          <w:lang w:val="es-ES_tradnl"/>
        </w:rPr>
        <w:t>.</w:t>
      </w:r>
      <w:r w:rsidR="003B72EC" w:rsidRPr="003A54E2">
        <w:rPr>
          <w:rFonts w:ascii="Arial" w:hAnsi="Arial" w:cs="Arial"/>
          <w:spacing w:val="-4"/>
          <w:lang w:val="es-ES_tradnl"/>
        </w:rPr>
        <w:t xml:space="preserve"> También </w:t>
      </w:r>
      <w:r w:rsidR="00926D45" w:rsidRPr="003A54E2">
        <w:rPr>
          <w:rFonts w:ascii="Arial" w:hAnsi="Arial" w:cs="Arial"/>
          <w:spacing w:val="-4"/>
          <w:lang w:val="es-ES_tradnl"/>
        </w:rPr>
        <w:t>se alinea</w:t>
      </w:r>
      <w:r w:rsidR="003B72EC" w:rsidRPr="003A54E2">
        <w:rPr>
          <w:rFonts w:ascii="Arial" w:hAnsi="Arial" w:cs="Arial"/>
          <w:spacing w:val="-4"/>
          <w:lang w:val="es-ES_tradnl"/>
        </w:rPr>
        <w:t xml:space="preserve"> </w:t>
      </w:r>
      <w:r w:rsidR="007607E1" w:rsidRPr="003A54E2">
        <w:rPr>
          <w:rFonts w:ascii="Arial" w:hAnsi="Arial" w:cs="Arial"/>
          <w:spacing w:val="-4"/>
          <w:lang w:val="es-ES_tradnl"/>
        </w:rPr>
        <w:t>al</w:t>
      </w:r>
      <w:r w:rsidR="003B72EC" w:rsidRPr="003A54E2">
        <w:rPr>
          <w:rFonts w:ascii="Arial" w:hAnsi="Arial" w:cs="Arial"/>
          <w:spacing w:val="-4"/>
          <w:lang w:val="es-ES_tradnl"/>
        </w:rPr>
        <w:t xml:space="preserve"> Marco de Resultados Corporativos (CRF</w:t>
      </w:r>
      <w:r w:rsidR="00A56FD1" w:rsidRPr="003A54E2">
        <w:rPr>
          <w:rFonts w:ascii="Arial" w:hAnsi="Arial" w:cs="Arial"/>
          <w:spacing w:val="-4"/>
          <w:lang w:val="es-ES_tradnl"/>
        </w:rPr>
        <w:t xml:space="preserve">) 2016-2019 </w:t>
      </w:r>
      <w:r w:rsidR="003B72EC" w:rsidRPr="003A54E2">
        <w:rPr>
          <w:rFonts w:ascii="Arial" w:hAnsi="Arial" w:cs="Arial"/>
          <w:spacing w:val="-4"/>
          <w:lang w:val="es-ES_tradnl"/>
        </w:rPr>
        <w:t>(</w:t>
      </w:r>
      <w:r w:rsidR="00A56FD1" w:rsidRPr="003A54E2">
        <w:rPr>
          <w:rFonts w:ascii="Arial" w:hAnsi="Arial" w:cs="Arial"/>
          <w:spacing w:val="-4"/>
          <w:lang w:val="es-ES_tradnl"/>
        </w:rPr>
        <w:t>GN-2727-6</w:t>
      </w:r>
      <w:r w:rsidR="003B72EC" w:rsidRPr="003A54E2">
        <w:rPr>
          <w:rFonts w:ascii="Arial" w:hAnsi="Arial" w:cs="Arial"/>
          <w:spacing w:val="-4"/>
          <w:lang w:val="es-ES_tradnl"/>
        </w:rPr>
        <w:t>)</w:t>
      </w:r>
      <w:r w:rsidR="00A56FD1" w:rsidRPr="003A54E2">
        <w:rPr>
          <w:rFonts w:ascii="Arial" w:hAnsi="Arial" w:cs="Arial"/>
          <w:spacing w:val="-4"/>
          <w:lang w:val="es-ES_tradnl"/>
        </w:rPr>
        <w:t xml:space="preserve"> mediante el indicador “Agencias gubernamentales beneficiadas por proyectos que fortalecen los instrumentos tecnológicos y de gestión para mejorar la provisión de servicios públicos</w:t>
      </w:r>
      <w:r w:rsidR="007607E1" w:rsidRPr="003A54E2">
        <w:rPr>
          <w:rFonts w:ascii="Arial" w:hAnsi="Arial" w:cs="Arial"/>
          <w:spacing w:val="-4"/>
          <w:lang w:val="es-ES_tradnl"/>
        </w:rPr>
        <w:t>, al fortalecer las entidades vinculadas a la IL en el país, entre otros, con el desarrollo de mejoras en la gestión del desempeño y en la provisión de servicios de IL</w:t>
      </w:r>
      <w:r w:rsidR="00A56FD1" w:rsidRPr="003A54E2">
        <w:rPr>
          <w:rFonts w:ascii="Arial" w:hAnsi="Arial" w:cs="Arial"/>
          <w:spacing w:val="-4"/>
          <w:lang w:val="es-ES_tradnl"/>
        </w:rPr>
        <w:t>.</w:t>
      </w:r>
      <w:r w:rsidR="003B72EC" w:rsidRPr="003A54E2">
        <w:rPr>
          <w:rFonts w:ascii="Arial" w:hAnsi="Arial" w:cs="Arial"/>
          <w:spacing w:val="-4"/>
          <w:lang w:val="es-ES_tradnl"/>
        </w:rPr>
        <w:t xml:space="preserve"> </w:t>
      </w:r>
      <w:r w:rsidRPr="003A54E2">
        <w:rPr>
          <w:rFonts w:ascii="Arial" w:hAnsi="Arial" w:cs="Arial"/>
          <w:spacing w:val="-4"/>
          <w:lang w:val="es-ES_tradnl"/>
        </w:rPr>
        <w:t xml:space="preserve">La CT se alinea también con el objetivo del </w:t>
      </w:r>
      <w:r w:rsidR="000C562A" w:rsidRPr="003A54E2">
        <w:rPr>
          <w:rFonts w:ascii="Arial" w:hAnsi="Arial" w:cs="Arial"/>
          <w:spacing w:val="-4"/>
          <w:lang w:val="es-ES_tradnl"/>
        </w:rPr>
        <w:t xml:space="preserve">Programa Estratégico para el Desarrollo Social Financiado con Capital Ordinario </w:t>
      </w:r>
      <w:r w:rsidRPr="003A54E2">
        <w:rPr>
          <w:rFonts w:ascii="Arial" w:hAnsi="Arial" w:cs="Arial"/>
          <w:spacing w:val="-4"/>
          <w:lang w:val="es-ES_tradnl"/>
        </w:rPr>
        <w:t>(</w:t>
      </w:r>
      <w:r w:rsidR="00A35359" w:rsidRPr="003A54E2">
        <w:rPr>
          <w:rFonts w:ascii="Arial" w:hAnsi="Arial" w:cs="Arial"/>
          <w:spacing w:val="-4"/>
          <w:lang w:val="es-ES_tradnl"/>
        </w:rPr>
        <w:t>ORC/</w:t>
      </w:r>
      <w:r w:rsidR="000047BA" w:rsidRPr="003A54E2">
        <w:rPr>
          <w:rFonts w:ascii="Arial" w:hAnsi="Arial" w:cs="Arial"/>
          <w:spacing w:val="-4"/>
          <w:lang w:val="es-ES_tradnl"/>
        </w:rPr>
        <w:t>SOC</w:t>
      </w:r>
      <w:r w:rsidR="004334C6" w:rsidRPr="003A54E2">
        <w:rPr>
          <w:rFonts w:ascii="Arial" w:hAnsi="Arial" w:cs="Arial"/>
          <w:spacing w:val="-4"/>
          <w:lang w:val="es-ES_tradnl"/>
        </w:rPr>
        <w:t>,</w:t>
      </w:r>
      <w:r w:rsidR="000047BA" w:rsidRPr="003A54E2">
        <w:rPr>
          <w:rFonts w:cs="Arial"/>
          <w:spacing w:val="-4"/>
          <w:sz w:val="20"/>
          <w:szCs w:val="20"/>
          <w:lang w:val="es-ES_tradnl"/>
        </w:rPr>
        <w:t xml:space="preserve"> </w:t>
      </w:r>
      <w:r w:rsidRPr="003A54E2">
        <w:rPr>
          <w:rFonts w:ascii="Arial" w:hAnsi="Arial" w:cs="Arial"/>
          <w:spacing w:val="-4"/>
          <w:lang w:val="es-ES_tradnl"/>
        </w:rPr>
        <w:t>GN-</w:t>
      </w:r>
      <w:r w:rsidR="000C562A" w:rsidRPr="003A54E2">
        <w:rPr>
          <w:rFonts w:ascii="Arial" w:hAnsi="Arial" w:cs="Arial"/>
          <w:spacing w:val="-4"/>
          <w:lang w:val="es-ES_tradnl"/>
        </w:rPr>
        <w:t>2819-1</w:t>
      </w:r>
      <w:r w:rsidRPr="003A54E2">
        <w:rPr>
          <w:rFonts w:ascii="Arial" w:hAnsi="Arial" w:cs="Arial"/>
          <w:spacing w:val="-4"/>
          <w:lang w:val="es-ES_tradnl"/>
        </w:rPr>
        <w:t xml:space="preserve">) </w:t>
      </w:r>
      <w:r w:rsidR="000C562A" w:rsidRPr="003A54E2">
        <w:rPr>
          <w:rFonts w:ascii="Arial" w:hAnsi="Arial" w:cs="Arial"/>
          <w:spacing w:val="-4"/>
          <w:lang w:val="es-ES_tradnl"/>
        </w:rPr>
        <w:t>“de ampliar las capacidades en los países miembros prestatarios para propiciar la ejecución exitosa de los proyectos y la introducción eficaz de reformas dirigidas a incrementar la calidad y la cantidad de los servicios sociales…”</w:t>
      </w:r>
      <w:r w:rsidRPr="003A54E2">
        <w:rPr>
          <w:rFonts w:ascii="Arial" w:hAnsi="Arial" w:cs="Arial"/>
          <w:spacing w:val="-4"/>
          <w:lang w:val="es-ES_tradnl"/>
        </w:rPr>
        <w:t xml:space="preserve">. </w:t>
      </w:r>
      <w:r w:rsidRPr="003A54E2">
        <w:rPr>
          <w:rFonts w:ascii="Arial" w:hAnsi="Arial" w:cs="Arial"/>
          <w:spacing w:val="-4"/>
          <w:lang w:val="es-ES"/>
        </w:rPr>
        <w:t>La CT se alinea con las prioridades sectoriales (en sus dimensiones 1 (acceso al trabajo) y 2</w:t>
      </w:r>
      <w:r w:rsidR="003B3AEB" w:rsidRPr="003A54E2">
        <w:rPr>
          <w:rFonts w:ascii="Arial" w:hAnsi="Arial" w:cs="Arial"/>
          <w:spacing w:val="-4"/>
          <w:lang w:val="es-ES"/>
        </w:rPr>
        <w:t xml:space="preserve"> </w:t>
      </w:r>
      <w:r w:rsidRPr="003A54E2">
        <w:rPr>
          <w:rFonts w:ascii="Arial" w:hAnsi="Arial" w:cs="Arial"/>
          <w:spacing w:val="-4"/>
          <w:lang w:val="es-ES"/>
        </w:rPr>
        <w:t>(mecanismos de formación)</w:t>
      </w:r>
      <w:r w:rsidR="00225859" w:rsidRPr="003A54E2">
        <w:rPr>
          <w:rFonts w:ascii="Arial" w:hAnsi="Arial" w:cs="Arial"/>
          <w:spacing w:val="-4"/>
          <w:lang w:val="es-ES"/>
        </w:rPr>
        <w:t>)</w:t>
      </w:r>
      <w:r w:rsidRPr="003A54E2">
        <w:rPr>
          <w:rFonts w:ascii="Arial" w:hAnsi="Arial" w:cs="Arial"/>
          <w:spacing w:val="-4"/>
          <w:lang w:val="es-ES"/>
        </w:rPr>
        <w:t xml:space="preserve"> detalladas en </w:t>
      </w:r>
      <w:r w:rsidR="003A54E2" w:rsidRPr="003A54E2">
        <w:rPr>
          <w:rFonts w:ascii="Arial" w:hAnsi="Arial" w:cs="Arial"/>
          <w:spacing w:val="-4"/>
          <w:lang w:val="es-ES"/>
        </w:rPr>
        <w:t xml:space="preserve">la sección </w:t>
      </w:r>
      <w:r w:rsidRPr="003A54E2">
        <w:rPr>
          <w:rFonts w:ascii="Arial" w:hAnsi="Arial" w:cs="Arial"/>
          <w:spacing w:val="-4"/>
          <w:lang w:val="es-ES"/>
        </w:rPr>
        <w:t>V</w:t>
      </w:r>
      <w:r w:rsidR="003A54E2" w:rsidRPr="003A54E2">
        <w:rPr>
          <w:rFonts w:ascii="Arial" w:hAnsi="Arial" w:cs="Arial"/>
          <w:spacing w:val="-4"/>
          <w:lang w:val="es-ES"/>
        </w:rPr>
        <w:t>, numeral A., párrafo 5.4 (b) y párrafo 5.7 (a)</w:t>
      </w:r>
      <w:r w:rsidRPr="003A54E2">
        <w:rPr>
          <w:rFonts w:ascii="Arial" w:hAnsi="Arial" w:cs="Arial"/>
          <w:spacing w:val="-4"/>
          <w:lang w:val="es-ES"/>
        </w:rPr>
        <w:t xml:space="preserve"> del </w:t>
      </w:r>
      <w:r w:rsidR="00114051" w:rsidRPr="003A54E2">
        <w:rPr>
          <w:rFonts w:ascii="Arial" w:hAnsi="Arial" w:cs="Arial"/>
          <w:spacing w:val="-4"/>
          <w:lang w:val="es-ES"/>
        </w:rPr>
        <w:t>Documento marco Sectorial de Trabajo</w:t>
      </w:r>
      <w:r w:rsidR="00114051" w:rsidRPr="003A54E2" w:rsidDel="00114051">
        <w:rPr>
          <w:rFonts w:ascii="Arial" w:hAnsi="Arial" w:cs="Arial"/>
          <w:spacing w:val="-4"/>
          <w:lang w:val="es-ES"/>
        </w:rPr>
        <w:t xml:space="preserve"> </w:t>
      </w:r>
      <w:r w:rsidRPr="003A54E2">
        <w:rPr>
          <w:rFonts w:ascii="Arial" w:hAnsi="Arial" w:cs="Arial"/>
          <w:spacing w:val="-4"/>
          <w:lang w:val="es-ES"/>
        </w:rPr>
        <w:t>(GN-2741-5). La CT se alinea también con la Estrategia del Banco en el País (EBP, GN-2785)</w:t>
      </w:r>
      <w:r w:rsidR="00272666" w:rsidRPr="003A54E2">
        <w:rPr>
          <w:rFonts w:ascii="Arial" w:hAnsi="Arial" w:cs="Arial"/>
          <w:spacing w:val="-4"/>
          <w:lang w:val="es-ES"/>
        </w:rPr>
        <w:t xml:space="preserve"> </w:t>
      </w:r>
      <w:r w:rsidR="00272666" w:rsidRPr="003A54E2">
        <w:rPr>
          <w:rFonts w:ascii="Arial" w:hAnsi="Arial" w:cs="Arial"/>
          <w:spacing w:val="-4"/>
          <w:lang w:val="es-ES_tradnl"/>
        </w:rPr>
        <w:t>en su objetivo estratégico 5.1 “Mejorar la participación laboral y empleabilidad de los grupos más vulnerables laboralmente”.</w:t>
      </w:r>
      <w:r w:rsidRPr="003A54E2">
        <w:rPr>
          <w:rFonts w:ascii="Arial" w:hAnsi="Arial" w:cs="Arial"/>
          <w:b/>
          <w:spacing w:val="-4"/>
          <w:lang w:val="es-ES"/>
        </w:rPr>
        <w:t xml:space="preserve"> </w:t>
      </w:r>
      <w:r w:rsidRPr="003A54E2">
        <w:rPr>
          <w:rFonts w:ascii="Arial" w:hAnsi="Arial" w:cs="Arial"/>
          <w:spacing w:val="-4"/>
          <w:lang w:val="es-ES"/>
        </w:rPr>
        <w:t>Finalmente, esta CT tiene relación con la operación CH-L1064</w:t>
      </w:r>
      <w:r w:rsidR="00225859" w:rsidRPr="003A54E2">
        <w:rPr>
          <w:rFonts w:ascii="Arial" w:hAnsi="Arial" w:cs="Arial"/>
          <w:spacing w:val="-4"/>
          <w:lang w:val="es-ES"/>
        </w:rPr>
        <w:t xml:space="preserve"> </w:t>
      </w:r>
      <w:r w:rsidR="00A56FD1" w:rsidRPr="003A54E2">
        <w:rPr>
          <w:rFonts w:ascii="Arial" w:hAnsi="Arial" w:cs="Arial"/>
          <w:spacing w:val="-4"/>
          <w:lang w:val="es-ES"/>
        </w:rPr>
        <w:t>(</w:t>
      </w:r>
      <w:r w:rsidR="00225859" w:rsidRPr="003A54E2">
        <w:rPr>
          <w:rFonts w:ascii="Arial" w:hAnsi="Arial" w:cs="Arial"/>
          <w:spacing w:val="-4"/>
          <w:lang w:val="es-ES"/>
        </w:rPr>
        <w:t>2793/OC-CH</w:t>
      </w:r>
      <w:r w:rsidR="00A56FD1" w:rsidRPr="003A54E2">
        <w:rPr>
          <w:rFonts w:ascii="Arial" w:hAnsi="Arial" w:cs="Arial"/>
          <w:spacing w:val="-4"/>
          <w:lang w:val="es-ES"/>
        </w:rPr>
        <w:t>)</w:t>
      </w:r>
      <w:r w:rsidRPr="003A54E2">
        <w:rPr>
          <w:rFonts w:ascii="Arial" w:hAnsi="Arial" w:cs="Arial"/>
          <w:spacing w:val="-4"/>
          <w:lang w:val="es-ES"/>
        </w:rPr>
        <w:t xml:space="preserve"> en ejecución, que busca mejorar la eficiencia y efectividad de las políticas laborales del SENCE, con las </w:t>
      </w:r>
      <w:proofErr w:type="spellStart"/>
      <w:r w:rsidRPr="003A54E2">
        <w:rPr>
          <w:rFonts w:ascii="Arial" w:hAnsi="Arial" w:cs="Arial"/>
          <w:spacing w:val="-4"/>
          <w:lang w:val="es-ES"/>
        </w:rPr>
        <w:t>CT</w:t>
      </w:r>
      <w:r w:rsidR="009D3664" w:rsidRPr="003A54E2">
        <w:rPr>
          <w:rFonts w:ascii="Arial" w:hAnsi="Arial" w:cs="Arial"/>
          <w:spacing w:val="-4"/>
          <w:lang w:val="es-ES"/>
        </w:rPr>
        <w:t>s</w:t>
      </w:r>
      <w:proofErr w:type="spellEnd"/>
      <w:r w:rsidRPr="003A54E2">
        <w:rPr>
          <w:rFonts w:ascii="Arial" w:hAnsi="Arial" w:cs="Arial"/>
          <w:spacing w:val="-4"/>
          <w:lang w:val="es-ES"/>
        </w:rPr>
        <w:t xml:space="preserve"> CH-T1175</w:t>
      </w:r>
      <w:r w:rsidR="00225859" w:rsidRPr="003A54E2">
        <w:rPr>
          <w:rFonts w:ascii="Arial" w:hAnsi="Arial" w:cs="Arial"/>
          <w:spacing w:val="-4"/>
          <w:lang w:val="es-ES"/>
        </w:rPr>
        <w:t xml:space="preserve"> </w:t>
      </w:r>
      <w:r w:rsidR="00A56FD1" w:rsidRPr="003A54E2">
        <w:rPr>
          <w:rFonts w:ascii="Arial" w:hAnsi="Arial" w:cs="Arial"/>
          <w:spacing w:val="-4"/>
          <w:lang w:val="es-ES"/>
        </w:rPr>
        <w:t>(</w:t>
      </w:r>
      <w:r w:rsidR="00225859" w:rsidRPr="003A54E2">
        <w:rPr>
          <w:rFonts w:ascii="Arial" w:hAnsi="Arial" w:cs="Arial"/>
          <w:spacing w:val="-4"/>
          <w:lang w:val="es-ES"/>
        </w:rPr>
        <w:t>ATN/OC-15835-CH</w:t>
      </w:r>
      <w:r w:rsidR="00A56FD1" w:rsidRPr="003A54E2">
        <w:rPr>
          <w:rFonts w:ascii="Arial" w:hAnsi="Arial" w:cs="Arial"/>
          <w:spacing w:val="-4"/>
          <w:lang w:val="es-ES"/>
        </w:rPr>
        <w:t>)</w:t>
      </w:r>
      <w:r w:rsidRPr="003A54E2">
        <w:rPr>
          <w:rFonts w:ascii="Arial" w:hAnsi="Arial" w:cs="Arial"/>
          <w:spacing w:val="-4"/>
          <w:lang w:val="es-ES"/>
        </w:rPr>
        <w:t xml:space="preserve"> y CH-T1179 </w:t>
      </w:r>
      <w:r w:rsidR="00A56FD1" w:rsidRPr="003A54E2">
        <w:rPr>
          <w:rFonts w:ascii="Arial" w:hAnsi="Arial" w:cs="Arial"/>
          <w:spacing w:val="-4"/>
          <w:lang w:val="es-ES"/>
        </w:rPr>
        <w:t>(</w:t>
      </w:r>
      <w:r w:rsidR="00225859" w:rsidRPr="003A54E2">
        <w:rPr>
          <w:rFonts w:ascii="Arial" w:hAnsi="Arial" w:cs="Arial"/>
          <w:spacing w:val="-4"/>
          <w:lang w:val="es-ES"/>
        </w:rPr>
        <w:t>ATN/AH-15958-CH, ATN/OC-15890-CH</w:t>
      </w:r>
      <w:r w:rsidR="00A56FD1" w:rsidRPr="003A54E2">
        <w:rPr>
          <w:rFonts w:ascii="Arial" w:hAnsi="Arial" w:cs="Arial"/>
          <w:spacing w:val="-4"/>
          <w:lang w:val="es-ES"/>
        </w:rPr>
        <w:t>)</w:t>
      </w:r>
      <w:r w:rsidR="00225859" w:rsidRPr="003A54E2">
        <w:rPr>
          <w:rFonts w:ascii="Arial" w:hAnsi="Arial" w:cs="Arial"/>
          <w:spacing w:val="-4"/>
          <w:lang w:val="es-ES"/>
        </w:rPr>
        <w:t xml:space="preserve"> </w:t>
      </w:r>
      <w:r w:rsidRPr="003A54E2">
        <w:rPr>
          <w:rFonts w:ascii="Arial" w:hAnsi="Arial" w:cs="Arial"/>
          <w:spacing w:val="-4"/>
          <w:lang w:val="es-ES"/>
        </w:rPr>
        <w:t xml:space="preserve">y con la operación </w:t>
      </w:r>
      <w:r w:rsidR="00225859" w:rsidRPr="003A54E2">
        <w:rPr>
          <w:rFonts w:ascii="Arial" w:hAnsi="Arial" w:cs="Arial"/>
          <w:spacing w:val="-4"/>
          <w:lang w:val="es-ES"/>
        </w:rPr>
        <w:t xml:space="preserve">en preparación </w:t>
      </w:r>
      <w:r w:rsidRPr="003A54E2">
        <w:rPr>
          <w:rFonts w:ascii="Arial" w:hAnsi="Arial" w:cs="Arial"/>
          <w:spacing w:val="-4"/>
          <w:lang w:val="es-ES"/>
        </w:rPr>
        <w:t xml:space="preserve">CH-L1135. </w:t>
      </w:r>
    </w:p>
    <w:p w14:paraId="429453C2" w14:textId="77777777" w:rsidR="0095711B" w:rsidRPr="00D97FAD" w:rsidRDefault="00F00960"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 xml:space="preserve">Descripción de las </w:t>
      </w:r>
      <w:r w:rsidR="00A12C27" w:rsidRPr="00D97FAD">
        <w:rPr>
          <w:rFonts w:ascii="Arial" w:hAnsi="Arial" w:cs="Arial"/>
          <w:b/>
          <w:lang w:val="es-ES"/>
        </w:rPr>
        <w:t>activi</w:t>
      </w:r>
      <w:r w:rsidRPr="00D97FAD">
        <w:rPr>
          <w:rFonts w:ascii="Arial" w:hAnsi="Arial" w:cs="Arial"/>
          <w:b/>
          <w:lang w:val="es-ES"/>
        </w:rPr>
        <w:t>dades</w:t>
      </w:r>
      <w:r w:rsidR="00F6363D" w:rsidRPr="00D97FAD">
        <w:rPr>
          <w:rFonts w:ascii="Arial" w:hAnsi="Arial" w:cs="Arial"/>
          <w:b/>
          <w:lang w:val="es-ES"/>
        </w:rPr>
        <w:t>/component</w:t>
      </w:r>
      <w:r w:rsidRPr="00D97FAD">
        <w:rPr>
          <w:rFonts w:ascii="Arial" w:hAnsi="Arial" w:cs="Arial"/>
          <w:b/>
          <w:lang w:val="es-ES"/>
        </w:rPr>
        <w:t>e</w:t>
      </w:r>
      <w:r w:rsidR="00F6363D" w:rsidRPr="00D97FAD">
        <w:rPr>
          <w:rFonts w:ascii="Arial" w:hAnsi="Arial" w:cs="Arial"/>
          <w:b/>
          <w:lang w:val="es-ES"/>
        </w:rPr>
        <w:t>s</w:t>
      </w:r>
      <w:r w:rsidR="009C5C06" w:rsidRPr="00D97FAD">
        <w:rPr>
          <w:rFonts w:ascii="Arial" w:hAnsi="Arial" w:cs="Arial"/>
          <w:b/>
          <w:lang w:val="es-ES"/>
        </w:rPr>
        <w:t xml:space="preserve"> </w:t>
      </w:r>
      <w:r w:rsidR="005058EF">
        <w:rPr>
          <w:rFonts w:ascii="Arial" w:hAnsi="Arial" w:cs="Arial"/>
          <w:b/>
          <w:lang w:val="es-ES"/>
        </w:rPr>
        <w:t>y presupuesto</w:t>
      </w:r>
    </w:p>
    <w:p w14:paraId="4F5E0DFF" w14:textId="478FAB37" w:rsidR="009D3664" w:rsidRDefault="009D3664" w:rsidP="009D3664">
      <w:pPr>
        <w:pStyle w:val="ListParagraph"/>
        <w:numPr>
          <w:ilvl w:val="1"/>
          <w:numId w:val="5"/>
        </w:numPr>
        <w:spacing w:before="120" w:after="120" w:line="240" w:lineRule="auto"/>
        <w:ind w:left="360" w:hanging="540"/>
        <w:contextualSpacing w:val="0"/>
        <w:jc w:val="both"/>
        <w:rPr>
          <w:rFonts w:ascii="Arial" w:hAnsi="Arial" w:cs="Arial"/>
          <w:lang w:val="es-ES"/>
        </w:rPr>
      </w:pPr>
      <w:r>
        <w:rPr>
          <w:rFonts w:ascii="Arial" w:hAnsi="Arial" w:cs="Arial"/>
          <w:b/>
          <w:lang w:val="es-ES"/>
        </w:rPr>
        <w:t xml:space="preserve">Componente 1: Proyecto de mejora institucional de la formación para el trabajo (US$100.000). </w:t>
      </w:r>
      <w:r>
        <w:rPr>
          <w:rFonts w:ascii="Arial" w:hAnsi="Arial" w:cs="Arial"/>
          <w:lang w:val="es-ES"/>
        </w:rPr>
        <w:t xml:space="preserve">Con el objetivo de </w:t>
      </w:r>
      <w:r w:rsidR="00AE5658">
        <w:rPr>
          <w:rFonts w:ascii="Arial" w:hAnsi="Arial" w:cs="Arial"/>
          <w:lang w:val="es-ES"/>
        </w:rPr>
        <w:t>apoyar el desarrollo y posterior implementación de</w:t>
      </w:r>
      <w:r w:rsidR="00BD64A7">
        <w:rPr>
          <w:rFonts w:ascii="Arial" w:hAnsi="Arial" w:cs="Arial"/>
          <w:lang w:val="es-ES"/>
        </w:rPr>
        <w:t xml:space="preserve"> </w:t>
      </w:r>
      <w:r>
        <w:rPr>
          <w:rFonts w:ascii="Arial" w:hAnsi="Arial" w:cs="Arial"/>
          <w:lang w:val="es-ES"/>
        </w:rPr>
        <w:t>las recomendaciones generadas por la</w:t>
      </w:r>
      <w:r w:rsidR="00A56FD1">
        <w:rPr>
          <w:rFonts w:ascii="Arial" w:hAnsi="Arial" w:cs="Arial"/>
          <w:lang w:val="es-ES"/>
        </w:rPr>
        <w:t xml:space="preserve"> </w:t>
      </w:r>
      <w:r w:rsidR="00374EAB">
        <w:rPr>
          <w:rFonts w:ascii="Arial" w:hAnsi="Arial" w:cs="Arial"/>
          <w:lang w:val="es-ES"/>
        </w:rPr>
        <w:t>CT</w:t>
      </w:r>
      <w:r>
        <w:rPr>
          <w:rFonts w:ascii="Arial" w:hAnsi="Arial" w:cs="Arial"/>
          <w:lang w:val="es-ES"/>
        </w:rPr>
        <w:t xml:space="preserve"> CH-T1179, el componente financiará asistencia técnica para el diseño de un proyecto de mejora institucional con el objetivo de: </w:t>
      </w:r>
      <w:r w:rsidR="00BD64A7">
        <w:rPr>
          <w:rFonts w:ascii="Arial" w:hAnsi="Arial" w:cs="Arial"/>
          <w:lang w:val="es-ES"/>
        </w:rPr>
        <w:t>(i)</w:t>
      </w:r>
      <w:r w:rsidR="00225859">
        <w:rPr>
          <w:rFonts w:ascii="Arial" w:hAnsi="Arial" w:cs="Arial"/>
          <w:lang w:val="es-ES"/>
        </w:rPr>
        <w:t> </w:t>
      </w:r>
      <w:r w:rsidR="00BD64A7">
        <w:rPr>
          <w:rFonts w:ascii="Arial" w:hAnsi="Arial" w:cs="Arial"/>
          <w:lang w:val="es-ES"/>
        </w:rPr>
        <w:t xml:space="preserve">fortalecer los mecanismos de </w:t>
      </w:r>
      <w:r>
        <w:rPr>
          <w:rFonts w:ascii="Arial" w:hAnsi="Arial" w:cs="Arial"/>
          <w:lang w:val="es-ES"/>
        </w:rPr>
        <w:t xml:space="preserve">vinculación del sistema de formación </w:t>
      </w:r>
      <w:r w:rsidR="00BD64A7">
        <w:rPr>
          <w:rFonts w:ascii="Arial" w:hAnsi="Arial" w:cs="Arial"/>
          <w:lang w:val="es-ES"/>
        </w:rPr>
        <w:t xml:space="preserve">para el trabajo </w:t>
      </w:r>
      <w:r>
        <w:rPr>
          <w:rFonts w:ascii="Arial" w:hAnsi="Arial" w:cs="Arial"/>
          <w:lang w:val="es-ES"/>
        </w:rPr>
        <w:t>con el sector productivo</w:t>
      </w:r>
      <w:r w:rsidR="00225859">
        <w:rPr>
          <w:rFonts w:ascii="Arial" w:hAnsi="Arial" w:cs="Arial"/>
          <w:lang w:val="es-ES"/>
        </w:rPr>
        <w:t>;</w:t>
      </w:r>
      <w:r>
        <w:rPr>
          <w:rFonts w:ascii="Arial" w:hAnsi="Arial" w:cs="Arial"/>
          <w:lang w:val="es-ES"/>
        </w:rPr>
        <w:t xml:space="preserve"> </w:t>
      </w:r>
      <w:r w:rsidR="00BD64A7">
        <w:rPr>
          <w:rFonts w:ascii="Arial" w:hAnsi="Arial" w:cs="Arial"/>
          <w:lang w:val="es-ES"/>
        </w:rPr>
        <w:t xml:space="preserve">(ii) </w:t>
      </w:r>
      <w:r>
        <w:rPr>
          <w:rFonts w:ascii="Arial" w:hAnsi="Arial" w:cs="Arial"/>
          <w:lang w:val="es-ES"/>
        </w:rPr>
        <w:t>mejorar el aseguramiento de calidad del sistema</w:t>
      </w:r>
      <w:r w:rsidR="00BD64A7">
        <w:rPr>
          <w:rFonts w:ascii="Arial" w:hAnsi="Arial" w:cs="Arial"/>
          <w:lang w:val="es-ES"/>
        </w:rPr>
        <w:t>, tanto de la educación técnica como de la capacitación</w:t>
      </w:r>
      <w:r w:rsidR="00225859">
        <w:rPr>
          <w:rFonts w:ascii="Arial" w:hAnsi="Arial" w:cs="Arial"/>
          <w:lang w:val="es-ES"/>
        </w:rPr>
        <w:t>;</w:t>
      </w:r>
      <w:r>
        <w:rPr>
          <w:rFonts w:ascii="Arial" w:hAnsi="Arial" w:cs="Arial"/>
          <w:lang w:val="es-ES"/>
        </w:rPr>
        <w:t xml:space="preserve"> </w:t>
      </w:r>
      <w:r w:rsidR="00770C9F">
        <w:rPr>
          <w:rFonts w:ascii="Arial" w:hAnsi="Arial" w:cs="Arial"/>
          <w:lang w:val="es-ES"/>
        </w:rPr>
        <w:t xml:space="preserve">y </w:t>
      </w:r>
      <w:r w:rsidR="00BD64A7">
        <w:rPr>
          <w:rFonts w:ascii="Arial" w:hAnsi="Arial" w:cs="Arial"/>
          <w:lang w:val="es-ES"/>
        </w:rPr>
        <w:t xml:space="preserve">(iii) </w:t>
      </w:r>
      <w:r>
        <w:rPr>
          <w:rFonts w:ascii="Arial" w:hAnsi="Arial" w:cs="Arial"/>
          <w:lang w:val="es-ES"/>
        </w:rPr>
        <w:t>dotar al sistema de currículos basados en cualificaciones y certificación de competencias.</w:t>
      </w:r>
      <w:r w:rsidR="00BD64A7">
        <w:rPr>
          <w:rFonts w:ascii="Arial" w:hAnsi="Arial" w:cs="Arial"/>
          <w:lang w:val="es-ES"/>
        </w:rPr>
        <w:t xml:space="preserve"> Asimismo, es esencial la socialización del diagnóstico y recomendaciones originados por CH-T1179, por lo que este componente financiará actividades de diseminación, tanto en el </w:t>
      </w:r>
      <w:r w:rsidR="00251134">
        <w:rPr>
          <w:rFonts w:ascii="Arial" w:hAnsi="Arial" w:cs="Arial"/>
          <w:lang w:val="es-ES"/>
        </w:rPr>
        <w:t xml:space="preserve">sector </w:t>
      </w:r>
      <w:r w:rsidR="00BD64A7">
        <w:rPr>
          <w:rFonts w:ascii="Arial" w:hAnsi="Arial" w:cs="Arial"/>
          <w:lang w:val="es-ES"/>
        </w:rPr>
        <w:t>productivo como en agencias públicas.</w:t>
      </w:r>
    </w:p>
    <w:p w14:paraId="664BC547" w14:textId="7F7309AE" w:rsidR="00F6363D" w:rsidRDefault="009D3664" w:rsidP="009D3664">
      <w:pPr>
        <w:pStyle w:val="ListParagraph"/>
        <w:numPr>
          <w:ilvl w:val="1"/>
          <w:numId w:val="5"/>
        </w:numPr>
        <w:spacing w:before="120" w:after="120" w:line="240" w:lineRule="auto"/>
        <w:ind w:left="360" w:hanging="540"/>
        <w:contextualSpacing w:val="0"/>
        <w:jc w:val="both"/>
        <w:rPr>
          <w:rFonts w:ascii="Arial" w:hAnsi="Arial" w:cs="Arial"/>
          <w:lang w:val="es-ES"/>
        </w:rPr>
      </w:pPr>
      <w:r>
        <w:rPr>
          <w:rFonts w:ascii="Arial" w:hAnsi="Arial" w:cs="Arial"/>
          <w:b/>
          <w:lang w:val="es-ES"/>
        </w:rPr>
        <w:t xml:space="preserve">Componente 2. Mejorar </w:t>
      </w:r>
      <w:r w:rsidR="00256808">
        <w:rPr>
          <w:rFonts w:ascii="Arial" w:hAnsi="Arial" w:cs="Arial"/>
          <w:b/>
          <w:lang w:val="es-ES"/>
        </w:rPr>
        <w:t>los servicios</w:t>
      </w:r>
      <w:r>
        <w:rPr>
          <w:rFonts w:ascii="Arial" w:hAnsi="Arial" w:cs="Arial"/>
          <w:b/>
          <w:lang w:val="es-ES"/>
        </w:rPr>
        <w:t xml:space="preserve"> de intermediación laboral</w:t>
      </w:r>
      <w:r w:rsidR="00A56FD1">
        <w:rPr>
          <w:rFonts w:ascii="Arial" w:hAnsi="Arial" w:cs="Arial"/>
          <w:b/>
          <w:lang w:val="es-ES"/>
        </w:rPr>
        <w:t xml:space="preserve"> público</w:t>
      </w:r>
      <w:r w:rsidR="00256808">
        <w:rPr>
          <w:rFonts w:ascii="Arial" w:hAnsi="Arial" w:cs="Arial"/>
          <w:b/>
          <w:lang w:val="es-ES"/>
        </w:rPr>
        <w:t>s</w:t>
      </w:r>
      <w:r>
        <w:rPr>
          <w:rFonts w:ascii="Arial" w:hAnsi="Arial" w:cs="Arial"/>
          <w:b/>
          <w:lang w:val="es-ES"/>
        </w:rPr>
        <w:t xml:space="preserve"> en Chile (US$250,000). </w:t>
      </w:r>
      <w:r>
        <w:rPr>
          <w:rFonts w:ascii="Arial" w:hAnsi="Arial" w:cs="Arial"/>
          <w:lang w:val="es-ES"/>
        </w:rPr>
        <w:t xml:space="preserve">Busca mejorar y ampliar los servicios prestados por </w:t>
      </w:r>
      <w:r w:rsidR="00256808">
        <w:rPr>
          <w:rFonts w:ascii="Arial" w:hAnsi="Arial" w:cs="Arial"/>
          <w:lang w:val="es-ES"/>
        </w:rPr>
        <w:t>los S</w:t>
      </w:r>
      <w:r>
        <w:rPr>
          <w:rFonts w:ascii="Arial" w:hAnsi="Arial" w:cs="Arial"/>
          <w:lang w:val="es-ES"/>
        </w:rPr>
        <w:t>SIL</w:t>
      </w:r>
      <w:r w:rsidR="00A56FD1">
        <w:rPr>
          <w:rFonts w:ascii="Arial" w:hAnsi="Arial" w:cs="Arial"/>
          <w:lang w:val="es-ES"/>
        </w:rPr>
        <w:t xml:space="preserve"> público</w:t>
      </w:r>
      <w:r w:rsidR="00256808">
        <w:rPr>
          <w:rFonts w:ascii="Arial" w:hAnsi="Arial" w:cs="Arial"/>
          <w:lang w:val="es-ES"/>
        </w:rPr>
        <w:t>s</w:t>
      </w:r>
      <w:r>
        <w:rPr>
          <w:rFonts w:ascii="Arial" w:hAnsi="Arial" w:cs="Arial"/>
          <w:lang w:val="es-ES"/>
        </w:rPr>
        <w:t>, mejorar su gestión, y monitoreo a las empresas y a los buscadores de empleo vulnerables. Para esto se financiará: (i) revisión y rediseño del esquema atención a empresas y a grupos vulnerables</w:t>
      </w:r>
      <w:r w:rsidR="002F7A6C">
        <w:rPr>
          <w:rFonts w:ascii="Arial" w:hAnsi="Arial" w:cs="Arial"/>
          <w:lang w:val="es-ES"/>
        </w:rPr>
        <w:t xml:space="preserve">. Esta actividad se realizará a través de un convenio de colaboración entre el SENCE y el Servicio Público de Empleo </w:t>
      </w:r>
      <w:r w:rsidR="000351D6">
        <w:rPr>
          <w:rFonts w:ascii="Arial" w:hAnsi="Arial" w:cs="Arial"/>
          <w:lang w:val="es-ES"/>
        </w:rPr>
        <w:t xml:space="preserve">(SPE) </w:t>
      </w:r>
      <w:r w:rsidR="002F7A6C">
        <w:rPr>
          <w:rFonts w:ascii="Arial" w:hAnsi="Arial" w:cs="Arial"/>
          <w:lang w:val="es-ES"/>
        </w:rPr>
        <w:t>de Francia</w:t>
      </w:r>
      <w:r w:rsidR="009C0F18">
        <w:rPr>
          <w:rStyle w:val="FootnoteReference"/>
          <w:rFonts w:ascii="Arial" w:hAnsi="Arial" w:cs="Arial"/>
          <w:lang w:val="es-ES"/>
        </w:rPr>
        <w:footnoteReference w:id="4"/>
      </w:r>
      <w:r w:rsidR="009C0F18">
        <w:rPr>
          <w:rFonts w:ascii="Arial" w:hAnsi="Arial" w:cs="Arial"/>
          <w:lang w:val="es-ES"/>
        </w:rPr>
        <w:t xml:space="preserve"> </w:t>
      </w:r>
      <w:r w:rsidR="00D96AFE">
        <w:rPr>
          <w:rFonts w:ascii="Arial" w:hAnsi="Arial" w:cs="Arial"/>
          <w:lang w:val="es-ES"/>
        </w:rPr>
        <w:t>(</w:t>
      </w:r>
      <w:r w:rsidR="002F7A6C">
        <w:rPr>
          <w:rFonts w:ascii="Arial" w:hAnsi="Arial" w:cs="Arial"/>
          <w:lang w:val="es-ES"/>
        </w:rPr>
        <w:t xml:space="preserve">se adjunta el plan de colaboración como sustituto de los términos de </w:t>
      </w:r>
      <w:r w:rsidR="002F7A6C">
        <w:rPr>
          <w:rFonts w:ascii="Arial" w:hAnsi="Arial" w:cs="Arial"/>
          <w:lang w:val="es-ES"/>
        </w:rPr>
        <w:lastRenderedPageBreak/>
        <w:t>referencia</w:t>
      </w:r>
      <w:r w:rsidR="00D96AFE">
        <w:rPr>
          <w:rFonts w:ascii="Arial" w:hAnsi="Arial" w:cs="Arial"/>
          <w:lang w:val="es-ES"/>
        </w:rPr>
        <w:t>)</w:t>
      </w:r>
      <w:r w:rsidR="002F7A6C">
        <w:rPr>
          <w:rFonts w:ascii="Arial" w:hAnsi="Arial" w:cs="Arial"/>
          <w:lang w:val="es-ES"/>
        </w:rPr>
        <w:t xml:space="preserve">; se financiarán viajes </w:t>
      </w:r>
      <w:r w:rsidR="00870F52">
        <w:rPr>
          <w:rFonts w:ascii="Arial" w:hAnsi="Arial" w:cs="Arial"/>
          <w:lang w:val="es-ES"/>
        </w:rPr>
        <w:t xml:space="preserve">y honorarios </w:t>
      </w:r>
      <w:r w:rsidR="002F7A6C">
        <w:rPr>
          <w:rFonts w:ascii="Arial" w:hAnsi="Arial" w:cs="Arial"/>
          <w:lang w:val="es-ES"/>
        </w:rPr>
        <w:t>de los e</w:t>
      </w:r>
      <w:r w:rsidR="000C562A">
        <w:rPr>
          <w:rFonts w:ascii="Arial" w:hAnsi="Arial" w:cs="Arial"/>
          <w:lang w:val="es-ES"/>
        </w:rPr>
        <w:t xml:space="preserve">xpertos </w:t>
      </w:r>
      <w:r w:rsidR="002F7A6C">
        <w:rPr>
          <w:rFonts w:ascii="Arial" w:hAnsi="Arial" w:cs="Arial"/>
          <w:lang w:val="es-ES"/>
        </w:rPr>
        <w:t>de Francia</w:t>
      </w:r>
      <w:r w:rsidR="000C562A">
        <w:rPr>
          <w:rFonts w:ascii="Arial" w:hAnsi="Arial" w:cs="Arial"/>
          <w:lang w:val="es-ES"/>
        </w:rPr>
        <w:t>,</w:t>
      </w:r>
      <w:r w:rsidR="002F7A6C">
        <w:rPr>
          <w:rFonts w:ascii="Arial" w:hAnsi="Arial" w:cs="Arial"/>
          <w:lang w:val="es-ES"/>
        </w:rPr>
        <w:t xml:space="preserve"> así como talleres de trabajo en Chile</w:t>
      </w:r>
      <w:r>
        <w:rPr>
          <w:rFonts w:ascii="Arial" w:hAnsi="Arial" w:cs="Arial"/>
          <w:lang w:val="es-ES"/>
        </w:rPr>
        <w:t>; (ii) revisión y rediseño del esquema de gestión de desempeño de</w:t>
      </w:r>
      <w:r w:rsidR="00256808">
        <w:rPr>
          <w:rFonts w:ascii="Arial" w:hAnsi="Arial" w:cs="Arial"/>
          <w:lang w:val="es-ES"/>
        </w:rPr>
        <w:t xml:space="preserve"> </w:t>
      </w:r>
      <w:r>
        <w:rPr>
          <w:rFonts w:ascii="Arial" w:hAnsi="Arial" w:cs="Arial"/>
          <w:lang w:val="es-ES"/>
        </w:rPr>
        <w:t>l</w:t>
      </w:r>
      <w:r w:rsidR="00256808">
        <w:rPr>
          <w:rFonts w:ascii="Arial" w:hAnsi="Arial" w:cs="Arial"/>
          <w:lang w:val="es-ES"/>
        </w:rPr>
        <w:t>os</w:t>
      </w:r>
      <w:r>
        <w:rPr>
          <w:rFonts w:ascii="Arial" w:hAnsi="Arial" w:cs="Arial"/>
          <w:lang w:val="es-ES"/>
        </w:rPr>
        <w:t xml:space="preserve"> </w:t>
      </w:r>
      <w:r w:rsidR="00256808">
        <w:rPr>
          <w:rFonts w:ascii="Arial" w:hAnsi="Arial" w:cs="Arial"/>
          <w:lang w:val="es-ES"/>
        </w:rPr>
        <w:t>S</w:t>
      </w:r>
      <w:r>
        <w:rPr>
          <w:rFonts w:ascii="Arial" w:hAnsi="Arial" w:cs="Arial"/>
          <w:lang w:val="es-ES"/>
        </w:rPr>
        <w:t>SIL</w:t>
      </w:r>
      <w:r w:rsidR="00D96AFE">
        <w:rPr>
          <w:rFonts w:ascii="Arial" w:hAnsi="Arial" w:cs="Arial"/>
          <w:lang w:val="es-ES"/>
        </w:rPr>
        <w:t xml:space="preserve"> público</w:t>
      </w:r>
      <w:r w:rsidR="00256808">
        <w:rPr>
          <w:rFonts w:ascii="Arial" w:hAnsi="Arial" w:cs="Arial"/>
          <w:lang w:val="es-ES"/>
        </w:rPr>
        <w:t>s</w:t>
      </w:r>
      <w:r>
        <w:rPr>
          <w:rFonts w:ascii="Arial" w:hAnsi="Arial" w:cs="Arial"/>
          <w:lang w:val="es-ES"/>
        </w:rPr>
        <w:t xml:space="preserve">; </w:t>
      </w:r>
      <w:r w:rsidR="002F7A6C">
        <w:rPr>
          <w:rFonts w:ascii="Arial" w:hAnsi="Arial" w:cs="Arial"/>
          <w:lang w:val="es-ES"/>
        </w:rPr>
        <w:t>se contratará una consultoría internacional para asesorar al MTPS y al SENCE en esta materia;</w:t>
      </w:r>
      <w:r w:rsidR="00F62FAD">
        <w:rPr>
          <w:rFonts w:ascii="Arial" w:hAnsi="Arial" w:cs="Arial"/>
          <w:lang w:val="es-ES"/>
        </w:rPr>
        <w:t xml:space="preserve"> (iii) las actividades de monitoreo del </w:t>
      </w:r>
      <w:r w:rsidR="000C562A">
        <w:rPr>
          <w:rFonts w:ascii="Arial" w:hAnsi="Arial" w:cs="Arial"/>
          <w:lang w:val="es-ES"/>
        </w:rPr>
        <w:t>p</w:t>
      </w:r>
      <w:r w:rsidR="00F62FAD">
        <w:rPr>
          <w:rFonts w:ascii="Arial" w:hAnsi="Arial" w:cs="Arial"/>
          <w:lang w:val="es-ES"/>
        </w:rPr>
        <w:t>rograma C</w:t>
      </w:r>
      <w:r w:rsidR="00870F52">
        <w:rPr>
          <w:rFonts w:ascii="Arial" w:hAnsi="Arial" w:cs="Arial"/>
          <w:lang w:val="es-ES"/>
        </w:rPr>
        <w:t>H</w:t>
      </w:r>
      <w:r w:rsidR="00F62FAD">
        <w:rPr>
          <w:rFonts w:ascii="Arial" w:hAnsi="Arial" w:cs="Arial"/>
          <w:lang w:val="es-ES"/>
        </w:rPr>
        <w:t>-L1135</w:t>
      </w:r>
      <w:r w:rsidR="000C562A">
        <w:rPr>
          <w:rFonts w:ascii="Arial" w:hAnsi="Arial" w:cs="Arial"/>
          <w:lang w:val="es-ES"/>
        </w:rPr>
        <w:t>;</w:t>
      </w:r>
      <w:r w:rsidR="002F7A6C">
        <w:rPr>
          <w:rFonts w:ascii="Arial" w:hAnsi="Arial" w:cs="Arial"/>
          <w:lang w:val="es-ES"/>
        </w:rPr>
        <w:t xml:space="preserve"> </w:t>
      </w:r>
      <w:r>
        <w:rPr>
          <w:rFonts w:ascii="Arial" w:hAnsi="Arial" w:cs="Arial"/>
          <w:lang w:val="es-ES"/>
        </w:rPr>
        <w:t>y (i</w:t>
      </w:r>
      <w:r w:rsidR="00F62FAD">
        <w:rPr>
          <w:rFonts w:ascii="Arial" w:hAnsi="Arial" w:cs="Arial"/>
          <w:lang w:val="es-ES"/>
        </w:rPr>
        <w:t>v</w:t>
      </w:r>
      <w:r>
        <w:rPr>
          <w:rFonts w:ascii="Arial" w:hAnsi="Arial" w:cs="Arial"/>
          <w:lang w:val="es-ES"/>
        </w:rPr>
        <w:t xml:space="preserve">) </w:t>
      </w:r>
      <w:r w:rsidR="00F62FAD">
        <w:rPr>
          <w:rFonts w:ascii="Arial" w:hAnsi="Arial" w:cs="Arial"/>
          <w:lang w:val="es-ES"/>
        </w:rPr>
        <w:t xml:space="preserve">la </w:t>
      </w:r>
      <w:r>
        <w:rPr>
          <w:rFonts w:ascii="Arial" w:hAnsi="Arial" w:cs="Arial"/>
          <w:lang w:val="es-ES"/>
        </w:rPr>
        <w:t xml:space="preserve">evaluación de resultados del </w:t>
      </w:r>
      <w:r w:rsidR="000C562A">
        <w:rPr>
          <w:rFonts w:ascii="Arial" w:hAnsi="Arial" w:cs="Arial"/>
          <w:lang w:val="es-ES"/>
        </w:rPr>
        <w:t>p</w:t>
      </w:r>
      <w:r w:rsidR="002F7A6C">
        <w:rPr>
          <w:rFonts w:ascii="Arial" w:hAnsi="Arial" w:cs="Arial"/>
          <w:lang w:val="es-ES"/>
        </w:rPr>
        <w:t>rograma CH-L1135</w:t>
      </w:r>
      <w:r>
        <w:rPr>
          <w:rFonts w:ascii="Arial" w:hAnsi="Arial" w:cs="Arial"/>
          <w:lang w:val="es-ES"/>
        </w:rPr>
        <w:t>.</w:t>
      </w:r>
      <w:r w:rsidR="0023302F" w:rsidRPr="00D97FAD">
        <w:rPr>
          <w:rFonts w:ascii="Arial" w:hAnsi="Arial" w:cs="Arial"/>
          <w:lang w:val="es-ES"/>
        </w:rPr>
        <w:t xml:space="preserve"> </w:t>
      </w:r>
    </w:p>
    <w:p w14:paraId="2FB3A5C9" w14:textId="08D1849C" w:rsidR="009D3664" w:rsidRPr="00D97FAD" w:rsidRDefault="009D3664" w:rsidP="009D3664">
      <w:pPr>
        <w:pStyle w:val="ListParagraph"/>
        <w:numPr>
          <w:ilvl w:val="1"/>
          <w:numId w:val="5"/>
        </w:numPr>
        <w:spacing w:before="120" w:after="120" w:line="240" w:lineRule="auto"/>
        <w:ind w:left="360" w:hanging="540"/>
        <w:contextualSpacing w:val="0"/>
        <w:jc w:val="both"/>
        <w:rPr>
          <w:rFonts w:ascii="Arial" w:hAnsi="Arial" w:cs="Arial"/>
          <w:lang w:val="es-ES"/>
        </w:rPr>
      </w:pPr>
      <w:r w:rsidRPr="009D3664">
        <w:rPr>
          <w:rFonts w:ascii="Arial" w:hAnsi="Arial" w:cs="Arial"/>
          <w:lang w:val="es-ES_tradnl"/>
        </w:rPr>
        <w:t>El costo total de este proyecto será de US$3</w:t>
      </w:r>
      <w:r w:rsidR="002F7A6C">
        <w:rPr>
          <w:rFonts w:ascii="Arial" w:hAnsi="Arial" w:cs="Arial"/>
          <w:lang w:val="es-ES_tradnl"/>
        </w:rPr>
        <w:t>50</w:t>
      </w:r>
      <w:r w:rsidRPr="009D3664">
        <w:rPr>
          <w:rFonts w:ascii="Arial" w:hAnsi="Arial" w:cs="Arial"/>
          <w:lang w:val="es-ES_tradnl"/>
        </w:rPr>
        <w:t xml:space="preserve">,000 financiados por el Banco con recursos del </w:t>
      </w:r>
      <w:r w:rsidR="00D96AFE" w:rsidRPr="00D96AFE">
        <w:rPr>
          <w:rFonts w:ascii="Arial" w:hAnsi="Arial" w:cs="Arial"/>
          <w:lang w:val="es-ES_tradnl"/>
        </w:rPr>
        <w:t>Programa Estratégico para el Desarrollo Social Financiado con Capital Ordinario (</w:t>
      </w:r>
      <w:r w:rsidR="00A35359">
        <w:rPr>
          <w:rFonts w:ascii="Arial" w:hAnsi="Arial" w:cs="Arial"/>
          <w:lang w:val="es-ES_tradnl"/>
        </w:rPr>
        <w:t>ORC/</w:t>
      </w:r>
      <w:r w:rsidR="00D96AFE" w:rsidRPr="00D96AFE">
        <w:rPr>
          <w:rFonts w:ascii="Arial" w:hAnsi="Arial" w:cs="Arial"/>
          <w:lang w:val="es-ES_tradnl"/>
        </w:rPr>
        <w:t>SO</w:t>
      </w:r>
      <w:r w:rsidR="00A35359">
        <w:rPr>
          <w:rFonts w:ascii="Arial" w:hAnsi="Arial" w:cs="Arial"/>
          <w:lang w:val="es-ES_tradnl"/>
        </w:rPr>
        <w:t>C</w:t>
      </w:r>
      <w:r w:rsidR="00D96AFE" w:rsidRPr="00D96AFE">
        <w:rPr>
          <w:rFonts w:ascii="Arial" w:hAnsi="Arial" w:cs="Arial"/>
          <w:lang w:val="es-ES_tradnl"/>
        </w:rPr>
        <w:t>)</w:t>
      </w:r>
      <w:r w:rsidRPr="009D3664">
        <w:rPr>
          <w:rFonts w:ascii="Arial" w:hAnsi="Arial" w:cs="Arial"/>
          <w:lang w:val="es-ES_tradnl"/>
        </w:rPr>
        <w:t>, con carácter no reembolsable.</w:t>
      </w:r>
    </w:p>
    <w:p w14:paraId="19EBEFA1" w14:textId="77777777" w:rsidR="009D3664" w:rsidRPr="009D3664" w:rsidRDefault="009D3664" w:rsidP="009D3664">
      <w:pPr>
        <w:keepNext/>
        <w:spacing w:before="60" w:after="60" w:line="240" w:lineRule="auto"/>
        <w:ind w:left="-180"/>
        <w:jc w:val="center"/>
        <w:rPr>
          <w:rFonts w:ascii="Arial" w:hAnsi="Arial" w:cs="Arial"/>
          <w:b/>
          <w:lang w:val="es-ES"/>
        </w:rPr>
      </w:pPr>
      <w:r w:rsidRPr="009D3664">
        <w:rPr>
          <w:rFonts w:ascii="Arial" w:hAnsi="Arial" w:cs="Arial"/>
          <w:b/>
          <w:lang w:val="es-ES"/>
        </w:rPr>
        <w:t>Presupuesto Indicativo (US$)</w:t>
      </w:r>
    </w:p>
    <w:tbl>
      <w:tblPr>
        <w:tblStyle w:val="TableGrid"/>
        <w:tblW w:w="9792" w:type="dxa"/>
        <w:tblInd w:w="-162" w:type="dxa"/>
        <w:tblLayout w:type="fixed"/>
        <w:tblLook w:val="04A0" w:firstRow="1" w:lastRow="0" w:firstColumn="1" w:lastColumn="0" w:noHBand="0" w:noVBand="1"/>
      </w:tblPr>
      <w:tblGrid>
        <w:gridCol w:w="3037"/>
        <w:gridCol w:w="4145"/>
        <w:gridCol w:w="1259"/>
        <w:gridCol w:w="1351"/>
      </w:tblGrid>
      <w:tr w:rsidR="009D3664" w:rsidRPr="00374EAB" w14:paraId="052F2368" w14:textId="77777777" w:rsidTr="003A54E2">
        <w:tc>
          <w:tcPr>
            <w:tcW w:w="3037" w:type="dxa"/>
            <w:tcBorders>
              <w:top w:val="single" w:sz="4" w:space="0" w:color="auto"/>
              <w:left w:val="single" w:sz="4" w:space="0" w:color="auto"/>
              <w:bottom w:val="single" w:sz="4" w:space="0" w:color="auto"/>
              <w:right w:val="single" w:sz="4" w:space="0" w:color="auto"/>
            </w:tcBorders>
            <w:hideMark/>
          </w:tcPr>
          <w:p w14:paraId="0B54C4A4" w14:textId="77777777" w:rsidR="009D3664" w:rsidRPr="00374EAB" w:rsidRDefault="009D3664">
            <w:pPr>
              <w:pStyle w:val="ListParagraph"/>
              <w:keepNext/>
              <w:spacing w:before="20" w:after="20"/>
              <w:ind w:left="0"/>
              <w:jc w:val="center"/>
              <w:rPr>
                <w:rFonts w:ascii="Arial" w:hAnsi="Arial" w:cs="Arial"/>
                <w:b/>
                <w:sz w:val="16"/>
                <w:szCs w:val="16"/>
                <w:lang w:val="es-ES"/>
              </w:rPr>
            </w:pPr>
            <w:r w:rsidRPr="00374EAB">
              <w:rPr>
                <w:rFonts w:ascii="Arial" w:hAnsi="Arial" w:cs="Arial"/>
                <w:b/>
                <w:sz w:val="16"/>
                <w:szCs w:val="16"/>
                <w:lang w:val="es-ES"/>
              </w:rPr>
              <w:t>Actividad / Componente</w:t>
            </w:r>
          </w:p>
        </w:tc>
        <w:tc>
          <w:tcPr>
            <w:tcW w:w="4145" w:type="dxa"/>
            <w:tcBorders>
              <w:top w:val="single" w:sz="4" w:space="0" w:color="auto"/>
              <w:left w:val="single" w:sz="4" w:space="0" w:color="auto"/>
              <w:bottom w:val="single" w:sz="4" w:space="0" w:color="auto"/>
              <w:right w:val="single" w:sz="4" w:space="0" w:color="auto"/>
            </w:tcBorders>
            <w:hideMark/>
          </w:tcPr>
          <w:p w14:paraId="4E087030" w14:textId="77777777" w:rsidR="009D3664" w:rsidRPr="00374EAB" w:rsidRDefault="009D3664">
            <w:pPr>
              <w:pStyle w:val="ListParagraph"/>
              <w:keepNext/>
              <w:spacing w:before="20" w:after="20"/>
              <w:ind w:left="0"/>
              <w:jc w:val="center"/>
              <w:rPr>
                <w:rFonts w:ascii="Arial" w:hAnsi="Arial" w:cs="Arial"/>
                <w:b/>
                <w:sz w:val="16"/>
                <w:szCs w:val="16"/>
                <w:lang w:val="es-ES"/>
              </w:rPr>
            </w:pPr>
            <w:r w:rsidRPr="00374EAB">
              <w:rPr>
                <w:rFonts w:ascii="Arial" w:hAnsi="Arial" w:cs="Arial"/>
                <w:b/>
                <w:sz w:val="16"/>
                <w:szCs w:val="16"/>
                <w:lang w:val="es-ES"/>
              </w:rPr>
              <w:t>Descripción</w:t>
            </w:r>
          </w:p>
        </w:tc>
        <w:tc>
          <w:tcPr>
            <w:tcW w:w="1259" w:type="dxa"/>
            <w:tcBorders>
              <w:top w:val="single" w:sz="4" w:space="0" w:color="auto"/>
              <w:left w:val="single" w:sz="4" w:space="0" w:color="auto"/>
              <w:bottom w:val="single" w:sz="4" w:space="0" w:color="auto"/>
              <w:right w:val="single" w:sz="4" w:space="0" w:color="auto"/>
            </w:tcBorders>
            <w:hideMark/>
          </w:tcPr>
          <w:p w14:paraId="34C4CC83" w14:textId="77777777" w:rsidR="009D3664" w:rsidRPr="00374EAB" w:rsidRDefault="009D3664">
            <w:pPr>
              <w:pStyle w:val="ListParagraph"/>
              <w:keepNext/>
              <w:spacing w:before="20" w:after="20"/>
              <w:ind w:left="0"/>
              <w:jc w:val="center"/>
              <w:rPr>
                <w:rFonts w:ascii="Arial" w:hAnsi="Arial" w:cs="Arial"/>
                <w:b/>
                <w:sz w:val="16"/>
                <w:szCs w:val="16"/>
                <w:lang w:val="es-ES"/>
              </w:rPr>
            </w:pPr>
            <w:r w:rsidRPr="00374EAB">
              <w:rPr>
                <w:rFonts w:ascii="Arial" w:hAnsi="Arial" w:cs="Arial"/>
                <w:b/>
                <w:sz w:val="16"/>
                <w:szCs w:val="16"/>
                <w:lang w:val="es-ES"/>
              </w:rPr>
              <w:t>BID</w:t>
            </w:r>
          </w:p>
          <w:p w14:paraId="7CE686B7" w14:textId="68D90599" w:rsidR="009D3664" w:rsidRPr="00374EAB" w:rsidRDefault="009D3664">
            <w:pPr>
              <w:pStyle w:val="ListParagraph"/>
              <w:keepNext/>
              <w:spacing w:before="20" w:after="20"/>
              <w:ind w:left="0"/>
              <w:jc w:val="center"/>
              <w:rPr>
                <w:rFonts w:ascii="Arial" w:hAnsi="Arial" w:cs="Arial"/>
                <w:b/>
                <w:sz w:val="16"/>
                <w:szCs w:val="16"/>
                <w:lang w:val="es-ES"/>
              </w:rPr>
            </w:pPr>
            <w:r w:rsidRPr="00374EAB">
              <w:rPr>
                <w:rFonts w:ascii="Arial" w:hAnsi="Arial" w:cs="Arial"/>
                <w:b/>
                <w:sz w:val="16"/>
                <w:szCs w:val="16"/>
                <w:lang w:val="es-ES"/>
              </w:rPr>
              <w:t>(</w:t>
            </w:r>
            <w:r w:rsidR="00A35359" w:rsidRPr="00374EAB">
              <w:rPr>
                <w:rFonts w:ascii="Arial" w:hAnsi="Arial" w:cs="Arial"/>
                <w:b/>
                <w:sz w:val="16"/>
                <w:szCs w:val="16"/>
                <w:lang w:val="es-ES"/>
              </w:rPr>
              <w:t>SOC</w:t>
            </w:r>
            <w:r w:rsidRPr="00374EAB">
              <w:rPr>
                <w:rFonts w:ascii="Arial" w:hAnsi="Arial" w:cs="Arial"/>
                <w:b/>
                <w:sz w:val="16"/>
                <w:szCs w:val="16"/>
                <w:lang w:val="es-ES"/>
              </w:rPr>
              <w:t>)</w:t>
            </w:r>
          </w:p>
        </w:tc>
        <w:tc>
          <w:tcPr>
            <w:tcW w:w="1351" w:type="dxa"/>
            <w:tcBorders>
              <w:top w:val="single" w:sz="4" w:space="0" w:color="auto"/>
              <w:left w:val="single" w:sz="4" w:space="0" w:color="auto"/>
              <w:bottom w:val="single" w:sz="4" w:space="0" w:color="auto"/>
              <w:right w:val="single" w:sz="4" w:space="0" w:color="auto"/>
            </w:tcBorders>
            <w:hideMark/>
          </w:tcPr>
          <w:p w14:paraId="32CB2579" w14:textId="1F181628" w:rsidR="009D3664" w:rsidRPr="00374EAB" w:rsidRDefault="009D3664">
            <w:pPr>
              <w:pStyle w:val="ListParagraph"/>
              <w:keepNext/>
              <w:spacing w:before="20" w:after="20"/>
              <w:ind w:left="0"/>
              <w:jc w:val="center"/>
              <w:rPr>
                <w:rFonts w:ascii="Arial" w:hAnsi="Arial" w:cs="Arial"/>
                <w:b/>
                <w:sz w:val="16"/>
                <w:szCs w:val="16"/>
                <w:lang w:val="es-ES"/>
              </w:rPr>
            </w:pPr>
            <w:r w:rsidRPr="00374EAB">
              <w:rPr>
                <w:rFonts w:ascii="Arial" w:hAnsi="Arial" w:cs="Arial"/>
                <w:b/>
                <w:sz w:val="16"/>
                <w:szCs w:val="16"/>
                <w:lang w:val="es-ES"/>
              </w:rPr>
              <w:t>Financia</w:t>
            </w:r>
            <w:r w:rsidR="003A54E2" w:rsidRPr="00374EAB">
              <w:rPr>
                <w:rFonts w:ascii="Arial" w:hAnsi="Arial" w:cs="Arial"/>
                <w:b/>
                <w:sz w:val="16"/>
                <w:szCs w:val="16"/>
                <w:lang w:val="es-ES"/>
              </w:rPr>
              <w:t>-</w:t>
            </w:r>
            <w:r w:rsidRPr="00374EAB">
              <w:rPr>
                <w:rFonts w:ascii="Arial" w:hAnsi="Arial" w:cs="Arial"/>
                <w:b/>
                <w:sz w:val="16"/>
                <w:szCs w:val="16"/>
                <w:lang w:val="es-ES"/>
              </w:rPr>
              <w:t>miento</w:t>
            </w:r>
          </w:p>
          <w:p w14:paraId="36696AB3" w14:textId="77777777" w:rsidR="009D3664" w:rsidRPr="00374EAB" w:rsidRDefault="009D3664">
            <w:pPr>
              <w:pStyle w:val="ListParagraph"/>
              <w:keepNext/>
              <w:spacing w:before="20" w:after="20"/>
              <w:ind w:left="0"/>
              <w:jc w:val="center"/>
              <w:rPr>
                <w:rFonts w:ascii="Arial" w:hAnsi="Arial" w:cs="Arial"/>
                <w:b/>
                <w:sz w:val="16"/>
                <w:szCs w:val="16"/>
                <w:lang w:val="es-ES"/>
              </w:rPr>
            </w:pPr>
            <w:r w:rsidRPr="00374EAB">
              <w:rPr>
                <w:rFonts w:ascii="Arial" w:hAnsi="Arial" w:cs="Arial"/>
                <w:b/>
                <w:sz w:val="16"/>
                <w:szCs w:val="16"/>
                <w:lang w:val="es-ES"/>
              </w:rPr>
              <w:t xml:space="preserve">Total </w:t>
            </w:r>
          </w:p>
        </w:tc>
      </w:tr>
      <w:tr w:rsidR="00A0359E" w:rsidRPr="00374EAB" w14:paraId="7C542C7B" w14:textId="77777777" w:rsidTr="003A54E2">
        <w:tc>
          <w:tcPr>
            <w:tcW w:w="71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6E001B" w14:textId="77777777" w:rsidR="00A0359E" w:rsidRPr="00374EAB" w:rsidRDefault="00A0359E" w:rsidP="00A0359E">
            <w:pPr>
              <w:pStyle w:val="ListParagraph"/>
              <w:keepNext/>
              <w:spacing w:before="20" w:after="20"/>
              <w:ind w:left="0"/>
              <w:rPr>
                <w:rFonts w:ascii="Arial" w:hAnsi="Arial" w:cs="Arial"/>
                <w:sz w:val="16"/>
                <w:szCs w:val="16"/>
                <w:lang w:val="es-ES"/>
              </w:rPr>
            </w:pPr>
            <w:r w:rsidRPr="00374EAB">
              <w:rPr>
                <w:rFonts w:ascii="Arial" w:hAnsi="Arial" w:cs="Arial"/>
                <w:b/>
                <w:sz w:val="16"/>
                <w:szCs w:val="16"/>
                <w:lang w:val="es-ES"/>
              </w:rPr>
              <w:t>Componente 1. Proyecto de mejora institucional de la formación para el trabajo</w:t>
            </w:r>
          </w:p>
        </w:tc>
        <w:tc>
          <w:tcPr>
            <w:tcW w:w="125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306F5E9" w14:textId="77777777" w:rsidR="00A0359E" w:rsidRPr="00374EAB" w:rsidRDefault="00A0359E" w:rsidP="00A0359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100.000</w:t>
            </w:r>
          </w:p>
        </w:tc>
        <w:tc>
          <w:tcPr>
            <w:tcW w:w="135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D14A6E9" w14:textId="77777777" w:rsidR="00A0359E" w:rsidRPr="00374EAB" w:rsidRDefault="00A0359E" w:rsidP="00A0359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100.000</w:t>
            </w:r>
          </w:p>
        </w:tc>
      </w:tr>
      <w:tr w:rsidR="00A0359E" w:rsidRPr="00374EAB" w14:paraId="66F5229D" w14:textId="77777777" w:rsidTr="003A54E2">
        <w:tc>
          <w:tcPr>
            <w:tcW w:w="3037" w:type="dxa"/>
            <w:tcBorders>
              <w:top w:val="single" w:sz="4" w:space="0" w:color="auto"/>
              <w:left w:val="single" w:sz="4" w:space="0" w:color="auto"/>
              <w:bottom w:val="single" w:sz="4" w:space="0" w:color="auto"/>
              <w:right w:val="single" w:sz="4" w:space="0" w:color="auto"/>
            </w:tcBorders>
          </w:tcPr>
          <w:p w14:paraId="443B63D8" w14:textId="77777777" w:rsidR="00A0359E" w:rsidRPr="00374EAB" w:rsidRDefault="00770C9F" w:rsidP="00742FAD">
            <w:pPr>
              <w:keepNext/>
              <w:spacing w:before="20" w:after="20"/>
              <w:jc w:val="both"/>
              <w:rPr>
                <w:rFonts w:ascii="Arial" w:hAnsi="Arial" w:cs="Arial"/>
                <w:b/>
                <w:sz w:val="16"/>
                <w:szCs w:val="16"/>
                <w:lang w:val="es-ES"/>
              </w:rPr>
            </w:pPr>
            <w:r w:rsidRPr="00374EAB">
              <w:rPr>
                <w:rFonts w:ascii="Arial" w:hAnsi="Arial" w:cs="Arial"/>
                <w:sz w:val="16"/>
                <w:szCs w:val="16"/>
                <w:lang w:val="es-ES"/>
              </w:rPr>
              <w:t xml:space="preserve">Consultoría </w:t>
            </w:r>
            <w:r w:rsidR="000A24B4" w:rsidRPr="00374EAB">
              <w:rPr>
                <w:rFonts w:ascii="Arial" w:hAnsi="Arial" w:cs="Arial"/>
                <w:sz w:val="16"/>
                <w:szCs w:val="16"/>
                <w:lang w:val="es-ES"/>
              </w:rPr>
              <w:t xml:space="preserve">para el mejoramiento institucional del sistema </w:t>
            </w:r>
            <w:r w:rsidR="00742FAD" w:rsidRPr="00374EAB">
              <w:rPr>
                <w:rFonts w:ascii="Arial" w:hAnsi="Arial" w:cs="Arial"/>
                <w:sz w:val="16"/>
                <w:szCs w:val="16"/>
                <w:lang w:val="es-ES"/>
              </w:rPr>
              <w:t>de formación para el trabajo en Chile</w:t>
            </w:r>
            <w:r w:rsidR="000A24B4" w:rsidRPr="00374EAB">
              <w:rPr>
                <w:rFonts w:ascii="Arial" w:hAnsi="Arial" w:cs="Arial"/>
                <w:sz w:val="16"/>
                <w:szCs w:val="16"/>
                <w:lang w:val="es-ES"/>
              </w:rPr>
              <w:t xml:space="preserve"> </w:t>
            </w:r>
          </w:p>
        </w:tc>
        <w:tc>
          <w:tcPr>
            <w:tcW w:w="4145" w:type="dxa"/>
            <w:tcBorders>
              <w:top w:val="single" w:sz="4" w:space="0" w:color="auto"/>
              <w:left w:val="single" w:sz="4" w:space="0" w:color="auto"/>
              <w:bottom w:val="single" w:sz="4" w:space="0" w:color="auto"/>
              <w:right w:val="single" w:sz="4" w:space="0" w:color="auto"/>
            </w:tcBorders>
            <w:hideMark/>
          </w:tcPr>
          <w:p w14:paraId="3572245F" w14:textId="4C53C1C1" w:rsidR="00A0359E" w:rsidRPr="00374EAB" w:rsidRDefault="000A24B4" w:rsidP="000C562A">
            <w:pPr>
              <w:pStyle w:val="ListParagraph"/>
              <w:spacing w:before="60" w:after="60"/>
              <w:ind w:left="0"/>
              <w:contextualSpacing w:val="0"/>
              <w:jc w:val="both"/>
              <w:rPr>
                <w:rFonts w:ascii="Arial" w:hAnsi="Arial" w:cs="Arial"/>
                <w:sz w:val="16"/>
                <w:szCs w:val="16"/>
                <w:lang w:val="es-ES"/>
              </w:rPr>
            </w:pPr>
            <w:r w:rsidRPr="00374EAB">
              <w:rPr>
                <w:rFonts w:ascii="Arial" w:hAnsi="Arial" w:cs="Arial"/>
                <w:sz w:val="16"/>
                <w:szCs w:val="16"/>
                <w:lang w:val="es-ES"/>
              </w:rPr>
              <w:t>Financiará c</w:t>
            </w:r>
            <w:r w:rsidR="00770C9F" w:rsidRPr="00374EAB">
              <w:rPr>
                <w:rFonts w:ascii="Arial" w:hAnsi="Arial" w:cs="Arial"/>
                <w:sz w:val="16"/>
                <w:szCs w:val="16"/>
                <w:lang w:val="es-ES"/>
              </w:rPr>
              <w:t>onsultoría que genere recomendaciones para fortalecer el aseguramiento de calidad del sistema</w:t>
            </w:r>
            <w:r w:rsidRPr="00374EAB">
              <w:rPr>
                <w:rFonts w:ascii="Arial" w:hAnsi="Arial" w:cs="Arial"/>
                <w:sz w:val="16"/>
                <w:szCs w:val="16"/>
                <w:lang w:val="es-ES"/>
              </w:rPr>
              <w:t xml:space="preserve">, el diseño e implementación de currículos, la vinculación del sector productivo y la eficacia del financiamiento. Asimismo, financiará viajes de trabajo de consultores </w:t>
            </w:r>
          </w:p>
        </w:tc>
        <w:tc>
          <w:tcPr>
            <w:tcW w:w="1259" w:type="dxa"/>
            <w:tcBorders>
              <w:top w:val="single" w:sz="4" w:space="0" w:color="auto"/>
              <w:left w:val="single" w:sz="4" w:space="0" w:color="auto"/>
              <w:bottom w:val="single" w:sz="4" w:space="0" w:color="auto"/>
              <w:right w:val="single" w:sz="4" w:space="0" w:color="auto"/>
            </w:tcBorders>
            <w:hideMark/>
          </w:tcPr>
          <w:p w14:paraId="76EA0E40" w14:textId="77777777" w:rsidR="00A0359E" w:rsidRPr="00374EAB" w:rsidRDefault="00E54319" w:rsidP="00770C9F">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75</w:t>
            </w:r>
            <w:r w:rsidR="00E95CAF" w:rsidRPr="00374EAB">
              <w:rPr>
                <w:rFonts w:ascii="Arial" w:hAnsi="Arial" w:cs="Arial"/>
                <w:b/>
                <w:sz w:val="16"/>
                <w:szCs w:val="16"/>
                <w:lang w:val="es-ES"/>
              </w:rPr>
              <w:t>.</w:t>
            </w:r>
            <w:r w:rsidRPr="00374EAB">
              <w:rPr>
                <w:rFonts w:ascii="Arial" w:hAnsi="Arial" w:cs="Arial"/>
                <w:b/>
                <w:sz w:val="16"/>
                <w:szCs w:val="16"/>
                <w:lang w:val="es-ES"/>
              </w:rPr>
              <w:t>000</w:t>
            </w:r>
          </w:p>
        </w:tc>
        <w:tc>
          <w:tcPr>
            <w:tcW w:w="1351" w:type="dxa"/>
            <w:tcBorders>
              <w:top w:val="single" w:sz="4" w:space="0" w:color="auto"/>
              <w:left w:val="single" w:sz="4" w:space="0" w:color="auto"/>
              <w:bottom w:val="single" w:sz="4" w:space="0" w:color="auto"/>
              <w:right w:val="single" w:sz="4" w:space="0" w:color="auto"/>
            </w:tcBorders>
            <w:hideMark/>
          </w:tcPr>
          <w:p w14:paraId="0C31A0DE" w14:textId="77777777" w:rsidR="00A0359E" w:rsidRPr="00374EAB" w:rsidRDefault="00E54319" w:rsidP="00A0359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75</w:t>
            </w:r>
            <w:r w:rsidR="00E95CAF" w:rsidRPr="00374EAB">
              <w:rPr>
                <w:rFonts w:ascii="Arial" w:hAnsi="Arial" w:cs="Arial"/>
                <w:b/>
                <w:sz w:val="16"/>
                <w:szCs w:val="16"/>
                <w:lang w:val="es-ES"/>
              </w:rPr>
              <w:t>.</w:t>
            </w:r>
            <w:r w:rsidRPr="00374EAB">
              <w:rPr>
                <w:rFonts w:ascii="Arial" w:hAnsi="Arial" w:cs="Arial"/>
                <w:b/>
                <w:sz w:val="16"/>
                <w:szCs w:val="16"/>
                <w:lang w:val="es-ES"/>
              </w:rPr>
              <w:t>000</w:t>
            </w:r>
          </w:p>
        </w:tc>
      </w:tr>
      <w:tr w:rsidR="001C38EE" w:rsidRPr="00374EAB" w14:paraId="73DD2327" w14:textId="77777777" w:rsidTr="003A54E2">
        <w:tc>
          <w:tcPr>
            <w:tcW w:w="3037" w:type="dxa"/>
            <w:tcBorders>
              <w:top w:val="single" w:sz="4" w:space="0" w:color="auto"/>
              <w:left w:val="single" w:sz="4" w:space="0" w:color="auto"/>
              <w:bottom w:val="single" w:sz="4" w:space="0" w:color="auto"/>
              <w:right w:val="single" w:sz="4" w:space="0" w:color="auto"/>
            </w:tcBorders>
          </w:tcPr>
          <w:p w14:paraId="1E8B8BC6" w14:textId="5B41EABE" w:rsidR="001C38EE" w:rsidRPr="00374EAB" w:rsidRDefault="001C38EE" w:rsidP="001C38EE">
            <w:pPr>
              <w:keepNext/>
              <w:spacing w:before="20" w:after="20"/>
              <w:jc w:val="both"/>
              <w:rPr>
                <w:rFonts w:ascii="Arial" w:hAnsi="Arial" w:cs="Arial"/>
                <w:sz w:val="16"/>
                <w:szCs w:val="16"/>
                <w:lang w:val="es-ES"/>
              </w:rPr>
            </w:pPr>
            <w:r w:rsidRPr="00374EAB">
              <w:rPr>
                <w:rFonts w:ascii="Arial" w:hAnsi="Arial" w:cs="Arial"/>
                <w:sz w:val="16"/>
                <w:szCs w:val="16"/>
                <w:lang w:val="es-ES"/>
              </w:rPr>
              <w:t>Diseminación y publicación del reporte de recomendaciones</w:t>
            </w:r>
          </w:p>
        </w:tc>
        <w:tc>
          <w:tcPr>
            <w:tcW w:w="4145" w:type="dxa"/>
            <w:tcBorders>
              <w:top w:val="single" w:sz="4" w:space="0" w:color="auto"/>
              <w:left w:val="single" w:sz="4" w:space="0" w:color="auto"/>
              <w:bottom w:val="single" w:sz="4" w:space="0" w:color="auto"/>
              <w:right w:val="single" w:sz="4" w:space="0" w:color="auto"/>
            </w:tcBorders>
          </w:tcPr>
          <w:p w14:paraId="6A7DEFF0" w14:textId="0AD759F6" w:rsidR="001C38EE" w:rsidRPr="00374EAB" w:rsidRDefault="001C38EE" w:rsidP="001C38EE">
            <w:pPr>
              <w:pStyle w:val="ListParagraph"/>
              <w:spacing w:before="60" w:after="60"/>
              <w:ind w:left="0"/>
              <w:contextualSpacing w:val="0"/>
              <w:jc w:val="both"/>
              <w:rPr>
                <w:rFonts w:ascii="Arial" w:hAnsi="Arial" w:cs="Arial"/>
                <w:sz w:val="16"/>
                <w:szCs w:val="16"/>
                <w:lang w:val="es-ES"/>
              </w:rPr>
            </w:pPr>
            <w:r w:rsidRPr="00374EAB">
              <w:rPr>
                <w:rFonts w:ascii="Arial" w:hAnsi="Arial" w:cs="Arial"/>
                <w:sz w:val="16"/>
                <w:szCs w:val="16"/>
                <w:lang w:val="es-ES"/>
              </w:rPr>
              <w:t>Financiará eventos para presentar recomendaciones preliminares al sector productivo y público, y la edición y publicación del documento final.</w:t>
            </w:r>
          </w:p>
        </w:tc>
        <w:tc>
          <w:tcPr>
            <w:tcW w:w="1259" w:type="dxa"/>
            <w:tcBorders>
              <w:top w:val="single" w:sz="4" w:space="0" w:color="auto"/>
              <w:left w:val="single" w:sz="4" w:space="0" w:color="auto"/>
              <w:bottom w:val="single" w:sz="4" w:space="0" w:color="auto"/>
              <w:right w:val="single" w:sz="4" w:space="0" w:color="auto"/>
            </w:tcBorders>
          </w:tcPr>
          <w:p w14:paraId="7C6AAF30" w14:textId="02A2EB2B"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25.000</w:t>
            </w:r>
          </w:p>
        </w:tc>
        <w:tc>
          <w:tcPr>
            <w:tcW w:w="1351" w:type="dxa"/>
            <w:tcBorders>
              <w:top w:val="single" w:sz="4" w:space="0" w:color="auto"/>
              <w:left w:val="single" w:sz="4" w:space="0" w:color="auto"/>
              <w:bottom w:val="single" w:sz="4" w:space="0" w:color="auto"/>
              <w:right w:val="single" w:sz="4" w:space="0" w:color="auto"/>
            </w:tcBorders>
          </w:tcPr>
          <w:p w14:paraId="23CFBEF3" w14:textId="3F2477F5"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25.000</w:t>
            </w:r>
          </w:p>
        </w:tc>
      </w:tr>
      <w:tr w:rsidR="001C38EE" w:rsidRPr="00374EAB" w14:paraId="1F839601" w14:textId="77777777" w:rsidTr="001C38EE">
        <w:tc>
          <w:tcPr>
            <w:tcW w:w="718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99D8131" w14:textId="761E7C6F" w:rsidR="001C38EE" w:rsidRPr="001C38EE" w:rsidRDefault="001C38EE" w:rsidP="001C38EE">
            <w:pPr>
              <w:pStyle w:val="ListParagraph"/>
              <w:keepNext/>
              <w:spacing w:before="20" w:after="20"/>
              <w:ind w:left="0"/>
              <w:jc w:val="both"/>
              <w:rPr>
                <w:rFonts w:ascii="Arial" w:hAnsi="Arial" w:cs="Arial"/>
                <w:b/>
                <w:sz w:val="16"/>
                <w:szCs w:val="16"/>
                <w:lang w:val="es-ES"/>
              </w:rPr>
            </w:pPr>
            <w:r w:rsidRPr="00374EAB">
              <w:rPr>
                <w:rFonts w:ascii="Arial" w:hAnsi="Arial" w:cs="Arial"/>
                <w:b/>
                <w:sz w:val="16"/>
                <w:szCs w:val="16"/>
                <w:lang w:val="es-ES"/>
              </w:rPr>
              <w:t>Componente 2. Mejorar los servicios de intermediación públicos laboral en Chile</w:t>
            </w:r>
          </w:p>
        </w:tc>
        <w:tc>
          <w:tcPr>
            <w:tcW w:w="125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A722425" w14:textId="2956DA60"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240.000</w:t>
            </w:r>
          </w:p>
        </w:tc>
        <w:tc>
          <w:tcPr>
            <w:tcW w:w="13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7E17648" w14:textId="1506077D" w:rsidR="001C38EE" w:rsidRPr="00374EAB" w:rsidRDefault="001C38EE" w:rsidP="001C38EE">
            <w:pPr>
              <w:pStyle w:val="ListParagraph"/>
              <w:keepNext/>
              <w:spacing w:before="20" w:after="20"/>
              <w:ind w:left="0" w:right="162"/>
              <w:jc w:val="right"/>
              <w:rPr>
                <w:rFonts w:ascii="Arial" w:hAnsi="Arial" w:cs="Arial"/>
                <w:b/>
                <w:sz w:val="16"/>
                <w:szCs w:val="16"/>
                <w:lang w:val="es-ES"/>
              </w:rPr>
            </w:pPr>
            <w:r>
              <w:rPr>
                <w:rFonts w:ascii="Arial" w:hAnsi="Arial" w:cs="Arial"/>
                <w:b/>
                <w:sz w:val="16"/>
                <w:szCs w:val="16"/>
                <w:lang w:val="es-ES"/>
              </w:rPr>
              <w:t>240.000</w:t>
            </w:r>
          </w:p>
        </w:tc>
      </w:tr>
      <w:tr w:rsidR="001C38EE" w:rsidRPr="00374EAB" w14:paraId="6195E3F4" w14:textId="77777777" w:rsidTr="003A54E2">
        <w:tc>
          <w:tcPr>
            <w:tcW w:w="3037" w:type="dxa"/>
            <w:tcBorders>
              <w:top w:val="single" w:sz="4" w:space="0" w:color="auto"/>
              <w:left w:val="single" w:sz="4" w:space="0" w:color="auto"/>
              <w:bottom w:val="single" w:sz="4" w:space="0" w:color="auto"/>
              <w:right w:val="single" w:sz="4" w:space="0" w:color="auto"/>
            </w:tcBorders>
          </w:tcPr>
          <w:p w14:paraId="3ECDDBEE" w14:textId="5040906E" w:rsidR="001C38EE" w:rsidRPr="00374EAB" w:rsidRDefault="001C38EE" w:rsidP="001C38EE">
            <w:pPr>
              <w:keepNext/>
              <w:spacing w:before="20" w:after="20"/>
              <w:jc w:val="both"/>
              <w:rPr>
                <w:rFonts w:ascii="Arial" w:hAnsi="Arial" w:cs="Arial"/>
                <w:sz w:val="16"/>
                <w:szCs w:val="16"/>
                <w:lang w:val="es-ES"/>
              </w:rPr>
            </w:pPr>
            <w:r w:rsidRPr="00374EAB">
              <w:rPr>
                <w:rFonts w:ascii="Arial" w:hAnsi="Arial" w:cs="Arial"/>
                <w:sz w:val="16"/>
                <w:szCs w:val="16"/>
                <w:lang w:val="es-ES"/>
              </w:rPr>
              <w:t>Revisión y rediseño del esquema atención a empresas y a grupos vulnerables</w:t>
            </w:r>
          </w:p>
        </w:tc>
        <w:tc>
          <w:tcPr>
            <w:tcW w:w="4145" w:type="dxa"/>
            <w:tcBorders>
              <w:top w:val="single" w:sz="4" w:space="0" w:color="auto"/>
              <w:left w:val="single" w:sz="4" w:space="0" w:color="auto"/>
              <w:bottom w:val="single" w:sz="4" w:space="0" w:color="auto"/>
              <w:right w:val="single" w:sz="4" w:space="0" w:color="auto"/>
            </w:tcBorders>
          </w:tcPr>
          <w:p w14:paraId="7A7B0D61" w14:textId="57F1BBAE" w:rsidR="001C38EE" w:rsidRPr="00374EAB" w:rsidRDefault="001C38EE" w:rsidP="001C38EE">
            <w:pPr>
              <w:pStyle w:val="ListParagraph"/>
              <w:spacing w:before="60" w:after="60"/>
              <w:ind w:left="0"/>
              <w:contextualSpacing w:val="0"/>
              <w:jc w:val="both"/>
              <w:rPr>
                <w:rFonts w:ascii="Arial" w:hAnsi="Arial" w:cs="Arial"/>
                <w:sz w:val="16"/>
                <w:szCs w:val="16"/>
                <w:lang w:val="es-ES"/>
              </w:rPr>
            </w:pPr>
            <w:r w:rsidRPr="00374EAB">
              <w:rPr>
                <w:rFonts w:ascii="Arial" w:hAnsi="Arial" w:cs="Arial"/>
                <w:sz w:val="16"/>
                <w:szCs w:val="16"/>
                <w:lang w:val="es-ES"/>
              </w:rPr>
              <w:t>Colaboración SENCE y SPE Francia. Se financiarán honorarios, viajes y talleres de trabajo.</w:t>
            </w:r>
          </w:p>
        </w:tc>
        <w:tc>
          <w:tcPr>
            <w:tcW w:w="1259" w:type="dxa"/>
            <w:tcBorders>
              <w:top w:val="single" w:sz="4" w:space="0" w:color="auto"/>
              <w:left w:val="single" w:sz="4" w:space="0" w:color="auto"/>
              <w:bottom w:val="single" w:sz="4" w:space="0" w:color="auto"/>
              <w:right w:val="single" w:sz="4" w:space="0" w:color="auto"/>
            </w:tcBorders>
          </w:tcPr>
          <w:p w14:paraId="5DBD2CDC" w14:textId="6FB9D561"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105.000</w:t>
            </w:r>
          </w:p>
        </w:tc>
        <w:tc>
          <w:tcPr>
            <w:tcW w:w="1351" w:type="dxa"/>
            <w:tcBorders>
              <w:top w:val="single" w:sz="4" w:space="0" w:color="auto"/>
              <w:left w:val="single" w:sz="4" w:space="0" w:color="auto"/>
              <w:bottom w:val="single" w:sz="4" w:space="0" w:color="auto"/>
              <w:right w:val="single" w:sz="4" w:space="0" w:color="auto"/>
            </w:tcBorders>
          </w:tcPr>
          <w:p w14:paraId="3D6EE00B" w14:textId="473BDBE8"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105.000</w:t>
            </w:r>
          </w:p>
        </w:tc>
      </w:tr>
      <w:tr w:rsidR="001C38EE" w:rsidRPr="00374EAB" w14:paraId="09D8322C" w14:textId="77777777" w:rsidTr="003A54E2">
        <w:tc>
          <w:tcPr>
            <w:tcW w:w="3037" w:type="dxa"/>
            <w:tcBorders>
              <w:top w:val="single" w:sz="4" w:space="0" w:color="auto"/>
              <w:left w:val="single" w:sz="4" w:space="0" w:color="auto"/>
              <w:bottom w:val="single" w:sz="4" w:space="0" w:color="auto"/>
              <w:right w:val="single" w:sz="4" w:space="0" w:color="auto"/>
            </w:tcBorders>
          </w:tcPr>
          <w:p w14:paraId="004C845C" w14:textId="2728CCA6" w:rsidR="001C38EE" w:rsidRPr="00374EAB" w:rsidRDefault="001C38EE" w:rsidP="001C38EE">
            <w:pPr>
              <w:keepNext/>
              <w:spacing w:before="20" w:after="20"/>
              <w:jc w:val="both"/>
              <w:rPr>
                <w:rFonts w:ascii="Arial" w:hAnsi="Arial" w:cs="Arial"/>
                <w:sz w:val="16"/>
                <w:szCs w:val="16"/>
                <w:lang w:val="es-ES"/>
              </w:rPr>
            </w:pPr>
            <w:r w:rsidRPr="00374EAB">
              <w:rPr>
                <w:rFonts w:ascii="Arial" w:hAnsi="Arial" w:cs="Arial"/>
                <w:sz w:val="16"/>
                <w:szCs w:val="16"/>
                <w:lang w:val="es-ES"/>
              </w:rPr>
              <w:t>Revisión y rediseño del esquema de gestión de desempeño de os SSIL</w:t>
            </w:r>
          </w:p>
        </w:tc>
        <w:tc>
          <w:tcPr>
            <w:tcW w:w="4145" w:type="dxa"/>
            <w:tcBorders>
              <w:top w:val="single" w:sz="4" w:space="0" w:color="auto"/>
              <w:left w:val="single" w:sz="4" w:space="0" w:color="auto"/>
              <w:bottom w:val="single" w:sz="4" w:space="0" w:color="auto"/>
              <w:right w:val="single" w:sz="4" w:space="0" w:color="auto"/>
            </w:tcBorders>
          </w:tcPr>
          <w:p w14:paraId="127E7DCA" w14:textId="633FB2DA" w:rsidR="001C38EE" w:rsidRPr="00374EAB" w:rsidRDefault="001C38EE" w:rsidP="001C38EE">
            <w:pPr>
              <w:pStyle w:val="ListParagraph"/>
              <w:spacing w:before="60" w:after="60"/>
              <w:ind w:left="0"/>
              <w:contextualSpacing w:val="0"/>
              <w:jc w:val="both"/>
              <w:rPr>
                <w:rFonts w:ascii="Arial" w:hAnsi="Arial" w:cs="Arial"/>
                <w:sz w:val="16"/>
                <w:szCs w:val="16"/>
                <w:lang w:val="es-ES"/>
              </w:rPr>
            </w:pPr>
            <w:r w:rsidRPr="00374EAB">
              <w:rPr>
                <w:rFonts w:ascii="Arial" w:hAnsi="Arial" w:cs="Arial"/>
                <w:sz w:val="16"/>
                <w:szCs w:val="16"/>
                <w:lang w:val="es-ES"/>
              </w:rPr>
              <w:t>Consultoría individual internacional</w:t>
            </w:r>
          </w:p>
        </w:tc>
        <w:tc>
          <w:tcPr>
            <w:tcW w:w="1259" w:type="dxa"/>
            <w:tcBorders>
              <w:top w:val="single" w:sz="4" w:space="0" w:color="auto"/>
              <w:left w:val="single" w:sz="4" w:space="0" w:color="auto"/>
              <w:bottom w:val="single" w:sz="4" w:space="0" w:color="auto"/>
              <w:right w:val="single" w:sz="4" w:space="0" w:color="auto"/>
            </w:tcBorders>
          </w:tcPr>
          <w:p w14:paraId="19AC62FD" w14:textId="1DBD4F08"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50.000</w:t>
            </w:r>
          </w:p>
        </w:tc>
        <w:tc>
          <w:tcPr>
            <w:tcW w:w="1351" w:type="dxa"/>
            <w:tcBorders>
              <w:top w:val="single" w:sz="4" w:space="0" w:color="auto"/>
              <w:left w:val="single" w:sz="4" w:space="0" w:color="auto"/>
              <w:bottom w:val="single" w:sz="4" w:space="0" w:color="auto"/>
              <w:right w:val="single" w:sz="4" w:space="0" w:color="auto"/>
            </w:tcBorders>
          </w:tcPr>
          <w:p w14:paraId="055E3306" w14:textId="028DA6B9"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50.000</w:t>
            </w:r>
          </w:p>
        </w:tc>
      </w:tr>
      <w:tr w:rsidR="001C38EE" w:rsidRPr="00374EAB" w14:paraId="19B8A40A" w14:textId="77777777" w:rsidTr="003A54E2">
        <w:tc>
          <w:tcPr>
            <w:tcW w:w="3037" w:type="dxa"/>
            <w:tcBorders>
              <w:top w:val="single" w:sz="4" w:space="0" w:color="auto"/>
              <w:left w:val="single" w:sz="4" w:space="0" w:color="auto"/>
              <w:bottom w:val="single" w:sz="4" w:space="0" w:color="auto"/>
              <w:right w:val="single" w:sz="4" w:space="0" w:color="auto"/>
            </w:tcBorders>
          </w:tcPr>
          <w:p w14:paraId="70D68CFB" w14:textId="138B28FC" w:rsidR="001C38EE" w:rsidRPr="00374EAB" w:rsidRDefault="001C38EE" w:rsidP="001C38EE">
            <w:pPr>
              <w:keepNext/>
              <w:spacing w:before="20" w:after="20"/>
              <w:jc w:val="both"/>
              <w:rPr>
                <w:rFonts w:ascii="Arial" w:hAnsi="Arial" w:cs="Arial"/>
                <w:sz w:val="16"/>
                <w:szCs w:val="16"/>
                <w:lang w:val="es-ES"/>
              </w:rPr>
            </w:pPr>
            <w:r w:rsidRPr="00374EAB">
              <w:rPr>
                <w:rFonts w:ascii="Arial" w:hAnsi="Arial" w:cs="Arial"/>
                <w:sz w:val="16"/>
                <w:szCs w:val="16"/>
                <w:lang w:val="es-ES"/>
              </w:rPr>
              <w:t>Monitoreo de ejecución de CH-L1135</w:t>
            </w:r>
          </w:p>
        </w:tc>
        <w:tc>
          <w:tcPr>
            <w:tcW w:w="4145" w:type="dxa"/>
            <w:tcBorders>
              <w:top w:val="single" w:sz="4" w:space="0" w:color="auto"/>
              <w:left w:val="single" w:sz="4" w:space="0" w:color="auto"/>
              <w:bottom w:val="single" w:sz="4" w:space="0" w:color="auto"/>
              <w:right w:val="single" w:sz="4" w:space="0" w:color="auto"/>
            </w:tcBorders>
          </w:tcPr>
          <w:p w14:paraId="71EB7064" w14:textId="5CB01713" w:rsidR="001C38EE" w:rsidRPr="00374EAB" w:rsidRDefault="001C38EE" w:rsidP="001C38EE">
            <w:pPr>
              <w:pStyle w:val="ListParagraph"/>
              <w:spacing w:before="60" w:after="60"/>
              <w:ind w:left="0"/>
              <w:contextualSpacing w:val="0"/>
              <w:jc w:val="both"/>
              <w:rPr>
                <w:rFonts w:ascii="Arial" w:hAnsi="Arial" w:cs="Arial"/>
                <w:sz w:val="16"/>
                <w:szCs w:val="16"/>
                <w:lang w:val="es-ES"/>
              </w:rPr>
            </w:pPr>
            <w:r w:rsidRPr="00374EAB">
              <w:rPr>
                <w:rFonts w:ascii="Arial" w:hAnsi="Arial" w:cs="Arial"/>
                <w:sz w:val="16"/>
                <w:szCs w:val="16"/>
                <w:lang w:val="es-ES"/>
              </w:rPr>
              <w:t>Consultoría individual internacional</w:t>
            </w:r>
          </w:p>
        </w:tc>
        <w:tc>
          <w:tcPr>
            <w:tcW w:w="1259" w:type="dxa"/>
            <w:tcBorders>
              <w:top w:val="single" w:sz="4" w:space="0" w:color="auto"/>
              <w:left w:val="single" w:sz="4" w:space="0" w:color="auto"/>
              <w:bottom w:val="single" w:sz="4" w:space="0" w:color="auto"/>
              <w:right w:val="single" w:sz="4" w:space="0" w:color="auto"/>
            </w:tcBorders>
          </w:tcPr>
          <w:p w14:paraId="7043AC3A" w14:textId="6A721156"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35.000</w:t>
            </w:r>
          </w:p>
        </w:tc>
        <w:tc>
          <w:tcPr>
            <w:tcW w:w="1351" w:type="dxa"/>
            <w:tcBorders>
              <w:top w:val="single" w:sz="4" w:space="0" w:color="auto"/>
              <w:left w:val="single" w:sz="4" w:space="0" w:color="auto"/>
              <w:bottom w:val="single" w:sz="4" w:space="0" w:color="auto"/>
              <w:right w:val="single" w:sz="4" w:space="0" w:color="auto"/>
            </w:tcBorders>
          </w:tcPr>
          <w:p w14:paraId="6F332FAB" w14:textId="350FFD7D"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35.000</w:t>
            </w:r>
          </w:p>
        </w:tc>
      </w:tr>
      <w:tr w:rsidR="001C38EE" w:rsidRPr="00374EAB" w14:paraId="287126C0" w14:textId="77777777" w:rsidTr="003A54E2">
        <w:tc>
          <w:tcPr>
            <w:tcW w:w="3037" w:type="dxa"/>
            <w:tcBorders>
              <w:top w:val="single" w:sz="4" w:space="0" w:color="auto"/>
              <w:left w:val="single" w:sz="4" w:space="0" w:color="auto"/>
              <w:bottom w:val="single" w:sz="4" w:space="0" w:color="auto"/>
              <w:right w:val="single" w:sz="4" w:space="0" w:color="auto"/>
            </w:tcBorders>
          </w:tcPr>
          <w:p w14:paraId="371CB9D5" w14:textId="57237DB3" w:rsidR="001C38EE" w:rsidRPr="00374EAB" w:rsidRDefault="001C38EE" w:rsidP="001C38EE">
            <w:pPr>
              <w:keepNext/>
              <w:spacing w:before="20" w:after="20"/>
              <w:jc w:val="both"/>
              <w:rPr>
                <w:rFonts w:ascii="Arial" w:hAnsi="Arial" w:cs="Arial"/>
                <w:sz w:val="16"/>
                <w:szCs w:val="16"/>
                <w:lang w:val="es-ES"/>
              </w:rPr>
            </w:pPr>
            <w:r w:rsidRPr="00374EAB">
              <w:rPr>
                <w:rFonts w:ascii="Arial" w:hAnsi="Arial" w:cs="Arial"/>
                <w:sz w:val="16"/>
                <w:szCs w:val="16"/>
                <w:lang w:val="es-ES"/>
              </w:rPr>
              <w:t>Evaluación de resultados de CH-L1135</w:t>
            </w:r>
          </w:p>
        </w:tc>
        <w:tc>
          <w:tcPr>
            <w:tcW w:w="4145" w:type="dxa"/>
            <w:tcBorders>
              <w:top w:val="single" w:sz="4" w:space="0" w:color="auto"/>
              <w:left w:val="single" w:sz="4" w:space="0" w:color="auto"/>
              <w:bottom w:val="single" w:sz="4" w:space="0" w:color="auto"/>
              <w:right w:val="single" w:sz="4" w:space="0" w:color="auto"/>
            </w:tcBorders>
          </w:tcPr>
          <w:p w14:paraId="6411EB75" w14:textId="079A1BB7" w:rsidR="001C38EE" w:rsidRPr="00374EAB" w:rsidRDefault="001C38EE" w:rsidP="001C38EE">
            <w:pPr>
              <w:pStyle w:val="ListParagraph"/>
              <w:spacing w:before="60" w:after="60"/>
              <w:ind w:left="0"/>
              <w:contextualSpacing w:val="0"/>
              <w:jc w:val="both"/>
              <w:rPr>
                <w:rFonts w:ascii="Arial" w:hAnsi="Arial" w:cs="Arial"/>
                <w:sz w:val="16"/>
                <w:szCs w:val="16"/>
                <w:lang w:val="es-ES"/>
              </w:rPr>
            </w:pPr>
            <w:r w:rsidRPr="00374EAB">
              <w:rPr>
                <w:rFonts w:ascii="Arial" w:hAnsi="Arial" w:cs="Arial"/>
                <w:sz w:val="16"/>
                <w:szCs w:val="16"/>
                <w:lang w:val="es-ES"/>
              </w:rPr>
              <w:t>Consultoría individual internacional</w:t>
            </w:r>
          </w:p>
        </w:tc>
        <w:tc>
          <w:tcPr>
            <w:tcW w:w="1259" w:type="dxa"/>
            <w:tcBorders>
              <w:top w:val="single" w:sz="4" w:space="0" w:color="auto"/>
              <w:left w:val="single" w:sz="4" w:space="0" w:color="auto"/>
              <w:bottom w:val="single" w:sz="4" w:space="0" w:color="auto"/>
              <w:right w:val="single" w:sz="4" w:space="0" w:color="auto"/>
            </w:tcBorders>
          </w:tcPr>
          <w:p w14:paraId="1E82C17F" w14:textId="3E25ED3C"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50.000</w:t>
            </w:r>
          </w:p>
        </w:tc>
        <w:tc>
          <w:tcPr>
            <w:tcW w:w="1351" w:type="dxa"/>
            <w:tcBorders>
              <w:top w:val="single" w:sz="4" w:space="0" w:color="auto"/>
              <w:left w:val="single" w:sz="4" w:space="0" w:color="auto"/>
              <w:bottom w:val="single" w:sz="4" w:space="0" w:color="auto"/>
              <w:right w:val="single" w:sz="4" w:space="0" w:color="auto"/>
            </w:tcBorders>
          </w:tcPr>
          <w:p w14:paraId="1945DE62" w14:textId="500AE1A6"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50.000</w:t>
            </w:r>
          </w:p>
        </w:tc>
      </w:tr>
      <w:tr w:rsidR="001C38EE" w:rsidRPr="00374EAB" w14:paraId="5997E614" w14:textId="77777777" w:rsidTr="001C38EE">
        <w:tc>
          <w:tcPr>
            <w:tcW w:w="303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64FC7D7" w14:textId="1E52686B" w:rsidR="001C38EE" w:rsidRPr="00374EAB" w:rsidRDefault="001C38EE" w:rsidP="001C38EE">
            <w:pPr>
              <w:keepNext/>
              <w:spacing w:before="20" w:after="20"/>
              <w:jc w:val="both"/>
              <w:rPr>
                <w:rFonts w:ascii="Arial" w:hAnsi="Arial" w:cs="Arial"/>
                <w:sz w:val="16"/>
                <w:szCs w:val="16"/>
                <w:lang w:val="es-ES"/>
              </w:rPr>
            </w:pPr>
            <w:r w:rsidRPr="00374EAB">
              <w:rPr>
                <w:rFonts w:ascii="Arial" w:hAnsi="Arial" w:cs="Arial"/>
                <w:b/>
                <w:sz w:val="16"/>
                <w:szCs w:val="16"/>
                <w:lang w:val="es-ES"/>
              </w:rPr>
              <w:t>Imprevistos</w:t>
            </w:r>
          </w:p>
        </w:tc>
        <w:tc>
          <w:tcPr>
            <w:tcW w:w="414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DB26676" w14:textId="77777777" w:rsidR="001C38EE" w:rsidRPr="00374EAB" w:rsidRDefault="001C38EE" w:rsidP="001C38EE">
            <w:pPr>
              <w:pStyle w:val="ListParagraph"/>
              <w:spacing w:before="60" w:after="60"/>
              <w:ind w:left="0"/>
              <w:contextualSpacing w:val="0"/>
              <w:jc w:val="both"/>
              <w:rPr>
                <w:rFonts w:ascii="Arial" w:hAnsi="Arial" w:cs="Arial"/>
                <w:sz w:val="16"/>
                <w:szCs w:val="16"/>
                <w:lang w:val="es-ES"/>
              </w:rPr>
            </w:pPr>
          </w:p>
        </w:tc>
        <w:tc>
          <w:tcPr>
            <w:tcW w:w="125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119129" w14:textId="5A7C9BA6"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10.000</w:t>
            </w:r>
          </w:p>
        </w:tc>
        <w:tc>
          <w:tcPr>
            <w:tcW w:w="13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FAB900" w14:textId="796C13C8"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10.000</w:t>
            </w:r>
          </w:p>
        </w:tc>
      </w:tr>
      <w:tr w:rsidR="001C38EE" w:rsidRPr="00374EAB" w14:paraId="6646AC8D" w14:textId="77777777" w:rsidTr="001C38EE">
        <w:tc>
          <w:tcPr>
            <w:tcW w:w="303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84FF35D" w14:textId="543B424B" w:rsidR="001C38EE" w:rsidRPr="00374EAB" w:rsidRDefault="001C38EE" w:rsidP="001C38EE">
            <w:pPr>
              <w:keepNext/>
              <w:spacing w:before="20" w:after="20"/>
              <w:jc w:val="both"/>
              <w:rPr>
                <w:rFonts w:ascii="Arial" w:hAnsi="Arial" w:cs="Arial"/>
                <w:b/>
                <w:sz w:val="16"/>
                <w:szCs w:val="16"/>
                <w:lang w:val="es-ES"/>
              </w:rPr>
            </w:pPr>
            <w:r w:rsidRPr="00374EAB">
              <w:rPr>
                <w:rFonts w:ascii="Arial" w:hAnsi="Arial" w:cs="Arial"/>
                <w:b/>
                <w:sz w:val="16"/>
                <w:szCs w:val="16"/>
                <w:lang w:val="es-ES"/>
              </w:rPr>
              <w:t>TOTAL</w:t>
            </w:r>
          </w:p>
        </w:tc>
        <w:tc>
          <w:tcPr>
            <w:tcW w:w="4145"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E381BB6" w14:textId="77777777" w:rsidR="001C38EE" w:rsidRPr="00374EAB" w:rsidRDefault="001C38EE" w:rsidP="001C38EE">
            <w:pPr>
              <w:pStyle w:val="ListParagraph"/>
              <w:spacing w:before="60" w:after="60"/>
              <w:ind w:left="0"/>
              <w:contextualSpacing w:val="0"/>
              <w:jc w:val="both"/>
              <w:rPr>
                <w:rFonts w:ascii="Arial" w:hAnsi="Arial" w:cs="Arial"/>
                <w:sz w:val="16"/>
                <w:szCs w:val="16"/>
                <w:lang w:val="es-ES"/>
              </w:rPr>
            </w:pPr>
          </w:p>
        </w:tc>
        <w:tc>
          <w:tcPr>
            <w:tcW w:w="125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98C08A7" w14:textId="006B1523"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350.000</w:t>
            </w:r>
          </w:p>
        </w:tc>
        <w:tc>
          <w:tcPr>
            <w:tcW w:w="13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34F278" w14:textId="271683AF" w:rsidR="001C38EE" w:rsidRPr="00374EAB" w:rsidRDefault="001C38EE" w:rsidP="001C38EE">
            <w:pPr>
              <w:pStyle w:val="ListParagraph"/>
              <w:keepNext/>
              <w:spacing w:before="20" w:after="20"/>
              <w:ind w:left="0" w:right="162"/>
              <w:jc w:val="right"/>
              <w:rPr>
                <w:rFonts w:ascii="Arial" w:hAnsi="Arial" w:cs="Arial"/>
                <w:b/>
                <w:sz w:val="16"/>
                <w:szCs w:val="16"/>
                <w:lang w:val="es-ES"/>
              </w:rPr>
            </w:pPr>
            <w:r w:rsidRPr="00374EAB">
              <w:rPr>
                <w:rFonts w:ascii="Arial" w:hAnsi="Arial" w:cs="Arial"/>
                <w:b/>
                <w:sz w:val="16"/>
                <w:szCs w:val="16"/>
                <w:lang w:val="es-ES"/>
              </w:rPr>
              <w:t>350.000</w:t>
            </w:r>
          </w:p>
        </w:tc>
      </w:tr>
    </w:tbl>
    <w:p w14:paraId="420918FE" w14:textId="77777777" w:rsidR="00374EAB" w:rsidRDefault="00374EAB">
      <w:pPr>
        <w:rPr>
          <w:sz w:val="16"/>
          <w:szCs w:val="16"/>
        </w:rPr>
      </w:pPr>
    </w:p>
    <w:p w14:paraId="2FAC1095" w14:textId="77777777" w:rsidR="00E52408" w:rsidRPr="004B602A" w:rsidRDefault="009D3664" w:rsidP="00417A68">
      <w:pPr>
        <w:pStyle w:val="ListParagraph"/>
        <w:numPr>
          <w:ilvl w:val="1"/>
          <w:numId w:val="5"/>
        </w:numPr>
        <w:spacing w:before="120" w:after="120" w:line="240" w:lineRule="auto"/>
        <w:ind w:left="360" w:hanging="540"/>
        <w:contextualSpacing w:val="0"/>
        <w:jc w:val="both"/>
        <w:rPr>
          <w:rFonts w:ascii="Arial" w:hAnsi="Arial" w:cs="Arial"/>
          <w:lang w:val="es-ES"/>
        </w:rPr>
      </w:pPr>
      <w:r w:rsidRPr="004B602A">
        <w:rPr>
          <w:rFonts w:ascii="Arial" w:hAnsi="Arial" w:cs="Arial"/>
          <w:lang w:val="es-ES_tradnl"/>
        </w:rPr>
        <w:t xml:space="preserve">Para fines de supervisión de la CT, Dulce Baptista (SCL/LMK) estará a cargo del buen </w:t>
      </w:r>
      <w:r w:rsidRPr="004B602A">
        <w:rPr>
          <w:rFonts w:ascii="Arial" w:hAnsi="Arial" w:cs="Arial"/>
          <w:lang w:val="es-ES"/>
        </w:rPr>
        <w:t>desarrollo</w:t>
      </w:r>
      <w:r w:rsidRPr="004B602A">
        <w:rPr>
          <w:rFonts w:ascii="Arial" w:hAnsi="Arial" w:cs="Arial"/>
          <w:lang w:val="es-ES_tradnl"/>
        </w:rPr>
        <w:t xml:space="preserve"> de los estudios y análisis y de supervisar las actividades para el logro de los </w:t>
      </w:r>
      <w:r w:rsidRPr="004B602A">
        <w:rPr>
          <w:rFonts w:ascii="Arial" w:hAnsi="Arial" w:cs="Arial"/>
          <w:lang w:val="es-ES"/>
        </w:rPr>
        <w:t>resultados</w:t>
      </w:r>
      <w:r w:rsidRPr="004B602A">
        <w:rPr>
          <w:rFonts w:ascii="Arial" w:hAnsi="Arial" w:cs="Arial"/>
          <w:lang w:val="es-ES_tradnl"/>
        </w:rPr>
        <w:t xml:space="preserve"> previstos. Se requerirá asignación de recursos transaccionales para la realización de al menos dos misiones de supervisión de los estudios. </w:t>
      </w:r>
    </w:p>
    <w:p w14:paraId="7704E8E9" w14:textId="103FF06E" w:rsidR="0095711B" w:rsidRPr="00D97FAD" w:rsidRDefault="00944D7A"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lastRenderedPageBreak/>
        <w:t xml:space="preserve">Agencia Ejecutora y estructura de </w:t>
      </w:r>
      <w:r w:rsidR="00A139E6" w:rsidRPr="00D97FAD">
        <w:rPr>
          <w:rFonts w:ascii="Arial" w:hAnsi="Arial" w:cs="Arial"/>
          <w:b/>
          <w:lang w:val="es-ES"/>
        </w:rPr>
        <w:t>ejecución</w:t>
      </w:r>
    </w:p>
    <w:p w14:paraId="1268291C" w14:textId="6DA84787" w:rsidR="004B602A" w:rsidRPr="00CB59F1" w:rsidRDefault="004B602A" w:rsidP="004B602A">
      <w:pPr>
        <w:pStyle w:val="ListParagraph"/>
        <w:numPr>
          <w:ilvl w:val="1"/>
          <w:numId w:val="5"/>
        </w:numPr>
        <w:spacing w:before="120" w:after="120" w:line="240" w:lineRule="auto"/>
        <w:ind w:left="360" w:hanging="540"/>
        <w:contextualSpacing w:val="0"/>
        <w:jc w:val="both"/>
        <w:rPr>
          <w:rFonts w:ascii="Arial" w:hAnsi="Arial" w:cs="Arial"/>
          <w:lang w:val="es-ES"/>
        </w:rPr>
      </w:pPr>
      <w:r w:rsidRPr="00CB59F1">
        <w:rPr>
          <w:rFonts w:ascii="Arial" w:hAnsi="Arial" w:cs="Arial"/>
          <w:lang w:val="es-ES"/>
        </w:rPr>
        <w:t>La División de Mercados Laborales y Seguridad Social (SCL/LMK) del Banco tendrá la responsabilidad general por la dirección, supervisión, coordinación y evaluación de la CT</w:t>
      </w:r>
      <w:r>
        <w:rPr>
          <w:rFonts w:ascii="Arial" w:hAnsi="Arial" w:cs="Arial"/>
          <w:lang w:val="es-ES"/>
        </w:rPr>
        <w:t>, conforme lo solicitado por el Ministerio de Hacienda.</w:t>
      </w:r>
      <w:r w:rsidRPr="00CB59F1">
        <w:rPr>
          <w:rFonts w:ascii="Arial" w:hAnsi="Arial" w:cs="Arial"/>
          <w:lang w:val="es-ES"/>
        </w:rPr>
        <w:t xml:space="preserve"> SCL/LMK tiene el conocimiento y la experiencia en los temas que trata la CT y el desarrollo de operaciones de mercado laboral en 20 países y por ello se encuentra en las mejores condiciones para </w:t>
      </w:r>
      <w:r>
        <w:rPr>
          <w:rFonts w:ascii="Arial" w:hAnsi="Arial" w:cs="Arial"/>
          <w:lang w:val="es-ES"/>
        </w:rPr>
        <w:t>cumplir las funciones antes mencionadas</w:t>
      </w:r>
      <w:r w:rsidRPr="00CB59F1">
        <w:rPr>
          <w:rStyle w:val="FootnoteReference"/>
          <w:rFonts w:ascii="Arial" w:hAnsi="Arial" w:cs="Arial"/>
          <w:lang w:val="es-ES"/>
        </w:rPr>
        <w:footnoteReference w:id="5"/>
      </w:r>
      <w:r w:rsidRPr="00CB59F1">
        <w:rPr>
          <w:rFonts w:ascii="Arial" w:hAnsi="Arial" w:cs="Arial"/>
          <w:lang w:val="es-ES"/>
        </w:rPr>
        <w:t>.</w:t>
      </w:r>
      <w:r w:rsidR="00D96AFE">
        <w:rPr>
          <w:rFonts w:ascii="Arial" w:hAnsi="Arial" w:cs="Arial"/>
          <w:lang w:val="es-ES"/>
        </w:rPr>
        <w:t xml:space="preserve"> El Banco contará con la colaboración y coordinación del MTPS, en particular del equipo de la Secretaría del Trabajo responsables por la ejecución del programa CH-L1135</w:t>
      </w:r>
      <w:r w:rsidR="008B0F08">
        <w:rPr>
          <w:rFonts w:ascii="Arial" w:hAnsi="Arial" w:cs="Arial"/>
          <w:lang w:val="es-ES"/>
        </w:rPr>
        <w:t>.</w:t>
      </w:r>
    </w:p>
    <w:p w14:paraId="5144B634" w14:textId="1D0CAD35" w:rsidR="000351D6" w:rsidRPr="002C568C" w:rsidRDefault="000351D6" w:rsidP="000351D6">
      <w:pPr>
        <w:pStyle w:val="ListParagraph"/>
        <w:numPr>
          <w:ilvl w:val="1"/>
          <w:numId w:val="5"/>
        </w:numPr>
        <w:spacing w:before="120" w:after="120" w:line="240" w:lineRule="auto"/>
        <w:ind w:left="360" w:hanging="547"/>
        <w:contextualSpacing w:val="0"/>
        <w:jc w:val="both"/>
        <w:rPr>
          <w:rFonts w:ascii="Arial" w:hAnsi="Arial" w:cs="Arial"/>
          <w:lang w:val="es-ES_tradnl"/>
        </w:rPr>
      </w:pPr>
      <w:r w:rsidRPr="00FA1C47">
        <w:rPr>
          <w:rFonts w:ascii="Arial" w:hAnsi="Arial" w:cs="Arial"/>
          <w:b/>
          <w:lang w:val="es-ES_tradnl"/>
        </w:rPr>
        <w:t>Adquisiciones</w:t>
      </w:r>
      <w:r w:rsidRPr="002C568C">
        <w:rPr>
          <w:rFonts w:ascii="Arial" w:hAnsi="Arial" w:cs="Arial"/>
          <w:lang w:val="es-ES_tradnl"/>
        </w:rPr>
        <w:t>. El Banco contratará los servicios de consultores individuales, firmas consultoras y servicios diferentes de consultoría</w:t>
      </w:r>
      <w:r w:rsidR="005D399D">
        <w:rPr>
          <w:rFonts w:ascii="Arial" w:hAnsi="Arial" w:cs="Arial"/>
          <w:lang w:val="es-ES_tradnl"/>
        </w:rPr>
        <w:t>,</w:t>
      </w:r>
      <w:r w:rsidRPr="002C568C">
        <w:rPr>
          <w:rFonts w:ascii="Arial" w:hAnsi="Arial" w:cs="Arial"/>
          <w:lang w:val="es-ES_tradnl"/>
        </w:rPr>
        <w:t xml:space="preserve"> de conformidad con las políticas y procedimientos vigentes en el Banco. </w:t>
      </w:r>
      <w:r w:rsidR="007D1562">
        <w:rPr>
          <w:rFonts w:ascii="Arial" w:hAnsi="Arial" w:cs="Arial"/>
          <w:lang w:val="es-ES_tradnl"/>
        </w:rPr>
        <w:t>Para este fin</w:t>
      </w:r>
      <w:r w:rsidR="006E681E">
        <w:rPr>
          <w:rFonts w:ascii="Arial" w:hAnsi="Arial" w:cs="Arial"/>
          <w:lang w:val="es-ES_tradnl"/>
        </w:rPr>
        <w:t>,</w:t>
      </w:r>
      <w:r w:rsidR="007D1562">
        <w:rPr>
          <w:rFonts w:ascii="Arial" w:hAnsi="Arial" w:cs="Arial"/>
          <w:lang w:val="es-ES_tradnl"/>
        </w:rPr>
        <w:t xml:space="preserve"> serán aplicadas </w:t>
      </w:r>
      <w:r w:rsidR="008101D4">
        <w:rPr>
          <w:rFonts w:ascii="Arial" w:hAnsi="Arial" w:cs="Arial"/>
          <w:lang w:val="es-ES_tradnl"/>
        </w:rPr>
        <w:t xml:space="preserve">la </w:t>
      </w:r>
      <w:r w:rsidR="008101D4" w:rsidRPr="008101D4">
        <w:rPr>
          <w:rFonts w:ascii="Arial" w:hAnsi="Arial" w:cs="Arial"/>
          <w:lang w:val="es-ES_tradnl"/>
        </w:rPr>
        <w:t>Sección AM-650 del Manual Administrativo “Fuerza de Trabajo Complementaria” para consultores individuales</w:t>
      </w:r>
      <w:r w:rsidR="008101D4">
        <w:rPr>
          <w:rFonts w:ascii="Arial" w:hAnsi="Arial" w:cs="Arial"/>
          <w:lang w:val="es-ES_tradnl"/>
        </w:rPr>
        <w:t>, la</w:t>
      </w:r>
      <w:r w:rsidR="006028B1" w:rsidRPr="006028B1">
        <w:rPr>
          <w:rFonts w:ascii="Arial" w:hAnsi="Arial" w:cs="Arial"/>
          <w:lang w:val="es-ES_tradnl"/>
        </w:rPr>
        <w:t xml:space="preserve"> política para la Selección y Contratación de Empresas Consultoras para Trabajo Operativo Ejecutado por el Banco (GN-2765-1) y sus directrices operativas (OP-1155-4)</w:t>
      </w:r>
      <w:r w:rsidR="006028B1">
        <w:rPr>
          <w:rFonts w:ascii="Arial" w:hAnsi="Arial" w:cs="Arial"/>
          <w:lang w:val="es-ES_tradnl"/>
        </w:rPr>
        <w:t xml:space="preserve"> y la</w:t>
      </w:r>
      <w:r w:rsidR="007D1562" w:rsidRPr="008101D4">
        <w:rPr>
          <w:rFonts w:ascii="Arial" w:hAnsi="Arial" w:cs="Arial"/>
          <w:lang w:val="es-ES_tradnl"/>
        </w:rPr>
        <w:t xml:space="preserve"> </w:t>
      </w:r>
      <w:r w:rsidR="006028B1">
        <w:rPr>
          <w:rFonts w:ascii="Arial" w:hAnsi="Arial" w:cs="Arial"/>
          <w:lang w:val="es-ES_tradnl"/>
        </w:rPr>
        <w:t>p</w:t>
      </w:r>
      <w:r w:rsidR="007D1562" w:rsidRPr="008101D4">
        <w:rPr>
          <w:rFonts w:ascii="Arial" w:hAnsi="Arial" w:cs="Arial"/>
          <w:lang w:val="es-ES_tradnl"/>
        </w:rPr>
        <w:t>olítica de adquisiciones institucionales del BID GN</w:t>
      </w:r>
      <w:r w:rsidR="00843F24">
        <w:rPr>
          <w:rFonts w:ascii="Arial" w:hAnsi="Arial" w:cs="Arial"/>
          <w:lang w:val="es-ES_tradnl"/>
        </w:rPr>
        <w:noBreakHyphen/>
      </w:r>
      <w:r w:rsidR="007D1562" w:rsidRPr="008101D4">
        <w:rPr>
          <w:rFonts w:ascii="Arial" w:hAnsi="Arial" w:cs="Arial"/>
          <w:lang w:val="es-ES_tradnl"/>
        </w:rPr>
        <w:t>2303</w:t>
      </w:r>
      <w:r w:rsidR="00DD5244">
        <w:rPr>
          <w:rFonts w:ascii="Arial" w:hAnsi="Arial" w:cs="Arial"/>
          <w:lang w:val="es-ES_tradnl"/>
        </w:rPr>
        <w:noBreakHyphen/>
      </w:r>
      <w:r w:rsidR="007D1562" w:rsidRPr="008101D4">
        <w:rPr>
          <w:rFonts w:ascii="Arial" w:hAnsi="Arial" w:cs="Arial"/>
          <w:lang w:val="es-ES_tradnl"/>
        </w:rPr>
        <w:t xml:space="preserve">20 para servicios </w:t>
      </w:r>
      <w:r w:rsidR="006028B1">
        <w:rPr>
          <w:rFonts w:ascii="Arial" w:hAnsi="Arial" w:cs="Arial"/>
          <w:lang w:val="es-ES_tradnl"/>
        </w:rPr>
        <w:t>diferentes</w:t>
      </w:r>
      <w:r w:rsidR="007D1562" w:rsidRPr="008101D4">
        <w:rPr>
          <w:rFonts w:ascii="Arial" w:hAnsi="Arial" w:cs="Arial"/>
          <w:lang w:val="es-ES_tradnl"/>
        </w:rPr>
        <w:t xml:space="preserve"> de consultoría</w:t>
      </w:r>
      <w:r w:rsidR="006028B1">
        <w:rPr>
          <w:rFonts w:ascii="Arial" w:hAnsi="Arial" w:cs="Arial"/>
          <w:lang w:val="es-ES_tradnl"/>
        </w:rPr>
        <w:t xml:space="preserve">. </w:t>
      </w:r>
    </w:p>
    <w:p w14:paraId="12A95FED" w14:textId="2FBCA177" w:rsidR="0095711B" w:rsidRPr="00D97FAD" w:rsidRDefault="0023182E"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 xml:space="preserve">Riesgos importantes </w:t>
      </w:r>
    </w:p>
    <w:p w14:paraId="06D1C943" w14:textId="728B0E8C" w:rsidR="004B602A" w:rsidRPr="003A54E2" w:rsidRDefault="004B602A" w:rsidP="004B602A">
      <w:pPr>
        <w:pStyle w:val="ListParagraph"/>
        <w:numPr>
          <w:ilvl w:val="1"/>
          <w:numId w:val="5"/>
        </w:numPr>
        <w:spacing w:before="120" w:after="120" w:line="240" w:lineRule="auto"/>
        <w:ind w:left="360" w:hanging="540"/>
        <w:contextualSpacing w:val="0"/>
        <w:jc w:val="both"/>
        <w:rPr>
          <w:rFonts w:ascii="Arial" w:hAnsi="Arial" w:cs="Arial"/>
          <w:spacing w:val="-4"/>
          <w:lang w:val="es-ES"/>
        </w:rPr>
      </w:pPr>
      <w:r w:rsidRPr="003A54E2">
        <w:rPr>
          <w:rFonts w:ascii="Arial" w:hAnsi="Arial" w:cs="Arial"/>
          <w:spacing w:val="-4"/>
          <w:lang w:val="es-ES"/>
        </w:rPr>
        <w:t>Un riesgo está relacionado con los tiempos de ejecución de los productos, que deben acompañar los tiempos de ejecución de la operación CH-L1135. Para mitigar este riesgo, se cuenta ya con una estrategia de ejecución, los términos de referencia respectivos y la identificación de potenciales consultores para cada estudio.</w:t>
      </w:r>
    </w:p>
    <w:p w14:paraId="07D4A3DE" w14:textId="77777777" w:rsidR="00F72899" w:rsidRPr="00D97FAD" w:rsidRDefault="00F72899"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Excep</w:t>
      </w:r>
      <w:r w:rsidR="0023182E" w:rsidRPr="00D97FAD">
        <w:rPr>
          <w:rFonts w:ascii="Arial" w:hAnsi="Arial" w:cs="Arial"/>
          <w:b/>
          <w:lang w:val="es-ES"/>
        </w:rPr>
        <w:t xml:space="preserve">ciones a las políticas del Banco </w:t>
      </w:r>
    </w:p>
    <w:p w14:paraId="039F2038" w14:textId="560E7FE8" w:rsidR="00F72899" w:rsidRPr="000351D6" w:rsidRDefault="000351D6" w:rsidP="008F4286">
      <w:pPr>
        <w:pStyle w:val="ListParagraph"/>
        <w:numPr>
          <w:ilvl w:val="1"/>
          <w:numId w:val="5"/>
        </w:numPr>
        <w:spacing w:before="120" w:after="120" w:line="240" w:lineRule="auto"/>
        <w:ind w:left="360" w:hanging="540"/>
        <w:contextualSpacing w:val="0"/>
        <w:jc w:val="both"/>
        <w:rPr>
          <w:rFonts w:ascii="Arial" w:hAnsi="Arial" w:cs="Arial"/>
          <w:lang w:val="es-ES"/>
        </w:rPr>
      </w:pPr>
      <w:r w:rsidRPr="000351D6">
        <w:rPr>
          <w:rFonts w:ascii="Arial" w:hAnsi="Arial" w:cs="Arial"/>
          <w:lang w:val="es-ES"/>
        </w:rPr>
        <w:t xml:space="preserve">Ninguna. </w:t>
      </w:r>
    </w:p>
    <w:p w14:paraId="0AA3AA09" w14:textId="77777777" w:rsidR="0095711B" w:rsidRPr="00D97FAD" w:rsidRDefault="000C16F9"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Salvaguardias Ambientales</w:t>
      </w:r>
      <w:r w:rsidR="00531E51" w:rsidRPr="00D97FAD">
        <w:rPr>
          <w:rFonts w:ascii="Arial" w:hAnsi="Arial" w:cs="Arial"/>
          <w:b/>
          <w:lang w:val="es-ES"/>
        </w:rPr>
        <w:t xml:space="preserve"> </w:t>
      </w:r>
    </w:p>
    <w:p w14:paraId="7FECC46F" w14:textId="1E44A315" w:rsidR="000351D6" w:rsidRPr="002325FF" w:rsidRDefault="000351D6" w:rsidP="00542CB3">
      <w:pPr>
        <w:pStyle w:val="ListParagraph"/>
        <w:numPr>
          <w:ilvl w:val="1"/>
          <w:numId w:val="5"/>
        </w:numPr>
        <w:ind w:left="360" w:hanging="900"/>
        <w:jc w:val="both"/>
        <w:rPr>
          <w:rFonts w:ascii="Arial" w:hAnsi="Arial" w:cs="Arial"/>
          <w:lang w:val="es-ES"/>
        </w:rPr>
      </w:pPr>
      <w:r w:rsidRPr="002325FF">
        <w:rPr>
          <w:rFonts w:ascii="Arial" w:hAnsi="Arial" w:cs="Arial"/>
          <w:lang w:val="es-ES"/>
        </w:rPr>
        <w:t xml:space="preserve">Clasificación C – Debido a la naturaleza de este proyecto, se estima que no tendrá un impacto ambiental o social negativo significativo. Ver salvaguardias en </w:t>
      </w:r>
      <w:hyperlink r:id="rId14" w:history="1">
        <w:r w:rsidR="002325FF" w:rsidRPr="002325FF">
          <w:rPr>
            <w:rStyle w:val="Hyperlink"/>
            <w:rFonts w:ascii="Arial" w:hAnsi="Arial" w:cs="Arial"/>
            <w:lang w:val="es-ES"/>
          </w:rPr>
          <w:t>SPF</w:t>
        </w:r>
      </w:hyperlink>
      <w:r w:rsidR="002325FF" w:rsidRPr="002325FF">
        <w:rPr>
          <w:rFonts w:ascii="Arial" w:hAnsi="Arial" w:cs="Arial"/>
          <w:lang w:val="es-ES"/>
        </w:rPr>
        <w:t xml:space="preserve"> y </w:t>
      </w:r>
      <w:hyperlink r:id="rId15" w:history="1">
        <w:r w:rsidR="002325FF" w:rsidRPr="002325FF">
          <w:rPr>
            <w:rStyle w:val="Hyperlink"/>
            <w:rFonts w:ascii="Arial" w:hAnsi="Arial" w:cs="Arial"/>
            <w:lang w:val="es-ES"/>
          </w:rPr>
          <w:t>SSF</w:t>
        </w:r>
      </w:hyperlink>
      <w:r w:rsidR="002325FF" w:rsidRPr="002325FF">
        <w:rPr>
          <w:rFonts w:ascii="Arial" w:hAnsi="Arial" w:cs="Arial"/>
          <w:lang w:val="es-ES"/>
        </w:rPr>
        <w:t xml:space="preserve">. </w:t>
      </w:r>
    </w:p>
    <w:p w14:paraId="43BEDCC2" w14:textId="572D4CEB" w:rsidR="004B602A" w:rsidRDefault="004B602A" w:rsidP="000351D6">
      <w:pPr>
        <w:pStyle w:val="ListParagraph"/>
        <w:spacing w:before="120" w:after="120" w:line="240" w:lineRule="auto"/>
        <w:ind w:left="360"/>
        <w:contextualSpacing w:val="0"/>
        <w:jc w:val="both"/>
        <w:rPr>
          <w:rFonts w:ascii="Arial" w:hAnsi="Arial" w:cs="Arial"/>
          <w:lang w:val="es-ES"/>
        </w:rPr>
      </w:pPr>
    </w:p>
    <w:p w14:paraId="0C27CEE1" w14:textId="762BCDFF" w:rsidR="00F72899" w:rsidRPr="00D97FAD" w:rsidRDefault="00C5184A" w:rsidP="008F4286">
      <w:pPr>
        <w:spacing w:before="120" w:after="120" w:line="240" w:lineRule="auto"/>
        <w:jc w:val="both"/>
        <w:rPr>
          <w:rFonts w:ascii="Arial" w:hAnsi="Arial" w:cs="Arial"/>
          <w:b/>
          <w:lang w:val="es-ES"/>
        </w:rPr>
      </w:pPr>
      <w:r w:rsidRPr="00D97FAD">
        <w:rPr>
          <w:rFonts w:ascii="Arial" w:hAnsi="Arial" w:cs="Arial"/>
          <w:b/>
          <w:lang w:val="es-ES"/>
        </w:rPr>
        <w:t>Anexos Requeridos</w:t>
      </w:r>
      <w:r w:rsidR="00F72899" w:rsidRPr="00D97FAD">
        <w:rPr>
          <w:rFonts w:ascii="Arial" w:hAnsi="Arial" w:cs="Arial"/>
          <w:b/>
          <w:lang w:val="es-ES"/>
        </w:rPr>
        <w:t>:</w:t>
      </w:r>
      <w:r w:rsidR="00542CB3">
        <w:rPr>
          <w:rFonts w:ascii="Arial" w:hAnsi="Arial" w:cs="Arial"/>
          <w:b/>
          <w:lang w:val="es-ES"/>
        </w:rPr>
        <w:t xml:space="preserve"> </w:t>
      </w:r>
    </w:p>
    <w:p w14:paraId="6E383D64" w14:textId="3B29E538" w:rsidR="0095711B" w:rsidRPr="005D399D" w:rsidRDefault="002325FF" w:rsidP="00923DB6">
      <w:pPr>
        <w:pStyle w:val="ListParagraph"/>
        <w:numPr>
          <w:ilvl w:val="0"/>
          <w:numId w:val="11"/>
        </w:numPr>
        <w:spacing w:before="120" w:after="120" w:line="240" w:lineRule="auto"/>
        <w:jc w:val="both"/>
        <w:rPr>
          <w:rFonts w:ascii="Arial" w:hAnsi="Arial" w:cs="Arial"/>
          <w:lang w:val="es-ES"/>
        </w:rPr>
      </w:pPr>
      <w:hyperlink r:id="rId16" w:history="1">
        <w:r>
          <w:rPr>
            <w:rStyle w:val="Hyperlink"/>
            <w:rFonts w:ascii="Arial" w:hAnsi="Arial" w:cs="Arial"/>
            <w:lang w:val="es-ES"/>
          </w:rPr>
          <w:t>Solicitud del cliente</w:t>
        </w:r>
      </w:hyperlink>
      <w:r>
        <w:rPr>
          <w:rFonts w:ascii="Arial" w:hAnsi="Arial" w:cs="Arial"/>
          <w:lang w:val="es-ES"/>
        </w:rPr>
        <w:t xml:space="preserve"> </w:t>
      </w:r>
    </w:p>
    <w:p w14:paraId="19F91A8A" w14:textId="77777777" w:rsidR="002325FF" w:rsidRDefault="00555F96" w:rsidP="005D399D">
      <w:pPr>
        <w:pStyle w:val="ListParagraph"/>
        <w:numPr>
          <w:ilvl w:val="0"/>
          <w:numId w:val="11"/>
        </w:numPr>
        <w:spacing w:before="120" w:after="120" w:line="240" w:lineRule="auto"/>
        <w:jc w:val="both"/>
        <w:rPr>
          <w:rFonts w:ascii="Arial" w:hAnsi="Arial" w:cs="Arial"/>
          <w:lang w:val="es-ES"/>
        </w:rPr>
      </w:pPr>
      <w:hyperlink r:id="rId17" w:history="1">
        <w:r w:rsidR="002325FF">
          <w:rPr>
            <w:rStyle w:val="Hyperlink"/>
            <w:rFonts w:ascii="Arial" w:hAnsi="Arial" w:cs="Arial"/>
            <w:lang w:val="es-ES"/>
          </w:rPr>
          <w:t>Matriz de Resultados</w:t>
        </w:r>
      </w:hyperlink>
    </w:p>
    <w:p w14:paraId="2B2743B6" w14:textId="58BA919B" w:rsidR="00F72899" w:rsidRPr="0067628C" w:rsidRDefault="00555F96" w:rsidP="005D399D">
      <w:pPr>
        <w:pStyle w:val="ListParagraph"/>
        <w:numPr>
          <w:ilvl w:val="0"/>
          <w:numId w:val="11"/>
        </w:numPr>
        <w:spacing w:before="120" w:after="120" w:line="240" w:lineRule="auto"/>
        <w:jc w:val="both"/>
        <w:rPr>
          <w:rFonts w:ascii="Arial" w:hAnsi="Arial" w:cs="Arial"/>
          <w:lang w:val="es-ES"/>
        </w:rPr>
      </w:pPr>
      <w:hyperlink r:id="rId18" w:history="1">
        <w:r w:rsidR="002325FF">
          <w:rPr>
            <w:rStyle w:val="Hyperlink"/>
            <w:rFonts w:ascii="Arial" w:hAnsi="Arial" w:cs="Arial"/>
            <w:lang w:val="es-ES"/>
          </w:rPr>
          <w:t>Términos de Referencia para Actividades/Componentes a ser Adquiridos</w:t>
        </w:r>
      </w:hyperlink>
      <w:r w:rsidR="000351D6" w:rsidRPr="0067628C">
        <w:rPr>
          <w:rFonts w:ascii="Arial" w:hAnsi="Arial" w:cs="Arial"/>
          <w:lang w:val="es-ES"/>
        </w:rPr>
        <w:t xml:space="preserve"> (inclu</w:t>
      </w:r>
      <w:r w:rsidR="002325FF">
        <w:rPr>
          <w:rFonts w:ascii="Arial" w:hAnsi="Arial" w:cs="Arial"/>
          <w:lang w:val="es-ES"/>
        </w:rPr>
        <w:t>irá</w:t>
      </w:r>
      <w:r w:rsidR="000351D6" w:rsidRPr="0067628C">
        <w:rPr>
          <w:rFonts w:ascii="Arial" w:hAnsi="Arial" w:cs="Arial"/>
          <w:lang w:val="es-ES"/>
        </w:rPr>
        <w:t xml:space="preserve"> </w:t>
      </w:r>
      <w:r w:rsidR="002325FF">
        <w:rPr>
          <w:rFonts w:ascii="Arial" w:hAnsi="Arial" w:cs="Arial"/>
          <w:lang w:val="es-ES"/>
        </w:rPr>
        <w:t>un A</w:t>
      </w:r>
      <w:r w:rsidR="000351D6" w:rsidRPr="0067628C">
        <w:rPr>
          <w:rFonts w:ascii="Arial" w:hAnsi="Arial" w:cs="Arial"/>
          <w:lang w:val="es-ES"/>
        </w:rPr>
        <w:t xml:space="preserve">cuerdo de </w:t>
      </w:r>
      <w:r w:rsidR="002325FF">
        <w:rPr>
          <w:rFonts w:ascii="Arial" w:hAnsi="Arial" w:cs="Arial"/>
          <w:lang w:val="es-ES"/>
        </w:rPr>
        <w:t>C</w:t>
      </w:r>
      <w:r w:rsidR="000351D6" w:rsidRPr="0067628C">
        <w:rPr>
          <w:rFonts w:ascii="Arial" w:hAnsi="Arial" w:cs="Arial"/>
          <w:lang w:val="es-ES"/>
        </w:rPr>
        <w:t xml:space="preserve">olaboración entre </w:t>
      </w:r>
      <w:r w:rsidR="005D399D" w:rsidRPr="0067628C">
        <w:rPr>
          <w:rFonts w:ascii="Arial" w:hAnsi="Arial" w:cs="Arial"/>
          <w:lang w:val="es-ES"/>
        </w:rPr>
        <w:t xml:space="preserve">el </w:t>
      </w:r>
      <w:r w:rsidR="000351D6" w:rsidRPr="0067628C">
        <w:rPr>
          <w:rFonts w:ascii="Arial" w:hAnsi="Arial" w:cs="Arial"/>
          <w:lang w:val="es-ES"/>
        </w:rPr>
        <w:t>Servicio Público de Empleo de Francia y SENCE</w:t>
      </w:r>
      <w:r w:rsidR="002B087E">
        <w:rPr>
          <w:rFonts w:ascii="Arial" w:hAnsi="Arial" w:cs="Arial"/>
          <w:lang w:val="es-ES"/>
        </w:rPr>
        <w:t xml:space="preserve"> actualmente</w:t>
      </w:r>
      <w:r w:rsidR="002325FF">
        <w:rPr>
          <w:rFonts w:ascii="Arial" w:hAnsi="Arial" w:cs="Arial"/>
          <w:lang w:val="es-ES"/>
        </w:rPr>
        <w:t xml:space="preserve"> en preparación</w:t>
      </w:r>
      <w:r w:rsidR="005D399D" w:rsidRPr="0067628C">
        <w:rPr>
          <w:rFonts w:ascii="Arial" w:hAnsi="Arial" w:cs="Arial"/>
          <w:lang w:val="es-ES"/>
        </w:rPr>
        <w:t>)</w:t>
      </w:r>
      <w:r w:rsidR="00542CB3" w:rsidRPr="0067628C">
        <w:rPr>
          <w:rFonts w:ascii="Arial" w:hAnsi="Arial" w:cs="Arial"/>
          <w:lang w:val="es-ES"/>
        </w:rPr>
        <w:t xml:space="preserve"> </w:t>
      </w:r>
    </w:p>
    <w:p w14:paraId="1C5D5F48" w14:textId="64E262C5" w:rsidR="00466C7E" w:rsidRPr="005D399D" w:rsidRDefault="002325FF" w:rsidP="008F4286">
      <w:pPr>
        <w:pStyle w:val="ListParagraph"/>
        <w:numPr>
          <w:ilvl w:val="0"/>
          <w:numId w:val="11"/>
        </w:numPr>
        <w:spacing w:before="120" w:after="120" w:line="240" w:lineRule="auto"/>
        <w:jc w:val="both"/>
        <w:rPr>
          <w:rFonts w:ascii="Arial" w:hAnsi="Arial" w:cs="Arial"/>
          <w:lang w:val="es-ES"/>
        </w:rPr>
      </w:pPr>
      <w:hyperlink r:id="rId19" w:history="1">
        <w:r>
          <w:rPr>
            <w:rStyle w:val="Hyperlink"/>
            <w:rFonts w:ascii="Arial" w:hAnsi="Arial" w:cs="Arial"/>
            <w:lang w:val="es-ES"/>
          </w:rPr>
          <w:t>Plan de Adquisiciones</w:t>
        </w:r>
      </w:hyperlink>
      <w:r>
        <w:rPr>
          <w:rFonts w:ascii="Arial" w:hAnsi="Arial" w:cs="Arial"/>
          <w:lang w:val="es-ES"/>
        </w:rPr>
        <w:t xml:space="preserve"> </w:t>
      </w:r>
    </w:p>
    <w:p w14:paraId="5EABF64F" w14:textId="77777777" w:rsidR="00A452A4" w:rsidRPr="00A452A4" w:rsidRDefault="00A452A4" w:rsidP="007C6B4B">
      <w:pPr>
        <w:spacing w:before="120" w:after="120" w:line="240" w:lineRule="auto"/>
        <w:ind w:left="360" w:hanging="360"/>
        <w:jc w:val="both"/>
        <w:rPr>
          <w:rFonts w:ascii="Arial" w:hAnsi="Arial" w:cs="Arial"/>
          <w:lang w:val="es-ES_tradnl"/>
        </w:rPr>
      </w:pPr>
    </w:p>
    <w:sectPr w:rsidR="00A452A4" w:rsidRPr="00A452A4" w:rsidSect="008F4286">
      <w:headerReference w:type="default" r:id="rId20"/>
      <w:foot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7C54E" w14:textId="77777777" w:rsidR="00555F96" w:rsidRDefault="00555F96" w:rsidP="0095711B">
      <w:pPr>
        <w:spacing w:after="0" w:line="240" w:lineRule="auto"/>
      </w:pPr>
      <w:r>
        <w:separator/>
      </w:r>
    </w:p>
  </w:endnote>
  <w:endnote w:type="continuationSeparator" w:id="0">
    <w:p w14:paraId="61A5B30C" w14:textId="77777777" w:rsidR="00555F96" w:rsidRDefault="00555F96"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01D96" w14:textId="77777777" w:rsidR="009F3CA2" w:rsidRDefault="009F3CA2">
    <w:pPr>
      <w:pStyle w:val="Footer"/>
      <w:jc w:val="center"/>
    </w:pPr>
  </w:p>
  <w:p w14:paraId="45FBD9BC"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BA56C" w14:textId="77777777" w:rsidR="00555F96" w:rsidRDefault="00555F96" w:rsidP="0095711B">
      <w:pPr>
        <w:spacing w:after="0" w:line="240" w:lineRule="auto"/>
      </w:pPr>
      <w:r>
        <w:separator/>
      </w:r>
    </w:p>
  </w:footnote>
  <w:footnote w:type="continuationSeparator" w:id="0">
    <w:p w14:paraId="0FB59B9E" w14:textId="77777777" w:rsidR="00555F96" w:rsidRDefault="00555F96" w:rsidP="0095711B">
      <w:pPr>
        <w:spacing w:after="0" w:line="240" w:lineRule="auto"/>
      </w:pPr>
      <w:r>
        <w:continuationSeparator/>
      </w:r>
    </w:p>
  </w:footnote>
  <w:footnote w:id="1">
    <w:p w14:paraId="43C2EC87" w14:textId="206F3442" w:rsidR="0089230D" w:rsidRPr="00374EAB" w:rsidRDefault="0089230D" w:rsidP="004D7AE9">
      <w:pPr>
        <w:pStyle w:val="FootnoteText"/>
        <w:ind w:left="360" w:hanging="360"/>
        <w:jc w:val="both"/>
        <w:rPr>
          <w:rFonts w:ascii="Arial" w:hAnsi="Arial" w:cs="Arial"/>
          <w:sz w:val="16"/>
          <w:szCs w:val="16"/>
          <w:lang w:val="es-ES_tradnl"/>
        </w:rPr>
      </w:pPr>
      <w:r w:rsidRPr="0089230D">
        <w:rPr>
          <w:rStyle w:val="FootnoteReference"/>
          <w:rFonts w:ascii="Arial" w:hAnsi="Arial" w:cs="Arial"/>
          <w:sz w:val="18"/>
          <w:szCs w:val="18"/>
        </w:rPr>
        <w:footnoteRef/>
      </w:r>
      <w:r w:rsidRPr="0089230D">
        <w:rPr>
          <w:rFonts w:ascii="Arial" w:hAnsi="Arial" w:cs="Arial"/>
          <w:sz w:val="18"/>
          <w:szCs w:val="18"/>
          <w:lang w:val="es-ES_tradnl"/>
        </w:rPr>
        <w:t xml:space="preserve"> </w:t>
      </w:r>
      <w:r w:rsidR="004D7AE9">
        <w:rPr>
          <w:rFonts w:ascii="Arial" w:hAnsi="Arial" w:cs="Arial"/>
          <w:sz w:val="18"/>
          <w:szCs w:val="18"/>
          <w:lang w:val="es-ES_tradnl"/>
        </w:rPr>
        <w:tab/>
      </w:r>
      <w:r w:rsidRPr="00374EAB">
        <w:rPr>
          <w:rFonts w:ascii="Arial" w:hAnsi="Arial" w:cs="Arial"/>
          <w:sz w:val="16"/>
          <w:szCs w:val="16"/>
          <w:lang w:val="es-ES_tradnl"/>
        </w:rPr>
        <w:t>Dicho sistema es considerado un pilar fundamental para el desarrollo económico de los países y para el bienestar de sus ciudadanos, al ser una condición necesaria para el crecimiento de la productividad en el largo plazo. La experiencia internacional permite identificar los siguientes factores de éxito en el desarrollo de estos sistemas: (i)</w:t>
      </w:r>
      <w:r w:rsidR="00374EAB">
        <w:rPr>
          <w:rFonts w:ascii="Arial" w:hAnsi="Arial" w:cs="Arial"/>
          <w:sz w:val="16"/>
          <w:szCs w:val="16"/>
          <w:lang w:val="es-ES_tradnl"/>
        </w:rPr>
        <w:t> </w:t>
      </w:r>
      <w:r w:rsidRPr="00374EAB">
        <w:rPr>
          <w:rFonts w:ascii="Arial" w:hAnsi="Arial" w:cs="Arial"/>
          <w:sz w:val="16"/>
          <w:szCs w:val="16"/>
          <w:lang w:val="es-ES_tradnl"/>
        </w:rPr>
        <w:t>identificar de forma eficaz y temprana los requerimientos de habilidades del sector productivo; (ii) traducir exitosamente los requerimientos de habilidades de los empleadores (expresados en estándares de competencia) a currículos que se desarrollan con base en, y permiten alcanzar esos estándares; (iii) asegurar la calidad del sistema en todos los niveles; y (iv)</w:t>
      </w:r>
      <w:r w:rsidR="0005093D" w:rsidRPr="00374EAB">
        <w:rPr>
          <w:rFonts w:ascii="Arial" w:hAnsi="Arial" w:cs="Arial"/>
          <w:sz w:val="16"/>
          <w:szCs w:val="16"/>
          <w:lang w:val="es-ES_tradnl"/>
        </w:rPr>
        <w:t> </w:t>
      </w:r>
      <w:r w:rsidRPr="00374EAB">
        <w:rPr>
          <w:rFonts w:ascii="Arial" w:hAnsi="Arial" w:cs="Arial"/>
          <w:sz w:val="16"/>
          <w:szCs w:val="16"/>
          <w:lang w:val="es-ES_tradnl"/>
        </w:rPr>
        <w:t>realizar un manejo eficaz de los recursos financieros, orientándolos a paliar fallas de mercado e inequidades (</w:t>
      </w:r>
      <w:proofErr w:type="spellStart"/>
      <w:r w:rsidRPr="00374EAB">
        <w:rPr>
          <w:rFonts w:ascii="Arial" w:hAnsi="Arial" w:cs="Arial"/>
          <w:sz w:val="16"/>
          <w:szCs w:val="16"/>
          <w:lang w:val="es-ES_tradnl"/>
        </w:rPr>
        <w:t>Fieldsend</w:t>
      </w:r>
      <w:proofErr w:type="spellEnd"/>
      <w:r w:rsidRPr="00374EAB">
        <w:rPr>
          <w:rFonts w:ascii="Arial" w:hAnsi="Arial" w:cs="Arial"/>
          <w:sz w:val="16"/>
          <w:szCs w:val="16"/>
          <w:lang w:val="es-ES_tradnl"/>
        </w:rPr>
        <w:t xml:space="preserve">, 2016, Van </w:t>
      </w:r>
      <w:proofErr w:type="spellStart"/>
      <w:r w:rsidRPr="00374EAB">
        <w:rPr>
          <w:rFonts w:ascii="Arial" w:hAnsi="Arial" w:cs="Arial"/>
          <w:sz w:val="16"/>
          <w:szCs w:val="16"/>
          <w:lang w:val="es-ES_tradnl"/>
        </w:rPr>
        <w:t>Breugel</w:t>
      </w:r>
      <w:proofErr w:type="spellEnd"/>
      <w:r w:rsidRPr="00374EAB">
        <w:rPr>
          <w:rFonts w:ascii="Arial" w:hAnsi="Arial" w:cs="Arial"/>
          <w:sz w:val="16"/>
          <w:szCs w:val="16"/>
          <w:lang w:val="es-ES_tradnl"/>
        </w:rPr>
        <w:t>, 2012).</w:t>
      </w:r>
    </w:p>
  </w:footnote>
  <w:footnote w:id="2">
    <w:p w14:paraId="27F8D262" w14:textId="7044C80D" w:rsidR="0089230D" w:rsidRPr="00374EAB" w:rsidRDefault="0089230D" w:rsidP="0005093D">
      <w:pPr>
        <w:pStyle w:val="FootnoteText"/>
        <w:ind w:left="360" w:hanging="360"/>
        <w:jc w:val="both"/>
        <w:rPr>
          <w:rFonts w:ascii="Arial" w:hAnsi="Arial" w:cs="Arial"/>
          <w:spacing w:val="-4"/>
          <w:sz w:val="16"/>
          <w:szCs w:val="16"/>
          <w:lang w:val="es-ES_tradnl"/>
        </w:rPr>
      </w:pPr>
      <w:r w:rsidRPr="00374EAB">
        <w:rPr>
          <w:rStyle w:val="FootnoteReference"/>
          <w:rFonts w:ascii="Arial" w:hAnsi="Arial" w:cs="Arial"/>
          <w:sz w:val="16"/>
          <w:szCs w:val="16"/>
        </w:rPr>
        <w:footnoteRef/>
      </w:r>
      <w:r w:rsidRPr="00374EAB">
        <w:rPr>
          <w:rFonts w:ascii="Arial" w:hAnsi="Arial" w:cs="Arial"/>
          <w:sz w:val="16"/>
          <w:szCs w:val="16"/>
          <w:lang w:val="es-ES_tradnl"/>
        </w:rPr>
        <w:t xml:space="preserve"> </w:t>
      </w:r>
      <w:r w:rsidR="0005093D" w:rsidRPr="00374EAB">
        <w:rPr>
          <w:rFonts w:ascii="Arial" w:hAnsi="Arial" w:cs="Arial"/>
          <w:sz w:val="16"/>
          <w:szCs w:val="16"/>
          <w:lang w:val="es-ES_tradnl"/>
        </w:rPr>
        <w:tab/>
      </w:r>
      <w:r w:rsidRPr="00374EAB">
        <w:rPr>
          <w:rFonts w:ascii="Arial" w:hAnsi="Arial" w:cs="Arial"/>
          <w:spacing w:val="-4"/>
          <w:sz w:val="16"/>
          <w:szCs w:val="16"/>
          <w:lang w:val="es-ES_tradnl"/>
        </w:rPr>
        <w:t xml:space="preserve">En los países con </w:t>
      </w:r>
      <w:r w:rsidR="00CD29D0" w:rsidRPr="00374EAB">
        <w:rPr>
          <w:rFonts w:ascii="Arial" w:hAnsi="Arial" w:cs="Arial"/>
          <w:spacing w:val="-4"/>
          <w:sz w:val="16"/>
          <w:szCs w:val="16"/>
          <w:lang w:val="es-ES_tradnl"/>
        </w:rPr>
        <w:t>S</w:t>
      </w:r>
      <w:r w:rsidRPr="00374EAB">
        <w:rPr>
          <w:rFonts w:ascii="Arial" w:hAnsi="Arial" w:cs="Arial"/>
          <w:spacing w:val="-4"/>
          <w:sz w:val="16"/>
          <w:szCs w:val="16"/>
          <w:lang w:val="es-ES_tradnl"/>
        </w:rPr>
        <w:t xml:space="preserve">IL público desarrollado, </w:t>
      </w:r>
      <w:r w:rsidR="00CA053B" w:rsidRPr="00374EAB">
        <w:rPr>
          <w:rFonts w:ascii="Arial" w:hAnsi="Arial" w:cs="Arial"/>
          <w:spacing w:val="-4"/>
          <w:sz w:val="16"/>
          <w:szCs w:val="16"/>
          <w:lang w:val="es-ES_tradnl"/>
        </w:rPr>
        <w:t xml:space="preserve">éste </w:t>
      </w:r>
      <w:r w:rsidRPr="00374EAB">
        <w:rPr>
          <w:rFonts w:ascii="Arial" w:hAnsi="Arial" w:cs="Arial"/>
          <w:spacing w:val="-4"/>
          <w:sz w:val="16"/>
          <w:szCs w:val="16"/>
          <w:lang w:val="es-ES_tradnl"/>
        </w:rPr>
        <w:t>constituye la puerta de entrada del ciudadano a las políticas de empleo, y articulan toda la oferta de servicios en una lógica de lograr mejores trayectorias laborales. A través de instrumentos de perfilamiento, se determina cuál es el tipo de atención que una persona requiere, buscando otorgar una intervención que sea a la vez pertinente y costo-efectiva (</w:t>
      </w:r>
      <w:proofErr w:type="spellStart"/>
      <w:r w:rsidRPr="00374EAB">
        <w:rPr>
          <w:rFonts w:ascii="Arial" w:hAnsi="Arial" w:cs="Arial"/>
          <w:spacing w:val="-4"/>
          <w:sz w:val="16"/>
          <w:szCs w:val="16"/>
          <w:lang w:val="es-ES_tradnl"/>
        </w:rPr>
        <w:t>Nunn</w:t>
      </w:r>
      <w:proofErr w:type="spellEnd"/>
      <w:r w:rsidRPr="00374EAB">
        <w:rPr>
          <w:rFonts w:ascii="Arial" w:hAnsi="Arial" w:cs="Arial"/>
          <w:spacing w:val="-4"/>
          <w:sz w:val="16"/>
          <w:szCs w:val="16"/>
          <w:lang w:val="es-ES_tradnl"/>
        </w:rPr>
        <w:t xml:space="preserve">, 2016). </w:t>
      </w:r>
      <w:r w:rsidR="00CA053B" w:rsidRPr="00374EAB">
        <w:rPr>
          <w:rFonts w:ascii="Arial" w:hAnsi="Arial" w:cs="Arial"/>
          <w:spacing w:val="-4"/>
          <w:sz w:val="16"/>
          <w:szCs w:val="16"/>
          <w:lang w:val="es-ES_tradnl"/>
        </w:rPr>
        <w:t>Estos SIL públicos</w:t>
      </w:r>
      <w:r w:rsidRPr="00374EAB">
        <w:rPr>
          <w:rFonts w:ascii="Arial" w:hAnsi="Arial" w:cs="Arial"/>
          <w:spacing w:val="-4"/>
          <w:sz w:val="16"/>
          <w:szCs w:val="16"/>
          <w:lang w:val="es-ES_tradnl"/>
        </w:rPr>
        <w:t xml:space="preserve"> proveen directamente o vinculan a trabajadores y empresas </w:t>
      </w:r>
      <w:r w:rsidR="00CD29D0" w:rsidRPr="00374EAB">
        <w:rPr>
          <w:rFonts w:ascii="Arial" w:hAnsi="Arial" w:cs="Arial"/>
          <w:spacing w:val="-4"/>
          <w:sz w:val="16"/>
          <w:szCs w:val="16"/>
          <w:lang w:val="es-ES_tradnl"/>
        </w:rPr>
        <w:t xml:space="preserve">por medio de un paquete de </w:t>
      </w:r>
      <w:r w:rsidRPr="00374EAB">
        <w:rPr>
          <w:rFonts w:ascii="Arial" w:hAnsi="Arial" w:cs="Arial"/>
          <w:spacing w:val="-4"/>
          <w:sz w:val="16"/>
          <w:szCs w:val="16"/>
          <w:lang w:val="es-ES_tradnl"/>
        </w:rPr>
        <w:t>servicios</w:t>
      </w:r>
      <w:r w:rsidR="00CD29D0" w:rsidRPr="00374EAB">
        <w:rPr>
          <w:rFonts w:ascii="Arial" w:hAnsi="Arial" w:cs="Arial"/>
          <w:spacing w:val="-4"/>
          <w:sz w:val="16"/>
          <w:szCs w:val="16"/>
          <w:lang w:val="es-ES_tradnl"/>
        </w:rPr>
        <w:t xml:space="preserve"> </w:t>
      </w:r>
      <w:r w:rsidR="00CA053B" w:rsidRPr="00374EAB">
        <w:rPr>
          <w:rFonts w:ascii="Arial" w:hAnsi="Arial" w:cs="Arial"/>
          <w:spacing w:val="-4"/>
          <w:sz w:val="16"/>
          <w:szCs w:val="16"/>
          <w:lang w:val="es-ES_tradnl"/>
        </w:rPr>
        <w:t xml:space="preserve">que va más allá del propio acoplamiento y </w:t>
      </w:r>
      <w:r w:rsidR="00CD29D0" w:rsidRPr="00374EAB">
        <w:rPr>
          <w:rFonts w:ascii="Arial" w:hAnsi="Arial" w:cs="Arial"/>
          <w:spacing w:val="-4"/>
          <w:sz w:val="16"/>
          <w:szCs w:val="16"/>
          <w:lang w:val="es-ES_tradnl"/>
        </w:rPr>
        <w:t xml:space="preserve">que </w:t>
      </w:r>
      <w:r w:rsidR="00CA053B" w:rsidRPr="00374EAB">
        <w:rPr>
          <w:rFonts w:ascii="Arial" w:hAnsi="Arial" w:cs="Arial"/>
          <w:spacing w:val="-4"/>
          <w:sz w:val="16"/>
          <w:szCs w:val="16"/>
          <w:lang w:val="es-ES_tradnl"/>
        </w:rPr>
        <w:t>puede incluir</w:t>
      </w:r>
      <w:r w:rsidRPr="00374EAB">
        <w:rPr>
          <w:rFonts w:ascii="Arial" w:hAnsi="Arial" w:cs="Arial"/>
          <w:spacing w:val="-4"/>
          <w:sz w:val="16"/>
          <w:szCs w:val="16"/>
          <w:lang w:val="es-ES_tradnl"/>
        </w:rPr>
        <w:t>: (i) información del mercado laboral; (ii) asesoría laboral y servicios de reclutamiento para las empresas; (iii) capacitación y otras políticas activas del mercado laboral; (iv)</w:t>
      </w:r>
      <w:r w:rsidR="0005093D" w:rsidRPr="00374EAB">
        <w:rPr>
          <w:rFonts w:ascii="Arial" w:hAnsi="Arial" w:cs="Arial"/>
          <w:spacing w:val="-4"/>
          <w:sz w:val="16"/>
          <w:szCs w:val="16"/>
          <w:lang w:val="es-ES_tradnl"/>
        </w:rPr>
        <w:t> </w:t>
      </w:r>
      <w:r w:rsidRPr="00374EAB">
        <w:rPr>
          <w:rFonts w:ascii="Arial" w:hAnsi="Arial" w:cs="Arial"/>
          <w:spacing w:val="-4"/>
          <w:sz w:val="16"/>
          <w:szCs w:val="16"/>
          <w:lang w:val="es-ES_tradnl"/>
        </w:rPr>
        <w:t>administración de seguros de desempleo, y (v) gestión de migración.</w:t>
      </w:r>
    </w:p>
  </w:footnote>
  <w:footnote w:id="3">
    <w:p w14:paraId="0FABBD31" w14:textId="6285080C" w:rsidR="0089230D" w:rsidRPr="00374EAB" w:rsidRDefault="0089230D" w:rsidP="0005093D">
      <w:pPr>
        <w:pStyle w:val="FootnoteText"/>
        <w:ind w:left="360" w:hanging="360"/>
        <w:jc w:val="both"/>
        <w:rPr>
          <w:rFonts w:ascii="Arial" w:hAnsi="Arial" w:cs="Arial"/>
          <w:sz w:val="16"/>
          <w:szCs w:val="16"/>
          <w:lang w:val="es-ES"/>
        </w:rPr>
      </w:pPr>
      <w:r>
        <w:rPr>
          <w:rFonts w:ascii="Arial" w:hAnsi="Arial" w:cs="Arial"/>
          <w:sz w:val="18"/>
          <w:szCs w:val="18"/>
          <w:vertAlign w:val="superscript"/>
          <w:lang w:val="es-ES"/>
        </w:rPr>
        <w:footnoteRef/>
      </w:r>
      <w:r>
        <w:rPr>
          <w:rFonts w:ascii="Arial" w:hAnsi="Arial" w:cs="Arial"/>
          <w:sz w:val="18"/>
          <w:szCs w:val="18"/>
          <w:vertAlign w:val="superscript"/>
          <w:lang w:val="es-ES"/>
        </w:rPr>
        <w:t xml:space="preserve"> </w:t>
      </w:r>
      <w:r>
        <w:rPr>
          <w:rFonts w:ascii="Arial" w:hAnsi="Arial" w:cs="Arial"/>
          <w:sz w:val="18"/>
          <w:szCs w:val="18"/>
          <w:lang w:val="es-ES"/>
        </w:rPr>
        <w:tab/>
      </w:r>
      <w:r w:rsidRPr="00374EAB">
        <w:rPr>
          <w:rFonts w:ascii="Arial" w:hAnsi="Arial" w:cs="Arial"/>
          <w:sz w:val="16"/>
          <w:szCs w:val="16"/>
          <w:lang w:val="es-ES"/>
        </w:rPr>
        <w:t xml:space="preserve">En particular, desde el 2014, el SENCE ejecuta el Programa </w:t>
      </w:r>
      <w:r w:rsidR="009D3664" w:rsidRPr="00374EAB">
        <w:rPr>
          <w:rFonts w:ascii="Arial" w:hAnsi="Arial" w:cs="Arial"/>
          <w:sz w:val="16"/>
          <w:szCs w:val="16"/>
          <w:lang w:val="es-ES"/>
        </w:rPr>
        <w:t>+</w:t>
      </w:r>
      <w:r w:rsidRPr="00374EAB">
        <w:rPr>
          <w:rFonts w:ascii="Arial" w:hAnsi="Arial" w:cs="Arial"/>
          <w:sz w:val="16"/>
          <w:szCs w:val="16"/>
          <w:lang w:val="es-ES"/>
        </w:rPr>
        <w:t>Capaz</w:t>
      </w:r>
      <w:r w:rsidR="005D399D" w:rsidRPr="00374EAB">
        <w:rPr>
          <w:rFonts w:ascii="Arial" w:hAnsi="Arial" w:cs="Arial"/>
          <w:sz w:val="16"/>
          <w:szCs w:val="16"/>
          <w:lang w:val="es-ES"/>
        </w:rPr>
        <w:t>,</w:t>
      </w:r>
      <w:r w:rsidRPr="00374EAB">
        <w:rPr>
          <w:rFonts w:ascii="Arial" w:hAnsi="Arial" w:cs="Arial"/>
          <w:sz w:val="16"/>
          <w:szCs w:val="16"/>
          <w:lang w:val="es-ES"/>
        </w:rPr>
        <w:t xml:space="preserve"> que tiene el objetivo de apoyar el acceso y permanencia en el mercado laboral de mujeres, jóvenes y personas con discapacidad que se encuentren en situación de vulnerabilidad social, mediante la capacitación técnica, ha</w:t>
      </w:r>
      <w:proofErr w:type="spellStart"/>
      <w:r w:rsidRPr="00374EAB">
        <w:rPr>
          <w:rFonts w:ascii="Arial" w:hAnsi="Arial" w:cs="Arial"/>
          <w:sz w:val="16"/>
          <w:szCs w:val="16"/>
          <w:lang w:val="es-ES_tradnl"/>
        </w:rPr>
        <w:t>bilidades</w:t>
      </w:r>
      <w:proofErr w:type="spellEnd"/>
      <w:r w:rsidRPr="00374EAB">
        <w:rPr>
          <w:rFonts w:ascii="Arial" w:hAnsi="Arial" w:cs="Arial"/>
          <w:sz w:val="16"/>
          <w:szCs w:val="16"/>
          <w:lang w:val="es-ES_tradnl"/>
        </w:rPr>
        <w:t xml:space="preserve"> </w:t>
      </w:r>
      <w:r w:rsidRPr="00374EAB">
        <w:rPr>
          <w:rFonts w:ascii="Arial" w:hAnsi="Arial" w:cs="Arial"/>
          <w:sz w:val="16"/>
          <w:szCs w:val="16"/>
          <w:lang w:val="es-ES"/>
        </w:rPr>
        <w:t>transversales e intermediación laboral, que favorezcan su empleabilidad.</w:t>
      </w:r>
    </w:p>
  </w:footnote>
  <w:footnote w:id="4">
    <w:p w14:paraId="40352BE4" w14:textId="65347AC7" w:rsidR="007560C6" w:rsidRPr="00374EAB" w:rsidRDefault="009C0F18" w:rsidP="00374EAB">
      <w:pPr>
        <w:pStyle w:val="FootnoteText"/>
        <w:ind w:left="720" w:hanging="360"/>
        <w:jc w:val="both"/>
        <w:rPr>
          <w:rFonts w:ascii="Arial" w:hAnsi="Arial" w:cs="Arial"/>
          <w:spacing w:val="-6"/>
          <w:sz w:val="16"/>
          <w:szCs w:val="16"/>
          <w:lang w:val="es-ES_tradnl"/>
        </w:rPr>
      </w:pPr>
      <w:r w:rsidRPr="009476A9">
        <w:rPr>
          <w:rStyle w:val="FootnoteReference"/>
          <w:rFonts w:ascii="Arial" w:hAnsi="Arial" w:cs="Arial"/>
          <w:sz w:val="18"/>
          <w:szCs w:val="18"/>
        </w:rPr>
        <w:footnoteRef/>
      </w:r>
      <w:r w:rsidRPr="00CD2381">
        <w:rPr>
          <w:rFonts w:ascii="Arial" w:hAnsi="Arial" w:cs="Arial"/>
          <w:sz w:val="18"/>
          <w:szCs w:val="18"/>
          <w:lang w:val="es-ES_tradnl"/>
        </w:rPr>
        <w:t xml:space="preserve"> </w:t>
      </w:r>
      <w:r w:rsidR="00374EAB">
        <w:rPr>
          <w:rFonts w:ascii="Arial" w:hAnsi="Arial" w:cs="Arial"/>
          <w:sz w:val="18"/>
          <w:szCs w:val="18"/>
          <w:lang w:val="es-ES_tradnl"/>
        </w:rPr>
        <w:tab/>
      </w:r>
      <w:r w:rsidR="002F6850" w:rsidRPr="00374EAB">
        <w:rPr>
          <w:rFonts w:ascii="Arial" w:hAnsi="Arial" w:cs="Arial"/>
          <w:spacing w:val="-6"/>
          <w:sz w:val="16"/>
          <w:szCs w:val="16"/>
          <w:lang w:val="es-ES_tradnl"/>
        </w:rPr>
        <w:t>La decisión por colaborar con el SPE de Francia para la revisión y rediseño del esquema de atención a empresas y a grupos vulnerables se debe al enfoque estratégico</w:t>
      </w:r>
      <w:r w:rsidR="006B105D"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e</w:t>
      </w:r>
      <w:r w:rsidR="006B105D" w:rsidRPr="00374EAB">
        <w:rPr>
          <w:rFonts w:ascii="Arial" w:hAnsi="Arial" w:cs="Arial"/>
          <w:spacing w:val="-6"/>
          <w:sz w:val="16"/>
          <w:szCs w:val="16"/>
          <w:lang w:val="es-ES_tradnl"/>
        </w:rPr>
        <w:t xml:space="preserve"> innovador</w:t>
      </w:r>
      <w:r w:rsidR="002F6850" w:rsidRPr="00374EAB">
        <w:rPr>
          <w:rFonts w:ascii="Arial" w:hAnsi="Arial" w:cs="Arial"/>
          <w:spacing w:val="-6"/>
          <w:sz w:val="16"/>
          <w:szCs w:val="16"/>
          <w:lang w:val="es-ES_tradnl"/>
        </w:rPr>
        <w:t xml:space="preserve"> de </w:t>
      </w:r>
      <w:proofErr w:type="spellStart"/>
      <w:r w:rsidR="002F6850" w:rsidRPr="00374EAB">
        <w:rPr>
          <w:rFonts w:ascii="Arial" w:hAnsi="Arial" w:cs="Arial"/>
          <w:spacing w:val="-6"/>
          <w:sz w:val="16"/>
          <w:szCs w:val="16"/>
          <w:lang w:val="es-ES_tradnl"/>
        </w:rPr>
        <w:t>Pôle</w:t>
      </w:r>
      <w:proofErr w:type="spellEnd"/>
      <w:r w:rsidR="002F6850" w:rsidRPr="00374EAB">
        <w:rPr>
          <w:rFonts w:ascii="Arial" w:hAnsi="Arial" w:cs="Arial"/>
          <w:spacing w:val="-6"/>
          <w:sz w:val="16"/>
          <w:szCs w:val="16"/>
          <w:lang w:val="es-ES_tradnl"/>
        </w:rPr>
        <w:t xml:space="preserve"> </w:t>
      </w:r>
      <w:proofErr w:type="spellStart"/>
      <w:r w:rsidR="002F6850" w:rsidRPr="00374EAB">
        <w:rPr>
          <w:rFonts w:ascii="Arial" w:hAnsi="Arial" w:cs="Arial"/>
          <w:spacing w:val="-6"/>
          <w:sz w:val="16"/>
          <w:szCs w:val="16"/>
          <w:lang w:val="es-ES_tradnl"/>
        </w:rPr>
        <w:t>Emploi</w:t>
      </w:r>
      <w:proofErr w:type="spellEnd"/>
      <w:r w:rsidR="002F6850" w:rsidRPr="00374EAB">
        <w:rPr>
          <w:rFonts w:ascii="Arial" w:hAnsi="Arial" w:cs="Arial"/>
          <w:spacing w:val="-6"/>
          <w:sz w:val="16"/>
          <w:szCs w:val="16"/>
          <w:lang w:val="es-ES_tradnl"/>
        </w:rPr>
        <w:t xml:space="preserve"> en el desarrollo y fortalecimiento de </w:t>
      </w:r>
      <w:r w:rsidR="007560C6" w:rsidRPr="00374EAB">
        <w:rPr>
          <w:rFonts w:ascii="Arial" w:hAnsi="Arial" w:cs="Arial"/>
          <w:spacing w:val="-6"/>
          <w:sz w:val="16"/>
          <w:szCs w:val="16"/>
          <w:lang w:val="es-ES_tradnl"/>
        </w:rPr>
        <w:t xml:space="preserve">su esquema de atención a empresas y </w:t>
      </w:r>
      <w:r w:rsidR="002F6850" w:rsidRPr="00374EAB">
        <w:rPr>
          <w:rFonts w:ascii="Arial" w:hAnsi="Arial" w:cs="Arial"/>
          <w:spacing w:val="-6"/>
          <w:sz w:val="16"/>
          <w:szCs w:val="16"/>
          <w:lang w:val="es-ES_tradnl"/>
        </w:rPr>
        <w:t xml:space="preserve">buscadores de empleo de grupos vulnerables. </w:t>
      </w:r>
      <w:r w:rsidR="007527B4" w:rsidRPr="00374EAB">
        <w:rPr>
          <w:rFonts w:ascii="Arial" w:hAnsi="Arial" w:cs="Arial"/>
          <w:spacing w:val="-6"/>
          <w:sz w:val="16"/>
          <w:szCs w:val="16"/>
          <w:lang w:val="es-ES_tradnl"/>
        </w:rPr>
        <w:t>Desde el lado de las empresas, e</w:t>
      </w:r>
      <w:r w:rsidR="007560C6" w:rsidRPr="00374EAB">
        <w:rPr>
          <w:rFonts w:ascii="Arial" w:hAnsi="Arial" w:cs="Arial"/>
          <w:spacing w:val="-6"/>
          <w:sz w:val="16"/>
          <w:szCs w:val="16"/>
          <w:lang w:val="es-ES_tradnl"/>
        </w:rPr>
        <w:t xml:space="preserve">l país cuenta con una estrategia renovada </w:t>
      </w:r>
      <w:r w:rsidR="00DE0BF3" w:rsidRPr="00374EAB">
        <w:rPr>
          <w:rFonts w:ascii="Arial" w:hAnsi="Arial" w:cs="Arial"/>
          <w:spacing w:val="-6"/>
          <w:sz w:val="16"/>
          <w:szCs w:val="16"/>
          <w:lang w:val="es-ES_tradnl"/>
        </w:rPr>
        <w:t>hacia los empleadores, q</w:t>
      </w:r>
      <w:r w:rsidR="007560C6" w:rsidRPr="00374EAB">
        <w:rPr>
          <w:rFonts w:ascii="Arial" w:hAnsi="Arial" w:cs="Arial"/>
          <w:spacing w:val="-6"/>
          <w:sz w:val="16"/>
          <w:szCs w:val="16"/>
          <w:lang w:val="es-ES_tradnl"/>
        </w:rPr>
        <w:t xml:space="preserve">ue sigue tres ejes </w:t>
      </w:r>
      <w:r w:rsidR="00DE0BF3" w:rsidRPr="00374EAB">
        <w:rPr>
          <w:rFonts w:ascii="Arial" w:hAnsi="Arial" w:cs="Arial"/>
          <w:spacing w:val="-6"/>
          <w:sz w:val="16"/>
          <w:szCs w:val="16"/>
          <w:lang w:val="es-ES_tradnl"/>
        </w:rPr>
        <w:t>principales</w:t>
      </w:r>
      <w:r w:rsidR="007560C6" w:rsidRPr="00374EAB">
        <w:rPr>
          <w:rFonts w:ascii="Arial" w:hAnsi="Arial" w:cs="Arial"/>
          <w:spacing w:val="-6"/>
          <w:sz w:val="16"/>
          <w:szCs w:val="16"/>
          <w:lang w:val="es-ES_tradnl"/>
        </w:rPr>
        <w:t>:</w:t>
      </w:r>
      <w:r w:rsidR="00DE0BF3"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w:t>
      </w:r>
      <w:r w:rsidR="00DE0BF3" w:rsidRPr="00374EAB">
        <w:rPr>
          <w:rFonts w:ascii="Arial" w:hAnsi="Arial" w:cs="Arial"/>
          <w:spacing w:val="-6"/>
          <w:sz w:val="16"/>
          <w:szCs w:val="16"/>
          <w:lang w:val="es-ES_tradnl"/>
        </w:rPr>
        <w:t xml:space="preserve">i) </w:t>
      </w:r>
      <w:r w:rsidR="008B0F08" w:rsidRPr="00374EAB">
        <w:rPr>
          <w:rFonts w:ascii="Arial" w:hAnsi="Arial" w:cs="Arial"/>
          <w:spacing w:val="-6"/>
          <w:sz w:val="16"/>
          <w:szCs w:val="16"/>
          <w:lang w:val="es-ES_tradnl"/>
        </w:rPr>
        <w:t>o</w:t>
      </w:r>
      <w:r w:rsidR="00D45AC2" w:rsidRPr="00374EAB">
        <w:rPr>
          <w:rFonts w:ascii="Arial" w:hAnsi="Arial" w:cs="Arial"/>
          <w:spacing w:val="-6"/>
          <w:sz w:val="16"/>
          <w:szCs w:val="16"/>
          <w:lang w:val="es-ES_tradnl"/>
        </w:rPr>
        <w:t>ferta de servicios adaptada a las contrataciones &amp; necesidades del mercado laboral</w:t>
      </w:r>
      <w:r w:rsidR="00DE0BF3"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w:t>
      </w:r>
      <w:r w:rsidR="00DE0BF3" w:rsidRPr="00374EAB">
        <w:rPr>
          <w:rFonts w:ascii="Arial" w:hAnsi="Arial" w:cs="Arial"/>
          <w:spacing w:val="-6"/>
          <w:sz w:val="16"/>
          <w:szCs w:val="16"/>
          <w:lang w:val="es-ES_tradnl"/>
        </w:rPr>
        <w:t xml:space="preserve">ii) </w:t>
      </w:r>
      <w:r w:rsidR="008B0F08" w:rsidRPr="00374EAB">
        <w:rPr>
          <w:rFonts w:ascii="Arial" w:hAnsi="Arial" w:cs="Arial"/>
          <w:spacing w:val="-6"/>
          <w:sz w:val="16"/>
          <w:szCs w:val="16"/>
          <w:lang w:val="es-ES_tradnl"/>
        </w:rPr>
        <w:t>o</w:t>
      </w:r>
      <w:r w:rsidR="00D45AC2" w:rsidRPr="00374EAB">
        <w:rPr>
          <w:rFonts w:ascii="Arial" w:hAnsi="Arial" w:cs="Arial"/>
          <w:spacing w:val="-6"/>
          <w:sz w:val="16"/>
          <w:szCs w:val="16"/>
          <w:lang w:val="es-ES_tradnl"/>
        </w:rPr>
        <w:t>ferta de servicios adaptada a las preocupaciones locales</w:t>
      </w:r>
      <w:r w:rsidR="00DE0BF3"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y (</w:t>
      </w:r>
      <w:r w:rsidR="00DE0BF3" w:rsidRPr="00374EAB">
        <w:rPr>
          <w:rFonts w:ascii="Arial" w:hAnsi="Arial" w:cs="Arial"/>
          <w:spacing w:val="-6"/>
          <w:sz w:val="16"/>
          <w:szCs w:val="16"/>
          <w:lang w:val="es-ES_tradnl"/>
        </w:rPr>
        <w:t>iii)</w:t>
      </w:r>
      <w:r w:rsidR="003A54E2" w:rsidRPr="00374EAB">
        <w:rPr>
          <w:rFonts w:ascii="Arial" w:hAnsi="Arial" w:cs="Arial"/>
          <w:spacing w:val="-6"/>
          <w:sz w:val="16"/>
          <w:szCs w:val="16"/>
          <w:lang w:val="es-ES_tradnl"/>
        </w:rPr>
        <w:t> </w:t>
      </w:r>
      <w:r w:rsidR="008B0F08" w:rsidRPr="00374EAB">
        <w:rPr>
          <w:rFonts w:ascii="Arial" w:hAnsi="Arial" w:cs="Arial"/>
          <w:spacing w:val="-6"/>
          <w:sz w:val="16"/>
          <w:szCs w:val="16"/>
          <w:lang w:val="es-ES_tradnl"/>
        </w:rPr>
        <w:t>o</w:t>
      </w:r>
      <w:r w:rsidR="00D45AC2" w:rsidRPr="00374EAB">
        <w:rPr>
          <w:rFonts w:ascii="Arial" w:hAnsi="Arial" w:cs="Arial"/>
          <w:spacing w:val="-6"/>
          <w:sz w:val="16"/>
          <w:szCs w:val="16"/>
          <w:lang w:val="es-ES_tradnl"/>
        </w:rPr>
        <w:t>ptimiza</w:t>
      </w:r>
      <w:r w:rsidR="00DE0BF3" w:rsidRPr="00374EAB">
        <w:rPr>
          <w:rFonts w:ascii="Arial" w:hAnsi="Arial" w:cs="Arial"/>
          <w:spacing w:val="-6"/>
          <w:sz w:val="16"/>
          <w:szCs w:val="16"/>
          <w:lang w:val="es-ES_tradnl"/>
        </w:rPr>
        <w:t>ción de</w:t>
      </w:r>
      <w:r w:rsidR="00D45AC2" w:rsidRPr="00374EAB">
        <w:rPr>
          <w:rFonts w:ascii="Arial" w:hAnsi="Arial" w:cs="Arial"/>
          <w:spacing w:val="-6"/>
          <w:sz w:val="16"/>
          <w:szCs w:val="16"/>
          <w:lang w:val="es-ES_tradnl"/>
        </w:rPr>
        <w:t xml:space="preserve"> los medios</w:t>
      </w:r>
      <w:r w:rsidR="00DE0BF3" w:rsidRPr="00374EAB">
        <w:rPr>
          <w:rFonts w:ascii="Arial" w:hAnsi="Arial" w:cs="Arial"/>
          <w:spacing w:val="-6"/>
          <w:sz w:val="16"/>
          <w:szCs w:val="16"/>
          <w:lang w:val="es-ES_tradnl"/>
        </w:rPr>
        <w:t xml:space="preserve">. La organización concentra </w:t>
      </w:r>
      <w:r w:rsidR="005A4D8A" w:rsidRPr="00374EAB">
        <w:rPr>
          <w:rFonts w:ascii="Arial" w:hAnsi="Arial" w:cs="Arial"/>
          <w:spacing w:val="-6"/>
          <w:sz w:val="16"/>
          <w:szCs w:val="16"/>
          <w:lang w:val="es-ES_tradnl"/>
        </w:rPr>
        <w:t>el apoyo</w:t>
      </w:r>
      <w:r w:rsidR="00DE0BF3" w:rsidRPr="00374EAB">
        <w:rPr>
          <w:rFonts w:ascii="Arial" w:hAnsi="Arial" w:cs="Arial"/>
          <w:spacing w:val="-6"/>
          <w:sz w:val="16"/>
          <w:szCs w:val="16"/>
          <w:lang w:val="es-ES_tradnl"/>
        </w:rPr>
        <w:t xml:space="preserve"> en los empleadores con menor capacidad de gestión de recursos humanos</w:t>
      </w:r>
      <w:r w:rsidR="007527B4" w:rsidRPr="00374EAB">
        <w:rPr>
          <w:rFonts w:ascii="Arial" w:hAnsi="Arial" w:cs="Arial"/>
          <w:spacing w:val="-6"/>
          <w:sz w:val="16"/>
          <w:szCs w:val="16"/>
          <w:lang w:val="es-ES_tradnl"/>
        </w:rPr>
        <w:t xml:space="preserve"> (</w:t>
      </w:r>
      <w:r w:rsidR="00DE0BF3" w:rsidRPr="00374EAB">
        <w:rPr>
          <w:rFonts w:ascii="Arial" w:hAnsi="Arial" w:cs="Arial"/>
          <w:spacing w:val="-6"/>
          <w:sz w:val="16"/>
          <w:szCs w:val="16"/>
          <w:lang w:val="es-ES_tradnl"/>
        </w:rPr>
        <w:t xml:space="preserve">las </w:t>
      </w:r>
      <w:r w:rsidR="007527B4" w:rsidRPr="00374EAB">
        <w:rPr>
          <w:rFonts w:ascii="Arial" w:hAnsi="Arial" w:cs="Arial"/>
          <w:spacing w:val="-6"/>
          <w:sz w:val="16"/>
          <w:szCs w:val="16"/>
          <w:lang w:val="es-ES_tradnl"/>
        </w:rPr>
        <w:t>Pequeñas y Medianas Empresas (PYMES)</w:t>
      </w:r>
      <w:r w:rsidR="00DE0BF3" w:rsidRPr="00374EAB">
        <w:rPr>
          <w:rFonts w:ascii="Arial" w:hAnsi="Arial" w:cs="Arial"/>
          <w:spacing w:val="-6"/>
          <w:sz w:val="16"/>
          <w:szCs w:val="16"/>
          <w:lang w:val="es-ES_tradnl"/>
        </w:rPr>
        <w:t xml:space="preserve"> y las microempresas</w:t>
      </w:r>
      <w:r w:rsidR="007527B4" w:rsidRPr="00374EAB">
        <w:rPr>
          <w:rFonts w:ascii="Arial" w:hAnsi="Arial" w:cs="Arial"/>
          <w:spacing w:val="-6"/>
          <w:sz w:val="16"/>
          <w:szCs w:val="16"/>
          <w:lang w:val="es-ES_tradnl"/>
        </w:rPr>
        <w:t>)</w:t>
      </w:r>
      <w:r w:rsidR="00DE0BF3" w:rsidRPr="00374EAB">
        <w:rPr>
          <w:rFonts w:ascii="Arial" w:hAnsi="Arial" w:cs="Arial"/>
          <w:spacing w:val="-6"/>
          <w:sz w:val="16"/>
          <w:szCs w:val="16"/>
          <w:lang w:val="es-ES_tradnl"/>
        </w:rPr>
        <w:t xml:space="preserve"> y en</w:t>
      </w:r>
      <w:r w:rsidR="007527B4" w:rsidRPr="00374EAB">
        <w:rPr>
          <w:rFonts w:ascii="Arial" w:hAnsi="Arial" w:cs="Arial"/>
          <w:spacing w:val="-6"/>
          <w:sz w:val="16"/>
          <w:szCs w:val="16"/>
          <w:lang w:val="es-ES_tradnl"/>
        </w:rPr>
        <w:t xml:space="preserve"> los empleadores con</w:t>
      </w:r>
      <w:r w:rsidR="00DE0BF3" w:rsidRPr="00374EAB">
        <w:rPr>
          <w:rFonts w:ascii="Arial" w:hAnsi="Arial" w:cs="Arial"/>
          <w:spacing w:val="-6"/>
          <w:sz w:val="16"/>
          <w:szCs w:val="16"/>
          <w:lang w:val="es-ES_tradnl"/>
        </w:rPr>
        <w:t xml:space="preserve"> plazas difíciles de llenar. Para estos clientes se ofrecen servicios especiales, </w:t>
      </w:r>
      <w:r w:rsidR="00374EAB" w:rsidRPr="00374EAB">
        <w:rPr>
          <w:rFonts w:ascii="Arial" w:hAnsi="Arial" w:cs="Arial"/>
          <w:spacing w:val="-6"/>
          <w:sz w:val="16"/>
          <w:szCs w:val="16"/>
          <w:lang w:val="es-ES_tradnl"/>
        </w:rPr>
        <w:t>como</w:t>
      </w:r>
      <w:r w:rsidR="00DE0BF3" w:rsidRPr="00374EAB">
        <w:rPr>
          <w:rFonts w:ascii="Arial" w:hAnsi="Arial" w:cs="Arial"/>
          <w:spacing w:val="-6"/>
          <w:sz w:val="16"/>
          <w:szCs w:val="16"/>
          <w:lang w:val="es-ES_tradnl"/>
        </w:rPr>
        <w:t xml:space="preserve"> ayuda intensiva para elaborar anuncios de vacantes; </w:t>
      </w:r>
      <w:r w:rsidR="007527B4" w:rsidRPr="00374EAB">
        <w:rPr>
          <w:rFonts w:ascii="Arial" w:hAnsi="Arial" w:cs="Arial"/>
          <w:spacing w:val="-6"/>
          <w:sz w:val="16"/>
          <w:szCs w:val="16"/>
          <w:lang w:val="es-ES_tradnl"/>
        </w:rPr>
        <w:t>perfil de preselección</w:t>
      </w:r>
      <w:r w:rsidR="00DE0BF3" w:rsidRPr="00374EAB">
        <w:rPr>
          <w:rFonts w:ascii="Arial" w:hAnsi="Arial" w:cs="Arial"/>
          <w:spacing w:val="-6"/>
          <w:sz w:val="16"/>
          <w:szCs w:val="16"/>
          <w:lang w:val="es-ES_tradnl"/>
        </w:rPr>
        <w:t>; apoyo a</w:t>
      </w:r>
      <w:r w:rsidR="007527B4" w:rsidRPr="00374EAB">
        <w:rPr>
          <w:rFonts w:ascii="Arial" w:hAnsi="Arial" w:cs="Arial"/>
          <w:spacing w:val="-6"/>
          <w:sz w:val="16"/>
          <w:szCs w:val="16"/>
          <w:lang w:val="es-ES_tradnl"/>
        </w:rPr>
        <w:t xml:space="preserve"> la adaptación al trabajo, la contratación por simulación. </w:t>
      </w:r>
      <w:r w:rsidR="00DE0BF3" w:rsidRPr="00374EAB">
        <w:rPr>
          <w:rFonts w:ascii="Arial" w:hAnsi="Arial" w:cs="Arial"/>
          <w:spacing w:val="-6"/>
          <w:sz w:val="16"/>
          <w:szCs w:val="16"/>
          <w:lang w:val="es-ES_tradnl"/>
        </w:rPr>
        <w:t>El SP</w:t>
      </w:r>
      <w:r w:rsidR="007560C6" w:rsidRPr="00374EAB">
        <w:rPr>
          <w:rFonts w:ascii="Arial" w:hAnsi="Arial" w:cs="Arial"/>
          <w:spacing w:val="-6"/>
          <w:sz w:val="16"/>
          <w:szCs w:val="16"/>
          <w:lang w:val="es-ES_tradnl"/>
        </w:rPr>
        <w:t>E cuenta con un esquema de especialización de los consejeros</w:t>
      </w:r>
      <w:r w:rsidR="007527B4" w:rsidRPr="00374EAB">
        <w:rPr>
          <w:rFonts w:ascii="Arial" w:hAnsi="Arial" w:cs="Arial"/>
          <w:spacing w:val="-6"/>
          <w:sz w:val="16"/>
          <w:szCs w:val="16"/>
          <w:lang w:val="es-ES_tradnl"/>
        </w:rPr>
        <w:t xml:space="preserve">, que permite asignar </w:t>
      </w:r>
      <w:r w:rsidR="007560C6" w:rsidRPr="00374EAB">
        <w:rPr>
          <w:rFonts w:ascii="Arial" w:hAnsi="Arial" w:cs="Arial"/>
          <w:spacing w:val="-6"/>
          <w:sz w:val="16"/>
          <w:szCs w:val="16"/>
          <w:lang w:val="es-ES_tradnl"/>
        </w:rPr>
        <w:t>4,200</w:t>
      </w:r>
      <w:r w:rsidR="008B0F08" w:rsidRPr="00374EAB">
        <w:rPr>
          <w:rFonts w:ascii="Arial" w:hAnsi="Arial" w:cs="Arial"/>
          <w:spacing w:val="-6"/>
          <w:sz w:val="16"/>
          <w:szCs w:val="16"/>
          <w:lang w:val="es-ES_tradnl"/>
        </w:rPr>
        <w:t> </w:t>
      </w:r>
      <w:r w:rsidR="007560C6" w:rsidRPr="00374EAB">
        <w:rPr>
          <w:rFonts w:ascii="Arial" w:hAnsi="Arial" w:cs="Arial"/>
          <w:spacing w:val="-6"/>
          <w:sz w:val="16"/>
          <w:szCs w:val="16"/>
          <w:lang w:val="es-ES_tradnl"/>
        </w:rPr>
        <w:t>consejeros</w:t>
      </w:r>
      <w:r w:rsidR="007527B4" w:rsidRPr="00374EAB">
        <w:rPr>
          <w:rFonts w:ascii="Arial" w:hAnsi="Arial" w:cs="Arial"/>
          <w:spacing w:val="-6"/>
          <w:sz w:val="16"/>
          <w:szCs w:val="16"/>
          <w:lang w:val="es-ES_tradnl"/>
        </w:rPr>
        <w:t xml:space="preserve"> que dedican </w:t>
      </w:r>
      <w:r w:rsidR="007560C6" w:rsidRPr="00374EAB">
        <w:rPr>
          <w:rFonts w:ascii="Arial" w:hAnsi="Arial" w:cs="Arial"/>
          <w:spacing w:val="-6"/>
          <w:sz w:val="16"/>
          <w:szCs w:val="16"/>
          <w:lang w:val="es-ES_tradnl"/>
        </w:rPr>
        <w:t>80% de su tiempo a los empleadores</w:t>
      </w:r>
      <w:r w:rsidR="007527B4" w:rsidRPr="00374EAB">
        <w:rPr>
          <w:rFonts w:ascii="Arial" w:hAnsi="Arial" w:cs="Arial"/>
          <w:spacing w:val="-6"/>
          <w:sz w:val="16"/>
          <w:szCs w:val="16"/>
          <w:lang w:val="es-ES_tradnl"/>
        </w:rPr>
        <w:t xml:space="preserve">. Esto permite que los consejeros de empresas </w:t>
      </w:r>
      <w:r w:rsidR="007560C6" w:rsidRPr="00374EAB">
        <w:rPr>
          <w:rFonts w:ascii="Arial" w:hAnsi="Arial" w:cs="Arial"/>
          <w:spacing w:val="-6"/>
          <w:sz w:val="16"/>
          <w:szCs w:val="16"/>
          <w:lang w:val="es-ES_tradnl"/>
        </w:rPr>
        <w:t xml:space="preserve">conozcan las compañías para entender mejor sus necesidades y estar más disponibles. </w:t>
      </w:r>
      <w:r w:rsidR="007527B4" w:rsidRPr="00374EAB">
        <w:rPr>
          <w:rFonts w:ascii="Arial" w:hAnsi="Arial" w:cs="Arial"/>
          <w:spacing w:val="-6"/>
          <w:sz w:val="16"/>
          <w:szCs w:val="16"/>
          <w:lang w:val="es-ES_tradnl"/>
        </w:rPr>
        <w:t xml:space="preserve">Con respecto a los buscadores de empleo de grupos vulnerables, </w:t>
      </w:r>
      <w:r w:rsidR="005A4D8A" w:rsidRPr="00374EAB">
        <w:rPr>
          <w:rFonts w:ascii="Arial" w:hAnsi="Arial" w:cs="Arial"/>
          <w:spacing w:val="-6"/>
          <w:sz w:val="16"/>
          <w:szCs w:val="16"/>
          <w:lang w:val="es-ES_tradnl"/>
        </w:rPr>
        <w:t xml:space="preserve">se </w:t>
      </w:r>
      <w:r w:rsidR="008B0F08" w:rsidRPr="00374EAB">
        <w:rPr>
          <w:rFonts w:ascii="Arial" w:hAnsi="Arial" w:cs="Arial"/>
          <w:spacing w:val="-6"/>
          <w:sz w:val="16"/>
          <w:szCs w:val="16"/>
          <w:lang w:val="es-ES_tradnl"/>
        </w:rPr>
        <w:t xml:space="preserve">ha </w:t>
      </w:r>
      <w:r w:rsidR="005A4D8A" w:rsidRPr="00374EAB">
        <w:rPr>
          <w:rFonts w:ascii="Arial" w:hAnsi="Arial" w:cs="Arial"/>
          <w:spacing w:val="-6"/>
          <w:sz w:val="16"/>
          <w:szCs w:val="16"/>
          <w:lang w:val="es-ES_tradnl"/>
        </w:rPr>
        <w:t xml:space="preserve">buscado iniciar el camino hacia el empleo más rápido por medio de la tramitación del registro y la solicitud de beneficios antes de la primera entrevista para que esta pueda centrarse en el diagnóstico. </w:t>
      </w:r>
      <w:r w:rsidR="00247560" w:rsidRPr="00374EAB">
        <w:rPr>
          <w:rFonts w:ascii="Arial" w:hAnsi="Arial" w:cs="Arial"/>
          <w:spacing w:val="-6"/>
          <w:sz w:val="16"/>
          <w:szCs w:val="16"/>
          <w:lang w:val="es-ES_tradnl"/>
        </w:rPr>
        <w:t>Cambios organizacionales (</w:t>
      </w:r>
      <w:r w:rsidR="00374EAB" w:rsidRPr="00374EAB">
        <w:rPr>
          <w:rFonts w:ascii="Arial" w:hAnsi="Arial" w:cs="Arial"/>
          <w:spacing w:val="-6"/>
          <w:sz w:val="16"/>
          <w:szCs w:val="16"/>
          <w:lang w:val="es-ES_tradnl"/>
        </w:rPr>
        <w:t xml:space="preserve">como </w:t>
      </w:r>
      <w:r w:rsidR="00247560" w:rsidRPr="00374EAB">
        <w:rPr>
          <w:rFonts w:ascii="Arial" w:hAnsi="Arial" w:cs="Arial"/>
          <w:spacing w:val="-6"/>
          <w:sz w:val="16"/>
          <w:szCs w:val="16"/>
          <w:lang w:val="es-ES_tradnl"/>
        </w:rPr>
        <w:t>cambio en la forma en que se organiza la bienvenida de los buscadores de empleo</w:t>
      </w:r>
      <w:r w:rsidR="006C1080" w:rsidRPr="00374EAB">
        <w:rPr>
          <w:rFonts w:ascii="Arial" w:hAnsi="Arial" w:cs="Arial"/>
          <w:spacing w:val="-6"/>
          <w:sz w:val="16"/>
          <w:szCs w:val="16"/>
          <w:lang w:val="es-ES_tradnl"/>
        </w:rPr>
        <w:t xml:space="preserve"> y</w:t>
      </w:r>
      <w:r w:rsidR="00247560" w:rsidRPr="00374EAB">
        <w:rPr>
          <w:rFonts w:ascii="Arial" w:hAnsi="Arial" w:cs="Arial"/>
          <w:spacing w:val="-6"/>
          <w:sz w:val="16"/>
          <w:szCs w:val="16"/>
          <w:lang w:val="es-ES_tradnl"/>
        </w:rPr>
        <w:t xml:space="preserve"> la tercerización de ciertas tareas administrativas) permiten contar con consejeros dedicados exclusivamente a la atención a buscadores de empleo, </w:t>
      </w:r>
      <w:r w:rsidR="006C1080" w:rsidRPr="00374EAB">
        <w:rPr>
          <w:rFonts w:ascii="Arial" w:hAnsi="Arial" w:cs="Arial"/>
          <w:spacing w:val="-6"/>
          <w:sz w:val="16"/>
          <w:szCs w:val="16"/>
          <w:lang w:val="es-ES_tradnl"/>
        </w:rPr>
        <w:t>lo que les permite tener</w:t>
      </w:r>
      <w:r w:rsidR="00247560" w:rsidRPr="00374EAB">
        <w:rPr>
          <w:rFonts w:ascii="Arial" w:hAnsi="Arial" w:cs="Arial"/>
          <w:spacing w:val="-6"/>
          <w:sz w:val="16"/>
          <w:szCs w:val="16"/>
          <w:lang w:val="es-ES_tradnl"/>
        </w:rPr>
        <w:t xml:space="preserve"> más tiempo para las relaciones personalizadas con </w:t>
      </w:r>
      <w:r w:rsidR="006C1080" w:rsidRPr="00374EAB">
        <w:rPr>
          <w:rFonts w:ascii="Arial" w:hAnsi="Arial" w:cs="Arial"/>
          <w:spacing w:val="-6"/>
          <w:sz w:val="16"/>
          <w:szCs w:val="16"/>
          <w:lang w:val="es-ES_tradnl"/>
        </w:rPr>
        <w:t xml:space="preserve">ellos. </w:t>
      </w:r>
      <w:r w:rsidR="005A4D8A" w:rsidRPr="00374EAB">
        <w:rPr>
          <w:rFonts w:ascii="Arial" w:hAnsi="Arial" w:cs="Arial"/>
          <w:spacing w:val="-6"/>
          <w:sz w:val="16"/>
          <w:szCs w:val="16"/>
          <w:lang w:val="es-ES_tradnl"/>
        </w:rPr>
        <w:t xml:space="preserve">También han desarrollado acciones </w:t>
      </w:r>
      <w:r w:rsidR="00D45AC2" w:rsidRPr="00374EAB">
        <w:rPr>
          <w:rFonts w:ascii="Arial" w:hAnsi="Arial" w:cs="Arial"/>
          <w:spacing w:val="-6"/>
          <w:sz w:val="16"/>
          <w:szCs w:val="16"/>
          <w:lang w:val="es-ES_tradnl"/>
        </w:rPr>
        <w:t xml:space="preserve">para apoyar a </w:t>
      </w:r>
      <w:r w:rsidR="005A4D8A" w:rsidRPr="00374EAB">
        <w:rPr>
          <w:rFonts w:ascii="Arial" w:hAnsi="Arial" w:cs="Arial"/>
          <w:spacing w:val="-6"/>
          <w:sz w:val="16"/>
          <w:szCs w:val="16"/>
          <w:lang w:val="es-ES_tradnl"/>
        </w:rPr>
        <w:t xml:space="preserve">estos grupos </w:t>
      </w:r>
      <w:r w:rsidR="00D45AC2" w:rsidRPr="00374EAB">
        <w:rPr>
          <w:rFonts w:ascii="Arial" w:hAnsi="Arial" w:cs="Arial"/>
          <w:spacing w:val="-6"/>
          <w:sz w:val="16"/>
          <w:szCs w:val="16"/>
          <w:lang w:val="es-ES_tradnl"/>
        </w:rPr>
        <w:t>durante los cambios económicos</w:t>
      </w:r>
      <w:r w:rsidR="005A4D8A" w:rsidRPr="00374EAB">
        <w:rPr>
          <w:rFonts w:ascii="Arial" w:hAnsi="Arial" w:cs="Arial"/>
          <w:spacing w:val="-6"/>
          <w:sz w:val="16"/>
          <w:szCs w:val="16"/>
          <w:lang w:val="es-ES_tradnl"/>
        </w:rPr>
        <w:t xml:space="preserve"> y rediseñado una gama de servicios internacionales para integrar mejor las oportunidades de los mercados laborales europeos e internacionales. Otra acción estrat</w:t>
      </w:r>
      <w:r w:rsidR="008B0F08" w:rsidRPr="00374EAB">
        <w:rPr>
          <w:rFonts w:ascii="Arial" w:hAnsi="Arial" w:cs="Arial"/>
          <w:spacing w:val="-6"/>
          <w:sz w:val="16"/>
          <w:szCs w:val="16"/>
          <w:lang w:val="es-ES_tradnl"/>
        </w:rPr>
        <w:t>ég</w:t>
      </w:r>
      <w:r w:rsidR="005A4D8A" w:rsidRPr="00374EAB">
        <w:rPr>
          <w:rFonts w:ascii="Arial" w:hAnsi="Arial" w:cs="Arial"/>
          <w:spacing w:val="-6"/>
          <w:sz w:val="16"/>
          <w:szCs w:val="16"/>
          <w:lang w:val="es-ES_tradnl"/>
        </w:rPr>
        <w:t>i</w:t>
      </w:r>
      <w:r w:rsidR="008B0F08" w:rsidRPr="00374EAB">
        <w:rPr>
          <w:rFonts w:ascii="Arial" w:hAnsi="Arial" w:cs="Arial"/>
          <w:spacing w:val="-6"/>
          <w:sz w:val="16"/>
          <w:szCs w:val="16"/>
          <w:lang w:val="es-ES_tradnl"/>
        </w:rPr>
        <w:t>c</w:t>
      </w:r>
      <w:r w:rsidR="005A4D8A" w:rsidRPr="00374EAB">
        <w:rPr>
          <w:rFonts w:ascii="Arial" w:hAnsi="Arial" w:cs="Arial"/>
          <w:spacing w:val="-6"/>
          <w:sz w:val="16"/>
          <w:szCs w:val="16"/>
          <w:lang w:val="es-ES_tradnl"/>
        </w:rPr>
        <w:t xml:space="preserve">a es ofrecer servicios fáciles de usar y concentrar esfuerzos </w:t>
      </w:r>
      <w:r w:rsidR="00247560" w:rsidRPr="00374EAB">
        <w:rPr>
          <w:rFonts w:ascii="Arial" w:hAnsi="Arial" w:cs="Arial"/>
          <w:spacing w:val="-6"/>
          <w:sz w:val="16"/>
          <w:szCs w:val="16"/>
          <w:lang w:val="es-ES_tradnl"/>
        </w:rPr>
        <w:t xml:space="preserve">para identificar y responder a las razones por las que los buscadores de empleo pueden estar insatisfechos. </w:t>
      </w:r>
      <w:proofErr w:type="spellStart"/>
      <w:r w:rsidR="006C1080" w:rsidRPr="00374EAB">
        <w:rPr>
          <w:rFonts w:ascii="Arial" w:hAnsi="Arial" w:cs="Arial"/>
          <w:spacing w:val="-6"/>
          <w:sz w:val="16"/>
          <w:szCs w:val="16"/>
          <w:lang w:val="es-ES_tradnl"/>
        </w:rPr>
        <w:t>Pôle</w:t>
      </w:r>
      <w:proofErr w:type="spellEnd"/>
      <w:r w:rsidR="006C1080" w:rsidRPr="00374EAB">
        <w:rPr>
          <w:rFonts w:ascii="Arial" w:hAnsi="Arial" w:cs="Arial"/>
          <w:spacing w:val="-6"/>
          <w:sz w:val="16"/>
          <w:szCs w:val="16"/>
          <w:lang w:val="es-ES_tradnl"/>
        </w:rPr>
        <w:t xml:space="preserve"> </w:t>
      </w:r>
      <w:proofErr w:type="spellStart"/>
      <w:r w:rsidR="00CD2381" w:rsidRPr="00374EAB">
        <w:rPr>
          <w:rFonts w:ascii="Arial" w:hAnsi="Arial" w:cs="Arial"/>
          <w:spacing w:val="-6"/>
          <w:sz w:val="16"/>
          <w:szCs w:val="16"/>
          <w:lang w:val="es-ES_tradnl"/>
        </w:rPr>
        <w:t>E</w:t>
      </w:r>
      <w:r w:rsidR="006C1080" w:rsidRPr="00374EAB">
        <w:rPr>
          <w:rFonts w:ascii="Arial" w:hAnsi="Arial" w:cs="Arial"/>
          <w:spacing w:val="-6"/>
          <w:sz w:val="16"/>
          <w:szCs w:val="16"/>
          <w:lang w:val="es-ES_tradnl"/>
        </w:rPr>
        <w:t>mploi</w:t>
      </w:r>
      <w:proofErr w:type="spellEnd"/>
      <w:r w:rsidR="006C1080" w:rsidRPr="00374EAB">
        <w:rPr>
          <w:rFonts w:ascii="Arial" w:hAnsi="Arial" w:cs="Arial"/>
          <w:spacing w:val="-6"/>
          <w:sz w:val="16"/>
          <w:szCs w:val="16"/>
          <w:lang w:val="es-ES_tradnl"/>
        </w:rPr>
        <w:t xml:space="preserve"> </w:t>
      </w:r>
      <w:r w:rsidR="00CD2381" w:rsidRPr="00374EAB">
        <w:rPr>
          <w:rFonts w:ascii="Arial" w:hAnsi="Arial" w:cs="Arial"/>
          <w:spacing w:val="-6"/>
          <w:sz w:val="16"/>
          <w:szCs w:val="16"/>
          <w:lang w:val="es-ES_tradnl"/>
        </w:rPr>
        <w:t xml:space="preserve">también </w:t>
      </w:r>
      <w:r w:rsidR="00A44145" w:rsidRPr="00374EAB">
        <w:rPr>
          <w:rFonts w:ascii="Arial" w:hAnsi="Arial" w:cs="Arial"/>
          <w:spacing w:val="-6"/>
          <w:sz w:val="16"/>
          <w:szCs w:val="16"/>
          <w:lang w:val="es-ES_tradnl"/>
        </w:rPr>
        <w:t xml:space="preserve">ha </w:t>
      </w:r>
      <w:r w:rsidR="006C1080" w:rsidRPr="00374EAB">
        <w:rPr>
          <w:rFonts w:ascii="Arial" w:hAnsi="Arial" w:cs="Arial"/>
          <w:spacing w:val="-6"/>
          <w:sz w:val="16"/>
          <w:szCs w:val="16"/>
          <w:lang w:val="es-ES_tradnl"/>
        </w:rPr>
        <w:t>hecho inversiones para sacar provecho</w:t>
      </w:r>
      <w:r w:rsidR="00CD2381" w:rsidRPr="00374EAB">
        <w:rPr>
          <w:rFonts w:ascii="Arial" w:hAnsi="Arial" w:cs="Arial"/>
          <w:spacing w:val="-6"/>
          <w:sz w:val="16"/>
          <w:szCs w:val="16"/>
          <w:lang w:val="es-ES_tradnl"/>
        </w:rPr>
        <w:t xml:space="preserve"> de los avances en tecnología de información para ofrecer servicios en línea innovadores, como</w:t>
      </w:r>
      <w:r w:rsidR="00374EAB" w:rsidRPr="00374EAB">
        <w:rPr>
          <w:rFonts w:ascii="Arial" w:hAnsi="Arial" w:cs="Arial"/>
          <w:spacing w:val="-6"/>
          <w:sz w:val="16"/>
          <w:szCs w:val="16"/>
          <w:lang w:val="es-ES_tradnl"/>
        </w:rPr>
        <w:t>:</w:t>
      </w:r>
      <w:r w:rsidR="00CD2381"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w:t>
      </w:r>
      <w:r w:rsidR="00CD2381" w:rsidRPr="00374EAB">
        <w:rPr>
          <w:rFonts w:ascii="Arial" w:hAnsi="Arial" w:cs="Arial"/>
          <w:spacing w:val="-6"/>
          <w:sz w:val="16"/>
          <w:szCs w:val="16"/>
          <w:lang w:val="es-ES_tradnl"/>
        </w:rPr>
        <w:t>a)</w:t>
      </w:r>
      <w:r w:rsidR="008B0F08" w:rsidRPr="00374EAB">
        <w:rPr>
          <w:rFonts w:ascii="Arial" w:hAnsi="Arial" w:cs="Arial"/>
          <w:spacing w:val="-6"/>
          <w:sz w:val="16"/>
          <w:szCs w:val="16"/>
          <w:lang w:val="es-ES_tradnl"/>
        </w:rPr>
        <w:t> </w:t>
      </w:r>
      <w:r w:rsidR="00CD2381" w:rsidRPr="00374EAB">
        <w:rPr>
          <w:rFonts w:ascii="Arial" w:hAnsi="Arial" w:cs="Arial"/>
          <w:spacing w:val="-6"/>
          <w:sz w:val="16"/>
          <w:szCs w:val="16"/>
          <w:lang w:val="es-ES_tradnl"/>
        </w:rPr>
        <w:t>c</w:t>
      </w:r>
      <w:r w:rsidR="00D45AC2" w:rsidRPr="00374EAB">
        <w:rPr>
          <w:rFonts w:ascii="Arial" w:hAnsi="Arial" w:cs="Arial"/>
          <w:spacing w:val="-6"/>
          <w:sz w:val="16"/>
          <w:szCs w:val="16"/>
          <w:lang w:val="es-ES_tradnl"/>
        </w:rPr>
        <w:t>alculadora para contribuciones de los empleadores</w:t>
      </w:r>
      <w:r w:rsidR="00CD2381"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w:t>
      </w:r>
      <w:r w:rsidR="00CD2381" w:rsidRPr="00374EAB">
        <w:rPr>
          <w:rFonts w:ascii="Arial" w:hAnsi="Arial" w:cs="Arial"/>
          <w:spacing w:val="-6"/>
          <w:sz w:val="16"/>
          <w:szCs w:val="16"/>
          <w:lang w:val="es-ES_tradnl"/>
        </w:rPr>
        <w:t>b)</w:t>
      </w:r>
      <w:r w:rsidR="00374EAB" w:rsidRPr="00374EAB">
        <w:rPr>
          <w:rFonts w:ascii="Arial" w:hAnsi="Arial" w:cs="Arial"/>
          <w:spacing w:val="-6"/>
          <w:sz w:val="16"/>
          <w:szCs w:val="16"/>
          <w:lang w:val="es-ES_tradnl"/>
        </w:rPr>
        <w:t> </w:t>
      </w:r>
      <w:r w:rsidR="00CD2381" w:rsidRPr="00374EAB">
        <w:rPr>
          <w:rFonts w:ascii="Arial" w:hAnsi="Arial" w:cs="Arial"/>
          <w:spacing w:val="-6"/>
          <w:sz w:val="16"/>
          <w:szCs w:val="16"/>
          <w:lang w:val="es-ES_tradnl"/>
        </w:rPr>
        <w:t>s</w:t>
      </w:r>
      <w:r w:rsidR="00D45AC2" w:rsidRPr="00374EAB">
        <w:rPr>
          <w:rFonts w:ascii="Arial" w:hAnsi="Arial" w:cs="Arial"/>
          <w:spacing w:val="-6"/>
          <w:sz w:val="16"/>
          <w:szCs w:val="16"/>
          <w:lang w:val="es-ES_tradnl"/>
        </w:rPr>
        <w:t>imulador de subsidios y acciones</w:t>
      </w:r>
      <w:r w:rsidR="00CD2381"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w:t>
      </w:r>
      <w:r w:rsidR="00CD2381" w:rsidRPr="00374EAB">
        <w:rPr>
          <w:rFonts w:ascii="Arial" w:hAnsi="Arial" w:cs="Arial"/>
          <w:spacing w:val="-6"/>
          <w:sz w:val="16"/>
          <w:szCs w:val="16"/>
          <w:lang w:val="es-ES_tradnl"/>
        </w:rPr>
        <w:t>c)</w:t>
      </w:r>
      <w:r w:rsidR="008B0F08" w:rsidRPr="00374EAB">
        <w:rPr>
          <w:rFonts w:ascii="Arial" w:hAnsi="Arial" w:cs="Arial"/>
          <w:spacing w:val="-6"/>
          <w:sz w:val="16"/>
          <w:szCs w:val="16"/>
          <w:lang w:val="es-ES_tradnl"/>
        </w:rPr>
        <w:t> </w:t>
      </w:r>
      <w:r w:rsidR="00CD2381" w:rsidRPr="00374EAB">
        <w:rPr>
          <w:rFonts w:ascii="Arial" w:hAnsi="Arial" w:cs="Arial"/>
          <w:spacing w:val="-6"/>
          <w:sz w:val="16"/>
          <w:szCs w:val="16"/>
          <w:lang w:val="es-ES_tradnl"/>
        </w:rPr>
        <w:t>a</w:t>
      </w:r>
      <w:r w:rsidR="00D45AC2" w:rsidRPr="00374EAB">
        <w:rPr>
          <w:rFonts w:ascii="Arial" w:hAnsi="Arial" w:cs="Arial"/>
          <w:spacing w:val="-6"/>
          <w:sz w:val="16"/>
          <w:szCs w:val="16"/>
          <w:lang w:val="es-ES_tradnl"/>
        </w:rPr>
        <w:t xml:space="preserve">plicación </w:t>
      </w:r>
      <w:r w:rsidR="00CD2381" w:rsidRPr="00374EAB">
        <w:rPr>
          <w:rFonts w:ascii="Arial" w:hAnsi="Arial" w:cs="Arial"/>
          <w:spacing w:val="-6"/>
          <w:sz w:val="16"/>
          <w:szCs w:val="16"/>
          <w:lang w:val="es-ES_tradnl"/>
        </w:rPr>
        <w:t xml:space="preserve">para la búsqueda de perfiles; </w:t>
      </w:r>
      <w:r w:rsidR="008B0F08" w:rsidRPr="00374EAB">
        <w:rPr>
          <w:rFonts w:ascii="Arial" w:hAnsi="Arial" w:cs="Arial"/>
          <w:spacing w:val="-6"/>
          <w:sz w:val="16"/>
          <w:szCs w:val="16"/>
          <w:lang w:val="es-ES_tradnl"/>
        </w:rPr>
        <w:t>(</w:t>
      </w:r>
      <w:r w:rsidR="00CD2381" w:rsidRPr="00374EAB">
        <w:rPr>
          <w:rFonts w:ascii="Arial" w:hAnsi="Arial" w:cs="Arial"/>
          <w:spacing w:val="-6"/>
          <w:sz w:val="16"/>
          <w:szCs w:val="16"/>
          <w:lang w:val="es-ES_tradnl"/>
        </w:rPr>
        <w:t>d)</w:t>
      </w:r>
      <w:r w:rsidR="00374EAB" w:rsidRPr="00374EAB">
        <w:rPr>
          <w:rFonts w:ascii="Arial" w:hAnsi="Arial" w:cs="Arial"/>
          <w:spacing w:val="-6"/>
          <w:sz w:val="16"/>
          <w:szCs w:val="16"/>
          <w:lang w:val="es-ES_tradnl"/>
        </w:rPr>
        <w:t> </w:t>
      </w:r>
      <w:r w:rsidR="00CD2381" w:rsidRPr="00374EAB">
        <w:rPr>
          <w:rFonts w:ascii="Arial" w:hAnsi="Arial" w:cs="Arial"/>
          <w:spacing w:val="-6"/>
          <w:sz w:val="16"/>
          <w:szCs w:val="16"/>
          <w:lang w:val="es-ES_tradnl"/>
        </w:rPr>
        <w:t>e</w:t>
      </w:r>
      <w:r w:rsidR="00D45AC2" w:rsidRPr="00374EAB">
        <w:rPr>
          <w:rFonts w:ascii="Arial" w:hAnsi="Arial" w:cs="Arial"/>
          <w:spacing w:val="-6"/>
          <w:sz w:val="16"/>
          <w:szCs w:val="16"/>
          <w:lang w:val="es-ES_tradnl"/>
        </w:rPr>
        <w:t>valuación de competencias en línea</w:t>
      </w:r>
      <w:r w:rsidR="00CD2381"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w:t>
      </w:r>
      <w:r w:rsidR="00CD2381" w:rsidRPr="00374EAB">
        <w:rPr>
          <w:rFonts w:ascii="Arial" w:hAnsi="Arial" w:cs="Arial"/>
          <w:spacing w:val="-6"/>
          <w:sz w:val="16"/>
          <w:szCs w:val="16"/>
          <w:lang w:val="es-ES_tradnl"/>
        </w:rPr>
        <w:t>e)</w:t>
      </w:r>
      <w:r w:rsidR="00374EAB">
        <w:rPr>
          <w:rFonts w:ascii="Arial" w:hAnsi="Arial" w:cs="Arial"/>
          <w:spacing w:val="-6"/>
          <w:sz w:val="16"/>
          <w:szCs w:val="16"/>
          <w:lang w:val="es-ES_tradnl"/>
        </w:rPr>
        <w:t> </w:t>
      </w:r>
      <w:r w:rsidR="00CD2381" w:rsidRPr="00374EAB">
        <w:rPr>
          <w:rFonts w:ascii="Arial" w:hAnsi="Arial" w:cs="Arial"/>
          <w:spacing w:val="-6"/>
          <w:sz w:val="16"/>
          <w:szCs w:val="16"/>
          <w:lang w:val="es-ES_tradnl"/>
        </w:rPr>
        <w:t>o</w:t>
      </w:r>
      <w:r w:rsidR="00D45AC2" w:rsidRPr="00374EAB">
        <w:rPr>
          <w:rFonts w:ascii="Arial" w:hAnsi="Arial" w:cs="Arial"/>
          <w:spacing w:val="-6"/>
          <w:sz w:val="16"/>
          <w:szCs w:val="16"/>
          <w:lang w:val="es-ES_tradnl"/>
        </w:rPr>
        <w:t>portunidad de proporcionar entrevistas virtuales a través de video, para acceder a las funciones de manejo de agenda y seguimiento de candidatos</w:t>
      </w:r>
      <w:r w:rsidR="00CD2381" w:rsidRPr="00374EAB">
        <w:rPr>
          <w:rFonts w:ascii="Arial" w:hAnsi="Arial" w:cs="Arial"/>
          <w:spacing w:val="-6"/>
          <w:sz w:val="16"/>
          <w:szCs w:val="16"/>
          <w:lang w:val="es-ES_tradnl"/>
        </w:rPr>
        <w:t xml:space="preserve">; </w:t>
      </w:r>
      <w:r w:rsidR="008B0F08" w:rsidRPr="00374EAB">
        <w:rPr>
          <w:rFonts w:ascii="Arial" w:hAnsi="Arial" w:cs="Arial"/>
          <w:spacing w:val="-6"/>
          <w:sz w:val="16"/>
          <w:szCs w:val="16"/>
          <w:lang w:val="es-ES_tradnl"/>
        </w:rPr>
        <w:t>y (</w:t>
      </w:r>
      <w:r w:rsidR="00CD2381" w:rsidRPr="00374EAB">
        <w:rPr>
          <w:rFonts w:ascii="Arial" w:hAnsi="Arial" w:cs="Arial"/>
          <w:spacing w:val="-6"/>
          <w:sz w:val="16"/>
          <w:szCs w:val="16"/>
          <w:lang w:val="es-ES_tradnl"/>
        </w:rPr>
        <w:t>f)</w:t>
      </w:r>
      <w:r w:rsidR="003A54E2" w:rsidRPr="00374EAB">
        <w:rPr>
          <w:rFonts w:ascii="Arial" w:hAnsi="Arial" w:cs="Arial"/>
          <w:spacing w:val="-6"/>
          <w:sz w:val="16"/>
          <w:szCs w:val="16"/>
          <w:lang w:val="es-ES_tradnl"/>
        </w:rPr>
        <w:t> </w:t>
      </w:r>
      <w:r w:rsidR="00CD2381" w:rsidRPr="00374EAB">
        <w:rPr>
          <w:rFonts w:ascii="Arial" w:hAnsi="Arial" w:cs="Arial"/>
          <w:spacing w:val="-6"/>
          <w:sz w:val="16"/>
          <w:szCs w:val="16"/>
          <w:lang w:val="es-ES_tradnl"/>
        </w:rPr>
        <w:t>f</w:t>
      </w:r>
      <w:r w:rsidR="00D45AC2" w:rsidRPr="00374EAB">
        <w:rPr>
          <w:rFonts w:ascii="Arial" w:hAnsi="Arial" w:cs="Arial"/>
          <w:spacing w:val="-6"/>
          <w:sz w:val="16"/>
          <w:szCs w:val="16"/>
          <w:lang w:val="es-ES_tradnl"/>
        </w:rPr>
        <w:t>erias laborales en línea</w:t>
      </w:r>
      <w:r w:rsidR="00CD2381" w:rsidRPr="00374EAB">
        <w:rPr>
          <w:rFonts w:ascii="Arial" w:hAnsi="Arial" w:cs="Arial"/>
          <w:spacing w:val="-6"/>
          <w:sz w:val="16"/>
          <w:szCs w:val="16"/>
          <w:lang w:val="es-ES_tradnl"/>
        </w:rPr>
        <w:t>.</w:t>
      </w:r>
    </w:p>
  </w:footnote>
  <w:footnote w:id="5">
    <w:p w14:paraId="4A85AE22" w14:textId="04734209" w:rsidR="004B602A" w:rsidRPr="001F2C40" w:rsidRDefault="004B602A" w:rsidP="0005093D">
      <w:pPr>
        <w:pStyle w:val="FootnoteText"/>
        <w:ind w:left="360" w:hanging="360"/>
        <w:jc w:val="both"/>
        <w:rPr>
          <w:sz w:val="18"/>
          <w:szCs w:val="18"/>
          <w:lang w:val="es-ES_tradnl"/>
        </w:rPr>
      </w:pPr>
      <w:r w:rsidRPr="001F2C40">
        <w:rPr>
          <w:rStyle w:val="FootnoteReference"/>
          <w:sz w:val="18"/>
          <w:szCs w:val="18"/>
        </w:rPr>
        <w:footnoteRef/>
      </w:r>
      <w:r w:rsidRPr="001F2C40">
        <w:rPr>
          <w:sz w:val="18"/>
          <w:szCs w:val="18"/>
          <w:lang w:val="es-ES_tradnl"/>
        </w:rPr>
        <w:t xml:space="preserve"> </w:t>
      </w:r>
      <w:r w:rsidR="005D399D">
        <w:rPr>
          <w:sz w:val="18"/>
          <w:szCs w:val="18"/>
          <w:lang w:val="es-ES_tradnl"/>
        </w:rPr>
        <w:tab/>
      </w:r>
      <w:r w:rsidRPr="001C38EE">
        <w:rPr>
          <w:rFonts w:ascii="Arial" w:hAnsi="Arial" w:cs="Arial"/>
          <w:sz w:val="16"/>
          <w:szCs w:val="16"/>
          <w:lang w:val="es-ES_tradnl"/>
        </w:rPr>
        <w:t>El monitoreo del progreso en la implementación del proyecto se hará por medio de reportes anuales de progreso que SCL/LMK elaborará al final de cada año calendario. Estos informes incluirán una descripción de los progresos alcanzados y los resultados obtenidos con relación a los indicadores establecidos en la Matriz de Resultados Indicativa y sugerencias de ajustes para el período de ejecución remanente.</w:t>
      </w:r>
      <w:r w:rsidR="004F0383" w:rsidRPr="001C38EE">
        <w:rPr>
          <w:rFonts w:ascii="Arial" w:hAnsi="Arial" w:cs="Arial"/>
          <w:sz w:val="16"/>
          <w:szCs w:val="16"/>
          <w:lang w:val="es-ES_tradnl"/>
        </w:rPr>
        <w:t xml:space="preserve"> Asimismo, se prevé acompañamiento cercano del desarrollo de insumos </w:t>
      </w:r>
      <w:bookmarkStart w:id="1" w:name="_GoBack"/>
      <w:bookmarkEnd w:id="1"/>
      <w:r w:rsidR="004F0383" w:rsidRPr="001C38EE">
        <w:rPr>
          <w:rFonts w:ascii="Arial" w:hAnsi="Arial" w:cs="Arial"/>
          <w:sz w:val="16"/>
          <w:szCs w:val="16"/>
          <w:lang w:val="es-ES_tradnl"/>
        </w:rPr>
        <w:t>y productos para asegurar su entrega oportuna y de manera coordinada con las operaciones en preparación y ejecución.</w:t>
      </w:r>
      <w:r w:rsidRPr="001C38EE">
        <w:rPr>
          <w:rFonts w:ascii="Arial" w:hAnsi="Arial" w:cs="Arial"/>
          <w:sz w:val="16"/>
          <w:szCs w:val="16"/>
          <w:lang w:val="es-ES_tradnl"/>
        </w:rPr>
        <w:t xml:space="preserve"> Finalmente, SCL/LMK presentará un informe final de resultados que incluya el desempeño financiero de la CT, desagregado por componentes y actividades.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664737"/>
      <w:docPartObj>
        <w:docPartGallery w:val="Page Numbers (Top of Page)"/>
        <w:docPartUnique/>
      </w:docPartObj>
    </w:sdtPr>
    <w:sdtEndPr>
      <w:rPr>
        <w:rFonts w:ascii="Gotham Book" w:hAnsi="Gotham Book"/>
        <w:noProof/>
        <w:sz w:val="18"/>
        <w:szCs w:val="18"/>
      </w:rPr>
    </w:sdtEndPr>
    <w:sdtContent>
      <w:p w14:paraId="7D6FF1AC" w14:textId="1C759F6E" w:rsidR="007C6B4B" w:rsidRPr="007C6B4B" w:rsidRDefault="007C6B4B">
        <w:pPr>
          <w:pStyle w:val="Header"/>
          <w:jc w:val="center"/>
          <w:rPr>
            <w:rFonts w:ascii="Gotham Book" w:hAnsi="Gotham Book"/>
            <w:sz w:val="18"/>
            <w:szCs w:val="18"/>
          </w:rPr>
        </w:pPr>
        <w:r>
          <w:t>- </w:t>
        </w:r>
        <w:r w:rsidRPr="007C6B4B">
          <w:rPr>
            <w:rFonts w:ascii="Gotham Book" w:hAnsi="Gotham Book"/>
            <w:sz w:val="18"/>
            <w:szCs w:val="18"/>
          </w:rPr>
          <w:fldChar w:fldCharType="begin"/>
        </w:r>
        <w:r w:rsidRPr="007C6B4B">
          <w:rPr>
            <w:rFonts w:ascii="Gotham Book" w:hAnsi="Gotham Book"/>
            <w:sz w:val="18"/>
            <w:szCs w:val="18"/>
          </w:rPr>
          <w:instrText xml:space="preserve"> PAGE   \* MERGEFORMAT </w:instrText>
        </w:r>
        <w:r w:rsidRPr="007C6B4B">
          <w:rPr>
            <w:rFonts w:ascii="Gotham Book" w:hAnsi="Gotham Book"/>
            <w:sz w:val="18"/>
            <w:szCs w:val="18"/>
          </w:rPr>
          <w:fldChar w:fldCharType="separate"/>
        </w:r>
        <w:r w:rsidR="002B087E">
          <w:rPr>
            <w:rFonts w:ascii="Gotham Book" w:hAnsi="Gotham Book"/>
            <w:noProof/>
            <w:sz w:val="18"/>
            <w:szCs w:val="18"/>
          </w:rPr>
          <w:t>7</w:t>
        </w:r>
        <w:r w:rsidRPr="007C6B4B">
          <w:rPr>
            <w:rFonts w:ascii="Gotham Book" w:hAnsi="Gotham Book"/>
            <w:noProof/>
            <w:sz w:val="18"/>
            <w:szCs w:val="18"/>
          </w:rPr>
          <w:fldChar w:fldCharType="end"/>
        </w:r>
        <w:r>
          <w:rPr>
            <w:rFonts w:ascii="Gotham Book" w:hAnsi="Gotham Book"/>
            <w:noProof/>
            <w:sz w:val="18"/>
            <w:szCs w:val="18"/>
          </w:rPr>
          <w:t> -</w:t>
        </w:r>
      </w:p>
    </w:sdtContent>
  </w:sdt>
  <w:p w14:paraId="4A974E71" w14:textId="77777777" w:rsidR="007C6B4B" w:rsidRDefault="007C6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5" w15:restartNumberingAfterBreak="0">
    <w:nsid w:val="27657D59"/>
    <w:multiLevelType w:val="hybridMultilevel"/>
    <w:tmpl w:val="442A82F8"/>
    <w:lvl w:ilvl="0" w:tplc="B2DE6CA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337FF6"/>
    <w:multiLevelType w:val="hybridMultilevel"/>
    <w:tmpl w:val="C0923224"/>
    <w:lvl w:ilvl="0" w:tplc="13529D7A">
      <w:start w:val="1"/>
      <w:numFmt w:val="bullet"/>
      <w:lvlText w:val="→"/>
      <w:lvlJc w:val="left"/>
      <w:pPr>
        <w:tabs>
          <w:tab w:val="num" w:pos="720"/>
        </w:tabs>
        <w:ind w:left="720" w:hanging="360"/>
      </w:pPr>
      <w:rPr>
        <w:rFonts w:ascii="Arial" w:hAnsi="Arial" w:hint="default"/>
      </w:rPr>
    </w:lvl>
    <w:lvl w:ilvl="1" w:tplc="C8FC1D0E">
      <w:start w:val="1"/>
      <w:numFmt w:val="bullet"/>
      <w:lvlText w:val="→"/>
      <w:lvlJc w:val="left"/>
      <w:pPr>
        <w:tabs>
          <w:tab w:val="num" w:pos="1440"/>
        </w:tabs>
        <w:ind w:left="1440" w:hanging="360"/>
      </w:pPr>
      <w:rPr>
        <w:rFonts w:ascii="Arial" w:hAnsi="Arial" w:hint="default"/>
      </w:rPr>
    </w:lvl>
    <w:lvl w:ilvl="2" w:tplc="1DEC6768" w:tentative="1">
      <w:start w:val="1"/>
      <w:numFmt w:val="bullet"/>
      <w:lvlText w:val="→"/>
      <w:lvlJc w:val="left"/>
      <w:pPr>
        <w:tabs>
          <w:tab w:val="num" w:pos="2160"/>
        </w:tabs>
        <w:ind w:left="2160" w:hanging="360"/>
      </w:pPr>
      <w:rPr>
        <w:rFonts w:ascii="Arial" w:hAnsi="Arial" w:hint="default"/>
      </w:rPr>
    </w:lvl>
    <w:lvl w:ilvl="3" w:tplc="8970F426" w:tentative="1">
      <w:start w:val="1"/>
      <w:numFmt w:val="bullet"/>
      <w:lvlText w:val="→"/>
      <w:lvlJc w:val="left"/>
      <w:pPr>
        <w:tabs>
          <w:tab w:val="num" w:pos="2880"/>
        </w:tabs>
        <w:ind w:left="2880" w:hanging="360"/>
      </w:pPr>
      <w:rPr>
        <w:rFonts w:ascii="Arial" w:hAnsi="Arial" w:hint="default"/>
      </w:rPr>
    </w:lvl>
    <w:lvl w:ilvl="4" w:tplc="DD06BBBC" w:tentative="1">
      <w:start w:val="1"/>
      <w:numFmt w:val="bullet"/>
      <w:lvlText w:val="→"/>
      <w:lvlJc w:val="left"/>
      <w:pPr>
        <w:tabs>
          <w:tab w:val="num" w:pos="3600"/>
        </w:tabs>
        <w:ind w:left="3600" w:hanging="360"/>
      </w:pPr>
      <w:rPr>
        <w:rFonts w:ascii="Arial" w:hAnsi="Arial" w:hint="default"/>
      </w:rPr>
    </w:lvl>
    <w:lvl w:ilvl="5" w:tplc="C70CA206" w:tentative="1">
      <w:start w:val="1"/>
      <w:numFmt w:val="bullet"/>
      <w:lvlText w:val="→"/>
      <w:lvlJc w:val="left"/>
      <w:pPr>
        <w:tabs>
          <w:tab w:val="num" w:pos="4320"/>
        </w:tabs>
        <w:ind w:left="4320" w:hanging="360"/>
      </w:pPr>
      <w:rPr>
        <w:rFonts w:ascii="Arial" w:hAnsi="Arial" w:hint="default"/>
      </w:rPr>
    </w:lvl>
    <w:lvl w:ilvl="6" w:tplc="654A4FDE" w:tentative="1">
      <w:start w:val="1"/>
      <w:numFmt w:val="bullet"/>
      <w:lvlText w:val="→"/>
      <w:lvlJc w:val="left"/>
      <w:pPr>
        <w:tabs>
          <w:tab w:val="num" w:pos="5040"/>
        </w:tabs>
        <w:ind w:left="5040" w:hanging="360"/>
      </w:pPr>
      <w:rPr>
        <w:rFonts w:ascii="Arial" w:hAnsi="Arial" w:hint="default"/>
      </w:rPr>
    </w:lvl>
    <w:lvl w:ilvl="7" w:tplc="48DC8D56" w:tentative="1">
      <w:start w:val="1"/>
      <w:numFmt w:val="bullet"/>
      <w:lvlText w:val="→"/>
      <w:lvlJc w:val="left"/>
      <w:pPr>
        <w:tabs>
          <w:tab w:val="num" w:pos="5760"/>
        </w:tabs>
        <w:ind w:left="5760" w:hanging="360"/>
      </w:pPr>
      <w:rPr>
        <w:rFonts w:ascii="Arial" w:hAnsi="Arial" w:hint="default"/>
      </w:rPr>
    </w:lvl>
    <w:lvl w:ilvl="8" w:tplc="ABB25C5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59B4991"/>
    <w:multiLevelType w:val="multilevel"/>
    <w:tmpl w:val="08C493E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0B4F7A"/>
    <w:multiLevelType w:val="hybridMultilevel"/>
    <w:tmpl w:val="861E92DC"/>
    <w:lvl w:ilvl="0" w:tplc="ACFE11B8">
      <w:start w:val="1"/>
      <w:numFmt w:val="bullet"/>
      <w:lvlText w:val="→"/>
      <w:lvlJc w:val="left"/>
      <w:pPr>
        <w:tabs>
          <w:tab w:val="num" w:pos="720"/>
        </w:tabs>
        <w:ind w:left="720" w:hanging="360"/>
      </w:pPr>
      <w:rPr>
        <w:rFonts w:ascii="Arial" w:hAnsi="Arial" w:hint="default"/>
      </w:rPr>
    </w:lvl>
    <w:lvl w:ilvl="1" w:tplc="10E0E7EA" w:tentative="1">
      <w:start w:val="1"/>
      <w:numFmt w:val="bullet"/>
      <w:lvlText w:val="→"/>
      <w:lvlJc w:val="left"/>
      <w:pPr>
        <w:tabs>
          <w:tab w:val="num" w:pos="1440"/>
        </w:tabs>
        <w:ind w:left="1440" w:hanging="360"/>
      </w:pPr>
      <w:rPr>
        <w:rFonts w:ascii="Arial" w:hAnsi="Arial" w:hint="default"/>
      </w:rPr>
    </w:lvl>
    <w:lvl w:ilvl="2" w:tplc="8C0E6416" w:tentative="1">
      <w:start w:val="1"/>
      <w:numFmt w:val="bullet"/>
      <w:lvlText w:val="→"/>
      <w:lvlJc w:val="left"/>
      <w:pPr>
        <w:tabs>
          <w:tab w:val="num" w:pos="2160"/>
        </w:tabs>
        <w:ind w:left="2160" w:hanging="360"/>
      </w:pPr>
      <w:rPr>
        <w:rFonts w:ascii="Arial" w:hAnsi="Arial" w:hint="default"/>
      </w:rPr>
    </w:lvl>
    <w:lvl w:ilvl="3" w:tplc="02282428" w:tentative="1">
      <w:start w:val="1"/>
      <w:numFmt w:val="bullet"/>
      <w:lvlText w:val="→"/>
      <w:lvlJc w:val="left"/>
      <w:pPr>
        <w:tabs>
          <w:tab w:val="num" w:pos="2880"/>
        </w:tabs>
        <w:ind w:left="2880" w:hanging="360"/>
      </w:pPr>
      <w:rPr>
        <w:rFonts w:ascii="Arial" w:hAnsi="Arial" w:hint="default"/>
      </w:rPr>
    </w:lvl>
    <w:lvl w:ilvl="4" w:tplc="8F38FF0E" w:tentative="1">
      <w:start w:val="1"/>
      <w:numFmt w:val="bullet"/>
      <w:lvlText w:val="→"/>
      <w:lvlJc w:val="left"/>
      <w:pPr>
        <w:tabs>
          <w:tab w:val="num" w:pos="3600"/>
        </w:tabs>
        <w:ind w:left="3600" w:hanging="360"/>
      </w:pPr>
      <w:rPr>
        <w:rFonts w:ascii="Arial" w:hAnsi="Arial" w:hint="default"/>
      </w:rPr>
    </w:lvl>
    <w:lvl w:ilvl="5" w:tplc="6DA6E6F6" w:tentative="1">
      <w:start w:val="1"/>
      <w:numFmt w:val="bullet"/>
      <w:lvlText w:val="→"/>
      <w:lvlJc w:val="left"/>
      <w:pPr>
        <w:tabs>
          <w:tab w:val="num" w:pos="4320"/>
        </w:tabs>
        <w:ind w:left="4320" w:hanging="360"/>
      </w:pPr>
      <w:rPr>
        <w:rFonts w:ascii="Arial" w:hAnsi="Arial" w:hint="default"/>
      </w:rPr>
    </w:lvl>
    <w:lvl w:ilvl="6" w:tplc="1B0A9DB0" w:tentative="1">
      <w:start w:val="1"/>
      <w:numFmt w:val="bullet"/>
      <w:lvlText w:val="→"/>
      <w:lvlJc w:val="left"/>
      <w:pPr>
        <w:tabs>
          <w:tab w:val="num" w:pos="5040"/>
        </w:tabs>
        <w:ind w:left="5040" w:hanging="360"/>
      </w:pPr>
      <w:rPr>
        <w:rFonts w:ascii="Arial" w:hAnsi="Arial" w:hint="default"/>
      </w:rPr>
    </w:lvl>
    <w:lvl w:ilvl="7" w:tplc="0F58132E" w:tentative="1">
      <w:start w:val="1"/>
      <w:numFmt w:val="bullet"/>
      <w:lvlText w:val="→"/>
      <w:lvlJc w:val="left"/>
      <w:pPr>
        <w:tabs>
          <w:tab w:val="num" w:pos="5760"/>
        </w:tabs>
        <w:ind w:left="5760" w:hanging="360"/>
      </w:pPr>
      <w:rPr>
        <w:rFonts w:ascii="Arial" w:hAnsi="Arial" w:hint="default"/>
      </w:rPr>
    </w:lvl>
    <w:lvl w:ilvl="8" w:tplc="14D6B0C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165376"/>
    <w:multiLevelType w:val="hybridMultilevel"/>
    <w:tmpl w:val="46768BE4"/>
    <w:lvl w:ilvl="0" w:tplc="4A62F6F8">
      <w:start w:val="1"/>
      <w:numFmt w:val="bullet"/>
      <w:lvlText w:val=""/>
      <w:lvlJc w:val="left"/>
      <w:pPr>
        <w:tabs>
          <w:tab w:val="num" w:pos="720"/>
        </w:tabs>
        <w:ind w:left="720" w:hanging="360"/>
      </w:pPr>
      <w:rPr>
        <w:rFonts w:ascii="Wingdings" w:hAnsi="Wingdings" w:hint="default"/>
      </w:rPr>
    </w:lvl>
    <w:lvl w:ilvl="1" w:tplc="456493F8" w:tentative="1">
      <w:start w:val="1"/>
      <w:numFmt w:val="bullet"/>
      <w:lvlText w:val=""/>
      <w:lvlJc w:val="left"/>
      <w:pPr>
        <w:tabs>
          <w:tab w:val="num" w:pos="1440"/>
        </w:tabs>
        <w:ind w:left="1440" w:hanging="360"/>
      </w:pPr>
      <w:rPr>
        <w:rFonts w:ascii="Wingdings" w:hAnsi="Wingdings" w:hint="default"/>
      </w:rPr>
    </w:lvl>
    <w:lvl w:ilvl="2" w:tplc="06A66312" w:tentative="1">
      <w:start w:val="1"/>
      <w:numFmt w:val="bullet"/>
      <w:lvlText w:val=""/>
      <w:lvlJc w:val="left"/>
      <w:pPr>
        <w:tabs>
          <w:tab w:val="num" w:pos="2160"/>
        </w:tabs>
        <w:ind w:left="2160" w:hanging="360"/>
      </w:pPr>
      <w:rPr>
        <w:rFonts w:ascii="Wingdings" w:hAnsi="Wingdings" w:hint="default"/>
      </w:rPr>
    </w:lvl>
    <w:lvl w:ilvl="3" w:tplc="0714E26E" w:tentative="1">
      <w:start w:val="1"/>
      <w:numFmt w:val="bullet"/>
      <w:lvlText w:val=""/>
      <w:lvlJc w:val="left"/>
      <w:pPr>
        <w:tabs>
          <w:tab w:val="num" w:pos="2880"/>
        </w:tabs>
        <w:ind w:left="2880" w:hanging="360"/>
      </w:pPr>
      <w:rPr>
        <w:rFonts w:ascii="Wingdings" w:hAnsi="Wingdings" w:hint="default"/>
      </w:rPr>
    </w:lvl>
    <w:lvl w:ilvl="4" w:tplc="17CAE56C" w:tentative="1">
      <w:start w:val="1"/>
      <w:numFmt w:val="bullet"/>
      <w:lvlText w:val=""/>
      <w:lvlJc w:val="left"/>
      <w:pPr>
        <w:tabs>
          <w:tab w:val="num" w:pos="3600"/>
        </w:tabs>
        <w:ind w:left="3600" w:hanging="360"/>
      </w:pPr>
      <w:rPr>
        <w:rFonts w:ascii="Wingdings" w:hAnsi="Wingdings" w:hint="default"/>
      </w:rPr>
    </w:lvl>
    <w:lvl w:ilvl="5" w:tplc="DF8ED60A" w:tentative="1">
      <w:start w:val="1"/>
      <w:numFmt w:val="bullet"/>
      <w:lvlText w:val=""/>
      <w:lvlJc w:val="left"/>
      <w:pPr>
        <w:tabs>
          <w:tab w:val="num" w:pos="4320"/>
        </w:tabs>
        <w:ind w:left="4320" w:hanging="360"/>
      </w:pPr>
      <w:rPr>
        <w:rFonts w:ascii="Wingdings" w:hAnsi="Wingdings" w:hint="default"/>
      </w:rPr>
    </w:lvl>
    <w:lvl w:ilvl="6" w:tplc="E9D8A95E" w:tentative="1">
      <w:start w:val="1"/>
      <w:numFmt w:val="bullet"/>
      <w:lvlText w:val=""/>
      <w:lvlJc w:val="left"/>
      <w:pPr>
        <w:tabs>
          <w:tab w:val="num" w:pos="5040"/>
        </w:tabs>
        <w:ind w:left="5040" w:hanging="360"/>
      </w:pPr>
      <w:rPr>
        <w:rFonts w:ascii="Wingdings" w:hAnsi="Wingdings" w:hint="default"/>
      </w:rPr>
    </w:lvl>
    <w:lvl w:ilvl="7" w:tplc="FE084038" w:tentative="1">
      <w:start w:val="1"/>
      <w:numFmt w:val="bullet"/>
      <w:lvlText w:val=""/>
      <w:lvlJc w:val="left"/>
      <w:pPr>
        <w:tabs>
          <w:tab w:val="num" w:pos="5760"/>
        </w:tabs>
        <w:ind w:left="5760" w:hanging="360"/>
      </w:pPr>
      <w:rPr>
        <w:rFonts w:ascii="Wingdings" w:hAnsi="Wingdings" w:hint="default"/>
      </w:rPr>
    </w:lvl>
    <w:lvl w:ilvl="8" w:tplc="1514F0C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DA472B"/>
    <w:multiLevelType w:val="multilevel"/>
    <w:tmpl w:val="F676A1C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ascii="Arial" w:hAnsi="Arial" w:cs="Aria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20"/>
  </w:num>
  <w:num w:numId="5">
    <w:abstractNumId w:val="19"/>
  </w:num>
  <w:num w:numId="6">
    <w:abstractNumId w:val="4"/>
  </w:num>
  <w:num w:numId="7">
    <w:abstractNumId w:val="6"/>
  </w:num>
  <w:num w:numId="8">
    <w:abstractNumId w:val="8"/>
  </w:num>
  <w:num w:numId="9">
    <w:abstractNumId w:val="16"/>
  </w:num>
  <w:num w:numId="10">
    <w:abstractNumId w:val="17"/>
  </w:num>
  <w:num w:numId="11">
    <w:abstractNumId w:val="2"/>
  </w:num>
  <w:num w:numId="12">
    <w:abstractNumId w:val="7"/>
  </w:num>
  <w:num w:numId="13">
    <w:abstractNumId w:val="15"/>
  </w:num>
  <w:num w:numId="14">
    <w:abstractNumId w:val="1"/>
  </w:num>
  <w:num w:numId="15">
    <w:abstractNumId w:val="0"/>
  </w:num>
  <w:num w:numId="16">
    <w:abstractNumId w:val="3"/>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5"/>
  </w:num>
  <w:num w:numId="20">
    <w:abstractNumId w:val="9"/>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1B"/>
    <w:rsid w:val="000047BA"/>
    <w:rsid w:val="00014976"/>
    <w:rsid w:val="00017B41"/>
    <w:rsid w:val="000269F9"/>
    <w:rsid w:val="00026B44"/>
    <w:rsid w:val="00027FFD"/>
    <w:rsid w:val="000351D6"/>
    <w:rsid w:val="00037C85"/>
    <w:rsid w:val="000463BE"/>
    <w:rsid w:val="0005093D"/>
    <w:rsid w:val="00075F42"/>
    <w:rsid w:val="00086CFF"/>
    <w:rsid w:val="000A24B4"/>
    <w:rsid w:val="000A731E"/>
    <w:rsid w:val="000C16F9"/>
    <w:rsid w:val="000C562A"/>
    <w:rsid w:val="000D15D5"/>
    <w:rsid w:val="000F2091"/>
    <w:rsid w:val="000F39D2"/>
    <w:rsid w:val="00102DAE"/>
    <w:rsid w:val="00107DB8"/>
    <w:rsid w:val="00114051"/>
    <w:rsid w:val="00124040"/>
    <w:rsid w:val="001316E2"/>
    <w:rsid w:val="0017216B"/>
    <w:rsid w:val="0017678E"/>
    <w:rsid w:val="001953B4"/>
    <w:rsid w:val="001A10C7"/>
    <w:rsid w:val="001C1143"/>
    <w:rsid w:val="001C18FD"/>
    <w:rsid w:val="001C38EE"/>
    <w:rsid w:val="001D3ECA"/>
    <w:rsid w:val="001E4E87"/>
    <w:rsid w:val="001E7981"/>
    <w:rsid w:val="001F41E2"/>
    <w:rsid w:val="001F7559"/>
    <w:rsid w:val="00210317"/>
    <w:rsid w:val="002150E9"/>
    <w:rsid w:val="00225859"/>
    <w:rsid w:val="00225B5A"/>
    <w:rsid w:val="00231773"/>
    <w:rsid w:val="0023182E"/>
    <w:rsid w:val="002325FF"/>
    <w:rsid w:val="0023302F"/>
    <w:rsid w:val="00236249"/>
    <w:rsid w:val="00244A9D"/>
    <w:rsid w:val="00247560"/>
    <w:rsid w:val="00251134"/>
    <w:rsid w:val="00256808"/>
    <w:rsid w:val="00272666"/>
    <w:rsid w:val="0028127C"/>
    <w:rsid w:val="00283316"/>
    <w:rsid w:val="00292E0A"/>
    <w:rsid w:val="002A79D4"/>
    <w:rsid w:val="002B087E"/>
    <w:rsid w:val="002B2861"/>
    <w:rsid w:val="002D4B50"/>
    <w:rsid w:val="002F6850"/>
    <w:rsid w:val="002F7A6C"/>
    <w:rsid w:val="00302426"/>
    <w:rsid w:val="00335B4C"/>
    <w:rsid w:val="00340BC1"/>
    <w:rsid w:val="00346E79"/>
    <w:rsid w:val="00355449"/>
    <w:rsid w:val="003622D9"/>
    <w:rsid w:val="00374EAB"/>
    <w:rsid w:val="003835F0"/>
    <w:rsid w:val="00395A99"/>
    <w:rsid w:val="003A0193"/>
    <w:rsid w:val="003A54E2"/>
    <w:rsid w:val="003B3AEB"/>
    <w:rsid w:val="003B72EC"/>
    <w:rsid w:val="003D2892"/>
    <w:rsid w:val="003D609D"/>
    <w:rsid w:val="003F5F31"/>
    <w:rsid w:val="00416432"/>
    <w:rsid w:val="00417FB9"/>
    <w:rsid w:val="004311D4"/>
    <w:rsid w:val="00433246"/>
    <w:rsid w:val="004334C6"/>
    <w:rsid w:val="0045509F"/>
    <w:rsid w:val="00466C7E"/>
    <w:rsid w:val="00482240"/>
    <w:rsid w:val="004979FF"/>
    <w:rsid w:val="004A70B9"/>
    <w:rsid w:val="004B602A"/>
    <w:rsid w:val="004D5823"/>
    <w:rsid w:val="004D7049"/>
    <w:rsid w:val="004D7AE9"/>
    <w:rsid w:val="004E0EED"/>
    <w:rsid w:val="004F0383"/>
    <w:rsid w:val="004F386F"/>
    <w:rsid w:val="0050104A"/>
    <w:rsid w:val="005058EF"/>
    <w:rsid w:val="00505D1F"/>
    <w:rsid w:val="00512024"/>
    <w:rsid w:val="005140D4"/>
    <w:rsid w:val="00520F58"/>
    <w:rsid w:val="00531E51"/>
    <w:rsid w:val="005358DE"/>
    <w:rsid w:val="005364CE"/>
    <w:rsid w:val="00542CB3"/>
    <w:rsid w:val="00544613"/>
    <w:rsid w:val="005514A7"/>
    <w:rsid w:val="00555B9A"/>
    <w:rsid w:val="00555F96"/>
    <w:rsid w:val="00557B5C"/>
    <w:rsid w:val="0058137A"/>
    <w:rsid w:val="005833C9"/>
    <w:rsid w:val="00590599"/>
    <w:rsid w:val="005A1056"/>
    <w:rsid w:val="005A4D8A"/>
    <w:rsid w:val="005D330B"/>
    <w:rsid w:val="005D399D"/>
    <w:rsid w:val="006028B1"/>
    <w:rsid w:val="0062725A"/>
    <w:rsid w:val="00641ED4"/>
    <w:rsid w:val="00675E7A"/>
    <w:rsid w:val="0067628C"/>
    <w:rsid w:val="00684024"/>
    <w:rsid w:val="00690DEC"/>
    <w:rsid w:val="006A1798"/>
    <w:rsid w:val="006A3D59"/>
    <w:rsid w:val="006B105D"/>
    <w:rsid w:val="006C1080"/>
    <w:rsid w:val="006C6059"/>
    <w:rsid w:val="006D4E54"/>
    <w:rsid w:val="006E681E"/>
    <w:rsid w:val="00702A56"/>
    <w:rsid w:val="00725899"/>
    <w:rsid w:val="007427A8"/>
    <w:rsid w:val="00742FAD"/>
    <w:rsid w:val="00746260"/>
    <w:rsid w:val="007527B4"/>
    <w:rsid w:val="007560C6"/>
    <w:rsid w:val="007607E1"/>
    <w:rsid w:val="00770C9F"/>
    <w:rsid w:val="007B0420"/>
    <w:rsid w:val="007B500B"/>
    <w:rsid w:val="007B6B61"/>
    <w:rsid w:val="007C3374"/>
    <w:rsid w:val="007C6B4B"/>
    <w:rsid w:val="007D1562"/>
    <w:rsid w:val="00801D9C"/>
    <w:rsid w:val="008052A0"/>
    <w:rsid w:val="00807C07"/>
    <w:rsid w:val="008101D4"/>
    <w:rsid w:val="008171BA"/>
    <w:rsid w:val="00841608"/>
    <w:rsid w:val="0084239F"/>
    <w:rsid w:val="00843F24"/>
    <w:rsid w:val="008463AC"/>
    <w:rsid w:val="008624BE"/>
    <w:rsid w:val="00865A6F"/>
    <w:rsid w:val="00870F52"/>
    <w:rsid w:val="0087190C"/>
    <w:rsid w:val="008739E3"/>
    <w:rsid w:val="008813B9"/>
    <w:rsid w:val="008902BA"/>
    <w:rsid w:val="0089230D"/>
    <w:rsid w:val="008A125A"/>
    <w:rsid w:val="008B0F08"/>
    <w:rsid w:val="008B177A"/>
    <w:rsid w:val="008F4286"/>
    <w:rsid w:val="0091508A"/>
    <w:rsid w:val="00915206"/>
    <w:rsid w:val="00923DB6"/>
    <w:rsid w:val="00925C27"/>
    <w:rsid w:val="00926D45"/>
    <w:rsid w:val="00933A84"/>
    <w:rsid w:val="00944D7A"/>
    <w:rsid w:val="009476A9"/>
    <w:rsid w:val="0095122E"/>
    <w:rsid w:val="00953879"/>
    <w:rsid w:val="0095711B"/>
    <w:rsid w:val="00981823"/>
    <w:rsid w:val="009B6BE6"/>
    <w:rsid w:val="009C0F18"/>
    <w:rsid w:val="009C5C06"/>
    <w:rsid w:val="009D3664"/>
    <w:rsid w:val="009E109F"/>
    <w:rsid w:val="009F33FF"/>
    <w:rsid w:val="009F3CA2"/>
    <w:rsid w:val="00A0359E"/>
    <w:rsid w:val="00A067E6"/>
    <w:rsid w:val="00A10CD5"/>
    <w:rsid w:val="00A12C27"/>
    <w:rsid w:val="00A139E6"/>
    <w:rsid w:val="00A13EE1"/>
    <w:rsid w:val="00A20379"/>
    <w:rsid w:val="00A2474F"/>
    <w:rsid w:val="00A351A6"/>
    <w:rsid w:val="00A35359"/>
    <w:rsid w:val="00A357F7"/>
    <w:rsid w:val="00A37C9C"/>
    <w:rsid w:val="00A44145"/>
    <w:rsid w:val="00A4475E"/>
    <w:rsid w:val="00A452A4"/>
    <w:rsid w:val="00A50C5E"/>
    <w:rsid w:val="00A56FD1"/>
    <w:rsid w:val="00A57185"/>
    <w:rsid w:val="00A573A3"/>
    <w:rsid w:val="00A876E7"/>
    <w:rsid w:val="00A9761C"/>
    <w:rsid w:val="00AA1424"/>
    <w:rsid w:val="00AC081B"/>
    <w:rsid w:val="00AD3653"/>
    <w:rsid w:val="00AE4812"/>
    <w:rsid w:val="00AE5658"/>
    <w:rsid w:val="00AF2F55"/>
    <w:rsid w:val="00AF5C75"/>
    <w:rsid w:val="00B13125"/>
    <w:rsid w:val="00B307EC"/>
    <w:rsid w:val="00B33130"/>
    <w:rsid w:val="00B347ED"/>
    <w:rsid w:val="00B50AC9"/>
    <w:rsid w:val="00B56CDC"/>
    <w:rsid w:val="00BB2778"/>
    <w:rsid w:val="00BB5281"/>
    <w:rsid w:val="00BB5D42"/>
    <w:rsid w:val="00BB612A"/>
    <w:rsid w:val="00BD64A7"/>
    <w:rsid w:val="00C3492D"/>
    <w:rsid w:val="00C43E24"/>
    <w:rsid w:val="00C45604"/>
    <w:rsid w:val="00C5184A"/>
    <w:rsid w:val="00C5730B"/>
    <w:rsid w:val="00C95BA6"/>
    <w:rsid w:val="00CA053B"/>
    <w:rsid w:val="00CC716E"/>
    <w:rsid w:val="00CD109E"/>
    <w:rsid w:val="00CD2381"/>
    <w:rsid w:val="00CD29D0"/>
    <w:rsid w:val="00CE0643"/>
    <w:rsid w:val="00D05C8E"/>
    <w:rsid w:val="00D07EB4"/>
    <w:rsid w:val="00D2491C"/>
    <w:rsid w:val="00D32120"/>
    <w:rsid w:val="00D45AC2"/>
    <w:rsid w:val="00D55EA9"/>
    <w:rsid w:val="00D707BB"/>
    <w:rsid w:val="00D93016"/>
    <w:rsid w:val="00D95606"/>
    <w:rsid w:val="00D96AFE"/>
    <w:rsid w:val="00D97FAD"/>
    <w:rsid w:val="00DA0911"/>
    <w:rsid w:val="00DC16F5"/>
    <w:rsid w:val="00DC1E68"/>
    <w:rsid w:val="00DD5244"/>
    <w:rsid w:val="00DE0BF3"/>
    <w:rsid w:val="00DF475D"/>
    <w:rsid w:val="00E20EBD"/>
    <w:rsid w:val="00E320A3"/>
    <w:rsid w:val="00E33333"/>
    <w:rsid w:val="00E43EE1"/>
    <w:rsid w:val="00E52408"/>
    <w:rsid w:val="00E5259A"/>
    <w:rsid w:val="00E54319"/>
    <w:rsid w:val="00E65098"/>
    <w:rsid w:val="00E6675A"/>
    <w:rsid w:val="00E75CB3"/>
    <w:rsid w:val="00E95CAF"/>
    <w:rsid w:val="00EA3919"/>
    <w:rsid w:val="00EB435F"/>
    <w:rsid w:val="00EC4075"/>
    <w:rsid w:val="00EC7401"/>
    <w:rsid w:val="00ED1932"/>
    <w:rsid w:val="00ED36BF"/>
    <w:rsid w:val="00ED70D1"/>
    <w:rsid w:val="00EE0122"/>
    <w:rsid w:val="00EF41CE"/>
    <w:rsid w:val="00F00960"/>
    <w:rsid w:val="00F10B05"/>
    <w:rsid w:val="00F16677"/>
    <w:rsid w:val="00F373D0"/>
    <w:rsid w:val="00F455F8"/>
    <w:rsid w:val="00F50742"/>
    <w:rsid w:val="00F62FAD"/>
    <w:rsid w:val="00F6363D"/>
    <w:rsid w:val="00F72899"/>
    <w:rsid w:val="00FA71DB"/>
    <w:rsid w:val="00FD2093"/>
    <w:rsid w:val="00FE1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CC9F"/>
  <w15:docId w15:val="{CED729D1-1230-4B8C-8CB2-764FAA08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FootnoteText">
    <w:name w:val="footnote text"/>
    <w:basedOn w:val="Normal"/>
    <w:link w:val="FootnoteTextChar"/>
    <w:uiPriority w:val="99"/>
    <w:unhideWhenUsed/>
    <w:rsid w:val="0089230D"/>
    <w:pPr>
      <w:spacing w:after="0" w:line="240" w:lineRule="auto"/>
    </w:pPr>
    <w:rPr>
      <w:sz w:val="20"/>
      <w:szCs w:val="20"/>
    </w:rPr>
  </w:style>
  <w:style w:type="character" w:customStyle="1" w:styleId="FootnoteTextChar">
    <w:name w:val="Footnote Text Char"/>
    <w:basedOn w:val="DefaultParagraphFont"/>
    <w:link w:val="FootnoteText"/>
    <w:uiPriority w:val="99"/>
    <w:rsid w:val="0089230D"/>
    <w:rPr>
      <w:sz w:val="20"/>
      <w:szCs w:val="20"/>
    </w:rPr>
  </w:style>
  <w:style w:type="character" w:customStyle="1" w:styleId="ListParagraphChar">
    <w:name w:val="List Paragraph Char"/>
    <w:basedOn w:val="DefaultParagraphFont"/>
    <w:link w:val="ListParagraph"/>
    <w:uiPriority w:val="34"/>
    <w:locked/>
    <w:rsid w:val="0089230D"/>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89230D"/>
    <w:rPr>
      <w:vertAlign w:val="superscript"/>
    </w:rPr>
  </w:style>
  <w:style w:type="paragraph" w:customStyle="1" w:styleId="Chapter">
    <w:name w:val="Chapter"/>
    <w:basedOn w:val="Normal"/>
    <w:next w:val="Normal"/>
    <w:rsid w:val="005058EF"/>
    <w:pPr>
      <w:keepNext/>
      <w:numPr>
        <w:numId w:val="18"/>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PARAGRAPH,PG,pa,at,paragraph"/>
    <w:basedOn w:val="BodyTextIndent"/>
    <w:link w:val="ParagraphChar"/>
    <w:qFormat/>
    <w:rsid w:val="005058EF"/>
    <w:pPr>
      <w:numPr>
        <w:ilvl w:val="1"/>
        <w:numId w:val="18"/>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5058EF"/>
    <w:pPr>
      <w:numPr>
        <w:ilvl w:val="2"/>
        <w:numId w:val="18"/>
      </w:numPr>
      <w:tabs>
        <w:tab w:val="clear" w:pos="2304"/>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5058EF"/>
    <w:pPr>
      <w:numPr>
        <w:ilvl w:val="3"/>
      </w:numPr>
      <w:tabs>
        <w:tab w:val="clear" w:pos="2736"/>
        <w:tab w:val="left" w:pos="0"/>
        <w:tab w:val="num" w:pos="1296"/>
      </w:tabs>
      <w:ind w:left="1296" w:hanging="720"/>
    </w:pPr>
  </w:style>
  <w:style w:type="character" w:customStyle="1" w:styleId="ParagraphChar">
    <w:name w:val="Paragraph Char"/>
    <w:link w:val="Paragraph"/>
    <w:rsid w:val="005058EF"/>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5058EF"/>
    <w:pPr>
      <w:spacing w:after="120"/>
      <w:ind w:left="360"/>
    </w:pPr>
  </w:style>
  <w:style w:type="character" w:customStyle="1" w:styleId="BodyTextIndentChar">
    <w:name w:val="Body Text Indent Char"/>
    <w:basedOn w:val="DefaultParagraphFont"/>
    <w:link w:val="BodyTextIndent"/>
    <w:uiPriority w:val="99"/>
    <w:semiHidden/>
    <w:rsid w:val="005058EF"/>
  </w:style>
  <w:style w:type="paragraph" w:styleId="BodyTextIndent3">
    <w:name w:val="Body Text Indent 3"/>
    <w:basedOn w:val="Normal"/>
    <w:link w:val="BodyTextIndent3Char"/>
    <w:uiPriority w:val="99"/>
    <w:semiHidden/>
    <w:unhideWhenUsed/>
    <w:rsid w:val="005058E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58EF"/>
    <w:rPr>
      <w:sz w:val="16"/>
      <w:szCs w:val="16"/>
    </w:rPr>
  </w:style>
  <w:style w:type="paragraph" w:customStyle="1" w:styleId="Default">
    <w:name w:val="Default"/>
    <w:rsid w:val="004B602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2325FF"/>
    <w:rPr>
      <w:color w:val="0000FF" w:themeColor="hyperlink"/>
      <w:u w:val="single"/>
    </w:rPr>
  </w:style>
  <w:style w:type="character" w:styleId="Mention">
    <w:name w:val="Mention"/>
    <w:basedOn w:val="DefaultParagraphFont"/>
    <w:uiPriority w:val="99"/>
    <w:semiHidden/>
    <w:unhideWhenUsed/>
    <w:rsid w:val="002325FF"/>
    <w:rPr>
      <w:color w:val="2B579A"/>
      <w:shd w:val="clear" w:color="auto" w:fill="E6E6E6"/>
    </w:rPr>
  </w:style>
  <w:style w:type="character" w:styleId="FollowedHyperlink">
    <w:name w:val="FollowedHyperlink"/>
    <w:basedOn w:val="DefaultParagraphFont"/>
    <w:uiPriority w:val="99"/>
    <w:semiHidden/>
    <w:unhideWhenUsed/>
    <w:rsid w:val="002325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03925631">
      <w:bodyDiv w:val="1"/>
      <w:marLeft w:val="0"/>
      <w:marRight w:val="0"/>
      <w:marTop w:val="0"/>
      <w:marBottom w:val="0"/>
      <w:divBdr>
        <w:top w:val="none" w:sz="0" w:space="0" w:color="auto"/>
        <w:left w:val="none" w:sz="0" w:space="0" w:color="auto"/>
        <w:bottom w:val="none" w:sz="0" w:space="0" w:color="auto"/>
        <w:right w:val="none" w:sz="0" w:space="0" w:color="auto"/>
      </w:divBdr>
    </w:div>
    <w:div w:id="618535934">
      <w:bodyDiv w:val="1"/>
      <w:marLeft w:val="0"/>
      <w:marRight w:val="0"/>
      <w:marTop w:val="0"/>
      <w:marBottom w:val="0"/>
      <w:divBdr>
        <w:top w:val="none" w:sz="0" w:space="0" w:color="auto"/>
        <w:left w:val="none" w:sz="0" w:space="0" w:color="auto"/>
        <w:bottom w:val="none" w:sz="0" w:space="0" w:color="auto"/>
        <w:right w:val="none" w:sz="0" w:space="0" w:color="auto"/>
      </w:divBdr>
    </w:div>
    <w:div w:id="658582976">
      <w:bodyDiv w:val="1"/>
      <w:marLeft w:val="0"/>
      <w:marRight w:val="0"/>
      <w:marTop w:val="0"/>
      <w:marBottom w:val="0"/>
      <w:divBdr>
        <w:top w:val="none" w:sz="0" w:space="0" w:color="auto"/>
        <w:left w:val="none" w:sz="0" w:space="0" w:color="auto"/>
        <w:bottom w:val="none" w:sz="0" w:space="0" w:color="auto"/>
        <w:right w:val="none" w:sz="0" w:space="0" w:color="auto"/>
      </w:divBdr>
    </w:div>
    <w:div w:id="1106927817">
      <w:bodyDiv w:val="1"/>
      <w:marLeft w:val="0"/>
      <w:marRight w:val="0"/>
      <w:marTop w:val="0"/>
      <w:marBottom w:val="0"/>
      <w:divBdr>
        <w:top w:val="none" w:sz="0" w:space="0" w:color="auto"/>
        <w:left w:val="none" w:sz="0" w:space="0" w:color="auto"/>
        <w:bottom w:val="none" w:sz="0" w:space="0" w:color="auto"/>
        <w:right w:val="none" w:sz="0" w:space="0" w:color="auto"/>
      </w:divBdr>
      <w:divsChild>
        <w:div w:id="51126239">
          <w:marLeft w:val="0"/>
          <w:marRight w:val="0"/>
          <w:marTop w:val="204"/>
          <w:marBottom w:val="204"/>
          <w:divBdr>
            <w:top w:val="none" w:sz="0" w:space="0" w:color="auto"/>
            <w:left w:val="none" w:sz="0" w:space="0" w:color="auto"/>
            <w:bottom w:val="none" w:sz="0" w:space="0" w:color="auto"/>
            <w:right w:val="none" w:sz="0" w:space="0" w:color="auto"/>
          </w:divBdr>
        </w:div>
        <w:div w:id="1285193468">
          <w:marLeft w:val="0"/>
          <w:marRight w:val="0"/>
          <w:marTop w:val="204"/>
          <w:marBottom w:val="204"/>
          <w:divBdr>
            <w:top w:val="none" w:sz="0" w:space="0" w:color="auto"/>
            <w:left w:val="none" w:sz="0" w:space="0" w:color="auto"/>
            <w:bottom w:val="none" w:sz="0" w:space="0" w:color="auto"/>
            <w:right w:val="none" w:sz="0" w:space="0" w:color="auto"/>
          </w:divBdr>
        </w:div>
        <w:div w:id="831020211">
          <w:marLeft w:val="0"/>
          <w:marRight w:val="0"/>
          <w:marTop w:val="204"/>
          <w:marBottom w:val="204"/>
          <w:divBdr>
            <w:top w:val="none" w:sz="0" w:space="0" w:color="auto"/>
            <w:left w:val="none" w:sz="0" w:space="0" w:color="auto"/>
            <w:bottom w:val="none" w:sz="0" w:space="0" w:color="auto"/>
            <w:right w:val="none" w:sz="0" w:space="0" w:color="auto"/>
          </w:divBdr>
        </w:div>
        <w:div w:id="1492135244">
          <w:marLeft w:val="0"/>
          <w:marRight w:val="0"/>
          <w:marTop w:val="204"/>
          <w:marBottom w:val="204"/>
          <w:divBdr>
            <w:top w:val="none" w:sz="0" w:space="0" w:color="auto"/>
            <w:left w:val="none" w:sz="0" w:space="0" w:color="auto"/>
            <w:bottom w:val="none" w:sz="0" w:space="0" w:color="auto"/>
            <w:right w:val="none" w:sz="0" w:space="0" w:color="auto"/>
          </w:divBdr>
        </w:div>
        <w:div w:id="1730760627">
          <w:marLeft w:val="0"/>
          <w:marRight w:val="0"/>
          <w:marTop w:val="204"/>
          <w:marBottom w:val="204"/>
          <w:divBdr>
            <w:top w:val="none" w:sz="0" w:space="0" w:color="auto"/>
            <w:left w:val="none" w:sz="0" w:space="0" w:color="auto"/>
            <w:bottom w:val="none" w:sz="0" w:space="0" w:color="auto"/>
            <w:right w:val="none" w:sz="0" w:space="0" w:color="auto"/>
          </w:divBdr>
        </w:div>
        <w:div w:id="912931986">
          <w:marLeft w:val="0"/>
          <w:marRight w:val="0"/>
          <w:marTop w:val="204"/>
          <w:marBottom w:val="204"/>
          <w:divBdr>
            <w:top w:val="none" w:sz="0" w:space="0" w:color="auto"/>
            <w:left w:val="none" w:sz="0" w:space="0" w:color="auto"/>
            <w:bottom w:val="none" w:sz="0" w:space="0" w:color="auto"/>
            <w:right w:val="none" w:sz="0" w:space="0" w:color="auto"/>
          </w:divBdr>
        </w:div>
        <w:div w:id="1111708686">
          <w:marLeft w:val="0"/>
          <w:marRight w:val="0"/>
          <w:marTop w:val="204"/>
          <w:marBottom w:val="204"/>
          <w:divBdr>
            <w:top w:val="none" w:sz="0" w:space="0" w:color="auto"/>
            <w:left w:val="none" w:sz="0" w:space="0" w:color="auto"/>
            <w:bottom w:val="none" w:sz="0" w:space="0" w:color="auto"/>
            <w:right w:val="none" w:sz="0" w:space="0" w:color="auto"/>
          </w:divBdr>
        </w:div>
      </w:divsChild>
    </w:div>
    <w:div w:id="1376657776">
      <w:bodyDiv w:val="1"/>
      <w:marLeft w:val="0"/>
      <w:marRight w:val="0"/>
      <w:marTop w:val="0"/>
      <w:marBottom w:val="0"/>
      <w:divBdr>
        <w:top w:val="none" w:sz="0" w:space="0" w:color="auto"/>
        <w:left w:val="none" w:sz="0" w:space="0" w:color="auto"/>
        <w:bottom w:val="none" w:sz="0" w:space="0" w:color="auto"/>
        <w:right w:val="none" w:sz="0" w:space="0" w:color="auto"/>
      </w:divBdr>
    </w:div>
    <w:div w:id="1483160183">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1058669">
      <w:bodyDiv w:val="1"/>
      <w:marLeft w:val="0"/>
      <w:marRight w:val="0"/>
      <w:marTop w:val="0"/>
      <w:marBottom w:val="0"/>
      <w:divBdr>
        <w:top w:val="none" w:sz="0" w:space="0" w:color="auto"/>
        <w:left w:val="none" w:sz="0" w:space="0" w:color="auto"/>
        <w:bottom w:val="none" w:sz="0" w:space="0" w:color="auto"/>
        <w:right w:val="none" w:sz="0" w:space="0" w:color="auto"/>
      </w:divBdr>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5387399">
      <w:bodyDiv w:val="1"/>
      <w:marLeft w:val="0"/>
      <w:marRight w:val="0"/>
      <w:marTop w:val="0"/>
      <w:marBottom w:val="0"/>
      <w:divBdr>
        <w:top w:val="none" w:sz="0" w:space="0" w:color="auto"/>
        <w:left w:val="none" w:sz="0" w:space="0" w:color="auto"/>
        <w:bottom w:val="none" w:sz="0" w:space="0" w:color="auto"/>
        <w:right w:val="none" w:sz="0" w:space="0" w:color="auto"/>
      </w:divBdr>
    </w:div>
    <w:div w:id="1829784372">
      <w:bodyDiv w:val="1"/>
      <w:marLeft w:val="0"/>
      <w:marRight w:val="0"/>
      <w:marTop w:val="0"/>
      <w:marBottom w:val="0"/>
      <w:divBdr>
        <w:top w:val="none" w:sz="0" w:space="0" w:color="auto"/>
        <w:left w:val="none" w:sz="0" w:space="0" w:color="auto"/>
        <w:bottom w:val="none" w:sz="0" w:space="0" w:color="auto"/>
        <w:right w:val="none" w:sz="0" w:space="0" w:color="auto"/>
      </w:divBdr>
    </w:div>
    <w:div w:id="2064479595">
      <w:bodyDiv w:val="1"/>
      <w:marLeft w:val="0"/>
      <w:marRight w:val="0"/>
      <w:marTop w:val="0"/>
      <w:marBottom w:val="0"/>
      <w:divBdr>
        <w:top w:val="none" w:sz="0" w:space="0" w:color="auto"/>
        <w:left w:val="none" w:sz="0" w:space="0" w:color="auto"/>
        <w:bottom w:val="none" w:sz="0" w:space="0" w:color="auto"/>
        <w:right w:val="none" w:sz="0" w:space="0" w:color="auto"/>
      </w:divBdr>
      <w:divsChild>
        <w:div w:id="1232539256">
          <w:marLeft w:val="1008"/>
          <w:marRight w:val="0"/>
          <w:marTop w:val="144"/>
          <w:marBottom w:val="144"/>
          <w:divBdr>
            <w:top w:val="none" w:sz="0" w:space="0" w:color="auto"/>
            <w:left w:val="none" w:sz="0" w:space="0" w:color="auto"/>
            <w:bottom w:val="none" w:sz="0" w:space="0" w:color="auto"/>
            <w:right w:val="none" w:sz="0" w:space="0" w:color="auto"/>
          </w:divBdr>
        </w:div>
        <w:div w:id="1726030999">
          <w:marLeft w:val="1008"/>
          <w:marRight w:val="0"/>
          <w:marTop w:val="144"/>
          <w:marBottom w:val="144"/>
          <w:divBdr>
            <w:top w:val="none" w:sz="0" w:space="0" w:color="auto"/>
            <w:left w:val="none" w:sz="0" w:space="0" w:color="auto"/>
            <w:bottom w:val="none" w:sz="0" w:space="0" w:color="auto"/>
            <w:right w:val="none" w:sz="0" w:space="0" w:color="auto"/>
          </w:divBdr>
        </w:div>
        <w:div w:id="589044090">
          <w:marLeft w:val="1008"/>
          <w:marRight w:val="0"/>
          <w:marTop w:val="144"/>
          <w:marBottom w:val="14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CH-TCP/CH-T1189/_layouts/15/DocIdRedir.aspx?ID=EZSHARE-212703030-1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CH-TCP/CH-T1189/_layouts/15/DocIdRedir.aspx?ID=EZSHARE-212703030-13" TargetMode="External"/><Relationship Id="rId2" Type="http://schemas.openxmlformats.org/officeDocument/2006/relationships/customXml" Target="../customXml/item2.xml"/><Relationship Id="rId16" Type="http://schemas.openxmlformats.org/officeDocument/2006/relationships/hyperlink" Target="https://idbg.sharepoint.com/teams/EZ-CH-TCP/CH-T1189/_layouts/15/DocIdRedir.aspx?ID=EZSHARE-212703030-1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idbg.sharepoint.com/teams/EZ-CH-TCP/CH-T1189/_layouts/15/DocIdRedir.aspx?ID=EZSHARE-212703030-9"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idbg.sharepoint.com/teams/EZ-CH-TCP/CH-T1189/_layouts/15/DocIdRedir.aspx?ID=EZSHARE-212703030-12"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dbg.sharepoint.com/teams/EZ-CH-TCP/CH-T1189/_layouts/15/DocIdRedir.aspx?ID=EZSHARE-212703030-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0308A27134084F4AA40781B2DCA498A5" PreviousValue="false"/>
</file>

<file path=customXml/item3.xml><?xml version="1.0" encoding="utf-8"?>
<ct:contentTypeSchema xmlns:ct="http://schemas.microsoft.com/office/2006/metadata/contentType" xmlns:ma="http://schemas.microsoft.com/office/2006/metadata/properties/metaAttributes" ct:_="" ma:_="" ma:contentTypeName="ez-Corporate" ma:contentTypeID="0x0101000308A27134084F4AA40781B2DCA498A5003B4D3635325F80408F77A57BAB0555A6" ma:contentTypeVersion="6" ma:contentTypeDescription="The corporate content type from which other content types in the corporate content type track inherit their information." ma:contentTypeScope="" ma:versionID="1a941d32829c534e7974b79a9878789c">
  <xsd:schema xmlns:xsd="http://www.w3.org/2001/XMLSchema" xmlns:xs="http://www.w3.org/2001/XMLSchema" xmlns:p="http://schemas.microsoft.com/office/2006/metadata/properties" xmlns:ns2="cdc7663a-08f0-4737-9e8c-148ce897a09c" targetNamespace="http://schemas.microsoft.com/office/2006/metadata/properties" ma:root="true" ma:fieldsID="f04d3e4d5b9e1c2c1a3c8552a4e7f8fa"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11f53a8d-94fb-4262-8fa0-ee8f0a8b9d82}" ma:internalName="TaxCatchAll" ma:showField="CatchAllData" ma:web="d8803717-2a78-421a-a8f4-4ee46dba0559">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11f53a8d-94fb-4262-8fa0-ee8f0a8b9d82}" ma:internalName="TaxCatchAllLabel" ma:readOnly="true" ma:showField="CatchAllDataLabel" ma:web="d8803717-2a78-421a-a8f4-4ee46dba0559">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DBDocs_x0020_Number xmlns="cdc7663a-08f0-4737-9e8c-148ce897a09c">40793946</IDBDocs_x0020_Number>
    <TaxCatchAll xmlns="cdc7663a-08f0-4737-9e8c-148ce897a09c">
      <Value>53</Value>
      <Value>54</Value>
    </TaxCatchAll>
    <SISCOR_x0020_Number xmlns="cdc7663a-08f0-4737-9e8c-148ce897a09c" xsi:nil="true"/>
    <Division_x0020_or_x0020_Unit xmlns="cdc7663a-08f0-4737-9e8c-148ce897a09c">ORP/GCM</Division_x0020_or_x0020_Unit>
    <Document_x0020_Author xmlns="cdc7663a-08f0-4737-9e8c-148ce897a09c">Tamashiro, Michiko Vilela</Document_x0020_Author>
    <Fiscal_x0020_Year_x0020_IDB xmlns="cdc7663a-08f0-4737-9e8c-148ce897a09c">2016</Fiscal_x0020_Year_x0020_IDB>
    <Other_x0020_Author xmlns="cdc7663a-08f0-4737-9e8c-148ce897a09c" xsi:nil="true"/>
    <Migration_x0020_Info xmlns="cdc7663a-08f0-4737-9e8c-148ce897a09c">&lt;Data&gt;&lt;APPLICATION&gt;MS WORD&lt;/APPLICATION&gt;&lt;PD_OBJ_TYPE&gt;0&lt;/PD_OBJ_TYPE&gt;&lt;MAKERECORD&gt;N&lt;/MAKERECORD&gt;&lt;/Data&gt;</Migration_x0020_Info>
    <Document_x0020_Language_x0020_IDB xmlns="cdc7663a-08f0-4737-9e8c-148ce897a09c" xsi:nil="true"/>
    <Identifier xmlns="cdc7663a-08f0-4737-9e8c-148ce897a09c" xsi:nil="true"/>
    <Access_x0020_to_x0020_Information_x00a0_Policy xmlns="cdc7663a-08f0-4737-9e8c-148ce897a09c">Confidential</Access_x0020_to_x0020_Information_x00a0_Policy>
    <ic46d7e087fd4a108fb86518ca413cc6 xmlns="cdc7663a-08f0-4737-9e8c-148ce897a09c">
      <Terms xmlns="http://schemas.microsoft.com/office/infopath/2007/PartnerControls"/>
    </ic46d7e087fd4a108fb86518ca413cc6>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cf0f1ca6d90e4583ad80995bcde0e58a>
    <To_x003a_ xmlns="cdc7663a-08f0-4737-9e8c-148ce897a09c" xsi:nil="true"/>
    <From_x003a_ xmlns="cdc7663a-08f0-4737-9e8c-148ce897a09c" xsi:nil="true"/>
  </documentManagement>
</p:properties>
</file>

<file path=customXml/item5.xml><?xml version="1.0" encoding="utf-8"?>
<?mso-contentType ?>
<FormUrls xmlns="http://schemas.microsoft.com/sharepoint/v3/contenttype/forms/url">
  <Display>_catalogs/masterpage/ECMForms/CorporateCT/View.aspx</Display>
  <Edit>_catalogs/masterpage/ECMForms/CorporateCT/Edit.aspx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B94FA-E89E-4BC7-981D-C050BC027ACA}">
  <ds:schemaRefs>
    <ds:schemaRef ds:uri="http://schemas.microsoft.com/sharepoint/events"/>
  </ds:schemaRefs>
</ds:datastoreItem>
</file>

<file path=customXml/itemProps2.xml><?xml version="1.0" encoding="utf-8"?>
<ds:datastoreItem xmlns:ds="http://schemas.openxmlformats.org/officeDocument/2006/customXml" ds:itemID="{2BFCCD4D-D711-4E46-AE13-CF3F6A238DC8}">
  <ds:schemaRefs>
    <ds:schemaRef ds:uri="Microsoft.SharePoint.Taxonomy.ContentTypeSync"/>
  </ds:schemaRefs>
</ds:datastoreItem>
</file>

<file path=customXml/itemProps3.xml><?xml version="1.0" encoding="utf-8"?>
<ds:datastoreItem xmlns:ds="http://schemas.openxmlformats.org/officeDocument/2006/customXml" ds:itemID="{2F271182-BAE9-4D91-8555-D67F05374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48487F-B74B-4E8C-8E36-CF5C7385866C}">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DF3A2549-A4FC-422B-95F0-6977469E1620}">
  <ds:schemaRefs>
    <ds:schemaRef ds:uri="http://schemas.microsoft.com/sharepoint/v3/contenttype/forms/url"/>
  </ds:schemaRefs>
</ds:datastoreItem>
</file>

<file path=customXml/itemProps6.xml><?xml version="1.0" encoding="utf-8"?>
<ds:datastoreItem xmlns:ds="http://schemas.openxmlformats.org/officeDocument/2006/customXml" ds:itemID="{1F4F9EAF-8E38-40E0-B017-0E87638AECC9}">
  <ds:schemaRefs>
    <ds:schemaRef ds:uri="http://schemas.microsoft.com/sharepoint/v3/contenttype/forms"/>
  </ds:schemaRefs>
</ds:datastoreItem>
</file>

<file path=customXml/itemProps7.xml><?xml version="1.0" encoding="utf-8"?>
<ds:datastoreItem xmlns:ds="http://schemas.openxmlformats.org/officeDocument/2006/customXml" ds:itemID="{F711A716-4145-45D1-907A-4F17A4330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7</Pages>
  <Words>3228</Words>
  <Characters>18405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TC Document Appendice template (Spanish) UPDATED strategic alignment</vt:lpstr>
    </vt:vector>
  </TitlesOfParts>
  <Company>Inter-American Development Bank</Company>
  <LinksUpToDate>false</LinksUpToDate>
  <CharactersWithSpaces>21590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 Document Appendice template (Spanish) UPDATED strategic alignment</dc:title>
  <dc:creator>Yolanda Strachan</dc:creator>
  <cp:lastModifiedBy>Muhlstein, Ethel Rosa</cp:lastModifiedBy>
  <cp:revision>8</cp:revision>
  <cp:lastPrinted>2012-08-24T17:26:00Z</cp:lastPrinted>
  <dcterms:created xsi:type="dcterms:W3CDTF">2017-06-08T17:45:00Z</dcterms:created>
  <dcterms:modified xsi:type="dcterms:W3CDTF">2017-06-09T19:13:00Z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0x0101000308A27134084F4AA40781B2DCA498A5003B4D3635325F80408F77A57BAB0555A6</vt:lpwstr>
  </property>
  <property fmtid="{D5CDD505-2E9C-101B-9397-08002B2CF9AE}" pid="3" name="TaxKeyword">
    <vt:lpwstr/>
  </property>
  <property fmtid="{D5CDD505-2E9C-101B-9397-08002B2CF9AE}" pid="4" name="Series Corporate IDB">
    <vt:lpwstr>-1;#Unclassified|a6dff32e-d477-44cd-a56b-85efe9e0a56c</vt:lpwstr>
  </property>
  <property fmtid="{D5CDD505-2E9C-101B-9397-08002B2CF9AE}" pid="5" name="Function Corporate IDB">
    <vt:lpwstr>-1;#IDBDocs|cca77002-e150-4b2d-ab1f-1d7a7cdcae16</vt:lpwstr>
  </property>
  <property fmtid="{D5CDD505-2E9C-101B-9397-08002B2CF9AE}" pid="6" name="TaxKeywordTaxHTField">
    <vt:lpwstr/>
  </property>
  <property fmtid="{D5CDD505-2E9C-101B-9397-08002B2CF9AE}" pid="7" name="Country">
    <vt:lpwstr/>
  </property>
  <property fmtid="{D5CDD505-2E9C-101B-9397-08002B2CF9AE}" pid="8" name="KP_x0020_Topics">
    <vt:lpwstr/>
  </property>
  <property fmtid="{D5CDD505-2E9C-101B-9397-08002B2CF9AE}" pid="9" name="Publication_x0020_Type">
    <vt:lpwstr/>
  </property>
  <property fmtid="{D5CDD505-2E9C-101B-9397-08002B2CF9AE}" pid="10" name="Publishing_x0020_House">
    <vt:lpwstr/>
  </property>
  <property fmtid="{D5CDD505-2E9C-101B-9397-08002B2CF9AE}" pid="11" name="Abstract">
    <vt:lpwstr/>
  </property>
  <property fmtid="{D5CDD505-2E9C-101B-9397-08002B2CF9AE}" pid="12" name="Editor1">
    <vt:lpwstr/>
  </property>
  <property fmtid="{D5CDD505-2E9C-101B-9397-08002B2CF9AE}" pid="13" name="URL">
    <vt:lpwstr/>
  </property>
  <property fmtid="{D5CDD505-2E9C-101B-9397-08002B2CF9AE}" pid="14" name="Disclosure Activity">
    <vt:lpwstr/>
  </property>
  <property fmtid="{D5CDD505-2E9C-101B-9397-08002B2CF9AE}" pid="15" name="Region">
    <vt:lpwstr/>
  </property>
  <property fmtid="{D5CDD505-2E9C-101B-9397-08002B2CF9AE}" pid="16" name="Publication Type">
    <vt:lpwstr/>
  </property>
  <property fmtid="{D5CDD505-2E9C-101B-9397-08002B2CF9AE}" pid="17" name="Series_x0020_Corporate_x0020_IDB">
    <vt:lpwstr>-1;#Unclassified|a6dff32e-d477-44cd-a56b-85efe9e0a56c</vt:lpwstr>
  </property>
  <property fmtid="{D5CDD505-2E9C-101B-9397-08002B2CF9AE}" pid="18" name="Disclosure_x0020_Activity">
    <vt:lpwstr/>
  </property>
  <property fmtid="{D5CDD505-2E9C-101B-9397-08002B2CF9AE}" pid="19" name="Function_x0020_Corporate_x0020_IDB">
    <vt:lpwstr>-1;#IDBDocs|cca77002-e150-4b2d-ab1f-1d7a7cdcae16</vt:lpwstr>
  </property>
  <property fmtid="{D5CDD505-2E9C-101B-9397-08002B2CF9AE}" pid="20" name="Publishing House">
    <vt:lpwstr/>
  </property>
  <property fmtid="{D5CDD505-2E9C-101B-9397-08002B2CF9AE}" pid="21" name="Disclosed">
    <vt:bool>false</vt:bool>
  </property>
  <property fmtid="{D5CDD505-2E9C-101B-9397-08002B2CF9AE}" pid="22" name="KP Topics">
    <vt:lpwstr/>
  </property>
</Properties>
</file>