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4CEFA" w14:textId="77777777" w:rsidR="00864906" w:rsidRDefault="00864906" w:rsidP="6FAE9D8D">
      <w:pPr>
        <w:jc w:val="center"/>
        <w:rPr>
          <w:rFonts w:ascii="Arial" w:eastAsia="Arial" w:hAnsi="Arial" w:cs="Arial"/>
          <w:b/>
          <w:bCs/>
          <w:sz w:val="22"/>
          <w:szCs w:val="22"/>
          <w:lang w:val="es-ES"/>
        </w:rPr>
      </w:pPr>
    </w:p>
    <w:p w14:paraId="0388678F" w14:textId="3AE45745" w:rsidR="00FB69CA" w:rsidRPr="00341D12" w:rsidRDefault="6FAE9D8D" w:rsidP="6FAE9D8D">
      <w:pPr>
        <w:jc w:val="center"/>
        <w:rPr>
          <w:rFonts w:ascii="Arial" w:eastAsia="Arial" w:hAnsi="Arial" w:cs="Arial"/>
          <w:b/>
          <w:bCs/>
          <w:sz w:val="22"/>
          <w:szCs w:val="22"/>
          <w:lang w:val="es-ES"/>
        </w:rPr>
      </w:pPr>
      <w:r w:rsidRPr="6FAE9D8D">
        <w:rPr>
          <w:rFonts w:ascii="Arial" w:eastAsia="Arial" w:hAnsi="Arial" w:cs="Arial"/>
          <w:b/>
          <w:bCs/>
          <w:sz w:val="22"/>
          <w:szCs w:val="22"/>
          <w:lang w:val="es-ES"/>
        </w:rPr>
        <w:t>República Dominicana: Programa para la Sostenibilidad y Eficiencia del Sector Eléctrico (DR-L1058)</w:t>
      </w:r>
    </w:p>
    <w:p w14:paraId="22F98070" w14:textId="77777777" w:rsidR="00FB69CA" w:rsidRDefault="00704A25" w:rsidP="00704A25">
      <w:pPr>
        <w:jc w:val="center"/>
        <w:rPr>
          <w:rFonts w:ascii="Arial" w:hAnsi="Arial" w:cs="Arial"/>
          <w:b/>
          <w:bCs/>
          <w:sz w:val="22"/>
          <w:szCs w:val="22"/>
          <w:lang w:val="es-ES"/>
        </w:rPr>
      </w:pPr>
      <w:r w:rsidRPr="00341D12">
        <w:rPr>
          <w:rFonts w:ascii="Arial" w:hAnsi="Arial" w:cs="Arial"/>
          <w:b/>
          <w:bCs/>
          <w:sz w:val="22"/>
          <w:szCs w:val="22"/>
          <w:lang w:val="es-ES"/>
        </w:rPr>
        <w:t>Matriz de Medios de Verificación</w:t>
      </w:r>
    </w:p>
    <w:p w14:paraId="58C117F6" w14:textId="77777777" w:rsidR="00704A25" w:rsidRPr="00341D12" w:rsidRDefault="00704A25" w:rsidP="00FB69CA">
      <w:pPr>
        <w:rPr>
          <w:rFonts w:ascii="Arial" w:hAnsi="Arial" w:cs="Arial"/>
          <w:b/>
          <w:bCs/>
          <w:sz w:val="22"/>
          <w:szCs w:val="22"/>
          <w:lang w:val="es-ES"/>
        </w:rPr>
      </w:pPr>
    </w:p>
    <w:p w14:paraId="02C118F4" w14:textId="77777777" w:rsidR="00FB69CA" w:rsidRPr="00341D12" w:rsidRDefault="6FAE9D8D" w:rsidP="002E1E2C">
      <w:pPr>
        <w:spacing w:after="120"/>
        <w:ind w:left="86"/>
        <w:jc w:val="both"/>
        <w:rPr>
          <w:rFonts w:ascii="Arial" w:eastAsia="Arial" w:hAnsi="Arial" w:cs="Arial"/>
          <w:sz w:val="22"/>
          <w:szCs w:val="22"/>
          <w:lang w:val="es-ES"/>
        </w:rPr>
      </w:pPr>
      <w:r w:rsidRPr="6FAE9D8D">
        <w:rPr>
          <w:rFonts w:ascii="Arial" w:eastAsia="Arial" w:hAnsi="Arial" w:cs="Arial"/>
          <w:b/>
          <w:bCs/>
          <w:sz w:val="22"/>
          <w:szCs w:val="22"/>
          <w:lang w:val="es-ES"/>
        </w:rPr>
        <w:t>Objetivo:</w:t>
      </w:r>
      <w:r w:rsidRPr="6FAE9D8D">
        <w:rPr>
          <w:rFonts w:ascii="Arial" w:eastAsia="Arial" w:hAnsi="Arial" w:cs="Arial"/>
          <w:sz w:val="22"/>
          <w:szCs w:val="22"/>
          <w:lang w:val="es-ES"/>
        </w:rPr>
        <w:t xml:space="preserve"> </w:t>
      </w:r>
      <w:r w:rsidR="00675B94" w:rsidRPr="00675B94">
        <w:rPr>
          <w:rFonts w:ascii="Arial" w:eastAsia="Arial" w:hAnsi="Arial" w:cs="Arial"/>
          <w:sz w:val="22"/>
          <w:szCs w:val="22"/>
          <w:lang w:val="es-ES"/>
        </w:rPr>
        <w:t>El objetivo general es apoyar al Gobierno de República Dominicana (GDR) en la adopción e implementación de las reformas y políticas sectoriales necesarias para impulsar la sostenibilidad financiera y la eficiencia operativa del sector eléctrico. Los objetivos específicos son: (i) fortalecer la capacidad institucional y de supervisión del sector eléctrico; (ii) fortalecer la planificación y regulación sectorial; y (iii) apoyar la mejora gerencial y operativa de las empresas de distribución eléctrica.</w:t>
      </w:r>
    </w:p>
    <w:tbl>
      <w:tblPr>
        <w:tblW w:w="13241" w:type="dxa"/>
        <w:jc w:val="center"/>
        <w:tblBorders>
          <w:top w:val="single" w:sz="6" w:space="0" w:color="auto"/>
          <w:left w:val="single" w:sz="6" w:space="0" w:color="auto"/>
          <w:bottom w:val="single" w:sz="4" w:space="0" w:color="auto"/>
          <w:right w:val="single" w:sz="4" w:space="0" w:color="auto"/>
          <w:insideH w:val="single" w:sz="6" w:space="0" w:color="auto"/>
          <w:insideV w:val="single" w:sz="6" w:space="0" w:color="auto"/>
        </w:tblBorders>
        <w:tblLayout w:type="fixed"/>
        <w:tblCellMar>
          <w:left w:w="30" w:type="dxa"/>
          <w:right w:w="30" w:type="dxa"/>
        </w:tblCellMar>
        <w:tblLook w:val="0040" w:firstRow="0" w:lastRow="1" w:firstColumn="0" w:lastColumn="0" w:noHBand="0" w:noVBand="0"/>
      </w:tblPr>
      <w:tblGrid>
        <w:gridCol w:w="1980"/>
        <w:gridCol w:w="4222"/>
        <w:gridCol w:w="3690"/>
        <w:gridCol w:w="3333"/>
        <w:gridCol w:w="16"/>
      </w:tblGrid>
      <w:tr w:rsidR="00B24A6E" w:rsidRPr="00F4320C" w14:paraId="3A2CCD35" w14:textId="77777777" w:rsidTr="00F23488">
        <w:trPr>
          <w:gridAfter w:val="1"/>
          <w:wAfter w:w="16" w:type="dxa"/>
          <w:trHeight w:val="641"/>
          <w:tblHeader/>
          <w:jc w:val="center"/>
        </w:trPr>
        <w:tc>
          <w:tcPr>
            <w:tcW w:w="1980" w:type="dxa"/>
            <w:shd w:val="clear" w:color="auto" w:fill="A6A6A6" w:themeFill="background1" w:themeFillShade="A6"/>
            <w:vAlign w:val="center"/>
          </w:tcPr>
          <w:p w14:paraId="44E70149" w14:textId="77777777" w:rsidR="00B24A6E" w:rsidRPr="001A3B45" w:rsidRDefault="00B24A6E" w:rsidP="004F55E8">
            <w:pPr>
              <w:autoSpaceDE w:val="0"/>
              <w:autoSpaceDN w:val="0"/>
              <w:adjustRightInd w:val="0"/>
              <w:jc w:val="center"/>
              <w:rPr>
                <w:rFonts w:ascii="Arial" w:eastAsia="Arial" w:hAnsi="Arial" w:cs="Arial"/>
                <w:b/>
                <w:bCs/>
                <w:color w:val="000000" w:themeColor="text1"/>
                <w:lang w:val="es-ES"/>
              </w:rPr>
            </w:pPr>
            <w:bookmarkStart w:id="0" w:name="_Hlk515465322"/>
            <w:r w:rsidRPr="6FAE9D8D">
              <w:rPr>
                <w:rFonts w:ascii="Arial" w:eastAsia="Arial" w:hAnsi="Arial" w:cs="Arial"/>
                <w:b/>
                <w:bCs/>
                <w:color w:val="000000" w:themeColor="text1"/>
                <w:lang w:val="es-ES"/>
              </w:rPr>
              <w:t>Objetivos</w:t>
            </w:r>
          </w:p>
        </w:tc>
        <w:tc>
          <w:tcPr>
            <w:tcW w:w="4222" w:type="dxa"/>
            <w:shd w:val="clear" w:color="auto" w:fill="A6A6A6" w:themeFill="background1" w:themeFillShade="A6"/>
            <w:vAlign w:val="center"/>
          </w:tcPr>
          <w:p w14:paraId="6D2933A6" w14:textId="77777777" w:rsidR="00B24A6E" w:rsidRPr="001A3B45" w:rsidRDefault="00B24A6E" w:rsidP="004F55E8">
            <w:pPr>
              <w:autoSpaceDE w:val="0"/>
              <w:autoSpaceDN w:val="0"/>
              <w:adjustRightInd w:val="0"/>
              <w:ind w:left="378" w:hanging="378"/>
              <w:jc w:val="center"/>
              <w:rPr>
                <w:rFonts w:ascii="Arial" w:eastAsia="Arial" w:hAnsi="Arial" w:cs="Arial"/>
                <w:b/>
                <w:bCs/>
                <w:color w:val="000000" w:themeColor="text1"/>
                <w:lang w:val="es-ES"/>
              </w:rPr>
            </w:pPr>
            <w:r w:rsidRPr="6FAE9D8D">
              <w:rPr>
                <w:rFonts w:ascii="Arial" w:eastAsia="Arial" w:hAnsi="Arial" w:cs="Arial"/>
                <w:b/>
                <w:bCs/>
                <w:color w:val="000000" w:themeColor="text1"/>
                <w:lang w:val="es-ES"/>
              </w:rPr>
              <w:t>Programático II</w:t>
            </w:r>
          </w:p>
          <w:p w14:paraId="60AF47E3" w14:textId="77777777" w:rsidR="00B24A6E" w:rsidRPr="001A3B45" w:rsidRDefault="00B24A6E" w:rsidP="004F55E8">
            <w:pPr>
              <w:autoSpaceDE w:val="0"/>
              <w:autoSpaceDN w:val="0"/>
              <w:adjustRightInd w:val="0"/>
              <w:jc w:val="center"/>
              <w:rPr>
                <w:rFonts w:ascii="Arial" w:eastAsia="Arial" w:hAnsi="Arial" w:cs="Arial"/>
                <w:b/>
                <w:bCs/>
                <w:color w:val="000000" w:themeColor="text1"/>
                <w:lang w:val="es-ES"/>
              </w:rPr>
            </w:pPr>
            <w:r w:rsidRPr="6FAE9D8D">
              <w:rPr>
                <w:rFonts w:ascii="Arial" w:eastAsia="Arial" w:hAnsi="Arial" w:cs="Arial"/>
                <w:b/>
                <w:bCs/>
                <w:color w:val="000000" w:themeColor="text1"/>
                <w:lang w:val="es-ES"/>
              </w:rPr>
              <w:t>2018</w:t>
            </w:r>
          </w:p>
        </w:tc>
        <w:tc>
          <w:tcPr>
            <w:tcW w:w="3690" w:type="dxa"/>
            <w:shd w:val="clear" w:color="auto" w:fill="A6A6A6" w:themeFill="background1" w:themeFillShade="A6"/>
            <w:vAlign w:val="center"/>
          </w:tcPr>
          <w:p w14:paraId="3F65AE8D" w14:textId="77777777" w:rsidR="00B24A6E" w:rsidRPr="001A3B45" w:rsidRDefault="00B24A6E" w:rsidP="004F55E8">
            <w:pPr>
              <w:autoSpaceDE w:val="0"/>
              <w:autoSpaceDN w:val="0"/>
              <w:adjustRightInd w:val="0"/>
              <w:jc w:val="center"/>
              <w:rPr>
                <w:rFonts w:ascii="Arial" w:hAnsi="Arial" w:cs="Arial"/>
                <w:b/>
                <w:bCs/>
                <w:color w:val="000000" w:themeColor="text1"/>
                <w:lang w:val="es-ES_tradnl"/>
              </w:rPr>
            </w:pPr>
            <w:r w:rsidRPr="001A3B45">
              <w:rPr>
                <w:rFonts w:ascii="Arial" w:hAnsi="Arial" w:cs="Arial"/>
                <w:b/>
                <w:bCs/>
                <w:color w:val="000000" w:themeColor="text1"/>
                <w:lang w:val="es-ES_tradnl"/>
              </w:rPr>
              <w:t>Medios de Verificación</w:t>
            </w:r>
          </w:p>
          <w:p w14:paraId="3AE61DF5" w14:textId="77777777" w:rsidR="00B24A6E" w:rsidRPr="6FAE9D8D" w:rsidRDefault="00B24A6E" w:rsidP="004F55E8">
            <w:pPr>
              <w:autoSpaceDE w:val="0"/>
              <w:autoSpaceDN w:val="0"/>
              <w:adjustRightInd w:val="0"/>
              <w:jc w:val="center"/>
              <w:rPr>
                <w:rFonts w:ascii="Arial" w:eastAsia="Arial" w:hAnsi="Arial" w:cs="Arial"/>
                <w:b/>
                <w:bCs/>
                <w:color w:val="000000" w:themeColor="text1"/>
                <w:lang w:val="es-ES"/>
              </w:rPr>
            </w:pPr>
            <w:r w:rsidRPr="001A3B45">
              <w:rPr>
                <w:rFonts w:ascii="Arial" w:hAnsi="Arial" w:cs="Arial"/>
                <w:b/>
                <w:bCs/>
                <w:color w:val="000000" w:themeColor="text1"/>
                <w:lang w:val="es-ES_tradnl"/>
              </w:rPr>
              <w:t>Programático II</w:t>
            </w:r>
          </w:p>
        </w:tc>
        <w:tc>
          <w:tcPr>
            <w:tcW w:w="3333" w:type="dxa"/>
            <w:shd w:val="clear" w:color="auto" w:fill="A6A6A6" w:themeFill="background1" w:themeFillShade="A6"/>
            <w:vAlign w:val="center"/>
          </w:tcPr>
          <w:p w14:paraId="19966852" w14:textId="3CAC4BA5" w:rsidR="00B24A6E" w:rsidRPr="001A3B45" w:rsidRDefault="00B24A6E" w:rsidP="004F55E8">
            <w:pPr>
              <w:autoSpaceDE w:val="0"/>
              <w:autoSpaceDN w:val="0"/>
              <w:adjustRightInd w:val="0"/>
              <w:ind w:left="-14" w:hanging="15"/>
              <w:jc w:val="center"/>
              <w:rPr>
                <w:rFonts w:ascii="Arial" w:eastAsia="Arial" w:hAnsi="Arial" w:cs="Arial"/>
                <w:b/>
                <w:bCs/>
                <w:color w:val="000000" w:themeColor="text1"/>
                <w:lang w:val="es-ES"/>
              </w:rPr>
            </w:pPr>
            <w:r>
              <w:rPr>
                <w:rFonts w:ascii="Arial" w:eastAsia="Arial" w:hAnsi="Arial" w:cs="Arial"/>
                <w:b/>
                <w:bCs/>
                <w:color w:val="000000" w:themeColor="text1"/>
                <w:lang w:val="es-ES"/>
              </w:rPr>
              <w:t>Estatus de Cumplimiento</w:t>
            </w:r>
            <w:r w:rsidR="001938FC">
              <w:rPr>
                <w:rStyle w:val="FootnoteReference"/>
                <w:rFonts w:ascii="Arial" w:eastAsia="Arial" w:hAnsi="Arial" w:cs="Arial"/>
                <w:b/>
                <w:bCs/>
                <w:color w:val="000000" w:themeColor="text1"/>
                <w:lang w:val="es-ES"/>
              </w:rPr>
              <w:footnoteReference w:id="2"/>
            </w:r>
          </w:p>
        </w:tc>
      </w:tr>
      <w:tr w:rsidR="00495657" w:rsidRPr="00812BFF" w14:paraId="3B827BAD" w14:textId="77777777" w:rsidTr="00F23488">
        <w:trPr>
          <w:trHeight w:val="180"/>
          <w:jc w:val="center"/>
        </w:trPr>
        <w:tc>
          <w:tcPr>
            <w:tcW w:w="13241" w:type="dxa"/>
            <w:gridSpan w:val="5"/>
            <w:shd w:val="clear" w:color="auto" w:fill="B4C6E7" w:themeFill="accent1" w:themeFillTint="66"/>
          </w:tcPr>
          <w:p w14:paraId="63C945AA" w14:textId="77777777" w:rsidR="00495657" w:rsidRPr="001A3B45" w:rsidRDefault="00495657" w:rsidP="00DC1EE4">
            <w:pPr>
              <w:autoSpaceDE w:val="0"/>
              <w:autoSpaceDN w:val="0"/>
              <w:adjustRightInd w:val="0"/>
              <w:ind w:right="20"/>
              <w:rPr>
                <w:rFonts w:ascii="Arial" w:eastAsia="Arial" w:hAnsi="Arial" w:cs="Arial"/>
                <w:b/>
                <w:bCs/>
                <w:color w:val="000000" w:themeColor="text1"/>
                <w:lang w:val="es-ES"/>
              </w:rPr>
            </w:pPr>
            <w:r w:rsidRPr="6FAE9D8D">
              <w:rPr>
                <w:rFonts w:ascii="Arial" w:eastAsia="Arial" w:hAnsi="Arial" w:cs="Arial"/>
                <w:b/>
                <w:bCs/>
                <w:color w:val="000000" w:themeColor="text1"/>
                <w:lang w:val="es-ES"/>
              </w:rPr>
              <w:t>MARCO GENERAL DE POLÍTICAS MACROECONÓMICAS</w:t>
            </w:r>
          </w:p>
        </w:tc>
      </w:tr>
      <w:tr w:rsidR="00B24A6E" w:rsidRPr="00304CDA" w14:paraId="332EEA95" w14:textId="77777777" w:rsidTr="00F23488">
        <w:trPr>
          <w:gridAfter w:val="1"/>
          <w:wAfter w:w="16" w:type="dxa"/>
          <w:trHeight w:val="1198"/>
          <w:jc w:val="center"/>
        </w:trPr>
        <w:tc>
          <w:tcPr>
            <w:tcW w:w="1980" w:type="dxa"/>
            <w:shd w:val="clear" w:color="auto" w:fill="FFFFFF" w:themeFill="background1"/>
          </w:tcPr>
          <w:p w14:paraId="17CF6B6D" w14:textId="77777777" w:rsidR="00B24A6E" w:rsidRPr="001A3B45" w:rsidRDefault="00B24A6E" w:rsidP="00DC1EE4">
            <w:pPr>
              <w:autoSpaceDE w:val="0"/>
              <w:autoSpaceDN w:val="0"/>
              <w:adjustRightInd w:val="0"/>
              <w:rPr>
                <w:rFonts w:ascii="Arial" w:eastAsia="Arial" w:hAnsi="Arial" w:cs="Arial"/>
                <w:b/>
                <w:bCs/>
                <w:color w:val="000000" w:themeColor="text1"/>
                <w:lang w:val="es-ES"/>
              </w:rPr>
            </w:pPr>
            <w:r w:rsidRPr="6FAE9D8D">
              <w:rPr>
                <w:rFonts w:ascii="Arial" w:eastAsia="Arial" w:hAnsi="Arial" w:cs="Arial"/>
                <w:b/>
                <w:bCs/>
                <w:color w:val="000000" w:themeColor="text1"/>
                <w:lang w:val="es-ES"/>
              </w:rPr>
              <w:t>Estabilidad del Marco General de Políticas Macroeconómicas</w:t>
            </w:r>
          </w:p>
        </w:tc>
        <w:tc>
          <w:tcPr>
            <w:tcW w:w="4222" w:type="dxa"/>
            <w:shd w:val="clear" w:color="auto" w:fill="FFFFFF" w:themeFill="background1"/>
          </w:tcPr>
          <w:p w14:paraId="0B58E455" w14:textId="77777777" w:rsidR="00B24A6E" w:rsidRPr="001A3B45" w:rsidRDefault="00B24A6E" w:rsidP="00DC1EE4">
            <w:pPr>
              <w:autoSpaceDE w:val="0"/>
              <w:autoSpaceDN w:val="0"/>
              <w:adjustRightInd w:val="0"/>
              <w:ind w:right="60"/>
              <w:jc w:val="both"/>
              <w:rPr>
                <w:rFonts w:ascii="Arial" w:eastAsia="Arial" w:hAnsi="Arial" w:cs="Arial"/>
                <w:color w:val="000000" w:themeColor="text1"/>
                <w:lang w:val="es-ES"/>
              </w:rPr>
            </w:pPr>
            <w:r w:rsidRPr="6FAE9D8D">
              <w:rPr>
                <w:rFonts w:ascii="Arial" w:eastAsia="Arial" w:hAnsi="Arial" w:cs="Arial"/>
                <w:color w:val="000000" w:themeColor="text1"/>
                <w:lang w:val="es-ES"/>
              </w:rPr>
              <w:t>Marco macroeconómico estable y conducente al logro de los objetivos del Programa y consistente con los lineamientos establecidos en la Carta de Política Sectorial.</w:t>
            </w:r>
          </w:p>
          <w:p w14:paraId="6C3C390A" w14:textId="77777777" w:rsidR="00B24A6E" w:rsidRPr="001A3B45" w:rsidRDefault="00B24A6E" w:rsidP="00DC1EE4">
            <w:pPr>
              <w:autoSpaceDE w:val="0"/>
              <w:autoSpaceDN w:val="0"/>
              <w:adjustRightInd w:val="0"/>
              <w:ind w:right="60"/>
              <w:jc w:val="both"/>
              <w:rPr>
                <w:rFonts w:ascii="Arial" w:hAnsi="Arial" w:cs="Arial"/>
                <w:b/>
                <w:bCs/>
                <w:color w:val="000000" w:themeColor="text1"/>
                <w:lang w:val="es-ES"/>
              </w:rPr>
            </w:pPr>
          </w:p>
        </w:tc>
        <w:tc>
          <w:tcPr>
            <w:tcW w:w="3690" w:type="dxa"/>
            <w:shd w:val="clear" w:color="auto" w:fill="FFFFFF" w:themeFill="background1"/>
          </w:tcPr>
          <w:p w14:paraId="5D651C42" w14:textId="77777777" w:rsidR="00B24A6E" w:rsidRPr="6FAE9D8D" w:rsidRDefault="00B24A6E" w:rsidP="00DC1EE4">
            <w:pPr>
              <w:autoSpaceDE w:val="0"/>
              <w:autoSpaceDN w:val="0"/>
              <w:adjustRightInd w:val="0"/>
              <w:jc w:val="both"/>
              <w:rPr>
                <w:rFonts w:ascii="Arial" w:eastAsia="Arial" w:hAnsi="Arial" w:cs="Arial"/>
                <w:color w:val="000000" w:themeColor="text1"/>
                <w:lang w:val="es-ES"/>
              </w:rPr>
            </w:pPr>
            <w:r w:rsidRPr="001A3B45">
              <w:rPr>
                <w:rFonts w:ascii="Arial" w:hAnsi="Arial" w:cs="Arial"/>
                <w:color w:val="000000" w:themeColor="text1"/>
                <w:lang w:val="es-ES"/>
              </w:rPr>
              <w:t>Evaluación Independiente de Condiciones Macroeconómicas (IAMC) vigente al momento de solicitar el desembolso.</w:t>
            </w:r>
          </w:p>
        </w:tc>
        <w:tc>
          <w:tcPr>
            <w:tcW w:w="3333" w:type="dxa"/>
            <w:shd w:val="clear" w:color="auto" w:fill="FFFFFF" w:themeFill="background1"/>
          </w:tcPr>
          <w:p w14:paraId="31C23AA2" w14:textId="3580A036" w:rsidR="00B24A6E" w:rsidRPr="000D5AC9" w:rsidRDefault="00B24A6E" w:rsidP="00B35397">
            <w:pPr>
              <w:autoSpaceDE w:val="0"/>
              <w:autoSpaceDN w:val="0"/>
              <w:adjustRightInd w:val="0"/>
              <w:jc w:val="both"/>
              <w:rPr>
                <w:rFonts w:ascii="Arial" w:hAnsi="Arial" w:cs="Arial"/>
                <w:color w:val="000000" w:themeColor="text1"/>
                <w:lang w:val="es-ES_tradnl"/>
              </w:rPr>
            </w:pPr>
            <w:r w:rsidRPr="000D5AC9">
              <w:rPr>
                <w:rFonts w:ascii="Arial" w:hAnsi="Arial" w:cs="Arial"/>
                <w:color w:val="000000" w:themeColor="text1"/>
                <w:u w:val="single"/>
                <w:lang w:val="es-ES_tradnl"/>
              </w:rPr>
              <w:t>Cumplido</w:t>
            </w:r>
          </w:p>
          <w:p w14:paraId="03501B2B" w14:textId="77777777" w:rsidR="00B24A6E" w:rsidRPr="00B35397" w:rsidRDefault="00B24A6E" w:rsidP="00DC1EE4">
            <w:pPr>
              <w:autoSpaceDE w:val="0"/>
              <w:autoSpaceDN w:val="0"/>
              <w:adjustRightInd w:val="0"/>
              <w:jc w:val="both"/>
              <w:rPr>
                <w:rFonts w:ascii="Arial" w:hAnsi="Arial" w:cs="Arial"/>
                <w:b/>
                <w:bCs/>
                <w:color w:val="000000" w:themeColor="text1"/>
                <w:lang w:val="es-ES_tradnl"/>
              </w:rPr>
            </w:pPr>
          </w:p>
        </w:tc>
      </w:tr>
      <w:tr w:rsidR="00495657" w:rsidRPr="00250DF4" w14:paraId="16A13865" w14:textId="77777777" w:rsidTr="00F23488">
        <w:trPr>
          <w:trHeight w:val="300"/>
          <w:jc w:val="center"/>
        </w:trPr>
        <w:tc>
          <w:tcPr>
            <w:tcW w:w="13241" w:type="dxa"/>
            <w:gridSpan w:val="5"/>
            <w:shd w:val="clear" w:color="auto" w:fill="B4C6E7" w:themeFill="accent1" w:themeFillTint="66"/>
          </w:tcPr>
          <w:p w14:paraId="29EA252F" w14:textId="77777777" w:rsidR="00495657" w:rsidRPr="00F25834" w:rsidDel="00AB6113" w:rsidRDefault="00495657" w:rsidP="00DC1EE4">
            <w:pPr>
              <w:autoSpaceDE w:val="0"/>
              <w:autoSpaceDN w:val="0"/>
              <w:adjustRightInd w:val="0"/>
              <w:rPr>
                <w:rFonts w:ascii="Arial" w:eastAsia="Arial" w:hAnsi="Arial" w:cs="Arial"/>
                <w:color w:val="000000" w:themeColor="text1"/>
                <w:lang w:val="es-CO" w:eastAsia="es-CO"/>
              </w:rPr>
            </w:pPr>
            <w:r w:rsidRPr="00F25834">
              <w:rPr>
                <w:rFonts w:ascii="Arial" w:eastAsia="Arial" w:hAnsi="Arial" w:cs="Arial"/>
                <w:b/>
                <w:bCs/>
                <w:color w:val="000000" w:themeColor="text1"/>
                <w:lang w:val="es-ES"/>
              </w:rPr>
              <w:t>Componente 1. FORTALECIMIENTO DE LA CAPACIDAD INSTITUCIONAL Y DE SUPERVISIÓN DEL SECTOR ELÉCTRICO</w:t>
            </w:r>
          </w:p>
        </w:tc>
      </w:tr>
      <w:tr w:rsidR="00B24A6E" w:rsidRPr="00304CDA" w14:paraId="0C7E6439" w14:textId="77777777" w:rsidTr="00F23488">
        <w:trPr>
          <w:gridAfter w:val="1"/>
          <w:wAfter w:w="16" w:type="dxa"/>
          <w:trHeight w:val="48"/>
          <w:jc w:val="center"/>
        </w:trPr>
        <w:tc>
          <w:tcPr>
            <w:tcW w:w="1980" w:type="dxa"/>
            <w:shd w:val="clear" w:color="auto" w:fill="auto"/>
          </w:tcPr>
          <w:p w14:paraId="41FD36A2" w14:textId="77777777" w:rsidR="00B24A6E" w:rsidRPr="001A3B45" w:rsidRDefault="00B24A6E" w:rsidP="00DC1EE4">
            <w:pPr>
              <w:pStyle w:val="ListParagraph"/>
              <w:numPr>
                <w:ilvl w:val="1"/>
                <w:numId w:val="15"/>
              </w:numPr>
              <w:autoSpaceDE w:val="0"/>
              <w:autoSpaceDN w:val="0"/>
              <w:adjustRightInd w:val="0"/>
              <w:rPr>
                <w:rFonts w:ascii="Arial" w:eastAsia="Arial" w:hAnsi="Arial" w:cs="Arial"/>
                <w:b/>
                <w:bCs/>
                <w:color w:val="000000" w:themeColor="text1"/>
                <w:lang w:val="es-ES"/>
              </w:rPr>
            </w:pPr>
            <w:r w:rsidRPr="6FAE9D8D">
              <w:rPr>
                <w:rFonts w:ascii="Arial" w:eastAsia="Arial" w:hAnsi="Arial" w:cs="Arial"/>
                <w:b/>
                <w:bCs/>
                <w:color w:val="000000" w:themeColor="text1"/>
                <w:lang w:val="es-ES"/>
              </w:rPr>
              <w:t>Mejorar la capacidad de supervisión de las cuentas del sector eléctrico para aumentar transparencia.</w:t>
            </w:r>
          </w:p>
          <w:p w14:paraId="2A25CAAE" w14:textId="77777777" w:rsidR="00B24A6E" w:rsidRPr="00EF3415" w:rsidRDefault="00B24A6E" w:rsidP="00DC1EE4">
            <w:pPr>
              <w:rPr>
                <w:rFonts w:ascii="Arial" w:hAnsi="Arial" w:cs="Arial"/>
                <w:color w:val="000000" w:themeColor="text1"/>
                <w:lang w:val="es-ES"/>
              </w:rPr>
            </w:pPr>
          </w:p>
        </w:tc>
        <w:tc>
          <w:tcPr>
            <w:tcW w:w="4222" w:type="dxa"/>
            <w:shd w:val="clear" w:color="auto" w:fill="auto"/>
          </w:tcPr>
          <w:p w14:paraId="06DD4949" w14:textId="2DF742A3" w:rsidR="00B24A6E" w:rsidRDefault="00B24A6E" w:rsidP="00DC1EE4">
            <w:pPr>
              <w:autoSpaceDE w:val="0"/>
              <w:autoSpaceDN w:val="0"/>
              <w:adjustRightInd w:val="0"/>
              <w:ind w:right="60"/>
              <w:jc w:val="both"/>
              <w:rPr>
                <w:rFonts w:ascii="Arial" w:eastAsia="Arial" w:hAnsi="Arial" w:cs="Arial"/>
                <w:bCs/>
                <w:color w:val="000000" w:themeColor="text1"/>
                <w:lang w:val="es-ES"/>
              </w:rPr>
            </w:pPr>
            <w:r w:rsidRPr="00097002">
              <w:rPr>
                <w:rFonts w:ascii="Arial" w:eastAsia="Arial" w:hAnsi="Arial" w:cs="Arial"/>
                <w:color w:val="000000" w:themeColor="text1"/>
                <w:lang w:val="es-ES"/>
              </w:rPr>
              <w:t xml:space="preserve">Que la </w:t>
            </w:r>
            <w:r>
              <w:rPr>
                <w:rFonts w:ascii="Arial" w:eastAsia="Arial" w:hAnsi="Arial" w:cs="Arial"/>
                <w:color w:val="000000" w:themeColor="text1"/>
                <w:lang w:val="es-ES"/>
              </w:rPr>
              <w:t>Superintendencia de Electricidad (</w:t>
            </w:r>
            <w:r w:rsidRPr="00097002">
              <w:rPr>
                <w:rFonts w:ascii="Arial" w:eastAsia="Arial" w:hAnsi="Arial" w:cs="Arial"/>
                <w:color w:val="000000" w:themeColor="text1"/>
                <w:lang w:val="es-ES"/>
              </w:rPr>
              <w:t>SIE</w:t>
            </w:r>
            <w:r>
              <w:rPr>
                <w:rFonts w:ascii="Arial" w:eastAsia="Arial" w:hAnsi="Arial" w:cs="Arial"/>
                <w:color w:val="000000" w:themeColor="text1"/>
                <w:lang w:val="es-ES"/>
              </w:rPr>
              <w:t xml:space="preserve">) cuente con un </w:t>
            </w:r>
            <w:r w:rsidRPr="00097002">
              <w:rPr>
                <w:rFonts w:ascii="Arial" w:eastAsia="Arial" w:hAnsi="Arial" w:cs="Arial"/>
                <w:b/>
                <w:bCs/>
                <w:color w:val="000000" w:themeColor="text1"/>
                <w:lang w:val="es-ES"/>
              </w:rPr>
              <w:t>Sistema</w:t>
            </w:r>
            <w:r>
              <w:rPr>
                <w:rFonts w:ascii="Arial" w:eastAsia="Arial" w:hAnsi="Arial" w:cs="Arial"/>
                <w:b/>
                <w:bCs/>
                <w:color w:val="000000" w:themeColor="text1"/>
                <w:lang w:val="es-ES"/>
              </w:rPr>
              <w:t xml:space="preserve"> Informático</w:t>
            </w:r>
            <w:r w:rsidRPr="00097002">
              <w:rPr>
                <w:rFonts w:ascii="Arial" w:eastAsia="Arial" w:hAnsi="Arial" w:cs="Arial"/>
                <w:b/>
                <w:bCs/>
                <w:color w:val="000000" w:themeColor="text1"/>
                <w:lang w:val="es-ES"/>
              </w:rPr>
              <w:t xml:space="preserve"> de Monitoreo y Rendición de Cuentas</w:t>
            </w:r>
            <w:r>
              <w:rPr>
                <w:rFonts w:ascii="Arial" w:eastAsia="Arial" w:hAnsi="Arial" w:cs="Arial"/>
                <w:b/>
                <w:bCs/>
                <w:color w:val="000000" w:themeColor="text1"/>
                <w:lang w:val="es-ES"/>
              </w:rPr>
              <w:t>,</w:t>
            </w:r>
            <w:r w:rsidRPr="00534CD5">
              <w:rPr>
                <w:rFonts w:ascii="Arial" w:eastAsia="Arial" w:hAnsi="Arial" w:cs="Arial"/>
                <w:color w:val="000000" w:themeColor="text1"/>
                <w:lang w:val="es-ES"/>
              </w:rPr>
              <w:t xml:space="preserve"> </w:t>
            </w:r>
            <w:r>
              <w:rPr>
                <w:rFonts w:ascii="Arial" w:eastAsia="Arial" w:hAnsi="Arial" w:cs="Arial"/>
                <w:color w:val="000000" w:themeColor="text1"/>
                <w:lang w:val="es-ES"/>
              </w:rPr>
              <w:t xml:space="preserve">que </w:t>
            </w:r>
            <w:r w:rsidRPr="00534CD5">
              <w:rPr>
                <w:rFonts w:ascii="Arial" w:eastAsia="Arial" w:hAnsi="Arial" w:cs="Arial"/>
                <w:color w:val="000000" w:themeColor="text1"/>
                <w:lang w:val="es-ES"/>
              </w:rPr>
              <w:t>produzca</w:t>
            </w:r>
            <w:r>
              <w:rPr>
                <w:rFonts w:ascii="Arial" w:eastAsia="Arial" w:hAnsi="Arial" w:cs="Arial"/>
                <w:color w:val="000000" w:themeColor="text1"/>
                <w:lang w:val="es-ES"/>
              </w:rPr>
              <w:t xml:space="preserve"> informes semestrales sobre</w:t>
            </w:r>
            <w:r w:rsidRPr="00097002">
              <w:rPr>
                <w:rFonts w:ascii="Arial" w:eastAsia="Arial" w:hAnsi="Arial" w:cs="Arial"/>
                <w:color w:val="000000" w:themeColor="text1"/>
                <w:lang w:val="es-ES"/>
              </w:rPr>
              <w:t xml:space="preserve"> el avance en el cumplimiento de </w:t>
            </w:r>
            <w:r>
              <w:rPr>
                <w:rFonts w:ascii="Arial" w:eastAsia="Arial" w:hAnsi="Arial" w:cs="Arial"/>
                <w:color w:val="000000" w:themeColor="text1"/>
                <w:lang w:val="es-ES"/>
              </w:rPr>
              <w:t>las</w:t>
            </w:r>
            <w:r w:rsidRPr="00097002">
              <w:rPr>
                <w:rFonts w:ascii="Arial" w:eastAsia="Arial" w:hAnsi="Arial" w:cs="Arial"/>
                <w:color w:val="000000" w:themeColor="text1"/>
                <w:lang w:val="es-ES"/>
              </w:rPr>
              <w:t xml:space="preserve"> metas de reducción de pérdidas y </w:t>
            </w:r>
            <w:r w:rsidRPr="00097002">
              <w:rPr>
                <w:rFonts w:ascii="Arial" w:eastAsia="Arial" w:hAnsi="Arial" w:cs="Arial"/>
                <w:bCs/>
                <w:color w:val="000000" w:themeColor="text1"/>
                <w:lang w:val="es-ES"/>
              </w:rPr>
              <w:t xml:space="preserve">costos operativos de las </w:t>
            </w:r>
            <w:r w:rsidRPr="6FAE9D8D">
              <w:rPr>
                <w:rStyle w:val="CommentReference"/>
                <w:rFonts w:ascii="Arial" w:eastAsia="Arial" w:hAnsi="Arial" w:cs="Arial"/>
                <w:color w:val="000000" w:themeColor="text1"/>
                <w:sz w:val="20"/>
                <w:szCs w:val="20"/>
                <w:lang w:val="es-ES"/>
              </w:rPr>
              <w:t xml:space="preserve">Empresas Distribuidoras de Electricidad </w:t>
            </w:r>
            <w:r>
              <w:rPr>
                <w:rStyle w:val="CommentReference"/>
                <w:rFonts w:ascii="Arial" w:eastAsia="Arial" w:hAnsi="Arial" w:cs="Arial"/>
                <w:color w:val="000000" w:themeColor="text1"/>
                <w:sz w:val="20"/>
                <w:szCs w:val="20"/>
                <w:lang w:val="es-ES"/>
              </w:rPr>
              <w:t>(</w:t>
            </w:r>
            <w:r w:rsidRPr="00097002">
              <w:rPr>
                <w:rFonts w:ascii="Arial" w:eastAsia="Arial" w:hAnsi="Arial" w:cs="Arial"/>
                <w:bCs/>
                <w:color w:val="000000" w:themeColor="text1"/>
                <w:lang w:val="es-ES"/>
              </w:rPr>
              <w:t>EDE</w:t>
            </w:r>
            <w:r>
              <w:rPr>
                <w:rFonts w:ascii="Arial" w:eastAsia="Arial" w:hAnsi="Arial" w:cs="Arial"/>
                <w:bCs/>
                <w:color w:val="000000" w:themeColor="text1"/>
                <w:lang w:val="es-ES"/>
              </w:rPr>
              <w:t>)</w:t>
            </w:r>
            <w:r w:rsidRPr="00097002">
              <w:rPr>
                <w:rFonts w:ascii="Arial" w:eastAsia="Arial" w:hAnsi="Arial" w:cs="Arial"/>
                <w:bCs/>
                <w:color w:val="000000" w:themeColor="text1"/>
                <w:lang w:val="es-ES"/>
              </w:rPr>
              <w:t xml:space="preserve">, </w:t>
            </w:r>
            <w:r>
              <w:rPr>
                <w:rFonts w:ascii="Arial" w:eastAsia="Arial" w:hAnsi="Arial" w:cs="Arial"/>
                <w:bCs/>
                <w:color w:val="000000" w:themeColor="text1"/>
                <w:lang w:val="es-ES"/>
              </w:rPr>
              <w:t xml:space="preserve">establecidos </w:t>
            </w:r>
            <w:r w:rsidRPr="00097002">
              <w:rPr>
                <w:rFonts w:ascii="Arial" w:eastAsia="Arial" w:hAnsi="Arial" w:cs="Arial"/>
                <w:bCs/>
                <w:color w:val="000000" w:themeColor="text1"/>
                <w:lang w:val="es-ES"/>
              </w:rPr>
              <w:t xml:space="preserve">en sus Planes de Mejora de Gestión y Planes de Reducción de Pérdidas 2017-2022. Dicho </w:t>
            </w:r>
            <w:r>
              <w:rPr>
                <w:rFonts w:ascii="Arial" w:eastAsia="Arial" w:hAnsi="Arial" w:cs="Arial"/>
                <w:bCs/>
                <w:color w:val="000000" w:themeColor="text1"/>
                <w:lang w:val="es-ES"/>
              </w:rPr>
              <w:t>informe deberá incluir lo siguiente</w:t>
            </w:r>
            <w:r w:rsidRPr="00097002">
              <w:rPr>
                <w:rFonts w:ascii="Arial" w:eastAsia="Arial" w:hAnsi="Arial" w:cs="Arial"/>
                <w:bCs/>
                <w:color w:val="000000" w:themeColor="text1"/>
                <w:lang w:val="es-ES"/>
              </w:rPr>
              <w:t>:</w:t>
            </w:r>
          </w:p>
          <w:p w14:paraId="7251215A" w14:textId="77777777" w:rsidR="00B24A6E" w:rsidRPr="00097002" w:rsidRDefault="00B24A6E" w:rsidP="00DC1EE4">
            <w:pPr>
              <w:autoSpaceDE w:val="0"/>
              <w:autoSpaceDN w:val="0"/>
              <w:adjustRightInd w:val="0"/>
              <w:ind w:right="60"/>
              <w:jc w:val="both"/>
              <w:rPr>
                <w:rFonts w:ascii="Arial" w:eastAsia="Arial" w:hAnsi="Arial" w:cs="Arial"/>
                <w:color w:val="000000" w:themeColor="text1"/>
                <w:lang w:val="es-ES"/>
              </w:rPr>
            </w:pPr>
          </w:p>
          <w:p w14:paraId="2D795D80" w14:textId="77777777" w:rsidR="00B24A6E" w:rsidRPr="00097002" w:rsidRDefault="00B24A6E" w:rsidP="00DC1EE4">
            <w:pPr>
              <w:pStyle w:val="ListParagraph"/>
              <w:numPr>
                <w:ilvl w:val="0"/>
                <w:numId w:val="4"/>
              </w:numPr>
              <w:autoSpaceDE w:val="0"/>
              <w:autoSpaceDN w:val="0"/>
              <w:adjustRightInd w:val="0"/>
              <w:ind w:left="234" w:hanging="234"/>
              <w:rPr>
                <w:rFonts w:ascii="Arial" w:eastAsia="Arial" w:hAnsi="Arial" w:cs="Arial"/>
                <w:color w:val="000000" w:themeColor="text1"/>
                <w:lang w:val="es-CO" w:eastAsia="es-CO"/>
              </w:rPr>
            </w:pPr>
            <w:r w:rsidRPr="00097002">
              <w:rPr>
                <w:rFonts w:ascii="Arial" w:eastAsia="Arial" w:hAnsi="Arial" w:cs="Arial"/>
                <w:color w:val="000000" w:themeColor="text1"/>
                <w:lang w:val="es-CO" w:eastAsia="es-CO"/>
              </w:rPr>
              <w:t>Nivel de pérdidas.</w:t>
            </w:r>
          </w:p>
          <w:p w14:paraId="2404CF3E" w14:textId="77777777" w:rsidR="00B24A6E" w:rsidRPr="00097002" w:rsidRDefault="00B24A6E" w:rsidP="00DC1EE4">
            <w:pPr>
              <w:pStyle w:val="ListParagraph"/>
              <w:numPr>
                <w:ilvl w:val="0"/>
                <w:numId w:val="4"/>
              </w:numPr>
              <w:autoSpaceDE w:val="0"/>
              <w:autoSpaceDN w:val="0"/>
              <w:adjustRightInd w:val="0"/>
              <w:ind w:left="234" w:hanging="234"/>
              <w:rPr>
                <w:rFonts w:ascii="Arial" w:eastAsia="Arial" w:hAnsi="Arial" w:cs="Arial"/>
                <w:color w:val="000000" w:themeColor="text1"/>
                <w:lang w:val="es-CO" w:eastAsia="es-CO"/>
              </w:rPr>
            </w:pPr>
            <w:r w:rsidRPr="00097002">
              <w:rPr>
                <w:rFonts w:ascii="Arial" w:eastAsia="Arial" w:hAnsi="Arial" w:cs="Arial"/>
                <w:color w:val="000000" w:themeColor="text1"/>
                <w:lang w:val="es-ES"/>
              </w:rPr>
              <w:t>P</w:t>
            </w:r>
            <w:proofErr w:type="spellStart"/>
            <w:r w:rsidRPr="00097002">
              <w:rPr>
                <w:rFonts w:ascii="Arial" w:eastAsia="Arial" w:hAnsi="Arial" w:cs="Arial"/>
                <w:color w:val="000000" w:themeColor="text1"/>
                <w:lang w:val="es-CO" w:eastAsia="es-CO"/>
              </w:rPr>
              <w:t>orcentaje</w:t>
            </w:r>
            <w:proofErr w:type="spellEnd"/>
            <w:r w:rsidRPr="00097002">
              <w:rPr>
                <w:rFonts w:ascii="Arial" w:eastAsia="Arial" w:hAnsi="Arial" w:cs="Arial"/>
                <w:color w:val="000000" w:themeColor="text1"/>
                <w:lang w:val="es-CO" w:eastAsia="es-CO"/>
              </w:rPr>
              <w:t xml:space="preserve"> de cobranzas.</w:t>
            </w:r>
          </w:p>
          <w:p w14:paraId="678F4BE5" w14:textId="77777777" w:rsidR="00B24A6E" w:rsidRPr="00097002" w:rsidRDefault="00B24A6E" w:rsidP="00DC1EE4">
            <w:pPr>
              <w:pStyle w:val="ListParagraph"/>
              <w:numPr>
                <w:ilvl w:val="0"/>
                <w:numId w:val="4"/>
              </w:numPr>
              <w:autoSpaceDE w:val="0"/>
              <w:autoSpaceDN w:val="0"/>
              <w:adjustRightInd w:val="0"/>
              <w:ind w:left="234" w:hanging="234"/>
              <w:rPr>
                <w:rFonts w:ascii="Arial" w:eastAsia="Arial" w:hAnsi="Arial" w:cs="Arial"/>
                <w:color w:val="000000" w:themeColor="text1"/>
                <w:lang w:val="es-CO" w:eastAsia="es-CO"/>
              </w:rPr>
            </w:pPr>
            <w:r w:rsidRPr="00097002">
              <w:rPr>
                <w:rFonts w:ascii="Arial" w:eastAsia="Arial" w:hAnsi="Arial" w:cs="Arial"/>
                <w:color w:val="000000" w:themeColor="text1"/>
                <w:lang w:val="es-CO" w:eastAsia="es-CO"/>
              </w:rPr>
              <w:t>Porcentaje de abastecimiento.</w:t>
            </w:r>
          </w:p>
          <w:p w14:paraId="7F5F903E" w14:textId="77777777" w:rsidR="00B24A6E" w:rsidRPr="00097002" w:rsidRDefault="00B24A6E" w:rsidP="00DC1EE4">
            <w:pPr>
              <w:pStyle w:val="ListParagraph"/>
              <w:numPr>
                <w:ilvl w:val="0"/>
                <w:numId w:val="4"/>
              </w:numPr>
              <w:autoSpaceDE w:val="0"/>
              <w:autoSpaceDN w:val="0"/>
              <w:adjustRightInd w:val="0"/>
              <w:ind w:left="234" w:hanging="234"/>
              <w:rPr>
                <w:rFonts w:ascii="Arial" w:hAnsi="Arial" w:cs="Arial"/>
                <w:color w:val="000000" w:themeColor="text1"/>
                <w:lang w:val="es-ES_tradnl"/>
              </w:rPr>
            </w:pPr>
            <w:r w:rsidRPr="00097002">
              <w:rPr>
                <w:rFonts w:ascii="Arial" w:eastAsia="Arial" w:hAnsi="Arial" w:cs="Arial"/>
                <w:color w:val="000000" w:themeColor="text1"/>
                <w:lang w:val="es-CO" w:eastAsia="es-CO"/>
              </w:rPr>
              <w:lastRenderedPageBreak/>
              <w:t>Relación de gastos operativos sobre ingresos.</w:t>
            </w:r>
          </w:p>
          <w:p w14:paraId="102D84A0" w14:textId="77777777" w:rsidR="00B24A6E" w:rsidRPr="00561E6C" w:rsidRDefault="00B24A6E" w:rsidP="00561E6C">
            <w:pPr>
              <w:tabs>
                <w:tab w:val="left" w:pos="1138"/>
              </w:tabs>
              <w:autoSpaceDE w:val="0"/>
              <w:autoSpaceDN w:val="0"/>
              <w:adjustRightInd w:val="0"/>
              <w:rPr>
                <w:rFonts w:ascii="Arial" w:hAnsi="Arial" w:cs="Arial"/>
                <w:color w:val="FF0000"/>
                <w:lang w:val="es-ES_tradnl"/>
              </w:rPr>
            </w:pPr>
          </w:p>
        </w:tc>
        <w:tc>
          <w:tcPr>
            <w:tcW w:w="3690" w:type="dxa"/>
          </w:tcPr>
          <w:p w14:paraId="3D45A965" w14:textId="77777777" w:rsidR="00B24A6E" w:rsidRDefault="00B24A6E" w:rsidP="00231C1B">
            <w:pPr>
              <w:contextualSpacing/>
              <w:jc w:val="both"/>
              <w:rPr>
                <w:rFonts w:ascii="Arial" w:hAnsi="Arial" w:cs="Arial"/>
                <w:color w:val="000000" w:themeColor="text1"/>
                <w:lang w:val="es-CO" w:eastAsia="es-CO"/>
              </w:rPr>
            </w:pPr>
            <w:r w:rsidRPr="00F25834">
              <w:rPr>
                <w:rFonts w:ascii="Arial" w:hAnsi="Arial" w:cs="Arial"/>
                <w:color w:val="000000" w:themeColor="text1"/>
                <w:lang w:val="es-CO" w:eastAsia="es-CO"/>
              </w:rPr>
              <w:lastRenderedPageBreak/>
              <w:t xml:space="preserve">Informe </w:t>
            </w:r>
            <w:r>
              <w:rPr>
                <w:rFonts w:ascii="Arial" w:hAnsi="Arial" w:cs="Arial"/>
                <w:color w:val="000000" w:themeColor="text1"/>
                <w:lang w:val="es-CO" w:eastAsia="es-CO"/>
              </w:rPr>
              <w:t xml:space="preserve">inicial </w:t>
            </w:r>
            <w:r w:rsidRPr="00F25834">
              <w:rPr>
                <w:rFonts w:ascii="Arial" w:hAnsi="Arial" w:cs="Arial"/>
                <w:color w:val="000000" w:themeColor="text1"/>
                <w:lang w:val="es-CO" w:eastAsia="es-CO"/>
              </w:rPr>
              <w:t>de la SIE</w:t>
            </w:r>
            <w:r>
              <w:rPr>
                <w:rFonts w:ascii="Arial" w:hAnsi="Arial" w:cs="Arial"/>
                <w:color w:val="000000" w:themeColor="text1"/>
                <w:lang w:val="es-CO" w:eastAsia="es-CO"/>
              </w:rPr>
              <w:t xml:space="preserve"> remitido al MH</w:t>
            </w:r>
            <w:r w:rsidRPr="00F25834">
              <w:rPr>
                <w:rFonts w:ascii="Arial" w:hAnsi="Arial" w:cs="Arial"/>
                <w:color w:val="000000" w:themeColor="text1"/>
                <w:lang w:val="es-CO" w:eastAsia="es-CO"/>
              </w:rPr>
              <w:t xml:space="preserve">, </w:t>
            </w:r>
            <w:r>
              <w:rPr>
                <w:rFonts w:ascii="Arial" w:hAnsi="Arial" w:cs="Arial"/>
                <w:color w:val="000000" w:themeColor="text1"/>
                <w:lang w:val="es-CO" w:eastAsia="es-CO"/>
              </w:rPr>
              <w:t>con</w:t>
            </w:r>
            <w:r w:rsidRPr="00F25834">
              <w:rPr>
                <w:rFonts w:ascii="Arial" w:hAnsi="Arial" w:cs="Arial"/>
                <w:color w:val="000000" w:themeColor="text1"/>
                <w:lang w:val="es-ES_tradnl"/>
              </w:rPr>
              <w:t xml:space="preserve"> los compromisos y metas de reducción de pérdidas y costos operativos de las </w:t>
            </w:r>
            <w:proofErr w:type="spellStart"/>
            <w:r w:rsidRPr="00F25834">
              <w:rPr>
                <w:rFonts w:ascii="Arial" w:hAnsi="Arial" w:cs="Arial"/>
                <w:color w:val="000000" w:themeColor="text1"/>
                <w:lang w:val="es-ES_tradnl"/>
              </w:rPr>
              <w:t>EDEs</w:t>
            </w:r>
            <w:proofErr w:type="spellEnd"/>
            <w:r>
              <w:rPr>
                <w:rFonts w:ascii="Arial" w:hAnsi="Arial" w:cs="Arial"/>
                <w:color w:val="000000" w:themeColor="text1"/>
                <w:lang w:val="es-ES_tradnl"/>
              </w:rPr>
              <w:t>, que están siendo monitoreados a través del Sistema</w:t>
            </w:r>
            <w:r w:rsidRPr="00F25834">
              <w:rPr>
                <w:rFonts w:ascii="Arial" w:hAnsi="Arial" w:cs="Arial"/>
                <w:color w:val="000000" w:themeColor="text1"/>
                <w:lang w:val="es-CO" w:eastAsia="es-CO"/>
              </w:rPr>
              <w:t>.</w:t>
            </w:r>
          </w:p>
          <w:p w14:paraId="3480552B" w14:textId="77777777" w:rsidR="00B24A6E" w:rsidRDefault="00B24A6E" w:rsidP="00231C1B">
            <w:pPr>
              <w:contextualSpacing/>
              <w:jc w:val="both"/>
              <w:rPr>
                <w:rFonts w:ascii="Arial" w:hAnsi="Arial" w:cs="Arial"/>
                <w:color w:val="000000" w:themeColor="text1"/>
                <w:lang w:val="es-CO" w:eastAsia="es-CO"/>
              </w:rPr>
            </w:pPr>
          </w:p>
          <w:p w14:paraId="2FB848B2" w14:textId="3E013D94" w:rsidR="00B24A6E" w:rsidRDefault="00B24A6E" w:rsidP="00231C1B">
            <w:pPr>
              <w:contextualSpacing/>
              <w:jc w:val="both"/>
              <w:rPr>
                <w:rFonts w:ascii="Arial" w:hAnsi="Arial" w:cs="Arial"/>
                <w:color w:val="000000" w:themeColor="text1"/>
                <w:lang w:val="es-CO" w:eastAsia="es-CO"/>
              </w:rPr>
            </w:pPr>
            <w:r>
              <w:rPr>
                <w:rFonts w:ascii="Arial" w:hAnsi="Arial" w:cs="Arial"/>
                <w:color w:val="000000" w:themeColor="text1"/>
                <w:lang w:val="es-CO" w:eastAsia="es-CO"/>
              </w:rPr>
              <w:t xml:space="preserve">Inspección in-situ del </w:t>
            </w:r>
            <w:r w:rsidRPr="00097002">
              <w:rPr>
                <w:rFonts w:ascii="Arial" w:eastAsia="Arial" w:hAnsi="Arial" w:cs="Arial"/>
                <w:b/>
                <w:bCs/>
                <w:color w:val="000000" w:themeColor="text1"/>
                <w:lang w:val="es-ES"/>
              </w:rPr>
              <w:t>Sistema</w:t>
            </w:r>
            <w:r>
              <w:rPr>
                <w:rFonts w:ascii="Arial" w:eastAsia="Arial" w:hAnsi="Arial" w:cs="Arial"/>
                <w:b/>
                <w:bCs/>
                <w:color w:val="000000" w:themeColor="text1"/>
                <w:lang w:val="es-ES"/>
              </w:rPr>
              <w:t xml:space="preserve"> Informático</w:t>
            </w:r>
            <w:r w:rsidRPr="00097002">
              <w:rPr>
                <w:rFonts w:ascii="Arial" w:eastAsia="Arial" w:hAnsi="Arial" w:cs="Arial"/>
                <w:b/>
                <w:bCs/>
                <w:color w:val="000000" w:themeColor="text1"/>
                <w:lang w:val="es-ES"/>
              </w:rPr>
              <w:t xml:space="preserve"> de Monitoreo y Rendición de Cuentas</w:t>
            </w:r>
            <w:r w:rsidRPr="004B455F">
              <w:rPr>
                <w:rFonts w:ascii="Arial" w:eastAsia="Arial" w:hAnsi="Arial" w:cs="Arial"/>
                <w:bCs/>
                <w:color w:val="000000" w:themeColor="text1"/>
                <w:lang w:val="es-ES"/>
              </w:rPr>
              <w:t xml:space="preserve"> y su capacidad de producir informes</w:t>
            </w:r>
          </w:p>
          <w:p w14:paraId="4BC9B1CD" w14:textId="77777777" w:rsidR="00B24A6E" w:rsidRPr="00F25834" w:rsidRDefault="00B24A6E" w:rsidP="0092026F">
            <w:pPr>
              <w:contextualSpacing/>
              <w:jc w:val="both"/>
              <w:rPr>
                <w:rFonts w:ascii="Arial" w:eastAsia="Arial" w:hAnsi="Arial" w:cs="Arial"/>
                <w:color w:val="000000" w:themeColor="text1"/>
                <w:lang w:val="es-CO"/>
              </w:rPr>
            </w:pPr>
          </w:p>
        </w:tc>
        <w:tc>
          <w:tcPr>
            <w:tcW w:w="3333" w:type="dxa"/>
            <w:shd w:val="clear" w:color="auto" w:fill="auto"/>
          </w:tcPr>
          <w:p w14:paraId="7BB7D7FF" w14:textId="3B52C9F0" w:rsidR="00B24A6E" w:rsidRPr="00F024B2" w:rsidRDefault="00B24A6E" w:rsidP="001D48C6">
            <w:pPr>
              <w:autoSpaceDE w:val="0"/>
              <w:autoSpaceDN w:val="0"/>
              <w:adjustRightInd w:val="0"/>
              <w:jc w:val="both"/>
              <w:rPr>
                <w:rFonts w:ascii="Arial" w:eastAsia="Arial" w:hAnsi="Arial" w:cs="Arial"/>
                <w:color w:val="000000" w:themeColor="text1"/>
                <w:lang w:val="es-ES"/>
              </w:rPr>
            </w:pPr>
            <w:r>
              <w:rPr>
                <w:rFonts w:ascii="Arial" w:eastAsia="Arial" w:hAnsi="Arial" w:cs="Arial"/>
                <w:color w:val="000000" w:themeColor="text1"/>
                <w:u w:val="single"/>
                <w:lang w:val="es-ES"/>
              </w:rPr>
              <w:t>Cumplido</w:t>
            </w:r>
          </w:p>
          <w:p w14:paraId="03F99BF6" w14:textId="7AE19BCA" w:rsidR="00B24A6E" w:rsidRDefault="00B24A6E" w:rsidP="00490A55">
            <w:pPr>
              <w:autoSpaceDE w:val="0"/>
              <w:autoSpaceDN w:val="0"/>
              <w:adjustRightInd w:val="0"/>
              <w:jc w:val="both"/>
              <w:rPr>
                <w:rFonts w:ascii="Arial" w:eastAsia="Arial" w:hAnsi="Arial" w:cs="Arial"/>
                <w:color w:val="000000" w:themeColor="text1"/>
                <w:lang w:val="es-ES"/>
              </w:rPr>
            </w:pPr>
          </w:p>
          <w:p w14:paraId="19E0E624" w14:textId="77777777" w:rsidR="00B24A6E" w:rsidRDefault="00B24A6E" w:rsidP="00490A55">
            <w:pPr>
              <w:autoSpaceDE w:val="0"/>
              <w:autoSpaceDN w:val="0"/>
              <w:adjustRightInd w:val="0"/>
              <w:jc w:val="both"/>
              <w:rPr>
                <w:rFonts w:ascii="Arial" w:eastAsia="Arial" w:hAnsi="Arial" w:cs="Arial"/>
                <w:color w:val="000000" w:themeColor="text1"/>
                <w:lang w:val="es-ES"/>
              </w:rPr>
            </w:pPr>
          </w:p>
          <w:p w14:paraId="63E9A846" w14:textId="63D5AD38" w:rsidR="00B24A6E" w:rsidRDefault="00B24A6E" w:rsidP="00490A55">
            <w:pPr>
              <w:autoSpaceDE w:val="0"/>
              <w:autoSpaceDN w:val="0"/>
              <w:adjustRightInd w:val="0"/>
              <w:jc w:val="both"/>
              <w:rPr>
                <w:rFonts w:ascii="Arial" w:eastAsia="Arial" w:hAnsi="Arial" w:cs="Arial"/>
                <w:color w:val="000000" w:themeColor="text1"/>
                <w:lang w:val="es-ES"/>
              </w:rPr>
            </w:pPr>
          </w:p>
          <w:p w14:paraId="17633276" w14:textId="539388AC" w:rsidR="001C3A6B" w:rsidRDefault="001C3A6B" w:rsidP="00490A55">
            <w:pPr>
              <w:autoSpaceDE w:val="0"/>
              <w:autoSpaceDN w:val="0"/>
              <w:adjustRightInd w:val="0"/>
              <w:jc w:val="both"/>
              <w:rPr>
                <w:rFonts w:ascii="Arial" w:eastAsia="Arial" w:hAnsi="Arial" w:cs="Arial"/>
                <w:color w:val="000000" w:themeColor="text1"/>
                <w:lang w:val="es-ES"/>
              </w:rPr>
            </w:pPr>
          </w:p>
          <w:p w14:paraId="5DEF03FA" w14:textId="77777777" w:rsidR="001C3A6B" w:rsidRDefault="001C3A6B" w:rsidP="00490A55">
            <w:pPr>
              <w:autoSpaceDE w:val="0"/>
              <w:autoSpaceDN w:val="0"/>
              <w:adjustRightInd w:val="0"/>
              <w:jc w:val="both"/>
              <w:rPr>
                <w:rFonts w:ascii="Arial" w:eastAsia="Arial" w:hAnsi="Arial" w:cs="Arial"/>
                <w:color w:val="000000" w:themeColor="text1"/>
                <w:lang w:val="es-ES"/>
              </w:rPr>
            </w:pPr>
          </w:p>
          <w:p w14:paraId="29EB2829" w14:textId="77777777" w:rsidR="00B24A6E" w:rsidRDefault="00B24A6E" w:rsidP="00490A55">
            <w:pPr>
              <w:autoSpaceDE w:val="0"/>
              <w:autoSpaceDN w:val="0"/>
              <w:adjustRightInd w:val="0"/>
              <w:jc w:val="both"/>
              <w:rPr>
                <w:rFonts w:ascii="Arial" w:eastAsia="Arial" w:hAnsi="Arial" w:cs="Arial"/>
                <w:color w:val="000000" w:themeColor="text1"/>
                <w:lang w:val="es-ES"/>
              </w:rPr>
            </w:pPr>
          </w:p>
          <w:p w14:paraId="0EC1A10A" w14:textId="7219CADC" w:rsidR="00B24A6E" w:rsidRDefault="00B24A6E" w:rsidP="00490A55">
            <w:pPr>
              <w:autoSpaceDE w:val="0"/>
              <w:autoSpaceDN w:val="0"/>
              <w:adjustRightInd w:val="0"/>
              <w:jc w:val="both"/>
              <w:rPr>
                <w:rFonts w:ascii="Arial" w:eastAsia="Arial" w:hAnsi="Arial" w:cs="Arial"/>
                <w:color w:val="000000" w:themeColor="text1"/>
                <w:lang w:val="es-ES"/>
              </w:rPr>
            </w:pPr>
            <w:r>
              <w:rPr>
                <w:rFonts w:ascii="Arial" w:eastAsia="Arial" w:hAnsi="Arial" w:cs="Arial"/>
                <w:color w:val="000000" w:themeColor="text1"/>
                <w:u w:val="single"/>
                <w:lang w:val="es-ES"/>
              </w:rPr>
              <w:t>Cumplido</w:t>
            </w:r>
          </w:p>
          <w:p w14:paraId="354BC41E" w14:textId="77777777" w:rsidR="00B24A6E" w:rsidRDefault="00B24A6E" w:rsidP="00490A55">
            <w:pPr>
              <w:autoSpaceDE w:val="0"/>
              <w:autoSpaceDN w:val="0"/>
              <w:adjustRightInd w:val="0"/>
              <w:jc w:val="both"/>
              <w:rPr>
                <w:rFonts w:ascii="Arial" w:eastAsia="Arial" w:hAnsi="Arial" w:cs="Arial"/>
                <w:color w:val="000000" w:themeColor="text1"/>
                <w:lang w:val="es-ES"/>
              </w:rPr>
            </w:pPr>
          </w:p>
          <w:p w14:paraId="1B7256F3" w14:textId="7444B47D" w:rsidR="00B24A6E" w:rsidRPr="004F55E8" w:rsidRDefault="00B24A6E" w:rsidP="00490A55">
            <w:pPr>
              <w:autoSpaceDE w:val="0"/>
              <w:autoSpaceDN w:val="0"/>
              <w:adjustRightInd w:val="0"/>
              <w:jc w:val="both"/>
              <w:rPr>
                <w:rFonts w:ascii="Arial" w:eastAsia="Arial" w:hAnsi="Arial" w:cs="Arial"/>
                <w:color w:val="000000" w:themeColor="text1"/>
                <w:lang w:val="es-ES"/>
              </w:rPr>
            </w:pPr>
          </w:p>
        </w:tc>
      </w:tr>
      <w:tr w:rsidR="00B24A6E" w:rsidRPr="00304CDA" w14:paraId="5D5BFBA2" w14:textId="77777777" w:rsidTr="00F23488">
        <w:trPr>
          <w:gridAfter w:val="1"/>
          <w:wAfter w:w="16" w:type="dxa"/>
          <w:trHeight w:val="60"/>
          <w:jc w:val="center"/>
        </w:trPr>
        <w:tc>
          <w:tcPr>
            <w:tcW w:w="1980" w:type="dxa"/>
            <w:vMerge w:val="restart"/>
            <w:shd w:val="clear" w:color="auto" w:fill="auto"/>
          </w:tcPr>
          <w:p w14:paraId="67D79E2B" w14:textId="77777777" w:rsidR="00B24A6E" w:rsidRPr="001A3B45" w:rsidRDefault="00B24A6E" w:rsidP="00880063">
            <w:pPr>
              <w:pStyle w:val="ListParagraph"/>
              <w:numPr>
                <w:ilvl w:val="1"/>
                <w:numId w:val="15"/>
              </w:numPr>
              <w:autoSpaceDE w:val="0"/>
              <w:autoSpaceDN w:val="0"/>
              <w:adjustRightInd w:val="0"/>
              <w:rPr>
                <w:rFonts w:ascii="Arial" w:eastAsia="Arial" w:hAnsi="Arial" w:cs="Arial"/>
                <w:b/>
                <w:bCs/>
                <w:color w:val="000000" w:themeColor="text1"/>
                <w:lang w:val="es-ES"/>
              </w:rPr>
            </w:pPr>
            <w:r w:rsidRPr="6FAE9D8D">
              <w:rPr>
                <w:rFonts w:ascii="Arial" w:eastAsia="Arial" w:hAnsi="Arial" w:cs="Arial"/>
                <w:b/>
                <w:bCs/>
                <w:color w:val="000000" w:themeColor="text1"/>
                <w:lang w:val="es-ES"/>
              </w:rPr>
              <w:t xml:space="preserve">Mejorar supervisión del mercado mayorista de electricidad para incrementar eficiencia en la generación eléctrica.  </w:t>
            </w:r>
          </w:p>
          <w:p w14:paraId="55DBD20E" w14:textId="77777777" w:rsidR="00B24A6E" w:rsidRPr="001A3B45" w:rsidRDefault="00B24A6E" w:rsidP="00880063">
            <w:pPr>
              <w:autoSpaceDE w:val="0"/>
              <w:autoSpaceDN w:val="0"/>
              <w:adjustRightInd w:val="0"/>
              <w:rPr>
                <w:rFonts w:ascii="Arial" w:hAnsi="Arial" w:cs="Arial"/>
                <w:b/>
                <w:bCs/>
                <w:color w:val="000000" w:themeColor="text1"/>
                <w:lang w:val="es-ES_tradnl"/>
              </w:rPr>
            </w:pPr>
          </w:p>
        </w:tc>
        <w:tc>
          <w:tcPr>
            <w:tcW w:w="4222" w:type="dxa"/>
            <w:shd w:val="clear" w:color="auto" w:fill="auto"/>
          </w:tcPr>
          <w:p w14:paraId="6D163548" w14:textId="6205793B" w:rsidR="00B24A6E" w:rsidRPr="001E0DCF" w:rsidRDefault="00B24A6E" w:rsidP="00880063">
            <w:pPr>
              <w:autoSpaceDE w:val="0"/>
              <w:autoSpaceDN w:val="0"/>
              <w:adjustRightInd w:val="0"/>
              <w:jc w:val="both"/>
              <w:rPr>
                <w:rFonts w:ascii="Arial" w:eastAsia="Arial" w:hAnsi="Arial" w:cs="Arial"/>
                <w:color w:val="000000" w:themeColor="text1"/>
                <w:lang w:val="es-ES"/>
              </w:rPr>
            </w:pPr>
            <w:bookmarkStart w:id="1" w:name="_Hlk509129847"/>
            <w:r w:rsidRPr="001E0DCF">
              <w:rPr>
                <w:rFonts w:ascii="Arial" w:eastAsia="Arial" w:hAnsi="Arial" w:cs="Arial"/>
                <w:color w:val="000000" w:themeColor="text1"/>
                <w:lang w:val="es-ES"/>
              </w:rPr>
              <w:t xml:space="preserve">Que </w:t>
            </w:r>
            <w:r w:rsidRPr="001E0DCF">
              <w:rPr>
                <w:rFonts w:ascii="Arial" w:hAnsi="Arial" w:cs="Arial"/>
                <w:color w:val="000000" w:themeColor="text1"/>
                <w:lang w:val="es-ES"/>
              </w:rPr>
              <w:t>el Organismo Coordinador</w:t>
            </w:r>
            <w:r>
              <w:rPr>
                <w:rFonts w:ascii="Arial" w:hAnsi="Arial" w:cs="Arial"/>
                <w:color w:val="000000" w:themeColor="text1"/>
                <w:lang w:val="es-ES"/>
              </w:rPr>
              <w:t xml:space="preserve"> del Sistema Eléctrico Nacional Interconectado</w:t>
            </w:r>
            <w:r w:rsidRPr="001E0DCF">
              <w:rPr>
                <w:rFonts w:ascii="Arial" w:hAnsi="Arial" w:cs="Arial"/>
                <w:color w:val="000000" w:themeColor="text1"/>
                <w:lang w:val="es-ES"/>
              </w:rPr>
              <w:t xml:space="preserve"> (OC</w:t>
            </w:r>
            <w:r>
              <w:rPr>
                <w:rFonts w:ascii="Arial" w:hAnsi="Arial" w:cs="Arial"/>
                <w:color w:val="000000" w:themeColor="text1"/>
                <w:lang w:val="es-ES"/>
              </w:rPr>
              <w:t>-SENI</w:t>
            </w:r>
            <w:r w:rsidRPr="001E0DCF">
              <w:rPr>
                <w:rFonts w:ascii="Arial" w:hAnsi="Arial" w:cs="Arial"/>
                <w:color w:val="000000" w:themeColor="text1"/>
                <w:lang w:val="es-ES"/>
              </w:rPr>
              <w:t>) se encuentre emitiendo y presentando a la SIE, reportes históricos sobre el</w:t>
            </w:r>
            <w:r w:rsidRPr="001E0DCF">
              <w:rPr>
                <w:rFonts w:ascii="Arial" w:eastAsia="Arial" w:hAnsi="Arial" w:cs="Arial"/>
                <w:color w:val="000000" w:themeColor="text1"/>
                <w:lang w:val="es-ES"/>
              </w:rPr>
              <w:t xml:space="preserve"> incumplimiento con los valores mínimos técnicos de las plantas de generación del sistema, que fueron fijados por la SIE mediante resolución, con el fin de optimizar los costos de generación.</w:t>
            </w:r>
            <w:bookmarkEnd w:id="1"/>
          </w:p>
          <w:p w14:paraId="0806EEF7" w14:textId="77777777" w:rsidR="00B24A6E" w:rsidRPr="001A3B45" w:rsidRDefault="00B24A6E" w:rsidP="00880063">
            <w:pPr>
              <w:autoSpaceDE w:val="0"/>
              <w:autoSpaceDN w:val="0"/>
              <w:adjustRightInd w:val="0"/>
              <w:jc w:val="both"/>
              <w:rPr>
                <w:rFonts w:ascii="Arial" w:eastAsia="Arial" w:hAnsi="Arial" w:cs="Arial"/>
                <w:color w:val="000000" w:themeColor="text1"/>
                <w:lang w:val="es-ES"/>
              </w:rPr>
            </w:pPr>
          </w:p>
        </w:tc>
        <w:tc>
          <w:tcPr>
            <w:tcW w:w="3690" w:type="dxa"/>
          </w:tcPr>
          <w:p w14:paraId="0D0A2B1D" w14:textId="3642D45B" w:rsidR="00B24A6E" w:rsidRPr="001A3B45" w:rsidRDefault="00B24A6E" w:rsidP="00880063">
            <w:pPr>
              <w:autoSpaceDE w:val="0"/>
              <w:autoSpaceDN w:val="0"/>
              <w:adjustRightInd w:val="0"/>
              <w:jc w:val="both"/>
              <w:rPr>
                <w:rFonts w:ascii="Arial" w:hAnsi="Arial" w:cs="Arial"/>
                <w:color w:val="000000" w:themeColor="text1"/>
                <w:lang w:val="es-ES"/>
              </w:rPr>
            </w:pPr>
            <w:r w:rsidRPr="001A3B45">
              <w:rPr>
                <w:rFonts w:ascii="Arial" w:hAnsi="Arial" w:cs="Arial"/>
                <w:color w:val="000000" w:themeColor="text1"/>
                <w:lang w:val="es-ES"/>
              </w:rPr>
              <w:t>Informe de la SIE con el reporte histórico</w:t>
            </w:r>
            <w:r w:rsidRPr="001A3B45">
              <w:rPr>
                <w:rFonts w:ascii="Arial" w:hAnsi="Arial" w:cs="Arial"/>
                <w:lang w:val="es-ES_tradnl"/>
              </w:rPr>
              <w:t xml:space="preserve"> </w:t>
            </w:r>
            <w:r w:rsidRPr="001A3B45">
              <w:rPr>
                <w:rFonts w:ascii="Arial" w:hAnsi="Arial" w:cs="Arial"/>
                <w:color w:val="000000" w:themeColor="text1"/>
                <w:lang w:val="es-ES"/>
              </w:rPr>
              <w:t>del Organismo Coordinador (OC</w:t>
            </w:r>
            <w:r>
              <w:rPr>
                <w:rFonts w:ascii="Arial" w:hAnsi="Arial" w:cs="Arial"/>
                <w:color w:val="000000" w:themeColor="text1"/>
                <w:lang w:val="es-ES"/>
              </w:rPr>
              <w:t>-SENI</w:t>
            </w:r>
            <w:r w:rsidRPr="001A3B45">
              <w:rPr>
                <w:rFonts w:ascii="Arial" w:hAnsi="Arial" w:cs="Arial"/>
                <w:color w:val="000000" w:themeColor="text1"/>
                <w:lang w:val="es-ES"/>
              </w:rPr>
              <w:t xml:space="preserve">), sobre </w:t>
            </w:r>
            <w:r>
              <w:rPr>
                <w:rFonts w:ascii="Arial" w:hAnsi="Arial" w:cs="Arial"/>
                <w:color w:val="000000" w:themeColor="text1"/>
                <w:lang w:val="es-ES"/>
              </w:rPr>
              <w:t>la supervisión</w:t>
            </w:r>
            <w:r w:rsidRPr="001A3B45">
              <w:rPr>
                <w:rFonts w:ascii="Arial" w:hAnsi="Arial" w:cs="Arial"/>
                <w:color w:val="000000" w:themeColor="text1"/>
                <w:lang w:val="es-ES"/>
              </w:rPr>
              <w:t xml:space="preserve"> de las plantas de generación con los valores mínimos fijados según resolución de la SIE.</w:t>
            </w:r>
          </w:p>
          <w:p w14:paraId="5A249F8C" w14:textId="77777777" w:rsidR="00B24A6E" w:rsidRPr="001A3B45" w:rsidRDefault="00B24A6E" w:rsidP="00880063">
            <w:pPr>
              <w:autoSpaceDE w:val="0"/>
              <w:autoSpaceDN w:val="0"/>
              <w:adjustRightInd w:val="0"/>
              <w:ind w:right="110"/>
              <w:jc w:val="both"/>
              <w:rPr>
                <w:rFonts w:ascii="Arial" w:hAnsi="Arial" w:cs="Arial"/>
                <w:color w:val="000000" w:themeColor="text1"/>
                <w:lang w:val="es-ES"/>
              </w:rPr>
            </w:pPr>
          </w:p>
        </w:tc>
        <w:tc>
          <w:tcPr>
            <w:tcW w:w="3333" w:type="dxa"/>
            <w:shd w:val="clear" w:color="auto" w:fill="auto"/>
          </w:tcPr>
          <w:p w14:paraId="6D07BFF5" w14:textId="17FD9CA2" w:rsidR="00B24A6E" w:rsidRPr="001A3B45" w:rsidRDefault="00B24A6E" w:rsidP="00880063">
            <w:pPr>
              <w:autoSpaceDE w:val="0"/>
              <w:autoSpaceDN w:val="0"/>
              <w:adjustRightInd w:val="0"/>
              <w:jc w:val="both"/>
              <w:rPr>
                <w:rFonts w:ascii="Arial" w:eastAsia="Arial" w:hAnsi="Arial" w:cs="Arial"/>
                <w:color w:val="000000" w:themeColor="text1"/>
                <w:lang w:val="es-ES"/>
              </w:rPr>
            </w:pPr>
            <w:r w:rsidRPr="00E84BF2">
              <w:rPr>
                <w:rFonts w:ascii="Arial" w:eastAsia="Arial" w:hAnsi="Arial" w:cs="Arial"/>
                <w:color w:val="000000" w:themeColor="text1"/>
                <w:u w:val="single"/>
                <w:lang w:val="es-ES"/>
              </w:rPr>
              <w:t>Cumplido</w:t>
            </w:r>
            <w:r>
              <w:rPr>
                <w:rFonts w:ascii="Arial" w:eastAsia="Arial" w:hAnsi="Arial" w:cs="Arial"/>
                <w:color w:val="000000" w:themeColor="text1"/>
                <w:lang w:val="es-DO"/>
              </w:rPr>
              <w:t xml:space="preserve"> </w:t>
            </w:r>
          </w:p>
        </w:tc>
      </w:tr>
      <w:tr w:rsidR="00B24A6E" w:rsidRPr="00304CDA" w14:paraId="4322DF4B" w14:textId="77777777" w:rsidTr="00F23488">
        <w:trPr>
          <w:gridAfter w:val="1"/>
          <w:wAfter w:w="16" w:type="dxa"/>
          <w:trHeight w:val="2252"/>
          <w:jc w:val="center"/>
        </w:trPr>
        <w:tc>
          <w:tcPr>
            <w:tcW w:w="1980" w:type="dxa"/>
            <w:vMerge/>
            <w:shd w:val="clear" w:color="auto" w:fill="auto"/>
          </w:tcPr>
          <w:p w14:paraId="2CD169C4" w14:textId="77777777" w:rsidR="00B24A6E" w:rsidRPr="001A3B45" w:rsidRDefault="00B24A6E" w:rsidP="00880063">
            <w:pPr>
              <w:pStyle w:val="ListParagraph"/>
              <w:numPr>
                <w:ilvl w:val="1"/>
                <w:numId w:val="9"/>
              </w:numPr>
              <w:autoSpaceDE w:val="0"/>
              <w:autoSpaceDN w:val="0"/>
              <w:adjustRightInd w:val="0"/>
              <w:ind w:left="595" w:hanging="595"/>
              <w:rPr>
                <w:rFonts w:ascii="Arial" w:hAnsi="Arial" w:cs="Arial"/>
                <w:b/>
                <w:color w:val="000000" w:themeColor="text1"/>
                <w:lang w:val="es-ES_tradnl"/>
              </w:rPr>
            </w:pPr>
          </w:p>
        </w:tc>
        <w:tc>
          <w:tcPr>
            <w:tcW w:w="4222" w:type="dxa"/>
            <w:shd w:val="clear" w:color="auto" w:fill="auto"/>
          </w:tcPr>
          <w:p w14:paraId="78D35DF7" w14:textId="77777777" w:rsidR="00B24A6E" w:rsidRDefault="00B24A6E" w:rsidP="00DD5EA5">
            <w:pPr>
              <w:autoSpaceDE w:val="0"/>
              <w:autoSpaceDN w:val="0"/>
              <w:adjustRightInd w:val="0"/>
              <w:jc w:val="both"/>
              <w:rPr>
                <w:rFonts w:ascii="Arial" w:eastAsia="Arial" w:hAnsi="Arial" w:cs="Arial"/>
                <w:color w:val="000000" w:themeColor="text1"/>
                <w:lang w:val="es-ES"/>
              </w:rPr>
            </w:pPr>
            <w:r>
              <w:rPr>
                <w:rFonts w:ascii="Arial" w:eastAsia="Arial" w:hAnsi="Arial" w:cs="Arial"/>
                <w:color w:val="000000" w:themeColor="text1"/>
                <w:lang w:val="es-ES"/>
              </w:rPr>
              <w:t>Que la SIE haya preparado y remitido al Poder Ejecutivo, una</w:t>
            </w:r>
            <w:r w:rsidRPr="6FAE9D8D">
              <w:rPr>
                <w:rFonts w:ascii="Arial" w:eastAsia="Arial" w:hAnsi="Arial" w:cs="Arial"/>
                <w:color w:val="000000" w:themeColor="text1"/>
                <w:lang w:val="es-ES"/>
              </w:rPr>
              <w:t xml:space="preserve"> propuesta </w:t>
            </w:r>
            <w:r>
              <w:rPr>
                <w:rFonts w:ascii="Arial" w:hAnsi="Arial" w:cs="Arial"/>
                <w:color w:val="000000" w:themeColor="text1"/>
                <w:lang w:val="es-ES"/>
              </w:rPr>
              <w:t>de decreto aprobando la</w:t>
            </w:r>
            <w:r w:rsidRPr="001A3B45">
              <w:rPr>
                <w:rFonts w:ascii="Arial" w:hAnsi="Arial" w:cs="Arial"/>
                <w:color w:val="000000" w:themeColor="text1"/>
                <w:lang w:val="es-ES"/>
              </w:rPr>
              <w:t xml:space="preserve"> modificación </w:t>
            </w:r>
            <w:r w:rsidRPr="6FAE9D8D">
              <w:rPr>
                <w:rFonts w:ascii="Arial" w:eastAsia="Arial" w:hAnsi="Arial" w:cs="Arial"/>
                <w:color w:val="000000" w:themeColor="text1"/>
                <w:lang w:val="es-ES"/>
              </w:rPr>
              <w:t>del reglamento que establece el procedimiento de selección y remuneración de los servicios auxiliares de regulación de frecuencia en el mercado de generación mayorista.</w:t>
            </w:r>
          </w:p>
          <w:p w14:paraId="5FC8BDCC" w14:textId="77777777" w:rsidR="00B24A6E" w:rsidRPr="001A3B45" w:rsidRDefault="00B24A6E" w:rsidP="00880063">
            <w:pPr>
              <w:autoSpaceDE w:val="0"/>
              <w:autoSpaceDN w:val="0"/>
              <w:adjustRightInd w:val="0"/>
              <w:jc w:val="both"/>
              <w:rPr>
                <w:rFonts w:ascii="Arial" w:hAnsi="Arial" w:cs="Arial"/>
                <w:color w:val="000000" w:themeColor="text1"/>
                <w:lang w:val="es-ES"/>
              </w:rPr>
            </w:pPr>
          </w:p>
        </w:tc>
        <w:tc>
          <w:tcPr>
            <w:tcW w:w="3690" w:type="dxa"/>
          </w:tcPr>
          <w:p w14:paraId="332618B2" w14:textId="776E9F48" w:rsidR="00B24A6E" w:rsidRPr="00630B76" w:rsidRDefault="00B24A6E" w:rsidP="00880063">
            <w:pPr>
              <w:autoSpaceDE w:val="0"/>
              <w:autoSpaceDN w:val="0"/>
              <w:adjustRightInd w:val="0"/>
              <w:ind w:right="110"/>
              <w:jc w:val="both"/>
              <w:rPr>
                <w:rFonts w:ascii="Arial" w:hAnsi="Arial" w:cs="Arial"/>
                <w:color w:val="000000" w:themeColor="text1"/>
                <w:lang w:val="es-ES"/>
              </w:rPr>
            </w:pPr>
            <w:r w:rsidRPr="00630B76">
              <w:rPr>
                <w:rFonts w:ascii="Arial" w:hAnsi="Arial" w:cs="Arial"/>
                <w:color w:val="000000" w:themeColor="text1"/>
                <w:lang w:val="es-ES"/>
              </w:rPr>
              <w:t xml:space="preserve">Carta de la SIE por la cual se remite al Poder Ejecutivo la propuesta de decreto aprobando la modificación del reglamento que establece el procedimiento de selección y remuneración de los servicios auxiliares de regulación de frecuencia en el mercado de </w:t>
            </w:r>
            <w:r w:rsidRPr="00630B76">
              <w:rPr>
                <w:rFonts w:ascii="Arial" w:hAnsi="Arial" w:cs="Arial"/>
                <w:color w:val="000000" w:themeColor="text1"/>
                <w:lang w:val="es-ES_tradnl"/>
              </w:rPr>
              <w:t>generación</w:t>
            </w:r>
            <w:r w:rsidRPr="00630B76">
              <w:rPr>
                <w:rFonts w:ascii="Arial" w:hAnsi="Arial" w:cs="Arial"/>
                <w:color w:val="000000" w:themeColor="text1"/>
                <w:lang w:val="es-ES"/>
              </w:rPr>
              <w:t xml:space="preserve"> mayorista.</w:t>
            </w:r>
          </w:p>
          <w:p w14:paraId="578E397B" w14:textId="77777777" w:rsidR="00B24A6E" w:rsidRPr="004B30EF" w:rsidRDefault="00B24A6E" w:rsidP="00880063">
            <w:pPr>
              <w:autoSpaceDE w:val="0"/>
              <w:autoSpaceDN w:val="0"/>
              <w:adjustRightInd w:val="0"/>
              <w:jc w:val="both"/>
              <w:rPr>
                <w:rFonts w:ascii="Arial" w:hAnsi="Arial" w:cs="Arial"/>
                <w:color w:val="000000" w:themeColor="text1"/>
                <w:highlight w:val="yellow"/>
                <w:lang w:val="es-ES"/>
              </w:rPr>
            </w:pPr>
          </w:p>
        </w:tc>
        <w:tc>
          <w:tcPr>
            <w:tcW w:w="3333" w:type="dxa"/>
            <w:shd w:val="clear" w:color="auto" w:fill="auto"/>
          </w:tcPr>
          <w:p w14:paraId="637A267C" w14:textId="7C7D0FA3" w:rsidR="00B24A6E" w:rsidRPr="002037D7" w:rsidRDefault="00B24A6E" w:rsidP="002037D7">
            <w:pPr>
              <w:autoSpaceDE w:val="0"/>
              <w:autoSpaceDN w:val="0"/>
              <w:adjustRightInd w:val="0"/>
              <w:jc w:val="both"/>
              <w:rPr>
                <w:rFonts w:ascii="Arial" w:eastAsia="Arial" w:hAnsi="Arial"/>
                <w:color w:val="000000" w:themeColor="text1"/>
                <w:lang w:val="es-ES"/>
              </w:rPr>
            </w:pPr>
            <w:r>
              <w:rPr>
                <w:rFonts w:ascii="Arial" w:eastAsia="Arial" w:hAnsi="Arial" w:cs="Arial"/>
                <w:color w:val="000000" w:themeColor="text1"/>
                <w:u w:val="single"/>
                <w:lang w:val="es-ES"/>
              </w:rPr>
              <w:t>Cumplido</w:t>
            </w:r>
          </w:p>
          <w:p w14:paraId="60233E88" w14:textId="77777777" w:rsidR="00B24A6E" w:rsidRPr="001A3B45" w:rsidRDefault="00B24A6E" w:rsidP="00880063">
            <w:pPr>
              <w:autoSpaceDE w:val="0"/>
              <w:autoSpaceDN w:val="0"/>
              <w:adjustRightInd w:val="0"/>
              <w:jc w:val="both"/>
              <w:rPr>
                <w:rFonts w:ascii="Arial" w:hAnsi="Arial" w:cs="Arial"/>
                <w:color w:val="000000" w:themeColor="text1"/>
                <w:lang w:val="es-ES"/>
              </w:rPr>
            </w:pPr>
          </w:p>
        </w:tc>
      </w:tr>
      <w:tr w:rsidR="00B24A6E" w:rsidRPr="00250DF4" w14:paraId="0B60B349" w14:textId="77777777" w:rsidTr="00F23488">
        <w:trPr>
          <w:gridAfter w:val="1"/>
          <w:wAfter w:w="16" w:type="dxa"/>
          <w:trHeight w:val="206"/>
          <w:jc w:val="center"/>
        </w:trPr>
        <w:tc>
          <w:tcPr>
            <w:tcW w:w="1980" w:type="dxa"/>
            <w:vMerge/>
            <w:shd w:val="clear" w:color="auto" w:fill="auto"/>
          </w:tcPr>
          <w:p w14:paraId="2BDD0BB3" w14:textId="77777777" w:rsidR="00B24A6E" w:rsidRPr="001A3B45" w:rsidRDefault="00B24A6E" w:rsidP="00880063">
            <w:pPr>
              <w:pStyle w:val="ListParagraph"/>
              <w:autoSpaceDE w:val="0"/>
              <w:autoSpaceDN w:val="0"/>
              <w:adjustRightInd w:val="0"/>
              <w:ind w:left="595"/>
              <w:rPr>
                <w:rFonts w:ascii="Arial" w:hAnsi="Arial" w:cs="Arial"/>
                <w:b/>
                <w:color w:val="000000" w:themeColor="text1"/>
                <w:lang w:val="es-ES_tradnl"/>
              </w:rPr>
            </w:pPr>
          </w:p>
        </w:tc>
        <w:tc>
          <w:tcPr>
            <w:tcW w:w="4222" w:type="dxa"/>
            <w:shd w:val="clear" w:color="auto" w:fill="auto"/>
          </w:tcPr>
          <w:p w14:paraId="5A16A87E" w14:textId="77777777" w:rsidR="00B24A6E" w:rsidRPr="001A3B45" w:rsidRDefault="00B24A6E" w:rsidP="00880063">
            <w:pPr>
              <w:autoSpaceDE w:val="0"/>
              <w:autoSpaceDN w:val="0"/>
              <w:adjustRightInd w:val="0"/>
              <w:jc w:val="both"/>
              <w:rPr>
                <w:rFonts w:ascii="Arial" w:eastAsia="Arial" w:hAnsi="Arial" w:cs="Arial"/>
                <w:color w:val="000000" w:themeColor="text1"/>
                <w:lang w:val="es-CO" w:eastAsia="es-CO"/>
              </w:rPr>
            </w:pPr>
            <w:r w:rsidRPr="6FAE9D8D">
              <w:rPr>
                <w:rFonts w:ascii="Arial" w:eastAsia="Arial" w:hAnsi="Arial" w:cs="Arial"/>
                <w:color w:val="000000" w:themeColor="text1"/>
                <w:lang w:val="es-ES"/>
              </w:rPr>
              <w:t xml:space="preserve">Que la SIE haya emitido y aprobado </w:t>
            </w:r>
            <w:r>
              <w:rPr>
                <w:rFonts w:ascii="Arial" w:eastAsia="Arial" w:hAnsi="Arial" w:cs="Arial"/>
                <w:color w:val="000000" w:themeColor="text1"/>
                <w:lang w:val="es-ES"/>
              </w:rPr>
              <w:t>un</w:t>
            </w:r>
            <w:r w:rsidRPr="6FAE9D8D">
              <w:rPr>
                <w:rFonts w:ascii="Arial" w:eastAsia="Arial" w:hAnsi="Arial" w:cs="Arial"/>
                <w:color w:val="000000" w:themeColor="text1"/>
                <w:lang w:val="es-ES"/>
              </w:rPr>
              <w:t>a resolución que establece el procedimiento de Contabilidad Regulatori</w:t>
            </w:r>
            <w:r>
              <w:rPr>
                <w:rFonts w:ascii="Arial" w:eastAsia="Arial" w:hAnsi="Arial" w:cs="Arial"/>
                <w:color w:val="000000" w:themeColor="text1"/>
                <w:lang w:val="es-ES"/>
              </w:rPr>
              <w:t>a a ser seguido por las empresas de generación, transmisión y distribución del sector</w:t>
            </w:r>
            <w:r w:rsidRPr="004200DB">
              <w:rPr>
                <w:rFonts w:ascii="Arial" w:eastAsia="Arial" w:hAnsi="Arial" w:cs="Arial"/>
                <w:color w:val="000000" w:themeColor="text1"/>
                <w:lang w:val="es-ES"/>
              </w:rPr>
              <w:t xml:space="preserve">, cuya metodología homogenizará tanto las cuentas como costos asociados a la prestación del servicio eléctrico, </w:t>
            </w:r>
            <w:r>
              <w:rPr>
                <w:rFonts w:ascii="Arial" w:eastAsia="Arial" w:hAnsi="Arial" w:cs="Arial"/>
                <w:color w:val="000000" w:themeColor="text1"/>
                <w:lang w:val="es-ES"/>
              </w:rPr>
              <w:t>para una mayor</w:t>
            </w:r>
            <w:r w:rsidRPr="004200DB">
              <w:rPr>
                <w:rFonts w:ascii="Arial" w:eastAsia="Arial" w:hAnsi="Arial" w:cs="Arial"/>
                <w:color w:val="000000" w:themeColor="text1"/>
                <w:lang w:val="es-ES"/>
              </w:rPr>
              <w:t xml:space="preserve"> transparencia y eficiencia</w:t>
            </w:r>
            <w:r>
              <w:rPr>
                <w:rFonts w:ascii="Arial" w:eastAsia="Arial" w:hAnsi="Arial" w:cs="Arial"/>
                <w:color w:val="000000" w:themeColor="text1"/>
                <w:lang w:val="es-ES"/>
              </w:rPr>
              <w:t>.</w:t>
            </w:r>
          </w:p>
          <w:p w14:paraId="324ADB24" w14:textId="77777777" w:rsidR="00B24A6E" w:rsidRPr="00BC0EE5" w:rsidRDefault="00B24A6E" w:rsidP="00880063">
            <w:pPr>
              <w:autoSpaceDE w:val="0"/>
              <w:autoSpaceDN w:val="0"/>
              <w:adjustRightInd w:val="0"/>
              <w:jc w:val="both"/>
              <w:rPr>
                <w:rFonts w:ascii="Arial" w:hAnsi="Arial"/>
                <w:color w:val="000000" w:themeColor="text1"/>
                <w:lang w:val="es-CO"/>
              </w:rPr>
            </w:pPr>
          </w:p>
        </w:tc>
        <w:tc>
          <w:tcPr>
            <w:tcW w:w="3690" w:type="dxa"/>
          </w:tcPr>
          <w:p w14:paraId="7CC5C718" w14:textId="77777777" w:rsidR="00B24A6E" w:rsidRPr="001A3B45" w:rsidRDefault="00B24A6E" w:rsidP="00880063">
            <w:pPr>
              <w:autoSpaceDE w:val="0"/>
              <w:autoSpaceDN w:val="0"/>
              <w:adjustRightInd w:val="0"/>
              <w:ind w:right="110"/>
              <w:jc w:val="both"/>
              <w:rPr>
                <w:rFonts w:ascii="Arial" w:hAnsi="Arial" w:cs="Arial"/>
                <w:color w:val="000000" w:themeColor="text1"/>
                <w:lang w:val="es-ES"/>
              </w:rPr>
            </w:pPr>
            <w:r w:rsidRPr="001A3B45">
              <w:rPr>
                <w:rFonts w:ascii="Arial" w:hAnsi="Arial" w:cs="Arial"/>
                <w:color w:val="000000" w:themeColor="text1"/>
                <w:lang w:val="es-ES_tradnl"/>
              </w:rPr>
              <w:t>Resolución con procedimiento de Contabilidad Regulatoria aprobada por el Consejo de la SIE.</w:t>
            </w:r>
          </w:p>
        </w:tc>
        <w:tc>
          <w:tcPr>
            <w:tcW w:w="3333" w:type="dxa"/>
            <w:shd w:val="clear" w:color="auto" w:fill="auto"/>
          </w:tcPr>
          <w:p w14:paraId="5C771569" w14:textId="616E7C9A" w:rsidR="00B24A6E" w:rsidRDefault="00B24A6E" w:rsidP="00880063">
            <w:pPr>
              <w:autoSpaceDE w:val="0"/>
              <w:autoSpaceDN w:val="0"/>
              <w:adjustRightInd w:val="0"/>
              <w:jc w:val="both"/>
              <w:rPr>
                <w:rFonts w:ascii="Arial" w:hAnsi="Arial" w:cs="Arial"/>
                <w:color w:val="000000" w:themeColor="text1"/>
                <w:lang w:val="es-ES_tradnl"/>
              </w:rPr>
            </w:pPr>
            <w:r>
              <w:rPr>
                <w:rFonts w:ascii="Arial" w:hAnsi="Arial" w:cs="Arial"/>
                <w:color w:val="000000" w:themeColor="text1"/>
                <w:u w:val="single"/>
                <w:lang w:val="es-ES_tradnl"/>
              </w:rPr>
              <w:t>En proceso</w:t>
            </w:r>
            <w:r w:rsidRPr="00B13E16">
              <w:rPr>
                <w:rFonts w:ascii="Arial" w:hAnsi="Arial" w:cs="Arial"/>
                <w:color w:val="000000" w:themeColor="text1"/>
                <w:lang w:val="es-ES_tradnl"/>
              </w:rPr>
              <w:t xml:space="preserve">: </w:t>
            </w:r>
            <w:r w:rsidR="00640636">
              <w:rPr>
                <w:rFonts w:ascii="Arial" w:hAnsi="Arial" w:cs="Arial"/>
                <w:color w:val="000000" w:themeColor="text1"/>
                <w:lang w:val="es-ES_tradnl"/>
              </w:rPr>
              <w:t>Se prevé cumplimiento</w:t>
            </w:r>
            <w:r w:rsidRPr="00B13E16">
              <w:rPr>
                <w:rFonts w:ascii="Arial" w:hAnsi="Arial" w:cs="Arial"/>
                <w:color w:val="000000" w:themeColor="text1"/>
                <w:lang w:val="es-ES_tradnl"/>
              </w:rPr>
              <w:t xml:space="preserve"> en </w:t>
            </w:r>
            <w:r w:rsidR="00250DF4">
              <w:rPr>
                <w:rFonts w:ascii="Arial" w:hAnsi="Arial" w:cs="Arial"/>
                <w:color w:val="000000" w:themeColor="text1"/>
                <w:lang w:val="es-ES_tradnl"/>
              </w:rPr>
              <w:t>el cuarto trimestre de 2018</w:t>
            </w:r>
            <w:r w:rsidRPr="00B13E16">
              <w:rPr>
                <w:rFonts w:ascii="Arial" w:hAnsi="Arial" w:cs="Arial"/>
                <w:color w:val="000000" w:themeColor="text1"/>
                <w:lang w:val="es-ES_tradnl"/>
              </w:rPr>
              <w:t>.</w:t>
            </w:r>
          </w:p>
          <w:p w14:paraId="5F7D369B" w14:textId="77777777" w:rsidR="00B24A6E" w:rsidRDefault="00B24A6E" w:rsidP="00880063">
            <w:pPr>
              <w:autoSpaceDE w:val="0"/>
              <w:autoSpaceDN w:val="0"/>
              <w:adjustRightInd w:val="0"/>
              <w:jc w:val="both"/>
              <w:rPr>
                <w:rFonts w:ascii="Arial" w:hAnsi="Arial" w:cs="Arial"/>
                <w:color w:val="000000" w:themeColor="text1"/>
                <w:lang w:val="es-ES_tradnl"/>
              </w:rPr>
            </w:pPr>
          </w:p>
          <w:p w14:paraId="61A4D3DD" w14:textId="77777777" w:rsidR="00B24A6E" w:rsidRPr="002037D7" w:rsidRDefault="00B24A6E" w:rsidP="00880063">
            <w:pPr>
              <w:autoSpaceDE w:val="0"/>
              <w:autoSpaceDN w:val="0"/>
              <w:adjustRightInd w:val="0"/>
              <w:jc w:val="both"/>
              <w:rPr>
                <w:rFonts w:ascii="Arial" w:hAnsi="Arial"/>
                <w:color w:val="000000" w:themeColor="text1"/>
                <w:lang w:val="es-ES_tradnl"/>
              </w:rPr>
            </w:pPr>
          </w:p>
        </w:tc>
      </w:tr>
      <w:tr w:rsidR="00B24A6E" w:rsidRPr="00250DF4" w14:paraId="03016349" w14:textId="77777777" w:rsidTr="00F23488">
        <w:trPr>
          <w:gridAfter w:val="1"/>
          <w:wAfter w:w="16" w:type="dxa"/>
          <w:trHeight w:val="206"/>
          <w:jc w:val="center"/>
        </w:trPr>
        <w:tc>
          <w:tcPr>
            <w:tcW w:w="1980" w:type="dxa"/>
            <w:vMerge w:val="restart"/>
            <w:shd w:val="clear" w:color="auto" w:fill="auto"/>
          </w:tcPr>
          <w:p w14:paraId="17CA9D83" w14:textId="77777777" w:rsidR="00B24A6E" w:rsidRPr="001A3B45" w:rsidRDefault="00B24A6E" w:rsidP="00E53F1B">
            <w:pPr>
              <w:pStyle w:val="ListParagraph"/>
              <w:numPr>
                <w:ilvl w:val="1"/>
                <w:numId w:val="15"/>
              </w:numPr>
              <w:autoSpaceDE w:val="0"/>
              <w:autoSpaceDN w:val="0"/>
              <w:adjustRightInd w:val="0"/>
              <w:rPr>
                <w:rFonts w:ascii="Arial" w:eastAsia="Arial" w:hAnsi="Arial" w:cs="Arial"/>
                <w:b/>
                <w:bCs/>
                <w:color w:val="000000" w:themeColor="text1"/>
                <w:lang w:val="es-ES"/>
              </w:rPr>
            </w:pPr>
            <w:r w:rsidRPr="6FAE9D8D">
              <w:rPr>
                <w:rFonts w:ascii="Arial" w:eastAsia="Arial" w:hAnsi="Arial" w:cs="Arial"/>
                <w:b/>
                <w:bCs/>
                <w:color w:val="000000" w:themeColor="text1"/>
                <w:lang w:val="es-ES"/>
              </w:rPr>
              <w:t xml:space="preserve">Extender la cobertura del subsidio y mejorar su focalización al consumo de electricidad de </w:t>
            </w:r>
            <w:r w:rsidRPr="6FAE9D8D">
              <w:rPr>
                <w:rFonts w:ascii="Arial" w:eastAsia="Arial" w:hAnsi="Arial" w:cs="Arial"/>
                <w:b/>
                <w:bCs/>
                <w:color w:val="000000" w:themeColor="text1"/>
                <w:lang w:val="es-ES"/>
              </w:rPr>
              <w:lastRenderedPageBreak/>
              <w:t>manera sostenible</w:t>
            </w:r>
            <w:bookmarkStart w:id="2" w:name="_Hlk509129994"/>
            <w:bookmarkEnd w:id="2"/>
          </w:p>
        </w:tc>
        <w:tc>
          <w:tcPr>
            <w:tcW w:w="4222" w:type="dxa"/>
            <w:shd w:val="clear" w:color="auto" w:fill="auto"/>
          </w:tcPr>
          <w:p w14:paraId="53096196" w14:textId="77777777" w:rsidR="00B24A6E" w:rsidRDefault="00B24A6E" w:rsidP="00E53F1B">
            <w:pPr>
              <w:autoSpaceDE w:val="0"/>
              <w:autoSpaceDN w:val="0"/>
              <w:adjustRightInd w:val="0"/>
              <w:ind w:right="115"/>
              <w:jc w:val="both"/>
              <w:rPr>
                <w:rFonts w:ascii="Arial" w:eastAsia="Arial" w:hAnsi="Arial" w:cs="Arial"/>
                <w:color w:val="000000" w:themeColor="text1"/>
                <w:lang w:val="es-ES" w:eastAsia="es-CO"/>
              </w:rPr>
            </w:pPr>
            <w:r w:rsidRPr="00151599">
              <w:rPr>
                <w:rFonts w:ascii="Arial" w:eastAsia="Arial" w:hAnsi="Arial" w:cs="Arial"/>
                <w:color w:val="000000" w:themeColor="text1"/>
                <w:lang w:val="es-ES"/>
              </w:rPr>
              <w:lastRenderedPageBreak/>
              <w:t>Que el GCPS se encuentre realizando la focalización y asignación del subsidio eléctrico a aquellas personas categorizadas como elegibles</w:t>
            </w:r>
            <w:r>
              <w:rPr>
                <w:rFonts w:ascii="Arial" w:eastAsia="Arial" w:hAnsi="Arial" w:cs="Arial"/>
                <w:color w:val="000000" w:themeColor="text1"/>
                <w:lang w:val="es-ES"/>
              </w:rPr>
              <w:t xml:space="preserve"> por</w:t>
            </w:r>
            <w:r w:rsidRPr="00151599">
              <w:rPr>
                <w:rFonts w:ascii="Arial" w:eastAsia="Arial" w:hAnsi="Arial" w:cs="Arial"/>
                <w:color w:val="000000" w:themeColor="text1"/>
                <w:lang w:val="es-ES"/>
              </w:rPr>
              <w:t xml:space="preserve"> </w:t>
            </w:r>
            <w:r>
              <w:rPr>
                <w:rFonts w:ascii="Arial" w:eastAsia="Arial" w:hAnsi="Arial" w:cs="Arial"/>
                <w:color w:val="000000" w:themeColor="text1"/>
                <w:lang w:val="es-ES"/>
              </w:rPr>
              <w:t>e</w:t>
            </w:r>
            <w:r w:rsidRPr="00151599">
              <w:rPr>
                <w:rFonts w:ascii="Arial" w:eastAsia="Arial" w:hAnsi="Arial" w:cs="Arial"/>
                <w:color w:val="000000" w:themeColor="text1"/>
                <w:lang w:val="es-ES"/>
              </w:rPr>
              <w:t>l Sistema Único de Beneficiarios (SIUBEN</w:t>
            </w:r>
            <w:r>
              <w:rPr>
                <w:rFonts w:ascii="Arial" w:eastAsia="Arial" w:hAnsi="Arial" w:cs="Arial"/>
                <w:color w:val="000000" w:themeColor="text1"/>
                <w:lang w:val="es-ES"/>
              </w:rPr>
              <w:t>)</w:t>
            </w:r>
            <w:r w:rsidRPr="00151599">
              <w:rPr>
                <w:rFonts w:ascii="Arial" w:eastAsia="Arial" w:hAnsi="Arial" w:cs="Arial"/>
                <w:color w:val="000000" w:themeColor="text1"/>
                <w:lang w:val="es-ES"/>
              </w:rPr>
              <w:t>, en función a su condición socioeconómica</w:t>
            </w:r>
            <w:r>
              <w:rPr>
                <w:rFonts w:ascii="Arial" w:eastAsia="Arial" w:hAnsi="Arial" w:cs="Arial"/>
                <w:color w:val="000000" w:themeColor="text1"/>
                <w:lang w:val="es-ES"/>
              </w:rPr>
              <w:t>.</w:t>
            </w:r>
            <w:r w:rsidRPr="00151599">
              <w:rPr>
                <w:rFonts w:ascii="Arial" w:eastAsia="Arial" w:hAnsi="Arial" w:cs="Arial"/>
                <w:color w:val="000000" w:themeColor="text1"/>
                <w:lang w:val="es-ES" w:eastAsia="es-CO"/>
              </w:rPr>
              <w:t xml:space="preserve"> </w:t>
            </w:r>
            <w:r>
              <w:rPr>
                <w:rFonts w:ascii="Arial" w:eastAsia="Arial" w:hAnsi="Arial" w:cs="Arial"/>
                <w:color w:val="000000" w:themeColor="text1"/>
                <w:lang w:val="es-ES" w:eastAsia="es-CO"/>
              </w:rPr>
              <w:t xml:space="preserve"> </w:t>
            </w:r>
          </w:p>
          <w:p w14:paraId="29F19DC5" w14:textId="77777777" w:rsidR="00B24A6E" w:rsidRPr="00F9417E" w:rsidRDefault="00B24A6E" w:rsidP="00E53F1B">
            <w:pPr>
              <w:autoSpaceDE w:val="0"/>
              <w:autoSpaceDN w:val="0"/>
              <w:adjustRightInd w:val="0"/>
              <w:ind w:right="115"/>
              <w:jc w:val="both"/>
              <w:rPr>
                <w:rFonts w:ascii="Arial" w:hAnsi="Arial" w:cs="Arial"/>
                <w:color w:val="000000" w:themeColor="text1"/>
                <w:highlight w:val="green"/>
                <w:lang w:val="es-ES_tradnl"/>
              </w:rPr>
            </w:pPr>
          </w:p>
        </w:tc>
        <w:tc>
          <w:tcPr>
            <w:tcW w:w="3690" w:type="dxa"/>
          </w:tcPr>
          <w:p w14:paraId="353E6615" w14:textId="77777777" w:rsidR="00B24A6E" w:rsidRPr="001A3B45" w:rsidRDefault="00B24A6E" w:rsidP="00E53F1B">
            <w:pPr>
              <w:autoSpaceDE w:val="0"/>
              <w:autoSpaceDN w:val="0"/>
              <w:adjustRightInd w:val="0"/>
              <w:spacing w:before="60"/>
              <w:ind w:right="115"/>
              <w:jc w:val="both"/>
              <w:rPr>
                <w:rFonts w:ascii="Arial" w:hAnsi="Arial" w:cs="Arial"/>
                <w:color w:val="000000" w:themeColor="text1"/>
                <w:lang w:val="es-ES" w:eastAsia="es-CO"/>
              </w:rPr>
            </w:pPr>
            <w:r w:rsidRPr="001A3B45">
              <w:rPr>
                <w:rFonts w:ascii="Arial" w:hAnsi="Arial" w:cs="Arial"/>
                <w:color w:val="000000" w:themeColor="text1"/>
                <w:lang w:val="es-ES" w:eastAsia="es-CO"/>
              </w:rPr>
              <w:t xml:space="preserve">Informe del </w:t>
            </w:r>
            <w:r w:rsidRPr="001A3B45">
              <w:rPr>
                <w:rFonts w:ascii="Arial" w:hAnsi="Arial" w:cs="Arial"/>
                <w:color w:val="000000" w:themeColor="text1"/>
                <w:lang w:val="es-ES"/>
              </w:rPr>
              <w:t>GCPS</w:t>
            </w:r>
            <w:r w:rsidRPr="001A3B45">
              <w:rPr>
                <w:rFonts w:ascii="Arial" w:hAnsi="Arial" w:cs="Arial"/>
                <w:color w:val="000000" w:themeColor="text1"/>
                <w:lang w:val="es-ES" w:eastAsia="es-CO"/>
              </w:rPr>
              <w:t xml:space="preserve"> con el número de beneficiarios </w:t>
            </w:r>
            <w:proofErr w:type="spellStart"/>
            <w:r w:rsidRPr="001A3B45">
              <w:rPr>
                <w:rFonts w:ascii="Arial" w:hAnsi="Arial" w:cs="Arial"/>
                <w:color w:val="000000" w:themeColor="text1"/>
                <w:lang w:val="es-ES" w:eastAsia="es-CO"/>
              </w:rPr>
              <w:t>Bono</w:t>
            </w:r>
            <w:r>
              <w:rPr>
                <w:rFonts w:ascii="Arial" w:hAnsi="Arial" w:cs="Arial"/>
                <w:color w:val="000000" w:themeColor="text1"/>
                <w:lang w:val="es-ES" w:eastAsia="es-CO"/>
              </w:rPr>
              <w:t>l</w:t>
            </w:r>
            <w:r w:rsidRPr="001A3B45">
              <w:rPr>
                <w:rFonts w:ascii="Arial" w:hAnsi="Arial" w:cs="Arial"/>
                <w:color w:val="000000" w:themeColor="text1"/>
                <w:lang w:val="es-ES" w:eastAsia="es-CO"/>
              </w:rPr>
              <w:t>uz</w:t>
            </w:r>
            <w:proofErr w:type="spellEnd"/>
            <w:r w:rsidRPr="001A3B45">
              <w:rPr>
                <w:rFonts w:ascii="Arial" w:hAnsi="Arial" w:cs="Arial"/>
                <w:color w:val="000000" w:themeColor="text1"/>
                <w:lang w:val="es-ES" w:eastAsia="es-CO"/>
              </w:rPr>
              <w:t xml:space="preserve">, y </w:t>
            </w:r>
            <w:r>
              <w:rPr>
                <w:rFonts w:ascii="Arial" w:hAnsi="Arial" w:cs="Arial"/>
                <w:color w:val="000000" w:themeColor="text1"/>
                <w:lang w:val="es-ES" w:eastAsia="es-CO"/>
              </w:rPr>
              <w:t>confirmando</w:t>
            </w:r>
            <w:r w:rsidRPr="001A3B45">
              <w:rPr>
                <w:rFonts w:ascii="Arial" w:hAnsi="Arial" w:cs="Arial"/>
                <w:color w:val="000000" w:themeColor="text1"/>
                <w:lang w:val="es-ES" w:eastAsia="es-CO"/>
              </w:rPr>
              <w:t xml:space="preserve"> que los mismos han sido categorizados por el SIUBEN como población elegible </w:t>
            </w:r>
            <w:r>
              <w:rPr>
                <w:rFonts w:ascii="Arial" w:hAnsi="Arial" w:cs="Arial"/>
                <w:color w:val="000000" w:themeColor="text1"/>
                <w:lang w:val="es-ES" w:eastAsia="es-CO"/>
              </w:rPr>
              <w:t>(</w:t>
            </w:r>
            <w:r w:rsidRPr="001A3B45">
              <w:rPr>
                <w:rFonts w:ascii="Arial" w:hAnsi="Arial" w:cs="Arial"/>
                <w:color w:val="000000" w:themeColor="text1"/>
                <w:lang w:val="es-ES" w:eastAsia="es-CO"/>
              </w:rPr>
              <w:t>dado a su condición socioeconómica</w:t>
            </w:r>
            <w:r>
              <w:rPr>
                <w:rFonts w:ascii="Arial" w:hAnsi="Arial" w:cs="Arial"/>
                <w:color w:val="000000" w:themeColor="text1"/>
                <w:lang w:val="es-ES" w:eastAsia="es-CO"/>
              </w:rPr>
              <w:t xml:space="preserve">) </w:t>
            </w:r>
            <w:r w:rsidRPr="001A3B45">
              <w:rPr>
                <w:rFonts w:ascii="Arial" w:hAnsi="Arial" w:cs="Arial"/>
                <w:color w:val="000000" w:themeColor="text1"/>
                <w:lang w:val="es-ES" w:eastAsia="es-CO"/>
              </w:rPr>
              <w:t xml:space="preserve">y que son miembros del Programa Progresando con Solidaridad. </w:t>
            </w:r>
          </w:p>
          <w:p w14:paraId="35DF1377" w14:textId="77777777" w:rsidR="00B24A6E" w:rsidRPr="001A3B45" w:rsidRDefault="00B24A6E" w:rsidP="00E53F1B">
            <w:pPr>
              <w:autoSpaceDE w:val="0"/>
              <w:autoSpaceDN w:val="0"/>
              <w:adjustRightInd w:val="0"/>
              <w:spacing w:before="60"/>
              <w:ind w:right="115"/>
              <w:jc w:val="both"/>
              <w:rPr>
                <w:rFonts w:ascii="Arial" w:hAnsi="Arial" w:cs="Arial"/>
                <w:color w:val="000000" w:themeColor="text1"/>
                <w:lang w:val="es-ES" w:eastAsia="es-CO"/>
              </w:rPr>
            </w:pPr>
          </w:p>
        </w:tc>
        <w:tc>
          <w:tcPr>
            <w:tcW w:w="3333" w:type="dxa"/>
            <w:shd w:val="clear" w:color="auto" w:fill="auto"/>
          </w:tcPr>
          <w:p w14:paraId="2970CF59" w14:textId="43B105AA" w:rsidR="00B24A6E" w:rsidRDefault="00B24A6E" w:rsidP="00E53F1B">
            <w:pPr>
              <w:ind w:left="-29" w:right="72"/>
              <w:jc w:val="both"/>
              <w:rPr>
                <w:rFonts w:ascii="Arial" w:eastAsia="Arial" w:hAnsi="Arial" w:cs="Arial"/>
                <w:color w:val="000000" w:themeColor="text1"/>
                <w:lang w:val="es-ES"/>
              </w:rPr>
            </w:pPr>
            <w:r>
              <w:rPr>
                <w:rFonts w:ascii="Arial" w:eastAsia="Arial" w:hAnsi="Arial" w:cs="Arial"/>
                <w:color w:val="000000" w:themeColor="text1"/>
                <w:u w:val="single"/>
                <w:lang w:val="es-ES"/>
              </w:rPr>
              <w:lastRenderedPageBreak/>
              <w:t>En proceso:</w:t>
            </w:r>
            <w:r w:rsidRPr="00ED14EC">
              <w:rPr>
                <w:rFonts w:ascii="Arial" w:eastAsia="Arial" w:hAnsi="Arial" w:cs="Arial"/>
                <w:color w:val="000000" w:themeColor="text1"/>
                <w:lang w:val="es-ES"/>
              </w:rPr>
              <w:t xml:space="preserve"> </w:t>
            </w:r>
            <w:r w:rsidR="00640636">
              <w:rPr>
                <w:rFonts w:ascii="Arial" w:hAnsi="Arial" w:cs="Arial"/>
                <w:color w:val="000000" w:themeColor="text1"/>
                <w:lang w:val="es-ES_tradnl"/>
              </w:rPr>
              <w:t>Se prevé cumplimiento</w:t>
            </w:r>
            <w:r w:rsidR="00640636" w:rsidRPr="00B13E16">
              <w:rPr>
                <w:rFonts w:ascii="Arial" w:hAnsi="Arial" w:cs="Arial"/>
                <w:color w:val="000000" w:themeColor="text1"/>
                <w:lang w:val="es-ES_tradnl"/>
              </w:rPr>
              <w:t xml:space="preserve"> en </w:t>
            </w:r>
            <w:r w:rsidR="00250DF4">
              <w:rPr>
                <w:rFonts w:ascii="Arial" w:hAnsi="Arial" w:cs="Arial"/>
                <w:color w:val="000000" w:themeColor="text1"/>
                <w:lang w:val="es-ES_tradnl"/>
              </w:rPr>
              <w:t>el cuarto trimestre de 2018</w:t>
            </w:r>
            <w:r w:rsidR="00640636" w:rsidRPr="00B13E16">
              <w:rPr>
                <w:rFonts w:ascii="Arial" w:hAnsi="Arial" w:cs="Arial"/>
                <w:color w:val="000000" w:themeColor="text1"/>
                <w:lang w:val="es-ES_tradnl"/>
              </w:rPr>
              <w:t>.</w:t>
            </w:r>
          </w:p>
          <w:p w14:paraId="67CF4F2A" w14:textId="77777777" w:rsidR="00B24A6E" w:rsidRPr="002037D7" w:rsidRDefault="00B24A6E" w:rsidP="00E53F1B">
            <w:pPr>
              <w:ind w:left="-29" w:right="72"/>
              <w:jc w:val="both"/>
              <w:rPr>
                <w:rFonts w:ascii="Arial" w:eastAsia="Arial" w:hAnsi="Arial"/>
                <w:color w:val="000000" w:themeColor="text1"/>
                <w:lang w:val="es-ES"/>
              </w:rPr>
            </w:pPr>
          </w:p>
          <w:p w14:paraId="171CE330" w14:textId="77777777" w:rsidR="00B24A6E" w:rsidRDefault="00B24A6E" w:rsidP="00E53F1B">
            <w:pPr>
              <w:ind w:left="-29" w:right="72"/>
              <w:jc w:val="both"/>
              <w:rPr>
                <w:rFonts w:ascii="Arial" w:hAnsi="Arial" w:cs="Arial"/>
                <w:color w:val="000000" w:themeColor="text1"/>
                <w:u w:val="single"/>
                <w:lang w:val="es-ES"/>
              </w:rPr>
            </w:pPr>
          </w:p>
          <w:p w14:paraId="4A44759D" w14:textId="77777777" w:rsidR="00B24A6E" w:rsidRDefault="00B24A6E" w:rsidP="00E53F1B">
            <w:pPr>
              <w:ind w:left="-29" w:right="72"/>
              <w:jc w:val="both"/>
              <w:rPr>
                <w:rFonts w:ascii="Arial" w:hAnsi="Arial" w:cs="Arial"/>
                <w:color w:val="000000" w:themeColor="text1"/>
                <w:u w:val="single"/>
                <w:lang w:val="es-ES"/>
              </w:rPr>
            </w:pPr>
          </w:p>
          <w:p w14:paraId="3F60E552" w14:textId="77777777" w:rsidR="00B24A6E" w:rsidRDefault="00B24A6E" w:rsidP="00E53F1B">
            <w:pPr>
              <w:ind w:left="-29" w:right="72"/>
              <w:jc w:val="both"/>
              <w:rPr>
                <w:rFonts w:ascii="Arial" w:hAnsi="Arial" w:cs="Arial"/>
                <w:color w:val="000000" w:themeColor="text1"/>
                <w:u w:val="single"/>
                <w:lang w:val="es-ES"/>
              </w:rPr>
            </w:pPr>
          </w:p>
          <w:p w14:paraId="034A5A1A" w14:textId="77777777" w:rsidR="00B24A6E" w:rsidRDefault="00B24A6E" w:rsidP="00E53F1B">
            <w:pPr>
              <w:ind w:left="-29" w:right="72"/>
              <w:jc w:val="both"/>
              <w:rPr>
                <w:rFonts w:ascii="Arial" w:hAnsi="Arial" w:cs="Arial"/>
                <w:color w:val="000000" w:themeColor="text1"/>
                <w:u w:val="single"/>
                <w:lang w:val="es-ES"/>
              </w:rPr>
            </w:pPr>
          </w:p>
          <w:p w14:paraId="33EC157E" w14:textId="1C6212A4" w:rsidR="00B24A6E" w:rsidRPr="00E84BF2" w:rsidRDefault="00B24A6E" w:rsidP="002037D7">
            <w:pPr>
              <w:ind w:right="72"/>
              <w:jc w:val="both"/>
              <w:rPr>
                <w:rFonts w:ascii="Arial" w:hAnsi="Arial" w:cs="Arial"/>
                <w:color w:val="000000" w:themeColor="text1"/>
                <w:u w:val="single"/>
                <w:lang w:val="es-ES"/>
              </w:rPr>
            </w:pPr>
          </w:p>
        </w:tc>
      </w:tr>
      <w:tr w:rsidR="00B24A6E" w:rsidRPr="00304CDA" w14:paraId="788D9B72" w14:textId="77777777" w:rsidTr="00F23488">
        <w:trPr>
          <w:gridAfter w:val="1"/>
          <w:wAfter w:w="16" w:type="dxa"/>
          <w:trHeight w:val="49"/>
          <w:jc w:val="center"/>
        </w:trPr>
        <w:tc>
          <w:tcPr>
            <w:tcW w:w="1980" w:type="dxa"/>
            <w:vMerge/>
            <w:shd w:val="clear" w:color="auto" w:fill="auto"/>
          </w:tcPr>
          <w:p w14:paraId="674A9932" w14:textId="77777777" w:rsidR="00B24A6E" w:rsidRPr="001A3B45" w:rsidRDefault="00B24A6E" w:rsidP="00E53F1B">
            <w:pPr>
              <w:pStyle w:val="ListParagraph"/>
              <w:numPr>
                <w:ilvl w:val="1"/>
                <w:numId w:val="15"/>
              </w:numPr>
              <w:autoSpaceDE w:val="0"/>
              <w:autoSpaceDN w:val="0"/>
              <w:adjustRightInd w:val="0"/>
              <w:rPr>
                <w:rFonts w:ascii="Arial" w:hAnsi="Arial" w:cs="Arial"/>
                <w:b/>
                <w:bCs/>
                <w:color w:val="000000" w:themeColor="text1"/>
                <w:lang w:val="es-ES_tradnl"/>
              </w:rPr>
            </w:pPr>
          </w:p>
        </w:tc>
        <w:tc>
          <w:tcPr>
            <w:tcW w:w="4222" w:type="dxa"/>
            <w:shd w:val="clear" w:color="auto" w:fill="auto"/>
          </w:tcPr>
          <w:p w14:paraId="33E3FD6A" w14:textId="6AFA65A0" w:rsidR="00B24A6E" w:rsidRPr="00206A96" w:rsidRDefault="00B24A6E" w:rsidP="00DD4596">
            <w:pPr>
              <w:autoSpaceDE w:val="0"/>
              <w:autoSpaceDN w:val="0"/>
              <w:adjustRightInd w:val="0"/>
              <w:ind w:right="115"/>
              <w:jc w:val="both"/>
              <w:rPr>
                <w:rFonts w:ascii="Arial" w:eastAsia="Arial" w:hAnsi="Arial" w:cs="Arial"/>
                <w:color w:val="000000" w:themeColor="text1"/>
                <w:lang w:val="es-ES" w:eastAsia="es-CO"/>
              </w:rPr>
            </w:pPr>
            <w:r w:rsidRPr="00206A96">
              <w:rPr>
                <w:rFonts w:ascii="Arial" w:eastAsia="Arial" w:hAnsi="Arial" w:cs="Arial"/>
                <w:color w:val="000000" w:themeColor="text1"/>
                <w:lang w:val="es-ES" w:eastAsia="es-CO"/>
              </w:rPr>
              <w:t xml:space="preserve">Que </w:t>
            </w:r>
            <w:r>
              <w:rPr>
                <w:rFonts w:ascii="Arial" w:eastAsia="Arial" w:hAnsi="Arial" w:cs="Arial"/>
                <w:color w:val="000000" w:themeColor="text1"/>
                <w:lang w:val="es-ES" w:eastAsia="es-CO"/>
              </w:rPr>
              <w:t>la SIE</w:t>
            </w:r>
            <w:r w:rsidRPr="00206A96">
              <w:rPr>
                <w:rFonts w:ascii="Arial" w:hAnsi="Arial" w:cs="Arial"/>
                <w:color w:val="000000" w:themeColor="text1"/>
                <w:lang w:val="es-ES" w:eastAsia="es-CO"/>
              </w:rPr>
              <w:t xml:space="preserve"> </w:t>
            </w:r>
            <w:r w:rsidRPr="00206A96">
              <w:rPr>
                <w:rFonts w:ascii="Arial" w:eastAsia="Arial" w:hAnsi="Arial" w:cs="Arial"/>
                <w:color w:val="000000" w:themeColor="text1"/>
                <w:lang w:val="es-ES" w:eastAsia="es-CO"/>
              </w:rPr>
              <w:t xml:space="preserve">haya definido los </w:t>
            </w:r>
            <w:r>
              <w:rPr>
                <w:rFonts w:ascii="Arial" w:eastAsia="Arial" w:hAnsi="Arial" w:cs="Arial"/>
                <w:color w:val="000000" w:themeColor="text1"/>
                <w:lang w:val="es-ES" w:eastAsia="es-CO"/>
              </w:rPr>
              <w:t>criterios</w:t>
            </w:r>
            <w:r w:rsidRPr="00206A96">
              <w:rPr>
                <w:rFonts w:ascii="Arial" w:eastAsia="Arial" w:hAnsi="Arial" w:cs="Arial"/>
                <w:color w:val="000000" w:themeColor="text1"/>
                <w:lang w:val="es-ES" w:eastAsia="es-CO"/>
              </w:rPr>
              <w:t xml:space="preserve"> </w:t>
            </w:r>
            <w:r>
              <w:rPr>
                <w:rFonts w:ascii="Arial" w:eastAsia="Arial" w:hAnsi="Arial" w:cs="Arial"/>
                <w:color w:val="000000" w:themeColor="text1"/>
                <w:lang w:val="es-ES" w:eastAsia="es-CO"/>
              </w:rPr>
              <w:t xml:space="preserve">base para llevar a cabo </w:t>
            </w:r>
            <w:r w:rsidRPr="00206A96">
              <w:rPr>
                <w:rFonts w:ascii="Arial" w:eastAsia="Arial" w:hAnsi="Arial" w:cs="Arial"/>
                <w:color w:val="000000" w:themeColor="text1"/>
                <w:lang w:val="es-ES" w:eastAsia="es-CO"/>
              </w:rPr>
              <w:t xml:space="preserve">la revisión de la política de subsidios </w:t>
            </w:r>
            <w:r>
              <w:rPr>
                <w:rFonts w:ascii="Arial" w:eastAsia="Arial" w:hAnsi="Arial" w:cs="Arial"/>
                <w:color w:val="000000" w:themeColor="text1"/>
                <w:lang w:val="es-ES" w:eastAsia="es-CO"/>
              </w:rPr>
              <w:t>(</w:t>
            </w:r>
            <w:r w:rsidRPr="00372B28">
              <w:rPr>
                <w:rFonts w:ascii="Arial" w:eastAsia="Arial" w:hAnsi="Arial" w:cs="Arial"/>
                <w:b/>
                <w:color w:val="000000" w:themeColor="text1"/>
                <w:lang w:val="es-ES" w:eastAsia="es-CO"/>
              </w:rPr>
              <w:t>cruzados</w:t>
            </w:r>
            <w:r w:rsidRPr="00FA73E1">
              <w:rPr>
                <w:rStyle w:val="FootnoteReference"/>
                <w:rFonts w:ascii="Arial" w:eastAsia="Arial" w:hAnsi="Arial" w:cs="Arial"/>
                <w:color w:val="000000" w:themeColor="text1"/>
                <w:lang w:val="es-ES" w:eastAsia="es-CO"/>
              </w:rPr>
              <w:footnoteReference w:id="3"/>
            </w:r>
            <w:r>
              <w:rPr>
                <w:rFonts w:ascii="Arial" w:eastAsia="Arial" w:hAnsi="Arial" w:cs="Arial"/>
                <w:color w:val="000000" w:themeColor="text1"/>
                <w:lang w:val="es-ES" w:eastAsia="es-CO"/>
              </w:rPr>
              <w:t xml:space="preserve"> y </w:t>
            </w:r>
            <w:r w:rsidRPr="00372B28">
              <w:rPr>
                <w:rFonts w:ascii="Arial" w:eastAsia="Arial" w:hAnsi="Arial" w:cs="Arial"/>
                <w:b/>
                <w:color w:val="000000" w:themeColor="text1"/>
                <w:lang w:val="es-ES" w:eastAsia="es-CO"/>
              </w:rPr>
              <w:t>directos</w:t>
            </w:r>
            <w:r>
              <w:rPr>
                <w:rFonts w:ascii="Arial" w:eastAsia="Arial" w:hAnsi="Arial" w:cs="Arial"/>
                <w:color w:val="000000" w:themeColor="text1"/>
                <w:lang w:val="es-ES" w:eastAsia="es-CO"/>
              </w:rPr>
              <w:t xml:space="preserve"> a través de </w:t>
            </w:r>
            <w:proofErr w:type="spellStart"/>
            <w:r>
              <w:rPr>
                <w:rFonts w:ascii="Arial" w:eastAsia="Arial" w:hAnsi="Arial" w:cs="Arial"/>
                <w:color w:val="000000" w:themeColor="text1"/>
                <w:lang w:val="es-ES" w:eastAsia="es-CO"/>
              </w:rPr>
              <w:t>Bonoluz</w:t>
            </w:r>
            <w:proofErr w:type="spellEnd"/>
            <w:r>
              <w:rPr>
                <w:rFonts w:ascii="Arial" w:eastAsia="Arial" w:hAnsi="Arial" w:cs="Arial"/>
                <w:color w:val="000000" w:themeColor="text1"/>
                <w:lang w:val="es-ES" w:eastAsia="es-CO"/>
              </w:rPr>
              <w:t xml:space="preserve">) </w:t>
            </w:r>
            <w:r w:rsidRPr="00206A96">
              <w:rPr>
                <w:rFonts w:ascii="Arial" w:eastAsia="Arial" w:hAnsi="Arial" w:cs="Arial"/>
                <w:color w:val="000000" w:themeColor="text1"/>
                <w:lang w:val="es-ES" w:eastAsia="es-CO"/>
              </w:rPr>
              <w:t>para los usuarios del servicio eléctrico.</w:t>
            </w:r>
          </w:p>
          <w:p w14:paraId="4C7DABB7" w14:textId="77777777" w:rsidR="00B24A6E" w:rsidRPr="00165EFF" w:rsidRDefault="00B24A6E" w:rsidP="00E53F1B">
            <w:pPr>
              <w:autoSpaceDE w:val="0"/>
              <w:autoSpaceDN w:val="0"/>
              <w:adjustRightInd w:val="0"/>
              <w:ind w:right="115"/>
              <w:jc w:val="both"/>
              <w:rPr>
                <w:rFonts w:ascii="Arial" w:hAnsi="Arial" w:cs="Arial"/>
                <w:color w:val="000000" w:themeColor="text1"/>
                <w:highlight w:val="green"/>
                <w:lang w:val="es-ES"/>
              </w:rPr>
            </w:pPr>
          </w:p>
        </w:tc>
        <w:tc>
          <w:tcPr>
            <w:tcW w:w="3690" w:type="dxa"/>
          </w:tcPr>
          <w:p w14:paraId="5428FD84" w14:textId="4A1A2385" w:rsidR="00B24A6E" w:rsidRPr="00F42892" w:rsidRDefault="00B24A6E" w:rsidP="00E53F1B">
            <w:pPr>
              <w:autoSpaceDE w:val="0"/>
              <w:autoSpaceDN w:val="0"/>
              <w:adjustRightInd w:val="0"/>
              <w:ind w:right="115"/>
              <w:jc w:val="both"/>
              <w:rPr>
                <w:rFonts w:ascii="Arial" w:hAnsi="Arial" w:cs="Arial"/>
                <w:color w:val="000000" w:themeColor="text1"/>
                <w:lang w:val="es-ES" w:eastAsia="es-CO"/>
              </w:rPr>
            </w:pPr>
            <w:r w:rsidRPr="00F42892">
              <w:rPr>
                <w:rFonts w:ascii="Arial" w:hAnsi="Arial" w:cs="Arial"/>
                <w:color w:val="000000" w:themeColor="text1"/>
                <w:lang w:val="es-ES" w:eastAsia="es-CO"/>
              </w:rPr>
              <w:t xml:space="preserve">Carta de la SIE confirmando la definición de los criterios base para llevar a cabo la revisión de la política de subsidios.  Dicha comunicación deberá presentar adjunto: </w:t>
            </w:r>
          </w:p>
          <w:p w14:paraId="6AE2DCE3" w14:textId="77777777" w:rsidR="00B24A6E" w:rsidRPr="00F42892" w:rsidRDefault="00B24A6E" w:rsidP="001F35D7">
            <w:pPr>
              <w:pStyle w:val="ListParagraph"/>
              <w:numPr>
                <w:ilvl w:val="0"/>
                <w:numId w:val="31"/>
              </w:numPr>
              <w:autoSpaceDE w:val="0"/>
              <w:autoSpaceDN w:val="0"/>
              <w:adjustRightInd w:val="0"/>
              <w:ind w:left="426" w:right="115"/>
              <w:jc w:val="both"/>
              <w:rPr>
                <w:rFonts w:ascii="Arial" w:hAnsi="Arial" w:cs="Arial"/>
                <w:color w:val="000000" w:themeColor="text1"/>
                <w:lang w:val="es-ES" w:eastAsia="es-CO"/>
              </w:rPr>
            </w:pPr>
            <w:r w:rsidRPr="00F42892">
              <w:rPr>
                <w:rFonts w:ascii="Arial" w:hAnsi="Arial" w:cs="Arial"/>
                <w:color w:val="000000" w:themeColor="text1"/>
                <w:lang w:val="es-ES" w:eastAsia="es-CO"/>
              </w:rPr>
              <w:t>Copia del contrato firmado con el adjudicatario de la consultoría para definir la nueva política de</w:t>
            </w:r>
            <w:r w:rsidRPr="00F42892">
              <w:rPr>
                <w:rFonts w:ascii="Arial" w:hAnsi="Arial" w:cs="Arial"/>
                <w:color w:val="000000" w:themeColor="text1"/>
                <w:lang w:val="es-ES_tradnl"/>
              </w:rPr>
              <w:t xml:space="preserve"> subsidios para el sector eléctrico</w:t>
            </w:r>
            <w:r w:rsidRPr="00F42892">
              <w:rPr>
                <w:rFonts w:ascii="Arial" w:hAnsi="Arial" w:cs="Arial"/>
                <w:color w:val="000000" w:themeColor="text1"/>
                <w:lang w:val="es-ES" w:eastAsia="es-CO"/>
              </w:rPr>
              <w:t>,</w:t>
            </w:r>
          </w:p>
          <w:p w14:paraId="304C6B20" w14:textId="1EC4E56F" w:rsidR="00B24A6E" w:rsidRPr="00F42892" w:rsidRDefault="00B24A6E" w:rsidP="001F35D7">
            <w:pPr>
              <w:pStyle w:val="ListParagraph"/>
              <w:numPr>
                <w:ilvl w:val="0"/>
                <w:numId w:val="31"/>
              </w:numPr>
              <w:autoSpaceDE w:val="0"/>
              <w:autoSpaceDN w:val="0"/>
              <w:adjustRightInd w:val="0"/>
              <w:ind w:left="426" w:right="115"/>
              <w:jc w:val="both"/>
              <w:rPr>
                <w:rFonts w:ascii="Arial" w:hAnsi="Arial" w:cs="Arial"/>
                <w:color w:val="000000" w:themeColor="text1"/>
                <w:lang w:val="es-ES" w:eastAsia="es-CO"/>
              </w:rPr>
            </w:pPr>
            <w:r w:rsidRPr="00F42892">
              <w:rPr>
                <w:rFonts w:ascii="Arial" w:hAnsi="Arial" w:cs="Arial"/>
                <w:color w:val="000000" w:themeColor="text1"/>
                <w:lang w:val="es-ES" w:eastAsia="es-CO"/>
              </w:rPr>
              <w:t xml:space="preserve">Los términos de referencia, y </w:t>
            </w:r>
          </w:p>
          <w:p w14:paraId="0C316E04" w14:textId="02A293C4" w:rsidR="00B24A6E" w:rsidRPr="00F42892" w:rsidRDefault="00B24A6E" w:rsidP="001F35D7">
            <w:pPr>
              <w:pStyle w:val="ListParagraph"/>
              <w:numPr>
                <w:ilvl w:val="0"/>
                <w:numId w:val="31"/>
              </w:numPr>
              <w:autoSpaceDE w:val="0"/>
              <w:autoSpaceDN w:val="0"/>
              <w:adjustRightInd w:val="0"/>
              <w:ind w:left="426" w:right="115"/>
              <w:jc w:val="both"/>
              <w:rPr>
                <w:rFonts w:ascii="Arial" w:hAnsi="Arial" w:cs="Arial"/>
                <w:color w:val="000000" w:themeColor="text1"/>
                <w:lang w:val="es-ES" w:eastAsia="es-CO"/>
              </w:rPr>
            </w:pPr>
            <w:r w:rsidRPr="00F42892">
              <w:rPr>
                <w:rFonts w:ascii="Arial" w:hAnsi="Arial" w:cs="Arial"/>
                <w:color w:val="000000" w:themeColor="text1"/>
                <w:lang w:val="es-ES" w:eastAsia="es-CO"/>
              </w:rPr>
              <w:t xml:space="preserve">Plan de trabajo. </w:t>
            </w:r>
          </w:p>
          <w:p w14:paraId="5F563D75" w14:textId="77777777" w:rsidR="00B24A6E" w:rsidRPr="001A3B45" w:rsidRDefault="00B24A6E" w:rsidP="00E53F1B">
            <w:pPr>
              <w:autoSpaceDE w:val="0"/>
              <w:autoSpaceDN w:val="0"/>
              <w:adjustRightInd w:val="0"/>
              <w:ind w:right="115"/>
              <w:jc w:val="both"/>
              <w:rPr>
                <w:rFonts w:ascii="Arial" w:hAnsi="Arial" w:cs="Arial"/>
                <w:color w:val="000000" w:themeColor="text1"/>
                <w:lang w:val="es-ES" w:eastAsia="es-CO"/>
              </w:rPr>
            </w:pPr>
          </w:p>
        </w:tc>
        <w:tc>
          <w:tcPr>
            <w:tcW w:w="3333" w:type="dxa"/>
            <w:shd w:val="clear" w:color="auto" w:fill="auto"/>
          </w:tcPr>
          <w:p w14:paraId="03769DBA" w14:textId="14CE960C" w:rsidR="00B24A6E" w:rsidRPr="00F024B2" w:rsidRDefault="00B24A6E" w:rsidP="00F024B2">
            <w:pPr>
              <w:ind w:left="-29" w:right="72"/>
              <w:jc w:val="both"/>
              <w:rPr>
                <w:rFonts w:ascii="Arial" w:hAnsi="Arial" w:cs="Arial"/>
                <w:color w:val="000000" w:themeColor="text1"/>
                <w:lang w:val="es-ES"/>
              </w:rPr>
            </w:pPr>
            <w:r w:rsidRPr="001B3211">
              <w:rPr>
                <w:rFonts w:ascii="Arial" w:eastAsia="Arial" w:hAnsi="Arial" w:cs="Arial"/>
                <w:color w:val="000000" w:themeColor="text1"/>
                <w:u w:val="single"/>
                <w:lang w:val="es-ES"/>
              </w:rPr>
              <w:t>Cumplido</w:t>
            </w:r>
          </w:p>
        </w:tc>
      </w:tr>
      <w:tr w:rsidR="00B24A6E" w:rsidRPr="00304CDA" w14:paraId="68A8257C" w14:textId="77777777" w:rsidTr="00F23488">
        <w:trPr>
          <w:gridAfter w:val="1"/>
          <w:wAfter w:w="16" w:type="dxa"/>
          <w:trHeight w:val="1043"/>
          <w:jc w:val="center"/>
        </w:trPr>
        <w:tc>
          <w:tcPr>
            <w:tcW w:w="1980" w:type="dxa"/>
            <w:vMerge/>
            <w:shd w:val="clear" w:color="auto" w:fill="auto"/>
          </w:tcPr>
          <w:p w14:paraId="6B914B10" w14:textId="77777777" w:rsidR="00B24A6E" w:rsidRPr="001A3B45" w:rsidRDefault="00B24A6E" w:rsidP="00DC1EE4">
            <w:pPr>
              <w:pStyle w:val="ListParagraph"/>
              <w:numPr>
                <w:ilvl w:val="1"/>
                <w:numId w:val="9"/>
              </w:numPr>
              <w:autoSpaceDE w:val="0"/>
              <w:autoSpaceDN w:val="0"/>
              <w:adjustRightInd w:val="0"/>
              <w:ind w:left="595" w:hanging="595"/>
              <w:rPr>
                <w:rFonts w:ascii="Arial" w:hAnsi="Arial" w:cs="Arial"/>
                <w:b/>
                <w:bCs/>
                <w:color w:val="000000" w:themeColor="text1"/>
                <w:lang w:val="es-ES_tradnl"/>
              </w:rPr>
            </w:pPr>
          </w:p>
        </w:tc>
        <w:tc>
          <w:tcPr>
            <w:tcW w:w="4222" w:type="dxa"/>
            <w:shd w:val="clear" w:color="auto" w:fill="auto"/>
          </w:tcPr>
          <w:p w14:paraId="3FF99F52" w14:textId="77777777" w:rsidR="00B24A6E" w:rsidRDefault="00B24A6E" w:rsidP="00DC1EE4">
            <w:pPr>
              <w:ind w:right="72"/>
              <w:jc w:val="both"/>
              <w:rPr>
                <w:rFonts w:ascii="Arial" w:eastAsia="Arial" w:hAnsi="Arial" w:cs="Arial"/>
                <w:color w:val="000000" w:themeColor="text1"/>
                <w:lang w:val="es-ES"/>
              </w:rPr>
            </w:pPr>
            <w:r w:rsidRPr="007917DB">
              <w:rPr>
                <w:rFonts w:ascii="Arial" w:eastAsia="Arial" w:hAnsi="Arial" w:cs="Arial"/>
                <w:color w:val="000000" w:themeColor="text1"/>
                <w:lang w:val="es-ES"/>
              </w:rPr>
              <w:t>Que el MH</w:t>
            </w:r>
            <w:r>
              <w:rPr>
                <w:rFonts w:ascii="Arial" w:eastAsia="Arial" w:hAnsi="Arial" w:cs="Arial"/>
                <w:color w:val="000000" w:themeColor="text1"/>
                <w:lang w:val="es-ES"/>
              </w:rPr>
              <w:t>, con el objetivo de permitir</w:t>
            </w:r>
            <w:r w:rsidRPr="007917DB">
              <w:rPr>
                <w:rFonts w:ascii="Arial" w:eastAsia="Arial" w:hAnsi="Arial" w:cs="Arial"/>
                <w:color w:val="000000" w:themeColor="text1"/>
                <w:lang w:val="es-ES"/>
              </w:rPr>
              <w:t xml:space="preserve"> el pago del subsidio focalizado de electricidad</w:t>
            </w:r>
            <w:r>
              <w:rPr>
                <w:rFonts w:ascii="Arial" w:eastAsia="Arial" w:hAnsi="Arial" w:cs="Arial"/>
                <w:color w:val="000000" w:themeColor="text1"/>
                <w:lang w:val="es-ES"/>
              </w:rPr>
              <w:t xml:space="preserve">, se encuentre </w:t>
            </w:r>
            <w:r w:rsidRPr="007917DB">
              <w:rPr>
                <w:rFonts w:ascii="Arial" w:eastAsia="Arial" w:hAnsi="Arial" w:cs="Arial"/>
                <w:color w:val="000000" w:themeColor="text1"/>
                <w:lang w:val="es-ES"/>
              </w:rPr>
              <w:t xml:space="preserve">implementando las </w:t>
            </w:r>
            <w:r>
              <w:rPr>
                <w:rFonts w:ascii="Arial" w:eastAsia="Arial" w:hAnsi="Arial" w:cs="Arial"/>
                <w:color w:val="000000" w:themeColor="text1"/>
                <w:lang w:val="es-ES"/>
              </w:rPr>
              <w:t xml:space="preserve">siguientes </w:t>
            </w:r>
            <w:r w:rsidRPr="007917DB">
              <w:rPr>
                <w:rFonts w:ascii="Arial" w:eastAsia="Arial" w:hAnsi="Arial" w:cs="Arial"/>
                <w:color w:val="000000" w:themeColor="text1"/>
                <w:lang w:val="es-ES"/>
              </w:rPr>
              <w:t>medidas a nivel presupuestario</w:t>
            </w:r>
            <w:r>
              <w:rPr>
                <w:rFonts w:ascii="Arial" w:eastAsia="Arial" w:hAnsi="Arial" w:cs="Arial"/>
                <w:color w:val="000000" w:themeColor="text1"/>
                <w:lang w:val="es-ES"/>
              </w:rPr>
              <w:t>:</w:t>
            </w:r>
          </w:p>
          <w:p w14:paraId="6661E607" w14:textId="77777777" w:rsidR="00B24A6E" w:rsidRPr="00D42917" w:rsidRDefault="00B24A6E" w:rsidP="00817FF5">
            <w:pPr>
              <w:pStyle w:val="ListParagraph"/>
              <w:numPr>
                <w:ilvl w:val="0"/>
                <w:numId w:val="27"/>
              </w:numPr>
              <w:autoSpaceDE w:val="0"/>
              <w:autoSpaceDN w:val="0"/>
              <w:adjustRightInd w:val="0"/>
              <w:ind w:left="151" w:hanging="180"/>
              <w:jc w:val="both"/>
              <w:rPr>
                <w:rFonts w:ascii="Arial" w:eastAsia="Arial" w:hAnsi="Arial" w:cs="Arial"/>
                <w:color w:val="000000" w:themeColor="text1"/>
                <w:lang w:val="es-ES"/>
              </w:rPr>
            </w:pPr>
            <w:r w:rsidRPr="00D42917">
              <w:rPr>
                <w:rFonts w:ascii="Arial" w:eastAsia="Arial" w:hAnsi="Arial" w:cs="Arial"/>
                <w:color w:val="000000" w:themeColor="text1"/>
                <w:lang w:val="es-ES"/>
              </w:rPr>
              <w:t xml:space="preserve">reconocimiento de </w:t>
            </w:r>
            <w:proofErr w:type="spellStart"/>
            <w:r w:rsidRPr="00D42917">
              <w:rPr>
                <w:rFonts w:ascii="Arial" w:eastAsia="Arial" w:hAnsi="Arial" w:cs="Arial"/>
                <w:color w:val="000000" w:themeColor="text1"/>
                <w:lang w:val="es-ES"/>
              </w:rPr>
              <w:t>BonoLuz</w:t>
            </w:r>
            <w:proofErr w:type="spellEnd"/>
            <w:r w:rsidRPr="00D42917">
              <w:rPr>
                <w:rFonts w:ascii="Arial" w:eastAsia="Arial" w:hAnsi="Arial" w:cs="Arial"/>
                <w:color w:val="000000" w:themeColor="text1"/>
                <w:lang w:val="es-ES"/>
              </w:rPr>
              <w:t xml:space="preserve"> como entidad receptora en la clasificación de gastos de la Ley General de Presupuesto de cada año; y </w:t>
            </w:r>
          </w:p>
          <w:p w14:paraId="54C28132" w14:textId="77777777" w:rsidR="00B24A6E" w:rsidRPr="00D42917" w:rsidRDefault="00B24A6E" w:rsidP="00817FF5">
            <w:pPr>
              <w:pStyle w:val="ListParagraph"/>
              <w:numPr>
                <w:ilvl w:val="0"/>
                <w:numId w:val="27"/>
              </w:numPr>
              <w:autoSpaceDE w:val="0"/>
              <w:autoSpaceDN w:val="0"/>
              <w:adjustRightInd w:val="0"/>
              <w:ind w:left="151" w:hanging="180"/>
              <w:jc w:val="both"/>
              <w:rPr>
                <w:rFonts w:ascii="Arial" w:eastAsia="Arial" w:hAnsi="Arial" w:cs="Arial"/>
                <w:color w:val="000000" w:themeColor="text1"/>
                <w:lang w:val="es-ES"/>
              </w:rPr>
            </w:pPr>
            <w:r w:rsidRPr="00D42917">
              <w:rPr>
                <w:rFonts w:ascii="Arial" w:eastAsia="Arial" w:hAnsi="Arial" w:cs="Arial"/>
                <w:color w:val="000000" w:themeColor="text1"/>
                <w:lang w:val="es-ES"/>
              </w:rPr>
              <w:t xml:space="preserve">asignación a </w:t>
            </w:r>
            <w:proofErr w:type="spellStart"/>
            <w:r>
              <w:rPr>
                <w:rFonts w:ascii="Arial" w:eastAsia="Arial" w:hAnsi="Arial" w:cs="Arial"/>
                <w:color w:val="000000" w:themeColor="text1"/>
                <w:lang w:val="es-ES"/>
              </w:rPr>
              <w:t>BonoLuz</w:t>
            </w:r>
            <w:proofErr w:type="spellEnd"/>
            <w:r w:rsidRPr="00D42917">
              <w:rPr>
                <w:rFonts w:ascii="Arial" w:eastAsia="Arial" w:hAnsi="Arial" w:cs="Arial"/>
                <w:color w:val="000000" w:themeColor="text1"/>
                <w:lang w:val="es-ES"/>
              </w:rPr>
              <w:t xml:space="preserve"> de los recursos financieros necesarios para el funcionamiento del subsidio. </w:t>
            </w:r>
          </w:p>
          <w:p w14:paraId="44E32F29" w14:textId="77777777" w:rsidR="00B24A6E" w:rsidRPr="001A3B45" w:rsidRDefault="00B24A6E" w:rsidP="00DC1EE4">
            <w:pPr>
              <w:ind w:right="72"/>
              <w:jc w:val="both"/>
              <w:rPr>
                <w:rFonts w:ascii="Arial" w:hAnsi="Arial" w:cs="Arial"/>
                <w:color w:val="000000" w:themeColor="text1"/>
                <w:lang w:val="es-ES"/>
              </w:rPr>
            </w:pPr>
            <w:r>
              <w:rPr>
                <w:rFonts w:ascii="Arial" w:hAnsi="Arial" w:cs="Arial"/>
                <w:color w:val="000000" w:themeColor="text1"/>
                <w:lang w:val="es-ES"/>
              </w:rPr>
              <w:t xml:space="preserve"> </w:t>
            </w:r>
          </w:p>
        </w:tc>
        <w:tc>
          <w:tcPr>
            <w:tcW w:w="3690" w:type="dxa"/>
          </w:tcPr>
          <w:p w14:paraId="5A95031F" w14:textId="77777777" w:rsidR="00B24A6E" w:rsidRPr="001A3B45" w:rsidRDefault="00B24A6E" w:rsidP="006B1B28">
            <w:pPr>
              <w:autoSpaceDE w:val="0"/>
              <w:autoSpaceDN w:val="0"/>
              <w:adjustRightInd w:val="0"/>
              <w:ind w:right="45"/>
              <w:jc w:val="both"/>
              <w:rPr>
                <w:rStyle w:val="Hyperlink"/>
                <w:rFonts w:ascii="Arial" w:hAnsi="Arial" w:cs="Arial"/>
                <w:color w:val="000000" w:themeColor="text1"/>
                <w:u w:val="none"/>
                <w:lang w:val="es-ES_tradnl"/>
              </w:rPr>
            </w:pPr>
            <w:r w:rsidRPr="001A3B45">
              <w:rPr>
                <w:rStyle w:val="Hyperlink"/>
                <w:rFonts w:ascii="Arial" w:hAnsi="Arial" w:cs="Arial"/>
                <w:color w:val="000000" w:themeColor="text1"/>
                <w:u w:val="none"/>
                <w:lang w:val="es-ES_tradnl"/>
              </w:rPr>
              <w:t xml:space="preserve">Ley de presupuesto del año anterior al año </w:t>
            </w:r>
            <w:r>
              <w:rPr>
                <w:rStyle w:val="Hyperlink"/>
                <w:rFonts w:ascii="Arial" w:hAnsi="Arial" w:cs="Arial"/>
                <w:color w:val="000000" w:themeColor="text1"/>
                <w:u w:val="none"/>
                <w:lang w:val="es-ES_tradnl"/>
              </w:rPr>
              <w:t xml:space="preserve">en </w:t>
            </w:r>
            <w:r w:rsidRPr="001A3B45">
              <w:rPr>
                <w:rStyle w:val="Hyperlink"/>
                <w:rFonts w:ascii="Arial" w:hAnsi="Arial" w:cs="Arial"/>
                <w:color w:val="000000" w:themeColor="text1"/>
                <w:u w:val="none"/>
                <w:lang w:val="es-ES_tradnl"/>
              </w:rPr>
              <w:t>que se realice el desembolso</w:t>
            </w:r>
            <w:r>
              <w:rPr>
                <w:rStyle w:val="Hyperlink"/>
                <w:rFonts w:ascii="Arial" w:hAnsi="Arial" w:cs="Arial"/>
                <w:color w:val="000000" w:themeColor="text1"/>
                <w:u w:val="none"/>
                <w:lang w:val="es-ES_tradnl"/>
              </w:rPr>
              <w:t>,</w:t>
            </w:r>
            <w:r w:rsidRPr="001A3B45">
              <w:rPr>
                <w:rStyle w:val="Hyperlink"/>
                <w:rFonts w:ascii="Arial" w:hAnsi="Arial" w:cs="Arial"/>
                <w:color w:val="000000" w:themeColor="text1"/>
                <w:u w:val="none"/>
                <w:lang w:val="es-ES_tradnl"/>
              </w:rPr>
              <w:t xml:space="preserve"> que muestra el presupuesto asignado a </w:t>
            </w:r>
            <w:proofErr w:type="spellStart"/>
            <w:r>
              <w:rPr>
                <w:rStyle w:val="Hyperlink"/>
                <w:rFonts w:ascii="Arial" w:hAnsi="Arial" w:cs="Arial"/>
                <w:color w:val="000000" w:themeColor="text1"/>
                <w:u w:val="none"/>
                <w:lang w:val="es-ES_tradnl"/>
              </w:rPr>
              <w:t>BonoLuz</w:t>
            </w:r>
            <w:proofErr w:type="spellEnd"/>
            <w:r w:rsidRPr="001A3B45">
              <w:rPr>
                <w:rFonts w:ascii="Arial" w:hAnsi="Arial" w:cs="Arial"/>
                <w:color w:val="000000" w:themeColor="text1"/>
                <w:lang w:val="es-ES"/>
              </w:rPr>
              <w:t xml:space="preserve"> </w:t>
            </w:r>
            <w:r>
              <w:rPr>
                <w:rFonts w:ascii="Arial" w:hAnsi="Arial" w:cs="Arial"/>
                <w:color w:val="000000" w:themeColor="text1"/>
                <w:lang w:val="es-ES"/>
              </w:rPr>
              <w:t>(</w:t>
            </w:r>
            <w:r w:rsidRPr="001A3B45">
              <w:rPr>
                <w:rFonts w:ascii="Arial" w:hAnsi="Arial" w:cs="Arial"/>
                <w:color w:val="000000" w:themeColor="text1"/>
                <w:lang w:val="es-ES"/>
              </w:rPr>
              <w:t>como entidad receptora en la clasificación de gastos</w:t>
            </w:r>
            <w:r>
              <w:rPr>
                <w:rFonts w:ascii="Arial" w:hAnsi="Arial" w:cs="Arial"/>
                <w:color w:val="000000" w:themeColor="text1"/>
                <w:lang w:val="es-ES"/>
              </w:rPr>
              <w:t>)</w:t>
            </w:r>
            <w:r w:rsidRPr="001A3B45">
              <w:rPr>
                <w:rStyle w:val="Hyperlink"/>
                <w:rFonts w:ascii="Arial" w:hAnsi="Arial" w:cs="Arial"/>
                <w:color w:val="000000" w:themeColor="text1"/>
                <w:u w:val="none"/>
                <w:lang w:val="es-ES_tradnl"/>
              </w:rPr>
              <w:t xml:space="preserve"> para su funcionamiento. </w:t>
            </w:r>
          </w:p>
          <w:p w14:paraId="21A5A430" w14:textId="77777777" w:rsidR="00B24A6E" w:rsidRPr="006B1B28" w:rsidRDefault="00B24A6E" w:rsidP="00E53F1B">
            <w:pPr>
              <w:ind w:right="72"/>
              <w:jc w:val="both"/>
              <w:rPr>
                <w:rFonts w:ascii="Arial" w:hAnsi="Arial" w:cs="Arial"/>
                <w:color w:val="000000" w:themeColor="text1"/>
                <w:lang w:val="es-ES_tradnl"/>
              </w:rPr>
            </w:pPr>
          </w:p>
          <w:p w14:paraId="6A989CCD" w14:textId="77777777" w:rsidR="00B24A6E" w:rsidRDefault="00B24A6E" w:rsidP="00E53F1B">
            <w:pPr>
              <w:ind w:right="72"/>
              <w:jc w:val="both"/>
              <w:rPr>
                <w:rFonts w:ascii="Arial" w:hAnsi="Arial" w:cs="Arial"/>
                <w:color w:val="000000" w:themeColor="text1"/>
                <w:lang w:val="es-ES"/>
              </w:rPr>
            </w:pPr>
          </w:p>
          <w:p w14:paraId="7BC45CBB" w14:textId="77777777" w:rsidR="00B24A6E" w:rsidRPr="6FAE9D8D" w:rsidRDefault="00B24A6E" w:rsidP="004B5711">
            <w:pPr>
              <w:ind w:right="72"/>
              <w:jc w:val="both"/>
              <w:rPr>
                <w:rFonts w:ascii="Arial" w:eastAsia="Arial" w:hAnsi="Arial" w:cs="Arial"/>
                <w:color w:val="000000" w:themeColor="text1"/>
                <w:lang w:val="es-ES"/>
              </w:rPr>
            </w:pPr>
          </w:p>
        </w:tc>
        <w:tc>
          <w:tcPr>
            <w:tcW w:w="3333" w:type="dxa"/>
            <w:shd w:val="clear" w:color="auto" w:fill="auto"/>
          </w:tcPr>
          <w:p w14:paraId="5646794B" w14:textId="71D2A865" w:rsidR="00B24A6E" w:rsidRPr="0007245F" w:rsidRDefault="00B24A6E" w:rsidP="00DC1EE4">
            <w:pPr>
              <w:autoSpaceDE w:val="0"/>
              <w:autoSpaceDN w:val="0"/>
              <w:adjustRightInd w:val="0"/>
              <w:jc w:val="both"/>
              <w:rPr>
                <w:rFonts w:ascii="Arial" w:hAnsi="Arial" w:cs="Arial"/>
                <w:color w:val="000000" w:themeColor="text1"/>
                <w:lang w:val="es-ES"/>
              </w:rPr>
            </w:pPr>
            <w:r>
              <w:rPr>
                <w:rFonts w:ascii="Arial" w:eastAsia="Arial" w:hAnsi="Arial" w:cs="Arial"/>
                <w:color w:val="000000" w:themeColor="text1"/>
                <w:u w:val="single"/>
                <w:lang w:val="es-ES"/>
              </w:rPr>
              <w:t>Cumplido</w:t>
            </w:r>
            <w:r w:rsidRPr="00155F43">
              <w:rPr>
                <w:rFonts w:ascii="Arial" w:eastAsia="Arial" w:hAnsi="Arial" w:cs="Arial"/>
                <w:color w:val="000000" w:themeColor="text1"/>
                <w:lang w:val="es-ES"/>
              </w:rPr>
              <w:t xml:space="preserve"> </w:t>
            </w:r>
          </w:p>
        </w:tc>
      </w:tr>
      <w:tr w:rsidR="00B24A6E" w:rsidRPr="00304CDA" w14:paraId="281352C0" w14:textId="77777777" w:rsidTr="00F23488">
        <w:trPr>
          <w:gridAfter w:val="1"/>
          <w:wAfter w:w="16" w:type="dxa"/>
          <w:trHeight w:val="503"/>
          <w:jc w:val="center"/>
        </w:trPr>
        <w:tc>
          <w:tcPr>
            <w:tcW w:w="1980" w:type="dxa"/>
            <w:vMerge w:val="restart"/>
            <w:shd w:val="clear" w:color="auto" w:fill="auto"/>
          </w:tcPr>
          <w:p w14:paraId="15B2EDD3" w14:textId="77777777" w:rsidR="00B24A6E" w:rsidRPr="001A3B45" w:rsidRDefault="00B24A6E" w:rsidP="00E53F1B">
            <w:pPr>
              <w:pStyle w:val="ListParagraph"/>
              <w:numPr>
                <w:ilvl w:val="1"/>
                <w:numId w:val="15"/>
              </w:numPr>
              <w:autoSpaceDE w:val="0"/>
              <w:autoSpaceDN w:val="0"/>
              <w:adjustRightInd w:val="0"/>
              <w:rPr>
                <w:rFonts w:ascii="Arial" w:eastAsia="Arial" w:hAnsi="Arial" w:cs="Arial"/>
                <w:b/>
                <w:bCs/>
                <w:color w:val="000000" w:themeColor="text1"/>
                <w:lang w:val="es-ES"/>
              </w:rPr>
            </w:pPr>
            <w:r w:rsidRPr="6FAE9D8D">
              <w:rPr>
                <w:rFonts w:ascii="Arial" w:eastAsia="Arial" w:hAnsi="Arial" w:cs="Arial"/>
                <w:b/>
                <w:bCs/>
                <w:color w:val="000000" w:themeColor="text1"/>
                <w:lang w:val="es-ES"/>
              </w:rPr>
              <w:t>Fortalecer capacidad institucional y de coordinación del sector</w:t>
            </w:r>
          </w:p>
        </w:tc>
        <w:tc>
          <w:tcPr>
            <w:tcW w:w="4222" w:type="dxa"/>
            <w:vMerge w:val="restart"/>
            <w:shd w:val="clear" w:color="auto" w:fill="auto"/>
          </w:tcPr>
          <w:p w14:paraId="0C5A8116" w14:textId="77777777" w:rsidR="00B24A6E" w:rsidRPr="001A3B45" w:rsidRDefault="00B24A6E" w:rsidP="00E53F1B">
            <w:pPr>
              <w:autoSpaceDE w:val="0"/>
              <w:autoSpaceDN w:val="0"/>
              <w:adjustRightInd w:val="0"/>
              <w:jc w:val="both"/>
              <w:rPr>
                <w:rFonts w:ascii="Arial" w:eastAsia="Arial" w:hAnsi="Arial" w:cs="Arial"/>
                <w:color w:val="000000" w:themeColor="text1"/>
                <w:lang w:val="es-ES"/>
              </w:rPr>
            </w:pPr>
            <w:r w:rsidRPr="008638E0">
              <w:rPr>
                <w:rFonts w:ascii="Arial" w:eastAsia="Arial" w:hAnsi="Arial" w:cs="Arial"/>
                <w:color w:val="000000" w:themeColor="text1"/>
                <w:lang w:val="es-ES"/>
              </w:rPr>
              <w:t>Que el Congreso Nacional haya aprobado la Ley que crea al Ministerio de Energía y Minas (MEM), como órgano encargado de la formulación y administración de la política energética y de minería metálica y no metálica nacional</w:t>
            </w:r>
            <w:r>
              <w:rPr>
                <w:rFonts w:ascii="Arial" w:eastAsia="Arial" w:hAnsi="Arial" w:cs="Arial"/>
                <w:color w:val="000000" w:themeColor="text1"/>
                <w:lang w:val="es-ES"/>
              </w:rPr>
              <w:t>;</w:t>
            </w:r>
            <w:r w:rsidRPr="008638E0">
              <w:rPr>
                <w:rFonts w:ascii="Arial" w:eastAsia="Arial" w:hAnsi="Arial" w:cs="Arial"/>
                <w:color w:val="000000" w:themeColor="text1"/>
                <w:lang w:val="es-ES"/>
              </w:rPr>
              <w:t xml:space="preserve"> y que el M</w:t>
            </w:r>
            <w:r>
              <w:rPr>
                <w:rFonts w:ascii="Arial" w:eastAsia="Arial" w:hAnsi="Arial" w:cs="Arial"/>
                <w:color w:val="000000" w:themeColor="text1"/>
                <w:lang w:val="es-ES"/>
              </w:rPr>
              <w:t>EM</w:t>
            </w:r>
            <w:r w:rsidRPr="008638E0">
              <w:rPr>
                <w:rFonts w:ascii="Arial" w:eastAsia="Arial" w:hAnsi="Arial" w:cs="Arial"/>
                <w:color w:val="000000" w:themeColor="text1"/>
                <w:lang w:val="es-ES"/>
              </w:rPr>
              <w:t xml:space="preserve"> se encuentre en funcionamiento con presupuesto asignado y aprobado.</w:t>
            </w:r>
            <w:r>
              <w:rPr>
                <w:rFonts w:ascii="Arial" w:eastAsia="Arial" w:hAnsi="Arial" w:cs="Arial"/>
                <w:color w:val="000000" w:themeColor="text1"/>
                <w:lang w:val="es-ES"/>
              </w:rPr>
              <w:t xml:space="preserve"> </w:t>
            </w:r>
          </w:p>
          <w:p w14:paraId="0716DCC5" w14:textId="77777777" w:rsidR="00B24A6E" w:rsidRPr="001A3B45" w:rsidRDefault="00B24A6E" w:rsidP="00E53F1B">
            <w:pPr>
              <w:pStyle w:val="ListParagraph"/>
              <w:ind w:left="0" w:right="120"/>
              <w:contextualSpacing/>
              <w:jc w:val="both"/>
              <w:rPr>
                <w:rFonts w:ascii="Arial" w:hAnsi="Arial" w:cs="Arial"/>
                <w:color w:val="000000" w:themeColor="text1"/>
                <w:lang w:val="es-ES"/>
              </w:rPr>
            </w:pPr>
          </w:p>
        </w:tc>
        <w:tc>
          <w:tcPr>
            <w:tcW w:w="3690" w:type="dxa"/>
          </w:tcPr>
          <w:p w14:paraId="132038C0" w14:textId="7E7E4BEA" w:rsidR="00B24A6E" w:rsidRDefault="00B24A6E" w:rsidP="00EC05DA">
            <w:pPr>
              <w:autoSpaceDE w:val="0"/>
              <w:autoSpaceDN w:val="0"/>
              <w:adjustRightInd w:val="0"/>
              <w:jc w:val="both"/>
              <w:rPr>
                <w:rStyle w:val="Hyperlink"/>
                <w:rFonts w:ascii="Arial" w:hAnsi="Arial" w:cs="Arial"/>
                <w:color w:val="000000" w:themeColor="text1"/>
                <w:u w:val="none"/>
                <w:lang w:val="es-ES" w:eastAsia="es-CO"/>
              </w:rPr>
            </w:pPr>
            <w:r w:rsidRPr="001A3B45">
              <w:rPr>
                <w:rStyle w:val="Hyperlink"/>
                <w:rFonts w:ascii="Arial" w:hAnsi="Arial" w:cs="Arial"/>
                <w:color w:val="000000" w:themeColor="text1"/>
                <w:u w:val="none"/>
                <w:lang w:val="es-ES" w:eastAsia="es-CO"/>
              </w:rPr>
              <w:t>Ley de creación del MEM vigente.</w:t>
            </w:r>
          </w:p>
          <w:p w14:paraId="4235F225" w14:textId="77777777" w:rsidR="00B24A6E" w:rsidRPr="00EC05DA" w:rsidRDefault="00B24A6E" w:rsidP="000159EC">
            <w:pPr>
              <w:autoSpaceDE w:val="0"/>
              <w:autoSpaceDN w:val="0"/>
              <w:adjustRightInd w:val="0"/>
              <w:jc w:val="both"/>
              <w:rPr>
                <w:rFonts w:ascii="Arial" w:hAnsi="Arial" w:cs="Arial"/>
                <w:color w:val="000000" w:themeColor="text1"/>
                <w:lang w:val="es-ES" w:eastAsia="es-CO"/>
              </w:rPr>
            </w:pPr>
          </w:p>
        </w:tc>
        <w:tc>
          <w:tcPr>
            <w:tcW w:w="3333" w:type="dxa"/>
            <w:shd w:val="clear" w:color="auto" w:fill="auto"/>
          </w:tcPr>
          <w:p w14:paraId="51C66D2C" w14:textId="0FE57957" w:rsidR="00B24A6E" w:rsidRPr="00177E16" w:rsidRDefault="00B24A6E" w:rsidP="005C61D4">
            <w:pPr>
              <w:autoSpaceDE w:val="0"/>
              <w:autoSpaceDN w:val="0"/>
              <w:adjustRightInd w:val="0"/>
              <w:jc w:val="both"/>
              <w:rPr>
                <w:rFonts w:ascii="Arial" w:hAnsi="Arial" w:cs="Arial"/>
                <w:color w:val="000000" w:themeColor="text1"/>
                <w:lang w:val="es-ES_tradnl"/>
              </w:rPr>
            </w:pPr>
            <w:r w:rsidRPr="002037D7">
              <w:rPr>
                <w:rFonts w:ascii="Arial" w:hAnsi="Arial"/>
                <w:color w:val="000000" w:themeColor="text1"/>
                <w:u w:val="single"/>
                <w:lang w:val="es-ES_tradnl"/>
              </w:rPr>
              <w:t>Cumplido</w:t>
            </w:r>
          </w:p>
          <w:p w14:paraId="536A1779" w14:textId="77777777" w:rsidR="00B24A6E" w:rsidRPr="001A3B45" w:rsidRDefault="00B24A6E" w:rsidP="000159EC">
            <w:pPr>
              <w:autoSpaceDE w:val="0"/>
              <w:autoSpaceDN w:val="0"/>
              <w:adjustRightInd w:val="0"/>
              <w:jc w:val="both"/>
              <w:rPr>
                <w:rFonts w:ascii="Arial" w:hAnsi="Arial" w:cs="Arial"/>
                <w:color w:val="000000" w:themeColor="text1"/>
                <w:lang w:val="es-ES_tradnl"/>
              </w:rPr>
            </w:pPr>
          </w:p>
        </w:tc>
      </w:tr>
      <w:tr w:rsidR="00B24A6E" w:rsidRPr="00304CDA" w14:paraId="5800C64B" w14:textId="77777777" w:rsidTr="00F23488">
        <w:trPr>
          <w:gridAfter w:val="1"/>
          <w:wAfter w:w="16" w:type="dxa"/>
          <w:trHeight w:val="791"/>
          <w:jc w:val="center"/>
        </w:trPr>
        <w:tc>
          <w:tcPr>
            <w:tcW w:w="1980" w:type="dxa"/>
            <w:vMerge/>
            <w:shd w:val="clear" w:color="auto" w:fill="auto"/>
          </w:tcPr>
          <w:p w14:paraId="085A68C5" w14:textId="77777777" w:rsidR="00B24A6E" w:rsidRPr="6FAE9D8D" w:rsidRDefault="00B24A6E" w:rsidP="00E53F1B">
            <w:pPr>
              <w:pStyle w:val="ListParagraph"/>
              <w:numPr>
                <w:ilvl w:val="1"/>
                <w:numId w:val="15"/>
              </w:numPr>
              <w:autoSpaceDE w:val="0"/>
              <w:autoSpaceDN w:val="0"/>
              <w:adjustRightInd w:val="0"/>
              <w:rPr>
                <w:rFonts w:ascii="Arial" w:eastAsia="Arial" w:hAnsi="Arial" w:cs="Arial"/>
                <w:b/>
                <w:bCs/>
                <w:color w:val="000000" w:themeColor="text1"/>
                <w:lang w:val="es-ES"/>
              </w:rPr>
            </w:pPr>
          </w:p>
        </w:tc>
        <w:tc>
          <w:tcPr>
            <w:tcW w:w="4222" w:type="dxa"/>
            <w:vMerge/>
            <w:shd w:val="clear" w:color="auto" w:fill="auto"/>
          </w:tcPr>
          <w:p w14:paraId="0F71F8F4" w14:textId="77777777" w:rsidR="00B24A6E" w:rsidRPr="008638E0" w:rsidRDefault="00B24A6E" w:rsidP="00E53F1B">
            <w:pPr>
              <w:autoSpaceDE w:val="0"/>
              <w:autoSpaceDN w:val="0"/>
              <w:adjustRightInd w:val="0"/>
              <w:jc w:val="both"/>
              <w:rPr>
                <w:rFonts w:ascii="Arial" w:eastAsia="Arial" w:hAnsi="Arial" w:cs="Arial"/>
                <w:color w:val="000000" w:themeColor="text1"/>
                <w:lang w:val="es-ES"/>
              </w:rPr>
            </w:pPr>
          </w:p>
        </w:tc>
        <w:tc>
          <w:tcPr>
            <w:tcW w:w="3690" w:type="dxa"/>
          </w:tcPr>
          <w:p w14:paraId="226862A3" w14:textId="77777777" w:rsidR="00B24A6E" w:rsidRDefault="00B24A6E" w:rsidP="00E53F1B">
            <w:pPr>
              <w:autoSpaceDE w:val="0"/>
              <w:autoSpaceDN w:val="0"/>
              <w:adjustRightInd w:val="0"/>
              <w:jc w:val="both"/>
              <w:rPr>
                <w:rStyle w:val="Hyperlink"/>
                <w:rFonts w:ascii="Arial" w:hAnsi="Arial" w:cs="Arial"/>
                <w:color w:val="000000" w:themeColor="text1"/>
                <w:u w:val="none"/>
                <w:lang w:val="es-ES_tradnl"/>
              </w:rPr>
            </w:pPr>
            <w:r>
              <w:rPr>
                <w:rStyle w:val="Hyperlink"/>
                <w:rFonts w:ascii="Arial" w:hAnsi="Arial" w:cs="Arial"/>
                <w:color w:val="000000" w:themeColor="text1"/>
                <w:u w:val="none"/>
                <w:lang w:val="es-ES_tradnl"/>
              </w:rPr>
              <w:t>Informe de ejecución presupuestaria del a</w:t>
            </w:r>
            <w:r w:rsidRPr="001A3B45">
              <w:rPr>
                <w:rStyle w:val="Hyperlink"/>
                <w:rFonts w:ascii="Arial" w:hAnsi="Arial" w:cs="Arial"/>
                <w:color w:val="000000" w:themeColor="text1"/>
                <w:u w:val="none"/>
                <w:lang w:val="es-ES_tradnl"/>
              </w:rPr>
              <w:t>ñ</w:t>
            </w:r>
            <w:r>
              <w:rPr>
                <w:rStyle w:val="Hyperlink"/>
                <w:rFonts w:ascii="Arial" w:hAnsi="Arial" w:cs="Arial"/>
                <w:color w:val="000000" w:themeColor="text1"/>
                <w:u w:val="none"/>
                <w:lang w:val="es-ES_tradnl"/>
              </w:rPr>
              <w:t xml:space="preserve">o anterior </w:t>
            </w:r>
            <w:r w:rsidRPr="001A3B45">
              <w:rPr>
                <w:rStyle w:val="Hyperlink"/>
                <w:rFonts w:ascii="Arial" w:hAnsi="Arial" w:cs="Arial"/>
                <w:color w:val="000000" w:themeColor="text1"/>
                <w:u w:val="none"/>
                <w:lang w:val="es-ES_tradnl"/>
              </w:rPr>
              <w:t>que muestra el presupuesto asignado al MEM para su funcionamiento.</w:t>
            </w:r>
          </w:p>
          <w:p w14:paraId="199CD152" w14:textId="77777777" w:rsidR="00B24A6E" w:rsidRPr="001A3B45" w:rsidRDefault="00B24A6E" w:rsidP="00E53F1B">
            <w:pPr>
              <w:autoSpaceDE w:val="0"/>
              <w:autoSpaceDN w:val="0"/>
              <w:adjustRightInd w:val="0"/>
              <w:jc w:val="both"/>
              <w:rPr>
                <w:rStyle w:val="Hyperlink"/>
                <w:rFonts w:ascii="Arial" w:hAnsi="Arial" w:cs="Arial"/>
                <w:color w:val="000000" w:themeColor="text1"/>
                <w:u w:val="none"/>
                <w:lang w:val="es-ES" w:eastAsia="es-CO"/>
              </w:rPr>
            </w:pPr>
          </w:p>
        </w:tc>
        <w:tc>
          <w:tcPr>
            <w:tcW w:w="3333" w:type="dxa"/>
            <w:shd w:val="clear" w:color="auto" w:fill="auto"/>
          </w:tcPr>
          <w:p w14:paraId="389F8DDE" w14:textId="22EE13A6" w:rsidR="00B24A6E" w:rsidRDefault="00B24A6E" w:rsidP="005C61D4">
            <w:pPr>
              <w:autoSpaceDE w:val="0"/>
              <w:autoSpaceDN w:val="0"/>
              <w:adjustRightInd w:val="0"/>
              <w:jc w:val="both"/>
              <w:rPr>
                <w:rFonts w:ascii="Arial" w:hAnsi="Arial" w:cs="Arial"/>
                <w:color w:val="000000" w:themeColor="text1"/>
                <w:lang w:val="es-ES"/>
              </w:rPr>
            </w:pPr>
            <w:r>
              <w:rPr>
                <w:rFonts w:ascii="Arial" w:eastAsia="Arial" w:hAnsi="Arial" w:cs="Arial"/>
                <w:color w:val="000000" w:themeColor="text1"/>
                <w:u w:val="single"/>
                <w:lang w:val="es-ES"/>
              </w:rPr>
              <w:t>Cumplido</w:t>
            </w:r>
          </w:p>
          <w:p w14:paraId="7DD7B9D3" w14:textId="4E334FAF" w:rsidR="00B24A6E" w:rsidRPr="001A3B45" w:rsidRDefault="00B24A6E" w:rsidP="005C61D4">
            <w:pPr>
              <w:autoSpaceDE w:val="0"/>
              <w:autoSpaceDN w:val="0"/>
              <w:adjustRightInd w:val="0"/>
              <w:jc w:val="both"/>
              <w:rPr>
                <w:rFonts w:ascii="Arial" w:hAnsi="Arial" w:cs="Arial"/>
                <w:color w:val="000000" w:themeColor="text1"/>
                <w:lang w:val="es-ES_tradnl"/>
              </w:rPr>
            </w:pPr>
            <w:r>
              <w:rPr>
                <w:rFonts w:ascii="Arial" w:eastAsia="Arial" w:hAnsi="Arial" w:cs="Arial"/>
                <w:color w:val="000000" w:themeColor="text1"/>
                <w:lang w:val="es-ES"/>
              </w:rPr>
              <w:t xml:space="preserve"> </w:t>
            </w:r>
          </w:p>
        </w:tc>
      </w:tr>
      <w:tr w:rsidR="00B24A6E" w:rsidRPr="00304CDA" w14:paraId="0FF1527E" w14:textId="77777777" w:rsidTr="00F23488">
        <w:trPr>
          <w:gridAfter w:val="1"/>
          <w:wAfter w:w="16" w:type="dxa"/>
          <w:trHeight w:val="656"/>
          <w:jc w:val="center"/>
        </w:trPr>
        <w:tc>
          <w:tcPr>
            <w:tcW w:w="1980" w:type="dxa"/>
            <w:vMerge w:val="restart"/>
            <w:shd w:val="clear" w:color="auto" w:fill="auto"/>
          </w:tcPr>
          <w:p w14:paraId="30C401CA" w14:textId="77777777" w:rsidR="00B24A6E" w:rsidRPr="001A3B45" w:rsidRDefault="00B24A6E" w:rsidP="00E53F1B">
            <w:pPr>
              <w:pStyle w:val="ListParagraph"/>
              <w:numPr>
                <w:ilvl w:val="1"/>
                <w:numId w:val="15"/>
              </w:numPr>
              <w:autoSpaceDE w:val="0"/>
              <w:autoSpaceDN w:val="0"/>
              <w:adjustRightInd w:val="0"/>
              <w:rPr>
                <w:rFonts w:ascii="Arial" w:eastAsia="Arial" w:hAnsi="Arial" w:cs="Arial"/>
                <w:b/>
                <w:bCs/>
                <w:color w:val="000000" w:themeColor="text1"/>
                <w:lang w:val="es-ES"/>
              </w:rPr>
            </w:pPr>
            <w:r w:rsidRPr="6FAE9D8D">
              <w:rPr>
                <w:rFonts w:ascii="Arial" w:eastAsia="Arial" w:hAnsi="Arial" w:cs="Arial"/>
                <w:b/>
                <w:bCs/>
                <w:color w:val="000000" w:themeColor="text1"/>
                <w:lang w:val="es-ES"/>
              </w:rPr>
              <w:lastRenderedPageBreak/>
              <w:t>Fortalecer la capacidad institucional para desarrollar la electrificación rural en el país.</w:t>
            </w:r>
          </w:p>
        </w:tc>
        <w:tc>
          <w:tcPr>
            <w:tcW w:w="4222" w:type="dxa"/>
            <w:vMerge w:val="restart"/>
            <w:shd w:val="clear" w:color="auto" w:fill="auto"/>
          </w:tcPr>
          <w:p w14:paraId="6A85745A" w14:textId="2184DA32" w:rsidR="00B24A6E" w:rsidRPr="001A3B45" w:rsidRDefault="00B24A6E" w:rsidP="00E53F1B">
            <w:pPr>
              <w:pStyle w:val="ListParagraph"/>
              <w:ind w:left="0" w:right="120"/>
              <w:contextualSpacing/>
              <w:jc w:val="both"/>
              <w:rPr>
                <w:rFonts w:ascii="Arial" w:eastAsia="Arial" w:hAnsi="Arial" w:cs="Arial"/>
                <w:color w:val="000000" w:themeColor="text1"/>
                <w:highlight w:val="yellow"/>
                <w:lang w:val="es-ES"/>
              </w:rPr>
            </w:pPr>
            <w:bookmarkStart w:id="3" w:name="_Hlk509130461"/>
            <w:r w:rsidRPr="008158BC">
              <w:rPr>
                <w:rFonts w:ascii="Arial" w:eastAsia="Arial" w:hAnsi="Arial" w:cs="Arial"/>
                <w:color w:val="000000" w:themeColor="text1"/>
                <w:lang w:val="es-ES"/>
              </w:rPr>
              <w:t xml:space="preserve">Que el MEM haya fortalecido su capacidad para ejercer la función de desarrollo de la electrificación rural y suburbana, </w:t>
            </w:r>
            <w:r w:rsidRPr="00285C46">
              <w:rPr>
                <w:rFonts w:ascii="Arial" w:eastAsia="Arial" w:hAnsi="Arial" w:cs="Arial"/>
                <w:color w:val="000000" w:themeColor="text1"/>
                <w:lang w:val="es-ES"/>
              </w:rPr>
              <w:t xml:space="preserve">mediante la elaboración de un </w:t>
            </w:r>
            <w:r w:rsidRPr="00285C46">
              <w:rPr>
                <w:rStyle w:val="Hyperlink"/>
                <w:rFonts w:ascii="Arial" w:hAnsi="Arial" w:cs="Arial"/>
                <w:color w:val="000000" w:themeColor="text1"/>
                <w:u w:val="none"/>
                <w:lang w:val="es-ES" w:eastAsia="es-CO"/>
              </w:rPr>
              <w:t>plan operativo bianual.</w:t>
            </w:r>
            <w:r w:rsidRPr="008158BC">
              <w:rPr>
                <w:rFonts w:ascii="Arial" w:eastAsia="Arial" w:hAnsi="Arial" w:cs="Arial"/>
                <w:color w:val="000000" w:themeColor="text1"/>
                <w:lang w:val="es-ES"/>
              </w:rPr>
              <w:t xml:space="preserve"> </w:t>
            </w:r>
            <w:r w:rsidRPr="6FAE9D8D">
              <w:rPr>
                <w:rFonts w:ascii="Arial" w:eastAsia="Arial" w:hAnsi="Arial" w:cs="Arial"/>
                <w:color w:val="000000" w:themeColor="text1"/>
                <w:lang w:val="es-ES"/>
              </w:rPr>
              <w:t xml:space="preserve"> </w:t>
            </w:r>
            <w:bookmarkEnd w:id="3"/>
          </w:p>
        </w:tc>
        <w:tc>
          <w:tcPr>
            <w:tcW w:w="3690" w:type="dxa"/>
          </w:tcPr>
          <w:p w14:paraId="1CCD95F6" w14:textId="77777777" w:rsidR="00B24A6E" w:rsidRPr="001A3B45" w:rsidRDefault="00B24A6E" w:rsidP="00EC05DA">
            <w:pPr>
              <w:autoSpaceDE w:val="0"/>
              <w:autoSpaceDN w:val="0"/>
              <w:adjustRightInd w:val="0"/>
              <w:jc w:val="both"/>
              <w:rPr>
                <w:rStyle w:val="Hyperlink"/>
                <w:rFonts w:ascii="Arial" w:hAnsi="Arial" w:cs="Arial"/>
                <w:color w:val="000000" w:themeColor="text1"/>
                <w:u w:val="none"/>
                <w:lang w:val="es-ES" w:eastAsia="es-CO"/>
              </w:rPr>
            </w:pPr>
            <w:r w:rsidRPr="001A3B45">
              <w:rPr>
                <w:rStyle w:val="Hyperlink"/>
                <w:rFonts w:ascii="Arial" w:hAnsi="Arial" w:cs="Arial"/>
                <w:color w:val="000000" w:themeColor="text1"/>
                <w:u w:val="none"/>
                <w:lang w:val="es-ES" w:eastAsia="es-CO"/>
              </w:rPr>
              <w:t>Ley de creación del MEM y Ley 142-13.</w:t>
            </w:r>
          </w:p>
        </w:tc>
        <w:tc>
          <w:tcPr>
            <w:tcW w:w="3333" w:type="dxa"/>
            <w:shd w:val="clear" w:color="auto" w:fill="auto"/>
          </w:tcPr>
          <w:p w14:paraId="68834B6C" w14:textId="19E9D4E2" w:rsidR="00B24A6E" w:rsidRPr="001A3B45" w:rsidRDefault="00B24A6E" w:rsidP="001C3A6B">
            <w:pPr>
              <w:autoSpaceDE w:val="0"/>
              <w:autoSpaceDN w:val="0"/>
              <w:adjustRightInd w:val="0"/>
              <w:jc w:val="both"/>
              <w:rPr>
                <w:rFonts w:ascii="Arial" w:hAnsi="Arial" w:cs="Arial"/>
                <w:color w:val="000000" w:themeColor="text1"/>
                <w:lang w:val="es-ES"/>
              </w:rPr>
            </w:pPr>
            <w:r w:rsidRPr="001B3211">
              <w:rPr>
                <w:rFonts w:ascii="Arial" w:eastAsia="Arial" w:hAnsi="Arial" w:cs="Arial"/>
                <w:color w:val="000000" w:themeColor="text1"/>
                <w:u w:val="single"/>
                <w:lang w:val="es-ES"/>
              </w:rPr>
              <w:t>Cumplido</w:t>
            </w:r>
          </w:p>
        </w:tc>
      </w:tr>
      <w:tr w:rsidR="00B24A6E" w:rsidRPr="00304CDA" w14:paraId="754B8434" w14:textId="77777777" w:rsidTr="00F23488">
        <w:trPr>
          <w:gridAfter w:val="1"/>
          <w:wAfter w:w="16" w:type="dxa"/>
          <w:trHeight w:val="1340"/>
          <w:jc w:val="center"/>
        </w:trPr>
        <w:tc>
          <w:tcPr>
            <w:tcW w:w="1980" w:type="dxa"/>
            <w:vMerge/>
            <w:shd w:val="clear" w:color="auto" w:fill="auto"/>
          </w:tcPr>
          <w:p w14:paraId="37F66099" w14:textId="77777777" w:rsidR="00B24A6E" w:rsidRPr="6FAE9D8D" w:rsidRDefault="00B24A6E" w:rsidP="00E53F1B">
            <w:pPr>
              <w:pStyle w:val="ListParagraph"/>
              <w:numPr>
                <w:ilvl w:val="1"/>
                <w:numId w:val="15"/>
              </w:numPr>
              <w:autoSpaceDE w:val="0"/>
              <w:autoSpaceDN w:val="0"/>
              <w:adjustRightInd w:val="0"/>
              <w:rPr>
                <w:rFonts w:ascii="Arial" w:eastAsia="Arial" w:hAnsi="Arial" w:cs="Arial"/>
                <w:b/>
                <w:bCs/>
                <w:color w:val="000000" w:themeColor="text1"/>
                <w:lang w:val="es-ES"/>
              </w:rPr>
            </w:pPr>
          </w:p>
        </w:tc>
        <w:tc>
          <w:tcPr>
            <w:tcW w:w="4222" w:type="dxa"/>
            <w:vMerge/>
            <w:shd w:val="clear" w:color="auto" w:fill="auto"/>
          </w:tcPr>
          <w:p w14:paraId="01E4A999" w14:textId="77777777" w:rsidR="00B24A6E" w:rsidRPr="008158BC" w:rsidRDefault="00B24A6E" w:rsidP="00E53F1B">
            <w:pPr>
              <w:pStyle w:val="ListParagraph"/>
              <w:ind w:left="0" w:right="120"/>
              <w:contextualSpacing/>
              <w:jc w:val="both"/>
              <w:rPr>
                <w:rFonts w:ascii="Arial" w:eastAsia="Arial" w:hAnsi="Arial" w:cs="Arial"/>
                <w:color w:val="000000" w:themeColor="text1"/>
                <w:lang w:val="es-ES"/>
              </w:rPr>
            </w:pPr>
          </w:p>
        </w:tc>
        <w:tc>
          <w:tcPr>
            <w:tcW w:w="3690" w:type="dxa"/>
          </w:tcPr>
          <w:p w14:paraId="3C4B0828" w14:textId="77777777" w:rsidR="00B24A6E" w:rsidRPr="001A3B45" w:rsidRDefault="00B24A6E" w:rsidP="00EC05DA">
            <w:pPr>
              <w:autoSpaceDE w:val="0"/>
              <w:autoSpaceDN w:val="0"/>
              <w:adjustRightInd w:val="0"/>
              <w:jc w:val="both"/>
              <w:rPr>
                <w:rStyle w:val="Hyperlink"/>
                <w:rFonts w:ascii="Arial" w:hAnsi="Arial" w:cs="Arial"/>
                <w:color w:val="000000" w:themeColor="text1"/>
                <w:u w:val="none"/>
                <w:lang w:val="es-ES" w:eastAsia="es-CO"/>
              </w:rPr>
            </w:pPr>
            <w:r w:rsidRPr="001A3B45">
              <w:rPr>
                <w:rStyle w:val="Hyperlink"/>
                <w:rFonts w:ascii="Arial" w:hAnsi="Arial" w:cs="Arial"/>
                <w:color w:val="000000" w:themeColor="text1"/>
                <w:u w:val="none"/>
                <w:lang w:val="es-ES" w:eastAsia="es-CO"/>
              </w:rPr>
              <w:t>Plan operativo bianual para el ejercicio de la función de electrificación rural</w:t>
            </w:r>
            <w:r>
              <w:rPr>
                <w:rStyle w:val="Hyperlink"/>
                <w:rFonts w:ascii="Arial" w:hAnsi="Arial" w:cs="Arial"/>
                <w:color w:val="000000" w:themeColor="text1"/>
                <w:u w:val="none"/>
                <w:lang w:val="es-ES" w:eastAsia="es-CO"/>
              </w:rPr>
              <w:t>,</w:t>
            </w:r>
            <w:r w:rsidRPr="001A3B45">
              <w:rPr>
                <w:rStyle w:val="Hyperlink"/>
                <w:rFonts w:ascii="Arial" w:hAnsi="Arial" w:cs="Arial"/>
                <w:color w:val="000000" w:themeColor="text1"/>
                <w:u w:val="none"/>
                <w:lang w:val="es-ES" w:eastAsia="es-CO"/>
              </w:rPr>
              <w:t xml:space="preserve"> aprobado.</w:t>
            </w:r>
          </w:p>
          <w:p w14:paraId="2584BB81" w14:textId="77777777" w:rsidR="00B24A6E" w:rsidRPr="001A3B45" w:rsidRDefault="00B24A6E" w:rsidP="00E53F1B">
            <w:pPr>
              <w:autoSpaceDE w:val="0"/>
              <w:autoSpaceDN w:val="0"/>
              <w:adjustRightInd w:val="0"/>
              <w:jc w:val="both"/>
              <w:rPr>
                <w:rStyle w:val="Hyperlink"/>
                <w:rFonts w:ascii="Arial" w:hAnsi="Arial" w:cs="Arial"/>
                <w:color w:val="000000" w:themeColor="text1"/>
                <w:u w:val="none"/>
                <w:lang w:val="es-ES" w:eastAsia="es-CO"/>
              </w:rPr>
            </w:pPr>
          </w:p>
        </w:tc>
        <w:tc>
          <w:tcPr>
            <w:tcW w:w="3333" w:type="dxa"/>
            <w:shd w:val="clear" w:color="auto" w:fill="auto"/>
          </w:tcPr>
          <w:p w14:paraId="32884FDE" w14:textId="6D45F1E8" w:rsidR="00B24A6E" w:rsidRPr="00AA0A36" w:rsidRDefault="00B24A6E" w:rsidP="00E53F1B">
            <w:pPr>
              <w:autoSpaceDE w:val="0"/>
              <w:autoSpaceDN w:val="0"/>
              <w:adjustRightInd w:val="0"/>
              <w:jc w:val="both"/>
              <w:rPr>
                <w:rFonts w:ascii="Arial" w:eastAsia="Arial" w:hAnsi="Arial" w:cs="Arial"/>
                <w:color w:val="000000" w:themeColor="text1"/>
                <w:lang w:val="es-ES"/>
              </w:rPr>
            </w:pPr>
            <w:r>
              <w:rPr>
                <w:rFonts w:ascii="Arial" w:eastAsia="Arial" w:hAnsi="Arial" w:cs="Arial"/>
                <w:color w:val="000000" w:themeColor="text1"/>
                <w:u w:val="single"/>
                <w:lang w:val="es-ES"/>
              </w:rPr>
              <w:t>Cumplido</w:t>
            </w:r>
            <w:r w:rsidR="001C3A6B" w:rsidRPr="00AA0A36">
              <w:rPr>
                <w:rFonts w:ascii="Arial" w:eastAsia="Arial" w:hAnsi="Arial" w:cs="Arial"/>
                <w:color w:val="000000" w:themeColor="text1"/>
                <w:lang w:val="es-ES"/>
              </w:rPr>
              <w:t xml:space="preserve"> </w:t>
            </w:r>
          </w:p>
          <w:p w14:paraId="326CD4C9" w14:textId="77777777" w:rsidR="00B24A6E" w:rsidRDefault="00B24A6E" w:rsidP="00E53F1B">
            <w:pPr>
              <w:autoSpaceDE w:val="0"/>
              <w:autoSpaceDN w:val="0"/>
              <w:adjustRightInd w:val="0"/>
              <w:jc w:val="both"/>
              <w:rPr>
                <w:rFonts w:ascii="Arial" w:hAnsi="Arial" w:cs="Arial"/>
                <w:color w:val="000000" w:themeColor="text1"/>
                <w:lang w:val="es-ES"/>
              </w:rPr>
            </w:pPr>
          </w:p>
          <w:p w14:paraId="142BF465" w14:textId="77777777" w:rsidR="00B24A6E" w:rsidRPr="001A3B45" w:rsidRDefault="00B24A6E" w:rsidP="00E53F1B">
            <w:pPr>
              <w:autoSpaceDE w:val="0"/>
              <w:autoSpaceDN w:val="0"/>
              <w:adjustRightInd w:val="0"/>
              <w:jc w:val="both"/>
              <w:rPr>
                <w:rFonts w:ascii="Arial" w:hAnsi="Arial" w:cs="Arial"/>
                <w:color w:val="000000" w:themeColor="text1"/>
                <w:lang w:val="es-ES"/>
              </w:rPr>
            </w:pPr>
          </w:p>
        </w:tc>
      </w:tr>
      <w:tr w:rsidR="00495657" w:rsidRPr="00250DF4" w14:paraId="5D39A4FC" w14:textId="77777777" w:rsidTr="00F23488">
        <w:trPr>
          <w:trHeight w:val="322"/>
          <w:jc w:val="center"/>
        </w:trPr>
        <w:tc>
          <w:tcPr>
            <w:tcW w:w="13241" w:type="dxa"/>
            <w:gridSpan w:val="5"/>
            <w:shd w:val="clear" w:color="auto" w:fill="B4C6E7" w:themeFill="accent1" w:themeFillTint="66"/>
          </w:tcPr>
          <w:p w14:paraId="6D1BC3F6" w14:textId="77777777" w:rsidR="00495657" w:rsidRPr="001A3B45" w:rsidRDefault="00495657" w:rsidP="00E53F1B">
            <w:pPr>
              <w:pBdr>
                <w:top w:val="single" w:sz="4" w:space="1" w:color="auto"/>
                <w:right w:val="single" w:sz="4" w:space="4" w:color="auto"/>
              </w:pBdr>
              <w:autoSpaceDE w:val="0"/>
              <w:autoSpaceDN w:val="0"/>
              <w:adjustRightInd w:val="0"/>
              <w:rPr>
                <w:rFonts w:ascii="Arial" w:eastAsia="Arial" w:hAnsi="Arial" w:cs="Arial"/>
                <w:b/>
                <w:bCs/>
                <w:color w:val="000000" w:themeColor="text1"/>
                <w:lang w:val="es-ES"/>
              </w:rPr>
            </w:pPr>
            <w:r w:rsidRPr="6FAE9D8D">
              <w:rPr>
                <w:rFonts w:ascii="Arial" w:eastAsia="Arial" w:hAnsi="Arial" w:cs="Arial"/>
                <w:b/>
                <w:bCs/>
                <w:color w:val="000000" w:themeColor="text1"/>
                <w:lang w:val="es-ES"/>
              </w:rPr>
              <w:t xml:space="preserve">Componente 2. </w:t>
            </w:r>
            <w:r w:rsidRPr="005471A9">
              <w:rPr>
                <w:rFonts w:ascii="Arial" w:eastAsia="Arial" w:hAnsi="Arial" w:cs="Arial"/>
                <w:b/>
                <w:bCs/>
                <w:color w:val="000000" w:themeColor="text1"/>
                <w:lang w:val="es-ES"/>
              </w:rPr>
              <w:t>FORTALECIMIENTO DEL PLANEAMIENTO SECTORIAL Y LA CONSOLIDACIÓN DEL MARCO REGULATORIO</w:t>
            </w:r>
          </w:p>
        </w:tc>
      </w:tr>
      <w:tr w:rsidR="00B24A6E" w:rsidRPr="00304CDA" w14:paraId="1E0EF2E1" w14:textId="77777777" w:rsidTr="00F23488">
        <w:trPr>
          <w:gridAfter w:val="1"/>
          <w:wAfter w:w="16" w:type="dxa"/>
          <w:trHeight w:val="528"/>
          <w:jc w:val="center"/>
        </w:trPr>
        <w:tc>
          <w:tcPr>
            <w:tcW w:w="1980" w:type="dxa"/>
            <w:vMerge w:val="restart"/>
            <w:shd w:val="clear" w:color="auto" w:fill="auto"/>
          </w:tcPr>
          <w:p w14:paraId="077B31B0" w14:textId="1AA48E0C" w:rsidR="00B24A6E" w:rsidRPr="001A3B45" w:rsidRDefault="00B24A6E" w:rsidP="00F101E5">
            <w:pPr>
              <w:pStyle w:val="ListParagraph"/>
              <w:numPr>
                <w:ilvl w:val="1"/>
                <w:numId w:val="16"/>
              </w:numPr>
              <w:autoSpaceDE w:val="0"/>
              <w:autoSpaceDN w:val="0"/>
              <w:adjustRightInd w:val="0"/>
              <w:rPr>
                <w:rFonts w:ascii="Arial" w:eastAsia="Arial" w:hAnsi="Arial" w:cs="Arial"/>
                <w:b/>
                <w:bCs/>
                <w:color w:val="000000" w:themeColor="text1"/>
                <w:lang w:val="es-ES"/>
              </w:rPr>
            </w:pPr>
            <w:bookmarkStart w:id="4" w:name="_Hlk509130685"/>
            <w:r w:rsidRPr="6FAE9D8D">
              <w:rPr>
                <w:rFonts w:ascii="Arial" w:eastAsia="Arial" w:hAnsi="Arial" w:cs="Arial"/>
                <w:b/>
                <w:bCs/>
                <w:color w:val="000000" w:themeColor="text1"/>
                <w:lang w:val="es-ES"/>
              </w:rPr>
              <w:t>Asegurar la expansión eficiente de los sistemas de generación y transmisión eléctricos.</w:t>
            </w:r>
            <w:bookmarkEnd w:id="4"/>
          </w:p>
        </w:tc>
        <w:tc>
          <w:tcPr>
            <w:tcW w:w="4222" w:type="dxa"/>
            <w:shd w:val="clear" w:color="auto" w:fill="auto"/>
          </w:tcPr>
          <w:p w14:paraId="1C2DF41F" w14:textId="20D8A134" w:rsidR="00B24A6E" w:rsidRPr="0063254B" w:rsidRDefault="00B24A6E" w:rsidP="00F101E5">
            <w:pPr>
              <w:autoSpaceDE w:val="0"/>
              <w:autoSpaceDN w:val="0"/>
              <w:adjustRightInd w:val="0"/>
              <w:jc w:val="both"/>
              <w:rPr>
                <w:rFonts w:ascii="Arial" w:eastAsia="Arial" w:hAnsi="Arial" w:cs="Arial"/>
                <w:color w:val="000000" w:themeColor="text1"/>
                <w:lang w:val="es-ES"/>
              </w:rPr>
            </w:pPr>
            <w:r w:rsidRPr="0063254B">
              <w:rPr>
                <w:rFonts w:ascii="Arial" w:eastAsia="Arial" w:hAnsi="Arial" w:cs="Arial"/>
                <w:color w:val="000000" w:themeColor="text1"/>
                <w:lang w:val="es-ES"/>
              </w:rPr>
              <w:t>Que la</w:t>
            </w:r>
            <w:r>
              <w:rPr>
                <w:rFonts w:ascii="Arial" w:eastAsia="Arial" w:hAnsi="Arial" w:cs="Arial"/>
                <w:color w:val="000000" w:themeColor="text1"/>
                <w:lang w:val="es-ES"/>
              </w:rPr>
              <w:t xml:space="preserve">s EDE </w:t>
            </w:r>
            <w:r w:rsidRPr="0063254B">
              <w:rPr>
                <w:rFonts w:ascii="Arial" w:eastAsia="Arial" w:hAnsi="Arial" w:cs="Arial"/>
                <w:color w:val="000000" w:themeColor="text1"/>
                <w:lang w:val="es-ES"/>
              </w:rPr>
              <w:t>haya</w:t>
            </w:r>
            <w:r>
              <w:rPr>
                <w:rFonts w:ascii="Arial" w:eastAsia="Arial" w:hAnsi="Arial" w:cs="Arial"/>
                <w:color w:val="000000" w:themeColor="text1"/>
                <w:lang w:val="es-ES"/>
              </w:rPr>
              <w:t>n</w:t>
            </w:r>
            <w:r w:rsidRPr="0063254B">
              <w:rPr>
                <w:rFonts w:ascii="Arial" w:eastAsia="Arial" w:hAnsi="Arial" w:cs="Arial"/>
                <w:color w:val="000000" w:themeColor="text1"/>
                <w:lang w:val="es-ES"/>
              </w:rPr>
              <w:t xml:space="preserve"> realizado la contratación de la expansión de generación y, que la </w:t>
            </w:r>
            <w:r w:rsidRPr="002B39FC">
              <w:rPr>
                <w:rFonts w:ascii="Arial" w:eastAsia="Arial" w:hAnsi="Arial" w:cs="Arial"/>
                <w:color w:val="000000" w:themeColor="text1"/>
                <w:lang w:val="es-ES"/>
              </w:rPr>
              <w:t>Empresa de Transmisión Eléctrica Dominicana (ETED)</w:t>
            </w:r>
            <w:r>
              <w:rPr>
                <w:rFonts w:ascii="Arial" w:eastAsia="Arial" w:hAnsi="Arial" w:cs="Arial"/>
                <w:color w:val="000000" w:themeColor="text1"/>
                <w:lang w:val="es-ES"/>
              </w:rPr>
              <w:t xml:space="preserve"> </w:t>
            </w:r>
            <w:r w:rsidRPr="0063254B">
              <w:rPr>
                <w:rFonts w:ascii="Arial" w:eastAsia="Arial" w:hAnsi="Arial" w:cs="Arial"/>
                <w:color w:val="000000" w:themeColor="text1"/>
                <w:lang w:val="es-ES"/>
              </w:rPr>
              <w:t>haya contratado los nuevos proyectos de transmisión, de forma consistente con el Plan Indicativo de Expansión de la Generación y la Transmisión 2011-2025, aprobado por la CNE.</w:t>
            </w:r>
          </w:p>
          <w:p w14:paraId="29FB122B" w14:textId="77777777" w:rsidR="00B24A6E" w:rsidRPr="0063254B" w:rsidRDefault="00B24A6E" w:rsidP="00F101E5">
            <w:pPr>
              <w:autoSpaceDE w:val="0"/>
              <w:autoSpaceDN w:val="0"/>
              <w:adjustRightInd w:val="0"/>
              <w:jc w:val="both"/>
              <w:rPr>
                <w:rFonts w:ascii="Arial" w:hAnsi="Arial" w:cs="Arial"/>
                <w:color w:val="000000" w:themeColor="text1"/>
                <w:lang w:val="es-ES_tradnl"/>
              </w:rPr>
            </w:pPr>
          </w:p>
        </w:tc>
        <w:tc>
          <w:tcPr>
            <w:tcW w:w="3690" w:type="dxa"/>
          </w:tcPr>
          <w:p w14:paraId="1FF4CB59" w14:textId="3E17D3F4" w:rsidR="00B24A6E" w:rsidRPr="001A3B45" w:rsidRDefault="00B24A6E" w:rsidP="00F101E5">
            <w:pPr>
              <w:autoSpaceDE w:val="0"/>
              <w:autoSpaceDN w:val="0"/>
              <w:adjustRightInd w:val="0"/>
              <w:jc w:val="both"/>
              <w:rPr>
                <w:rFonts w:ascii="Arial" w:hAnsi="Arial" w:cs="Arial"/>
                <w:color w:val="000000" w:themeColor="text1"/>
                <w:lang w:val="es-ES_tradnl"/>
              </w:rPr>
            </w:pPr>
            <w:r w:rsidRPr="001A3B45">
              <w:rPr>
                <w:rFonts w:ascii="Arial" w:hAnsi="Arial" w:cs="Arial"/>
                <w:color w:val="000000" w:themeColor="text1"/>
                <w:lang w:val="es-ES_tradnl"/>
              </w:rPr>
              <w:t>Informe de</w:t>
            </w:r>
            <w:r>
              <w:rPr>
                <w:rFonts w:ascii="Arial" w:hAnsi="Arial" w:cs="Arial"/>
                <w:color w:val="000000" w:themeColor="text1"/>
                <w:lang w:val="es-ES_tradnl"/>
              </w:rPr>
              <w:t xml:space="preserve"> CNE/MEM</w:t>
            </w:r>
            <w:r w:rsidRPr="001A3B45">
              <w:rPr>
                <w:rFonts w:ascii="Arial" w:hAnsi="Arial" w:cs="Arial"/>
                <w:color w:val="000000" w:themeColor="text1"/>
                <w:lang w:val="es-ES_tradnl"/>
              </w:rPr>
              <w:t xml:space="preserve"> indicando que toda la contratación de generación y proyectos de transmisión realizados del 2011 a la fecha</w:t>
            </w:r>
            <w:r>
              <w:rPr>
                <w:rFonts w:ascii="Arial" w:hAnsi="Arial" w:cs="Arial"/>
                <w:color w:val="000000" w:themeColor="text1"/>
                <w:lang w:val="es-ES_tradnl"/>
              </w:rPr>
              <w:t xml:space="preserve"> del desembolso (Julio 2018)</w:t>
            </w:r>
            <w:r w:rsidRPr="001A3B45">
              <w:rPr>
                <w:rFonts w:ascii="Arial" w:hAnsi="Arial" w:cs="Arial"/>
                <w:color w:val="000000" w:themeColor="text1"/>
                <w:lang w:val="es-ES_tradnl"/>
              </w:rPr>
              <w:t>, se han hecho en consistencia con el Plan Indicativo de Expansión de la Generación y la Transmisión 2011-2025.</w:t>
            </w:r>
          </w:p>
          <w:p w14:paraId="0D29D300" w14:textId="77777777" w:rsidR="00B24A6E" w:rsidRPr="001A3B45" w:rsidRDefault="00B24A6E" w:rsidP="00F101E5">
            <w:pPr>
              <w:autoSpaceDE w:val="0"/>
              <w:autoSpaceDN w:val="0"/>
              <w:adjustRightInd w:val="0"/>
              <w:jc w:val="both"/>
              <w:rPr>
                <w:rFonts w:ascii="Arial" w:hAnsi="Arial" w:cs="Arial"/>
                <w:color w:val="000000" w:themeColor="text1"/>
                <w:lang w:val="es-ES_tradnl"/>
              </w:rPr>
            </w:pPr>
          </w:p>
        </w:tc>
        <w:tc>
          <w:tcPr>
            <w:tcW w:w="3333" w:type="dxa"/>
            <w:shd w:val="clear" w:color="auto" w:fill="auto"/>
          </w:tcPr>
          <w:p w14:paraId="34077B38" w14:textId="3E185DF6" w:rsidR="00B24A6E" w:rsidRPr="00E84BF2" w:rsidRDefault="00B24A6E" w:rsidP="001C3A6B">
            <w:pPr>
              <w:autoSpaceDE w:val="0"/>
              <w:autoSpaceDN w:val="0"/>
              <w:adjustRightInd w:val="0"/>
              <w:jc w:val="both"/>
              <w:rPr>
                <w:rFonts w:ascii="Arial" w:hAnsi="Arial" w:cs="Arial"/>
                <w:color w:val="000000" w:themeColor="text1"/>
                <w:lang w:val="es-ES"/>
              </w:rPr>
            </w:pPr>
            <w:r>
              <w:rPr>
                <w:rFonts w:ascii="Arial" w:eastAsia="Arial" w:hAnsi="Arial" w:cs="Arial"/>
                <w:color w:val="000000" w:themeColor="text1"/>
                <w:u w:val="single"/>
                <w:lang w:val="es-ES"/>
              </w:rPr>
              <w:t>Cumplido</w:t>
            </w:r>
          </w:p>
        </w:tc>
      </w:tr>
      <w:tr w:rsidR="00B24A6E" w:rsidRPr="00304CDA" w14:paraId="2023EB98" w14:textId="77777777" w:rsidTr="00F23488">
        <w:trPr>
          <w:gridAfter w:val="1"/>
          <w:wAfter w:w="16" w:type="dxa"/>
          <w:trHeight w:val="1238"/>
          <w:jc w:val="center"/>
        </w:trPr>
        <w:tc>
          <w:tcPr>
            <w:tcW w:w="1980" w:type="dxa"/>
            <w:vMerge/>
            <w:shd w:val="clear" w:color="auto" w:fill="auto"/>
          </w:tcPr>
          <w:p w14:paraId="3E886BEB" w14:textId="77777777" w:rsidR="00B24A6E" w:rsidRPr="001A3B45" w:rsidRDefault="00B24A6E" w:rsidP="00F101E5">
            <w:pPr>
              <w:pStyle w:val="ListParagraph"/>
              <w:numPr>
                <w:ilvl w:val="1"/>
                <w:numId w:val="16"/>
              </w:numPr>
              <w:autoSpaceDE w:val="0"/>
              <w:autoSpaceDN w:val="0"/>
              <w:adjustRightInd w:val="0"/>
              <w:rPr>
                <w:rFonts w:ascii="Arial" w:hAnsi="Arial" w:cs="Arial"/>
                <w:b/>
                <w:bCs/>
                <w:color w:val="000000" w:themeColor="text1"/>
                <w:lang w:val="es-ES_tradnl"/>
              </w:rPr>
            </w:pPr>
          </w:p>
        </w:tc>
        <w:tc>
          <w:tcPr>
            <w:tcW w:w="4222" w:type="dxa"/>
            <w:vMerge w:val="restart"/>
            <w:shd w:val="clear" w:color="auto" w:fill="auto"/>
          </w:tcPr>
          <w:p w14:paraId="1C252B14" w14:textId="1B4AD93C" w:rsidR="00B24A6E" w:rsidRPr="00F1746C" w:rsidRDefault="00B24A6E" w:rsidP="00AA694A">
            <w:pPr>
              <w:autoSpaceDE w:val="0"/>
              <w:autoSpaceDN w:val="0"/>
              <w:adjustRightInd w:val="0"/>
              <w:jc w:val="both"/>
              <w:rPr>
                <w:rFonts w:ascii="Arial" w:eastAsia="Arial" w:hAnsi="Arial" w:cs="Arial"/>
                <w:color w:val="000000" w:themeColor="text1"/>
                <w:lang w:val="es-ES"/>
              </w:rPr>
            </w:pPr>
            <w:bookmarkStart w:id="5" w:name="_Hlk509130793"/>
            <w:r w:rsidRPr="00F1746C">
              <w:rPr>
                <w:rFonts w:ascii="Arial" w:eastAsia="Arial" w:hAnsi="Arial" w:cs="Arial"/>
                <w:color w:val="000000" w:themeColor="text1"/>
                <w:lang w:val="es-ES"/>
              </w:rPr>
              <w:t xml:space="preserve">Que </w:t>
            </w:r>
            <w:r>
              <w:rPr>
                <w:rFonts w:ascii="Arial" w:eastAsia="Arial" w:hAnsi="Arial" w:cs="Arial"/>
                <w:color w:val="000000" w:themeColor="text1"/>
                <w:lang w:val="es-ES"/>
              </w:rPr>
              <w:t>en el marco de la actualización del P</w:t>
            </w:r>
            <w:r w:rsidRPr="00F1746C">
              <w:rPr>
                <w:rFonts w:ascii="Arial" w:eastAsia="Arial" w:hAnsi="Arial" w:cs="Arial"/>
                <w:color w:val="000000" w:themeColor="text1"/>
                <w:lang w:val="es-ES"/>
              </w:rPr>
              <w:t xml:space="preserve">lan </w:t>
            </w:r>
            <w:r>
              <w:rPr>
                <w:rFonts w:ascii="Arial" w:eastAsia="Arial" w:hAnsi="Arial" w:cs="Arial"/>
                <w:color w:val="000000" w:themeColor="text1"/>
                <w:lang w:val="es-ES"/>
              </w:rPr>
              <w:t>I</w:t>
            </w:r>
            <w:r w:rsidRPr="00F1746C">
              <w:rPr>
                <w:rFonts w:ascii="Arial" w:eastAsia="Arial" w:hAnsi="Arial" w:cs="Arial"/>
                <w:color w:val="000000" w:themeColor="text1"/>
                <w:lang w:val="es-ES"/>
              </w:rPr>
              <w:t xml:space="preserve">ndicativo de </w:t>
            </w:r>
            <w:r>
              <w:rPr>
                <w:rFonts w:ascii="Arial" w:eastAsia="Arial" w:hAnsi="Arial" w:cs="Arial"/>
                <w:color w:val="000000" w:themeColor="text1"/>
                <w:lang w:val="es-ES"/>
              </w:rPr>
              <w:t>E</w:t>
            </w:r>
            <w:r w:rsidRPr="00F1746C">
              <w:rPr>
                <w:rFonts w:ascii="Arial" w:eastAsia="Arial" w:hAnsi="Arial" w:cs="Arial"/>
                <w:color w:val="000000" w:themeColor="text1"/>
                <w:lang w:val="es-ES"/>
              </w:rPr>
              <w:t xml:space="preserve">xpansión de </w:t>
            </w:r>
            <w:r>
              <w:rPr>
                <w:rFonts w:ascii="Arial" w:eastAsia="Arial" w:hAnsi="Arial" w:cs="Arial"/>
                <w:color w:val="000000" w:themeColor="text1"/>
                <w:lang w:val="es-ES"/>
              </w:rPr>
              <w:t>G</w:t>
            </w:r>
            <w:r w:rsidRPr="00F1746C">
              <w:rPr>
                <w:rFonts w:ascii="Arial" w:eastAsia="Arial" w:hAnsi="Arial" w:cs="Arial"/>
                <w:color w:val="000000" w:themeColor="text1"/>
                <w:lang w:val="es-ES"/>
              </w:rPr>
              <w:t xml:space="preserve">eneración y </w:t>
            </w:r>
            <w:r>
              <w:rPr>
                <w:rFonts w:ascii="Arial" w:eastAsia="Arial" w:hAnsi="Arial" w:cs="Arial"/>
                <w:color w:val="000000" w:themeColor="text1"/>
                <w:lang w:val="es-ES"/>
              </w:rPr>
              <w:t>T</w:t>
            </w:r>
            <w:r w:rsidRPr="00F1746C">
              <w:rPr>
                <w:rFonts w:ascii="Arial" w:eastAsia="Arial" w:hAnsi="Arial" w:cs="Arial"/>
                <w:color w:val="000000" w:themeColor="text1"/>
                <w:lang w:val="es-ES"/>
              </w:rPr>
              <w:t>ransmisión 2018-2030</w:t>
            </w:r>
            <w:r>
              <w:rPr>
                <w:rFonts w:ascii="Arial" w:eastAsia="Arial" w:hAnsi="Arial" w:cs="Arial"/>
                <w:color w:val="000000" w:themeColor="text1"/>
                <w:lang w:val="es-ES"/>
              </w:rPr>
              <w:t xml:space="preserve"> la SIE </w:t>
            </w:r>
            <w:r w:rsidRPr="00F1746C">
              <w:rPr>
                <w:rFonts w:ascii="Arial" w:eastAsia="Arial" w:hAnsi="Arial" w:cs="Arial"/>
                <w:color w:val="000000" w:themeColor="text1"/>
                <w:lang w:val="es-ES"/>
              </w:rPr>
              <w:t xml:space="preserve">haya preparado los </w:t>
            </w:r>
            <w:r>
              <w:rPr>
                <w:rFonts w:ascii="Arial" w:eastAsia="Arial" w:hAnsi="Arial" w:cs="Arial"/>
                <w:color w:val="000000" w:themeColor="text1"/>
                <w:lang w:val="es-ES"/>
              </w:rPr>
              <w:t xml:space="preserve">siguientes estudios como </w:t>
            </w:r>
            <w:r w:rsidRPr="00F1746C">
              <w:rPr>
                <w:rFonts w:ascii="Arial" w:eastAsia="Arial" w:hAnsi="Arial" w:cs="Arial"/>
                <w:color w:val="000000" w:themeColor="text1"/>
                <w:lang w:val="es-ES"/>
              </w:rPr>
              <w:t>insumos base:</w:t>
            </w:r>
          </w:p>
          <w:p w14:paraId="58F267D8" w14:textId="77777777" w:rsidR="00B24A6E" w:rsidRPr="00F1746C" w:rsidRDefault="00B24A6E" w:rsidP="00AA694A">
            <w:pPr>
              <w:autoSpaceDE w:val="0"/>
              <w:autoSpaceDN w:val="0"/>
              <w:adjustRightInd w:val="0"/>
              <w:jc w:val="both"/>
              <w:rPr>
                <w:rFonts w:ascii="Arial" w:hAnsi="Arial" w:cs="Arial"/>
                <w:color w:val="000000" w:themeColor="text1"/>
                <w:lang w:val="es-ES"/>
              </w:rPr>
            </w:pPr>
          </w:p>
          <w:p w14:paraId="6686B18B" w14:textId="77777777" w:rsidR="00B24A6E" w:rsidRDefault="00B24A6E" w:rsidP="00AA694A">
            <w:pPr>
              <w:pStyle w:val="ListParagraph"/>
              <w:numPr>
                <w:ilvl w:val="0"/>
                <w:numId w:val="4"/>
              </w:numPr>
              <w:autoSpaceDE w:val="0"/>
              <w:autoSpaceDN w:val="0"/>
              <w:adjustRightInd w:val="0"/>
              <w:ind w:left="234" w:hanging="234"/>
              <w:jc w:val="both"/>
              <w:rPr>
                <w:rFonts w:ascii="Arial" w:eastAsia="Arial" w:hAnsi="Arial" w:cs="Arial"/>
                <w:color w:val="000000" w:themeColor="text1"/>
                <w:lang w:val="es-ES"/>
              </w:rPr>
            </w:pPr>
            <w:r w:rsidRPr="004B5711">
              <w:rPr>
                <w:rFonts w:ascii="Arial" w:eastAsia="Arial" w:hAnsi="Arial" w:cs="Arial"/>
                <w:color w:val="000000" w:themeColor="text1"/>
                <w:lang w:val="es-ES"/>
              </w:rPr>
              <w:t xml:space="preserve">Estudio de penetración </w:t>
            </w:r>
            <w:r>
              <w:rPr>
                <w:rFonts w:ascii="Arial" w:eastAsia="Arial" w:hAnsi="Arial" w:cs="Arial"/>
                <w:color w:val="000000" w:themeColor="text1"/>
                <w:lang w:val="es-ES"/>
              </w:rPr>
              <w:t xml:space="preserve">máxima </w:t>
            </w:r>
            <w:r w:rsidRPr="004B5711">
              <w:rPr>
                <w:rFonts w:ascii="Arial" w:eastAsia="Arial" w:hAnsi="Arial" w:cs="Arial"/>
                <w:color w:val="000000" w:themeColor="text1"/>
                <w:lang w:val="es-ES"/>
              </w:rPr>
              <w:t>de las energías renovables no convencionales en el Sistema Eléctrico Nacional Interconectado (SENI).</w:t>
            </w:r>
          </w:p>
          <w:p w14:paraId="585606CC" w14:textId="77777777" w:rsidR="00B24A6E" w:rsidRDefault="00B24A6E" w:rsidP="00AA694A">
            <w:pPr>
              <w:pStyle w:val="ListParagraph"/>
              <w:numPr>
                <w:ilvl w:val="0"/>
                <w:numId w:val="4"/>
              </w:numPr>
              <w:autoSpaceDE w:val="0"/>
              <w:autoSpaceDN w:val="0"/>
              <w:adjustRightInd w:val="0"/>
              <w:ind w:left="234" w:hanging="234"/>
              <w:jc w:val="both"/>
              <w:rPr>
                <w:rFonts w:ascii="Arial" w:eastAsia="Arial" w:hAnsi="Arial" w:cs="Arial"/>
                <w:color w:val="000000" w:themeColor="text1"/>
                <w:lang w:val="es-ES"/>
              </w:rPr>
            </w:pPr>
            <w:r w:rsidRPr="004B5711">
              <w:rPr>
                <w:rFonts w:ascii="Arial" w:eastAsia="Arial" w:hAnsi="Arial" w:cs="Arial"/>
                <w:color w:val="000000" w:themeColor="text1"/>
                <w:lang w:val="es-ES"/>
              </w:rPr>
              <w:t>Estudio para la determinación del Valor Agregado de Transmisión (VAT).</w:t>
            </w:r>
            <w:r w:rsidRPr="001F449D">
              <w:rPr>
                <w:rFonts w:ascii="Arial" w:eastAsia="Arial" w:hAnsi="Arial" w:cs="Arial"/>
                <w:color w:val="000000" w:themeColor="text1"/>
                <w:lang w:val="es-ES"/>
              </w:rPr>
              <w:t xml:space="preserve"> </w:t>
            </w:r>
          </w:p>
          <w:p w14:paraId="4C847279" w14:textId="77777777" w:rsidR="00B24A6E" w:rsidRDefault="00B24A6E" w:rsidP="00696DE1">
            <w:pPr>
              <w:autoSpaceDE w:val="0"/>
              <w:autoSpaceDN w:val="0"/>
              <w:adjustRightInd w:val="0"/>
              <w:jc w:val="both"/>
              <w:rPr>
                <w:rFonts w:ascii="Arial" w:eastAsia="Arial" w:hAnsi="Arial" w:cs="Arial"/>
                <w:color w:val="000000" w:themeColor="text1"/>
                <w:lang w:val="es-ES"/>
              </w:rPr>
            </w:pPr>
          </w:p>
          <w:p w14:paraId="5F00658F" w14:textId="2D450959" w:rsidR="00B24A6E" w:rsidRPr="00242A72" w:rsidRDefault="00B24A6E" w:rsidP="00696DE1">
            <w:pPr>
              <w:autoSpaceDE w:val="0"/>
              <w:autoSpaceDN w:val="0"/>
              <w:adjustRightInd w:val="0"/>
              <w:jc w:val="both"/>
              <w:rPr>
                <w:rFonts w:ascii="Arial" w:eastAsia="Arial" w:hAnsi="Arial" w:cs="Arial"/>
                <w:color w:val="000000" w:themeColor="text1"/>
                <w:lang w:val="es-ES"/>
              </w:rPr>
            </w:pPr>
            <w:r>
              <w:rPr>
                <w:rFonts w:ascii="Arial" w:eastAsia="Arial" w:hAnsi="Arial" w:cs="Arial"/>
                <w:color w:val="000000" w:themeColor="text1"/>
                <w:lang w:val="es-ES"/>
              </w:rPr>
              <w:t>Y, la CDEEE haya preparado el siguiente estudio:</w:t>
            </w:r>
          </w:p>
          <w:p w14:paraId="4724AAAB" w14:textId="68AB97FF" w:rsidR="00B24A6E" w:rsidRDefault="00B24A6E" w:rsidP="00AA694A">
            <w:pPr>
              <w:pStyle w:val="ListParagraph"/>
              <w:numPr>
                <w:ilvl w:val="0"/>
                <w:numId w:val="4"/>
              </w:numPr>
              <w:autoSpaceDE w:val="0"/>
              <w:autoSpaceDN w:val="0"/>
              <w:adjustRightInd w:val="0"/>
              <w:ind w:left="234" w:hanging="234"/>
              <w:jc w:val="both"/>
              <w:rPr>
                <w:rFonts w:ascii="Arial" w:eastAsia="Arial" w:hAnsi="Arial" w:cs="Arial"/>
                <w:color w:val="000000" w:themeColor="text1"/>
                <w:lang w:val="es-ES"/>
              </w:rPr>
            </w:pPr>
            <w:r w:rsidRPr="001F449D">
              <w:rPr>
                <w:rFonts w:ascii="Arial" w:eastAsia="Arial" w:hAnsi="Arial" w:cs="Arial"/>
                <w:color w:val="000000" w:themeColor="text1"/>
                <w:lang w:val="es-ES"/>
              </w:rPr>
              <w:lastRenderedPageBreak/>
              <w:t>Estudio para la elaboración del plan maestro para la expansión del sistema de distribución</w:t>
            </w:r>
            <w:r>
              <w:rPr>
                <w:rFonts w:ascii="Arial" w:eastAsia="Arial" w:hAnsi="Arial" w:cs="Arial"/>
                <w:color w:val="000000" w:themeColor="text1"/>
                <w:lang w:val="es-ES"/>
              </w:rPr>
              <w:t>.</w:t>
            </w:r>
          </w:p>
          <w:bookmarkEnd w:id="5"/>
          <w:p w14:paraId="68C1C0C1" w14:textId="77777777" w:rsidR="00B24A6E" w:rsidRDefault="00B24A6E" w:rsidP="004B5711">
            <w:pPr>
              <w:rPr>
                <w:highlight w:val="green"/>
                <w:lang w:val="es-ES"/>
              </w:rPr>
            </w:pPr>
          </w:p>
          <w:p w14:paraId="6C0C9C94" w14:textId="77777777" w:rsidR="00B24A6E" w:rsidRPr="00DA69DC" w:rsidRDefault="00B24A6E" w:rsidP="00F101E5">
            <w:pPr>
              <w:autoSpaceDE w:val="0"/>
              <w:autoSpaceDN w:val="0"/>
              <w:adjustRightInd w:val="0"/>
              <w:jc w:val="both"/>
              <w:rPr>
                <w:rFonts w:ascii="Arial" w:hAnsi="Arial"/>
                <w:color w:val="000000" w:themeColor="text1"/>
                <w:highlight w:val="green"/>
                <w:lang w:val="es-ES"/>
              </w:rPr>
            </w:pPr>
          </w:p>
        </w:tc>
        <w:tc>
          <w:tcPr>
            <w:tcW w:w="3690" w:type="dxa"/>
          </w:tcPr>
          <w:p w14:paraId="3ADFCC42" w14:textId="77777777" w:rsidR="00B24A6E" w:rsidRPr="001A3B45" w:rsidRDefault="00B24A6E" w:rsidP="00F101E5">
            <w:pPr>
              <w:autoSpaceDE w:val="0"/>
              <w:autoSpaceDN w:val="0"/>
              <w:adjustRightInd w:val="0"/>
              <w:jc w:val="both"/>
              <w:rPr>
                <w:rFonts w:ascii="Arial" w:hAnsi="Arial" w:cs="Arial"/>
                <w:color w:val="000000" w:themeColor="text1"/>
                <w:lang w:val="es-ES_tradnl"/>
              </w:rPr>
            </w:pPr>
            <w:r>
              <w:rPr>
                <w:rFonts w:ascii="Arial" w:hAnsi="Arial" w:cs="Arial"/>
                <w:color w:val="000000" w:themeColor="text1"/>
                <w:lang w:val="es-ES_tradnl"/>
              </w:rPr>
              <w:lastRenderedPageBreak/>
              <w:t>Informe final por parte de la SIE del e</w:t>
            </w:r>
            <w:r w:rsidRPr="001A3B45">
              <w:rPr>
                <w:rFonts w:ascii="Arial" w:hAnsi="Arial" w:cs="Arial"/>
                <w:color w:val="000000" w:themeColor="text1"/>
                <w:lang w:val="es-ES_tradnl"/>
              </w:rPr>
              <w:t>studio de penetración aceptable de las energías renovables no convencionales en el Sistema Eléctrico Nacional Interconectado (SENI), considerando la instalación progresiva de acuerdo con los resultados del plan de expansión de generación y transmisión.</w:t>
            </w:r>
          </w:p>
          <w:p w14:paraId="36ABC86F" w14:textId="77777777" w:rsidR="00B24A6E" w:rsidRPr="001A3B45" w:rsidRDefault="00B24A6E" w:rsidP="00F101E5">
            <w:pPr>
              <w:autoSpaceDE w:val="0"/>
              <w:autoSpaceDN w:val="0"/>
              <w:adjustRightInd w:val="0"/>
              <w:jc w:val="both"/>
              <w:rPr>
                <w:rFonts w:ascii="Arial" w:hAnsi="Arial" w:cs="Arial"/>
                <w:color w:val="000000" w:themeColor="text1"/>
                <w:lang w:val="es-ES_tradnl"/>
              </w:rPr>
            </w:pPr>
          </w:p>
          <w:p w14:paraId="77351699" w14:textId="77777777" w:rsidR="00B24A6E" w:rsidRPr="001A3B45" w:rsidRDefault="00B24A6E" w:rsidP="00C86412">
            <w:pPr>
              <w:autoSpaceDE w:val="0"/>
              <w:autoSpaceDN w:val="0"/>
              <w:adjustRightInd w:val="0"/>
              <w:jc w:val="both"/>
              <w:rPr>
                <w:rFonts w:ascii="Arial" w:hAnsi="Arial" w:cs="Arial"/>
                <w:color w:val="000000" w:themeColor="text1"/>
                <w:lang w:val="es-ES_tradnl"/>
              </w:rPr>
            </w:pPr>
          </w:p>
        </w:tc>
        <w:tc>
          <w:tcPr>
            <w:tcW w:w="3333" w:type="dxa"/>
            <w:shd w:val="clear" w:color="auto" w:fill="auto"/>
          </w:tcPr>
          <w:p w14:paraId="7FCE15B6" w14:textId="47D96CCD" w:rsidR="00B24A6E" w:rsidRPr="003D636C" w:rsidRDefault="00B24A6E" w:rsidP="00F101E5">
            <w:pPr>
              <w:autoSpaceDE w:val="0"/>
              <w:autoSpaceDN w:val="0"/>
              <w:adjustRightInd w:val="0"/>
              <w:jc w:val="both"/>
              <w:rPr>
                <w:rFonts w:ascii="Arial" w:hAnsi="Arial" w:cs="Arial"/>
                <w:color w:val="000000" w:themeColor="text1"/>
                <w:lang w:val="es-ES_tradnl"/>
              </w:rPr>
            </w:pPr>
            <w:r w:rsidRPr="003D636C">
              <w:rPr>
                <w:rFonts w:ascii="Arial" w:eastAsia="Arial" w:hAnsi="Arial" w:cs="Arial"/>
                <w:color w:val="000000" w:themeColor="text1"/>
                <w:u w:val="single"/>
                <w:lang w:val="es-ES"/>
              </w:rPr>
              <w:t>Cumplido</w:t>
            </w:r>
          </w:p>
        </w:tc>
      </w:tr>
      <w:tr w:rsidR="00B24A6E" w:rsidRPr="00304CDA" w14:paraId="12C1F5C1" w14:textId="77777777" w:rsidTr="00F23488">
        <w:trPr>
          <w:gridAfter w:val="1"/>
          <w:wAfter w:w="16" w:type="dxa"/>
          <w:trHeight w:val="1238"/>
          <w:jc w:val="center"/>
        </w:trPr>
        <w:tc>
          <w:tcPr>
            <w:tcW w:w="1980" w:type="dxa"/>
            <w:vMerge/>
            <w:shd w:val="clear" w:color="auto" w:fill="auto"/>
          </w:tcPr>
          <w:p w14:paraId="1D11DF17" w14:textId="77777777" w:rsidR="00B24A6E" w:rsidRPr="001A3B45" w:rsidRDefault="00B24A6E" w:rsidP="00F101E5">
            <w:pPr>
              <w:pStyle w:val="ListParagraph"/>
              <w:numPr>
                <w:ilvl w:val="1"/>
                <w:numId w:val="16"/>
              </w:numPr>
              <w:autoSpaceDE w:val="0"/>
              <w:autoSpaceDN w:val="0"/>
              <w:adjustRightInd w:val="0"/>
              <w:rPr>
                <w:rFonts w:ascii="Arial" w:hAnsi="Arial" w:cs="Arial"/>
                <w:b/>
                <w:bCs/>
                <w:color w:val="000000" w:themeColor="text1"/>
                <w:lang w:val="es-ES_tradnl"/>
              </w:rPr>
            </w:pPr>
          </w:p>
        </w:tc>
        <w:tc>
          <w:tcPr>
            <w:tcW w:w="4222" w:type="dxa"/>
            <w:vMerge/>
            <w:shd w:val="clear" w:color="auto" w:fill="auto"/>
          </w:tcPr>
          <w:p w14:paraId="51A84A06" w14:textId="77777777" w:rsidR="00B24A6E" w:rsidRPr="00F1746C" w:rsidRDefault="00B24A6E" w:rsidP="00F101E5">
            <w:pPr>
              <w:autoSpaceDE w:val="0"/>
              <w:autoSpaceDN w:val="0"/>
              <w:adjustRightInd w:val="0"/>
              <w:jc w:val="both"/>
              <w:rPr>
                <w:rFonts w:ascii="Arial" w:eastAsia="Arial" w:hAnsi="Arial" w:cs="Arial"/>
                <w:color w:val="000000" w:themeColor="text1"/>
                <w:lang w:val="es-ES"/>
              </w:rPr>
            </w:pPr>
          </w:p>
        </w:tc>
        <w:tc>
          <w:tcPr>
            <w:tcW w:w="3690" w:type="dxa"/>
          </w:tcPr>
          <w:p w14:paraId="402CABC2" w14:textId="77777777" w:rsidR="00B24A6E" w:rsidRDefault="00B24A6E" w:rsidP="00C86412">
            <w:pPr>
              <w:autoSpaceDE w:val="0"/>
              <w:autoSpaceDN w:val="0"/>
              <w:adjustRightInd w:val="0"/>
              <w:jc w:val="both"/>
              <w:rPr>
                <w:rFonts w:ascii="Arial" w:hAnsi="Arial" w:cs="Arial"/>
                <w:color w:val="000000" w:themeColor="text1"/>
                <w:lang w:val="es-ES_tradnl"/>
              </w:rPr>
            </w:pPr>
            <w:r>
              <w:rPr>
                <w:rFonts w:ascii="Arial" w:hAnsi="Arial" w:cs="Arial"/>
                <w:color w:val="000000" w:themeColor="text1"/>
                <w:lang w:val="es-ES_tradnl"/>
              </w:rPr>
              <w:t>Informe final por parte de la SIE del e</w:t>
            </w:r>
            <w:r w:rsidRPr="001A3B45">
              <w:rPr>
                <w:rFonts w:ascii="Arial" w:hAnsi="Arial" w:cs="Arial"/>
                <w:color w:val="000000" w:themeColor="text1"/>
                <w:lang w:val="es-ES_tradnl"/>
              </w:rPr>
              <w:t>studio para la determinación del Valor Agregado de Transmisión (VAT).</w:t>
            </w:r>
          </w:p>
          <w:p w14:paraId="0CC61AAE" w14:textId="77777777" w:rsidR="00B24A6E" w:rsidRDefault="00B24A6E" w:rsidP="00F101E5">
            <w:pPr>
              <w:autoSpaceDE w:val="0"/>
              <w:autoSpaceDN w:val="0"/>
              <w:adjustRightInd w:val="0"/>
              <w:jc w:val="both"/>
              <w:rPr>
                <w:rFonts w:ascii="Arial" w:hAnsi="Arial" w:cs="Arial"/>
                <w:color w:val="000000" w:themeColor="text1"/>
                <w:lang w:val="es-ES_tradnl"/>
              </w:rPr>
            </w:pPr>
          </w:p>
        </w:tc>
        <w:tc>
          <w:tcPr>
            <w:tcW w:w="3333" w:type="dxa"/>
            <w:shd w:val="clear" w:color="auto" w:fill="auto"/>
          </w:tcPr>
          <w:p w14:paraId="6880080E" w14:textId="7B2FC46B" w:rsidR="00B24A6E" w:rsidRPr="003D636C" w:rsidRDefault="00B24A6E" w:rsidP="00F101E5">
            <w:pPr>
              <w:autoSpaceDE w:val="0"/>
              <w:autoSpaceDN w:val="0"/>
              <w:adjustRightInd w:val="0"/>
              <w:jc w:val="both"/>
              <w:rPr>
                <w:rFonts w:ascii="Arial" w:hAnsi="Arial" w:cs="Arial"/>
                <w:color w:val="000000" w:themeColor="text1"/>
                <w:u w:val="single"/>
                <w:lang w:val="es-ES_tradnl"/>
              </w:rPr>
            </w:pPr>
            <w:r w:rsidRPr="003D636C">
              <w:rPr>
                <w:rFonts w:ascii="Arial" w:eastAsia="Arial" w:hAnsi="Arial" w:cs="Arial"/>
                <w:color w:val="000000" w:themeColor="text1"/>
                <w:u w:val="single"/>
                <w:lang w:val="es-ES"/>
              </w:rPr>
              <w:t>Cumplido</w:t>
            </w:r>
            <w:r w:rsidRPr="00177E16">
              <w:rPr>
                <w:rFonts w:ascii="Arial" w:eastAsia="Arial" w:hAnsi="Arial" w:cs="Arial"/>
                <w:color w:val="000000" w:themeColor="text1"/>
                <w:lang w:val="es-ES"/>
              </w:rPr>
              <w:t>.</w:t>
            </w:r>
            <w:r w:rsidRPr="003D636C">
              <w:rPr>
                <w:rFonts w:ascii="Arial" w:eastAsia="Arial" w:hAnsi="Arial" w:cs="Arial"/>
                <w:color w:val="000000" w:themeColor="text1"/>
                <w:lang w:val="es-ES"/>
              </w:rPr>
              <w:t xml:space="preserve"> </w:t>
            </w:r>
            <w:r w:rsidRPr="003D636C">
              <w:rPr>
                <w:rFonts w:ascii="Arial" w:eastAsia="Arial" w:hAnsi="Arial" w:cs="Arial"/>
                <w:color w:val="000000" w:themeColor="text1"/>
                <w:u w:val="single"/>
                <w:lang w:val="es-ES"/>
              </w:rPr>
              <w:t xml:space="preserve"> </w:t>
            </w:r>
          </w:p>
        </w:tc>
      </w:tr>
      <w:tr w:rsidR="00B24A6E" w:rsidRPr="00304CDA" w14:paraId="19D21852" w14:textId="77777777" w:rsidTr="00F23488">
        <w:trPr>
          <w:gridAfter w:val="1"/>
          <w:wAfter w:w="16" w:type="dxa"/>
          <w:trHeight w:val="1238"/>
          <w:jc w:val="center"/>
        </w:trPr>
        <w:tc>
          <w:tcPr>
            <w:tcW w:w="1980" w:type="dxa"/>
            <w:vMerge/>
            <w:shd w:val="clear" w:color="auto" w:fill="auto"/>
          </w:tcPr>
          <w:p w14:paraId="35FD9979" w14:textId="77777777" w:rsidR="00B24A6E" w:rsidRPr="001A3B45" w:rsidRDefault="00B24A6E" w:rsidP="00F101E5">
            <w:pPr>
              <w:pStyle w:val="ListParagraph"/>
              <w:numPr>
                <w:ilvl w:val="1"/>
                <w:numId w:val="16"/>
              </w:numPr>
              <w:autoSpaceDE w:val="0"/>
              <w:autoSpaceDN w:val="0"/>
              <w:adjustRightInd w:val="0"/>
              <w:rPr>
                <w:rFonts w:ascii="Arial" w:hAnsi="Arial" w:cs="Arial"/>
                <w:b/>
                <w:bCs/>
                <w:color w:val="000000" w:themeColor="text1"/>
                <w:lang w:val="es-ES_tradnl"/>
              </w:rPr>
            </w:pPr>
          </w:p>
        </w:tc>
        <w:tc>
          <w:tcPr>
            <w:tcW w:w="4222" w:type="dxa"/>
            <w:vMerge/>
            <w:shd w:val="clear" w:color="auto" w:fill="auto"/>
          </w:tcPr>
          <w:p w14:paraId="5CF57ED0" w14:textId="77777777" w:rsidR="00B24A6E" w:rsidRPr="00F1746C" w:rsidRDefault="00B24A6E" w:rsidP="00F101E5">
            <w:pPr>
              <w:autoSpaceDE w:val="0"/>
              <w:autoSpaceDN w:val="0"/>
              <w:adjustRightInd w:val="0"/>
              <w:jc w:val="both"/>
              <w:rPr>
                <w:rFonts w:ascii="Arial" w:eastAsia="Arial" w:hAnsi="Arial" w:cs="Arial"/>
                <w:color w:val="000000" w:themeColor="text1"/>
                <w:lang w:val="es-ES"/>
              </w:rPr>
            </w:pPr>
          </w:p>
        </w:tc>
        <w:tc>
          <w:tcPr>
            <w:tcW w:w="3690" w:type="dxa"/>
          </w:tcPr>
          <w:p w14:paraId="510ED2D2" w14:textId="77777777" w:rsidR="00B24A6E" w:rsidRPr="001A3B45" w:rsidRDefault="00B24A6E" w:rsidP="00EC05DA">
            <w:pPr>
              <w:autoSpaceDE w:val="0"/>
              <w:autoSpaceDN w:val="0"/>
              <w:adjustRightInd w:val="0"/>
              <w:jc w:val="both"/>
              <w:rPr>
                <w:rFonts w:ascii="Arial" w:hAnsi="Arial" w:cs="Arial"/>
                <w:color w:val="000000" w:themeColor="text1"/>
                <w:lang w:val="es-ES_tradnl"/>
              </w:rPr>
            </w:pPr>
            <w:r>
              <w:rPr>
                <w:rFonts w:ascii="Arial" w:hAnsi="Arial" w:cs="Arial"/>
                <w:color w:val="000000" w:themeColor="text1"/>
                <w:lang w:val="es-ES_tradnl"/>
              </w:rPr>
              <w:t>Informe final por parte de la CDEEE del e</w:t>
            </w:r>
            <w:r w:rsidRPr="001A3B45">
              <w:rPr>
                <w:rFonts w:ascii="Arial" w:hAnsi="Arial" w:cs="Arial"/>
                <w:color w:val="000000" w:themeColor="text1"/>
                <w:lang w:val="es-ES_tradnl"/>
              </w:rPr>
              <w:t>studio para la elaboración del plan maestro para la expansión del sistema de distribución.</w:t>
            </w:r>
          </w:p>
          <w:p w14:paraId="40BA9349" w14:textId="77777777" w:rsidR="00B24A6E" w:rsidRDefault="00B24A6E" w:rsidP="00F101E5">
            <w:pPr>
              <w:autoSpaceDE w:val="0"/>
              <w:autoSpaceDN w:val="0"/>
              <w:adjustRightInd w:val="0"/>
              <w:jc w:val="both"/>
              <w:rPr>
                <w:rFonts w:ascii="Arial" w:hAnsi="Arial" w:cs="Arial"/>
                <w:color w:val="000000" w:themeColor="text1"/>
                <w:lang w:val="es-ES_tradnl"/>
              </w:rPr>
            </w:pPr>
          </w:p>
        </w:tc>
        <w:tc>
          <w:tcPr>
            <w:tcW w:w="3333" w:type="dxa"/>
            <w:shd w:val="clear" w:color="auto" w:fill="auto"/>
          </w:tcPr>
          <w:p w14:paraId="3AC7B0B0" w14:textId="728F35CD" w:rsidR="00B24A6E" w:rsidRPr="003D636C" w:rsidRDefault="00B24A6E" w:rsidP="00F101E5">
            <w:pPr>
              <w:autoSpaceDE w:val="0"/>
              <w:autoSpaceDN w:val="0"/>
              <w:adjustRightInd w:val="0"/>
              <w:jc w:val="both"/>
              <w:rPr>
                <w:rFonts w:ascii="Arial" w:hAnsi="Arial" w:cs="Arial"/>
                <w:color w:val="000000" w:themeColor="text1"/>
                <w:lang w:val="es-ES_tradnl"/>
              </w:rPr>
            </w:pPr>
            <w:r w:rsidRPr="003D636C">
              <w:rPr>
                <w:rFonts w:ascii="Arial" w:eastAsia="Arial" w:hAnsi="Arial" w:cs="Arial"/>
                <w:color w:val="000000" w:themeColor="text1"/>
                <w:u w:val="single"/>
                <w:lang w:val="es-ES"/>
              </w:rPr>
              <w:t>Cumplido</w:t>
            </w:r>
          </w:p>
        </w:tc>
      </w:tr>
      <w:tr w:rsidR="00B24A6E" w:rsidRPr="00304CDA" w14:paraId="2E49AB63" w14:textId="77777777" w:rsidTr="00F23488">
        <w:trPr>
          <w:gridAfter w:val="1"/>
          <w:wAfter w:w="16" w:type="dxa"/>
          <w:trHeight w:val="1574"/>
          <w:jc w:val="center"/>
        </w:trPr>
        <w:tc>
          <w:tcPr>
            <w:tcW w:w="1980" w:type="dxa"/>
            <w:vMerge/>
            <w:shd w:val="clear" w:color="auto" w:fill="auto"/>
          </w:tcPr>
          <w:p w14:paraId="2BFBC719" w14:textId="77777777" w:rsidR="00B24A6E" w:rsidRPr="001A3B45" w:rsidRDefault="00B24A6E" w:rsidP="00F101E5">
            <w:pPr>
              <w:autoSpaceDE w:val="0"/>
              <w:autoSpaceDN w:val="0"/>
              <w:adjustRightInd w:val="0"/>
              <w:rPr>
                <w:rFonts w:ascii="Arial" w:hAnsi="Arial" w:cs="Arial"/>
                <w:b/>
                <w:bCs/>
                <w:color w:val="000000" w:themeColor="text1"/>
                <w:lang w:val="es-ES_tradnl"/>
              </w:rPr>
            </w:pPr>
          </w:p>
        </w:tc>
        <w:tc>
          <w:tcPr>
            <w:tcW w:w="4222" w:type="dxa"/>
            <w:shd w:val="clear" w:color="auto" w:fill="auto"/>
          </w:tcPr>
          <w:p w14:paraId="7511E498" w14:textId="00E9AEC5" w:rsidR="00B24A6E" w:rsidRDefault="00B24A6E" w:rsidP="00F101E5">
            <w:pPr>
              <w:autoSpaceDE w:val="0"/>
              <w:autoSpaceDN w:val="0"/>
              <w:adjustRightInd w:val="0"/>
              <w:jc w:val="both"/>
              <w:rPr>
                <w:rFonts w:ascii="Arial" w:eastAsia="Arial" w:hAnsi="Arial" w:cs="Arial"/>
                <w:color w:val="000000" w:themeColor="text1"/>
                <w:lang w:val="es-ES"/>
              </w:rPr>
            </w:pPr>
            <w:r w:rsidRPr="00472212">
              <w:rPr>
                <w:rFonts w:ascii="Arial" w:eastAsia="Arial" w:hAnsi="Arial" w:cs="Arial"/>
                <w:color w:val="000000" w:themeColor="text1"/>
                <w:lang w:val="es-ES"/>
              </w:rPr>
              <w:t>Que la</w:t>
            </w:r>
            <w:r>
              <w:rPr>
                <w:rFonts w:ascii="Arial" w:eastAsia="Arial" w:hAnsi="Arial" w:cs="Arial"/>
                <w:color w:val="000000" w:themeColor="text1"/>
                <w:lang w:val="es-ES"/>
              </w:rPr>
              <w:t xml:space="preserve">s EDE </w:t>
            </w:r>
            <w:r w:rsidRPr="00472212">
              <w:rPr>
                <w:rFonts w:ascii="Arial" w:eastAsia="Arial" w:hAnsi="Arial" w:cs="Arial"/>
                <w:color w:val="000000" w:themeColor="text1"/>
                <w:lang w:val="es-ES"/>
              </w:rPr>
              <w:t>se encuentre</w:t>
            </w:r>
            <w:r>
              <w:rPr>
                <w:rFonts w:ascii="Arial" w:eastAsia="Arial" w:hAnsi="Arial" w:cs="Arial"/>
                <w:color w:val="000000" w:themeColor="text1"/>
                <w:lang w:val="es-ES"/>
              </w:rPr>
              <w:t>n</w:t>
            </w:r>
            <w:r w:rsidRPr="00472212">
              <w:rPr>
                <w:rFonts w:ascii="Arial" w:eastAsia="Arial" w:hAnsi="Arial" w:cs="Arial"/>
                <w:color w:val="000000" w:themeColor="text1"/>
                <w:lang w:val="es-ES"/>
              </w:rPr>
              <w:t xml:space="preserve"> </w:t>
            </w:r>
            <w:r>
              <w:rPr>
                <w:rFonts w:ascii="Arial" w:eastAsia="Arial" w:hAnsi="Arial" w:cs="Arial"/>
                <w:color w:val="000000" w:themeColor="text1"/>
                <w:lang w:val="es-ES"/>
              </w:rPr>
              <w:t>realizando</w:t>
            </w:r>
            <w:r w:rsidRPr="00472212">
              <w:rPr>
                <w:rFonts w:ascii="Arial" w:eastAsia="Arial" w:hAnsi="Arial" w:cs="Arial"/>
                <w:color w:val="000000" w:themeColor="text1"/>
                <w:lang w:val="es-ES"/>
              </w:rPr>
              <w:t xml:space="preserve"> las licitaciones y contrataciones de la generación de electricidad, mediante procesos competitivos, conforme al </w:t>
            </w:r>
            <w:r>
              <w:rPr>
                <w:rFonts w:ascii="Arial" w:eastAsia="Arial" w:hAnsi="Arial" w:cs="Arial"/>
                <w:color w:val="000000" w:themeColor="text1"/>
                <w:lang w:val="es-ES"/>
              </w:rPr>
              <w:t>artículo 110 de</w:t>
            </w:r>
            <w:r w:rsidRPr="00472212">
              <w:rPr>
                <w:rFonts w:ascii="Arial" w:eastAsia="Arial" w:hAnsi="Arial" w:cs="Arial"/>
                <w:color w:val="000000" w:themeColor="text1"/>
                <w:lang w:val="es-ES"/>
              </w:rPr>
              <w:t xml:space="preserve"> </w:t>
            </w:r>
            <w:r w:rsidRPr="00472212">
              <w:rPr>
                <w:rFonts w:ascii="Arial" w:eastAsia="Arial" w:hAnsi="Arial" w:cs="Arial"/>
                <w:color w:val="000000" w:themeColor="text1"/>
                <w:lang w:val="es-CO" w:eastAsia="es-CO"/>
              </w:rPr>
              <w:t>Ley General de Electricidad No. 125-01</w:t>
            </w:r>
            <w:r w:rsidRPr="00472212">
              <w:rPr>
                <w:rFonts w:ascii="Arial" w:eastAsia="Arial" w:hAnsi="Arial" w:cs="Arial"/>
                <w:color w:val="000000" w:themeColor="text1"/>
                <w:lang w:val="es-ES"/>
              </w:rPr>
              <w:t>.</w:t>
            </w:r>
          </w:p>
          <w:p w14:paraId="4A7B853E" w14:textId="77777777" w:rsidR="00B24A6E" w:rsidRPr="00AF77F5" w:rsidRDefault="00B24A6E" w:rsidP="00F101E5">
            <w:pPr>
              <w:autoSpaceDE w:val="0"/>
              <w:autoSpaceDN w:val="0"/>
              <w:adjustRightInd w:val="0"/>
              <w:jc w:val="both"/>
              <w:rPr>
                <w:rFonts w:ascii="Arial" w:eastAsia="Arial" w:hAnsi="Arial" w:cs="Arial"/>
                <w:color w:val="000000" w:themeColor="text1"/>
                <w:lang w:val="es-ES"/>
              </w:rPr>
            </w:pPr>
          </w:p>
        </w:tc>
        <w:tc>
          <w:tcPr>
            <w:tcW w:w="3690" w:type="dxa"/>
          </w:tcPr>
          <w:p w14:paraId="7FB37642" w14:textId="456AE120" w:rsidR="00B24A6E" w:rsidRDefault="00B24A6E" w:rsidP="00F101E5">
            <w:pPr>
              <w:autoSpaceDE w:val="0"/>
              <w:autoSpaceDN w:val="0"/>
              <w:adjustRightInd w:val="0"/>
              <w:jc w:val="both"/>
              <w:rPr>
                <w:rFonts w:ascii="Arial" w:hAnsi="Arial" w:cs="Arial"/>
                <w:color w:val="000000" w:themeColor="text1"/>
                <w:lang w:val="es-ES_tradnl"/>
              </w:rPr>
            </w:pPr>
            <w:r>
              <w:rPr>
                <w:rFonts w:ascii="Arial" w:hAnsi="Arial" w:cs="Arial"/>
                <w:color w:val="000000" w:themeColor="text1"/>
                <w:lang w:val="es-ES_tradnl"/>
              </w:rPr>
              <w:t>Comunicación de</w:t>
            </w:r>
            <w:r w:rsidRPr="001A3B45">
              <w:rPr>
                <w:rFonts w:ascii="Arial" w:hAnsi="Arial" w:cs="Arial"/>
                <w:color w:val="000000" w:themeColor="text1"/>
                <w:lang w:val="es-ES_tradnl"/>
              </w:rPr>
              <w:t xml:space="preserve"> la SIE</w:t>
            </w:r>
            <w:r>
              <w:rPr>
                <w:rFonts w:ascii="Arial" w:hAnsi="Arial" w:cs="Arial"/>
                <w:color w:val="000000" w:themeColor="text1"/>
                <w:lang w:val="es-ES_tradnl"/>
              </w:rPr>
              <w:t>, como ente supervisor,</w:t>
            </w:r>
            <w:r w:rsidRPr="001A3B45">
              <w:rPr>
                <w:rFonts w:ascii="Arial" w:hAnsi="Arial" w:cs="Arial"/>
                <w:color w:val="000000" w:themeColor="text1"/>
                <w:lang w:val="es-ES_tradnl"/>
              </w:rPr>
              <w:t xml:space="preserve"> </w:t>
            </w:r>
            <w:r>
              <w:rPr>
                <w:rFonts w:ascii="Arial" w:hAnsi="Arial" w:cs="Arial"/>
                <w:color w:val="000000" w:themeColor="text1"/>
                <w:lang w:val="es-ES_tradnl"/>
              </w:rPr>
              <w:t>con</w:t>
            </w:r>
            <w:r w:rsidRPr="001A3B45">
              <w:rPr>
                <w:rFonts w:ascii="Arial" w:hAnsi="Arial" w:cs="Arial"/>
                <w:color w:val="000000" w:themeColor="text1"/>
                <w:lang w:val="es-ES_tradnl"/>
              </w:rPr>
              <w:t xml:space="preserve"> las evidencias de que las licitaciones realizadas para la contratación de energía se realizaron </w:t>
            </w:r>
            <w:r w:rsidRPr="003B65C1">
              <w:rPr>
                <w:rFonts w:ascii="Arial" w:eastAsia="Arial" w:hAnsi="Arial" w:cs="Arial"/>
                <w:color w:val="000000" w:themeColor="text1"/>
                <w:lang w:val="es-ES"/>
              </w:rPr>
              <w:t>mediante procesos competitivos,</w:t>
            </w:r>
            <w:r w:rsidRPr="00472212">
              <w:rPr>
                <w:rFonts w:ascii="Arial" w:eastAsia="Arial" w:hAnsi="Arial" w:cs="Arial"/>
                <w:color w:val="000000" w:themeColor="text1"/>
                <w:lang w:val="es-ES"/>
              </w:rPr>
              <w:t xml:space="preserve"> </w:t>
            </w:r>
            <w:r w:rsidRPr="001A3B45">
              <w:rPr>
                <w:rFonts w:ascii="Arial" w:hAnsi="Arial" w:cs="Arial"/>
                <w:color w:val="000000" w:themeColor="text1"/>
                <w:lang w:val="es-ES_tradnl"/>
              </w:rPr>
              <w:t>conforme la normativa vigente.</w:t>
            </w:r>
          </w:p>
          <w:p w14:paraId="22CCC0E8" w14:textId="77777777" w:rsidR="00B24A6E" w:rsidRDefault="00B24A6E" w:rsidP="00F101E5">
            <w:pPr>
              <w:autoSpaceDE w:val="0"/>
              <w:autoSpaceDN w:val="0"/>
              <w:adjustRightInd w:val="0"/>
              <w:jc w:val="both"/>
              <w:rPr>
                <w:rFonts w:ascii="Arial" w:hAnsi="Arial" w:cs="Arial"/>
                <w:color w:val="000000" w:themeColor="text1"/>
                <w:lang w:val="es-ES_tradnl"/>
              </w:rPr>
            </w:pPr>
          </w:p>
          <w:p w14:paraId="241152BC" w14:textId="77777777" w:rsidR="00B24A6E" w:rsidRPr="001A3B45" w:rsidRDefault="00B24A6E" w:rsidP="00F101E5">
            <w:pPr>
              <w:autoSpaceDE w:val="0"/>
              <w:autoSpaceDN w:val="0"/>
              <w:adjustRightInd w:val="0"/>
              <w:jc w:val="both"/>
              <w:rPr>
                <w:rFonts w:ascii="Arial" w:hAnsi="Arial" w:cs="Arial"/>
                <w:color w:val="000000" w:themeColor="text1"/>
                <w:lang w:val="es-ES_tradnl"/>
              </w:rPr>
            </w:pPr>
          </w:p>
        </w:tc>
        <w:tc>
          <w:tcPr>
            <w:tcW w:w="3333" w:type="dxa"/>
            <w:shd w:val="clear" w:color="auto" w:fill="auto"/>
          </w:tcPr>
          <w:p w14:paraId="544676D5" w14:textId="7B100044" w:rsidR="00B24A6E" w:rsidRPr="00D7768A" w:rsidRDefault="00B24A6E" w:rsidP="00F101E5">
            <w:pPr>
              <w:autoSpaceDE w:val="0"/>
              <w:autoSpaceDN w:val="0"/>
              <w:adjustRightInd w:val="0"/>
              <w:spacing w:before="40"/>
              <w:jc w:val="both"/>
              <w:rPr>
                <w:rFonts w:ascii="Arial" w:hAnsi="Arial" w:cs="Arial"/>
                <w:color w:val="000000" w:themeColor="text1"/>
                <w:lang w:val="es-CO" w:eastAsia="es-CO"/>
              </w:rPr>
            </w:pPr>
            <w:r>
              <w:rPr>
                <w:rFonts w:ascii="Arial" w:eastAsia="Arial" w:hAnsi="Arial" w:cs="Arial"/>
                <w:color w:val="000000" w:themeColor="text1"/>
                <w:u w:val="single"/>
                <w:lang w:val="es-ES"/>
              </w:rPr>
              <w:t xml:space="preserve">Cumplido </w:t>
            </w:r>
          </w:p>
        </w:tc>
      </w:tr>
      <w:tr w:rsidR="00B24A6E" w:rsidRPr="00304CDA" w14:paraId="550593CB" w14:textId="77777777" w:rsidTr="00F23488">
        <w:trPr>
          <w:gridAfter w:val="1"/>
          <w:wAfter w:w="16" w:type="dxa"/>
          <w:trHeight w:val="1395"/>
          <w:jc w:val="center"/>
        </w:trPr>
        <w:tc>
          <w:tcPr>
            <w:tcW w:w="1980" w:type="dxa"/>
            <w:vMerge w:val="restart"/>
            <w:shd w:val="clear" w:color="auto" w:fill="auto"/>
          </w:tcPr>
          <w:p w14:paraId="5B40BEEB" w14:textId="77777777" w:rsidR="00B24A6E" w:rsidRPr="001A3B45" w:rsidRDefault="00B24A6E" w:rsidP="002E3593">
            <w:pPr>
              <w:pStyle w:val="ListParagraph"/>
              <w:numPr>
                <w:ilvl w:val="1"/>
                <w:numId w:val="16"/>
              </w:numPr>
              <w:autoSpaceDE w:val="0"/>
              <w:autoSpaceDN w:val="0"/>
              <w:adjustRightInd w:val="0"/>
              <w:rPr>
                <w:rFonts w:ascii="Arial" w:eastAsia="Arial" w:hAnsi="Arial" w:cs="Arial"/>
                <w:b/>
                <w:bCs/>
                <w:color w:val="000000" w:themeColor="text1"/>
                <w:lang w:val="es-ES"/>
              </w:rPr>
            </w:pPr>
            <w:r w:rsidRPr="6FAE9D8D">
              <w:rPr>
                <w:rFonts w:ascii="Arial" w:eastAsia="Arial" w:hAnsi="Arial" w:cs="Arial"/>
                <w:b/>
                <w:bCs/>
                <w:color w:val="000000" w:themeColor="text1"/>
                <w:lang w:val="es-ES"/>
              </w:rPr>
              <w:t>Incrementar eficiencia en la gestión de la demanda de energía eléctrica</w:t>
            </w:r>
          </w:p>
        </w:tc>
        <w:tc>
          <w:tcPr>
            <w:tcW w:w="4222" w:type="dxa"/>
            <w:vMerge w:val="restart"/>
            <w:shd w:val="clear" w:color="auto" w:fill="auto"/>
          </w:tcPr>
          <w:p w14:paraId="5DE921EC" w14:textId="77777777" w:rsidR="00B24A6E" w:rsidRDefault="00B24A6E" w:rsidP="002E3593">
            <w:pPr>
              <w:autoSpaceDE w:val="0"/>
              <w:autoSpaceDN w:val="0"/>
              <w:adjustRightInd w:val="0"/>
              <w:jc w:val="both"/>
              <w:rPr>
                <w:rFonts w:ascii="Arial" w:eastAsia="Arial" w:hAnsi="Arial" w:cs="Arial"/>
                <w:color w:val="000000" w:themeColor="text1"/>
                <w:lang w:val="es-ES"/>
              </w:rPr>
            </w:pPr>
            <w:r w:rsidRPr="00561CAF">
              <w:rPr>
                <w:rFonts w:ascii="Arial" w:eastAsia="Arial" w:hAnsi="Arial" w:cs="Arial"/>
                <w:color w:val="000000" w:themeColor="text1"/>
                <w:lang w:val="es-ES"/>
              </w:rPr>
              <w:t>Que el MEM haya fortalecido su capacidad institucional para el desarrollo de programas de E</w:t>
            </w:r>
            <w:r>
              <w:rPr>
                <w:rFonts w:ascii="Arial" w:eastAsia="Arial" w:hAnsi="Arial" w:cs="Arial"/>
                <w:color w:val="000000" w:themeColor="text1"/>
                <w:lang w:val="es-ES"/>
              </w:rPr>
              <w:t xml:space="preserve">ficiencia </w:t>
            </w:r>
            <w:r w:rsidRPr="00561CAF">
              <w:rPr>
                <w:rFonts w:ascii="Arial" w:eastAsia="Arial" w:hAnsi="Arial" w:cs="Arial"/>
                <w:color w:val="000000" w:themeColor="text1"/>
                <w:lang w:val="es-ES"/>
              </w:rPr>
              <w:t>E</w:t>
            </w:r>
            <w:r>
              <w:rPr>
                <w:rFonts w:ascii="Arial" w:eastAsia="Arial" w:hAnsi="Arial" w:cs="Arial"/>
                <w:color w:val="000000" w:themeColor="text1"/>
                <w:lang w:val="es-ES"/>
              </w:rPr>
              <w:t>nergética (EE)</w:t>
            </w:r>
            <w:r w:rsidRPr="00561CAF">
              <w:rPr>
                <w:rFonts w:ascii="Arial" w:eastAsia="Arial" w:hAnsi="Arial" w:cs="Arial"/>
                <w:color w:val="000000" w:themeColor="text1"/>
                <w:lang w:val="es-ES"/>
              </w:rPr>
              <w:t>, mediante</w:t>
            </w:r>
            <w:r>
              <w:rPr>
                <w:rFonts w:ascii="Arial" w:eastAsia="Arial" w:hAnsi="Arial" w:cs="Arial"/>
                <w:color w:val="000000" w:themeColor="text1"/>
                <w:lang w:val="es-ES"/>
              </w:rPr>
              <w:t xml:space="preserve">: </w:t>
            </w:r>
          </w:p>
          <w:p w14:paraId="53C751CB" w14:textId="77777777" w:rsidR="00B24A6E" w:rsidRDefault="00B24A6E" w:rsidP="002E3593">
            <w:pPr>
              <w:autoSpaceDE w:val="0"/>
              <w:autoSpaceDN w:val="0"/>
              <w:adjustRightInd w:val="0"/>
              <w:jc w:val="both"/>
              <w:rPr>
                <w:rFonts w:ascii="Arial" w:eastAsia="Arial" w:hAnsi="Arial" w:cs="Arial"/>
                <w:color w:val="000000" w:themeColor="text1"/>
                <w:lang w:val="es-ES"/>
              </w:rPr>
            </w:pPr>
          </w:p>
          <w:p w14:paraId="2099CAA4" w14:textId="77777777" w:rsidR="00B24A6E" w:rsidRPr="00817FF5" w:rsidRDefault="00B24A6E" w:rsidP="002E3593">
            <w:pPr>
              <w:pStyle w:val="ListParagraph"/>
              <w:numPr>
                <w:ilvl w:val="0"/>
                <w:numId w:val="27"/>
              </w:numPr>
              <w:autoSpaceDE w:val="0"/>
              <w:autoSpaceDN w:val="0"/>
              <w:adjustRightInd w:val="0"/>
              <w:ind w:left="151" w:hanging="180"/>
              <w:jc w:val="both"/>
              <w:rPr>
                <w:rFonts w:ascii="Arial" w:eastAsia="Arial" w:hAnsi="Arial" w:cs="Arial"/>
                <w:color w:val="000000" w:themeColor="text1"/>
                <w:lang w:val="es-ES"/>
              </w:rPr>
            </w:pPr>
            <w:r w:rsidRPr="00817FF5">
              <w:rPr>
                <w:rFonts w:ascii="Arial" w:eastAsia="Arial" w:hAnsi="Arial" w:cs="Arial"/>
                <w:color w:val="000000" w:themeColor="text1"/>
                <w:lang w:val="es-ES"/>
              </w:rPr>
              <w:t xml:space="preserve">la creación de un Viceministerio encargado de proponer y administrar la política de ahorro y eficiencia energética, y </w:t>
            </w:r>
          </w:p>
          <w:p w14:paraId="572B4733" w14:textId="465917EA" w:rsidR="00B24A6E" w:rsidRPr="006173F1" w:rsidRDefault="00B24A6E" w:rsidP="00881827">
            <w:pPr>
              <w:pStyle w:val="ListParagraph"/>
              <w:numPr>
                <w:ilvl w:val="0"/>
                <w:numId w:val="27"/>
              </w:numPr>
              <w:autoSpaceDE w:val="0"/>
              <w:autoSpaceDN w:val="0"/>
              <w:adjustRightInd w:val="0"/>
              <w:ind w:left="151" w:hanging="180"/>
              <w:jc w:val="both"/>
              <w:rPr>
                <w:rFonts w:ascii="Arial" w:eastAsia="Arial" w:hAnsi="Arial" w:cs="Arial"/>
                <w:lang w:val="es-ES"/>
              </w:rPr>
            </w:pPr>
            <w:r w:rsidRPr="2203CD73">
              <w:rPr>
                <w:rFonts w:ascii="Arial" w:eastAsia="Arial" w:hAnsi="Arial" w:cs="Arial"/>
                <w:lang w:val="es-ES"/>
              </w:rPr>
              <w:t xml:space="preserve">la elaboración </w:t>
            </w:r>
            <w:r>
              <w:rPr>
                <w:rFonts w:ascii="Arial" w:eastAsia="Arial" w:hAnsi="Arial" w:cs="Arial"/>
                <w:lang w:val="es-ES"/>
              </w:rPr>
              <w:t xml:space="preserve">de informe </w:t>
            </w:r>
            <w:r w:rsidRPr="2203CD73">
              <w:rPr>
                <w:rFonts w:ascii="Arial" w:eastAsia="Arial" w:hAnsi="Arial" w:cs="Arial"/>
                <w:lang w:val="es-ES"/>
              </w:rPr>
              <w:t>de iniciativas y</w:t>
            </w:r>
            <w:r w:rsidRPr="00493EF7">
              <w:rPr>
                <w:rFonts w:ascii="Arial" w:eastAsia="Arial" w:hAnsi="Arial" w:cs="Arial"/>
                <w:lang w:val="es-ES"/>
              </w:rPr>
              <w:t xml:space="preserve"> proyectos de EE</w:t>
            </w:r>
          </w:p>
          <w:p w14:paraId="598F498D" w14:textId="62F74313" w:rsidR="00B24A6E" w:rsidRPr="001A3B45" w:rsidRDefault="00B24A6E" w:rsidP="002E3593">
            <w:pPr>
              <w:pStyle w:val="ListParagraph"/>
              <w:autoSpaceDE w:val="0"/>
              <w:autoSpaceDN w:val="0"/>
              <w:adjustRightInd w:val="0"/>
              <w:ind w:left="234"/>
              <w:rPr>
                <w:rFonts w:ascii="Arial" w:eastAsia="Arial" w:hAnsi="Arial" w:cs="Arial"/>
                <w:color w:val="000000" w:themeColor="text1"/>
                <w:lang w:val="es-ES"/>
              </w:rPr>
            </w:pPr>
          </w:p>
        </w:tc>
        <w:tc>
          <w:tcPr>
            <w:tcW w:w="3690" w:type="dxa"/>
          </w:tcPr>
          <w:p w14:paraId="6905799E" w14:textId="77777777" w:rsidR="00B24A6E" w:rsidRDefault="00B24A6E" w:rsidP="004C08C5">
            <w:pPr>
              <w:autoSpaceDE w:val="0"/>
              <w:autoSpaceDN w:val="0"/>
              <w:adjustRightInd w:val="0"/>
              <w:jc w:val="both"/>
              <w:rPr>
                <w:rStyle w:val="Hyperlink"/>
                <w:rFonts w:ascii="Arial" w:hAnsi="Arial" w:cs="Arial"/>
                <w:color w:val="000000" w:themeColor="text1"/>
                <w:u w:val="none"/>
                <w:lang w:val="es-ES" w:eastAsia="es-CO"/>
              </w:rPr>
            </w:pPr>
            <w:r w:rsidRPr="001A3B45">
              <w:rPr>
                <w:rStyle w:val="Hyperlink"/>
                <w:rFonts w:ascii="Arial" w:hAnsi="Arial" w:cs="Arial"/>
                <w:color w:val="000000" w:themeColor="text1"/>
                <w:u w:val="none"/>
                <w:lang w:val="es-ES" w:eastAsia="es-CO"/>
              </w:rPr>
              <w:t xml:space="preserve">Ley de creación del MEM </w:t>
            </w:r>
            <w:r>
              <w:rPr>
                <w:rStyle w:val="Hyperlink"/>
                <w:rFonts w:ascii="Arial" w:hAnsi="Arial" w:cs="Arial"/>
                <w:color w:val="000000" w:themeColor="text1"/>
                <w:u w:val="none"/>
                <w:lang w:val="es-ES" w:eastAsia="es-CO"/>
              </w:rPr>
              <w:t>(100-13) que crea el Viceministerio de Ahorro Energético Gubernamental.</w:t>
            </w:r>
          </w:p>
          <w:p w14:paraId="2AFA56D7" w14:textId="36DA4C64" w:rsidR="00B24A6E" w:rsidRPr="001A3B45" w:rsidRDefault="00B24A6E" w:rsidP="004C08C5">
            <w:pPr>
              <w:autoSpaceDE w:val="0"/>
              <w:autoSpaceDN w:val="0"/>
              <w:adjustRightInd w:val="0"/>
              <w:jc w:val="both"/>
              <w:rPr>
                <w:rFonts w:ascii="Arial" w:hAnsi="Arial" w:cs="Arial"/>
                <w:color w:val="000000" w:themeColor="text1"/>
                <w:lang w:val="es-CO"/>
              </w:rPr>
            </w:pPr>
          </w:p>
        </w:tc>
        <w:tc>
          <w:tcPr>
            <w:tcW w:w="3333" w:type="dxa"/>
            <w:shd w:val="clear" w:color="auto" w:fill="auto"/>
          </w:tcPr>
          <w:p w14:paraId="4AB0AB9A" w14:textId="2FE72837" w:rsidR="00B24A6E" w:rsidRDefault="00B24A6E" w:rsidP="002E3593">
            <w:pPr>
              <w:autoSpaceDE w:val="0"/>
              <w:autoSpaceDN w:val="0"/>
              <w:adjustRightInd w:val="0"/>
              <w:jc w:val="both"/>
              <w:rPr>
                <w:rFonts w:ascii="Arial" w:hAnsi="Arial" w:cs="Arial"/>
                <w:color w:val="000000" w:themeColor="text1"/>
                <w:lang w:val="es-ES"/>
              </w:rPr>
            </w:pPr>
            <w:r w:rsidRPr="001B3211">
              <w:rPr>
                <w:rFonts w:ascii="Arial" w:eastAsia="Arial" w:hAnsi="Arial" w:cs="Arial"/>
                <w:color w:val="000000" w:themeColor="text1"/>
                <w:u w:val="single"/>
                <w:lang w:val="es-ES"/>
              </w:rPr>
              <w:t>Cumplido</w:t>
            </w:r>
            <w:r>
              <w:rPr>
                <w:rFonts w:ascii="Arial" w:hAnsi="Arial" w:cs="Arial"/>
                <w:color w:val="000000" w:themeColor="text1"/>
                <w:lang w:val="es-ES"/>
              </w:rPr>
              <w:t xml:space="preserve"> </w:t>
            </w:r>
          </w:p>
          <w:p w14:paraId="76B41ADE" w14:textId="77777777" w:rsidR="00B24A6E" w:rsidRDefault="00B24A6E" w:rsidP="002E3593">
            <w:pPr>
              <w:autoSpaceDE w:val="0"/>
              <w:autoSpaceDN w:val="0"/>
              <w:adjustRightInd w:val="0"/>
              <w:jc w:val="both"/>
              <w:rPr>
                <w:rFonts w:ascii="Arial" w:hAnsi="Arial" w:cs="Arial"/>
                <w:color w:val="000000" w:themeColor="text1"/>
                <w:lang w:val="es-ES"/>
              </w:rPr>
            </w:pPr>
          </w:p>
          <w:p w14:paraId="694FBF48" w14:textId="77777777" w:rsidR="00B24A6E" w:rsidRDefault="00B24A6E" w:rsidP="002E3593">
            <w:pPr>
              <w:autoSpaceDE w:val="0"/>
              <w:autoSpaceDN w:val="0"/>
              <w:adjustRightInd w:val="0"/>
              <w:jc w:val="both"/>
              <w:rPr>
                <w:rFonts w:ascii="Arial" w:hAnsi="Arial" w:cs="Arial"/>
                <w:color w:val="000000" w:themeColor="text1"/>
                <w:lang w:val="es-ES"/>
              </w:rPr>
            </w:pPr>
          </w:p>
          <w:p w14:paraId="0AC57AD2" w14:textId="563B2735" w:rsidR="00B24A6E" w:rsidRPr="001A3B45" w:rsidRDefault="00B24A6E">
            <w:pPr>
              <w:autoSpaceDE w:val="0"/>
              <w:autoSpaceDN w:val="0"/>
              <w:adjustRightInd w:val="0"/>
              <w:jc w:val="both"/>
              <w:rPr>
                <w:rFonts w:ascii="Arial" w:hAnsi="Arial" w:cs="Arial"/>
                <w:color w:val="000000" w:themeColor="text1"/>
                <w:lang w:val="es-ES"/>
              </w:rPr>
            </w:pPr>
          </w:p>
        </w:tc>
      </w:tr>
      <w:tr w:rsidR="00B24A6E" w:rsidRPr="00304CDA" w14:paraId="716C874A" w14:textId="77777777" w:rsidTr="00F56EFF">
        <w:trPr>
          <w:gridAfter w:val="1"/>
          <w:wAfter w:w="16" w:type="dxa"/>
          <w:trHeight w:val="1061"/>
          <w:jc w:val="center"/>
        </w:trPr>
        <w:tc>
          <w:tcPr>
            <w:tcW w:w="1980" w:type="dxa"/>
            <w:vMerge/>
            <w:shd w:val="clear" w:color="auto" w:fill="auto"/>
          </w:tcPr>
          <w:p w14:paraId="21DD45D3" w14:textId="77777777" w:rsidR="00B24A6E" w:rsidRPr="6FAE9D8D" w:rsidRDefault="00B24A6E" w:rsidP="002E3593">
            <w:pPr>
              <w:pStyle w:val="ListParagraph"/>
              <w:numPr>
                <w:ilvl w:val="1"/>
                <w:numId w:val="16"/>
              </w:numPr>
              <w:autoSpaceDE w:val="0"/>
              <w:autoSpaceDN w:val="0"/>
              <w:adjustRightInd w:val="0"/>
              <w:rPr>
                <w:rFonts w:ascii="Arial" w:eastAsia="Arial" w:hAnsi="Arial" w:cs="Arial"/>
                <w:b/>
                <w:bCs/>
                <w:color w:val="000000" w:themeColor="text1"/>
                <w:lang w:val="es-ES"/>
              </w:rPr>
            </w:pPr>
          </w:p>
        </w:tc>
        <w:tc>
          <w:tcPr>
            <w:tcW w:w="4222" w:type="dxa"/>
            <w:vMerge/>
            <w:shd w:val="clear" w:color="auto" w:fill="auto"/>
          </w:tcPr>
          <w:p w14:paraId="40CC7F00" w14:textId="77777777" w:rsidR="00B24A6E" w:rsidRPr="00561CAF" w:rsidRDefault="00B24A6E" w:rsidP="002E3593">
            <w:pPr>
              <w:autoSpaceDE w:val="0"/>
              <w:autoSpaceDN w:val="0"/>
              <w:adjustRightInd w:val="0"/>
              <w:jc w:val="both"/>
              <w:rPr>
                <w:rFonts w:ascii="Arial" w:eastAsia="Arial" w:hAnsi="Arial" w:cs="Arial"/>
                <w:color w:val="000000" w:themeColor="text1"/>
                <w:lang w:val="es-ES"/>
              </w:rPr>
            </w:pPr>
          </w:p>
        </w:tc>
        <w:tc>
          <w:tcPr>
            <w:tcW w:w="3690" w:type="dxa"/>
          </w:tcPr>
          <w:p w14:paraId="00310A8E" w14:textId="310C312F" w:rsidR="00B24A6E" w:rsidRPr="001A3B45" w:rsidRDefault="00B24A6E" w:rsidP="004C08C5">
            <w:pPr>
              <w:autoSpaceDE w:val="0"/>
              <w:autoSpaceDN w:val="0"/>
              <w:adjustRightInd w:val="0"/>
              <w:jc w:val="both"/>
              <w:rPr>
                <w:rStyle w:val="Hyperlink"/>
                <w:rFonts w:ascii="Arial" w:hAnsi="Arial" w:cs="Arial"/>
                <w:color w:val="000000" w:themeColor="text1"/>
                <w:u w:val="none"/>
                <w:lang w:val="es-ES" w:eastAsia="es-CO"/>
              </w:rPr>
            </w:pPr>
            <w:r>
              <w:rPr>
                <w:rFonts w:ascii="Arial" w:hAnsi="Arial" w:cs="Arial"/>
                <w:color w:val="000000" w:themeColor="text1"/>
                <w:lang w:val="es-ES_tradnl"/>
              </w:rPr>
              <w:t xml:space="preserve">Informe del MEM con las iniciativas y proyectos de EE, incluyendo en detalle </w:t>
            </w:r>
            <w:r w:rsidRPr="001A3B45">
              <w:rPr>
                <w:rFonts w:ascii="Arial" w:hAnsi="Arial" w:cs="Arial"/>
                <w:color w:val="000000" w:themeColor="text1"/>
                <w:lang w:val="es-ES_tradnl"/>
              </w:rPr>
              <w:t xml:space="preserve">los recursos humanos necesarios para </w:t>
            </w:r>
            <w:r>
              <w:rPr>
                <w:rFonts w:ascii="Arial" w:hAnsi="Arial" w:cs="Arial"/>
                <w:color w:val="000000" w:themeColor="text1"/>
                <w:lang w:val="es-ES_tradnl"/>
              </w:rPr>
              <w:t xml:space="preserve">su </w:t>
            </w:r>
            <w:r w:rsidRPr="001A3B45">
              <w:rPr>
                <w:rFonts w:ascii="Arial" w:hAnsi="Arial" w:cs="Arial"/>
                <w:color w:val="000000" w:themeColor="text1"/>
                <w:lang w:val="es-ES_tradnl"/>
              </w:rPr>
              <w:t>desarrollo</w:t>
            </w:r>
            <w:r>
              <w:rPr>
                <w:rFonts w:ascii="Arial" w:hAnsi="Arial" w:cs="Arial"/>
                <w:color w:val="000000" w:themeColor="text1"/>
                <w:lang w:val="es-ES_tradnl"/>
              </w:rPr>
              <w:t xml:space="preserve"> de los proyectos</w:t>
            </w:r>
            <w:r w:rsidRPr="001A3B45">
              <w:rPr>
                <w:rFonts w:ascii="Arial" w:hAnsi="Arial" w:cs="Arial"/>
                <w:color w:val="000000" w:themeColor="text1"/>
                <w:lang w:val="es-ES_tradnl"/>
              </w:rPr>
              <w:t xml:space="preserve">.  </w:t>
            </w:r>
          </w:p>
        </w:tc>
        <w:tc>
          <w:tcPr>
            <w:tcW w:w="3333" w:type="dxa"/>
            <w:shd w:val="clear" w:color="auto" w:fill="auto"/>
          </w:tcPr>
          <w:p w14:paraId="52B47EAD" w14:textId="51FE9507" w:rsidR="00B24A6E" w:rsidRPr="001B3211" w:rsidRDefault="00B24A6E" w:rsidP="002E3593">
            <w:pPr>
              <w:autoSpaceDE w:val="0"/>
              <w:autoSpaceDN w:val="0"/>
              <w:adjustRightInd w:val="0"/>
              <w:jc w:val="both"/>
              <w:rPr>
                <w:rFonts w:ascii="Arial" w:eastAsia="Arial" w:hAnsi="Arial" w:cs="Arial"/>
                <w:color w:val="000000" w:themeColor="text1"/>
                <w:u w:val="single"/>
                <w:lang w:val="es-ES"/>
              </w:rPr>
            </w:pPr>
            <w:r>
              <w:rPr>
                <w:rFonts w:ascii="Arial" w:hAnsi="Arial" w:cs="Arial"/>
                <w:color w:val="000000" w:themeColor="text1"/>
                <w:u w:val="single"/>
                <w:lang w:val="es-ES"/>
              </w:rPr>
              <w:t>Cumplido</w:t>
            </w:r>
          </w:p>
        </w:tc>
      </w:tr>
      <w:tr w:rsidR="00B24A6E" w:rsidRPr="00304CDA" w14:paraId="76868824" w14:textId="77777777" w:rsidTr="00F56EFF">
        <w:trPr>
          <w:gridAfter w:val="1"/>
          <w:wAfter w:w="16" w:type="dxa"/>
          <w:trHeight w:val="1412"/>
          <w:jc w:val="center"/>
        </w:trPr>
        <w:tc>
          <w:tcPr>
            <w:tcW w:w="1980" w:type="dxa"/>
            <w:vMerge/>
            <w:shd w:val="clear" w:color="auto" w:fill="auto"/>
          </w:tcPr>
          <w:p w14:paraId="5203B3DA" w14:textId="77777777" w:rsidR="00B24A6E" w:rsidRPr="001A3B45" w:rsidRDefault="00B24A6E" w:rsidP="00F101E5">
            <w:pPr>
              <w:pStyle w:val="ListParagraph"/>
              <w:autoSpaceDE w:val="0"/>
              <w:autoSpaceDN w:val="0"/>
              <w:adjustRightInd w:val="0"/>
              <w:ind w:left="360"/>
              <w:rPr>
                <w:rFonts w:ascii="Arial" w:hAnsi="Arial" w:cs="Arial"/>
                <w:b/>
                <w:bCs/>
                <w:color w:val="000000" w:themeColor="text1"/>
                <w:lang w:val="es-ES_tradnl"/>
              </w:rPr>
            </w:pPr>
          </w:p>
        </w:tc>
        <w:tc>
          <w:tcPr>
            <w:tcW w:w="4222" w:type="dxa"/>
            <w:vMerge w:val="restart"/>
            <w:shd w:val="clear" w:color="auto" w:fill="auto"/>
          </w:tcPr>
          <w:p w14:paraId="73179B9E" w14:textId="77777777" w:rsidR="00B24A6E" w:rsidRPr="003B3AFF" w:rsidRDefault="00B24A6E" w:rsidP="00F101E5">
            <w:pPr>
              <w:autoSpaceDE w:val="0"/>
              <w:autoSpaceDN w:val="0"/>
              <w:adjustRightInd w:val="0"/>
              <w:jc w:val="both"/>
              <w:rPr>
                <w:rFonts w:ascii="Arial" w:eastAsia="Arial" w:hAnsi="Arial" w:cs="Arial"/>
                <w:color w:val="000000" w:themeColor="text1"/>
                <w:lang w:val="es-ES"/>
              </w:rPr>
            </w:pPr>
            <w:r w:rsidRPr="003B3AFF">
              <w:rPr>
                <w:rFonts w:ascii="Arial" w:eastAsia="Arial" w:hAnsi="Arial" w:cs="Arial"/>
                <w:color w:val="000000" w:themeColor="text1"/>
                <w:lang w:val="es-ES"/>
              </w:rPr>
              <w:t xml:space="preserve">Que el MEM </w:t>
            </w:r>
            <w:r>
              <w:rPr>
                <w:rFonts w:ascii="Arial" w:eastAsia="Arial" w:hAnsi="Arial" w:cs="Arial"/>
                <w:color w:val="000000" w:themeColor="text1"/>
                <w:lang w:val="es-ES"/>
              </w:rPr>
              <w:t xml:space="preserve">haya elaborado y </w:t>
            </w:r>
            <w:r w:rsidRPr="003B3AFF">
              <w:rPr>
                <w:rFonts w:ascii="Arial" w:eastAsia="Arial" w:hAnsi="Arial" w:cs="Arial"/>
                <w:color w:val="000000" w:themeColor="text1"/>
                <w:lang w:val="es-ES"/>
              </w:rPr>
              <w:t xml:space="preserve">puesto a consulta pública, </w:t>
            </w:r>
            <w:r>
              <w:rPr>
                <w:rFonts w:ascii="Arial" w:eastAsia="Arial" w:hAnsi="Arial" w:cs="Arial"/>
                <w:color w:val="000000" w:themeColor="text1"/>
                <w:lang w:val="es-ES"/>
              </w:rPr>
              <w:t xml:space="preserve">una nueva propuesta de </w:t>
            </w:r>
            <w:r w:rsidRPr="003B3AFF">
              <w:rPr>
                <w:rFonts w:ascii="Arial" w:eastAsia="Arial" w:hAnsi="Arial" w:cs="Arial"/>
                <w:color w:val="000000" w:themeColor="text1"/>
                <w:lang w:val="es-ES"/>
              </w:rPr>
              <w:t>proyecto de ley conteniendo el marco legal para el desarrollo del Programa Nacional de Eficiencia Energética, que incluya los siguientes puntos:</w:t>
            </w:r>
          </w:p>
          <w:p w14:paraId="6BB9EC0A" w14:textId="77777777" w:rsidR="00B24A6E" w:rsidRPr="003B3AFF" w:rsidRDefault="00B24A6E" w:rsidP="00F101E5">
            <w:pPr>
              <w:autoSpaceDE w:val="0"/>
              <w:autoSpaceDN w:val="0"/>
              <w:adjustRightInd w:val="0"/>
              <w:jc w:val="both"/>
              <w:rPr>
                <w:rFonts w:ascii="Arial" w:eastAsia="Arial" w:hAnsi="Arial" w:cs="Arial"/>
                <w:color w:val="000000" w:themeColor="text1"/>
                <w:lang w:val="es-ES"/>
              </w:rPr>
            </w:pPr>
          </w:p>
          <w:p w14:paraId="56A12E59" w14:textId="77777777" w:rsidR="00B24A6E" w:rsidRPr="003B3AFF" w:rsidRDefault="00B24A6E" w:rsidP="00F101E5">
            <w:pPr>
              <w:pStyle w:val="ListParagraph"/>
              <w:numPr>
                <w:ilvl w:val="0"/>
                <w:numId w:val="4"/>
              </w:numPr>
              <w:autoSpaceDE w:val="0"/>
              <w:autoSpaceDN w:val="0"/>
              <w:adjustRightInd w:val="0"/>
              <w:ind w:left="234" w:hanging="234"/>
              <w:rPr>
                <w:rFonts w:ascii="Arial" w:eastAsia="Arial" w:hAnsi="Arial" w:cs="Arial"/>
                <w:color w:val="000000" w:themeColor="text1"/>
                <w:lang w:val="es-CO" w:eastAsia="es-CO"/>
              </w:rPr>
            </w:pPr>
            <w:r w:rsidRPr="003B3AFF">
              <w:rPr>
                <w:rFonts w:ascii="Arial" w:eastAsia="Arial" w:hAnsi="Arial" w:cs="Arial"/>
                <w:color w:val="000000" w:themeColor="text1"/>
                <w:lang w:val="es-CO" w:eastAsia="es-CO"/>
              </w:rPr>
              <w:t>Promoción y fomento</w:t>
            </w:r>
            <w:r>
              <w:rPr>
                <w:rFonts w:ascii="Arial" w:eastAsia="Arial" w:hAnsi="Arial" w:cs="Arial"/>
                <w:color w:val="000000" w:themeColor="text1"/>
                <w:lang w:val="es-CO" w:eastAsia="es-CO"/>
              </w:rPr>
              <w:t>.</w:t>
            </w:r>
          </w:p>
          <w:p w14:paraId="007BE9C6" w14:textId="77777777" w:rsidR="00B24A6E" w:rsidRPr="003B3AFF" w:rsidRDefault="00B24A6E" w:rsidP="00F101E5">
            <w:pPr>
              <w:pStyle w:val="ListParagraph"/>
              <w:numPr>
                <w:ilvl w:val="0"/>
                <w:numId w:val="4"/>
              </w:numPr>
              <w:autoSpaceDE w:val="0"/>
              <w:autoSpaceDN w:val="0"/>
              <w:adjustRightInd w:val="0"/>
              <w:ind w:left="234" w:hanging="234"/>
              <w:rPr>
                <w:rFonts w:ascii="Arial" w:eastAsia="Arial" w:hAnsi="Arial" w:cs="Arial"/>
                <w:color w:val="000000" w:themeColor="text1"/>
                <w:lang w:val="es-CO" w:eastAsia="es-CO"/>
              </w:rPr>
            </w:pPr>
            <w:r w:rsidRPr="003B3AFF">
              <w:rPr>
                <w:rFonts w:ascii="Arial" w:eastAsia="Arial" w:hAnsi="Arial" w:cs="Arial"/>
                <w:color w:val="000000" w:themeColor="text1"/>
                <w:lang w:val="es-CO" w:eastAsia="es-CO"/>
              </w:rPr>
              <w:t>Incentivos fiscales</w:t>
            </w:r>
            <w:r>
              <w:rPr>
                <w:rFonts w:ascii="Arial" w:eastAsia="Arial" w:hAnsi="Arial" w:cs="Arial"/>
                <w:color w:val="000000" w:themeColor="text1"/>
                <w:lang w:val="es-CO" w:eastAsia="es-CO"/>
              </w:rPr>
              <w:t>.</w:t>
            </w:r>
          </w:p>
          <w:p w14:paraId="2CC3F173" w14:textId="77777777" w:rsidR="00B24A6E" w:rsidRPr="003B3AFF" w:rsidRDefault="00B24A6E" w:rsidP="00F101E5">
            <w:pPr>
              <w:pStyle w:val="ListParagraph"/>
              <w:numPr>
                <w:ilvl w:val="0"/>
                <w:numId w:val="4"/>
              </w:numPr>
              <w:autoSpaceDE w:val="0"/>
              <w:autoSpaceDN w:val="0"/>
              <w:adjustRightInd w:val="0"/>
              <w:ind w:left="234" w:hanging="234"/>
              <w:rPr>
                <w:rFonts w:ascii="Arial" w:eastAsia="Arial" w:hAnsi="Arial" w:cs="Arial"/>
                <w:color w:val="000000" w:themeColor="text1"/>
                <w:lang w:val="es-CO" w:eastAsia="es-CO"/>
              </w:rPr>
            </w:pPr>
            <w:r w:rsidRPr="003B3AFF">
              <w:rPr>
                <w:rFonts w:ascii="Arial" w:eastAsia="Arial" w:hAnsi="Arial" w:cs="Arial"/>
                <w:color w:val="000000" w:themeColor="text1"/>
                <w:lang w:val="es-CO" w:eastAsia="es-CO"/>
              </w:rPr>
              <w:t>Programas de etiquetado</w:t>
            </w:r>
            <w:r>
              <w:rPr>
                <w:rFonts w:ascii="Arial" w:eastAsia="Arial" w:hAnsi="Arial" w:cs="Arial"/>
                <w:color w:val="000000" w:themeColor="text1"/>
                <w:lang w:val="es-CO" w:eastAsia="es-CO"/>
              </w:rPr>
              <w:t>.</w:t>
            </w:r>
          </w:p>
          <w:p w14:paraId="74129C2C" w14:textId="77777777" w:rsidR="00B24A6E" w:rsidRPr="003B3AFF" w:rsidRDefault="00B24A6E" w:rsidP="00F101E5">
            <w:pPr>
              <w:pStyle w:val="ListParagraph"/>
              <w:numPr>
                <w:ilvl w:val="0"/>
                <w:numId w:val="4"/>
              </w:numPr>
              <w:autoSpaceDE w:val="0"/>
              <w:autoSpaceDN w:val="0"/>
              <w:adjustRightInd w:val="0"/>
              <w:ind w:left="234" w:hanging="234"/>
              <w:rPr>
                <w:rFonts w:ascii="Arial" w:eastAsia="Arial" w:hAnsi="Arial" w:cs="Arial"/>
                <w:color w:val="000000" w:themeColor="text1"/>
                <w:lang w:val="es-CO" w:eastAsia="es-CO"/>
              </w:rPr>
            </w:pPr>
            <w:r w:rsidRPr="003B3AFF">
              <w:rPr>
                <w:rFonts w:ascii="Arial" w:eastAsia="Arial" w:hAnsi="Arial" w:cs="Arial"/>
                <w:color w:val="000000" w:themeColor="text1"/>
                <w:lang w:val="es-CO" w:eastAsia="es-CO"/>
              </w:rPr>
              <w:t>Uso de productos eficientes</w:t>
            </w:r>
            <w:r>
              <w:rPr>
                <w:rFonts w:ascii="Arial" w:eastAsia="Arial" w:hAnsi="Arial" w:cs="Arial"/>
                <w:color w:val="000000" w:themeColor="text1"/>
                <w:lang w:val="es-CO" w:eastAsia="es-CO"/>
              </w:rPr>
              <w:t>.</w:t>
            </w:r>
          </w:p>
          <w:p w14:paraId="08FE2FB3" w14:textId="77777777" w:rsidR="00B24A6E" w:rsidRPr="006319DD" w:rsidRDefault="00B24A6E" w:rsidP="00F101E5">
            <w:pPr>
              <w:autoSpaceDE w:val="0"/>
              <w:autoSpaceDN w:val="0"/>
              <w:adjustRightInd w:val="0"/>
              <w:rPr>
                <w:rFonts w:ascii="Arial" w:hAnsi="Arial" w:cs="Arial"/>
                <w:color w:val="000000" w:themeColor="text1"/>
                <w:highlight w:val="yellow"/>
                <w:lang w:val="es-CO" w:eastAsia="es-CO"/>
              </w:rPr>
            </w:pPr>
          </w:p>
        </w:tc>
        <w:tc>
          <w:tcPr>
            <w:tcW w:w="3690" w:type="dxa"/>
          </w:tcPr>
          <w:p w14:paraId="1A788A85" w14:textId="77777777" w:rsidR="00B24A6E" w:rsidRDefault="00B24A6E" w:rsidP="008C7BE3">
            <w:pPr>
              <w:autoSpaceDE w:val="0"/>
              <w:autoSpaceDN w:val="0"/>
              <w:adjustRightInd w:val="0"/>
              <w:jc w:val="both"/>
              <w:rPr>
                <w:rFonts w:ascii="Arial" w:hAnsi="Arial" w:cs="Arial"/>
                <w:color w:val="000000" w:themeColor="text1"/>
                <w:lang w:val="es-ES"/>
              </w:rPr>
            </w:pPr>
            <w:r>
              <w:rPr>
                <w:rFonts w:ascii="Arial" w:eastAsia="Arial" w:hAnsi="Arial" w:cs="Arial"/>
                <w:color w:val="000000" w:themeColor="text1"/>
                <w:lang w:val="es-ES"/>
              </w:rPr>
              <w:t>Documento de ante</w:t>
            </w:r>
            <w:r w:rsidRPr="003B3AFF">
              <w:rPr>
                <w:rFonts w:ascii="Arial" w:eastAsia="Arial" w:hAnsi="Arial" w:cs="Arial"/>
                <w:color w:val="000000" w:themeColor="text1"/>
                <w:lang w:val="es-ES"/>
              </w:rPr>
              <w:t>proyecto de ley conteniendo el marco legal para el desarrollo del Programa Nacional de Eficiencia Energética</w:t>
            </w:r>
            <w:r>
              <w:rPr>
                <w:rFonts w:ascii="Arial" w:eastAsia="Arial" w:hAnsi="Arial" w:cs="Arial"/>
                <w:color w:val="000000" w:themeColor="text1"/>
                <w:lang w:val="es-ES"/>
              </w:rPr>
              <w:t>, que contenga los puntos señalados en la condición.</w:t>
            </w:r>
          </w:p>
          <w:p w14:paraId="1D66D567" w14:textId="77777777" w:rsidR="00B24A6E" w:rsidRPr="009627EF" w:rsidRDefault="00B24A6E" w:rsidP="00A43D8D">
            <w:pPr>
              <w:autoSpaceDE w:val="0"/>
              <w:autoSpaceDN w:val="0"/>
              <w:adjustRightInd w:val="0"/>
              <w:rPr>
                <w:rFonts w:ascii="Arial" w:hAnsi="Arial" w:cs="Arial"/>
                <w:color w:val="000000" w:themeColor="text1"/>
                <w:lang w:val="es-ES"/>
              </w:rPr>
            </w:pPr>
          </w:p>
        </w:tc>
        <w:tc>
          <w:tcPr>
            <w:tcW w:w="3333" w:type="dxa"/>
            <w:shd w:val="clear" w:color="auto" w:fill="auto"/>
          </w:tcPr>
          <w:p w14:paraId="1D844638" w14:textId="7CAA96E4" w:rsidR="00B24A6E" w:rsidRPr="001A3B45" w:rsidRDefault="00B24A6E" w:rsidP="001C3A6B">
            <w:pPr>
              <w:autoSpaceDE w:val="0"/>
              <w:autoSpaceDN w:val="0"/>
              <w:adjustRightInd w:val="0"/>
              <w:jc w:val="both"/>
              <w:rPr>
                <w:rFonts w:ascii="Arial" w:eastAsia="Arial" w:hAnsi="Arial" w:cs="Arial"/>
                <w:color w:val="000000" w:themeColor="text1"/>
                <w:lang w:val="es-ES"/>
              </w:rPr>
            </w:pPr>
            <w:r>
              <w:rPr>
                <w:rFonts w:ascii="Arial" w:eastAsia="Arial" w:hAnsi="Arial" w:cs="Arial"/>
                <w:color w:val="000000" w:themeColor="text1"/>
                <w:u w:val="single"/>
                <w:lang w:val="es-ES"/>
              </w:rPr>
              <w:t>Cumplido</w:t>
            </w:r>
          </w:p>
        </w:tc>
      </w:tr>
      <w:tr w:rsidR="00B24A6E" w:rsidRPr="00304CDA" w14:paraId="62581228" w14:textId="77777777" w:rsidTr="00F23488">
        <w:trPr>
          <w:gridAfter w:val="1"/>
          <w:wAfter w:w="16" w:type="dxa"/>
          <w:trHeight w:val="116"/>
          <w:jc w:val="center"/>
        </w:trPr>
        <w:tc>
          <w:tcPr>
            <w:tcW w:w="1980" w:type="dxa"/>
            <w:vMerge/>
            <w:shd w:val="clear" w:color="auto" w:fill="auto"/>
          </w:tcPr>
          <w:p w14:paraId="2221B6F4" w14:textId="77777777" w:rsidR="00B24A6E" w:rsidRPr="001A3B45" w:rsidRDefault="00B24A6E" w:rsidP="00F101E5">
            <w:pPr>
              <w:pStyle w:val="ListParagraph"/>
              <w:autoSpaceDE w:val="0"/>
              <w:autoSpaceDN w:val="0"/>
              <w:adjustRightInd w:val="0"/>
              <w:ind w:left="360"/>
              <w:rPr>
                <w:rFonts w:ascii="Arial" w:hAnsi="Arial" w:cs="Arial"/>
                <w:b/>
                <w:bCs/>
                <w:color w:val="000000" w:themeColor="text1"/>
                <w:lang w:val="es-ES_tradnl"/>
              </w:rPr>
            </w:pPr>
          </w:p>
        </w:tc>
        <w:tc>
          <w:tcPr>
            <w:tcW w:w="4222" w:type="dxa"/>
            <w:vMerge/>
            <w:shd w:val="clear" w:color="auto" w:fill="auto"/>
          </w:tcPr>
          <w:p w14:paraId="02747B72" w14:textId="77777777" w:rsidR="00B24A6E" w:rsidRPr="003B3AFF" w:rsidRDefault="00B24A6E" w:rsidP="00F101E5">
            <w:pPr>
              <w:autoSpaceDE w:val="0"/>
              <w:autoSpaceDN w:val="0"/>
              <w:adjustRightInd w:val="0"/>
              <w:jc w:val="both"/>
              <w:rPr>
                <w:rFonts w:ascii="Arial" w:eastAsia="Arial" w:hAnsi="Arial" w:cs="Arial"/>
                <w:color w:val="000000" w:themeColor="text1"/>
                <w:lang w:val="es-ES"/>
              </w:rPr>
            </w:pPr>
          </w:p>
        </w:tc>
        <w:tc>
          <w:tcPr>
            <w:tcW w:w="3690" w:type="dxa"/>
          </w:tcPr>
          <w:p w14:paraId="12FF8B7A" w14:textId="2E3E9D96" w:rsidR="00B24A6E" w:rsidRDefault="00B24A6E" w:rsidP="00F56EFF">
            <w:pPr>
              <w:autoSpaceDE w:val="0"/>
              <w:autoSpaceDN w:val="0"/>
              <w:adjustRightInd w:val="0"/>
              <w:jc w:val="both"/>
              <w:rPr>
                <w:rFonts w:ascii="Arial" w:eastAsia="Arial" w:hAnsi="Arial" w:cs="Arial"/>
                <w:color w:val="000000" w:themeColor="text1"/>
                <w:lang w:val="es-ES"/>
              </w:rPr>
            </w:pPr>
            <w:r w:rsidRPr="001A3B45">
              <w:rPr>
                <w:rFonts w:ascii="Arial" w:hAnsi="Arial" w:cs="Arial"/>
                <w:color w:val="000000" w:themeColor="text1"/>
                <w:lang w:val="es-ES"/>
              </w:rPr>
              <w:t xml:space="preserve">Inicio del proceso de Vista Pública del </w:t>
            </w:r>
            <w:r>
              <w:rPr>
                <w:rFonts w:ascii="Arial" w:hAnsi="Arial" w:cs="Arial"/>
                <w:color w:val="000000" w:themeColor="text1"/>
                <w:lang w:val="es-ES"/>
              </w:rPr>
              <w:t>Antep</w:t>
            </w:r>
            <w:r w:rsidRPr="001A3B45">
              <w:rPr>
                <w:rFonts w:ascii="Arial" w:hAnsi="Arial" w:cs="Arial"/>
                <w:color w:val="000000" w:themeColor="text1"/>
                <w:lang w:val="es-ES"/>
              </w:rPr>
              <w:t>royecto de Ley a través de la publicación en la página web del MEM</w:t>
            </w:r>
            <w:r>
              <w:rPr>
                <w:rFonts w:ascii="Arial" w:hAnsi="Arial" w:cs="Arial"/>
                <w:color w:val="000000" w:themeColor="text1"/>
                <w:lang w:val="es-ES"/>
              </w:rPr>
              <w:t xml:space="preserve">, del documento de proyecto de ley para el </w:t>
            </w:r>
            <w:r w:rsidRPr="003B3AFF">
              <w:rPr>
                <w:rFonts w:ascii="Arial" w:eastAsia="Arial" w:hAnsi="Arial" w:cs="Arial"/>
                <w:color w:val="000000" w:themeColor="text1"/>
                <w:lang w:val="es-ES"/>
              </w:rPr>
              <w:t>Programa Nacional de Eficiencia Energética</w:t>
            </w:r>
            <w:r>
              <w:rPr>
                <w:rFonts w:ascii="Arial" w:hAnsi="Arial" w:cs="Arial"/>
                <w:color w:val="000000" w:themeColor="text1"/>
                <w:lang w:val="es-ES"/>
              </w:rPr>
              <w:t xml:space="preserve">. </w:t>
            </w:r>
          </w:p>
        </w:tc>
        <w:tc>
          <w:tcPr>
            <w:tcW w:w="3333" w:type="dxa"/>
            <w:shd w:val="clear" w:color="auto" w:fill="auto"/>
          </w:tcPr>
          <w:p w14:paraId="1B63C04C" w14:textId="4F4F5750" w:rsidR="001C3A6B" w:rsidRPr="001A3B45" w:rsidRDefault="00B24A6E" w:rsidP="001C3A6B">
            <w:pPr>
              <w:autoSpaceDE w:val="0"/>
              <w:autoSpaceDN w:val="0"/>
              <w:adjustRightInd w:val="0"/>
              <w:jc w:val="both"/>
              <w:rPr>
                <w:rFonts w:ascii="Arial" w:eastAsia="Arial" w:hAnsi="Arial" w:cs="Arial"/>
                <w:color w:val="000000" w:themeColor="text1"/>
                <w:lang w:val="es-ES"/>
              </w:rPr>
            </w:pPr>
            <w:r w:rsidRPr="00177E16">
              <w:rPr>
                <w:rFonts w:ascii="Arial" w:eastAsia="Arial" w:hAnsi="Arial" w:cs="Arial"/>
                <w:color w:val="000000" w:themeColor="text1"/>
                <w:u w:val="single"/>
                <w:lang w:val="es-ES"/>
              </w:rPr>
              <w:t>Cumplido</w:t>
            </w:r>
            <w:r w:rsidR="001C3A6B" w:rsidRPr="001A3B45">
              <w:rPr>
                <w:rFonts w:ascii="Arial" w:eastAsia="Arial" w:hAnsi="Arial" w:cs="Arial"/>
                <w:color w:val="000000" w:themeColor="text1"/>
                <w:lang w:val="es-ES"/>
              </w:rPr>
              <w:t xml:space="preserve"> </w:t>
            </w:r>
          </w:p>
          <w:p w14:paraId="5068DFA1" w14:textId="7837595C" w:rsidR="00B24A6E" w:rsidRPr="001A3B45" w:rsidRDefault="00B24A6E" w:rsidP="00F101E5">
            <w:pPr>
              <w:autoSpaceDE w:val="0"/>
              <w:autoSpaceDN w:val="0"/>
              <w:adjustRightInd w:val="0"/>
              <w:jc w:val="both"/>
              <w:rPr>
                <w:rFonts w:ascii="Arial" w:eastAsia="Arial" w:hAnsi="Arial" w:cs="Arial"/>
                <w:color w:val="000000" w:themeColor="text1"/>
                <w:lang w:val="es-ES"/>
              </w:rPr>
            </w:pPr>
          </w:p>
        </w:tc>
      </w:tr>
      <w:tr w:rsidR="00B24A6E" w:rsidRPr="00250DF4" w14:paraId="273A74E7" w14:textId="77777777" w:rsidTr="00F23488">
        <w:trPr>
          <w:gridAfter w:val="1"/>
          <w:wAfter w:w="16" w:type="dxa"/>
          <w:trHeight w:val="438"/>
          <w:jc w:val="center"/>
        </w:trPr>
        <w:tc>
          <w:tcPr>
            <w:tcW w:w="1980" w:type="dxa"/>
            <w:vMerge w:val="restart"/>
            <w:shd w:val="clear" w:color="auto" w:fill="auto"/>
          </w:tcPr>
          <w:p w14:paraId="67BD6D3C" w14:textId="77777777" w:rsidR="00B24A6E" w:rsidRPr="001A3B45" w:rsidRDefault="00B24A6E" w:rsidP="00F101E5">
            <w:pPr>
              <w:pStyle w:val="ListParagraph"/>
              <w:numPr>
                <w:ilvl w:val="1"/>
                <w:numId w:val="16"/>
              </w:numPr>
              <w:autoSpaceDE w:val="0"/>
              <w:autoSpaceDN w:val="0"/>
              <w:adjustRightInd w:val="0"/>
              <w:rPr>
                <w:rFonts w:ascii="Arial" w:eastAsia="Arial" w:hAnsi="Arial" w:cs="Arial"/>
                <w:b/>
                <w:bCs/>
                <w:color w:val="000000" w:themeColor="text1"/>
                <w:lang w:val="es-ES"/>
              </w:rPr>
            </w:pPr>
            <w:r w:rsidRPr="6FAE9D8D">
              <w:rPr>
                <w:rFonts w:ascii="Arial" w:eastAsia="Arial" w:hAnsi="Arial" w:cs="Arial"/>
                <w:b/>
                <w:bCs/>
                <w:color w:val="000000" w:themeColor="text1"/>
                <w:lang w:val="es-ES"/>
              </w:rPr>
              <w:lastRenderedPageBreak/>
              <w:t>Apoyar diseño e implementación de nuevo régimen tarifario eficiente, flexible y que favorezca la sostenibilidad del sector</w:t>
            </w:r>
          </w:p>
          <w:p w14:paraId="6914756E" w14:textId="77777777" w:rsidR="00B24A6E" w:rsidRPr="001A3B45" w:rsidRDefault="00B24A6E" w:rsidP="00F101E5">
            <w:pPr>
              <w:autoSpaceDE w:val="0"/>
              <w:autoSpaceDN w:val="0"/>
              <w:adjustRightInd w:val="0"/>
              <w:rPr>
                <w:rFonts w:ascii="Arial" w:hAnsi="Arial" w:cs="Arial"/>
                <w:b/>
                <w:bCs/>
                <w:color w:val="000000" w:themeColor="text1"/>
                <w:lang w:val="es-ES"/>
              </w:rPr>
            </w:pPr>
          </w:p>
        </w:tc>
        <w:tc>
          <w:tcPr>
            <w:tcW w:w="4222" w:type="dxa"/>
            <w:shd w:val="clear" w:color="auto" w:fill="auto"/>
          </w:tcPr>
          <w:p w14:paraId="50E9E69C" w14:textId="77777777" w:rsidR="00B24A6E" w:rsidRPr="004200DB" w:rsidRDefault="00B24A6E" w:rsidP="00F101E5">
            <w:pPr>
              <w:autoSpaceDE w:val="0"/>
              <w:autoSpaceDN w:val="0"/>
              <w:adjustRightInd w:val="0"/>
              <w:jc w:val="both"/>
              <w:rPr>
                <w:rFonts w:ascii="Arial" w:eastAsia="Arial" w:hAnsi="Arial" w:cs="Arial"/>
                <w:color w:val="000000" w:themeColor="text1"/>
                <w:lang w:val="es-ES" w:eastAsia="es-CO"/>
              </w:rPr>
            </w:pPr>
            <w:r w:rsidRPr="004200DB">
              <w:rPr>
                <w:rFonts w:ascii="Arial" w:eastAsia="Arial" w:hAnsi="Arial" w:cs="Arial"/>
                <w:color w:val="000000" w:themeColor="text1"/>
                <w:lang w:val="es-ES"/>
              </w:rPr>
              <w:t xml:space="preserve">Que </w:t>
            </w:r>
            <w:r w:rsidRPr="004200DB">
              <w:rPr>
                <w:rFonts w:ascii="Arial" w:eastAsia="Arial" w:hAnsi="Arial" w:cs="Arial"/>
                <w:color w:val="000000" w:themeColor="text1"/>
                <w:lang w:val="es-ES" w:eastAsia="es-CO"/>
              </w:rPr>
              <w:t xml:space="preserve">la SIE haya aprobado y emitido la resolución con la </w:t>
            </w:r>
            <w:r w:rsidRPr="00473027">
              <w:rPr>
                <w:rFonts w:ascii="Arial" w:eastAsia="Arial" w:hAnsi="Arial" w:cs="Arial"/>
                <w:b/>
                <w:color w:val="000000" w:themeColor="text1"/>
                <w:lang w:val="es-ES" w:eastAsia="es-CO"/>
              </w:rPr>
              <w:t>tarifa de referencia</w:t>
            </w:r>
            <w:r>
              <w:rPr>
                <w:rStyle w:val="FootnoteReference"/>
                <w:rFonts w:ascii="Arial" w:eastAsia="Arial" w:hAnsi="Arial" w:cs="Arial"/>
                <w:color w:val="000000" w:themeColor="text1"/>
                <w:lang w:val="es-ES" w:eastAsia="es-CO"/>
              </w:rPr>
              <w:footnoteReference w:id="4"/>
            </w:r>
            <w:r w:rsidRPr="004200DB">
              <w:rPr>
                <w:rFonts w:ascii="Arial" w:eastAsia="Arial" w:hAnsi="Arial" w:cs="Arial"/>
                <w:color w:val="000000" w:themeColor="text1"/>
                <w:lang w:val="es-ES" w:eastAsia="es-CO"/>
              </w:rPr>
              <w:t xml:space="preserve"> </w:t>
            </w:r>
            <w:r>
              <w:rPr>
                <w:rFonts w:ascii="Arial" w:eastAsia="Arial" w:hAnsi="Arial" w:cs="Arial"/>
                <w:color w:val="000000" w:themeColor="text1"/>
                <w:lang w:val="es-ES" w:eastAsia="es-CO"/>
              </w:rPr>
              <w:t>a ser</w:t>
            </w:r>
            <w:r w:rsidRPr="004200DB">
              <w:rPr>
                <w:rFonts w:ascii="Arial" w:eastAsia="Arial" w:hAnsi="Arial" w:cs="Arial"/>
                <w:color w:val="000000" w:themeColor="text1"/>
                <w:lang w:val="es-ES" w:eastAsia="es-CO"/>
              </w:rPr>
              <w:t xml:space="preserve"> </w:t>
            </w:r>
            <w:r>
              <w:rPr>
                <w:rFonts w:ascii="Arial" w:eastAsia="Arial" w:hAnsi="Arial" w:cs="Arial"/>
                <w:color w:val="000000" w:themeColor="text1"/>
                <w:lang w:val="es-ES" w:eastAsia="es-CO"/>
              </w:rPr>
              <w:t>aplicada</w:t>
            </w:r>
            <w:r w:rsidRPr="004200DB">
              <w:rPr>
                <w:rFonts w:ascii="Arial" w:eastAsia="Arial" w:hAnsi="Arial" w:cs="Arial"/>
                <w:color w:val="000000" w:themeColor="text1"/>
                <w:lang w:val="es-ES" w:eastAsia="es-CO"/>
              </w:rPr>
              <w:t xml:space="preserve"> </w:t>
            </w:r>
            <w:r>
              <w:rPr>
                <w:rFonts w:ascii="Arial" w:eastAsia="Arial" w:hAnsi="Arial" w:cs="Arial"/>
                <w:color w:val="000000" w:themeColor="text1"/>
                <w:lang w:val="es-ES" w:eastAsia="es-CO"/>
              </w:rPr>
              <w:t>a partir de</w:t>
            </w:r>
            <w:r w:rsidRPr="004200DB">
              <w:rPr>
                <w:rFonts w:ascii="Arial" w:eastAsia="Arial" w:hAnsi="Arial" w:cs="Arial"/>
                <w:color w:val="000000" w:themeColor="text1"/>
                <w:lang w:val="es-ES" w:eastAsia="es-CO"/>
              </w:rPr>
              <w:t xml:space="preserve">l 1ro de enero de 2023, </w:t>
            </w:r>
            <w:r>
              <w:rPr>
                <w:rFonts w:ascii="Arial" w:eastAsia="Arial" w:hAnsi="Arial" w:cs="Arial"/>
                <w:color w:val="000000" w:themeColor="text1"/>
                <w:lang w:val="es-ES" w:eastAsia="es-CO"/>
              </w:rPr>
              <w:t>en función de los siguientes parámetros</w:t>
            </w:r>
            <w:r w:rsidRPr="008C3585">
              <w:rPr>
                <w:rFonts w:ascii="Arial" w:eastAsia="Arial" w:hAnsi="Arial" w:cs="Arial"/>
                <w:color w:val="000000" w:themeColor="text1"/>
                <w:lang w:val="es-ES" w:eastAsia="es-CO"/>
              </w:rPr>
              <w:t>:</w:t>
            </w:r>
          </w:p>
          <w:p w14:paraId="3840CCDC" w14:textId="77777777" w:rsidR="00B24A6E" w:rsidRPr="004200DB" w:rsidRDefault="00B24A6E" w:rsidP="00F101E5">
            <w:pPr>
              <w:autoSpaceDE w:val="0"/>
              <w:autoSpaceDN w:val="0"/>
              <w:adjustRightInd w:val="0"/>
              <w:jc w:val="both"/>
              <w:rPr>
                <w:rFonts w:ascii="Arial" w:eastAsia="Arial" w:hAnsi="Arial" w:cs="Arial"/>
                <w:color w:val="000000" w:themeColor="text1"/>
                <w:lang w:val="es-ES" w:eastAsia="es-CO"/>
              </w:rPr>
            </w:pPr>
          </w:p>
          <w:p w14:paraId="28FFD3C3" w14:textId="77777777" w:rsidR="00B24A6E" w:rsidRDefault="00B24A6E" w:rsidP="00F101E5">
            <w:pPr>
              <w:pStyle w:val="ListParagraph"/>
              <w:numPr>
                <w:ilvl w:val="0"/>
                <w:numId w:val="26"/>
              </w:numPr>
              <w:autoSpaceDE w:val="0"/>
              <w:autoSpaceDN w:val="0"/>
              <w:adjustRightInd w:val="0"/>
              <w:ind w:left="225" w:hanging="225"/>
              <w:jc w:val="both"/>
              <w:rPr>
                <w:rFonts w:ascii="Arial" w:eastAsia="Arial" w:hAnsi="Arial" w:cs="Arial"/>
                <w:color w:val="000000" w:themeColor="text1"/>
                <w:lang w:val="es-ES" w:eastAsia="es-CO"/>
              </w:rPr>
            </w:pPr>
            <w:bookmarkStart w:id="7" w:name="_Hlk517255787"/>
            <w:r w:rsidRPr="004200DB">
              <w:rPr>
                <w:rFonts w:ascii="Arial" w:eastAsia="Arial" w:hAnsi="Arial" w:cs="Arial"/>
                <w:color w:val="000000" w:themeColor="text1"/>
                <w:lang w:val="es-ES" w:eastAsia="es-CO"/>
              </w:rPr>
              <w:t xml:space="preserve">hasta un 15% de pérdidas, </w:t>
            </w:r>
          </w:p>
          <w:p w14:paraId="796BB062" w14:textId="77777777" w:rsidR="00B24A6E" w:rsidRDefault="00B24A6E" w:rsidP="00F101E5">
            <w:pPr>
              <w:pStyle w:val="ListParagraph"/>
              <w:numPr>
                <w:ilvl w:val="0"/>
                <w:numId w:val="26"/>
              </w:numPr>
              <w:autoSpaceDE w:val="0"/>
              <w:autoSpaceDN w:val="0"/>
              <w:adjustRightInd w:val="0"/>
              <w:ind w:left="225" w:hanging="225"/>
              <w:jc w:val="both"/>
              <w:rPr>
                <w:rFonts w:ascii="Arial" w:eastAsia="Arial" w:hAnsi="Arial" w:cs="Arial"/>
                <w:color w:val="000000" w:themeColor="text1"/>
                <w:lang w:val="es-ES" w:eastAsia="es-CO"/>
              </w:rPr>
            </w:pPr>
            <w:r w:rsidRPr="004200DB">
              <w:rPr>
                <w:rFonts w:ascii="Arial" w:eastAsia="Arial" w:hAnsi="Arial" w:cs="Arial"/>
                <w:color w:val="000000" w:themeColor="text1"/>
                <w:lang w:val="es-ES" w:eastAsia="es-CO"/>
              </w:rPr>
              <w:t xml:space="preserve">un 97% de cobranzas, </w:t>
            </w:r>
          </w:p>
          <w:p w14:paraId="335AA9EC" w14:textId="77777777" w:rsidR="00B24A6E" w:rsidRDefault="00B24A6E" w:rsidP="00F101E5">
            <w:pPr>
              <w:pStyle w:val="ListParagraph"/>
              <w:numPr>
                <w:ilvl w:val="0"/>
                <w:numId w:val="26"/>
              </w:numPr>
              <w:autoSpaceDE w:val="0"/>
              <w:autoSpaceDN w:val="0"/>
              <w:adjustRightInd w:val="0"/>
              <w:ind w:left="225" w:hanging="225"/>
              <w:jc w:val="both"/>
              <w:rPr>
                <w:rFonts w:ascii="Arial" w:eastAsia="Arial" w:hAnsi="Arial" w:cs="Arial"/>
                <w:color w:val="000000" w:themeColor="text1"/>
                <w:lang w:val="es-ES" w:eastAsia="es-CO"/>
              </w:rPr>
            </w:pPr>
            <w:r w:rsidRPr="004200DB">
              <w:rPr>
                <w:rFonts w:ascii="Arial" w:eastAsia="Arial" w:hAnsi="Arial" w:cs="Arial"/>
                <w:color w:val="000000" w:themeColor="text1"/>
                <w:lang w:val="es-ES" w:eastAsia="es-CO"/>
              </w:rPr>
              <w:t>un 10% de relación gastos operativos/ingresos, y</w:t>
            </w:r>
          </w:p>
          <w:p w14:paraId="77D0B298" w14:textId="503BE0F1" w:rsidR="00B24A6E" w:rsidRPr="000117D8" w:rsidRDefault="00B24A6E" w:rsidP="00F56EFF">
            <w:pPr>
              <w:pStyle w:val="ListParagraph"/>
              <w:numPr>
                <w:ilvl w:val="0"/>
                <w:numId w:val="26"/>
              </w:numPr>
              <w:autoSpaceDE w:val="0"/>
              <w:autoSpaceDN w:val="0"/>
              <w:adjustRightInd w:val="0"/>
              <w:ind w:left="225" w:hanging="225"/>
              <w:jc w:val="both"/>
              <w:rPr>
                <w:rFonts w:ascii="Arial" w:hAnsi="Arial" w:cs="Arial"/>
                <w:color w:val="000000" w:themeColor="text1"/>
                <w:lang w:val="es-ES"/>
              </w:rPr>
            </w:pPr>
            <w:r w:rsidRPr="004200DB">
              <w:rPr>
                <w:rFonts w:ascii="Arial" w:eastAsia="Arial" w:hAnsi="Arial" w:cs="Arial"/>
                <w:color w:val="000000" w:themeColor="text1"/>
                <w:lang w:val="es-ES" w:eastAsia="es-CO"/>
              </w:rPr>
              <w:t>la tasa de costo de capital para inversión en el sector eléctrico establecida por el Banco Central.</w:t>
            </w:r>
            <w:bookmarkEnd w:id="7"/>
          </w:p>
        </w:tc>
        <w:tc>
          <w:tcPr>
            <w:tcW w:w="3690" w:type="dxa"/>
          </w:tcPr>
          <w:p w14:paraId="1C6069C8" w14:textId="77777777" w:rsidR="00B24A6E" w:rsidRPr="000117D8" w:rsidRDefault="00B24A6E" w:rsidP="00F101E5">
            <w:pPr>
              <w:autoSpaceDE w:val="0"/>
              <w:autoSpaceDN w:val="0"/>
              <w:adjustRightInd w:val="0"/>
              <w:jc w:val="both"/>
              <w:rPr>
                <w:rFonts w:ascii="Arial" w:hAnsi="Arial" w:cs="Arial"/>
                <w:color w:val="000000" w:themeColor="text1"/>
                <w:lang w:val="es-ES" w:eastAsia="es-CO"/>
              </w:rPr>
            </w:pPr>
            <w:r w:rsidRPr="000117D8">
              <w:rPr>
                <w:rFonts w:ascii="Arial" w:hAnsi="Arial" w:cs="Arial"/>
                <w:color w:val="000000" w:themeColor="text1"/>
                <w:lang w:val="es-ES" w:eastAsia="es-CO"/>
              </w:rPr>
              <w:t xml:space="preserve">Resolución de la SIE con la fijación de la tarifa de referencia, </w:t>
            </w:r>
            <w:r>
              <w:rPr>
                <w:rFonts w:ascii="Arial" w:hAnsi="Arial" w:cs="Arial"/>
                <w:color w:val="000000" w:themeColor="text1"/>
                <w:lang w:val="es-ES" w:eastAsia="es-CO"/>
              </w:rPr>
              <w:t xml:space="preserve">en función de los parámetros mencionados en la condición, </w:t>
            </w:r>
            <w:r w:rsidRPr="000117D8">
              <w:rPr>
                <w:rFonts w:ascii="Arial" w:hAnsi="Arial" w:cs="Arial"/>
                <w:color w:val="000000" w:themeColor="text1"/>
                <w:lang w:val="es-ES" w:eastAsia="es-CO"/>
              </w:rPr>
              <w:t xml:space="preserve">que marque el objetivo de lo que se </w:t>
            </w:r>
            <w:r>
              <w:rPr>
                <w:rFonts w:ascii="Arial" w:hAnsi="Arial" w:cs="Arial"/>
                <w:color w:val="000000" w:themeColor="text1"/>
                <w:lang w:val="es-ES" w:eastAsia="es-CO"/>
              </w:rPr>
              <w:t>propone</w:t>
            </w:r>
            <w:r w:rsidRPr="000117D8">
              <w:rPr>
                <w:rFonts w:ascii="Arial" w:hAnsi="Arial" w:cs="Arial"/>
                <w:color w:val="000000" w:themeColor="text1"/>
                <w:lang w:val="es-ES" w:eastAsia="es-CO"/>
              </w:rPr>
              <w:t xml:space="preserve"> alcanzar al 1ro de enero de 2023, </w:t>
            </w:r>
            <w:r>
              <w:rPr>
                <w:rFonts w:ascii="Arial" w:hAnsi="Arial" w:cs="Arial"/>
                <w:color w:val="000000" w:themeColor="text1"/>
                <w:lang w:val="es-ES" w:eastAsia="es-CO"/>
              </w:rPr>
              <w:t>y cree</w:t>
            </w:r>
            <w:r w:rsidRPr="000117D8">
              <w:rPr>
                <w:rFonts w:ascii="Arial" w:hAnsi="Arial" w:cs="Arial"/>
                <w:color w:val="000000" w:themeColor="text1"/>
                <w:lang w:val="es-ES" w:eastAsia="es-CO"/>
              </w:rPr>
              <w:t xml:space="preserve"> las condiciones para la posterior implementación de la tarifa técnica.</w:t>
            </w:r>
          </w:p>
          <w:p w14:paraId="39C6DB2C" w14:textId="77777777" w:rsidR="00B24A6E" w:rsidRPr="00242A72" w:rsidRDefault="00B24A6E" w:rsidP="00F101E5">
            <w:pPr>
              <w:autoSpaceDE w:val="0"/>
              <w:autoSpaceDN w:val="0"/>
              <w:adjustRightInd w:val="0"/>
              <w:jc w:val="both"/>
              <w:rPr>
                <w:rFonts w:ascii="Arial" w:hAnsi="Arial" w:cs="Arial"/>
                <w:color w:val="000000" w:themeColor="text1"/>
                <w:lang w:val="es-ES" w:eastAsia="es-CO"/>
              </w:rPr>
            </w:pPr>
          </w:p>
          <w:p w14:paraId="1CD305B2" w14:textId="77777777" w:rsidR="00B24A6E" w:rsidRPr="000117D8" w:rsidRDefault="00B24A6E" w:rsidP="00F101E5">
            <w:pPr>
              <w:autoSpaceDE w:val="0"/>
              <w:autoSpaceDN w:val="0"/>
              <w:adjustRightInd w:val="0"/>
              <w:jc w:val="both"/>
              <w:rPr>
                <w:rFonts w:ascii="Arial" w:hAnsi="Arial" w:cs="Arial"/>
                <w:color w:val="000000" w:themeColor="text1"/>
                <w:lang w:val="es-CO" w:eastAsia="es-CO"/>
              </w:rPr>
            </w:pPr>
          </w:p>
        </w:tc>
        <w:tc>
          <w:tcPr>
            <w:tcW w:w="3333" w:type="dxa"/>
            <w:shd w:val="clear" w:color="auto" w:fill="auto"/>
          </w:tcPr>
          <w:p w14:paraId="7B69DC6E" w14:textId="19B6B4AB" w:rsidR="00B24A6E" w:rsidRPr="001A3B45" w:rsidRDefault="00B24A6E">
            <w:pPr>
              <w:autoSpaceDE w:val="0"/>
              <w:autoSpaceDN w:val="0"/>
              <w:adjustRightInd w:val="0"/>
              <w:jc w:val="both"/>
              <w:rPr>
                <w:rFonts w:ascii="Arial" w:hAnsi="Arial" w:cs="Arial"/>
                <w:color w:val="000000" w:themeColor="text1"/>
                <w:lang w:val="es-ES"/>
              </w:rPr>
            </w:pPr>
            <w:r w:rsidRPr="00736513">
              <w:rPr>
                <w:rFonts w:ascii="Arial" w:hAnsi="Arial" w:cs="Arial"/>
                <w:color w:val="000000" w:themeColor="text1"/>
                <w:u w:val="single"/>
                <w:lang w:val="es-ES"/>
              </w:rPr>
              <w:t>En proceso:</w:t>
            </w:r>
            <w:r w:rsidRPr="00736513">
              <w:rPr>
                <w:rFonts w:ascii="Arial" w:hAnsi="Arial" w:cs="Arial"/>
                <w:color w:val="000000" w:themeColor="text1"/>
                <w:lang w:val="es-ES"/>
              </w:rPr>
              <w:t xml:space="preserve"> </w:t>
            </w:r>
            <w:r w:rsidR="001C3A6B">
              <w:rPr>
                <w:rFonts w:ascii="Arial" w:hAnsi="Arial" w:cs="Arial"/>
                <w:color w:val="000000" w:themeColor="text1"/>
                <w:lang w:val="es-ES_tradnl"/>
              </w:rPr>
              <w:t>Se prevé cumplimiento</w:t>
            </w:r>
            <w:r w:rsidR="001C3A6B" w:rsidRPr="00B13E16">
              <w:rPr>
                <w:rFonts w:ascii="Arial" w:hAnsi="Arial" w:cs="Arial"/>
                <w:color w:val="000000" w:themeColor="text1"/>
                <w:lang w:val="es-ES_tradnl"/>
              </w:rPr>
              <w:t xml:space="preserve"> </w:t>
            </w:r>
            <w:r>
              <w:rPr>
                <w:rFonts w:ascii="Arial" w:eastAsia="Arial" w:hAnsi="Arial" w:cs="Arial"/>
                <w:color w:val="000000" w:themeColor="text1"/>
                <w:lang w:val="es-ES"/>
              </w:rPr>
              <w:t>en</w:t>
            </w:r>
            <w:r w:rsidR="00250DF4">
              <w:rPr>
                <w:rFonts w:ascii="Arial" w:eastAsia="Arial" w:hAnsi="Arial" w:cs="Arial"/>
                <w:color w:val="000000" w:themeColor="text1"/>
                <w:lang w:val="es-ES"/>
              </w:rPr>
              <w:t xml:space="preserve"> </w:t>
            </w:r>
            <w:r w:rsidR="00250DF4">
              <w:rPr>
                <w:rFonts w:ascii="Arial" w:hAnsi="Arial" w:cs="Arial"/>
                <w:color w:val="000000" w:themeColor="text1"/>
                <w:lang w:val="es-ES_tradnl"/>
              </w:rPr>
              <w:t>el cuarto trimestre de 2018</w:t>
            </w:r>
            <w:r>
              <w:rPr>
                <w:rFonts w:ascii="Arial" w:eastAsia="Arial" w:hAnsi="Arial" w:cs="Arial"/>
                <w:color w:val="000000" w:themeColor="text1"/>
                <w:lang w:val="es-ES"/>
              </w:rPr>
              <w:t xml:space="preserve">. </w:t>
            </w:r>
          </w:p>
        </w:tc>
      </w:tr>
      <w:tr w:rsidR="00B24A6E" w:rsidRPr="00250DF4" w14:paraId="2703FD65" w14:textId="77777777" w:rsidTr="00F23488">
        <w:trPr>
          <w:gridAfter w:val="1"/>
          <w:wAfter w:w="16" w:type="dxa"/>
          <w:trHeight w:val="438"/>
          <w:jc w:val="center"/>
        </w:trPr>
        <w:tc>
          <w:tcPr>
            <w:tcW w:w="1980" w:type="dxa"/>
            <w:vMerge/>
            <w:shd w:val="clear" w:color="auto" w:fill="auto"/>
          </w:tcPr>
          <w:p w14:paraId="08A38F06" w14:textId="77777777" w:rsidR="00B24A6E" w:rsidRPr="001A3B45" w:rsidRDefault="00B24A6E" w:rsidP="00F101E5">
            <w:pPr>
              <w:pStyle w:val="ListParagraph"/>
              <w:autoSpaceDE w:val="0"/>
              <w:autoSpaceDN w:val="0"/>
              <w:adjustRightInd w:val="0"/>
              <w:ind w:left="360"/>
              <w:rPr>
                <w:rFonts w:ascii="Arial" w:hAnsi="Arial" w:cs="Arial"/>
                <w:b/>
                <w:bCs/>
                <w:color w:val="000000" w:themeColor="text1"/>
                <w:lang w:val="es-ES_tradnl"/>
              </w:rPr>
            </w:pPr>
          </w:p>
        </w:tc>
        <w:tc>
          <w:tcPr>
            <w:tcW w:w="4222" w:type="dxa"/>
            <w:shd w:val="clear" w:color="auto" w:fill="auto"/>
          </w:tcPr>
          <w:p w14:paraId="2D43C0C8" w14:textId="5C447A2F" w:rsidR="00B24A6E" w:rsidRPr="000117D8" w:rsidRDefault="00B24A6E" w:rsidP="00F56EFF">
            <w:pPr>
              <w:autoSpaceDE w:val="0"/>
              <w:autoSpaceDN w:val="0"/>
              <w:adjustRightInd w:val="0"/>
              <w:jc w:val="both"/>
              <w:rPr>
                <w:rFonts w:ascii="Arial" w:hAnsi="Arial" w:cs="Arial"/>
                <w:color w:val="000000" w:themeColor="text1"/>
                <w:lang w:val="es-ES"/>
              </w:rPr>
            </w:pPr>
            <w:r w:rsidRPr="002F0E09">
              <w:rPr>
                <w:rFonts w:ascii="Arial" w:eastAsia="Arial" w:hAnsi="Arial" w:cs="Arial"/>
                <w:color w:val="000000" w:themeColor="text1"/>
                <w:lang w:val="es-ES" w:eastAsia="es-CO"/>
              </w:rPr>
              <w:t xml:space="preserve">Que la SIE </w:t>
            </w:r>
            <w:r>
              <w:rPr>
                <w:rFonts w:ascii="Arial" w:eastAsia="Arial" w:hAnsi="Arial" w:cs="Arial"/>
                <w:color w:val="000000" w:themeColor="text1"/>
                <w:lang w:val="es-ES" w:eastAsia="es-CO"/>
              </w:rPr>
              <w:t>transparente, mediante la publicación en su página Web,</w:t>
            </w:r>
            <w:r w:rsidRPr="002F0E09">
              <w:rPr>
                <w:rFonts w:ascii="Arial" w:eastAsia="Arial" w:hAnsi="Arial" w:cs="Arial"/>
                <w:color w:val="000000" w:themeColor="text1"/>
                <w:lang w:val="es-ES" w:eastAsia="es-CO"/>
              </w:rPr>
              <w:t xml:space="preserve"> </w:t>
            </w:r>
            <w:r>
              <w:rPr>
                <w:rFonts w:ascii="Arial" w:eastAsia="Arial" w:hAnsi="Arial" w:cs="Arial"/>
                <w:color w:val="000000" w:themeColor="text1"/>
                <w:lang w:val="es-ES" w:eastAsia="es-CO"/>
              </w:rPr>
              <w:t>la metodología de</w:t>
            </w:r>
            <w:r w:rsidRPr="002F0E09">
              <w:rPr>
                <w:rFonts w:ascii="Arial" w:eastAsia="Arial" w:hAnsi="Arial" w:cs="Arial"/>
                <w:color w:val="000000" w:themeColor="text1"/>
                <w:lang w:val="es-ES" w:eastAsia="es-CO"/>
              </w:rPr>
              <w:t xml:space="preserve"> cálculo</w:t>
            </w:r>
            <w:r>
              <w:rPr>
                <w:rFonts w:ascii="Arial" w:eastAsia="Arial" w:hAnsi="Arial" w:cs="Arial"/>
                <w:color w:val="000000" w:themeColor="text1"/>
                <w:lang w:val="es-ES" w:eastAsia="es-CO"/>
              </w:rPr>
              <w:t xml:space="preserve"> y la estimación d</w:t>
            </w:r>
            <w:r w:rsidRPr="002F0E09">
              <w:rPr>
                <w:rFonts w:ascii="Arial" w:eastAsia="Arial" w:hAnsi="Arial" w:cs="Arial"/>
                <w:color w:val="000000" w:themeColor="text1"/>
                <w:lang w:val="es-ES" w:eastAsia="es-CO"/>
              </w:rPr>
              <w:t xml:space="preserve">el </w:t>
            </w:r>
            <w:r w:rsidRPr="00B84209">
              <w:rPr>
                <w:rFonts w:ascii="Arial" w:hAnsi="Arial" w:cs="Arial"/>
                <w:color w:val="000000" w:themeColor="text1"/>
                <w:lang w:val="es-ES" w:eastAsia="es-CO"/>
              </w:rPr>
              <w:t xml:space="preserve">subsidio implícito otorgado </w:t>
            </w:r>
            <w:r w:rsidRPr="002F0E09">
              <w:rPr>
                <w:rFonts w:ascii="Arial" w:eastAsia="Arial" w:hAnsi="Arial" w:cs="Arial"/>
                <w:color w:val="000000" w:themeColor="text1"/>
                <w:lang w:val="es-ES" w:eastAsia="es-CO"/>
              </w:rPr>
              <w:t xml:space="preserve">a los usuarios del servicio eléctrico, el cual estará dado por la diferencia entre la </w:t>
            </w:r>
            <w:r w:rsidRPr="005C02B0">
              <w:rPr>
                <w:rFonts w:ascii="Arial" w:eastAsia="Arial" w:hAnsi="Arial" w:cs="Arial"/>
                <w:b/>
                <w:color w:val="000000" w:themeColor="text1"/>
                <w:lang w:val="es-ES" w:eastAsia="es-CO"/>
              </w:rPr>
              <w:t>tarifa de referencia</w:t>
            </w:r>
            <w:r w:rsidRPr="002F0E09">
              <w:rPr>
                <w:rFonts w:ascii="Arial" w:eastAsia="Arial" w:hAnsi="Arial" w:cs="Arial"/>
                <w:color w:val="000000" w:themeColor="text1"/>
                <w:lang w:val="es-ES" w:eastAsia="es-CO"/>
              </w:rPr>
              <w:t xml:space="preserve"> y la </w:t>
            </w:r>
            <w:r w:rsidRPr="005C02B0">
              <w:rPr>
                <w:rFonts w:ascii="Arial" w:eastAsia="Arial" w:hAnsi="Arial" w:cs="Arial"/>
                <w:b/>
                <w:color w:val="000000" w:themeColor="text1"/>
                <w:lang w:val="es-ES" w:eastAsia="es-CO"/>
              </w:rPr>
              <w:t>tarifa aplicada</w:t>
            </w:r>
            <w:r>
              <w:rPr>
                <w:rStyle w:val="FootnoteReference"/>
                <w:rFonts w:ascii="Arial" w:eastAsia="Arial" w:hAnsi="Arial" w:cs="Arial"/>
                <w:color w:val="000000" w:themeColor="text1"/>
                <w:lang w:val="es-ES" w:eastAsia="es-CO"/>
              </w:rPr>
              <w:footnoteReference w:id="5"/>
            </w:r>
            <w:r w:rsidRPr="002F0E09">
              <w:rPr>
                <w:rFonts w:ascii="Arial" w:eastAsia="Arial" w:hAnsi="Arial" w:cs="Arial"/>
                <w:color w:val="000000" w:themeColor="text1"/>
                <w:lang w:val="es-ES" w:eastAsia="es-CO"/>
              </w:rPr>
              <w:t>.</w:t>
            </w:r>
          </w:p>
        </w:tc>
        <w:tc>
          <w:tcPr>
            <w:tcW w:w="3690" w:type="dxa"/>
          </w:tcPr>
          <w:p w14:paraId="1B4793EC" w14:textId="77777777" w:rsidR="00B24A6E" w:rsidRPr="00B84209" w:rsidRDefault="00B24A6E" w:rsidP="00F101E5">
            <w:pPr>
              <w:autoSpaceDE w:val="0"/>
              <w:autoSpaceDN w:val="0"/>
              <w:adjustRightInd w:val="0"/>
              <w:jc w:val="both"/>
              <w:rPr>
                <w:rFonts w:ascii="Arial" w:hAnsi="Arial" w:cs="Arial"/>
                <w:color w:val="000000" w:themeColor="text1"/>
                <w:lang w:val="es-CO" w:eastAsia="es-CO"/>
              </w:rPr>
            </w:pPr>
            <w:r w:rsidRPr="00B84209">
              <w:rPr>
                <w:rFonts w:ascii="Arial" w:hAnsi="Arial" w:cs="Arial"/>
                <w:color w:val="000000" w:themeColor="text1"/>
                <w:lang w:val="es-CO" w:eastAsia="es-CO"/>
              </w:rPr>
              <w:t xml:space="preserve">Publicación en la página </w:t>
            </w:r>
            <w:r>
              <w:rPr>
                <w:rFonts w:ascii="Arial" w:hAnsi="Arial" w:cs="Arial"/>
                <w:color w:val="000000" w:themeColor="text1"/>
                <w:lang w:val="es-CO" w:eastAsia="es-CO"/>
              </w:rPr>
              <w:t>w</w:t>
            </w:r>
            <w:r w:rsidRPr="00B84209">
              <w:rPr>
                <w:rFonts w:ascii="Arial" w:hAnsi="Arial" w:cs="Arial"/>
                <w:color w:val="000000" w:themeColor="text1"/>
                <w:lang w:val="es-CO" w:eastAsia="es-CO"/>
              </w:rPr>
              <w:t xml:space="preserve">eb de la SIE, del cálculo del subsidio implícito por nivel tarifario (con respecto a la tarifa de referencia) otorgado </w:t>
            </w:r>
            <w:r w:rsidRPr="00B84209">
              <w:rPr>
                <w:rFonts w:ascii="Arial" w:hAnsi="Arial" w:cs="Arial"/>
                <w:color w:val="000000" w:themeColor="text1"/>
                <w:lang w:val="es-ES" w:eastAsia="es-CO"/>
              </w:rPr>
              <w:t>a los usuarios del servicio eléctrico.</w:t>
            </w:r>
            <w:r w:rsidRPr="00B84209">
              <w:rPr>
                <w:rFonts w:ascii="Arial" w:hAnsi="Arial" w:cs="Arial"/>
                <w:color w:val="000000" w:themeColor="text1"/>
                <w:lang w:val="es-CO" w:eastAsia="es-CO"/>
              </w:rPr>
              <w:t xml:space="preserve"> </w:t>
            </w:r>
          </w:p>
          <w:p w14:paraId="2402815A" w14:textId="77777777" w:rsidR="00B24A6E" w:rsidRPr="00B84209" w:rsidRDefault="00B24A6E" w:rsidP="00F101E5">
            <w:pPr>
              <w:autoSpaceDE w:val="0"/>
              <w:autoSpaceDN w:val="0"/>
              <w:adjustRightInd w:val="0"/>
              <w:jc w:val="both"/>
              <w:rPr>
                <w:rFonts w:ascii="Arial" w:hAnsi="Arial" w:cs="Arial"/>
                <w:color w:val="000000" w:themeColor="text1"/>
                <w:lang w:val="es-ES" w:eastAsia="es-CO"/>
              </w:rPr>
            </w:pPr>
          </w:p>
        </w:tc>
        <w:tc>
          <w:tcPr>
            <w:tcW w:w="3333" w:type="dxa"/>
            <w:shd w:val="clear" w:color="auto" w:fill="auto"/>
          </w:tcPr>
          <w:p w14:paraId="3A5D43EF" w14:textId="6AE65481" w:rsidR="00B24A6E" w:rsidRPr="002037D7" w:rsidRDefault="00B24A6E" w:rsidP="00F101E5">
            <w:pPr>
              <w:autoSpaceDE w:val="0"/>
              <w:autoSpaceDN w:val="0"/>
              <w:adjustRightInd w:val="0"/>
              <w:jc w:val="both"/>
              <w:rPr>
                <w:rFonts w:ascii="Arial" w:hAnsi="Arial"/>
                <w:color w:val="000000" w:themeColor="text1"/>
                <w:lang w:val="es-ES"/>
              </w:rPr>
            </w:pPr>
            <w:r w:rsidRPr="00177E16">
              <w:rPr>
                <w:rFonts w:ascii="Arial" w:eastAsia="Arial" w:hAnsi="Arial" w:cs="Arial"/>
                <w:color w:val="000000" w:themeColor="text1"/>
                <w:u w:val="single"/>
                <w:lang w:val="es-ES"/>
              </w:rPr>
              <w:t>En proceso:</w:t>
            </w:r>
            <w:r w:rsidRPr="00177E16">
              <w:rPr>
                <w:rFonts w:ascii="Arial" w:eastAsia="Arial" w:hAnsi="Arial" w:cs="Arial"/>
                <w:color w:val="000000" w:themeColor="text1"/>
                <w:lang w:val="es-ES"/>
              </w:rPr>
              <w:t xml:space="preserve"> </w:t>
            </w:r>
            <w:r w:rsidR="001C3A6B">
              <w:rPr>
                <w:rFonts w:ascii="Arial" w:hAnsi="Arial" w:cs="Arial"/>
                <w:color w:val="000000" w:themeColor="text1"/>
                <w:lang w:val="es-ES_tradnl"/>
              </w:rPr>
              <w:t>Se prevé cumplimiento</w:t>
            </w:r>
            <w:r w:rsidR="001C3A6B" w:rsidRPr="00B13E16">
              <w:rPr>
                <w:rFonts w:ascii="Arial" w:hAnsi="Arial" w:cs="Arial"/>
                <w:color w:val="000000" w:themeColor="text1"/>
                <w:lang w:val="es-ES_tradnl"/>
              </w:rPr>
              <w:t xml:space="preserve"> </w:t>
            </w:r>
            <w:r w:rsidR="001C3A6B">
              <w:rPr>
                <w:rFonts w:ascii="Arial" w:eastAsia="Arial" w:hAnsi="Arial" w:cs="Arial"/>
                <w:color w:val="000000" w:themeColor="text1"/>
                <w:lang w:val="es-ES"/>
              </w:rPr>
              <w:t xml:space="preserve">en </w:t>
            </w:r>
            <w:r w:rsidR="00FB63AA">
              <w:rPr>
                <w:rFonts w:ascii="Arial" w:hAnsi="Arial" w:cs="Arial"/>
                <w:color w:val="000000" w:themeColor="text1"/>
                <w:lang w:val="es-ES_tradnl"/>
              </w:rPr>
              <w:t>el cuarto trimestre de 2018</w:t>
            </w:r>
            <w:bookmarkStart w:id="8" w:name="_GoBack"/>
            <w:bookmarkEnd w:id="8"/>
            <w:r w:rsidR="001C3A6B">
              <w:rPr>
                <w:rFonts w:ascii="Arial" w:eastAsia="Arial" w:hAnsi="Arial" w:cs="Arial"/>
                <w:color w:val="000000" w:themeColor="text1"/>
                <w:lang w:val="es-ES"/>
              </w:rPr>
              <w:t>.</w:t>
            </w:r>
          </w:p>
        </w:tc>
      </w:tr>
      <w:tr w:rsidR="00495657" w:rsidRPr="00250DF4" w14:paraId="6F5CC994" w14:textId="77777777" w:rsidTr="00F23488">
        <w:trPr>
          <w:trHeight w:val="385"/>
          <w:jc w:val="center"/>
        </w:trPr>
        <w:tc>
          <w:tcPr>
            <w:tcW w:w="13241" w:type="dxa"/>
            <w:gridSpan w:val="5"/>
            <w:shd w:val="clear" w:color="auto" w:fill="B4C6E7" w:themeFill="accent1" w:themeFillTint="66"/>
          </w:tcPr>
          <w:p w14:paraId="5F1CCFCD" w14:textId="77777777" w:rsidR="00495657" w:rsidRPr="001A3B45" w:rsidRDefault="00495657" w:rsidP="00F101E5">
            <w:pPr>
              <w:autoSpaceDE w:val="0"/>
              <w:autoSpaceDN w:val="0"/>
              <w:adjustRightInd w:val="0"/>
              <w:rPr>
                <w:rFonts w:ascii="Arial" w:eastAsia="Arial" w:hAnsi="Arial" w:cs="Arial"/>
                <w:b/>
                <w:bCs/>
                <w:color w:val="000000" w:themeColor="text1"/>
                <w:lang w:val="es-ES"/>
              </w:rPr>
            </w:pPr>
            <w:r w:rsidRPr="6FAE9D8D">
              <w:rPr>
                <w:rFonts w:ascii="Arial" w:eastAsia="Arial" w:hAnsi="Arial" w:cs="Arial"/>
                <w:b/>
                <w:bCs/>
                <w:color w:val="000000" w:themeColor="text1"/>
                <w:lang w:val="es-ES"/>
              </w:rPr>
              <w:t>Componente 3. MEJORA GERENCIAL Y OPERATIVA DE LAS EMPRESAS ELÉCTRICAS</w:t>
            </w:r>
          </w:p>
        </w:tc>
      </w:tr>
      <w:tr w:rsidR="00B24A6E" w:rsidRPr="00304CDA" w14:paraId="3E2BE3F6" w14:textId="77777777" w:rsidTr="00F23488">
        <w:trPr>
          <w:gridAfter w:val="1"/>
          <w:wAfter w:w="16" w:type="dxa"/>
          <w:trHeight w:val="1556"/>
          <w:jc w:val="center"/>
        </w:trPr>
        <w:tc>
          <w:tcPr>
            <w:tcW w:w="1980" w:type="dxa"/>
            <w:vMerge w:val="restart"/>
            <w:shd w:val="clear" w:color="auto" w:fill="auto"/>
          </w:tcPr>
          <w:p w14:paraId="55AE385D" w14:textId="77777777" w:rsidR="00B24A6E" w:rsidRPr="001A3B45" w:rsidRDefault="00B24A6E" w:rsidP="00F101E5">
            <w:pPr>
              <w:pStyle w:val="ListParagraph"/>
              <w:numPr>
                <w:ilvl w:val="1"/>
                <w:numId w:val="18"/>
              </w:numPr>
              <w:autoSpaceDE w:val="0"/>
              <w:autoSpaceDN w:val="0"/>
              <w:adjustRightInd w:val="0"/>
              <w:rPr>
                <w:rFonts w:ascii="Arial" w:eastAsia="Arial" w:hAnsi="Arial" w:cs="Arial"/>
                <w:b/>
                <w:bCs/>
                <w:color w:val="000000" w:themeColor="text1"/>
                <w:lang w:val="es-ES"/>
              </w:rPr>
            </w:pPr>
            <w:bookmarkStart w:id="9" w:name="_Hlk509131201"/>
            <w:r w:rsidRPr="6FAE9D8D">
              <w:rPr>
                <w:rFonts w:ascii="Arial" w:eastAsia="Arial" w:hAnsi="Arial" w:cs="Arial"/>
                <w:b/>
                <w:bCs/>
                <w:color w:val="000000" w:themeColor="text1"/>
                <w:lang w:val="es-ES"/>
              </w:rPr>
              <w:t xml:space="preserve">Mejorar eficiencia y sostenibilidad operativa y financiera en la distribución de </w:t>
            </w:r>
            <w:r w:rsidRPr="6FAE9D8D">
              <w:rPr>
                <w:rFonts w:ascii="Arial" w:eastAsia="Arial" w:hAnsi="Arial" w:cs="Arial"/>
                <w:b/>
                <w:bCs/>
                <w:color w:val="000000" w:themeColor="text1"/>
                <w:lang w:val="es-ES"/>
              </w:rPr>
              <w:lastRenderedPageBreak/>
              <w:t>energía eléctrica</w:t>
            </w:r>
          </w:p>
          <w:p w14:paraId="17B51C88" w14:textId="77777777" w:rsidR="00B24A6E" w:rsidRPr="001A3B45" w:rsidRDefault="00B24A6E" w:rsidP="00F101E5">
            <w:pPr>
              <w:autoSpaceDE w:val="0"/>
              <w:autoSpaceDN w:val="0"/>
              <w:adjustRightInd w:val="0"/>
              <w:rPr>
                <w:rFonts w:ascii="Arial" w:hAnsi="Arial" w:cs="Arial"/>
                <w:b/>
                <w:bCs/>
                <w:color w:val="000000" w:themeColor="text1"/>
                <w:lang w:val="es-ES"/>
              </w:rPr>
            </w:pPr>
          </w:p>
          <w:bookmarkEnd w:id="9"/>
          <w:p w14:paraId="1A145198" w14:textId="77777777" w:rsidR="00B24A6E" w:rsidRPr="001A3B45" w:rsidRDefault="00B24A6E" w:rsidP="00F101E5">
            <w:pPr>
              <w:autoSpaceDE w:val="0"/>
              <w:autoSpaceDN w:val="0"/>
              <w:adjustRightInd w:val="0"/>
              <w:rPr>
                <w:rFonts w:ascii="Arial" w:hAnsi="Arial" w:cs="Arial"/>
                <w:b/>
                <w:bCs/>
                <w:color w:val="000000" w:themeColor="text1"/>
                <w:lang w:val="es-ES"/>
              </w:rPr>
            </w:pPr>
          </w:p>
          <w:p w14:paraId="188AF2F0" w14:textId="77777777" w:rsidR="00B24A6E" w:rsidRPr="001A3B45" w:rsidRDefault="00B24A6E" w:rsidP="00F101E5">
            <w:pPr>
              <w:autoSpaceDE w:val="0"/>
              <w:autoSpaceDN w:val="0"/>
              <w:adjustRightInd w:val="0"/>
              <w:rPr>
                <w:rFonts w:ascii="Arial" w:hAnsi="Arial" w:cs="Arial"/>
                <w:b/>
                <w:bCs/>
                <w:color w:val="000000" w:themeColor="text1"/>
                <w:lang w:val="es-ES"/>
              </w:rPr>
            </w:pPr>
          </w:p>
        </w:tc>
        <w:tc>
          <w:tcPr>
            <w:tcW w:w="4222" w:type="dxa"/>
            <w:vMerge w:val="restart"/>
            <w:shd w:val="clear" w:color="auto" w:fill="auto"/>
          </w:tcPr>
          <w:p w14:paraId="1D02ED3C" w14:textId="3AA4AE17" w:rsidR="00B24A6E" w:rsidRDefault="00B24A6E" w:rsidP="00F101E5">
            <w:pPr>
              <w:autoSpaceDE w:val="0"/>
              <w:autoSpaceDN w:val="0"/>
              <w:adjustRightInd w:val="0"/>
              <w:jc w:val="both"/>
              <w:rPr>
                <w:rFonts w:ascii="Arial" w:eastAsia="Arial" w:hAnsi="Arial" w:cs="Arial"/>
                <w:color w:val="000000" w:themeColor="text1"/>
                <w:lang w:val="es-ES"/>
              </w:rPr>
            </w:pPr>
            <w:r w:rsidRPr="0074758C">
              <w:rPr>
                <w:rFonts w:ascii="Arial" w:eastAsia="Arial" w:hAnsi="Arial" w:cs="Arial"/>
                <w:color w:val="000000" w:themeColor="text1"/>
                <w:lang w:val="es-ES"/>
              </w:rPr>
              <w:lastRenderedPageBreak/>
              <w:t>Que los Consejos Directivos de cada EDE hayan aprobado los Planes de Mejora de Gestión y Plan de Reducción de Pérdidas 2017-2022</w:t>
            </w:r>
            <w:r w:rsidRPr="004200DB">
              <w:rPr>
                <w:rFonts w:ascii="Arial" w:eastAsia="Arial" w:hAnsi="Arial" w:cs="Arial"/>
                <w:color w:val="000000" w:themeColor="text1"/>
                <w:lang w:val="es-ES"/>
              </w:rPr>
              <w:t xml:space="preserve">, los cuales </w:t>
            </w:r>
            <w:r>
              <w:rPr>
                <w:rFonts w:ascii="Arial" w:eastAsia="Arial" w:hAnsi="Arial" w:cs="Arial"/>
                <w:color w:val="000000" w:themeColor="text1"/>
                <w:lang w:val="es-ES"/>
              </w:rPr>
              <w:t>consideren</w:t>
            </w:r>
            <w:r w:rsidRPr="004200DB">
              <w:rPr>
                <w:rFonts w:ascii="Arial" w:eastAsia="Arial" w:hAnsi="Arial" w:cs="Arial"/>
                <w:color w:val="000000" w:themeColor="text1"/>
                <w:lang w:val="es-ES"/>
              </w:rPr>
              <w:t xml:space="preserve"> </w:t>
            </w:r>
            <w:r>
              <w:rPr>
                <w:rFonts w:ascii="Arial" w:eastAsia="Arial" w:hAnsi="Arial" w:cs="Arial"/>
                <w:color w:val="000000" w:themeColor="text1"/>
                <w:lang w:val="es-ES"/>
              </w:rPr>
              <w:t>metas anuales hasta lograr en 2022, las siguientes metas:</w:t>
            </w:r>
          </w:p>
          <w:p w14:paraId="1453D07F" w14:textId="77777777" w:rsidR="00B24A6E" w:rsidRDefault="00B24A6E" w:rsidP="0099455C">
            <w:pPr>
              <w:pStyle w:val="ListParagraph"/>
              <w:numPr>
                <w:ilvl w:val="0"/>
                <w:numId w:val="26"/>
              </w:numPr>
              <w:autoSpaceDE w:val="0"/>
              <w:autoSpaceDN w:val="0"/>
              <w:adjustRightInd w:val="0"/>
              <w:ind w:left="225" w:hanging="225"/>
              <w:jc w:val="both"/>
              <w:rPr>
                <w:rFonts w:ascii="Arial" w:eastAsia="Arial" w:hAnsi="Arial" w:cs="Arial"/>
                <w:color w:val="000000" w:themeColor="text1"/>
                <w:lang w:val="es-ES"/>
              </w:rPr>
            </w:pPr>
            <w:bookmarkStart w:id="10" w:name="_Hlk509131254"/>
            <w:bookmarkEnd w:id="10"/>
            <w:r w:rsidRPr="004200DB">
              <w:rPr>
                <w:rFonts w:ascii="Arial" w:eastAsia="Arial" w:hAnsi="Arial" w:cs="Arial"/>
                <w:color w:val="000000" w:themeColor="text1"/>
                <w:lang w:val="es-ES"/>
              </w:rPr>
              <w:lastRenderedPageBreak/>
              <w:t>15% de perdidas eléctricas totales</w:t>
            </w:r>
          </w:p>
          <w:p w14:paraId="6E72465D" w14:textId="77777777" w:rsidR="00B24A6E" w:rsidRDefault="00B24A6E" w:rsidP="004D39F7">
            <w:pPr>
              <w:pStyle w:val="ListParagraph"/>
              <w:numPr>
                <w:ilvl w:val="0"/>
                <w:numId w:val="26"/>
              </w:numPr>
              <w:autoSpaceDE w:val="0"/>
              <w:autoSpaceDN w:val="0"/>
              <w:adjustRightInd w:val="0"/>
              <w:ind w:left="225" w:hanging="225"/>
              <w:jc w:val="both"/>
              <w:rPr>
                <w:rFonts w:ascii="Arial" w:eastAsia="Arial" w:hAnsi="Arial" w:cs="Arial"/>
                <w:color w:val="000000" w:themeColor="text1"/>
                <w:lang w:val="es-ES" w:eastAsia="es-CO"/>
              </w:rPr>
            </w:pPr>
            <w:r w:rsidRPr="004200DB">
              <w:rPr>
                <w:rFonts w:ascii="Arial" w:eastAsia="Arial" w:hAnsi="Arial" w:cs="Arial"/>
                <w:color w:val="000000" w:themeColor="text1"/>
                <w:lang w:val="es-ES" w:eastAsia="es-CO"/>
              </w:rPr>
              <w:t xml:space="preserve">un </w:t>
            </w:r>
            <w:r w:rsidRPr="004200DB">
              <w:rPr>
                <w:rFonts w:ascii="Arial" w:eastAsia="Arial" w:hAnsi="Arial" w:cs="Arial"/>
                <w:color w:val="000000" w:themeColor="text1"/>
                <w:lang w:val="es-ES"/>
              </w:rPr>
              <w:t>97</w:t>
            </w:r>
            <w:r w:rsidRPr="004200DB">
              <w:rPr>
                <w:rFonts w:ascii="Arial" w:eastAsia="Arial" w:hAnsi="Arial" w:cs="Arial"/>
                <w:color w:val="000000" w:themeColor="text1"/>
                <w:lang w:val="es-ES" w:eastAsia="es-CO"/>
              </w:rPr>
              <w:t xml:space="preserve">% de cobranzas, </w:t>
            </w:r>
          </w:p>
          <w:p w14:paraId="310260C3" w14:textId="77777777" w:rsidR="00B24A6E" w:rsidRDefault="00B24A6E" w:rsidP="0099455C">
            <w:pPr>
              <w:pStyle w:val="ListParagraph"/>
              <w:numPr>
                <w:ilvl w:val="0"/>
                <w:numId w:val="26"/>
              </w:numPr>
              <w:autoSpaceDE w:val="0"/>
              <w:autoSpaceDN w:val="0"/>
              <w:adjustRightInd w:val="0"/>
              <w:ind w:left="225" w:hanging="225"/>
              <w:jc w:val="both"/>
              <w:rPr>
                <w:rFonts w:ascii="Arial" w:eastAsia="Arial" w:hAnsi="Arial" w:cs="Arial"/>
                <w:color w:val="000000" w:themeColor="text1"/>
                <w:lang w:val="es-ES" w:eastAsia="es-CO"/>
              </w:rPr>
            </w:pPr>
            <w:r w:rsidRPr="001F449D">
              <w:rPr>
                <w:rFonts w:ascii="Arial" w:eastAsia="Arial" w:hAnsi="Arial" w:cs="Arial"/>
                <w:color w:val="000000" w:themeColor="text1"/>
                <w:lang w:val="es-ES"/>
              </w:rPr>
              <w:t>10% como relación Gastos operativos/ingresos</w:t>
            </w:r>
            <w:r>
              <w:rPr>
                <w:rStyle w:val="FootnoteReference"/>
                <w:rFonts w:ascii="Arial" w:eastAsia="Arial" w:hAnsi="Arial" w:cs="Arial"/>
                <w:color w:val="000000" w:themeColor="text1"/>
                <w:lang w:val="es-ES"/>
              </w:rPr>
              <w:footnoteReference w:id="6"/>
            </w:r>
          </w:p>
          <w:p w14:paraId="4346DFCC" w14:textId="77777777" w:rsidR="00B24A6E" w:rsidRPr="004200DB" w:rsidRDefault="00B24A6E" w:rsidP="0099455C">
            <w:pPr>
              <w:pStyle w:val="ListParagraph"/>
              <w:numPr>
                <w:ilvl w:val="0"/>
                <w:numId w:val="26"/>
              </w:numPr>
              <w:autoSpaceDE w:val="0"/>
              <w:autoSpaceDN w:val="0"/>
              <w:adjustRightInd w:val="0"/>
              <w:ind w:left="225" w:hanging="225"/>
              <w:jc w:val="both"/>
              <w:rPr>
                <w:rFonts w:ascii="Arial" w:eastAsia="Arial" w:hAnsi="Arial" w:cs="Arial"/>
                <w:color w:val="000000" w:themeColor="text1"/>
                <w:lang w:val="es-ES" w:eastAsia="es-CO"/>
              </w:rPr>
            </w:pPr>
            <w:r w:rsidRPr="004200DB">
              <w:rPr>
                <w:rFonts w:ascii="Arial" w:eastAsia="Arial" w:hAnsi="Arial" w:cs="Arial"/>
                <w:color w:val="000000" w:themeColor="text1"/>
                <w:lang w:val="es-ES" w:eastAsia="es-CO"/>
              </w:rPr>
              <w:t>la tasa de costo de capital para inversión en el sector eléctrico establecida por el Banco Central.</w:t>
            </w:r>
          </w:p>
          <w:p w14:paraId="11046F7A" w14:textId="77777777" w:rsidR="00B24A6E" w:rsidRPr="0099455C" w:rsidRDefault="00B24A6E" w:rsidP="0099455C">
            <w:pPr>
              <w:pStyle w:val="ListParagraph"/>
              <w:autoSpaceDE w:val="0"/>
              <w:autoSpaceDN w:val="0"/>
              <w:adjustRightInd w:val="0"/>
              <w:jc w:val="both"/>
              <w:rPr>
                <w:rFonts w:ascii="Arial" w:hAnsi="Arial" w:cs="Arial"/>
                <w:bCs/>
                <w:color w:val="000000" w:themeColor="text1"/>
                <w:lang w:val="es-ES_tradnl"/>
              </w:rPr>
            </w:pPr>
          </w:p>
        </w:tc>
        <w:tc>
          <w:tcPr>
            <w:tcW w:w="3690" w:type="dxa"/>
          </w:tcPr>
          <w:p w14:paraId="7235510B" w14:textId="77777777" w:rsidR="00B24A6E" w:rsidRDefault="00B24A6E" w:rsidP="00F101E5">
            <w:pPr>
              <w:autoSpaceDE w:val="0"/>
              <w:autoSpaceDN w:val="0"/>
              <w:adjustRightInd w:val="0"/>
              <w:jc w:val="both"/>
              <w:rPr>
                <w:rFonts w:ascii="Arial" w:hAnsi="Arial" w:cs="Arial"/>
                <w:bCs/>
                <w:color w:val="000000" w:themeColor="text1"/>
                <w:lang w:val="es-ES_tradnl"/>
              </w:rPr>
            </w:pPr>
            <w:r>
              <w:rPr>
                <w:rFonts w:ascii="Arial" w:hAnsi="Arial" w:cs="Arial"/>
                <w:bCs/>
                <w:color w:val="000000" w:themeColor="text1"/>
                <w:lang w:val="es-ES_tradnl"/>
              </w:rPr>
              <w:lastRenderedPageBreak/>
              <w:t>Certificación del punto de acta de la sesión de los Consejos Directivos de cada EDE, en que se hayan aprobado los planes.</w:t>
            </w:r>
          </w:p>
          <w:p w14:paraId="0272F5E8" w14:textId="77777777" w:rsidR="00B24A6E" w:rsidRDefault="00B24A6E" w:rsidP="00F101E5">
            <w:pPr>
              <w:autoSpaceDE w:val="0"/>
              <w:autoSpaceDN w:val="0"/>
              <w:adjustRightInd w:val="0"/>
              <w:jc w:val="both"/>
              <w:rPr>
                <w:rFonts w:ascii="Arial" w:hAnsi="Arial" w:cs="Arial"/>
                <w:bCs/>
                <w:color w:val="000000" w:themeColor="text1"/>
                <w:lang w:val="es-ES_tradnl"/>
              </w:rPr>
            </w:pPr>
          </w:p>
          <w:p w14:paraId="76E70B51" w14:textId="77777777" w:rsidR="00B24A6E" w:rsidRPr="001A3B45" w:rsidRDefault="00B24A6E" w:rsidP="00F101E5">
            <w:pPr>
              <w:autoSpaceDE w:val="0"/>
              <w:autoSpaceDN w:val="0"/>
              <w:adjustRightInd w:val="0"/>
              <w:jc w:val="both"/>
              <w:rPr>
                <w:rFonts w:ascii="Arial" w:hAnsi="Arial" w:cs="Arial"/>
                <w:bCs/>
                <w:color w:val="000000" w:themeColor="text1"/>
                <w:lang w:val="es-ES_tradnl"/>
              </w:rPr>
            </w:pPr>
          </w:p>
          <w:p w14:paraId="18AA075B" w14:textId="77777777" w:rsidR="00B24A6E" w:rsidRPr="001A3B45" w:rsidRDefault="00B24A6E" w:rsidP="00F101E5">
            <w:pPr>
              <w:autoSpaceDE w:val="0"/>
              <w:autoSpaceDN w:val="0"/>
              <w:adjustRightInd w:val="0"/>
              <w:jc w:val="both"/>
              <w:rPr>
                <w:rFonts w:ascii="Arial" w:hAnsi="Arial" w:cs="Arial"/>
                <w:bCs/>
                <w:color w:val="000000" w:themeColor="text1"/>
                <w:lang w:val="es-ES_tradnl"/>
              </w:rPr>
            </w:pPr>
          </w:p>
          <w:p w14:paraId="4DE8FB4F" w14:textId="77777777" w:rsidR="00B24A6E" w:rsidRPr="001A3B45" w:rsidRDefault="00B24A6E" w:rsidP="00F101E5">
            <w:pPr>
              <w:autoSpaceDE w:val="0"/>
              <w:autoSpaceDN w:val="0"/>
              <w:adjustRightInd w:val="0"/>
              <w:jc w:val="both"/>
              <w:rPr>
                <w:rFonts w:ascii="Arial" w:hAnsi="Arial" w:cs="Arial"/>
                <w:bCs/>
                <w:color w:val="000000" w:themeColor="text1"/>
                <w:lang w:val="es-ES_tradnl"/>
              </w:rPr>
            </w:pPr>
          </w:p>
        </w:tc>
        <w:tc>
          <w:tcPr>
            <w:tcW w:w="3333" w:type="dxa"/>
            <w:shd w:val="clear" w:color="auto" w:fill="auto"/>
          </w:tcPr>
          <w:p w14:paraId="110510D5" w14:textId="5F79970F" w:rsidR="00B24A6E" w:rsidRPr="00ED14EC" w:rsidRDefault="00B24A6E" w:rsidP="00490A55">
            <w:pPr>
              <w:autoSpaceDE w:val="0"/>
              <w:autoSpaceDN w:val="0"/>
              <w:adjustRightInd w:val="0"/>
              <w:jc w:val="both"/>
              <w:rPr>
                <w:rFonts w:ascii="Arial" w:eastAsia="Arial" w:hAnsi="Arial" w:cs="Arial"/>
                <w:color w:val="000000" w:themeColor="text1"/>
                <w:lang w:val="es-ES"/>
              </w:rPr>
            </w:pPr>
            <w:r>
              <w:rPr>
                <w:rFonts w:ascii="Arial" w:eastAsia="Arial" w:hAnsi="Arial" w:cs="Arial"/>
                <w:color w:val="000000" w:themeColor="text1"/>
                <w:u w:val="single"/>
                <w:lang w:val="es-ES"/>
              </w:rPr>
              <w:lastRenderedPageBreak/>
              <w:t>Cumplido</w:t>
            </w:r>
          </w:p>
          <w:p w14:paraId="0A63711B" w14:textId="77777777" w:rsidR="00B24A6E" w:rsidRDefault="00B24A6E" w:rsidP="00490A55">
            <w:pPr>
              <w:autoSpaceDE w:val="0"/>
              <w:autoSpaceDN w:val="0"/>
              <w:adjustRightInd w:val="0"/>
              <w:jc w:val="both"/>
              <w:rPr>
                <w:rFonts w:ascii="Arial" w:eastAsia="Arial" w:hAnsi="Arial" w:cs="Arial"/>
                <w:color w:val="000000" w:themeColor="text1"/>
                <w:u w:val="single"/>
                <w:lang w:val="es-ES"/>
              </w:rPr>
            </w:pPr>
          </w:p>
          <w:p w14:paraId="23F6D55A" w14:textId="77777777" w:rsidR="00B24A6E" w:rsidRDefault="00B24A6E" w:rsidP="00490A55">
            <w:pPr>
              <w:autoSpaceDE w:val="0"/>
              <w:autoSpaceDN w:val="0"/>
              <w:adjustRightInd w:val="0"/>
              <w:jc w:val="both"/>
              <w:rPr>
                <w:rFonts w:ascii="Arial" w:eastAsia="Arial" w:hAnsi="Arial" w:cs="Arial"/>
                <w:color w:val="000000" w:themeColor="text1"/>
                <w:u w:val="single"/>
                <w:lang w:val="es-ES"/>
              </w:rPr>
            </w:pPr>
          </w:p>
          <w:p w14:paraId="4F63AE8B" w14:textId="3F1728FD" w:rsidR="00B24A6E" w:rsidRPr="00E84BF2" w:rsidRDefault="00B24A6E" w:rsidP="00490A55">
            <w:pPr>
              <w:autoSpaceDE w:val="0"/>
              <w:autoSpaceDN w:val="0"/>
              <w:adjustRightInd w:val="0"/>
              <w:jc w:val="both"/>
              <w:rPr>
                <w:rFonts w:ascii="Arial" w:hAnsi="Arial" w:cs="Arial"/>
                <w:bCs/>
                <w:color w:val="000000" w:themeColor="text1"/>
                <w:u w:val="single"/>
                <w:lang w:val="es-ES"/>
              </w:rPr>
            </w:pPr>
          </w:p>
        </w:tc>
      </w:tr>
      <w:tr w:rsidR="00B24A6E" w:rsidRPr="00304CDA" w14:paraId="2EB43549" w14:textId="77777777" w:rsidTr="00F23488">
        <w:trPr>
          <w:gridAfter w:val="1"/>
          <w:wAfter w:w="16" w:type="dxa"/>
          <w:trHeight w:val="64"/>
          <w:jc w:val="center"/>
        </w:trPr>
        <w:tc>
          <w:tcPr>
            <w:tcW w:w="1980" w:type="dxa"/>
            <w:vMerge/>
            <w:shd w:val="clear" w:color="auto" w:fill="auto"/>
          </w:tcPr>
          <w:p w14:paraId="6CD6CF9D" w14:textId="77777777" w:rsidR="00B24A6E" w:rsidRPr="6FAE9D8D" w:rsidRDefault="00B24A6E" w:rsidP="00F101E5">
            <w:pPr>
              <w:pStyle w:val="ListParagraph"/>
              <w:numPr>
                <w:ilvl w:val="1"/>
                <w:numId w:val="18"/>
              </w:numPr>
              <w:autoSpaceDE w:val="0"/>
              <w:autoSpaceDN w:val="0"/>
              <w:adjustRightInd w:val="0"/>
              <w:rPr>
                <w:rFonts w:ascii="Arial" w:eastAsia="Arial" w:hAnsi="Arial" w:cs="Arial"/>
                <w:b/>
                <w:bCs/>
                <w:color w:val="000000" w:themeColor="text1"/>
                <w:lang w:val="es-ES"/>
              </w:rPr>
            </w:pPr>
          </w:p>
        </w:tc>
        <w:tc>
          <w:tcPr>
            <w:tcW w:w="4222" w:type="dxa"/>
            <w:vMerge/>
            <w:shd w:val="clear" w:color="auto" w:fill="auto"/>
          </w:tcPr>
          <w:p w14:paraId="07E7B0CD" w14:textId="77777777" w:rsidR="00B24A6E" w:rsidRPr="0074758C" w:rsidRDefault="00B24A6E" w:rsidP="00F101E5">
            <w:pPr>
              <w:autoSpaceDE w:val="0"/>
              <w:autoSpaceDN w:val="0"/>
              <w:adjustRightInd w:val="0"/>
              <w:jc w:val="both"/>
              <w:rPr>
                <w:rFonts w:ascii="Arial" w:eastAsia="Arial" w:hAnsi="Arial" w:cs="Arial"/>
                <w:color w:val="000000" w:themeColor="text1"/>
                <w:lang w:val="es-ES"/>
              </w:rPr>
            </w:pPr>
          </w:p>
        </w:tc>
        <w:tc>
          <w:tcPr>
            <w:tcW w:w="3690" w:type="dxa"/>
          </w:tcPr>
          <w:p w14:paraId="26DD4ACF" w14:textId="77777777" w:rsidR="00B24A6E" w:rsidRPr="001A3B45" w:rsidRDefault="00B24A6E" w:rsidP="0040423F">
            <w:pPr>
              <w:autoSpaceDE w:val="0"/>
              <w:autoSpaceDN w:val="0"/>
              <w:adjustRightInd w:val="0"/>
              <w:jc w:val="both"/>
              <w:rPr>
                <w:rFonts w:ascii="Arial" w:hAnsi="Arial" w:cs="Arial"/>
                <w:bCs/>
                <w:color w:val="000000" w:themeColor="text1"/>
                <w:lang w:val="es-ES_tradnl"/>
              </w:rPr>
            </w:pPr>
            <w:r w:rsidRPr="00F30D20">
              <w:rPr>
                <w:rFonts w:ascii="Arial" w:hAnsi="Arial" w:cs="Arial"/>
                <w:bCs/>
                <w:color w:val="000000" w:themeColor="text1"/>
                <w:lang w:val="es-ES_tradnl"/>
              </w:rPr>
              <w:t>Planes de Mejora de Gestión y Plan de Reducción de Pérdidas 2017-2022</w:t>
            </w:r>
            <w:r w:rsidRPr="00594E50">
              <w:rPr>
                <w:rFonts w:ascii="Arial" w:hAnsi="Arial" w:cs="Arial"/>
                <w:bCs/>
                <w:color w:val="000000" w:themeColor="text1"/>
                <w:lang w:val="es-ES_tradnl"/>
              </w:rPr>
              <w:t>, aprobados por el Consejo Directivo de cada EDE</w:t>
            </w:r>
            <w:r w:rsidRPr="00F30D20">
              <w:rPr>
                <w:rFonts w:ascii="Arial" w:hAnsi="Arial" w:cs="Arial"/>
                <w:bCs/>
                <w:color w:val="000000" w:themeColor="text1"/>
                <w:lang w:val="es-ES_tradnl"/>
              </w:rPr>
              <w:t>.</w:t>
            </w:r>
          </w:p>
          <w:p w14:paraId="5E765833" w14:textId="77777777" w:rsidR="00B24A6E" w:rsidRDefault="00B24A6E" w:rsidP="00F101E5">
            <w:pPr>
              <w:autoSpaceDE w:val="0"/>
              <w:autoSpaceDN w:val="0"/>
              <w:adjustRightInd w:val="0"/>
              <w:jc w:val="both"/>
              <w:rPr>
                <w:rFonts w:ascii="Arial" w:hAnsi="Arial" w:cs="Arial"/>
                <w:bCs/>
                <w:color w:val="000000" w:themeColor="text1"/>
                <w:lang w:val="es-ES_tradnl"/>
              </w:rPr>
            </w:pPr>
          </w:p>
        </w:tc>
        <w:tc>
          <w:tcPr>
            <w:tcW w:w="3333" w:type="dxa"/>
            <w:shd w:val="clear" w:color="auto" w:fill="auto"/>
          </w:tcPr>
          <w:p w14:paraId="32317723" w14:textId="2DA470EC" w:rsidR="00B24A6E" w:rsidRDefault="00B24A6E" w:rsidP="00490A55">
            <w:pPr>
              <w:autoSpaceDE w:val="0"/>
              <w:autoSpaceDN w:val="0"/>
              <w:adjustRightInd w:val="0"/>
              <w:jc w:val="both"/>
              <w:rPr>
                <w:rFonts w:ascii="Arial" w:eastAsia="Arial" w:hAnsi="Arial" w:cs="Arial"/>
                <w:color w:val="000000" w:themeColor="text1"/>
                <w:u w:val="single"/>
                <w:lang w:val="es-ES"/>
              </w:rPr>
            </w:pPr>
            <w:r w:rsidRPr="00E84BF2">
              <w:rPr>
                <w:rFonts w:ascii="Arial" w:eastAsia="Arial" w:hAnsi="Arial" w:cs="Arial"/>
                <w:color w:val="000000" w:themeColor="text1"/>
                <w:u w:val="single"/>
                <w:lang w:val="es-ES"/>
              </w:rPr>
              <w:t>Cumplido</w:t>
            </w:r>
          </w:p>
        </w:tc>
      </w:tr>
      <w:tr w:rsidR="00B24A6E" w:rsidRPr="00304CDA" w14:paraId="58F15598" w14:textId="77777777" w:rsidTr="00F23488">
        <w:trPr>
          <w:gridAfter w:val="1"/>
          <w:wAfter w:w="16" w:type="dxa"/>
          <w:trHeight w:val="615"/>
          <w:jc w:val="center"/>
        </w:trPr>
        <w:tc>
          <w:tcPr>
            <w:tcW w:w="1980" w:type="dxa"/>
            <w:vMerge/>
            <w:shd w:val="clear" w:color="auto" w:fill="auto"/>
          </w:tcPr>
          <w:p w14:paraId="34D52990" w14:textId="77777777" w:rsidR="00B24A6E" w:rsidRPr="001A3B45" w:rsidRDefault="00B24A6E" w:rsidP="002C46C7">
            <w:pPr>
              <w:pStyle w:val="ListParagraph"/>
              <w:numPr>
                <w:ilvl w:val="1"/>
                <w:numId w:val="8"/>
              </w:numPr>
              <w:autoSpaceDE w:val="0"/>
              <w:autoSpaceDN w:val="0"/>
              <w:adjustRightInd w:val="0"/>
              <w:rPr>
                <w:rFonts w:ascii="Arial" w:hAnsi="Arial" w:cs="Arial"/>
                <w:b/>
                <w:bCs/>
                <w:color w:val="000000" w:themeColor="text1"/>
                <w:lang w:val="es-ES"/>
              </w:rPr>
            </w:pPr>
          </w:p>
        </w:tc>
        <w:tc>
          <w:tcPr>
            <w:tcW w:w="4222" w:type="dxa"/>
            <w:shd w:val="clear" w:color="auto" w:fill="auto"/>
          </w:tcPr>
          <w:p w14:paraId="01D05045" w14:textId="277642B5" w:rsidR="00B24A6E" w:rsidRPr="001A3B45" w:rsidRDefault="00B24A6E" w:rsidP="00EF6FD6">
            <w:pPr>
              <w:pStyle w:val="ListParagraph"/>
              <w:ind w:left="0"/>
              <w:contextualSpacing/>
              <w:jc w:val="both"/>
              <w:rPr>
                <w:rFonts w:ascii="Arial" w:hAnsi="Arial" w:cs="Arial"/>
                <w:bCs/>
                <w:color w:val="000000" w:themeColor="text1"/>
                <w:lang w:val="es-ES_tradnl"/>
              </w:rPr>
            </w:pPr>
            <w:r w:rsidRPr="0024758E">
              <w:rPr>
                <w:rFonts w:ascii="Arial" w:eastAsia="Arial" w:hAnsi="Arial" w:cs="Arial"/>
                <w:color w:val="000000" w:themeColor="text1"/>
                <w:lang w:val="es-CO" w:eastAsia="es-CO"/>
              </w:rPr>
              <w:t>Que el MEM</w:t>
            </w:r>
            <w:r>
              <w:rPr>
                <w:rFonts w:ascii="Arial" w:eastAsia="Arial" w:hAnsi="Arial" w:cs="Arial"/>
                <w:color w:val="000000" w:themeColor="text1"/>
                <w:lang w:val="es-CO" w:eastAsia="es-CO"/>
              </w:rPr>
              <w:t xml:space="preserve"> y el MH </w:t>
            </w:r>
            <w:r w:rsidRPr="0024758E">
              <w:rPr>
                <w:rFonts w:ascii="Arial" w:eastAsia="Arial" w:hAnsi="Arial" w:cs="Arial"/>
                <w:color w:val="000000" w:themeColor="text1"/>
                <w:lang w:val="es-CO" w:eastAsia="es-CO"/>
              </w:rPr>
              <w:t>haya</w:t>
            </w:r>
            <w:r>
              <w:rPr>
                <w:rFonts w:ascii="Arial" w:eastAsia="Arial" w:hAnsi="Arial" w:cs="Arial"/>
                <w:color w:val="000000" w:themeColor="text1"/>
                <w:lang w:val="es-CO" w:eastAsia="es-CO"/>
              </w:rPr>
              <w:t>n</w:t>
            </w:r>
            <w:r w:rsidRPr="0024758E">
              <w:rPr>
                <w:rFonts w:ascii="Arial" w:eastAsia="Arial" w:hAnsi="Arial" w:cs="Arial"/>
                <w:color w:val="000000" w:themeColor="text1"/>
                <w:lang w:val="es-CO" w:eastAsia="es-CO"/>
              </w:rPr>
              <w:t xml:space="preserve"> emitido una </w:t>
            </w:r>
            <w:r w:rsidRPr="00C430C3">
              <w:rPr>
                <w:rFonts w:ascii="Arial" w:eastAsia="Arial" w:hAnsi="Arial" w:cs="Arial"/>
                <w:color w:val="000000" w:themeColor="text1"/>
                <w:lang w:val="es-CO" w:eastAsia="es-CO"/>
              </w:rPr>
              <w:t>normativa</w:t>
            </w:r>
            <w:r w:rsidRPr="0024758E">
              <w:rPr>
                <w:rFonts w:ascii="Arial" w:eastAsia="Arial" w:hAnsi="Arial" w:cs="Arial"/>
                <w:color w:val="000000" w:themeColor="text1"/>
                <w:lang w:val="es-CO" w:eastAsia="es-CO"/>
              </w:rPr>
              <w:t xml:space="preserve"> estableciendo los criterios para la determinación de las instituciones gubernamentales que se consideraran no cortables, en virtud de la Ley General de Electricidad No. 125-01.</w:t>
            </w:r>
            <w:bookmarkStart w:id="11" w:name="_Hlk509131318"/>
            <w:bookmarkEnd w:id="11"/>
          </w:p>
        </w:tc>
        <w:tc>
          <w:tcPr>
            <w:tcW w:w="3690" w:type="dxa"/>
          </w:tcPr>
          <w:p w14:paraId="2FA41E24" w14:textId="0FF78482" w:rsidR="00B24A6E" w:rsidRDefault="00B24A6E" w:rsidP="002C46C7">
            <w:pPr>
              <w:autoSpaceDE w:val="0"/>
              <w:autoSpaceDN w:val="0"/>
              <w:adjustRightInd w:val="0"/>
              <w:jc w:val="both"/>
              <w:rPr>
                <w:rFonts w:ascii="Arial" w:hAnsi="Arial" w:cs="Arial"/>
                <w:bCs/>
                <w:color w:val="000000" w:themeColor="text1"/>
                <w:lang w:val="es-ES_tradnl"/>
              </w:rPr>
            </w:pPr>
            <w:r>
              <w:rPr>
                <w:rFonts w:ascii="Arial" w:hAnsi="Arial" w:cs="Arial"/>
                <w:bCs/>
                <w:color w:val="000000" w:themeColor="text1"/>
                <w:lang w:val="es-ES_tradnl"/>
              </w:rPr>
              <w:t xml:space="preserve">Resolución conjunta emitida por el MEM y MH, la cual </w:t>
            </w:r>
            <w:r w:rsidRPr="001A3B45">
              <w:rPr>
                <w:rFonts w:ascii="Arial" w:hAnsi="Arial" w:cs="Arial"/>
                <w:bCs/>
                <w:color w:val="000000" w:themeColor="text1"/>
                <w:lang w:val="es-ES_tradnl"/>
              </w:rPr>
              <w:t>estable</w:t>
            </w:r>
            <w:r>
              <w:rPr>
                <w:rFonts w:ascii="Arial" w:hAnsi="Arial" w:cs="Arial"/>
                <w:bCs/>
                <w:color w:val="000000" w:themeColor="text1"/>
                <w:lang w:val="es-ES_tradnl"/>
              </w:rPr>
              <w:t>ce</w:t>
            </w:r>
            <w:r w:rsidRPr="001A3B45">
              <w:rPr>
                <w:rFonts w:ascii="Arial" w:hAnsi="Arial" w:cs="Arial"/>
                <w:bCs/>
                <w:color w:val="000000" w:themeColor="text1"/>
                <w:lang w:val="es-ES_tradnl"/>
              </w:rPr>
              <w:t xml:space="preserve"> los criterios y determinación de las instituciones gubernamentales no cortables.</w:t>
            </w:r>
          </w:p>
          <w:p w14:paraId="462511F6" w14:textId="77777777" w:rsidR="00B24A6E" w:rsidRPr="001A3B45" w:rsidRDefault="00B24A6E" w:rsidP="002C46C7">
            <w:pPr>
              <w:autoSpaceDE w:val="0"/>
              <w:autoSpaceDN w:val="0"/>
              <w:adjustRightInd w:val="0"/>
              <w:jc w:val="both"/>
              <w:rPr>
                <w:rFonts w:ascii="Arial" w:hAnsi="Arial" w:cs="Arial"/>
                <w:bCs/>
                <w:color w:val="000000" w:themeColor="text1"/>
                <w:highlight w:val="red"/>
                <w:lang w:val="es-ES_tradnl"/>
              </w:rPr>
            </w:pPr>
          </w:p>
        </w:tc>
        <w:tc>
          <w:tcPr>
            <w:tcW w:w="3333" w:type="dxa"/>
            <w:shd w:val="clear" w:color="auto" w:fill="auto"/>
          </w:tcPr>
          <w:p w14:paraId="27754553" w14:textId="188CD285" w:rsidR="00B24A6E" w:rsidRPr="00E84BF2" w:rsidRDefault="00B24A6E" w:rsidP="002C46C7">
            <w:pPr>
              <w:autoSpaceDE w:val="0"/>
              <w:autoSpaceDN w:val="0"/>
              <w:adjustRightInd w:val="0"/>
              <w:jc w:val="both"/>
              <w:rPr>
                <w:rFonts w:ascii="Arial" w:hAnsi="Arial" w:cs="Arial"/>
                <w:color w:val="000000" w:themeColor="text1"/>
                <w:lang w:val="es-ES" w:eastAsia="es-CO"/>
              </w:rPr>
            </w:pPr>
            <w:r w:rsidRPr="00177E16">
              <w:rPr>
                <w:rFonts w:ascii="Arial" w:hAnsi="Arial" w:cs="Arial"/>
                <w:color w:val="000000" w:themeColor="text1"/>
                <w:u w:val="single"/>
                <w:lang w:val="es-ES" w:eastAsia="es-CO"/>
              </w:rPr>
              <w:t>Cumplido</w:t>
            </w:r>
          </w:p>
        </w:tc>
      </w:tr>
      <w:tr w:rsidR="00B24A6E" w:rsidRPr="00A66ABB" w14:paraId="0CCB8C99" w14:textId="77777777" w:rsidTr="00F23488">
        <w:trPr>
          <w:gridAfter w:val="1"/>
          <w:wAfter w:w="16" w:type="dxa"/>
          <w:trHeight w:val="60"/>
          <w:jc w:val="center"/>
        </w:trPr>
        <w:tc>
          <w:tcPr>
            <w:tcW w:w="1980" w:type="dxa"/>
            <w:vMerge w:val="restart"/>
            <w:shd w:val="clear" w:color="auto" w:fill="auto"/>
          </w:tcPr>
          <w:p w14:paraId="3D6D9D42" w14:textId="32E6C247" w:rsidR="00B24A6E" w:rsidRPr="001A3B45" w:rsidRDefault="00B24A6E" w:rsidP="002C46C7">
            <w:pPr>
              <w:pStyle w:val="ListParagraph"/>
              <w:numPr>
                <w:ilvl w:val="1"/>
                <w:numId w:val="18"/>
              </w:numPr>
              <w:autoSpaceDE w:val="0"/>
              <w:autoSpaceDN w:val="0"/>
              <w:adjustRightInd w:val="0"/>
              <w:rPr>
                <w:rFonts w:ascii="Arial" w:eastAsia="Arial" w:hAnsi="Arial" w:cs="Arial"/>
                <w:b/>
                <w:bCs/>
                <w:color w:val="000000" w:themeColor="text1"/>
                <w:lang w:val="es-ES"/>
              </w:rPr>
            </w:pPr>
            <w:r w:rsidRPr="6FAE9D8D">
              <w:rPr>
                <w:rFonts w:ascii="Arial" w:eastAsia="Arial" w:hAnsi="Arial" w:cs="Arial"/>
                <w:b/>
                <w:bCs/>
                <w:color w:val="000000" w:themeColor="text1"/>
                <w:lang w:val="es-ES"/>
              </w:rPr>
              <w:t>Mejorar la gestión corporativa de CDEEE y de EDE</w:t>
            </w:r>
          </w:p>
        </w:tc>
        <w:tc>
          <w:tcPr>
            <w:tcW w:w="4222" w:type="dxa"/>
            <w:shd w:val="clear" w:color="auto" w:fill="auto"/>
          </w:tcPr>
          <w:p w14:paraId="3136BC2D" w14:textId="77777777" w:rsidR="00B24A6E" w:rsidRPr="001A3B45" w:rsidRDefault="00B24A6E" w:rsidP="002C46C7">
            <w:pPr>
              <w:autoSpaceDE w:val="0"/>
              <w:autoSpaceDN w:val="0"/>
              <w:adjustRightInd w:val="0"/>
              <w:ind w:right="60"/>
              <w:jc w:val="both"/>
              <w:rPr>
                <w:rFonts w:ascii="Arial" w:eastAsia="Arial" w:hAnsi="Arial" w:cs="Arial"/>
                <w:color w:val="000000" w:themeColor="text1"/>
                <w:lang w:val="es-CO" w:eastAsia="es-CO"/>
              </w:rPr>
            </w:pPr>
            <w:bookmarkStart w:id="12" w:name="_Hlk514084550"/>
            <w:r w:rsidRPr="6FAE9D8D">
              <w:rPr>
                <w:rFonts w:ascii="Arial" w:eastAsia="Arial" w:hAnsi="Arial" w:cs="Arial"/>
                <w:color w:val="000000" w:themeColor="text1"/>
                <w:lang w:val="es-CO" w:eastAsia="es-CO"/>
              </w:rPr>
              <w:t xml:space="preserve">Que las EDE estén utilizando </w:t>
            </w:r>
            <w:r>
              <w:rPr>
                <w:rFonts w:ascii="Arial" w:eastAsia="Arial" w:hAnsi="Arial" w:cs="Arial"/>
                <w:color w:val="000000" w:themeColor="text1"/>
                <w:lang w:val="es-CO" w:eastAsia="es-CO"/>
              </w:rPr>
              <w:t>el</w:t>
            </w:r>
            <w:r w:rsidRPr="6FAE9D8D">
              <w:rPr>
                <w:rFonts w:ascii="Arial" w:eastAsia="Arial" w:hAnsi="Arial" w:cs="Arial"/>
                <w:color w:val="000000" w:themeColor="text1"/>
                <w:lang w:val="es-CO" w:eastAsia="es-CO"/>
              </w:rPr>
              <w:t xml:space="preserve"> módulo administrativo en el sistema integrado de administración de recursos. </w:t>
            </w:r>
            <w:bookmarkEnd w:id="12"/>
          </w:p>
          <w:p w14:paraId="1BDDE3F7" w14:textId="77777777" w:rsidR="00B24A6E" w:rsidRPr="001A3B45" w:rsidRDefault="00B24A6E" w:rsidP="002C46C7">
            <w:pPr>
              <w:ind w:right="108"/>
              <w:contextualSpacing/>
              <w:jc w:val="both"/>
              <w:rPr>
                <w:rFonts w:ascii="Arial" w:hAnsi="Arial" w:cs="Arial"/>
                <w:bCs/>
                <w:color w:val="000000" w:themeColor="text1"/>
                <w:lang w:val="es-CO"/>
              </w:rPr>
            </w:pPr>
          </w:p>
        </w:tc>
        <w:tc>
          <w:tcPr>
            <w:tcW w:w="3690" w:type="dxa"/>
          </w:tcPr>
          <w:p w14:paraId="6D80E8E3" w14:textId="31E899DF" w:rsidR="00B24A6E" w:rsidRPr="001A3B45" w:rsidRDefault="00B24A6E" w:rsidP="00EF6FD6">
            <w:pPr>
              <w:autoSpaceDE w:val="0"/>
              <w:autoSpaceDN w:val="0"/>
              <w:adjustRightInd w:val="0"/>
              <w:jc w:val="both"/>
              <w:rPr>
                <w:rFonts w:ascii="Arial" w:hAnsi="Arial" w:cs="Arial"/>
                <w:bCs/>
                <w:color w:val="000000" w:themeColor="text1"/>
                <w:lang w:val="es-419"/>
              </w:rPr>
            </w:pPr>
            <w:r w:rsidRPr="001A3B45">
              <w:rPr>
                <w:rFonts w:ascii="Arial" w:hAnsi="Arial" w:cs="Arial"/>
                <w:color w:val="000000" w:themeColor="text1"/>
                <w:lang w:val="es-CO" w:eastAsia="es-CO"/>
              </w:rPr>
              <w:t xml:space="preserve">Informe de </w:t>
            </w:r>
            <w:r>
              <w:rPr>
                <w:rFonts w:ascii="Arial" w:hAnsi="Arial" w:cs="Arial"/>
                <w:color w:val="000000" w:themeColor="text1"/>
                <w:lang w:val="es-CO" w:eastAsia="es-CO"/>
              </w:rPr>
              <w:t>auditor</w:t>
            </w:r>
            <w:r w:rsidRPr="001A3B45">
              <w:rPr>
                <w:rFonts w:ascii="Arial" w:hAnsi="Arial" w:cs="Arial"/>
                <w:color w:val="000000" w:themeColor="text1"/>
                <w:lang w:val="es-CO" w:eastAsia="es-CO"/>
              </w:rPr>
              <w:t xml:space="preserve"> independiente sobre la implementación y utilización de un módulo administrativo del sistema integrado de recursos en las EDE.</w:t>
            </w:r>
          </w:p>
        </w:tc>
        <w:tc>
          <w:tcPr>
            <w:tcW w:w="3333" w:type="dxa"/>
            <w:shd w:val="clear" w:color="auto" w:fill="auto"/>
          </w:tcPr>
          <w:p w14:paraId="316863DB" w14:textId="6D75086A" w:rsidR="00B24A6E" w:rsidRPr="00177E16" w:rsidRDefault="00B24A6E" w:rsidP="002C46C7">
            <w:pPr>
              <w:autoSpaceDE w:val="0"/>
              <w:autoSpaceDN w:val="0"/>
              <w:adjustRightInd w:val="0"/>
              <w:jc w:val="both"/>
              <w:rPr>
                <w:rFonts w:ascii="Arial" w:hAnsi="Arial" w:cs="Arial"/>
                <w:bCs/>
                <w:color w:val="000000" w:themeColor="text1"/>
                <w:lang w:val="es-ES"/>
              </w:rPr>
            </w:pPr>
            <w:r w:rsidRPr="00177E16">
              <w:rPr>
                <w:rFonts w:ascii="Arial" w:eastAsia="Arial" w:hAnsi="Arial" w:cs="Arial"/>
                <w:color w:val="000000" w:themeColor="text1"/>
                <w:u w:val="single"/>
                <w:lang w:val="es-ES" w:eastAsia="es-CO"/>
              </w:rPr>
              <w:t xml:space="preserve">Cumplido </w:t>
            </w:r>
          </w:p>
        </w:tc>
      </w:tr>
      <w:tr w:rsidR="00B24A6E" w:rsidRPr="001D48C6" w14:paraId="79CB4537" w14:textId="77777777" w:rsidTr="00F23488">
        <w:trPr>
          <w:gridAfter w:val="1"/>
          <w:wAfter w:w="16" w:type="dxa"/>
          <w:trHeight w:val="1085"/>
          <w:jc w:val="center"/>
        </w:trPr>
        <w:tc>
          <w:tcPr>
            <w:tcW w:w="1980" w:type="dxa"/>
            <w:vMerge/>
            <w:shd w:val="clear" w:color="auto" w:fill="auto"/>
          </w:tcPr>
          <w:p w14:paraId="77DD7A5B" w14:textId="77777777" w:rsidR="00B24A6E" w:rsidRPr="00A66ABB" w:rsidRDefault="00B24A6E" w:rsidP="00682B45">
            <w:pPr>
              <w:pStyle w:val="ListParagraph"/>
              <w:numPr>
                <w:ilvl w:val="1"/>
                <w:numId w:val="8"/>
              </w:numPr>
              <w:autoSpaceDE w:val="0"/>
              <w:autoSpaceDN w:val="0"/>
              <w:adjustRightInd w:val="0"/>
              <w:rPr>
                <w:rFonts w:ascii="Arial" w:hAnsi="Arial" w:cs="Arial"/>
                <w:b/>
                <w:bCs/>
                <w:color w:val="000000" w:themeColor="text1"/>
                <w:lang w:val="es-ES"/>
              </w:rPr>
            </w:pPr>
          </w:p>
        </w:tc>
        <w:tc>
          <w:tcPr>
            <w:tcW w:w="4222" w:type="dxa"/>
            <w:shd w:val="clear" w:color="auto" w:fill="auto"/>
          </w:tcPr>
          <w:p w14:paraId="06ABFEC8" w14:textId="77777777" w:rsidR="00B24A6E" w:rsidRPr="001A3B45" w:rsidRDefault="00B24A6E" w:rsidP="00682B45">
            <w:pPr>
              <w:autoSpaceDE w:val="0"/>
              <w:autoSpaceDN w:val="0"/>
              <w:adjustRightInd w:val="0"/>
              <w:ind w:right="60"/>
              <w:jc w:val="both"/>
              <w:rPr>
                <w:rFonts w:ascii="Arial" w:eastAsia="Arial" w:hAnsi="Arial" w:cs="Arial"/>
                <w:color w:val="000000" w:themeColor="text1"/>
                <w:lang w:val="es-CO" w:eastAsia="es-CO"/>
              </w:rPr>
            </w:pPr>
            <w:bookmarkStart w:id="13" w:name="_Hlk514084587"/>
            <w:r w:rsidRPr="6FAE9D8D">
              <w:rPr>
                <w:rFonts w:ascii="Arial" w:eastAsia="Arial" w:hAnsi="Arial" w:cs="Arial"/>
                <w:color w:val="000000" w:themeColor="text1"/>
                <w:lang w:val="es-CO" w:eastAsia="es-CO"/>
              </w:rPr>
              <w:t xml:space="preserve">Que las EDE estén utilizando </w:t>
            </w:r>
            <w:r>
              <w:rPr>
                <w:rFonts w:ascii="Arial" w:eastAsia="Arial" w:hAnsi="Arial" w:cs="Arial"/>
                <w:color w:val="000000" w:themeColor="text1"/>
                <w:lang w:val="es-CO" w:eastAsia="es-CO"/>
              </w:rPr>
              <w:t>el</w:t>
            </w:r>
            <w:r w:rsidRPr="6FAE9D8D">
              <w:rPr>
                <w:rFonts w:ascii="Arial" w:eastAsia="Arial" w:hAnsi="Arial" w:cs="Arial"/>
                <w:color w:val="000000" w:themeColor="text1"/>
                <w:lang w:val="es-CO" w:eastAsia="es-CO"/>
              </w:rPr>
              <w:t xml:space="preserve"> módulo financiero</w:t>
            </w:r>
            <w:r>
              <w:rPr>
                <w:rFonts w:ascii="Arial" w:eastAsia="Arial" w:hAnsi="Arial" w:cs="Arial"/>
                <w:color w:val="000000" w:themeColor="text1"/>
                <w:lang w:val="es-CO" w:eastAsia="es-CO"/>
              </w:rPr>
              <w:t xml:space="preserve"> y </w:t>
            </w:r>
            <w:r w:rsidRPr="6FAE9D8D">
              <w:rPr>
                <w:rFonts w:ascii="Arial" w:eastAsia="Arial" w:hAnsi="Arial" w:cs="Arial"/>
                <w:color w:val="000000" w:themeColor="text1"/>
                <w:lang w:val="es-CO" w:eastAsia="es-CO"/>
              </w:rPr>
              <w:t>módulo comercial</w:t>
            </w:r>
            <w:r>
              <w:rPr>
                <w:rFonts w:ascii="Arial" w:eastAsia="Arial" w:hAnsi="Arial" w:cs="Arial"/>
                <w:color w:val="000000" w:themeColor="text1"/>
                <w:lang w:val="es-CO" w:eastAsia="es-CO"/>
              </w:rPr>
              <w:t xml:space="preserve"> del</w:t>
            </w:r>
            <w:r w:rsidRPr="6FAE9D8D">
              <w:rPr>
                <w:rFonts w:ascii="Arial" w:eastAsia="Arial" w:hAnsi="Arial" w:cs="Arial"/>
                <w:color w:val="000000" w:themeColor="text1"/>
                <w:lang w:val="es-CO" w:eastAsia="es-CO"/>
              </w:rPr>
              <w:t xml:space="preserve"> sistema integrado de administración de recursos.</w:t>
            </w:r>
            <w:bookmarkStart w:id="14" w:name="_Hlk513633325"/>
            <w:bookmarkEnd w:id="13"/>
            <w:bookmarkEnd w:id="14"/>
            <w:r>
              <w:rPr>
                <w:rFonts w:ascii="Arial" w:eastAsia="Arial" w:hAnsi="Arial" w:cs="Arial"/>
                <w:color w:val="000000" w:themeColor="text1"/>
                <w:lang w:val="es-CO" w:eastAsia="es-CO"/>
              </w:rPr>
              <w:t xml:space="preserve"> </w:t>
            </w:r>
          </w:p>
          <w:p w14:paraId="0F59ECBE" w14:textId="77777777" w:rsidR="00B24A6E" w:rsidRPr="001A3B45" w:rsidRDefault="00B24A6E" w:rsidP="00682B45">
            <w:pPr>
              <w:autoSpaceDE w:val="0"/>
              <w:autoSpaceDN w:val="0"/>
              <w:adjustRightInd w:val="0"/>
              <w:ind w:right="60"/>
              <w:jc w:val="both"/>
              <w:rPr>
                <w:rFonts w:ascii="Arial" w:hAnsi="Arial" w:cs="Arial"/>
                <w:color w:val="000000" w:themeColor="text1"/>
                <w:lang w:val="es-CO" w:eastAsia="es-CO"/>
              </w:rPr>
            </w:pPr>
          </w:p>
        </w:tc>
        <w:tc>
          <w:tcPr>
            <w:tcW w:w="3690" w:type="dxa"/>
          </w:tcPr>
          <w:p w14:paraId="18C6FB72" w14:textId="5CE57D26" w:rsidR="00B24A6E" w:rsidRPr="001A3B45" w:rsidRDefault="00B24A6E" w:rsidP="00EF6FD6">
            <w:pPr>
              <w:autoSpaceDE w:val="0"/>
              <w:autoSpaceDN w:val="0"/>
              <w:adjustRightInd w:val="0"/>
              <w:jc w:val="both"/>
              <w:rPr>
                <w:rFonts w:ascii="Arial" w:hAnsi="Arial" w:cs="Arial"/>
                <w:color w:val="000000" w:themeColor="text1"/>
                <w:lang w:val="es-CO" w:eastAsia="es-CO"/>
              </w:rPr>
            </w:pPr>
            <w:r w:rsidRPr="001A3B45">
              <w:rPr>
                <w:rFonts w:ascii="Arial" w:hAnsi="Arial" w:cs="Arial"/>
                <w:color w:val="000000" w:themeColor="text1"/>
                <w:lang w:val="es-CO" w:eastAsia="es-CO"/>
              </w:rPr>
              <w:t xml:space="preserve">Informe de </w:t>
            </w:r>
            <w:r>
              <w:rPr>
                <w:rFonts w:ascii="Arial" w:hAnsi="Arial" w:cs="Arial"/>
                <w:color w:val="000000" w:themeColor="text1"/>
                <w:lang w:val="es-CO" w:eastAsia="es-CO"/>
              </w:rPr>
              <w:t>auditor</w:t>
            </w:r>
            <w:r w:rsidRPr="001A3B45">
              <w:rPr>
                <w:rFonts w:ascii="Arial" w:hAnsi="Arial" w:cs="Arial"/>
                <w:color w:val="000000" w:themeColor="text1"/>
                <w:lang w:val="es-CO" w:eastAsia="es-CO"/>
              </w:rPr>
              <w:t xml:space="preserve"> independiente sobre la implementación y utilización del módulo financiero y comercial del sistema integrado de recursos en las </w:t>
            </w:r>
            <w:proofErr w:type="spellStart"/>
            <w:r w:rsidRPr="001A3B45">
              <w:rPr>
                <w:rFonts w:ascii="Arial" w:hAnsi="Arial" w:cs="Arial"/>
                <w:color w:val="000000" w:themeColor="text1"/>
                <w:lang w:val="es-CO" w:eastAsia="es-CO"/>
              </w:rPr>
              <w:t>EDEs</w:t>
            </w:r>
            <w:proofErr w:type="spellEnd"/>
            <w:r w:rsidRPr="001A3B45">
              <w:rPr>
                <w:rFonts w:ascii="Arial" w:hAnsi="Arial" w:cs="Arial"/>
                <w:color w:val="000000" w:themeColor="text1"/>
                <w:lang w:val="es-CO" w:eastAsia="es-CO"/>
              </w:rPr>
              <w:t>.</w:t>
            </w:r>
          </w:p>
        </w:tc>
        <w:tc>
          <w:tcPr>
            <w:tcW w:w="3333" w:type="dxa"/>
            <w:shd w:val="clear" w:color="auto" w:fill="auto"/>
          </w:tcPr>
          <w:p w14:paraId="013217E4" w14:textId="3DD0AB04" w:rsidR="00B24A6E" w:rsidRPr="001A3B45" w:rsidRDefault="00B24A6E" w:rsidP="00682B45">
            <w:pPr>
              <w:autoSpaceDE w:val="0"/>
              <w:autoSpaceDN w:val="0"/>
              <w:adjustRightInd w:val="0"/>
              <w:jc w:val="both"/>
              <w:rPr>
                <w:rFonts w:ascii="Arial" w:hAnsi="Arial" w:cs="Arial"/>
                <w:color w:val="000000" w:themeColor="text1"/>
                <w:lang w:val="es-CO" w:eastAsia="es-CO"/>
              </w:rPr>
            </w:pPr>
            <w:r w:rsidRPr="007E615D">
              <w:rPr>
                <w:rFonts w:ascii="Arial" w:eastAsia="Arial" w:hAnsi="Arial" w:cs="Arial"/>
                <w:color w:val="000000" w:themeColor="text1"/>
                <w:u w:val="single"/>
                <w:lang w:val="es-ES" w:eastAsia="es-CO"/>
              </w:rPr>
              <w:t>Cumplido</w:t>
            </w:r>
          </w:p>
        </w:tc>
      </w:tr>
      <w:bookmarkEnd w:id="0"/>
    </w:tbl>
    <w:p w14:paraId="062B4273" w14:textId="77777777" w:rsidR="00795C9B" w:rsidRPr="00D932E5" w:rsidRDefault="00795C9B" w:rsidP="00BD0497">
      <w:pPr>
        <w:jc w:val="both"/>
        <w:rPr>
          <w:rFonts w:ascii="Arial" w:hAnsi="Arial" w:cs="Arial"/>
          <w:lang w:val="es-ES"/>
        </w:rPr>
      </w:pPr>
    </w:p>
    <w:sectPr w:rsidR="00795C9B" w:rsidRPr="00D932E5" w:rsidSect="00F16ED6">
      <w:headerReference w:type="default" r:id="rId14"/>
      <w:footerReference w:type="default" r:id="rId15"/>
      <w:pgSz w:w="15840" w:h="12240" w:orient="landscape" w:code="1"/>
      <w:pgMar w:top="850" w:right="1166" w:bottom="1440" w:left="1440" w:header="720" w:footer="61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AEB60" w14:textId="77777777" w:rsidR="006801BD" w:rsidRDefault="006801BD">
      <w:r>
        <w:separator/>
      </w:r>
    </w:p>
  </w:endnote>
  <w:endnote w:type="continuationSeparator" w:id="0">
    <w:p w14:paraId="387E7A79" w14:textId="77777777" w:rsidR="006801BD" w:rsidRDefault="006801BD">
      <w:r>
        <w:continuationSeparator/>
      </w:r>
    </w:p>
  </w:endnote>
  <w:endnote w:type="continuationNotice" w:id="1">
    <w:p w14:paraId="505BF94A" w14:textId="77777777" w:rsidR="006801BD" w:rsidRDefault="00680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neva">
    <w:altName w:val="Arial"/>
    <w:charset w:val="00"/>
    <w:family w:val="auto"/>
    <w:pitch w:val="variable"/>
    <w:sig w:usb0="E00002FF" w:usb1="5200205F" w:usb2="00A0C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C85B0" w14:textId="77777777" w:rsidR="00367D35" w:rsidRPr="00A272E9" w:rsidRDefault="00367D35" w:rsidP="00A272E9">
    <w:pPr>
      <w:pStyle w:val="Footer"/>
      <w:tabs>
        <w:tab w:val="clear" w:pos="4320"/>
        <w:tab w:val="clear" w:pos="8640"/>
        <w:tab w:val="left" w:pos="9360"/>
      </w:tabs>
      <w:rPr>
        <w:b/>
        <w:sz w:val="16"/>
        <w:szCs w:val="16"/>
        <w:lang w:val="es-ES_tradnl"/>
      </w:rPr>
    </w:pPr>
    <w:r w:rsidRPr="00A272E9">
      <w:rPr>
        <w:b/>
        <w:sz w:val="16"/>
        <w:szCs w:val="16"/>
        <w:lang w:val="es-ES_tradn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72387" w14:textId="77777777" w:rsidR="006801BD" w:rsidRDefault="006801BD">
      <w:r>
        <w:separator/>
      </w:r>
    </w:p>
  </w:footnote>
  <w:footnote w:type="continuationSeparator" w:id="0">
    <w:p w14:paraId="4C57421E" w14:textId="77777777" w:rsidR="006801BD" w:rsidRDefault="006801BD">
      <w:r>
        <w:continuationSeparator/>
      </w:r>
    </w:p>
  </w:footnote>
  <w:footnote w:type="continuationNotice" w:id="1">
    <w:p w14:paraId="1BA96685" w14:textId="77777777" w:rsidR="006801BD" w:rsidRDefault="006801BD"/>
  </w:footnote>
  <w:footnote w:id="2">
    <w:p w14:paraId="38DEC1D9" w14:textId="0F068826" w:rsidR="001938FC" w:rsidRPr="00EA628D" w:rsidRDefault="001938FC">
      <w:pPr>
        <w:pStyle w:val="FootnoteText"/>
        <w:rPr>
          <w:lang w:val="es-ES_tradnl"/>
        </w:rPr>
      </w:pPr>
      <w:r>
        <w:rPr>
          <w:rStyle w:val="FootnoteReference"/>
        </w:rPr>
        <w:footnoteRef/>
      </w:r>
      <w:r w:rsidRPr="00EA628D">
        <w:rPr>
          <w:lang w:val="es-ES_tradnl"/>
        </w:rPr>
        <w:t xml:space="preserve"> </w:t>
      </w:r>
      <w:r w:rsidR="0030421F" w:rsidRPr="00EA628D">
        <w:rPr>
          <w:lang w:val="es-ES_tradnl"/>
        </w:rPr>
        <w:tab/>
      </w:r>
      <w:r w:rsidR="0030421F" w:rsidRPr="00EA628D">
        <w:rPr>
          <w:rFonts w:ascii="Arial" w:hAnsi="Arial" w:cs="Arial"/>
          <w:sz w:val="18"/>
          <w:lang w:val="es-ES_tradnl"/>
        </w:rPr>
        <w:t xml:space="preserve">La presente información es de carácter meramente indicativo a la fecha del presente documento. De conformidad con lo establecido en el documento </w:t>
      </w:r>
      <w:r w:rsidR="003E7029" w:rsidRPr="003E7029">
        <w:rPr>
          <w:rFonts w:ascii="Arial" w:hAnsi="Arial" w:cs="Arial"/>
          <w:sz w:val="18"/>
          <w:lang w:val="es-ES_tradnl"/>
        </w:rPr>
        <w:t xml:space="preserve">CS-3633-2 </w:t>
      </w:r>
      <w:r w:rsidR="0030421F" w:rsidRPr="00EA628D">
        <w:rPr>
          <w:rFonts w:ascii="Arial" w:hAnsi="Arial" w:cs="Arial"/>
          <w:sz w:val="18"/>
          <w:lang w:val="es-ES_tradnl"/>
        </w:rPr>
        <w:t>(Préstamos en Apoyo de Reformas de Política: Directrices sobre Preparación y Aplicación), el cumplimiento de todas las condiciones especificadas para el desembolso, incluido el mantenimiento de un marco apropiado de política macroeconómica, será verificado por el Banco al momento de la solicitud del correspondiente desembolso por el Prestatario y reflejado oportunamente en el memorando de elegibilidad para desembolso.</w:t>
      </w:r>
    </w:p>
  </w:footnote>
  <w:footnote w:id="3">
    <w:p w14:paraId="2D9D876B" w14:textId="5957F653" w:rsidR="00B24A6E" w:rsidRPr="00EA628D" w:rsidRDefault="00B24A6E" w:rsidP="00DD4596">
      <w:pPr>
        <w:pStyle w:val="FootnoteText"/>
        <w:rPr>
          <w:rFonts w:ascii="Arial" w:hAnsi="Arial" w:cs="Arial"/>
          <w:lang w:val="es-ES"/>
        </w:rPr>
      </w:pPr>
      <w:r w:rsidRPr="00EA628D">
        <w:rPr>
          <w:rStyle w:val="FootnoteReference"/>
          <w:rFonts w:ascii="Arial" w:hAnsi="Arial" w:cs="Arial"/>
          <w:sz w:val="18"/>
        </w:rPr>
        <w:footnoteRef/>
      </w:r>
      <w:r w:rsidRPr="00EA628D">
        <w:rPr>
          <w:rFonts w:ascii="Arial" w:hAnsi="Arial" w:cs="Arial"/>
          <w:sz w:val="18"/>
          <w:lang w:val="es-ES"/>
        </w:rPr>
        <w:t xml:space="preserve"> </w:t>
      </w:r>
      <w:r w:rsidR="0030421F">
        <w:rPr>
          <w:rFonts w:ascii="Arial" w:hAnsi="Arial" w:cs="Arial"/>
          <w:sz w:val="18"/>
          <w:lang w:val="es-ES"/>
        </w:rPr>
        <w:tab/>
      </w:r>
      <w:r w:rsidRPr="00EA628D">
        <w:rPr>
          <w:rFonts w:ascii="Arial" w:hAnsi="Arial" w:cs="Arial"/>
          <w:sz w:val="18"/>
          <w:lang w:val="es-ES"/>
        </w:rPr>
        <w:t xml:space="preserve">Se denomina </w:t>
      </w:r>
      <w:r w:rsidRPr="00EA628D">
        <w:rPr>
          <w:rFonts w:ascii="Arial" w:hAnsi="Arial" w:cs="Arial"/>
          <w:b/>
          <w:sz w:val="18"/>
          <w:lang w:val="es-ES"/>
        </w:rPr>
        <w:t>subsidio cruzado</w:t>
      </w:r>
      <w:r w:rsidRPr="00EA628D">
        <w:rPr>
          <w:rFonts w:ascii="Arial" w:hAnsi="Arial" w:cs="Arial"/>
          <w:sz w:val="18"/>
          <w:lang w:val="es-ES"/>
        </w:rPr>
        <w:t xml:space="preserve"> a la elaboración de un pliego tarifario por reglón de consumo de energía, donde aquellos usuarios de mayor consumo pagan una tarifa mayor a la tarifa de referencia determinada por la SIE, en beneficio de aquellos usuarios de menor consumo, a quienes se </w:t>
      </w:r>
      <w:proofErr w:type="gramStart"/>
      <w:r w:rsidRPr="00EA628D">
        <w:rPr>
          <w:rFonts w:ascii="Arial" w:hAnsi="Arial" w:cs="Arial"/>
          <w:sz w:val="18"/>
          <w:lang w:val="es-ES"/>
        </w:rPr>
        <w:t>les</w:t>
      </w:r>
      <w:proofErr w:type="gramEnd"/>
      <w:r w:rsidRPr="00EA628D">
        <w:rPr>
          <w:rFonts w:ascii="Arial" w:hAnsi="Arial" w:cs="Arial"/>
          <w:sz w:val="18"/>
          <w:lang w:val="es-ES"/>
        </w:rPr>
        <w:t xml:space="preserve"> aplica una tarifa menor a la tarifa de referencia.</w:t>
      </w:r>
    </w:p>
  </w:footnote>
  <w:footnote w:id="4">
    <w:p w14:paraId="0F60D330" w14:textId="77777777" w:rsidR="00B24A6E" w:rsidRPr="00EA628D" w:rsidRDefault="00B24A6E">
      <w:pPr>
        <w:pStyle w:val="FootnoteText"/>
        <w:rPr>
          <w:rFonts w:ascii="Arial" w:hAnsi="Arial" w:cs="Arial"/>
          <w:sz w:val="18"/>
          <w:lang w:val="es-ES"/>
        </w:rPr>
      </w:pPr>
      <w:r w:rsidRPr="00EA628D">
        <w:rPr>
          <w:rStyle w:val="FootnoteReference"/>
          <w:rFonts w:ascii="Arial" w:hAnsi="Arial" w:cs="Arial"/>
          <w:sz w:val="18"/>
        </w:rPr>
        <w:footnoteRef/>
      </w:r>
      <w:r w:rsidRPr="00EA628D">
        <w:rPr>
          <w:rFonts w:ascii="Arial" w:hAnsi="Arial" w:cs="Arial"/>
          <w:sz w:val="18"/>
          <w:lang w:val="es-ES"/>
        </w:rPr>
        <w:t xml:space="preserve">    La </w:t>
      </w:r>
      <w:r w:rsidRPr="00EA628D">
        <w:rPr>
          <w:rFonts w:ascii="Arial" w:hAnsi="Arial" w:cs="Arial"/>
          <w:b/>
          <w:sz w:val="18"/>
          <w:lang w:val="es-ES"/>
        </w:rPr>
        <w:t xml:space="preserve">tarifa técnica </w:t>
      </w:r>
      <w:r w:rsidRPr="00EA628D">
        <w:rPr>
          <w:rFonts w:ascii="Arial" w:hAnsi="Arial" w:cs="Arial"/>
          <w:sz w:val="18"/>
          <w:lang w:val="es-ES"/>
        </w:rPr>
        <w:t>es aquella que cubre el costo de abastecimiento de las distribuidoras, sustentado en un régimen de competencia según lo establecido en Ley 125-01, más las pérdidas técnicas entre el punto de inyección de los generadores y el punto de retiro de la energía por parte del consumidor al que se le factura el servicio, más los costos asociados a la labor de transmisión y distribución (costo de expansión, operación, mantenimiento y márgenes de operación), cargando un máximo de un 3% de energía incobrables. (Ref. Ley General de Electricidad No.125-01)</w:t>
      </w:r>
    </w:p>
    <w:p w14:paraId="10929E93" w14:textId="77777777" w:rsidR="00B24A6E" w:rsidRPr="00EA628D" w:rsidRDefault="00B24A6E">
      <w:pPr>
        <w:pStyle w:val="FootnoteText"/>
        <w:rPr>
          <w:rFonts w:ascii="Arial" w:hAnsi="Arial" w:cs="Arial"/>
          <w:sz w:val="18"/>
          <w:lang w:val="es-ES"/>
        </w:rPr>
      </w:pPr>
      <w:r w:rsidRPr="00EA628D">
        <w:rPr>
          <w:rFonts w:ascii="Arial" w:hAnsi="Arial" w:cs="Arial"/>
          <w:sz w:val="18"/>
          <w:lang w:val="es-ES"/>
        </w:rPr>
        <w:t xml:space="preserve">      </w:t>
      </w:r>
      <w:bookmarkStart w:id="6" w:name="_Hlk517255811"/>
      <w:r w:rsidRPr="00EA628D">
        <w:rPr>
          <w:rFonts w:ascii="Arial" w:hAnsi="Arial" w:cs="Arial"/>
          <w:sz w:val="18"/>
          <w:lang w:val="es-ES"/>
        </w:rPr>
        <w:t xml:space="preserve">La </w:t>
      </w:r>
      <w:r w:rsidRPr="00EA628D">
        <w:rPr>
          <w:rFonts w:ascii="Arial" w:hAnsi="Arial" w:cs="Arial"/>
          <w:b/>
          <w:sz w:val="18"/>
          <w:lang w:val="es-ES"/>
        </w:rPr>
        <w:t>tarifa de referencia</w:t>
      </w:r>
      <w:r w:rsidRPr="00EA628D">
        <w:rPr>
          <w:rFonts w:ascii="Arial" w:hAnsi="Arial" w:cs="Arial"/>
          <w:sz w:val="18"/>
          <w:lang w:val="es-ES"/>
        </w:rPr>
        <w:t xml:space="preserve"> se refiere la tarifa técnica con metas menos ambiciosas fijadas por la SIE (hasta un 15% de pérdidas, un 97% de cobranzas, un 10% de relación gastos operativos/ingresos, y la tasa de costo de capital para inversión en el sector eléctrico establecida por el Banco Central), la cual el Estado se propone aplicar a partir del mes de enero del 2023</w:t>
      </w:r>
      <w:bookmarkEnd w:id="6"/>
      <w:r w:rsidRPr="00EA628D">
        <w:rPr>
          <w:rFonts w:ascii="Arial" w:hAnsi="Arial" w:cs="Arial"/>
          <w:sz w:val="18"/>
          <w:lang w:val="es-ES"/>
        </w:rPr>
        <w:t xml:space="preserve">. </w:t>
      </w:r>
    </w:p>
  </w:footnote>
  <w:footnote w:id="5">
    <w:p w14:paraId="63DA217A" w14:textId="71ED1B0D" w:rsidR="00B24A6E" w:rsidRPr="004A7337" w:rsidRDefault="00B24A6E">
      <w:pPr>
        <w:pStyle w:val="FootnoteText"/>
        <w:rPr>
          <w:lang w:val="es-ES"/>
        </w:rPr>
      </w:pPr>
      <w:r w:rsidRPr="00EA628D">
        <w:rPr>
          <w:rStyle w:val="FootnoteReference"/>
          <w:rFonts w:ascii="Arial" w:hAnsi="Arial" w:cs="Arial"/>
          <w:sz w:val="18"/>
        </w:rPr>
        <w:footnoteRef/>
      </w:r>
      <w:r w:rsidRPr="00EA628D">
        <w:rPr>
          <w:rFonts w:ascii="Arial" w:hAnsi="Arial" w:cs="Arial"/>
          <w:sz w:val="18"/>
          <w:lang w:val="es-ES"/>
        </w:rPr>
        <w:t xml:space="preserve"> </w:t>
      </w:r>
      <w:r w:rsidR="0030421F">
        <w:rPr>
          <w:rFonts w:ascii="Arial" w:hAnsi="Arial" w:cs="Arial"/>
          <w:sz w:val="18"/>
          <w:lang w:val="es-ES"/>
        </w:rPr>
        <w:tab/>
      </w:r>
      <w:r w:rsidRPr="00EA628D">
        <w:rPr>
          <w:rFonts w:ascii="Arial" w:hAnsi="Arial" w:cs="Arial"/>
          <w:sz w:val="18"/>
          <w:lang w:val="es-ES"/>
        </w:rPr>
        <w:t xml:space="preserve">La </w:t>
      </w:r>
      <w:r w:rsidRPr="00EA628D">
        <w:rPr>
          <w:rFonts w:ascii="Arial" w:hAnsi="Arial" w:cs="Arial"/>
          <w:b/>
          <w:sz w:val="18"/>
          <w:lang w:val="es-ES"/>
        </w:rPr>
        <w:t>tarifa aplicada</w:t>
      </w:r>
      <w:r w:rsidRPr="00EA628D">
        <w:rPr>
          <w:rFonts w:ascii="Arial" w:hAnsi="Arial" w:cs="Arial"/>
          <w:sz w:val="18"/>
          <w:lang w:val="es-ES"/>
        </w:rPr>
        <w:t xml:space="preserve"> se refiere la tarifa efectivamente cobrada a todos los usuarios del servicio eléctrico a través de su factura, la cual es establecida y publicada mensualmente por la SIE.</w:t>
      </w:r>
      <w:r w:rsidRPr="00EA628D">
        <w:rPr>
          <w:sz w:val="18"/>
          <w:lang w:val="es-ES"/>
        </w:rPr>
        <w:t xml:space="preserve"> </w:t>
      </w:r>
    </w:p>
  </w:footnote>
  <w:footnote w:id="6">
    <w:p w14:paraId="42432860" w14:textId="66BED80D" w:rsidR="00B24A6E" w:rsidRPr="00EA628D" w:rsidRDefault="00B24A6E" w:rsidP="004D39F7">
      <w:pPr>
        <w:pStyle w:val="FootnoteText"/>
        <w:rPr>
          <w:rFonts w:ascii="Arial" w:hAnsi="Arial" w:cs="Arial"/>
          <w:lang w:val="es-ES"/>
        </w:rPr>
      </w:pPr>
      <w:r w:rsidRPr="00EA628D">
        <w:rPr>
          <w:rStyle w:val="FootnoteReference"/>
          <w:rFonts w:ascii="Arial" w:hAnsi="Arial" w:cs="Arial"/>
          <w:sz w:val="18"/>
        </w:rPr>
        <w:footnoteRef/>
      </w:r>
      <w:r w:rsidRPr="00EA628D">
        <w:rPr>
          <w:rFonts w:ascii="Arial" w:hAnsi="Arial" w:cs="Arial"/>
          <w:sz w:val="18"/>
          <w:lang w:val="es-ES"/>
        </w:rPr>
        <w:t xml:space="preserve"> </w:t>
      </w:r>
      <w:r w:rsidR="00EA628D">
        <w:rPr>
          <w:rFonts w:ascii="Arial" w:hAnsi="Arial" w:cs="Arial"/>
          <w:sz w:val="18"/>
          <w:lang w:val="es-ES"/>
        </w:rPr>
        <w:tab/>
      </w:r>
      <w:r w:rsidRPr="00EA628D">
        <w:rPr>
          <w:rFonts w:ascii="Arial" w:hAnsi="Arial" w:cs="Arial"/>
          <w:sz w:val="18"/>
          <w:lang w:val="es-ES"/>
        </w:rPr>
        <w:t>Cifra sujeta a los resultados de la aplicación de la contabilidad regulatoria a los resultados del año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DE7C1" w14:textId="77777777" w:rsidR="00704A25" w:rsidRPr="00E3122F" w:rsidRDefault="00704A25" w:rsidP="00704A25">
    <w:pPr>
      <w:pStyle w:val="Footer"/>
      <w:jc w:val="right"/>
      <w:rPr>
        <w:rFonts w:ascii="Arial" w:hAnsi="Arial" w:cs="Arial"/>
        <w:lang w:val="pt-BR"/>
      </w:rPr>
    </w:pPr>
    <w:r w:rsidRPr="00E3122F">
      <w:rPr>
        <w:rFonts w:ascii="Arial" w:hAnsi="Arial" w:cs="Arial"/>
        <w:lang w:val="pt-BR"/>
      </w:rPr>
      <w:t>DR-L1058</w:t>
    </w:r>
  </w:p>
  <w:p w14:paraId="02D0B17B" w14:textId="77777777" w:rsidR="00367D35" w:rsidRPr="00704A25" w:rsidRDefault="00704A25" w:rsidP="00704A25">
    <w:pPr>
      <w:pStyle w:val="Header"/>
      <w:jc w:val="right"/>
    </w:pPr>
    <w:r w:rsidRPr="00E3122F">
      <w:rPr>
        <w:rFonts w:ascii="Arial" w:hAnsi="Arial" w:cs="Arial"/>
        <w:lang w:val="pt-BR"/>
      </w:rPr>
      <w:t xml:space="preserve">Página </w:t>
    </w:r>
    <w:r w:rsidRPr="00E3122F">
      <w:rPr>
        <w:rFonts w:ascii="Arial" w:hAnsi="Arial" w:cs="Arial"/>
        <w:lang w:val="es-ES_tradnl"/>
      </w:rPr>
      <w:fldChar w:fldCharType="begin"/>
    </w:r>
    <w:r w:rsidRPr="00E3122F">
      <w:rPr>
        <w:rFonts w:ascii="Arial" w:hAnsi="Arial" w:cs="Arial"/>
        <w:lang w:val="pt-BR"/>
      </w:rPr>
      <w:instrText xml:space="preserve"> PAGE   \* MERGEFORMAT </w:instrText>
    </w:r>
    <w:r w:rsidRPr="00E3122F">
      <w:rPr>
        <w:rFonts w:ascii="Arial" w:hAnsi="Arial" w:cs="Arial"/>
        <w:lang w:val="es-ES_tradnl"/>
      </w:rPr>
      <w:fldChar w:fldCharType="separate"/>
    </w:r>
    <w:r>
      <w:rPr>
        <w:rFonts w:ascii="Arial" w:hAnsi="Arial" w:cs="Arial"/>
      </w:rPr>
      <w:t>1</w:t>
    </w:r>
    <w:r w:rsidRPr="00E3122F">
      <w:rPr>
        <w:rFonts w:ascii="Arial" w:hAnsi="Arial" w:cs="Arial"/>
        <w:lang w:val="es-ES_tradnl"/>
      </w:rPr>
      <w:fldChar w:fldCharType="end"/>
    </w:r>
    <w:r w:rsidRPr="00E3122F">
      <w:rPr>
        <w:rFonts w:ascii="Arial" w:hAnsi="Arial" w:cs="Arial"/>
        <w:lang w:val="pt-BR"/>
      </w:rPr>
      <w:t xml:space="preserve"> de </w:t>
    </w:r>
    <w:r w:rsidRPr="00E3122F">
      <w:rPr>
        <w:rFonts w:ascii="Arial" w:hAnsi="Arial" w:cs="Arial"/>
        <w:lang w:val="es-ES_tradnl"/>
      </w:rPr>
      <w:fldChar w:fldCharType="begin"/>
    </w:r>
    <w:r w:rsidRPr="00E3122F">
      <w:rPr>
        <w:rFonts w:ascii="Arial" w:hAnsi="Arial" w:cs="Arial"/>
        <w:lang w:val="pt-BR"/>
      </w:rPr>
      <w:instrText xml:space="preserve"> NUMPAGES   \* MERGEFORMAT </w:instrText>
    </w:r>
    <w:r w:rsidRPr="00E3122F">
      <w:rPr>
        <w:rFonts w:ascii="Arial" w:hAnsi="Arial" w:cs="Arial"/>
        <w:lang w:val="es-ES_tradnl"/>
      </w:rPr>
      <w:fldChar w:fldCharType="separate"/>
    </w:r>
    <w:r>
      <w:rPr>
        <w:rFonts w:ascii="Arial" w:hAnsi="Arial" w:cs="Arial"/>
      </w:rPr>
      <w:t>8</w:t>
    </w:r>
    <w:r w:rsidRPr="00E3122F">
      <w:rPr>
        <w:rFonts w:ascii="Arial" w:hAnsi="Arial" w:cs="Arial"/>
        <w:lang w:val="es-ES_tradn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B4C57"/>
    <w:multiLevelType w:val="multilevel"/>
    <w:tmpl w:val="F430889E"/>
    <w:lvl w:ilvl="0">
      <w:start w:val="1"/>
      <w:numFmt w:val="decimal"/>
      <w:lvlText w:val="%1"/>
      <w:lvlJc w:val="left"/>
      <w:pPr>
        <w:ind w:left="432" w:hanging="432"/>
      </w:pPr>
      <w:rPr>
        <w:rFonts w:hint="default"/>
      </w:rPr>
    </w:lvl>
    <w:lvl w:ilvl="1">
      <w:start w:val="1"/>
      <w:numFmt w:val="decimal"/>
      <w:lvlText w:val="3.%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6593450"/>
    <w:multiLevelType w:val="multilevel"/>
    <w:tmpl w:val="E8C8C7FC"/>
    <w:styleLink w:val="Style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AE6182"/>
    <w:multiLevelType w:val="multilevel"/>
    <w:tmpl w:val="2CDA29AE"/>
    <w:lvl w:ilvl="0">
      <w:start w:val="1"/>
      <w:numFmt w:val="decimal"/>
      <w:lvlText w:val="%1"/>
      <w:lvlJc w:val="left"/>
      <w:pPr>
        <w:ind w:left="432" w:hanging="432"/>
      </w:pPr>
      <w:rPr>
        <w:rFonts w:hint="default"/>
      </w:rPr>
    </w:lvl>
    <w:lvl w:ilvl="1">
      <w:start w:val="1"/>
      <w:numFmt w:val="decimal"/>
      <w:lvlText w:val="4.%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892AD9"/>
    <w:multiLevelType w:val="hybridMultilevel"/>
    <w:tmpl w:val="5052A994"/>
    <w:lvl w:ilvl="0" w:tplc="8FE602A2">
      <w:start w:val="1"/>
      <w:numFmt w:val="decimal"/>
      <w:lvlText w:val="1.%1."/>
      <w:lvlJc w:val="left"/>
      <w:pPr>
        <w:ind w:left="1656" w:hanging="648"/>
      </w:pPr>
      <w:rPr>
        <w:rFonts w:hint="default"/>
        <w:lang w:val="es-US"/>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 w15:restartNumberingAfterBreak="0">
    <w:nsid w:val="0DAB7FC9"/>
    <w:multiLevelType w:val="multilevel"/>
    <w:tmpl w:val="023C083C"/>
    <w:lvl w:ilvl="0">
      <w:start w:val="1"/>
      <w:numFmt w:val="decimal"/>
      <w:pStyle w:val="Chapter"/>
      <w:lvlText w:val="%1"/>
      <w:lvlJc w:val="left"/>
      <w:pPr>
        <w:ind w:left="720" w:hanging="432"/>
      </w:pPr>
      <w:rPr>
        <w:b/>
        <w:i w:val="0"/>
      </w:rPr>
    </w:lvl>
    <w:lvl w:ilvl="1">
      <w:start w:val="1"/>
      <w:numFmt w:val="decimal"/>
      <w:pStyle w:val="Heading2"/>
      <w:lvlText w:val="%1.%2"/>
      <w:lvlJc w:val="left"/>
      <w:pPr>
        <w:ind w:left="864"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5" w15:restartNumberingAfterBreak="0">
    <w:nsid w:val="0FF02D2D"/>
    <w:multiLevelType w:val="multilevel"/>
    <w:tmpl w:val="6C56A3E0"/>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lang w:val="es-U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64510C1"/>
    <w:multiLevelType w:val="hybridMultilevel"/>
    <w:tmpl w:val="3762FD2C"/>
    <w:lvl w:ilvl="0" w:tplc="64047606">
      <w:start w:val="1"/>
      <w:numFmt w:val="decimal"/>
      <w:pStyle w:val="TableTitle"/>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6F14DAC"/>
    <w:multiLevelType w:val="hybridMultilevel"/>
    <w:tmpl w:val="B638266C"/>
    <w:lvl w:ilvl="0" w:tplc="7214C6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648F8"/>
    <w:multiLevelType w:val="hybridMultilevel"/>
    <w:tmpl w:val="449C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77DA0"/>
    <w:multiLevelType w:val="hybridMultilevel"/>
    <w:tmpl w:val="6978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8B1391"/>
    <w:multiLevelType w:val="hybridMultilevel"/>
    <w:tmpl w:val="907C4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344D1B"/>
    <w:multiLevelType w:val="hybridMultilevel"/>
    <w:tmpl w:val="A0D8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6246CD"/>
    <w:multiLevelType w:val="multilevel"/>
    <w:tmpl w:val="216C89F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6B6766"/>
    <w:multiLevelType w:val="hybridMultilevel"/>
    <w:tmpl w:val="71AAF29E"/>
    <w:lvl w:ilvl="0" w:tplc="59C442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A07ADE"/>
    <w:multiLevelType w:val="hybridMultilevel"/>
    <w:tmpl w:val="CDFE4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341C9D"/>
    <w:multiLevelType w:val="multilevel"/>
    <w:tmpl w:val="E1ECBAC0"/>
    <w:lvl w:ilvl="0">
      <w:start w:val="3"/>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B0774A"/>
    <w:multiLevelType w:val="multilevel"/>
    <w:tmpl w:val="7DEA04A2"/>
    <w:styleLink w:val="Styl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BB5218"/>
    <w:multiLevelType w:val="multilevel"/>
    <w:tmpl w:val="CA0CCA46"/>
    <w:lvl w:ilvl="0">
      <w:start w:val="4"/>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2E5F0A"/>
    <w:multiLevelType w:val="hybridMultilevel"/>
    <w:tmpl w:val="76AE6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3D782B"/>
    <w:multiLevelType w:val="hybridMultilevel"/>
    <w:tmpl w:val="D0D062DA"/>
    <w:lvl w:ilvl="0" w:tplc="CA6E7C1C">
      <w:start w:val="1"/>
      <w:numFmt w:val="decimal"/>
      <w:lvlText w:val="%1."/>
      <w:lvlJc w:val="left"/>
      <w:pPr>
        <w:ind w:left="936" w:hanging="360"/>
      </w:pPr>
      <w:rPr>
        <w:rFonts w:hint="default"/>
        <w:sz w:val="20"/>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 w15:restartNumberingAfterBreak="0">
    <w:nsid w:val="581159D2"/>
    <w:multiLevelType w:val="hybridMultilevel"/>
    <w:tmpl w:val="39109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FA5509"/>
    <w:multiLevelType w:val="multilevel"/>
    <w:tmpl w:val="7F7E68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8B2D26"/>
    <w:multiLevelType w:val="multilevel"/>
    <w:tmpl w:val="92EAA0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2C85320"/>
    <w:multiLevelType w:val="hybridMultilevel"/>
    <w:tmpl w:val="712C313E"/>
    <w:lvl w:ilvl="0" w:tplc="540A0001">
      <w:start w:val="1"/>
      <w:numFmt w:val="bullet"/>
      <w:lvlText w:val=""/>
      <w:lvlJc w:val="left"/>
      <w:pPr>
        <w:ind w:left="360" w:hanging="360"/>
      </w:pPr>
      <w:rPr>
        <w:rFonts w:ascii="Symbol" w:hAnsi="Symbol" w:hint="default"/>
      </w:rPr>
    </w:lvl>
    <w:lvl w:ilvl="1" w:tplc="540A0003" w:tentative="1">
      <w:start w:val="1"/>
      <w:numFmt w:val="bullet"/>
      <w:lvlText w:val="o"/>
      <w:lvlJc w:val="left"/>
      <w:pPr>
        <w:ind w:left="1080" w:hanging="360"/>
      </w:pPr>
      <w:rPr>
        <w:rFonts w:ascii="Courier New" w:hAnsi="Courier New" w:cs="Courier New" w:hint="default"/>
      </w:rPr>
    </w:lvl>
    <w:lvl w:ilvl="2" w:tplc="540A0005" w:tentative="1">
      <w:start w:val="1"/>
      <w:numFmt w:val="bullet"/>
      <w:lvlText w:val=""/>
      <w:lvlJc w:val="left"/>
      <w:pPr>
        <w:ind w:left="1800" w:hanging="360"/>
      </w:pPr>
      <w:rPr>
        <w:rFonts w:ascii="Wingdings" w:hAnsi="Wingdings" w:hint="default"/>
      </w:rPr>
    </w:lvl>
    <w:lvl w:ilvl="3" w:tplc="540A0001" w:tentative="1">
      <w:start w:val="1"/>
      <w:numFmt w:val="bullet"/>
      <w:lvlText w:val=""/>
      <w:lvlJc w:val="left"/>
      <w:pPr>
        <w:ind w:left="2520" w:hanging="360"/>
      </w:pPr>
      <w:rPr>
        <w:rFonts w:ascii="Symbol" w:hAnsi="Symbol" w:hint="default"/>
      </w:rPr>
    </w:lvl>
    <w:lvl w:ilvl="4" w:tplc="540A0003" w:tentative="1">
      <w:start w:val="1"/>
      <w:numFmt w:val="bullet"/>
      <w:lvlText w:val="o"/>
      <w:lvlJc w:val="left"/>
      <w:pPr>
        <w:ind w:left="3240" w:hanging="360"/>
      </w:pPr>
      <w:rPr>
        <w:rFonts w:ascii="Courier New" w:hAnsi="Courier New" w:cs="Courier New" w:hint="default"/>
      </w:rPr>
    </w:lvl>
    <w:lvl w:ilvl="5" w:tplc="540A0005" w:tentative="1">
      <w:start w:val="1"/>
      <w:numFmt w:val="bullet"/>
      <w:lvlText w:val=""/>
      <w:lvlJc w:val="left"/>
      <w:pPr>
        <w:ind w:left="3960" w:hanging="360"/>
      </w:pPr>
      <w:rPr>
        <w:rFonts w:ascii="Wingdings" w:hAnsi="Wingdings" w:hint="default"/>
      </w:rPr>
    </w:lvl>
    <w:lvl w:ilvl="6" w:tplc="540A0001" w:tentative="1">
      <w:start w:val="1"/>
      <w:numFmt w:val="bullet"/>
      <w:lvlText w:val=""/>
      <w:lvlJc w:val="left"/>
      <w:pPr>
        <w:ind w:left="4680" w:hanging="360"/>
      </w:pPr>
      <w:rPr>
        <w:rFonts w:ascii="Symbol" w:hAnsi="Symbol" w:hint="default"/>
      </w:rPr>
    </w:lvl>
    <w:lvl w:ilvl="7" w:tplc="540A0003" w:tentative="1">
      <w:start w:val="1"/>
      <w:numFmt w:val="bullet"/>
      <w:lvlText w:val="o"/>
      <w:lvlJc w:val="left"/>
      <w:pPr>
        <w:ind w:left="5400" w:hanging="360"/>
      </w:pPr>
      <w:rPr>
        <w:rFonts w:ascii="Courier New" w:hAnsi="Courier New" w:cs="Courier New" w:hint="default"/>
      </w:rPr>
    </w:lvl>
    <w:lvl w:ilvl="8" w:tplc="540A0005" w:tentative="1">
      <w:start w:val="1"/>
      <w:numFmt w:val="bullet"/>
      <w:lvlText w:val=""/>
      <w:lvlJc w:val="left"/>
      <w:pPr>
        <w:ind w:left="6120" w:hanging="360"/>
      </w:pPr>
      <w:rPr>
        <w:rFonts w:ascii="Wingdings" w:hAnsi="Wingdings" w:hint="default"/>
      </w:rPr>
    </w:lvl>
  </w:abstractNum>
  <w:abstractNum w:abstractNumId="24" w15:restartNumberingAfterBreak="0">
    <w:nsid w:val="645A2641"/>
    <w:multiLevelType w:val="multilevel"/>
    <w:tmpl w:val="A0B837CA"/>
    <w:lvl w:ilvl="0">
      <w:start w:val="2"/>
      <w:numFmt w:val="decimal"/>
      <w:lvlText w:val="%1"/>
      <w:lvlJc w:val="left"/>
      <w:pPr>
        <w:ind w:left="360" w:hanging="360"/>
      </w:pPr>
      <w:rPr>
        <w:rFonts w:hint="default"/>
        <w:sz w:val="20"/>
      </w:rPr>
    </w:lvl>
    <w:lvl w:ilvl="1">
      <w:start w:val="1"/>
      <w:numFmt w:val="decimal"/>
      <w:lvlText w:val="1.%2"/>
      <w:lvlJc w:val="left"/>
      <w:pPr>
        <w:ind w:left="1368" w:hanging="360"/>
      </w:pPr>
      <w:rPr>
        <w:rFonts w:hint="default"/>
        <w:sz w:val="20"/>
      </w:rPr>
    </w:lvl>
    <w:lvl w:ilvl="2">
      <w:start w:val="1"/>
      <w:numFmt w:val="decimal"/>
      <w:lvlText w:val="%1.%2.%3"/>
      <w:lvlJc w:val="left"/>
      <w:pPr>
        <w:ind w:left="2736" w:hanging="720"/>
      </w:pPr>
      <w:rPr>
        <w:rFonts w:hint="default"/>
        <w:sz w:val="20"/>
      </w:rPr>
    </w:lvl>
    <w:lvl w:ilvl="3">
      <w:start w:val="1"/>
      <w:numFmt w:val="decimal"/>
      <w:lvlText w:val="%1.%2.%3.%4"/>
      <w:lvlJc w:val="left"/>
      <w:pPr>
        <w:ind w:left="3744" w:hanging="720"/>
      </w:pPr>
      <w:rPr>
        <w:rFonts w:hint="default"/>
        <w:sz w:val="20"/>
      </w:rPr>
    </w:lvl>
    <w:lvl w:ilvl="4">
      <w:start w:val="1"/>
      <w:numFmt w:val="decimal"/>
      <w:lvlText w:val="%1.%2.%3.%4.%5"/>
      <w:lvlJc w:val="left"/>
      <w:pPr>
        <w:ind w:left="5112" w:hanging="1080"/>
      </w:pPr>
      <w:rPr>
        <w:rFonts w:hint="default"/>
        <w:sz w:val="20"/>
      </w:rPr>
    </w:lvl>
    <w:lvl w:ilvl="5">
      <w:start w:val="1"/>
      <w:numFmt w:val="decimal"/>
      <w:lvlText w:val="%1.%2.%3.%4.%5.%6"/>
      <w:lvlJc w:val="left"/>
      <w:pPr>
        <w:ind w:left="6120" w:hanging="1080"/>
      </w:pPr>
      <w:rPr>
        <w:rFonts w:hint="default"/>
        <w:sz w:val="20"/>
      </w:rPr>
    </w:lvl>
    <w:lvl w:ilvl="6">
      <w:start w:val="1"/>
      <w:numFmt w:val="decimal"/>
      <w:lvlText w:val="%1.%2.%3.%4.%5.%6.%7"/>
      <w:lvlJc w:val="left"/>
      <w:pPr>
        <w:ind w:left="7488" w:hanging="1440"/>
      </w:pPr>
      <w:rPr>
        <w:rFonts w:hint="default"/>
        <w:sz w:val="20"/>
      </w:rPr>
    </w:lvl>
    <w:lvl w:ilvl="7">
      <w:start w:val="1"/>
      <w:numFmt w:val="decimal"/>
      <w:lvlText w:val="%1.%2.%3.%4.%5.%6.%7.%8"/>
      <w:lvlJc w:val="left"/>
      <w:pPr>
        <w:ind w:left="8496" w:hanging="1440"/>
      </w:pPr>
      <w:rPr>
        <w:rFonts w:hint="default"/>
        <w:sz w:val="20"/>
      </w:rPr>
    </w:lvl>
    <w:lvl w:ilvl="8">
      <w:start w:val="1"/>
      <w:numFmt w:val="decimal"/>
      <w:lvlText w:val="%1.%2.%3.%4.%5.%6.%7.%8.%9"/>
      <w:lvlJc w:val="left"/>
      <w:pPr>
        <w:ind w:left="9864" w:hanging="1800"/>
      </w:pPr>
      <w:rPr>
        <w:rFonts w:hint="default"/>
        <w:sz w:val="20"/>
      </w:rPr>
    </w:lvl>
  </w:abstractNum>
  <w:abstractNum w:abstractNumId="25" w15:restartNumberingAfterBreak="0">
    <w:nsid w:val="64CA70BD"/>
    <w:multiLevelType w:val="hybridMultilevel"/>
    <w:tmpl w:val="B4C68792"/>
    <w:lvl w:ilvl="0" w:tplc="6D32A2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7A5CA6"/>
    <w:multiLevelType w:val="multilevel"/>
    <w:tmpl w:val="EB9EA1FE"/>
    <w:lvl w:ilvl="0">
      <w:start w:val="1"/>
      <w:numFmt w:val="decimal"/>
      <w:lvlText w:val="%1"/>
      <w:lvlJc w:val="left"/>
      <w:pPr>
        <w:ind w:left="432" w:hanging="432"/>
      </w:pPr>
      <w:rPr>
        <w:rFonts w:hint="default"/>
      </w:rPr>
    </w:lvl>
    <w:lvl w:ilvl="1">
      <w:start w:val="1"/>
      <w:numFmt w:val="decimal"/>
      <w:lvlText w:val="5.%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DEE18AD"/>
    <w:multiLevelType w:val="multilevel"/>
    <w:tmpl w:val="3C0A9FE4"/>
    <w:lvl w:ilvl="0">
      <w:start w:val="2"/>
      <w:numFmt w:val="decimal"/>
      <w:lvlText w:val="%1"/>
      <w:lvlJc w:val="left"/>
      <w:pPr>
        <w:ind w:left="360" w:hanging="360"/>
      </w:pPr>
      <w:rPr>
        <w:rFonts w:hint="default"/>
        <w:sz w:val="20"/>
      </w:rPr>
    </w:lvl>
    <w:lvl w:ilvl="1">
      <w:start w:val="1"/>
      <w:numFmt w:val="decimal"/>
      <w:lvlText w:val="%1.%2"/>
      <w:lvlJc w:val="left"/>
      <w:pPr>
        <w:ind w:left="1368" w:hanging="360"/>
      </w:pPr>
      <w:rPr>
        <w:rFonts w:hint="default"/>
        <w:sz w:val="20"/>
      </w:rPr>
    </w:lvl>
    <w:lvl w:ilvl="2">
      <w:start w:val="1"/>
      <w:numFmt w:val="decimal"/>
      <w:lvlText w:val="%1.%2.%3"/>
      <w:lvlJc w:val="left"/>
      <w:pPr>
        <w:ind w:left="2736" w:hanging="720"/>
      </w:pPr>
      <w:rPr>
        <w:rFonts w:hint="default"/>
        <w:sz w:val="20"/>
      </w:rPr>
    </w:lvl>
    <w:lvl w:ilvl="3">
      <w:start w:val="1"/>
      <w:numFmt w:val="decimal"/>
      <w:lvlText w:val="%1.%2.%3.%4"/>
      <w:lvlJc w:val="left"/>
      <w:pPr>
        <w:ind w:left="3744" w:hanging="720"/>
      </w:pPr>
      <w:rPr>
        <w:rFonts w:hint="default"/>
        <w:sz w:val="20"/>
      </w:rPr>
    </w:lvl>
    <w:lvl w:ilvl="4">
      <w:start w:val="1"/>
      <w:numFmt w:val="decimal"/>
      <w:lvlText w:val="%1.%2.%3.%4.%5"/>
      <w:lvlJc w:val="left"/>
      <w:pPr>
        <w:ind w:left="5112" w:hanging="1080"/>
      </w:pPr>
      <w:rPr>
        <w:rFonts w:hint="default"/>
        <w:sz w:val="20"/>
      </w:rPr>
    </w:lvl>
    <w:lvl w:ilvl="5">
      <w:start w:val="1"/>
      <w:numFmt w:val="decimal"/>
      <w:lvlText w:val="%1.%2.%3.%4.%5.%6"/>
      <w:lvlJc w:val="left"/>
      <w:pPr>
        <w:ind w:left="6120" w:hanging="1080"/>
      </w:pPr>
      <w:rPr>
        <w:rFonts w:hint="default"/>
        <w:sz w:val="20"/>
      </w:rPr>
    </w:lvl>
    <w:lvl w:ilvl="6">
      <w:start w:val="1"/>
      <w:numFmt w:val="decimal"/>
      <w:lvlText w:val="%1.%2.%3.%4.%5.%6.%7"/>
      <w:lvlJc w:val="left"/>
      <w:pPr>
        <w:ind w:left="7488" w:hanging="1440"/>
      </w:pPr>
      <w:rPr>
        <w:rFonts w:hint="default"/>
        <w:sz w:val="20"/>
      </w:rPr>
    </w:lvl>
    <w:lvl w:ilvl="7">
      <w:start w:val="1"/>
      <w:numFmt w:val="decimal"/>
      <w:lvlText w:val="%1.%2.%3.%4.%5.%6.%7.%8"/>
      <w:lvlJc w:val="left"/>
      <w:pPr>
        <w:ind w:left="8496" w:hanging="1440"/>
      </w:pPr>
      <w:rPr>
        <w:rFonts w:hint="default"/>
        <w:sz w:val="20"/>
      </w:rPr>
    </w:lvl>
    <w:lvl w:ilvl="8">
      <w:start w:val="1"/>
      <w:numFmt w:val="decimal"/>
      <w:lvlText w:val="%1.%2.%3.%4.%5.%6.%7.%8.%9"/>
      <w:lvlJc w:val="left"/>
      <w:pPr>
        <w:ind w:left="9864" w:hanging="1800"/>
      </w:pPr>
      <w:rPr>
        <w:rFonts w:hint="default"/>
        <w:sz w:val="20"/>
      </w:rPr>
    </w:lvl>
  </w:abstractNum>
  <w:abstractNum w:abstractNumId="28" w15:restartNumberingAfterBreak="0">
    <w:nsid w:val="701950A5"/>
    <w:multiLevelType w:val="multilevel"/>
    <w:tmpl w:val="E8C8C7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18A1BAD"/>
    <w:multiLevelType w:val="hybridMultilevel"/>
    <w:tmpl w:val="E4C0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1"/>
  </w:num>
  <w:num w:numId="4">
    <w:abstractNumId w:val="23"/>
  </w:num>
  <w:num w:numId="5">
    <w:abstractNumId w:val="26"/>
  </w:num>
  <w:num w:numId="6">
    <w:abstractNumId w:val="22"/>
  </w:num>
  <w:num w:numId="7">
    <w:abstractNumId w:val="0"/>
  </w:num>
  <w:num w:numId="8">
    <w:abstractNumId w:val="2"/>
  </w:num>
  <w:num w:numId="9">
    <w:abstractNumId w:val="5"/>
  </w:num>
  <w:num w:numId="10">
    <w:abstractNumId w:val="19"/>
  </w:num>
  <w:num w:numId="11">
    <w:abstractNumId w:val="3"/>
  </w:num>
  <w:num w:numId="12">
    <w:abstractNumId w:val="24"/>
  </w:num>
  <w:num w:numId="13">
    <w:abstractNumId w:val="27"/>
  </w:num>
  <w:num w:numId="14">
    <w:abstractNumId w:val="24"/>
    <w:lvlOverride w:ilvl="0">
      <w:lvl w:ilvl="0">
        <w:start w:val="2"/>
        <w:numFmt w:val="decimal"/>
        <w:lvlText w:val="%1"/>
        <w:lvlJc w:val="left"/>
        <w:pPr>
          <w:ind w:left="360" w:hanging="360"/>
        </w:pPr>
        <w:rPr>
          <w:rFonts w:hint="default"/>
          <w:sz w:val="20"/>
        </w:rPr>
      </w:lvl>
    </w:lvlOverride>
    <w:lvlOverride w:ilvl="1">
      <w:lvl w:ilvl="1">
        <w:start w:val="1"/>
        <w:numFmt w:val="decimal"/>
        <w:lvlText w:val="%1.%2"/>
        <w:lvlJc w:val="left"/>
        <w:pPr>
          <w:ind w:left="1368" w:hanging="360"/>
        </w:pPr>
        <w:rPr>
          <w:rFonts w:hint="default"/>
          <w:sz w:val="20"/>
        </w:rPr>
      </w:lvl>
    </w:lvlOverride>
    <w:lvlOverride w:ilvl="2">
      <w:lvl w:ilvl="2">
        <w:start w:val="1"/>
        <w:numFmt w:val="decimal"/>
        <w:lvlText w:val="%1.%2.%3"/>
        <w:lvlJc w:val="left"/>
        <w:pPr>
          <w:ind w:left="2736" w:hanging="720"/>
        </w:pPr>
        <w:rPr>
          <w:rFonts w:hint="default"/>
          <w:sz w:val="20"/>
        </w:rPr>
      </w:lvl>
    </w:lvlOverride>
    <w:lvlOverride w:ilvl="3">
      <w:lvl w:ilvl="3">
        <w:start w:val="1"/>
        <w:numFmt w:val="decimal"/>
        <w:lvlText w:val="%1.%2.%3.%4"/>
        <w:lvlJc w:val="left"/>
        <w:pPr>
          <w:ind w:left="3744" w:hanging="720"/>
        </w:pPr>
        <w:rPr>
          <w:rFonts w:hint="default"/>
          <w:sz w:val="20"/>
        </w:rPr>
      </w:lvl>
    </w:lvlOverride>
    <w:lvlOverride w:ilvl="4">
      <w:lvl w:ilvl="4">
        <w:start w:val="1"/>
        <w:numFmt w:val="decimal"/>
        <w:lvlText w:val="%1.%2.%3.%4.%5"/>
        <w:lvlJc w:val="left"/>
        <w:pPr>
          <w:ind w:left="5112" w:hanging="1080"/>
        </w:pPr>
        <w:rPr>
          <w:rFonts w:hint="default"/>
          <w:sz w:val="20"/>
        </w:rPr>
      </w:lvl>
    </w:lvlOverride>
    <w:lvlOverride w:ilvl="5">
      <w:lvl w:ilvl="5">
        <w:start w:val="1"/>
        <w:numFmt w:val="decimal"/>
        <w:lvlText w:val="%1.%2.%3.%4.%5.%6"/>
        <w:lvlJc w:val="left"/>
        <w:pPr>
          <w:ind w:left="6120" w:hanging="1080"/>
        </w:pPr>
        <w:rPr>
          <w:rFonts w:hint="default"/>
          <w:sz w:val="20"/>
        </w:rPr>
      </w:lvl>
    </w:lvlOverride>
    <w:lvlOverride w:ilvl="6">
      <w:lvl w:ilvl="6">
        <w:start w:val="1"/>
        <w:numFmt w:val="decimal"/>
        <w:lvlText w:val="%1.%2.%3.%4.%5.%6.%7"/>
        <w:lvlJc w:val="left"/>
        <w:pPr>
          <w:ind w:left="7488" w:hanging="1440"/>
        </w:pPr>
        <w:rPr>
          <w:rFonts w:hint="default"/>
          <w:sz w:val="20"/>
        </w:rPr>
      </w:lvl>
    </w:lvlOverride>
    <w:lvlOverride w:ilvl="7">
      <w:lvl w:ilvl="7">
        <w:start w:val="1"/>
        <w:numFmt w:val="decimal"/>
        <w:lvlText w:val="%1.%2.%3.%4.%5.%6.%7.%8"/>
        <w:lvlJc w:val="left"/>
        <w:pPr>
          <w:ind w:left="8496" w:hanging="1440"/>
        </w:pPr>
        <w:rPr>
          <w:rFonts w:hint="default"/>
          <w:sz w:val="20"/>
        </w:rPr>
      </w:lvl>
    </w:lvlOverride>
    <w:lvlOverride w:ilvl="8">
      <w:lvl w:ilvl="8">
        <w:start w:val="1"/>
        <w:numFmt w:val="decimal"/>
        <w:lvlText w:val="%1.%2.%3.%4.%5.%6.%7.%8.%9"/>
        <w:lvlJc w:val="left"/>
        <w:pPr>
          <w:ind w:left="9864" w:hanging="1800"/>
        </w:pPr>
        <w:rPr>
          <w:rFonts w:hint="default"/>
          <w:sz w:val="20"/>
        </w:rPr>
      </w:lvl>
    </w:lvlOverride>
  </w:num>
  <w:num w:numId="15">
    <w:abstractNumId w:val="21"/>
  </w:num>
  <w:num w:numId="16">
    <w:abstractNumId w:val="15"/>
  </w:num>
  <w:num w:numId="17">
    <w:abstractNumId w:val="12"/>
  </w:num>
  <w:num w:numId="18">
    <w:abstractNumId w:val="17"/>
  </w:num>
  <w:num w:numId="19">
    <w:abstractNumId w:val="28"/>
  </w:num>
  <w:num w:numId="20">
    <w:abstractNumId w:val="1"/>
  </w:num>
  <w:num w:numId="21">
    <w:abstractNumId w:val="16"/>
  </w:num>
  <w:num w:numId="22">
    <w:abstractNumId w:val="14"/>
  </w:num>
  <w:num w:numId="23">
    <w:abstractNumId w:val="29"/>
  </w:num>
  <w:num w:numId="24">
    <w:abstractNumId w:val="13"/>
  </w:num>
  <w:num w:numId="25">
    <w:abstractNumId w:val="7"/>
  </w:num>
  <w:num w:numId="26">
    <w:abstractNumId w:val="20"/>
  </w:num>
  <w:num w:numId="27">
    <w:abstractNumId w:val="9"/>
  </w:num>
  <w:num w:numId="28">
    <w:abstractNumId w:val="18"/>
  </w:num>
  <w:num w:numId="29">
    <w:abstractNumId w:val="8"/>
  </w:num>
  <w:num w:numId="30">
    <w:abstractNumId w:val="25"/>
  </w:num>
  <w:num w:numId="3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pt-B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6" w:nlCheck="1" w:checkStyle="0"/>
  <w:activeWritingStyle w:appName="MSWord" w:lang="es-419" w:vendorID="64" w:dllVersion="6" w:nlCheck="1" w:checkStyle="0"/>
  <w:activeWritingStyle w:appName="MSWord" w:lang="es-DO" w:vendorID="64" w:dllVersion="6" w:nlCheck="1" w:checkStyle="0"/>
  <w:activeWritingStyle w:appName="MSWord" w:lang="en-US" w:vendorID="64" w:dllVersion="6" w:nlCheck="1" w:checkStyle="0"/>
  <w:activeWritingStyle w:appName="MSWord" w:lang="es-CO" w:vendorID="64" w:dllVersion="0" w:nlCheck="1" w:checkStyle="0"/>
  <w:activeWritingStyle w:appName="MSWord" w:lang="es-419" w:vendorID="64" w:dllVersion="0" w:nlCheck="1" w:checkStyle="0"/>
  <w:activeWritingStyle w:appName="MSWord" w:lang="en-US" w:vendorID="64" w:dllVersion="0" w:nlCheck="1" w:checkStyle="0"/>
  <w:activeWritingStyle w:appName="MSWord" w:lang="es-DO"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698"/>
    <w:rsid w:val="00001BC1"/>
    <w:rsid w:val="00002D15"/>
    <w:rsid w:val="00002DE4"/>
    <w:rsid w:val="00002EC6"/>
    <w:rsid w:val="000032A4"/>
    <w:rsid w:val="0000364D"/>
    <w:rsid w:val="000041AB"/>
    <w:rsid w:val="000043CF"/>
    <w:rsid w:val="00006030"/>
    <w:rsid w:val="00006D2E"/>
    <w:rsid w:val="00011035"/>
    <w:rsid w:val="000117D8"/>
    <w:rsid w:val="00011C5E"/>
    <w:rsid w:val="00012DCE"/>
    <w:rsid w:val="00013B6E"/>
    <w:rsid w:val="00013F87"/>
    <w:rsid w:val="00015167"/>
    <w:rsid w:val="000155B3"/>
    <w:rsid w:val="000159EC"/>
    <w:rsid w:val="00015B60"/>
    <w:rsid w:val="00015D58"/>
    <w:rsid w:val="00015DB3"/>
    <w:rsid w:val="00016BDD"/>
    <w:rsid w:val="00016E68"/>
    <w:rsid w:val="00016F88"/>
    <w:rsid w:val="00020C73"/>
    <w:rsid w:val="00021B2D"/>
    <w:rsid w:val="000221D1"/>
    <w:rsid w:val="000226DF"/>
    <w:rsid w:val="00022930"/>
    <w:rsid w:val="00022FB6"/>
    <w:rsid w:val="00023DA0"/>
    <w:rsid w:val="0002401C"/>
    <w:rsid w:val="00024974"/>
    <w:rsid w:val="00024C22"/>
    <w:rsid w:val="000250BD"/>
    <w:rsid w:val="0002532B"/>
    <w:rsid w:val="00025618"/>
    <w:rsid w:val="00025DC8"/>
    <w:rsid w:val="00025FBA"/>
    <w:rsid w:val="000313E8"/>
    <w:rsid w:val="00031FC6"/>
    <w:rsid w:val="00031FED"/>
    <w:rsid w:val="00032B5B"/>
    <w:rsid w:val="00034142"/>
    <w:rsid w:val="00034A08"/>
    <w:rsid w:val="00034A66"/>
    <w:rsid w:val="00036793"/>
    <w:rsid w:val="000368BE"/>
    <w:rsid w:val="000401CC"/>
    <w:rsid w:val="0004039F"/>
    <w:rsid w:val="00040787"/>
    <w:rsid w:val="0004086D"/>
    <w:rsid w:val="00041392"/>
    <w:rsid w:val="000413E7"/>
    <w:rsid w:val="000413F2"/>
    <w:rsid w:val="0004187C"/>
    <w:rsid w:val="00042A61"/>
    <w:rsid w:val="00042CDF"/>
    <w:rsid w:val="00043220"/>
    <w:rsid w:val="00043C8F"/>
    <w:rsid w:val="00044007"/>
    <w:rsid w:val="00044D8C"/>
    <w:rsid w:val="00045458"/>
    <w:rsid w:val="00045588"/>
    <w:rsid w:val="000459F5"/>
    <w:rsid w:val="00045C01"/>
    <w:rsid w:val="000461E0"/>
    <w:rsid w:val="00047BE3"/>
    <w:rsid w:val="00050CF1"/>
    <w:rsid w:val="00051020"/>
    <w:rsid w:val="0005159C"/>
    <w:rsid w:val="0005210C"/>
    <w:rsid w:val="00052EC2"/>
    <w:rsid w:val="00053744"/>
    <w:rsid w:val="0005379B"/>
    <w:rsid w:val="000539CE"/>
    <w:rsid w:val="0005683E"/>
    <w:rsid w:val="0005711E"/>
    <w:rsid w:val="00057919"/>
    <w:rsid w:val="00057A56"/>
    <w:rsid w:val="000606A4"/>
    <w:rsid w:val="00060D63"/>
    <w:rsid w:val="000618FD"/>
    <w:rsid w:val="000632C4"/>
    <w:rsid w:val="00063362"/>
    <w:rsid w:val="0006354D"/>
    <w:rsid w:val="00063C00"/>
    <w:rsid w:val="00063EB1"/>
    <w:rsid w:val="000641D9"/>
    <w:rsid w:val="00064CF9"/>
    <w:rsid w:val="00066B68"/>
    <w:rsid w:val="00066DEE"/>
    <w:rsid w:val="00067764"/>
    <w:rsid w:val="00067D40"/>
    <w:rsid w:val="0007245F"/>
    <w:rsid w:val="00072BCB"/>
    <w:rsid w:val="00072FAB"/>
    <w:rsid w:val="00073326"/>
    <w:rsid w:val="00073C30"/>
    <w:rsid w:val="00075A80"/>
    <w:rsid w:val="00077961"/>
    <w:rsid w:val="00077AA9"/>
    <w:rsid w:val="00080A80"/>
    <w:rsid w:val="00080E63"/>
    <w:rsid w:val="000813D1"/>
    <w:rsid w:val="000814B2"/>
    <w:rsid w:val="00081C7E"/>
    <w:rsid w:val="00082FAA"/>
    <w:rsid w:val="00083C79"/>
    <w:rsid w:val="00083F05"/>
    <w:rsid w:val="00085165"/>
    <w:rsid w:val="00085463"/>
    <w:rsid w:val="00085A5E"/>
    <w:rsid w:val="000860B4"/>
    <w:rsid w:val="000873B7"/>
    <w:rsid w:val="00090028"/>
    <w:rsid w:val="00090240"/>
    <w:rsid w:val="0009095A"/>
    <w:rsid w:val="0009132F"/>
    <w:rsid w:val="00091BE1"/>
    <w:rsid w:val="0009278F"/>
    <w:rsid w:val="00093190"/>
    <w:rsid w:val="00093A23"/>
    <w:rsid w:val="00093DDA"/>
    <w:rsid w:val="00094614"/>
    <w:rsid w:val="0009491E"/>
    <w:rsid w:val="00094CA5"/>
    <w:rsid w:val="000958AE"/>
    <w:rsid w:val="00096195"/>
    <w:rsid w:val="00097002"/>
    <w:rsid w:val="00097FC9"/>
    <w:rsid w:val="000A01F3"/>
    <w:rsid w:val="000A094F"/>
    <w:rsid w:val="000A1EB5"/>
    <w:rsid w:val="000A2A3E"/>
    <w:rsid w:val="000A325B"/>
    <w:rsid w:val="000A39BB"/>
    <w:rsid w:val="000A577C"/>
    <w:rsid w:val="000A5D4F"/>
    <w:rsid w:val="000B04B0"/>
    <w:rsid w:val="000B0A95"/>
    <w:rsid w:val="000B0BB2"/>
    <w:rsid w:val="000B0DC2"/>
    <w:rsid w:val="000B0E43"/>
    <w:rsid w:val="000B1725"/>
    <w:rsid w:val="000B30AD"/>
    <w:rsid w:val="000B4066"/>
    <w:rsid w:val="000B4645"/>
    <w:rsid w:val="000B4E99"/>
    <w:rsid w:val="000B4FCA"/>
    <w:rsid w:val="000B63B7"/>
    <w:rsid w:val="000B7044"/>
    <w:rsid w:val="000B72A0"/>
    <w:rsid w:val="000C01FC"/>
    <w:rsid w:val="000C08ED"/>
    <w:rsid w:val="000C09CB"/>
    <w:rsid w:val="000C1A8F"/>
    <w:rsid w:val="000C23A7"/>
    <w:rsid w:val="000C29EE"/>
    <w:rsid w:val="000C2F05"/>
    <w:rsid w:val="000C3117"/>
    <w:rsid w:val="000C3BDB"/>
    <w:rsid w:val="000C3BE3"/>
    <w:rsid w:val="000C50CC"/>
    <w:rsid w:val="000C597B"/>
    <w:rsid w:val="000C5FDA"/>
    <w:rsid w:val="000C6F23"/>
    <w:rsid w:val="000C6FB4"/>
    <w:rsid w:val="000C7565"/>
    <w:rsid w:val="000D0077"/>
    <w:rsid w:val="000D193F"/>
    <w:rsid w:val="000D1DC4"/>
    <w:rsid w:val="000D2C94"/>
    <w:rsid w:val="000D44B6"/>
    <w:rsid w:val="000D4BD8"/>
    <w:rsid w:val="000D575D"/>
    <w:rsid w:val="000D5B45"/>
    <w:rsid w:val="000D773D"/>
    <w:rsid w:val="000D78DC"/>
    <w:rsid w:val="000D7AB3"/>
    <w:rsid w:val="000D7EAE"/>
    <w:rsid w:val="000D7F38"/>
    <w:rsid w:val="000E00B6"/>
    <w:rsid w:val="000E0376"/>
    <w:rsid w:val="000E0853"/>
    <w:rsid w:val="000E1EFB"/>
    <w:rsid w:val="000E2FCC"/>
    <w:rsid w:val="000E3F8B"/>
    <w:rsid w:val="000E5DE9"/>
    <w:rsid w:val="000E635E"/>
    <w:rsid w:val="000E704B"/>
    <w:rsid w:val="000E772F"/>
    <w:rsid w:val="000E7C1F"/>
    <w:rsid w:val="000F0C62"/>
    <w:rsid w:val="000F10B9"/>
    <w:rsid w:val="000F132A"/>
    <w:rsid w:val="000F15AF"/>
    <w:rsid w:val="000F1C75"/>
    <w:rsid w:val="000F2730"/>
    <w:rsid w:val="000F2C8D"/>
    <w:rsid w:val="000F3134"/>
    <w:rsid w:val="000F34FF"/>
    <w:rsid w:val="000F3907"/>
    <w:rsid w:val="000F4057"/>
    <w:rsid w:val="000F563D"/>
    <w:rsid w:val="000F5CAF"/>
    <w:rsid w:val="000F6C66"/>
    <w:rsid w:val="000F7354"/>
    <w:rsid w:val="001004CC"/>
    <w:rsid w:val="001021FE"/>
    <w:rsid w:val="001028D1"/>
    <w:rsid w:val="00104931"/>
    <w:rsid w:val="00104B1E"/>
    <w:rsid w:val="00106AD5"/>
    <w:rsid w:val="00106ADE"/>
    <w:rsid w:val="00106DB6"/>
    <w:rsid w:val="00107162"/>
    <w:rsid w:val="0010735A"/>
    <w:rsid w:val="00107706"/>
    <w:rsid w:val="00110090"/>
    <w:rsid w:val="001100B6"/>
    <w:rsid w:val="001107A6"/>
    <w:rsid w:val="00110DD1"/>
    <w:rsid w:val="001112B8"/>
    <w:rsid w:val="00111D28"/>
    <w:rsid w:val="001122E5"/>
    <w:rsid w:val="0011319A"/>
    <w:rsid w:val="00113A60"/>
    <w:rsid w:val="00114A5B"/>
    <w:rsid w:val="00114C60"/>
    <w:rsid w:val="00116D47"/>
    <w:rsid w:val="00120214"/>
    <w:rsid w:val="00120631"/>
    <w:rsid w:val="0012173C"/>
    <w:rsid w:val="00122D3F"/>
    <w:rsid w:val="001233D4"/>
    <w:rsid w:val="0012346A"/>
    <w:rsid w:val="00123606"/>
    <w:rsid w:val="001238A4"/>
    <w:rsid w:val="00124EFD"/>
    <w:rsid w:val="00125636"/>
    <w:rsid w:val="00126544"/>
    <w:rsid w:val="00127B65"/>
    <w:rsid w:val="00131B79"/>
    <w:rsid w:val="00132550"/>
    <w:rsid w:val="00133F62"/>
    <w:rsid w:val="00134A45"/>
    <w:rsid w:val="001350B4"/>
    <w:rsid w:val="00135488"/>
    <w:rsid w:val="00136C9D"/>
    <w:rsid w:val="0013792C"/>
    <w:rsid w:val="00141143"/>
    <w:rsid w:val="001413B5"/>
    <w:rsid w:val="00142EB1"/>
    <w:rsid w:val="0014374A"/>
    <w:rsid w:val="00143C21"/>
    <w:rsid w:val="00147485"/>
    <w:rsid w:val="0015058A"/>
    <w:rsid w:val="00150684"/>
    <w:rsid w:val="00151599"/>
    <w:rsid w:val="00151958"/>
    <w:rsid w:val="00151A3B"/>
    <w:rsid w:val="00151E9D"/>
    <w:rsid w:val="001522E3"/>
    <w:rsid w:val="00152E22"/>
    <w:rsid w:val="00154ABC"/>
    <w:rsid w:val="00154C24"/>
    <w:rsid w:val="0015504F"/>
    <w:rsid w:val="00155738"/>
    <w:rsid w:val="0015579E"/>
    <w:rsid w:val="00155F43"/>
    <w:rsid w:val="00156120"/>
    <w:rsid w:val="00156A8E"/>
    <w:rsid w:val="00156DBE"/>
    <w:rsid w:val="0015750F"/>
    <w:rsid w:val="00160D60"/>
    <w:rsid w:val="00161A88"/>
    <w:rsid w:val="001620CD"/>
    <w:rsid w:val="001628E9"/>
    <w:rsid w:val="001636CE"/>
    <w:rsid w:val="001644A1"/>
    <w:rsid w:val="00164BCF"/>
    <w:rsid w:val="00164DD0"/>
    <w:rsid w:val="00165EFF"/>
    <w:rsid w:val="00167D5A"/>
    <w:rsid w:val="0017043C"/>
    <w:rsid w:val="00170CBC"/>
    <w:rsid w:val="00171529"/>
    <w:rsid w:val="00171EBF"/>
    <w:rsid w:val="00172033"/>
    <w:rsid w:val="00173A0D"/>
    <w:rsid w:val="00173A57"/>
    <w:rsid w:val="00174BA3"/>
    <w:rsid w:val="0017561D"/>
    <w:rsid w:val="001757A9"/>
    <w:rsid w:val="001774D0"/>
    <w:rsid w:val="00177DE5"/>
    <w:rsid w:val="00177E16"/>
    <w:rsid w:val="00180718"/>
    <w:rsid w:val="00180887"/>
    <w:rsid w:val="00180E17"/>
    <w:rsid w:val="0018129A"/>
    <w:rsid w:val="00181C67"/>
    <w:rsid w:val="00181F91"/>
    <w:rsid w:val="001833BE"/>
    <w:rsid w:val="00183949"/>
    <w:rsid w:val="00183AA5"/>
    <w:rsid w:val="001841FC"/>
    <w:rsid w:val="001848BC"/>
    <w:rsid w:val="00184B16"/>
    <w:rsid w:val="00184F98"/>
    <w:rsid w:val="00185A44"/>
    <w:rsid w:val="00185F57"/>
    <w:rsid w:val="00186705"/>
    <w:rsid w:val="001878DB"/>
    <w:rsid w:val="00187E60"/>
    <w:rsid w:val="00187F9C"/>
    <w:rsid w:val="00190AAB"/>
    <w:rsid w:val="0019141A"/>
    <w:rsid w:val="00191E78"/>
    <w:rsid w:val="00192EC8"/>
    <w:rsid w:val="00193069"/>
    <w:rsid w:val="001938FC"/>
    <w:rsid w:val="00193BE3"/>
    <w:rsid w:val="00193D74"/>
    <w:rsid w:val="00194D31"/>
    <w:rsid w:val="00194D38"/>
    <w:rsid w:val="00195FCE"/>
    <w:rsid w:val="001967C8"/>
    <w:rsid w:val="00196838"/>
    <w:rsid w:val="001968C3"/>
    <w:rsid w:val="00197265"/>
    <w:rsid w:val="001977DD"/>
    <w:rsid w:val="001A0380"/>
    <w:rsid w:val="001A07E4"/>
    <w:rsid w:val="001A1453"/>
    <w:rsid w:val="001A1D9F"/>
    <w:rsid w:val="001A1F2C"/>
    <w:rsid w:val="001A23C3"/>
    <w:rsid w:val="001A260B"/>
    <w:rsid w:val="001A284C"/>
    <w:rsid w:val="001A3586"/>
    <w:rsid w:val="001A3B45"/>
    <w:rsid w:val="001A52C3"/>
    <w:rsid w:val="001A712B"/>
    <w:rsid w:val="001B367C"/>
    <w:rsid w:val="001B4CE1"/>
    <w:rsid w:val="001B5012"/>
    <w:rsid w:val="001B5091"/>
    <w:rsid w:val="001B53DB"/>
    <w:rsid w:val="001B5B9C"/>
    <w:rsid w:val="001B5CB9"/>
    <w:rsid w:val="001B5FB4"/>
    <w:rsid w:val="001B61FB"/>
    <w:rsid w:val="001B67A0"/>
    <w:rsid w:val="001B7D12"/>
    <w:rsid w:val="001C074F"/>
    <w:rsid w:val="001C0D0C"/>
    <w:rsid w:val="001C201A"/>
    <w:rsid w:val="001C2B14"/>
    <w:rsid w:val="001C2C55"/>
    <w:rsid w:val="001C2E6B"/>
    <w:rsid w:val="001C30FD"/>
    <w:rsid w:val="001C3A6B"/>
    <w:rsid w:val="001C448B"/>
    <w:rsid w:val="001C57C4"/>
    <w:rsid w:val="001C6C0A"/>
    <w:rsid w:val="001C78FA"/>
    <w:rsid w:val="001C7EA9"/>
    <w:rsid w:val="001D019E"/>
    <w:rsid w:val="001D08DB"/>
    <w:rsid w:val="001D1338"/>
    <w:rsid w:val="001D1698"/>
    <w:rsid w:val="001D3A41"/>
    <w:rsid w:val="001D4430"/>
    <w:rsid w:val="001D48C6"/>
    <w:rsid w:val="001D59E4"/>
    <w:rsid w:val="001D5ACE"/>
    <w:rsid w:val="001D65B7"/>
    <w:rsid w:val="001D7422"/>
    <w:rsid w:val="001D7BA8"/>
    <w:rsid w:val="001E0B96"/>
    <w:rsid w:val="001E0DCF"/>
    <w:rsid w:val="001E130C"/>
    <w:rsid w:val="001E2674"/>
    <w:rsid w:val="001E393E"/>
    <w:rsid w:val="001E3F66"/>
    <w:rsid w:val="001E3F70"/>
    <w:rsid w:val="001E7664"/>
    <w:rsid w:val="001E7DDE"/>
    <w:rsid w:val="001F0289"/>
    <w:rsid w:val="001F0C36"/>
    <w:rsid w:val="001F0FA4"/>
    <w:rsid w:val="001F126F"/>
    <w:rsid w:val="001F157F"/>
    <w:rsid w:val="001F17D1"/>
    <w:rsid w:val="001F1963"/>
    <w:rsid w:val="001F2716"/>
    <w:rsid w:val="001F282E"/>
    <w:rsid w:val="001F28CC"/>
    <w:rsid w:val="001F35D7"/>
    <w:rsid w:val="001F4AEE"/>
    <w:rsid w:val="001F4DA7"/>
    <w:rsid w:val="001F774E"/>
    <w:rsid w:val="002028BB"/>
    <w:rsid w:val="002036C3"/>
    <w:rsid w:val="002037D7"/>
    <w:rsid w:val="002039AD"/>
    <w:rsid w:val="002046A4"/>
    <w:rsid w:val="0020545E"/>
    <w:rsid w:val="00205D1F"/>
    <w:rsid w:val="00205FB0"/>
    <w:rsid w:val="00206710"/>
    <w:rsid w:val="002069C1"/>
    <w:rsid w:val="00206A96"/>
    <w:rsid w:val="00206CD2"/>
    <w:rsid w:val="002070E7"/>
    <w:rsid w:val="0020762E"/>
    <w:rsid w:val="002077D7"/>
    <w:rsid w:val="00210254"/>
    <w:rsid w:val="00210CBF"/>
    <w:rsid w:val="00211EC1"/>
    <w:rsid w:val="0021256C"/>
    <w:rsid w:val="002125EA"/>
    <w:rsid w:val="0021278A"/>
    <w:rsid w:val="00213257"/>
    <w:rsid w:val="00213C95"/>
    <w:rsid w:val="00214069"/>
    <w:rsid w:val="00214CF6"/>
    <w:rsid w:val="00214CF8"/>
    <w:rsid w:val="0022162A"/>
    <w:rsid w:val="00221E24"/>
    <w:rsid w:val="00222CFA"/>
    <w:rsid w:val="00223169"/>
    <w:rsid w:val="002245D5"/>
    <w:rsid w:val="0022718E"/>
    <w:rsid w:val="002279E5"/>
    <w:rsid w:val="002305BB"/>
    <w:rsid w:val="00230832"/>
    <w:rsid w:val="00230DED"/>
    <w:rsid w:val="00231C1B"/>
    <w:rsid w:val="00231FE7"/>
    <w:rsid w:val="002332F6"/>
    <w:rsid w:val="0023615E"/>
    <w:rsid w:val="002366F0"/>
    <w:rsid w:val="00236C0E"/>
    <w:rsid w:val="00237265"/>
    <w:rsid w:val="00237C52"/>
    <w:rsid w:val="00240438"/>
    <w:rsid w:val="002409B6"/>
    <w:rsid w:val="00240B80"/>
    <w:rsid w:val="00241609"/>
    <w:rsid w:val="0024174B"/>
    <w:rsid w:val="002417F4"/>
    <w:rsid w:val="00242073"/>
    <w:rsid w:val="002428E3"/>
    <w:rsid w:val="00242A72"/>
    <w:rsid w:val="00242E0D"/>
    <w:rsid w:val="002449A3"/>
    <w:rsid w:val="00244C10"/>
    <w:rsid w:val="002463BF"/>
    <w:rsid w:val="00246B35"/>
    <w:rsid w:val="0024758E"/>
    <w:rsid w:val="00247A60"/>
    <w:rsid w:val="00247A65"/>
    <w:rsid w:val="00247F07"/>
    <w:rsid w:val="002503CB"/>
    <w:rsid w:val="00250DE1"/>
    <w:rsid w:val="00250DF4"/>
    <w:rsid w:val="00252109"/>
    <w:rsid w:val="002531AB"/>
    <w:rsid w:val="002559F4"/>
    <w:rsid w:val="0025631E"/>
    <w:rsid w:val="00256D3C"/>
    <w:rsid w:val="0025752C"/>
    <w:rsid w:val="00257A51"/>
    <w:rsid w:val="00261770"/>
    <w:rsid w:val="00261935"/>
    <w:rsid w:val="00262A84"/>
    <w:rsid w:val="00262E50"/>
    <w:rsid w:val="00264264"/>
    <w:rsid w:val="002646C8"/>
    <w:rsid w:val="0026516F"/>
    <w:rsid w:val="00265AD8"/>
    <w:rsid w:val="00266289"/>
    <w:rsid w:val="002662B2"/>
    <w:rsid w:val="002669F6"/>
    <w:rsid w:val="0026721A"/>
    <w:rsid w:val="00267940"/>
    <w:rsid w:val="002703F2"/>
    <w:rsid w:val="00274A6D"/>
    <w:rsid w:val="00274A7E"/>
    <w:rsid w:val="00274AAB"/>
    <w:rsid w:val="00274D9C"/>
    <w:rsid w:val="00276115"/>
    <w:rsid w:val="0027618E"/>
    <w:rsid w:val="00276341"/>
    <w:rsid w:val="0027653B"/>
    <w:rsid w:val="0027754D"/>
    <w:rsid w:val="00277CA3"/>
    <w:rsid w:val="00280B14"/>
    <w:rsid w:val="00281DBD"/>
    <w:rsid w:val="00281FDC"/>
    <w:rsid w:val="0028255D"/>
    <w:rsid w:val="002830F4"/>
    <w:rsid w:val="00283146"/>
    <w:rsid w:val="002838A8"/>
    <w:rsid w:val="002847D9"/>
    <w:rsid w:val="002856B7"/>
    <w:rsid w:val="00285C46"/>
    <w:rsid w:val="00286C48"/>
    <w:rsid w:val="00286F91"/>
    <w:rsid w:val="00291282"/>
    <w:rsid w:val="0029168F"/>
    <w:rsid w:val="00291BC5"/>
    <w:rsid w:val="0029431B"/>
    <w:rsid w:val="00294C3C"/>
    <w:rsid w:val="00295E60"/>
    <w:rsid w:val="00297A62"/>
    <w:rsid w:val="00297C76"/>
    <w:rsid w:val="002A1351"/>
    <w:rsid w:val="002A1FB5"/>
    <w:rsid w:val="002A3458"/>
    <w:rsid w:val="002A7031"/>
    <w:rsid w:val="002A7300"/>
    <w:rsid w:val="002B0182"/>
    <w:rsid w:val="002B084B"/>
    <w:rsid w:val="002B08BE"/>
    <w:rsid w:val="002B16E3"/>
    <w:rsid w:val="002B1F26"/>
    <w:rsid w:val="002B23FB"/>
    <w:rsid w:val="002B2ACD"/>
    <w:rsid w:val="002B31C7"/>
    <w:rsid w:val="002B39FC"/>
    <w:rsid w:val="002B40DF"/>
    <w:rsid w:val="002B4AA6"/>
    <w:rsid w:val="002B4FCA"/>
    <w:rsid w:val="002B62B7"/>
    <w:rsid w:val="002B68AF"/>
    <w:rsid w:val="002B6ABE"/>
    <w:rsid w:val="002B6ADB"/>
    <w:rsid w:val="002B6C56"/>
    <w:rsid w:val="002B7A92"/>
    <w:rsid w:val="002B7BC9"/>
    <w:rsid w:val="002B7CD0"/>
    <w:rsid w:val="002C011F"/>
    <w:rsid w:val="002C05AD"/>
    <w:rsid w:val="002C1264"/>
    <w:rsid w:val="002C1553"/>
    <w:rsid w:val="002C15A1"/>
    <w:rsid w:val="002C1A22"/>
    <w:rsid w:val="002C1BC5"/>
    <w:rsid w:val="002C1DF8"/>
    <w:rsid w:val="002C235C"/>
    <w:rsid w:val="002C2C6C"/>
    <w:rsid w:val="002C2C98"/>
    <w:rsid w:val="002C2DA1"/>
    <w:rsid w:val="002C43F6"/>
    <w:rsid w:val="002C46C7"/>
    <w:rsid w:val="002C487B"/>
    <w:rsid w:val="002C7949"/>
    <w:rsid w:val="002D0526"/>
    <w:rsid w:val="002D054E"/>
    <w:rsid w:val="002D0775"/>
    <w:rsid w:val="002D146C"/>
    <w:rsid w:val="002D1631"/>
    <w:rsid w:val="002D1CAD"/>
    <w:rsid w:val="002D1F87"/>
    <w:rsid w:val="002D2143"/>
    <w:rsid w:val="002D26C7"/>
    <w:rsid w:val="002D2AED"/>
    <w:rsid w:val="002D3379"/>
    <w:rsid w:val="002D4362"/>
    <w:rsid w:val="002D52AA"/>
    <w:rsid w:val="002D5983"/>
    <w:rsid w:val="002D670E"/>
    <w:rsid w:val="002E0601"/>
    <w:rsid w:val="002E0DA0"/>
    <w:rsid w:val="002E1E2C"/>
    <w:rsid w:val="002E1F01"/>
    <w:rsid w:val="002E21C2"/>
    <w:rsid w:val="002E231B"/>
    <w:rsid w:val="002E2E43"/>
    <w:rsid w:val="002E3593"/>
    <w:rsid w:val="002E3D59"/>
    <w:rsid w:val="002E4256"/>
    <w:rsid w:val="002E500C"/>
    <w:rsid w:val="002E58E3"/>
    <w:rsid w:val="002E60E0"/>
    <w:rsid w:val="002E7789"/>
    <w:rsid w:val="002F082E"/>
    <w:rsid w:val="002F0C78"/>
    <w:rsid w:val="002F0E09"/>
    <w:rsid w:val="002F3859"/>
    <w:rsid w:val="002F3CC4"/>
    <w:rsid w:val="002F3CED"/>
    <w:rsid w:val="002F3DCA"/>
    <w:rsid w:val="002F449F"/>
    <w:rsid w:val="002F4C4E"/>
    <w:rsid w:val="002F4D4E"/>
    <w:rsid w:val="002F4F19"/>
    <w:rsid w:val="002F62C4"/>
    <w:rsid w:val="002F6504"/>
    <w:rsid w:val="002F6522"/>
    <w:rsid w:val="00300B1B"/>
    <w:rsid w:val="00301778"/>
    <w:rsid w:val="00301E7A"/>
    <w:rsid w:val="00302074"/>
    <w:rsid w:val="003025D6"/>
    <w:rsid w:val="00302E04"/>
    <w:rsid w:val="003033D7"/>
    <w:rsid w:val="00303606"/>
    <w:rsid w:val="00303BAD"/>
    <w:rsid w:val="00303CC6"/>
    <w:rsid w:val="00303EEC"/>
    <w:rsid w:val="0030421F"/>
    <w:rsid w:val="00304CDA"/>
    <w:rsid w:val="0030524F"/>
    <w:rsid w:val="003071B0"/>
    <w:rsid w:val="00307413"/>
    <w:rsid w:val="003107DC"/>
    <w:rsid w:val="00312276"/>
    <w:rsid w:val="003122B2"/>
    <w:rsid w:val="00312369"/>
    <w:rsid w:val="00313B0D"/>
    <w:rsid w:val="00313C0F"/>
    <w:rsid w:val="00314215"/>
    <w:rsid w:val="0031450C"/>
    <w:rsid w:val="00314609"/>
    <w:rsid w:val="00315438"/>
    <w:rsid w:val="003175C9"/>
    <w:rsid w:val="00317904"/>
    <w:rsid w:val="00320607"/>
    <w:rsid w:val="00320C13"/>
    <w:rsid w:val="00320F01"/>
    <w:rsid w:val="0032398E"/>
    <w:rsid w:val="00323BB2"/>
    <w:rsid w:val="00324606"/>
    <w:rsid w:val="0032536C"/>
    <w:rsid w:val="003253C8"/>
    <w:rsid w:val="0032742A"/>
    <w:rsid w:val="00327AE1"/>
    <w:rsid w:val="00327FE1"/>
    <w:rsid w:val="00330768"/>
    <w:rsid w:val="0033346D"/>
    <w:rsid w:val="00333590"/>
    <w:rsid w:val="00334E63"/>
    <w:rsid w:val="00335456"/>
    <w:rsid w:val="00335B6A"/>
    <w:rsid w:val="00335C6B"/>
    <w:rsid w:val="00335FD1"/>
    <w:rsid w:val="0033665D"/>
    <w:rsid w:val="003376A2"/>
    <w:rsid w:val="00337FA9"/>
    <w:rsid w:val="00340B54"/>
    <w:rsid w:val="00341D12"/>
    <w:rsid w:val="00342037"/>
    <w:rsid w:val="0034296D"/>
    <w:rsid w:val="00342B76"/>
    <w:rsid w:val="0034335C"/>
    <w:rsid w:val="00343697"/>
    <w:rsid w:val="003444D0"/>
    <w:rsid w:val="00344FEC"/>
    <w:rsid w:val="003466A9"/>
    <w:rsid w:val="0034688C"/>
    <w:rsid w:val="00347CAD"/>
    <w:rsid w:val="003521AD"/>
    <w:rsid w:val="003536FF"/>
    <w:rsid w:val="00354EDD"/>
    <w:rsid w:val="003552DC"/>
    <w:rsid w:val="00355501"/>
    <w:rsid w:val="003558AB"/>
    <w:rsid w:val="003563D3"/>
    <w:rsid w:val="003567EA"/>
    <w:rsid w:val="003575B6"/>
    <w:rsid w:val="003576EF"/>
    <w:rsid w:val="00360DCF"/>
    <w:rsid w:val="003610BB"/>
    <w:rsid w:val="0036131E"/>
    <w:rsid w:val="00361418"/>
    <w:rsid w:val="00361A69"/>
    <w:rsid w:val="003628B8"/>
    <w:rsid w:val="003631CC"/>
    <w:rsid w:val="003658B5"/>
    <w:rsid w:val="00365D62"/>
    <w:rsid w:val="00366294"/>
    <w:rsid w:val="00367055"/>
    <w:rsid w:val="003670A3"/>
    <w:rsid w:val="003671CA"/>
    <w:rsid w:val="00367D35"/>
    <w:rsid w:val="00367F90"/>
    <w:rsid w:val="00370599"/>
    <w:rsid w:val="00370DC9"/>
    <w:rsid w:val="00372B28"/>
    <w:rsid w:val="003730D4"/>
    <w:rsid w:val="00373207"/>
    <w:rsid w:val="00375122"/>
    <w:rsid w:val="003757A0"/>
    <w:rsid w:val="00375A2E"/>
    <w:rsid w:val="00375A37"/>
    <w:rsid w:val="00376677"/>
    <w:rsid w:val="003768DD"/>
    <w:rsid w:val="00377302"/>
    <w:rsid w:val="003820F1"/>
    <w:rsid w:val="0038213C"/>
    <w:rsid w:val="00382196"/>
    <w:rsid w:val="0038225E"/>
    <w:rsid w:val="003824CA"/>
    <w:rsid w:val="00382584"/>
    <w:rsid w:val="00382C56"/>
    <w:rsid w:val="003836A7"/>
    <w:rsid w:val="00384091"/>
    <w:rsid w:val="00386AC6"/>
    <w:rsid w:val="00386BBF"/>
    <w:rsid w:val="00387AD3"/>
    <w:rsid w:val="00391117"/>
    <w:rsid w:val="00391A62"/>
    <w:rsid w:val="00392278"/>
    <w:rsid w:val="00392350"/>
    <w:rsid w:val="003930B3"/>
    <w:rsid w:val="00394317"/>
    <w:rsid w:val="00394910"/>
    <w:rsid w:val="00394C7C"/>
    <w:rsid w:val="003951C6"/>
    <w:rsid w:val="003956CF"/>
    <w:rsid w:val="00395BBB"/>
    <w:rsid w:val="00395F5C"/>
    <w:rsid w:val="003979CE"/>
    <w:rsid w:val="00397AA7"/>
    <w:rsid w:val="00397DF3"/>
    <w:rsid w:val="003A060B"/>
    <w:rsid w:val="003A0DCB"/>
    <w:rsid w:val="003A1323"/>
    <w:rsid w:val="003A3950"/>
    <w:rsid w:val="003A4CA5"/>
    <w:rsid w:val="003A50AC"/>
    <w:rsid w:val="003A521A"/>
    <w:rsid w:val="003A6CD9"/>
    <w:rsid w:val="003A6D33"/>
    <w:rsid w:val="003B0C60"/>
    <w:rsid w:val="003B0E87"/>
    <w:rsid w:val="003B1260"/>
    <w:rsid w:val="003B2BB7"/>
    <w:rsid w:val="003B3AFF"/>
    <w:rsid w:val="003B4039"/>
    <w:rsid w:val="003B4DC6"/>
    <w:rsid w:val="003B5EC8"/>
    <w:rsid w:val="003B642F"/>
    <w:rsid w:val="003B65C1"/>
    <w:rsid w:val="003C0574"/>
    <w:rsid w:val="003C0DA2"/>
    <w:rsid w:val="003C15CC"/>
    <w:rsid w:val="003C2389"/>
    <w:rsid w:val="003C25EB"/>
    <w:rsid w:val="003C2D71"/>
    <w:rsid w:val="003C325B"/>
    <w:rsid w:val="003C44C7"/>
    <w:rsid w:val="003C5245"/>
    <w:rsid w:val="003C5549"/>
    <w:rsid w:val="003C5D8C"/>
    <w:rsid w:val="003C6586"/>
    <w:rsid w:val="003C6F0A"/>
    <w:rsid w:val="003C76D6"/>
    <w:rsid w:val="003C789E"/>
    <w:rsid w:val="003C7E54"/>
    <w:rsid w:val="003D02C4"/>
    <w:rsid w:val="003D04E3"/>
    <w:rsid w:val="003D0E21"/>
    <w:rsid w:val="003D1020"/>
    <w:rsid w:val="003D1174"/>
    <w:rsid w:val="003D1D01"/>
    <w:rsid w:val="003D2CA7"/>
    <w:rsid w:val="003D2CFC"/>
    <w:rsid w:val="003D62B7"/>
    <w:rsid w:val="003D636C"/>
    <w:rsid w:val="003D6474"/>
    <w:rsid w:val="003D6CAF"/>
    <w:rsid w:val="003D79BC"/>
    <w:rsid w:val="003E06C5"/>
    <w:rsid w:val="003E13BE"/>
    <w:rsid w:val="003E1E99"/>
    <w:rsid w:val="003E2606"/>
    <w:rsid w:val="003E2C75"/>
    <w:rsid w:val="003E3A29"/>
    <w:rsid w:val="003E3C94"/>
    <w:rsid w:val="003E5374"/>
    <w:rsid w:val="003E5BB3"/>
    <w:rsid w:val="003E5C7D"/>
    <w:rsid w:val="003E6D6F"/>
    <w:rsid w:val="003E7029"/>
    <w:rsid w:val="003E7F27"/>
    <w:rsid w:val="003F0D01"/>
    <w:rsid w:val="003F0E66"/>
    <w:rsid w:val="003F11C2"/>
    <w:rsid w:val="003F1F70"/>
    <w:rsid w:val="003F26BF"/>
    <w:rsid w:val="003F270D"/>
    <w:rsid w:val="003F48B8"/>
    <w:rsid w:val="003F5BD2"/>
    <w:rsid w:val="003F6010"/>
    <w:rsid w:val="003F75C3"/>
    <w:rsid w:val="003F79BE"/>
    <w:rsid w:val="003F7B63"/>
    <w:rsid w:val="00400588"/>
    <w:rsid w:val="0040345F"/>
    <w:rsid w:val="0040423F"/>
    <w:rsid w:val="0040454F"/>
    <w:rsid w:val="00405B66"/>
    <w:rsid w:val="00406369"/>
    <w:rsid w:val="004067B8"/>
    <w:rsid w:val="00406B81"/>
    <w:rsid w:val="00406D69"/>
    <w:rsid w:val="00406E2F"/>
    <w:rsid w:val="00407D72"/>
    <w:rsid w:val="00411086"/>
    <w:rsid w:val="0041553F"/>
    <w:rsid w:val="00415DC7"/>
    <w:rsid w:val="00415F99"/>
    <w:rsid w:val="00416897"/>
    <w:rsid w:val="00417D87"/>
    <w:rsid w:val="004200DB"/>
    <w:rsid w:val="00420100"/>
    <w:rsid w:val="00421B05"/>
    <w:rsid w:val="004225E9"/>
    <w:rsid w:val="00422B8E"/>
    <w:rsid w:val="00423373"/>
    <w:rsid w:val="004238FB"/>
    <w:rsid w:val="00423CEB"/>
    <w:rsid w:val="0042420D"/>
    <w:rsid w:val="00424336"/>
    <w:rsid w:val="00424DC4"/>
    <w:rsid w:val="00426256"/>
    <w:rsid w:val="00427577"/>
    <w:rsid w:val="00427812"/>
    <w:rsid w:val="00430096"/>
    <w:rsid w:val="0043049D"/>
    <w:rsid w:val="00430D7F"/>
    <w:rsid w:val="00430DFA"/>
    <w:rsid w:val="00430FC5"/>
    <w:rsid w:val="004315B7"/>
    <w:rsid w:val="00431D2B"/>
    <w:rsid w:val="00432443"/>
    <w:rsid w:val="00432FCE"/>
    <w:rsid w:val="004348B7"/>
    <w:rsid w:val="00434F15"/>
    <w:rsid w:val="00435842"/>
    <w:rsid w:val="00435900"/>
    <w:rsid w:val="00435DFD"/>
    <w:rsid w:val="00436056"/>
    <w:rsid w:val="004364D8"/>
    <w:rsid w:val="00437587"/>
    <w:rsid w:val="004376E1"/>
    <w:rsid w:val="004428BE"/>
    <w:rsid w:val="00443AC3"/>
    <w:rsid w:val="00444DEC"/>
    <w:rsid w:val="00445BFD"/>
    <w:rsid w:val="00445CBB"/>
    <w:rsid w:val="004460B9"/>
    <w:rsid w:val="00446E1F"/>
    <w:rsid w:val="004477B0"/>
    <w:rsid w:val="0045010E"/>
    <w:rsid w:val="0045058E"/>
    <w:rsid w:val="00450597"/>
    <w:rsid w:val="00451EAC"/>
    <w:rsid w:val="00452313"/>
    <w:rsid w:val="00452C59"/>
    <w:rsid w:val="00454318"/>
    <w:rsid w:val="00454338"/>
    <w:rsid w:val="00454AB5"/>
    <w:rsid w:val="00455646"/>
    <w:rsid w:val="00456356"/>
    <w:rsid w:val="00456557"/>
    <w:rsid w:val="00456795"/>
    <w:rsid w:val="00456939"/>
    <w:rsid w:val="00456C6F"/>
    <w:rsid w:val="00457AB3"/>
    <w:rsid w:val="00457C3F"/>
    <w:rsid w:val="004603ED"/>
    <w:rsid w:val="00460F00"/>
    <w:rsid w:val="00461E75"/>
    <w:rsid w:val="004629C9"/>
    <w:rsid w:val="00462B6F"/>
    <w:rsid w:val="00462BC1"/>
    <w:rsid w:val="004639F2"/>
    <w:rsid w:val="00463C78"/>
    <w:rsid w:val="00463F06"/>
    <w:rsid w:val="00464A0C"/>
    <w:rsid w:val="00465505"/>
    <w:rsid w:val="00465D82"/>
    <w:rsid w:val="00466383"/>
    <w:rsid w:val="00467A64"/>
    <w:rsid w:val="00470248"/>
    <w:rsid w:val="004709D7"/>
    <w:rsid w:val="00471769"/>
    <w:rsid w:val="004719BA"/>
    <w:rsid w:val="00471AA8"/>
    <w:rsid w:val="00472212"/>
    <w:rsid w:val="00472EEB"/>
    <w:rsid w:val="0047300E"/>
    <w:rsid w:val="00473027"/>
    <w:rsid w:val="004741F8"/>
    <w:rsid w:val="00474E2E"/>
    <w:rsid w:val="00475B84"/>
    <w:rsid w:val="00476439"/>
    <w:rsid w:val="004764BD"/>
    <w:rsid w:val="004764DF"/>
    <w:rsid w:val="00477133"/>
    <w:rsid w:val="00477192"/>
    <w:rsid w:val="0047725C"/>
    <w:rsid w:val="00480F6C"/>
    <w:rsid w:val="00482513"/>
    <w:rsid w:val="00482859"/>
    <w:rsid w:val="004829E6"/>
    <w:rsid w:val="00482B0C"/>
    <w:rsid w:val="00483C24"/>
    <w:rsid w:val="00483EBC"/>
    <w:rsid w:val="0048421B"/>
    <w:rsid w:val="004844EA"/>
    <w:rsid w:val="004858CF"/>
    <w:rsid w:val="00486046"/>
    <w:rsid w:val="004872CB"/>
    <w:rsid w:val="00487C72"/>
    <w:rsid w:val="00490A55"/>
    <w:rsid w:val="00491912"/>
    <w:rsid w:val="00492B05"/>
    <w:rsid w:val="00492F0C"/>
    <w:rsid w:val="00493BBB"/>
    <w:rsid w:val="00493DD5"/>
    <w:rsid w:val="00493E55"/>
    <w:rsid w:val="00493F1D"/>
    <w:rsid w:val="004947E4"/>
    <w:rsid w:val="00495657"/>
    <w:rsid w:val="00495B1D"/>
    <w:rsid w:val="004967A6"/>
    <w:rsid w:val="004970D8"/>
    <w:rsid w:val="00497148"/>
    <w:rsid w:val="004A0996"/>
    <w:rsid w:val="004A2A97"/>
    <w:rsid w:val="004A3761"/>
    <w:rsid w:val="004A3784"/>
    <w:rsid w:val="004A54D0"/>
    <w:rsid w:val="004A6085"/>
    <w:rsid w:val="004A61A1"/>
    <w:rsid w:val="004A7168"/>
    <w:rsid w:val="004A7337"/>
    <w:rsid w:val="004A7B45"/>
    <w:rsid w:val="004B1EAC"/>
    <w:rsid w:val="004B2475"/>
    <w:rsid w:val="004B2B3A"/>
    <w:rsid w:val="004B2E5A"/>
    <w:rsid w:val="004B30EF"/>
    <w:rsid w:val="004B335F"/>
    <w:rsid w:val="004B3717"/>
    <w:rsid w:val="004B455F"/>
    <w:rsid w:val="004B5082"/>
    <w:rsid w:val="004B522D"/>
    <w:rsid w:val="004B52D4"/>
    <w:rsid w:val="004B5711"/>
    <w:rsid w:val="004B5B6C"/>
    <w:rsid w:val="004B5D6E"/>
    <w:rsid w:val="004B7006"/>
    <w:rsid w:val="004B7540"/>
    <w:rsid w:val="004B7988"/>
    <w:rsid w:val="004C0309"/>
    <w:rsid w:val="004C06FC"/>
    <w:rsid w:val="004C07F5"/>
    <w:rsid w:val="004C08C5"/>
    <w:rsid w:val="004C0B60"/>
    <w:rsid w:val="004C0C2B"/>
    <w:rsid w:val="004C1AB7"/>
    <w:rsid w:val="004C22EB"/>
    <w:rsid w:val="004C35CE"/>
    <w:rsid w:val="004C3C9B"/>
    <w:rsid w:val="004C4297"/>
    <w:rsid w:val="004C4FBC"/>
    <w:rsid w:val="004C5118"/>
    <w:rsid w:val="004C52C5"/>
    <w:rsid w:val="004C6584"/>
    <w:rsid w:val="004C673A"/>
    <w:rsid w:val="004C6A17"/>
    <w:rsid w:val="004C6B09"/>
    <w:rsid w:val="004C73DC"/>
    <w:rsid w:val="004C7AAF"/>
    <w:rsid w:val="004D03ED"/>
    <w:rsid w:val="004D10C5"/>
    <w:rsid w:val="004D24CA"/>
    <w:rsid w:val="004D251E"/>
    <w:rsid w:val="004D36FB"/>
    <w:rsid w:val="004D39F7"/>
    <w:rsid w:val="004D5AE1"/>
    <w:rsid w:val="004D629D"/>
    <w:rsid w:val="004D67F4"/>
    <w:rsid w:val="004D6B08"/>
    <w:rsid w:val="004D7EBD"/>
    <w:rsid w:val="004D7FDC"/>
    <w:rsid w:val="004E0897"/>
    <w:rsid w:val="004E0ECD"/>
    <w:rsid w:val="004E1133"/>
    <w:rsid w:val="004E34C3"/>
    <w:rsid w:val="004E36E1"/>
    <w:rsid w:val="004E37BA"/>
    <w:rsid w:val="004E5A03"/>
    <w:rsid w:val="004F0EB0"/>
    <w:rsid w:val="004F0F5F"/>
    <w:rsid w:val="004F0FB6"/>
    <w:rsid w:val="004F12E8"/>
    <w:rsid w:val="004F16BC"/>
    <w:rsid w:val="004F1C9F"/>
    <w:rsid w:val="004F2396"/>
    <w:rsid w:val="004F2E56"/>
    <w:rsid w:val="004F2F74"/>
    <w:rsid w:val="004F43FC"/>
    <w:rsid w:val="004F55E8"/>
    <w:rsid w:val="004F6D09"/>
    <w:rsid w:val="004F6E4B"/>
    <w:rsid w:val="004F70EE"/>
    <w:rsid w:val="00501AA3"/>
    <w:rsid w:val="00502FE9"/>
    <w:rsid w:val="00504938"/>
    <w:rsid w:val="00505201"/>
    <w:rsid w:val="00505A49"/>
    <w:rsid w:val="0050663B"/>
    <w:rsid w:val="00507C32"/>
    <w:rsid w:val="00510714"/>
    <w:rsid w:val="00511223"/>
    <w:rsid w:val="00511663"/>
    <w:rsid w:val="005119F7"/>
    <w:rsid w:val="005126F9"/>
    <w:rsid w:val="00512CE4"/>
    <w:rsid w:val="00513199"/>
    <w:rsid w:val="00513364"/>
    <w:rsid w:val="005134CF"/>
    <w:rsid w:val="00513C12"/>
    <w:rsid w:val="00514129"/>
    <w:rsid w:val="0051448F"/>
    <w:rsid w:val="00514623"/>
    <w:rsid w:val="00516368"/>
    <w:rsid w:val="00516E85"/>
    <w:rsid w:val="00517070"/>
    <w:rsid w:val="00517CE9"/>
    <w:rsid w:val="00520121"/>
    <w:rsid w:val="005201E3"/>
    <w:rsid w:val="005202D9"/>
    <w:rsid w:val="00520522"/>
    <w:rsid w:val="005215D1"/>
    <w:rsid w:val="005216F5"/>
    <w:rsid w:val="0052244C"/>
    <w:rsid w:val="005253C5"/>
    <w:rsid w:val="00525D81"/>
    <w:rsid w:val="00526116"/>
    <w:rsid w:val="0052711C"/>
    <w:rsid w:val="00527281"/>
    <w:rsid w:val="00530780"/>
    <w:rsid w:val="005310E3"/>
    <w:rsid w:val="00531CBD"/>
    <w:rsid w:val="00531EB6"/>
    <w:rsid w:val="005326CE"/>
    <w:rsid w:val="00533417"/>
    <w:rsid w:val="0053498F"/>
    <w:rsid w:val="00534CD5"/>
    <w:rsid w:val="00534F44"/>
    <w:rsid w:val="0053626E"/>
    <w:rsid w:val="005363F7"/>
    <w:rsid w:val="005365D2"/>
    <w:rsid w:val="00536989"/>
    <w:rsid w:val="005369D7"/>
    <w:rsid w:val="00537427"/>
    <w:rsid w:val="0053785D"/>
    <w:rsid w:val="00537F06"/>
    <w:rsid w:val="005400E5"/>
    <w:rsid w:val="00540892"/>
    <w:rsid w:val="00540911"/>
    <w:rsid w:val="00541262"/>
    <w:rsid w:val="005414D4"/>
    <w:rsid w:val="00542B4B"/>
    <w:rsid w:val="0054313C"/>
    <w:rsid w:val="0054425A"/>
    <w:rsid w:val="00544945"/>
    <w:rsid w:val="0054549C"/>
    <w:rsid w:val="00545770"/>
    <w:rsid w:val="00545AE3"/>
    <w:rsid w:val="0054615B"/>
    <w:rsid w:val="00546654"/>
    <w:rsid w:val="005466A1"/>
    <w:rsid w:val="005471A9"/>
    <w:rsid w:val="005477ED"/>
    <w:rsid w:val="00547F80"/>
    <w:rsid w:val="00550697"/>
    <w:rsid w:val="005507E7"/>
    <w:rsid w:val="00550A78"/>
    <w:rsid w:val="00550D81"/>
    <w:rsid w:val="00550DAB"/>
    <w:rsid w:val="005526E9"/>
    <w:rsid w:val="00552EB3"/>
    <w:rsid w:val="005532B2"/>
    <w:rsid w:val="00553721"/>
    <w:rsid w:val="00553CC2"/>
    <w:rsid w:val="005553AA"/>
    <w:rsid w:val="005558F0"/>
    <w:rsid w:val="00556B2E"/>
    <w:rsid w:val="0055770C"/>
    <w:rsid w:val="00557C6A"/>
    <w:rsid w:val="00560108"/>
    <w:rsid w:val="005604AE"/>
    <w:rsid w:val="0056053A"/>
    <w:rsid w:val="00561CAF"/>
    <w:rsid w:val="00561E6C"/>
    <w:rsid w:val="005622C2"/>
    <w:rsid w:val="00562A1D"/>
    <w:rsid w:val="00562AE9"/>
    <w:rsid w:val="00562FC0"/>
    <w:rsid w:val="00563AC2"/>
    <w:rsid w:val="00565566"/>
    <w:rsid w:val="00565E27"/>
    <w:rsid w:val="005661CE"/>
    <w:rsid w:val="00566222"/>
    <w:rsid w:val="00566DD1"/>
    <w:rsid w:val="00566EFC"/>
    <w:rsid w:val="005674CF"/>
    <w:rsid w:val="00567F86"/>
    <w:rsid w:val="005703BF"/>
    <w:rsid w:val="00570552"/>
    <w:rsid w:val="00571029"/>
    <w:rsid w:val="0057131F"/>
    <w:rsid w:val="005722D7"/>
    <w:rsid w:val="00572952"/>
    <w:rsid w:val="00572B4A"/>
    <w:rsid w:val="00572D7E"/>
    <w:rsid w:val="00572E17"/>
    <w:rsid w:val="00572F3D"/>
    <w:rsid w:val="00573490"/>
    <w:rsid w:val="005740DB"/>
    <w:rsid w:val="005741ED"/>
    <w:rsid w:val="005742EF"/>
    <w:rsid w:val="00575974"/>
    <w:rsid w:val="00575BD3"/>
    <w:rsid w:val="005771D2"/>
    <w:rsid w:val="00577608"/>
    <w:rsid w:val="00580406"/>
    <w:rsid w:val="00580E08"/>
    <w:rsid w:val="0058270A"/>
    <w:rsid w:val="00582D19"/>
    <w:rsid w:val="00582E2E"/>
    <w:rsid w:val="00582FD0"/>
    <w:rsid w:val="00584115"/>
    <w:rsid w:val="0058415A"/>
    <w:rsid w:val="005848BC"/>
    <w:rsid w:val="00585241"/>
    <w:rsid w:val="0058712A"/>
    <w:rsid w:val="0059002D"/>
    <w:rsid w:val="00590110"/>
    <w:rsid w:val="00590315"/>
    <w:rsid w:val="005904D1"/>
    <w:rsid w:val="00590F12"/>
    <w:rsid w:val="005913D8"/>
    <w:rsid w:val="00592903"/>
    <w:rsid w:val="00592DA0"/>
    <w:rsid w:val="00593AB1"/>
    <w:rsid w:val="00593E89"/>
    <w:rsid w:val="00594207"/>
    <w:rsid w:val="00594398"/>
    <w:rsid w:val="00594E50"/>
    <w:rsid w:val="00597B6A"/>
    <w:rsid w:val="00597C4F"/>
    <w:rsid w:val="00597F24"/>
    <w:rsid w:val="005A1075"/>
    <w:rsid w:val="005A1E94"/>
    <w:rsid w:val="005A23DD"/>
    <w:rsid w:val="005A362A"/>
    <w:rsid w:val="005A46D2"/>
    <w:rsid w:val="005A5318"/>
    <w:rsid w:val="005A55B6"/>
    <w:rsid w:val="005A5B41"/>
    <w:rsid w:val="005A5B5A"/>
    <w:rsid w:val="005A6176"/>
    <w:rsid w:val="005B1443"/>
    <w:rsid w:val="005B184C"/>
    <w:rsid w:val="005B20B4"/>
    <w:rsid w:val="005B29CA"/>
    <w:rsid w:val="005B3199"/>
    <w:rsid w:val="005B4039"/>
    <w:rsid w:val="005B542B"/>
    <w:rsid w:val="005B665F"/>
    <w:rsid w:val="005C01D9"/>
    <w:rsid w:val="005C02B0"/>
    <w:rsid w:val="005C21A1"/>
    <w:rsid w:val="005C2316"/>
    <w:rsid w:val="005C2663"/>
    <w:rsid w:val="005C2935"/>
    <w:rsid w:val="005C3637"/>
    <w:rsid w:val="005C3F51"/>
    <w:rsid w:val="005C4342"/>
    <w:rsid w:val="005C47DA"/>
    <w:rsid w:val="005C54D1"/>
    <w:rsid w:val="005C61D4"/>
    <w:rsid w:val="005C6DA9"/>
    <w:rsid w:val="005D02D1"/>
    <w:rsid w:val="005D07CD"/>
    <w:rsid w:val="005D09AF"/>
    <w:rsid w:val="005D0D25"/>
    <w:rsid w:val="005D1CB1"/>
    <w:rsid w:val="005D1EC2"/>
    <w:rsid w:val="005D2E6D"/>
    <w:rsid w:val="005D33C1"/>
    <w:rsid w:val="005D5495"/>
    <w:rsid w:val="005D6613"/>
    <w:rsid w:val="005D6F6C"/>
    <w:rsid w:val="005D70B4"/>
    <w:rsid w:val="005D7637"/>
    <w:rsid w:val="005E1063"/>
    <w:rsid w:val="005E13DE"/>
    <w:rsid w:val="005E18D5"/>
    <w:rsid w:val="005E2126"/>
    <w:rsid w:val="005E2EB8"/>
    <w:rsid w:val="005E3CD3"/>
    <w:rsid w:val="005E3D21"/>
    <w:rsid w:val="005E543D"/>
    <w:rsid w:val="005E6224"/>
    <w:rsid w:val="005E7284"/>
    <w:rsid w:val="005E76A2"/>
    <w:rsid w:val="005F0735"/>
    <w:rsid w:val="005F0E75"/>
    <w:rsid w:val="005F138D"/>
    <w:rsid w:val="005F299E"/>
    <w:rsid w:val="005F2DBC"/>
    <w:rsid w:val="005F372C"/>
    <w:rsid w:val="005F375F"/>
    <w:rsid w:val="005F3A64"/>
    <w:rsid w:val="005F4A64"/>
    <w:rsid w:val="005F4A81"/>
    <w:rsid w:val="005F4C56"/>
    <w:rsid w:val="005F4F5B"/>
    <w:rsid w:val="005F5EEE"/>
    <w:rsid w:val="005F7A63"/>
    <w:rsid w:val="005F7BBD"/>
    <w:rsid w:val="0060169F"/>
    <w:rsid w:val="00601FD1"/>
    <w:rsid w:val="0060290D"/>
    <w:rsid w:val="00602D43"/>
    <w:rsid w:val="00603486"/>
    <w:rsid w:val="00603818"/>
    <w:rsid w:val="00603D5F"/>
    <w:rsid w:val="0060477E"/>
    <w:rsid w:val="0060525A"/>
    <w:rsid w:val="0060580D"/>
    <w:rsid w:val="0060686F"/>
    <w:rsid w:val="00606C5D"/>
    <w:rsid w:val="00606F4E"/>
    <w:rsid w:val="00607713"/>
    <w:rsid w:val="0061004A"/>
    <w:rsid w:val="0061059E"/>
    <w:rsid w:val="00611718"/>
    <w:rsid w:val="00611C3E"/>
    <w:rsid w:val="00611CED"/>
    <w:rsid w:val="006129C7"/>
    <w:rsid w:val="00612EA2"/>
    <w:rsid w:val="006134EF"/>
    <w:rsid w:val="00615777"/>
    <w:rsid w:val="0061680D"/>
    <w:rsid w:val="00617966"/>
    <w:rsid w:val="00617E4D"/>
    <w:rsid w:val="00617EB2"/>
    <w:rsid w:val="00621BC2"/>
    <w:rsid w:val="006225F3"/>
    <w:rsid w:val="00622F6B"/>
    <w:rsid w:val="00622FE2"/>
    <w:rsid w:val="00623211"/>
    <w:rsid w:val="0062451E"/>
    <w:rsid w:val="006263FF"/>
    <w:rsid w:val="0062734D"/>
    <w:rsid w:val="00630411"/>
    <w:rsid w:val="00630B76"/>
    <w:rsid w:val="00630D67"/>
    <w:rsid w:val="00630D8F"/>
    <w:rsid w:val="00630D98"/>
    <w:rsid w:val="00631224"/>
    <w:rsid w:val="006316C3"/>
    <w:rsid w:val="006319DD"/>
    <w:rsid w:val="00631D26"/>
    <w:rsid w:val="00631EB9"/>
    <w:rsid w:val="0063254B"/>
    <w:rsid w:val="00633C28"/>
    <w:rsid w:val="0063465D"/>
    <w:rsid w:val="00634F22"/>
    <w:rsid w:val="0063519E"/>
    <w:rsid w:val="0063672F"/>
    <w:rsid w:val="006367A4"/>
    <w:rsid w:val="006368CB"/>
    <w:rsid w:val="006369C1"/>
    <w:rsid w:val="00637145"/>
    <w:rsid w:val="006375BB"/>
    <w:rsid w:val="00637873"/>
    <w:rsid w:val="00637AE9"/>
    <w:rsid w:val="00637FF7"/>
    <w:rsid w:val="00640636"/>
    <w:rsid w:val="006427E9"/>
    <w:rsid w:val="00642FD8"/>
    <w:rsid w:val="006439C6"/>
    <w:rsid w:val="00643C91"/>
    <w:rsid w:val="0064544D"/>
    <w:rsid w:val="00646FBC"/>
    <w:rsid w:val="00647E6E"/>
    <w:rsid w:val="006507F2"/>
    <w:rsid w:val="006510C3"/>
    <w:rsid w:val="00651772"/>
    <w:rsid w:val="00651C65"/>
    <w:rsid w:val="00652361"/>
    <w:rsid w:val="006526D5"/>
    <w:rsid w:val="006533D8"/>
    <w:rsid w:val="00653BC8"/>
    <w:rsid w:val="00653C58"/>
    <w:rsid w:val="00654F62"/>
    <w:rsid w:val="00655C46"/>
    <w:rsid w:val="00655FCD"/>
    <w:rsid w:val="006560E2"/>
    <w:rsid w:val="00657F88"/>
    <w:rsid w:val="006607B0"/>
    <w:rsid w:val="006607EA"/>
    <w:rsid w:val="00661D18"/>
    <w:rsid w:val="00661D70"/>
    <w:rsid w:val="00662966"/>
    <w:rsid w:val="00663D28"/>
    <w:rsid w:val="00666310"/>
    <w:rsid w:val="00666586"/>
    <w:rsid w:val="006669B1"/>
    <w:rsid w:val="00666F44"/>
    <w:rsid w:val="0066734C"/>
    <w:rsid w:val="00667647"/>
    <w:rsid w:val="00670816"/>
    <w:rsid w:val="00670E7E"/>
    <w:rsid w:val="006717C0"/>
    <w:rsid w:val="00671A67"/>
    <w:rsid w:val="006722D8"/>
    <w:rsid w:val="00672734"/>
    <w:rsid w:val="00672C9A"/>
    <w:rsid w:val="006738AB"/>
    <w:rsid w:val="006746E4"/>
    <w:rsid w:val="00675B94"/>
    <w:rsid w:val="00675EA2"/>
    <w:rsid w:val="00676867"/>
    <w:rsid w:val="006778E9"/>
    <w:rsid w:val="00677D73"/>
    <w:rsid w:val="006801BD"/>
    <w:rsid w:val="0068024F"/>
    <w:rsid w:val="0068098D"/>
    <w:rsid w:val="00680B77"/>
    <w:rsid w:val="00680C54"/>
    <w:rsid w:val="00681B19"/>
    <w:rsid w:val="00682078"/>
    <w:rsid w:val="00682B45"/>
    <w:rsid w:val="006835A0"/>
    <w:rsid w:val="006837A4"/>
    <w:rsid w:val="00683C6E"/>
    <w:rsid w:val="006854B6"/>
    <w:rsid w:val="00685629"/>
    <w:rsid w:val="006902EF"/>
    <w:rsid w:val="00690CB2"/>
    <w:rsid w:val="00690EA8"/>
    <w:rsid w:val="00690EAC"/>
    <w:rsid w:val="00691447"/>
    <w:rsid w:val="00691925"/>
    <w:rsid w:val="006919C1"/>
    <w:rsid w:val="00691AC1"/>
    <w:rsid w:val="00692697"/>
    <w:rsid w:val="00693E72"/>
    <w:rsid w:val="006949BB"/>
    <w:rsid w:val="00694C80"/>
    <w:rsid w:val="00694FDF"/>
    <w:rsid w:val="00695CA8"/>
    <w:rsid w:val="00696B81"/>
    <w:rsid w:val="00696DE1"/>
    <w:rsid w:val="006A0111"/>
    <w:rsid w:val="006A03FB"/>
    <w:rsid w:val="006A152D"/>
    <w:rsid w:val="006A1878"/>
    <w:rsid w:val="006A1EC1"/>
    <w:rsid w:val="006A298A"/>
    <w:rsid w:val="006A317D"/>
    <w:rsid w:val="006A335E"/>
    <w:rsid w:val="006A3515"/>
    <w:rsid w:val="006A53A4"/>
    <w:rsid w:val="006A6047"/>
    <w:rsid w:val="006A6456"/>
    <w:rsid w:val="006A6C38"/>
    <w:rsid w:val="006B1B28"/>
    <w:rsid w:val="006B2ABF"/>
    <w:rsid w:val="006B45E2"/>
    <w:rsid w:val="006B57BF"/>
    <w:rsid w:val="006B5EEE"/>
    <w:rsid w:val="006B607F"/>
    <w:rsid w:val="006B695B"/>
    <w:rsid w:val="006B75BB"/>
    <w:rsid w:val="006B7ED1"/>
    <w:rsid w:val="006C0807"/>
    <w:rsid w:val="006C097A"/>
    <w:rsid w:val="006C0C7C"/>
    <w:rsid w:val="006C1096"/>
    <w:rsid w:val="006C10B6"/>
    <w:rsid w:val="006C1343"/>
    <w:rsid w:val="006C22B7"/>
    <w:rsid w:val="006C2921"/>
    <w:rsid w:val="006C2931"/>
    <w:rsid w:val="006C373C"/>
    <w:rsid w:val="006C43C8"/>
    <w:rsid w:val="006C450D"/>
    <w:rsid w:val="006C4A50"/>
    <w:rsid w:val="006C5517"/>
    <w:rsid w:val="006C61F3"/>
    <w:rsid w:val="006C7A17"/>
    <w:rsid w:val="006C7E94"/>
    <w:rsid w:val="006D0B5A"/>
    <w:rsid w:val="006D1E0D"/>
    <w:rsid w:val="006D22DC"/>
    <w:rsid w:val="006D3817"/>
    <w:rsid w:val="006D3BA7"/>
    <w:rsid w:val="006D569D"/>
    <w:rsid w:val="006D5876"/>
    <w:rsid w:val="006D58D3"/>
    <w:rsid w:val="006D5F19"/>
    <w:rsid w:val="006D661F"/>
    <w:rsid w:val="006D6BAA"/>
    <w:rsid w:val="006D7D15"/>
    <w:rsid w:val="006E0056"/>
    <w:rsid w:val="006E0A60"/>
    <w:rsid w:val="006E320D"/>
    <w:rsid w:val="006E3356"/>
    <w:rsid w:val="006E5E09"/>
    <w:rsid w:val="006E5EFF"/>
    <w:rsid w:val="006E60D9"/>
    <w:rsid w:val="006E6423"/>
    <w:rsid w:val="006E75FF"/>
    <w:rsid w:val="006F000B"/>
    <w:rsid w:val="006F15AE"/>
    <w:rsid w:val="006F1E57"/>
    <w:rsid w:val="006F2755"/>
    <w:rsid w:val="006F27A3"/>
    <w:rsid w:val="006F2991"/>
    <w:rsid w:val="006F3318"/>
    <w:rsid w:val="006F3781"/>
    <w:rsid w:val="006F4317"/>
    <w:rsid w:val="006F43A3"/>
    <w:rsid w:val="006F5DE3"/>
    <w:rsid w:val="006F698A"/>
    <w:rsid w:val="006F6BB7"/>
    <w:rsid w:val="006F7676"/>
    <w:rsid w:val="00700A33"/>
    <w:rsid w:val="0070104E"/>
    <w:rsid w:val="00701279"/>
    <w:rsid w:val="007033BC"/>
    <w:rsid w:val="00703966"/>
    <w:rsid w:val="00704613"/>
    <w:rsid w:val="007047D4"/>
    <w:rsid w:val="00704A25"/>
    <w:rsid w:val="00704C5B"/>
    <w:rsid w:val="0070677B"/>
    <w:rsid w:val="007072CD"/>
    <w:rsid w:val="007077DB"/>
    <w:rsid w:val="00707ED4"/>
    <w:rsid w:val="00710146"/>
    <w:rsid w:val="00712128"/>
    <w:rsid w:val="0071280A"/>
    <w:rsid w:val="00712AE3"/>
    <w:rsid w:val="00714FCA"/>
    <w:rsid w:val="00715564"/>
    <w:rsid w:val="00715AA1"/>
    <w:rsid w:val="007173D3"/>
    <w:rsid w:val="00720180"/>
    <w:rsid w:val="00721306"/>
    <w:rsid w:val="0072202D"/>
    <w:rsid w:val="00722322"/>
    <w:rsid w:val="007237CD"/>
    <w:rsid w:val="00724484"/>
    <w:rsid w:val="00725003"/>
    <w:rsid w:val="00725264"/>
    <w:rsid w:val="00725583"/>
    <w:rsid w:val="00725687"/>
    <w:rsid w:val="007258D6"/>
    <w:rsid w:val="00725B57"/>
    <w:rsid w:val="00725C83"/>
    <w:rsid w:val="00725EFE"/>
    <w:rsid w:val="00725F1C"/>
    <w:rsid w:val="00726643"/>
    <w:rsid w:val="00726799"/>
    <w:rsid w:val="007272FE"/>
    <w:rsid w:val="00730DD1"/>
    <w:rsid w:val="0073239E"/>
    <w:rsid w:val="00732FD1"/>
    <w:rsid w:val="007333DF"/>
    <w:rsid w:val="007343EB"/>
    <w:rsid w:val="0073606E"/>
    <w:rsid w:val="00736513"/>
    <w:rsid w:val="00737059"/>
    <w:rsid w:val="007373C2"/>
    <w:rsid w:val="00740070"/>
    <w:rsid w:val="00742D20"/>
    <w:rsid w:val="0074304D"/>
    <w:rsid w:val="00743525"/>
    <w:rsid w:val="007437C1"/>
    <w:rsid w:val="007452A8"/>
    <w:rsid w:val="0074651B"/>
    <w:rsid w:val="007468AA"/>
    <w:rsid w:val="0074758C"/>
    <w:rsid w:val="00747661"/>
    <w:rsid w:val="00750BA6"/>
    <w:rsid w:val="00750F2D"/>
    <w:rsid w:val="00751884"/>
    <w:rsid w:val="007521A3"/>
    <w:rsid w:val="0075412D"/>
    <w:rsid w:val="00755980"/>
    <w:rsid w:val="00756010"/>
    <w:rsid w:val="007566AF"/>
    <w:rsid w:val="007574FA"/>
    <w:rsid w:val="00757520"/>
    <w:rsid w:val="007607AC"/>
    <w:rsid w:val="00760E42"/>
    <w:rsid w:val="007624D5"/>
    <w:rsid w:val="00762BA0"/>
    <w:rsid w:val="007640F0"/>
    <w:rsid w:val="007660A7"/>
    <w:rsid w:val="00770FC5"/>
    <w:rsid w:val="007736F9"/>
    <w:rsid w:val="0077397E"/>
    <w:rsid w:val="00774A2E"/>
    <w:rsid w:val="00774D77"/>
    <w:rsid w:val="00775B3A"/>
    <w:rsid w:val="00776EB8"/>
    <w:rsid w:val="00776F21"/>
    <w:rsid w:val="007771FB"/>
    <w:rsid w:val="00777773"/>
    <w:rsid w:val="00780A37"/>
    <w:rsid w:val="00780AE8"/>
    <w:rsid w:val="00780F7C"/>
    <w:rsid w:val="007827B7"/>
    <w:rsid w:val="00783330"/>
    <w:rsid w:val="007835AC"/>
    <w:rsid w:val="00783C1B"/>
    <w:rsid w:val="00784562"/>
    <w:rsid w:val="00785F88"/>
    <w:rsid w:val="00786476"/>
    <w:rsid w:val="0078772E"/>
    <w:rsid w:val="0079059B"/>
    <w:rsid w:val="007905E2"/>
    <w:rsid w:val="007917DB"/>
    <w:rsid w:val="00791E10"/>
    <w:rsid w:val="00792650"/>
    <w:rsid w:val="007929D3"/>
    <w:rsid w:val="007929FB"/>
    <w:rsid w:val="00792C6C"/>
    <w:rsid w:val="00792CC7"/>
    <w:rsid w:val="00792F70"/>
    <w:rsid w:val="00794385"/>
    <w:rsid w:val="00794689"/>
    <w:rsid w:val="007946E2"/>
    <w:rsid w:val="00795C9B"/>
    <w:rsid w:val="00795D6D"/>
    <w:rsid w:val="00796BD4"/>
    <w:rsid w:val="007972EF"/>
    <w:rsid w:val="007975A0"/>
    <w:rsid w:val="007A0379"/>
    <w:rsid w:val="007A03D4"/>
    <w:rsid w:val="007A0FE5"/>
    <w:rsid w:val="007A14B9"/>
    <w:rsid w:val="007A157F"/>
    <w:rsid w:val="007A1815"/>
    <w:rsid w:val="007A1B4F"/>
    <w:rsid w:val="007A28AA"/>
    <w:rsid w:val="007A2A9C"/>
    <w:rsid w:val="007A3132"/>
    <w:rsid w:val="007A36B4"/>
    <w:rsid w:val="007A45CC"/>
    <w:rsid w:val="007A5478"/>
    <w:rsid w:val="007A7EA0"/>
    <w:rsid w:val="007B0C21"/>
    <w:rsid w:val="007B13E6"/>
    <w:rsid w:val="007B16DC"/>
    <w:rsid w:val="007B1889"/>
    <w:rsid w:val="007B1E47"/>
    <w:rsid w:val="007B21B7"/>
    <w:rsid w:val="007B2592"/>
    <w:rsid w:val="007B498F"/>
    <w:rsid w:val="007B52F1"/>
    <w:rsid w:val="007B565D"/>
    <w:rsid w:val="007B57F8"/>
    <w:rsid w:val="007B5EEF"/>
    <w:rsid w:val="007B6573"/>
    <w:rsid w:val="007B720B"/>
    <w:rsid w:val="007C0F07"/>
    <w:rsid w:val="007C1DFD"/>
    <w:rsid w:val="007C2902"/>
    <w:rsid w:val="007C3298"/>
    <w:rsid w:val="007C36D9"/>
    <w:rsid w:val="007C491E"/>
    <w:rsid w:val="007C4C27"/>
    <w:rsid w:val="007C5E61"/>
    <w:rsid w:val="007C7292"/>
    <w:rsid w:val="007C7766"/>
    <w:rsid w:val="007C77E5"/>
    <w:rsid w:val="007D0B53"/>
    <w:rsid w:val="007D0E00"/>
    <w:rsid w:val="007D0FF9"/>
    <w:rsid w:val="007D234C"/>
    <w:rsid w:val="007D328F"/>
    <w:rsid w:val="007D3507"/>
    <w:rsid w:val="007D5721"/>
    <w:rsid w:val="007D5762"/>
    <w:rsid w:val="007D667E"/>
    <w:rsid w:val="007D69D7"/>
    <w:rsid w:val="007D6F60"/>
    <w:rsid w:val="007D72ED"/>
    <w:rsid w:val="007E0066"/>
    <w:rsid w:val="007E04DE"/>
    <w:rsid w:val="007E1873"/>
    <w:rsid w:val="007E1982"/>
    <w:rsid w:val="007E1BD3"/>
    <w:rsid w:val="007E2089"/>
    <w:rsid w:val="007E2A50"/>
    <w:rsid w:val="007E2CA5"/>
    <w:rsid w:val="007E2DF8"/>
    <w:rsid w:val="007E3AA3"/>
    <w:rsid w:val="007E3CB4"/>
    <w:rsid w:val="007E3EC6"/>
    <w:rsid w:val="007E4C8C"/>
    <w:rsid w:val="007E50FF"/>
    <w:rsid w:val="007E59EE"/>
    <w:rsid w:val="007E5AA6"/>
    <w:rsid w:val="007E5FF2"/>
    <w:rsid w:val="007E6AE0"/>
    <w:rsid w:val="007E6D4A"/>
    <w:rsid w:val="007E6FAC"/>
    <w:rsid w:val="007E7364"/>
    <w:rsid w:val="007E7F9F"/>
    <w:rsid w:val="007F05A3"/>
    <w:rsid w:val="007F0FDA"/>
    <w:rsid w:val="007F2431"/>
    <w:rsid w:val="007F25C2"/>
    <w:rsid w:val="007F3273"/>
    <w:rsid w:val="007F3AA2"/>
    <w:rsid w:val="007F3CC3"/>
    <w:rsid w:val="007F4764"/>
    <w:rsid w:val="007F57DC"/>
    <w:rsid w:val="007F6768"/>
    <w:rsid w:val="007F6961"/>
    <w:rsid w:val="007F6CB0"/>
    <w:rsid w:val="00801D8D"/>
    <w:rsid w:val="0080238A"/>
    <w:rsid w:val="008026E9"/>
    <w:rsid w:val="008034F4"/>
    <w:rsid w:val="00804656"/>
    <w:rsid w:val="00804753"/>
    <w:rsid w:val="0080531B"/>
    <w:rsid w:val="008061BF"/>
    <w:rsid w:val="00806758"/>
    <w:rsid w:val="008068D4"/>
    <w:rsid w:val="00807166"/>
    <w:rsid w:val="0080721E"/>
    <w:rsid w:val="00807EF6"/>
    <w:rsid w:val="00810DF6"/>
    <w:rsid w:val="008110A8"/>
    <w:rsid w:val="00812AAC"/>
    <w:rsid w:val="00812BFF"/>
    <w:rsid w:val="0081357E"/>
    <w:rsid w:val="008135DE"/>
    <w:rsid w:val="0081496D"/>
    <w:rsid w:val="008153EB"/>
    <w:rsid w:val="008158BC"/>
    <w:rsid w:val="00815A98"/>
    <w:rsid w:val="00815BCA"/>
    <w:rsid w:val="008162BC"/>
    <w:rsid w:val="00816C1B"/>
    <w:rsid w:val="00817FF5"/>
    <w:rsid w:val="00820C18"/>
    <w:rsid w:val="00822F23"/>
    <w:rsid w:val="00823390"/>
    <w:rsid w:val="00823630"/>
    <w:rsid w:val="008236EC"/>
    <w:rsid w:val="00823E6A"/>
    <w:rsid w:val="00823ED0"/>
    <w:rsid w:val="00824365"/>
    <w:rsid w:val="0082479C"/>
    <w:rsid w:val="00826B61"/>
    <w:rsid w:val="00827870"/>
    <w:rsid w:val="0083050C"/>
    <w:rsid w:val="00830795"/>
    <w:rsid w:val="00831956"/>
    <w:rsid w:val="00832607"/>
    <w:rsid w:val="00832940"/>
    <w:rsid w:val="00833055"/>
    <w:rsid w:val="00833162"/>
    <w:rsid w:val="008333A7"/>
    <w:rsid w:val="0083400B"/>
    <w:rsid w:val="0083432A"/>
    <w:rsid w:val="00834A95"/>
    <w:rsid w:val="00835083"/>
    <w:rsid w:val="0083598C"/>
    <w:rsid w:val="00835B0A"/>
    <w:rsid w:val="00836518"/>
    <w:rsid w:val="008365FD"/>
    <w:rsid w:val="008378F4"/>
    <w:rsid w:val="00841BFF"/>
    <w:rsid w:val="00843834"/>
    <w:rsid w:val="008438D7"/>
    <w:rsid w:val="008452FE"/>
    <w:rsid w:val="00845FA6"/>
    <w:rsid w:val="0084714E"/>
    <w:rsid w:val="008508AE"/>
    <w:rsid w:val="00850978"/>
    <w:rsid w:val="008509BF"/>
    <w:rsid w:val="00852E63"/>
    <w:rsid w:val="00853782"/>
    <w:rsid w:val="00853C57"/>
    <w:rsid w:val="00853E58"/>
    <w:rsid w:val="00854F2F"/>
    <w:rsid w:val="00855722"/>
    <w:rsid w:val="00855921"/>
    <w:rsid w:val="0085682D"/>
    <w:rsid w:val="00856F99"/>
    <w:rsid w:val="008578AF"/>
    <w:rsid w:val="00860CB8"/>
    <w:rsid w:val="008610F5"/>
    <w:rsid w:val="00861C07"/>
    <w:rsid w:val="00862035"/>
    <w:rsid w:val="00862A54"/>
    <w:rsid w:val="0086326D"/>
    <w:rsid w:val="008638E0"/>
    <w:rsid w:val="008644A1"/>
    <w:rsid w:val="00864906"/>
    <w:rsid w:val="00864CD1"/>
    <w:rsid w:val="00865F5E"/>
    <w:rsid w:val="008669AE"/>
    <w:rsid w:val="00866BFB"/>
    <w:rsid w:val="0086780E"/>
    <w:rsid w:val="00867B60"/>
    <w:rsid w:val="00870926"/>
    <w:rsid w:val="00871ECF"/>
    <w:rsid w:val="00872A2B"/>
    <w:rsid w:val="0087326B"/>
    <w:rsid w:val="00873589"/>
    <w:rsid w:val="0087378F"/>
    <w:rsid w:val="00874336"/>
    <w:rsid w:val="008755E4"/>
    <w:rsid w:val="00875A16"/>
    <w:rsid w:val="008770BA"/>
    <w:rsid w:val="00877657"/>
    <w:rsid w:val="008776E0"/>
    <w:rsid w:val="00880063"/>
    <w:rsid w:val="00881827"/>
    <w:rsid w:val="00881C1B"/>
    <w:rsid w:val="00881F73"/>
    <w:rsid w:val="00883099"/>
    <w:rsid w:val="008831EF"/>
    <w:rsid w:val="008833F3"/>
    <w:rsid w:val="00883428"/>
    <w:rsid w:val="008858C0"/>
    <w:rsid w:val="008859D7"/>
    <w:rsid w:val="00886609"/>
    <w:rsid w:val="00890723"/>
    <w:rsid w:val="00890C81"/>
    <w:rsid w:val="00891003"/>
    <w:rsid w:val="00891291"/>
    <w:rsid w:val="008917FF"/>
    <w:rsid w:val="008919C4"/>
    <w:rsid w:val="00892823"/>
    <w:rsid w:val="008943AB"/>
    <w:rsid w:val="00894FC4"/>
    <w:rsid w:val="00895011"/>
    <w:rsid w:val="008954A9"/>
    <w:rsid w:val="00896294"/>
    <w:rsid w:val="008962FD"/>
    <w:rsid w:val="00896585"/>
    <w:rsid w:val="0089689B"/>
    <w:rsid w:val="00896967"/>
    <w:rsid w:val="00896FA2"/>
    <w:rsid w:val="008A06B3"/>
    <w:rsid w:val="008A06F0"/>
    <w:rsid w:val="008A1679"/>
    <w:rsid w:val="008A195C"/>
    <w:rsid w:val="008A1E18"/>
    <w:rsid w:val="008A1EFD"/>
    <w:rsid w:val="008A2E15"/>
    <w:rsid w:val="008A2EC2"/>
    <w:rsid w:val="008A370C"/>
    <w:rsid w:val="008A3783"/>
    <w:rsid w:val="008A3C71"/>
    <w:rsid w:val="008A3E0D"/>
    <w:rsid w:val="008A3E50"/>
    <w:rsid w:val="008A5D95"/>
    <w:rsid w:val="008A61B4"/>
    <w:rsid w:val="008A657A"/>
    <w:rsid w:val="008A70B4"/>
    <w:rsid w:val="008B002B"/>
    <w:rsid w:val="008B0437"/>
    <w:rsid w:val="008B0647"/>
    <w:rsid w:val="008B25A8"/>
    <w:rsid w:val="008B34E8"/>
    <w:rsid w:val="008B464E"/>
    <w:rsid w:val="008B4775"/>
    <w:rsid w:val="008B4BDD"/>
    <w:rsid w:val="008B520B"/>
    <w:rsid w:val="008B52CF"/>
    <w:rsid w:val="008B72A6"/>
    <w:rsid w:val="008B75AA"/>
    <w:rsid w:val="008C08C2"/>
    <w:rsid w:val="008C10DB"/>
    <w:rsid w:val="008C145D"/>
    <w:rsid w:val="008C1CDF"/>
    <w:rsid w:val="008C24A9"/>
    <w:rsid w:val="008C2594"/>
    <w:rsid w:val="008C30BF"/>
    <w:rsid w:val="008C3E60"/>
    <w:rsid w:val="008C427C"/>
    <w:rsid w:val="008C4602"/>
    <w:rsid w:val="008C4E3F"/>
    <w:rsid w:val="008C513E"/>
    <w:rsid w:val="008C55CD"/>
    <w:rsid w:val="008C5E84"/>
    <w:rsid w:val="008C6101"/>
    <w:rsid w:val="008C62FB"/>
    <w:rsid w:val="008C7189"/>
    <w:rsid w:val="008C7BE3"/>
    <w:rsid w:val="008D0AD8"/>
    <w:rsid w:val="008D0BBD"/>
    <w:rsid w:val="008D0F84"/>
    <w:rsid w:val="008D110E"/>
    <w:rsid w:val="008D19E3"/>
    <w:rsid w:val="008D238C"/>
    <w:rsid w:val="008D2766"/>
    <w:rsid w:val="008D28D9"/>
    <w:rsid w:val="008D3093"/>
    <w:rsid w:val="008D31E7"/>
    <w:rsid w:val="008D400A"/>
    <w:rsid w:val="008D53A5"/>
    <w:rsid w:val="008D5633"/>
    <w:rsid w:val="008D57FE"/>
    <w:rsid w:val="008D6E79"/>
    <w:rsid w:val="008D6F97"/>
    <w:rsid w:val="008D6FA4"/>
    <w:rsid w:val="008D7BB0"/>
    <w:rsid w:val="008E183E"/>
    <w:rsid w:val="008E24CB"/>
    <w:rsid w:val="008E442A"/>
    <w:rsid w:val="008E4CF8"/>
    <w:rsid w:val="008E4D43"/>
    <w:rsid w:val="008E4D50"/>
    <w:rsid w:val="008E4D72"/>
    <w:rsid w:val="008E5BAE"/>
    <w:rsid w:val="008E60F5"/>
    <w:rsid w:val="008E737A"/>
    <w:rsid w:val="008E7421"/>
    <w:rsid w:val="008F00F5"/>
    <w:rsid w:val="008F0F83"/>
    <w:rsid w:val="008F14D5"/>
    <w:rsid w:val="008F1B9E"/>
    <w:rsid w:val="008F3295"/>
    <w:rsid w:val="008F4734"/>
    <w:rsid w:val="008F48ED"/>
    <w:rsid w:val="008F515A"/>
    <w:rsid w:val="008F55B9"/>
    <w:rsid w:val="00900EF1"/>
    <w:rsid w:val="00901C32"/>
    <w:rsid w:val="00901C9E"/>
    <w:rsid w:val="009021CB"/>
    <w:rsid w:val="00902654"/>
    <w:rsid w:val="00902742"/>
    <w:rsid w:val="009038FA"/>
    <w:rsid w:val="00903B6B"/>
    <w:rsid w:val="00904322"/>
    <w:rsid w:val="00904659"/>
    <w:rsid w:val="00904887"/>
    <w:rsid w:val="00905DE1"/>
    <w:rsid w:val="009068E1"/>
    <w:rsid w:val="00910036"/>
    <w:rsid w:val="009121F3"/>
    <w:rsid w:val="00912833"/>
    <w:rsid w:val="0091287D"/>
    <w:rsid w:val="00914D9F"/>
    <w:rsid w:val="00920015"/>
    <w:rsid w:val="0092026F"/>
    <w:rsid w:val="0092033F"/>
    <w:rsid w:val="00921C99"/>
    <w:rsid w:val="00922726"/>
    <w:rsid w:val="00923191"/>
    <w:rsid w:val="00923901"/>
    <w:rsid w:val="00923AF7"/>
    <w:rsid w:val="00923DBD"/>
    <w:rsid w:val="00923DE3"/>
    <w:rsid w:val="00923F75"/>
    <w:rsid w:val="009258B3"/>
    <w:rsid w:val="009259F6"/>
    <w:rsid w:val="00925FF7"/>
    <w:rsid w:val="009266D0"/>
    <w:rsid w:val="00927633"/>
    <w:rsid w:val="00927890"/>
    <w:rsid w:val="00927C30"/>
    <w:rsid w:val="00930092"/>
    <w:rsid w:val="009300AA"/>
    <w:rsid w:val="00930709"/>
    <w:rsid w:val="009311E4"/>
    <w:rsid w:val="009338CF"/>
    <w:rsid w:val="00934B7E"/>
    <w:rsid w:val="0093538F"/>
    <w:rsid w:val="0093579B"/>
    <w:rsid w:val="00935BDF"/>
    <w:rsid w:val="00935E10"/>
    <w:rsid w:val="0093601B"/>
    <w:rsid w:val="00936067"/>
    <w:rsid w:val="009361C1"/>
    <w:rsid w:val="00936BAA"/>
    <w:rsid w:val="00936D13"/>
    <w:rsid w:val="0093785A"/>
    <w:rsid w:val="00937EC5"/>
    <w:rsid w:val="0094011C"/>
    <w:rsid w:val="009404AF"/>
    <w:rsid w:val="009404B8"/>
    <w:rsid w:val="00941396"/>
    <w:rsid w:val="00941F41"/>
    <w:rsid w:val="00942736"/>
    <w:rsid w:val="00942B09"/>
    <w:rsid w:val="009434E1"/>
    <w:rsid w:val="0094357A"/>
    <w:rsid w:val="00944C47"/>
    <w:rsid w:val="00945024"/>
    <w:rsid w:val="00946036"/>
    <w:rsid w:val="009468EB"/>
    <w:rsid w:val="009469AF"/>
    <w:rsid w:val="00950CF7"/>
    <w:rsid w:val="00951964"/>
    <w:rsid w:val="00952BFF"/>
    <w:rsid w:val="00953605"/>
    <w:rsid w:val="00953BA9"/>
    <w:rsid w:val="00953CAE"/>
    <w:rsid w:val="00954070"/>
    <w:rsid w:val="00954DAA"/>
    <w:rsid w:val="009554EE"/>
    <w:rsid w:val="009556C8"/>
    <w:rsid w:val="009556D5"/>
    <w:rsid w:val="009565AC"/>
    <w:rsid w:val="009567F1"/>
    <w:rsid w:val="009569CF"/>
    <w:rsid w:val="00957200"/>
    <w:rsid w:val="0095720D"/>
    <w:rsid w:val="00957D9A"/>
    <w:rsid w:val="00957E3E"/>
    <w:rsid w:val="00960359"/>
    <w:rsid w:val="009611F7"/>
    <w:rsid w:val="0096182A"/>
    <w:rsid w:val="00961989"/>
    <w:rsid w:val="00961F6C"/>
    <w:rsid w:val="009620D5"/>
    <w:rsid w:val="00962245"/>
    <w:rsid w:val="009627EF"/>
    <w:rsid w:val="00962843"/>
    <w:rsid w:val="00962F2C"/>
    <w:rsid w:val="009641BF"/>
    <w:rsid w:val="009644B5"/>
    <w:rsid w:val="00965954"/>
    <w:rsid w:val="00966286"/>
    <w:rsid w:val="0096717B"/>
    <w:rsid w:val="00967523"/>
    <w:rsid w:val="00967C14"/>
    <w:rsid w:val="0097022B"/>
    <w:rsid w:val="009704C1"/>
    <w:rsid w:val="00970CCC"/>
    <w:rsid w:val="00971FC9"/>
    <w:rsid w:val="009726CF"/>
    <w:rsid w:val="0097369B"/>
    <w:rsid w:val="00973B5B"/>
    <w:rsid w:val="0097468D"/>
    <w:rsid w:val="00975DBD"/>
    <w:rsid w:val="009762AA"/>
    <w:rsid w:val="00977AF5"/>
    <w:rsid w:val="00977C95"/>
    <w:rsid w:val="009800E9"/>
    <w:rsid w:val="0098013D"/>
    <w:rsid w:val="00980AB7"/>
    <w:rsid w:val="00980CBF"/>
    <w:rsid w:val="00980D6D"/>
    <w:rsid w:val="00981574"/>
    <w:rsid w:val="0098353C"/>
    <w:rsid w:val="00983576"/>
    <w:rsid w:val="00983EDE"/>
    <w:rsid w:val="00984892"/>
    <w:rsid w:val="00984A17"/>
    <w:rsid w:val="00985063"/>
    <w:rsid w:val="00985993"/>
    <w:rsid w:val="00985F68"/>
    <w:rsid w:val="009864D5"/>
    <w:rsid w:val="0098697A"/>
    <w:rsid w:val="00987CFE"/>
    <w:rsid w:val="00990603"/>
    <w:rsid w:val="0099065B"/>
    <w:rsid w:val="009907A5"/>
    <w:rsid w:val="00991592"/>
    <w:rsid w:val="009918BC"/>
    <w:rsid w:val="00991D29"/>
    <w:rsid w:val="009921C0"/>
    <w:rsid w:val="00992395"/>
    <w:rsid w:val="0099264F"/>
    <w:rsid w:val="009929A0"/>
    <w:rsid w:val="00992B07"/>
    <w:rsid w:val="00992B87"/>
    <w:rsid w:val="009935D0"/>
    <w:rsid w:val="0099455C"/>
    <w:rsid w:val="00994653"/>
    <w:rsid w:val="00994C0A"/>
    <w:rsid w:val="00995386"/>
    <w:rsid w:val="00996B9D"/>
    <w:rsid w:val="0099778E"/>
    <w:rsid w:val="00997CAB"/>
    <w:rsid w:val="00997E27"/>
    <w:rsid w:val="009A0B7F"/>
    <w:rsid w:val="009A0DB7"/>
    <w:rsid w:val="009A255D"/>
    <w:rsid w:val="009A2968"/>
    <w:rsid w:val="009A3496"/>
    <w:rsid w:val="009A37AC"/>
    <w:rsid w:val="009A4813"/>
    <w:rsid w:val="009A57EC"/>
    <w:rsid w:val="009A5984"/>
    <w:rsid w:val="009A668F"/>
    <w:rsid w:val="009A6A44"/>
    <w:rsid w:val="009A6C52"/>
    <w:rsid w:val="009B03BA"/>
    <w:rsid w:val="009B0E34"/>
    <w:rsid w:val="009B169D"/>
    <w:rsid w:val="009B1AC2"/>
    <w:rsid w:val="009B1AD5"/>
    <w:rsid w:val="009B2E05"/>
    <w:rsid w:val="009B2FF8"/>
    <w:rsid w:val="009B37CF"/>
    <w:rsid w:val="009B3F81"/>
    <w:rsid w:val="009B585C"/>
    <w:rsid w:val="009B657F"/>
    <w:rsid w:val="009B65D8"/>
    <w:rsid w:val="009B6D05"/>
    <w:rsid w:val="009B6DCA"/>
    <w:rsid w:val="009B745F"/>
    <w:rsid w:val="009B78C6"/>
    <w:rsid w:val="009C0886"/>
    <w:rsid w:val="009C09EE"/>
    <w:rsid w:val="009C0CB1"/>
    <w:rsid w:val="009C0F1C"/>
    <w:rsid w:val="009C209F"/>
    <w:rsid w:val="009C339E"/>
    <w:rsid w:val="009C3A46"/>
    <w:rsid w:val="009C3D82"/>
    <w:rsid w:val="009C4085"/>
    <w:rsid w:val="009C4519"/>
    <w:rsid w:val="009C4A4B"/>
    <w:rsid w:val="009C4DA0"/>
    <w:rsid w:val="009C5601"/>
    <w:rsid w:val="009C573E"/>
    <w:rsid w:val="009C6C3F"/>
    <w:rsid w:val="009C6CFF"/>
    <w:rsid w:val="009C70D0"/>
    <w:rsid w:val="009D0289"/>
    <w:rsid w:val="009D0958"/>
    <w:rsid w:val="009D0D4A"/>
    <w:rsid w:val="009D19EE"/>
    <w:rsid w:val="009D24CE"/>
    <w:rsid w:val="009D3097"/>
    <w:rsid w:val="009D4038"/>
    <w:rsid w:val="009D50A2"/>
    <w:rsid w:val="009D5E2B"/>
    <w:rsid w:val="009D5F1A"/>
    <w:rsid w:val="009D5F7A"/>
    <w:rsid w:val="009D6432"/>
    <w:rsid w:val="009D65AC"/>
    <w:rsid w:val="009D6968"/>
    <w:rsid w:val="009D6D10"/>
    <w:rsid w:val="009D6E15"/>
    <w:rsid w:val="009D76D1"/>
    <w:rsid w:val="009E026C"/>
    <w:rsid w:val="009E097D"/>
    <w:rsid w:val="009E0B05"/>
    <w:rsid w:val="009E0B75"/>
    <w:rsid w:val="009E0ECB"/>
    <w:rsid w:val="009E121C"/>
    <w:rsid w:val="009E1535"/>
    <w:rsid w:val="009E1769"/>
    <w:rsid w:val="009E1AC0"/>
    <w:rsid w:val="009E260E"/>
    <w:rsid w:val="009E3DE4"/>
    <w:rsid w:val="009E43A7"/>
    <w:rsid w:val="009E4608"/>
    <w:rsid w:val="009E4936"/>
    <w:rsid w:val="009E4AE7"/>
    <w:rsid w:val="009E4F94"/>
    <w:rsid w:val="009E7325"/>
    <w:rsid w:val="009E7992"/>
    <w:rsid w:val="009F0E6C"/>
    <w:rsid w:val="009F170D"/>
    <w:rsid w:val="009F2019"/>
    <w:rsid w:val="009F2D67"/>
    <w:rsid w:val="009F37A6"/>
    <w:rsid w:val="009F3D84"/>
    <w:rsid w:val="009F3F47"/>
    <w:rsid w:val="009F45ED"/>
    <w:rsid w:val="009F536B"/>
    <w:rsid w:val="009F54CD"/>
    <w:rsid w:val="009F5E09"/>
    <w:rsid w:val="009F6090"/>
    <w:rsid w:val="009F6D6B"/>
    <w:rsid w:val="009F6DE8"/>
    <w:rsid w:val="009F7F86"/>
    <w:rsid w:val="00A0028A"/>
    <w:rsid w:val="00A00E96"/>
    <w:rsid w:val="00A019D1"/>
    <w:rsid w:val="00A01DD4"/>
    <w:rsid w:val="00A021ED"/>
    <w:rsid w:val="00A025EA"/>
    <w:rsid w:val="00A02C91"/>
    <w:rsid w:val="00A031ED"/>
    <w:rsid w:val="00A03EE7"/>
    <w:rsid w:val="00A04B23"/>
    <w:rsid w:val="00A04F1D"/>
    <w:rsid w:val="00A05B72"/>
    <w:rsid w:val="00A074BD"/>
    <w:rsid w:val="00A101D6"/>
    <w:rsid w:val="00A108E7"/>
    <w:rsid w:val="00A1095D"/>
    <w:rsid w:val="00A10B2A"/>
    <w:rsid w:val="00A1199B"/>
    <w:rsid w:val="00A121E6"/>
    <w:rsid w:val="00A123EF"/>
    <w:rsid w:val="00A12F26"/>
    <w:rsid w:val="00A13520"/>
    <w:rsid w:val="00A13CBB"/>
    <w:rsid w:val="00A14C18"/>
    <w:rsid w:val="00A1501F"/>
    <w:rsid w:val="00A1536E"/>
    <w:rsid w:val="00A15B09"/>
    <w:rsid w:val="00A16BA9"/>
    <w:rsid w:val="00A17249"/>
    <w:rsid w:val="00A211D7"/>
    <w:rsid w:val="00A214DB"/>
    <w:rsid w:val="00A216A6"/>
    <w:rsid w:val="00A22420"/>
    <w:rsid w:val="00A225D8"/>
    <w:rsid w:val="00A23572"/>
    <w:rsid w:val="00A237D3"/>
    <w:rsid w:val="00A237DD"/>
    <w:rsid w:val="00A25362"/>
    <w:rsid w:val="00A257CD"/>
    <w:rsid w:val="00A257DC"/>
    <w:rsid w:val="00A26DD7"/>
    <w:rsid w:val="00A272E9"/>
    <w:rsid w:val="00A2763A"/>
    <w:rsid w:val="00A27F8C"/>
    <w:rsid w:val="00A307F4"/>
    <w:rsid w:val="00A326C4"/>
    <w:rsid w:val="00A33007"/>
    <w:rsid w:val="00A34119"/>
    <w:rsid w:val="00A348A3"/>
    <w:rsid w:val="00A34B7F"/>
    <w:rsid w:val="00A357BB"/>
    <w:rsid w:val="00A35F9B"/>
    <w:rsid w:val="00A360F4"/>
    <w:rsid w:val="00A37413"/>
    <w:rsid w:val="00A37436"/>
    <w:rsid w:val="00A4084B"/>
    <w:rsid w:val="00A4086B"/>
    <w:rsid w:val="00A43CE7"/>
    <w:rsid w:val="00A43D8D"/>
    <w:rsid w:val="00A440F3"/>
    <w:rsid w:val="00A45B8F"/>
    <w:rsid w:val="00A45E6E"/>
    <w:rsid w:val="00A466B1"/>
    <w:rsid w:val="00A501AA"/>
    <w:rsid w:val="00A51D20"/>
    <w:rsid w:val="00A52765"/>
    <w:rsid w:val="00A52E58"/>
    <w:rsid w:val="00A55E33"/>
    <w:rsid w:val="00A57121"/>
    <w:rsid w:val="00A61604"/>
    <w:rsid w:val="00A62B74"/>
    <w:rsid w:val="00A634B2"/>
    <w:rsid w:val="00A64035"/>
    <w:rsid w:val="00A64FD0"/>
    <w:rsid w:val="00A6548A"/>
    <w:rsid w:val="00A655ED"/>
    <w:rsid w:val="00A66496"/>
    <w:rsid w:val="00A66ABB"/>
    <w:rsid w:val="00A67A8C"/>
    <w:rsid w:val="00A702BC"/>
    <w:rsid w:val="00A7066F"/>
    <w:rsid w:val="00A71946"/>
    <w:rsid w:val="00A71A99"/>
    <w:rsid w:val="00A734E6"/>
    <w:rsid w:val="00A73C1D"/>
    <w:rsid w:val="00A7529F"/>
    <w:rsid w:val="00A7572F"/>
    <w:rsid w:val="00A75906"/>
    <w:rsid w:val="00A75FEE"/>
    <w:rsid w:val="00A82984"/>
    <w:rsid w:val="00A83A39"/>
    <w:rsid w:val="00A83C90"/>
    <w:rsid w:val="00A84254"/>
    <w:rsid w:val="00A84B8D"/>
    <w:rsid w:val="00A85254"/>
    <w:rsid w:val="00A85281"/>
    <w:rsid w:val="00A8546C"/>
    <w:rsid w:val="00A85585"/>
    <w:rsid w:val="00A855E8"/>
    <w:rsid w:val="00A8735F"/>
    <w:rsid w:val="00A87B20"/>
    <w:rsid w:val="00A90C33"/>
    <w:rsid w:val="00A9199A"/>
    <w:rsid w:val="00A93473"/>
    <w:rsid w:val="00A93EA1"/>
    <w:rsid w:val="00A945C6"/>
    <w:rsid w:val="00A94E86"/>
    <w:rsid w:val="00A9519D"/>
    <w:rsid w:val="00A954EF"/>
    <w:rsid w:val="00A95F0E"/>
    <w:rsid w:val="00A9654A"/>
    <w:rsid w:val="00A9683E"/>
    <w:rsid w:val="00A97DEE"/>
    <w:rsid w:val="00AA0A36"/>
    <w:rsid w:val="00AA242C"/>
    <w:rsid w:val="00AA28E7"/>
    <w:rsid w:val="00AA379F"/>
    <w:rsid w:val="00AA3C59"/>
    <w:rsid w:val="00AA3D90"/>
    <w:rsid w:val="00AA3E16"/>
    <w:rsid w:val="00AA5C63"/>
    <w:rsid w:val="00AA5DB6"/>
    <w:rsid w:val="00AA694A"/>
    <w:rsid w:val="00AA6A36"/>
    <w:rsid w:val="00AB051B"/>
    <w:rsid w:val="00AB0A20"/>
    <w:rsid w:val="00AB0A35"/>
    <w:rsid w:val="00AB0EE4"/>
    <w:rsid w:val="00AB1293"/>
    <w:rsid w:val="00AB14B6"/>
    <w:rsid w:val="00AB166E"/>
    <w:rsid w:val="00AB16C8"/>
    <w:rsid w:val="00AB171B"/>
    <w:rsid w:val="00AB1D82"/>
    <w:rsid w:val="00AB2015"/>
    <w:rsid w:val="00AB2632"/>
    <w:rsid w:val="00AB2B7E"/>
    <w:rsid w:val="00AB2D65"/>
    <w:rsid w:val="00AB335B"/>
    <w:rsid w:val="00AB4367"/>
    <w:rsid w:val="00AB4A5B"/>
    <w:rsid w:val="00AB6113"/>
    <w:rsid w:val="00AB7B4D"/>
    <w:rsid w:val="00AC133A"/>
    <w:rsid w:val="00AC191B"/>
    <w:rsid w:val="00AC1AEF"/>
    <w:rsid w:val="00AC1ED6"/>
    <w:rsid w:val="00AC21DF"/>
    <w:rsid w:val="00AC35D6"/>
    <w:rsid w:val="00AC37CC"/>
    <w:rsid w:val="00AC3CBD"/>
    <w:rsid w:val="00AC4FB7"/>
    <w:rsid w:val="00AC6B62"/>
    <w:rsid w:val="00AC6CE9"/>
    <w:rsid w:val="00AC7028"/>
    <w:rsid w:val="00AC7F4D"/>
    <w:rsid w:val="00AD08B8"/>
    <w:rsid w:val="00AD1B34"/>
    <w:rsid w:val="00AD221D"/>
    <w:rsid w:val="00AD2701"/>
    <w:rsid w:val="00AD27DE"/>
    <w:rsid w:val="00AD4056"/>
    <w:rsid w:val="00AD45AE"/>
    <w:rsid w:val="00AD590B"/>
    <w:rsid w:val="00AD5A5E"/>
    <w:rsid w:val="00AD6189"/>
    <w:rsid w:val="00AD731C"/>
    <w:rsid w:val="00AD7AEC"/>
    <w:rsid w:val="00AD7D0B"/>
    <w:rsid w:val="00AE0689"/>
    <w:rsid w:val="00AE0A1E"/>
    <w:rsid w:val="00AE4650"/>
    <w:rsid w:val="00AE5AE0"/>
    <w:rsid w:val="00AE5B3C"/>
    <w:rsid w:val="00AE61E3"/>
    <w:rsid w:val="00AE66DB"/>
    <w:rsid w:val="00AE67BB"/>
    <w:rsid w:val="00AE693F"/>
    <w:rsid w:val="00AE704C"/>
    <w:rsid w:val="00AE7161"/>
    <w:rsid w:val="00AE7403"/>
    <w:rsid w:val="00AE7443"/>
    <w:rsid w:val="00AE74DC"/>
    <w:rsid w:val="00AF0CD6"/>
    <w:rsid w:val="00AF1229"/>
    <w:rsid w:val="00AF21E4"/>
    <w:rsid w:val="00AF2F66"/>
    <w:rsid w:val="00AF4768"/>
    <w:rsid w:val="00AF4905"/>
    <w:rsid w:val="00AF4CE7"/>
    <w:rsid w:val="00AF5725"/>
    <w:rsid w:val="00AF64F3"/>
    <w:rsid w:val="00AF707E"/>
    <w:rsid w:val="00AF75E0"/>
    <w:rsid w:val="00AF77F5"/>
    <w:rsid w:val="00B00A6C"/>
    <w:rsid w:val="00B01757"/>
    <w:rsid w:val="00B017F6"/>
    <w:rsid w:val="00B01ED0"/>
    <w:rsid w:val="00B02015"/>
    <w:rsid w:val="00B0327E"/>
    <w:rsid w:val="00B03949"/>
    <w:rsid w:val="00B05613"/>
    <w:rsid w:val="00B057A0"/>
    <w:rsid w:val="00B065B4"/>
    <w:rsid w:val="00B06D83"/>
    <w:rsid w:val="00B07FDF"/>
    <w:rsid w:val="00B1074E"/>
    <w:rsid w:val="00B10FD7"/>
    <w:rsid w:val="00B1135D"/>
    <w:rsid w:val="00B11391"/>
    <w:rsid w:val="00B1192D"/>
    <w:rsid w:val="00B11A43"/>
    <w:rsid w:val="00B1217E"/>
    <w:rsid w:val="00B12732"/>
    <w:rsid w:val="00B12E98"/>
    <w:rsid w:val="00B1338C"/>
    <w:rsid w:val="00B13E16"/>
    <w:rsid w:val="00B14ADD"/>
    <w:rsid w:val="00B14BDF"/>
    <w:rsid w:val="00B15728"/>
    <w:rsid w:val="00B15F03"/>
    <w:rsid w:val="00B15F0E"/>
    <w:rsid w:val="00B1605D"/>
    <w:rsid w:val="00B17239"/>
    <w:rsid w:val="00B17574"/>
    <w:rsid w:val="00B17EC4"/>
    <w:rsid w:val="00B202FA"/>
    <w:rsid w:val="00B20486"/>
    <w:rsid w:val="00B208AF"/>
    <w:rsid w:val="00B21061"/>
    <w:rsid w:val="00B2111D"/>
    <w:rsid w:val="00B21308"/>
    <w:rsid w:val="00B216A8"/>
    <w:rsid w:val="00B22F2B"/>
    <w:rsid w:val="00B230D3"/>
    <w:rsid w:val="00B24A6E"/>
    <w:rsid w:val="00B25102"/>
    <w:rsid w:val="00B25666"/>
    <w:rsid w:val="00B27245"/>
    <w:rsid w:val="00B27524"/>
    <w:rsid w:val="00B277F7"/>
    <w:rsid w:val="00B27801"/>
    <w:rsid w:val="00B27BA6"/>
    <w:rsid w:val="00B31967"/>
    <w:rsid w:val="00B3240A"/>
    <w:rsid w:val="00B3250E"/>
    <w:rsid w:val="00B32BF5"/>
    <w:rsid w:val="00B33470"/>
    <w:rsid w:val="00B33BCF"/>
    <w:rsid w:val="00B34611"/>
    <w:rsid w:val="00B350F7"/>
    <w:rsid w:val="00B35397"/>
    <w:rsid w:val="00B35E5C"/>
    <w:rsid w:val="00B36053"/>
    <w:rsid w:val="00B36A9E"/>
    <w:rsid w:val="00B36CB1"/>
    <w:rsid w:val="00B373AE"/>
    <w:rsid w:val="00B4022C"/>
    <w:rsid w:val="00B40345"/>
    <w:rsid w:val="00B406EA"/>
    <w:rsid w:val="00B410EC"/>
    <w:rsid w:val="00B41216"/>
    <w:rsid w:val="00B4138D"/>
    <w:rsid w:val="00B419C0"/>
    <w:rsid w:val="00B433CA"/>
    <w:rsid w:val="00B434CA"/>
    <w:rsid w:val="00B455ED"/>
    <w:rsid w:val="00B478EC"/>
    <w:rsid w:val="00B520C7"/>
    <w:rsid w:val="00B52926"/>
    <w:rsid w:val="00B52D18"/>
    <w:rsid w:val="00B537FF"/>
    <w:rsid w:val="00B53A60"/>
    <w:rsid w:val="00B54BD2"/>
    <w:rsid w:val="00B55FB9"/>
    <w:rsid w:val="00B5620F"/>
    <w:rsid w:val="00B565E5"/>
    <w:rsid w:val="00B57184"/>
    <w:rsid w:val="00B57972"/>
    <w:rsid w:val="00B57D43"/>
    <w:rsid w:val="00B60325"/>
    <w:rsid w:val="00B60A83"/>
    <w:rsid w:val="00B61447"/>
    <w:rsid w:val="00B61BFA"/>
    <w:rsid w:val="00B62307"/>
    <w:rsid w:val="00B63941"/>
    <w:rsid w:val="00B63B94"/>
    <w:rsid w:val="00B641A9"/>
    <w:rsid w:val="00B64B73"/>
    <w:rsid w:val="00B65366"/>
    <w:rsid w:val="00B65D13"/>
    <w:rsid w:val="00B6688F"/>
    <w:rsid w:val="00B66D64"/>
    <w:rsid w:val="00B70702"/>
    <w:rsid w:val="00B7071C"/>
    <w:rsid w:val="00B721C8"/>
    <w:rsid w:val="00B721F2"/>
    <w:rsid w:val="00B72824"/>
    <w:rsid w:val="00B72E82"/>
    <w:rsid w:val="00B732CA"/>
    <w:rsid w:val="00B7342D"/>
    <w:rsid w:val="00B73C0E"/>
    <w:rsid w:val="00B747C5"/>
    <w:rsid w:val="00B75F2F"/>
    <w:rsid w:val="00B76E9A"/>
    <w:rsid w:val="00B7734E"/>
    <w:rsid w:val="00B80A0E"/>
    <w:rsid w:val="00B80DAA"/>
    <w:rsid w:val="00B8239E"/>
    <w:rsid w:val="00B82B84"/>
    <w:rsid w:val="00B82D33"/>
    <w:rsid w:val="00B831AB"/>
    <w:rsid w:val="00B83D75"/>
    <w:rsid w:val="00B840C0"/>
    <w:rsid w:val="00B84832"/>
    <w:rsid w:val="00B850E2"/>
    <w:rsid w:val="00B85F84"/>
    <w:rsid w:val="00B87825"/>
    <w:rsid w:val="00B904C1"/>
    <w:rsid w:val="00B9058E"/>
    <w:rsid w:val="00B91239"/>
    <w:rsid w:val="00B92C75"/>
    <w:rsid w:val="00B93269"/>
    <w:rsid w:val="00B934AF"/>
    <w:rsid w:val="00B93746"/>
    <w:rsid w:val="00B937D8"/>
    <w:rsid w:val="00B93B1D"/>
    <w:rsid w:val="00B93F13"/>
    <w:rsid w:val="00B94991"/>
    <w:rsid w:val="00B95389"/>
    <w:rsid w:val="00B95E9A"/>
    <w:rsid w:val="00B96B0B"/>
    <w:rsid w:val="00BA1928"/>
    <w:rsid w:val="00BA22DE"/>
    <w:rsid w:val="00BA2412"/>
    <w:rsid w:val="00BA24A8"/>
    <w:rsid w:val="00BA25C0"/>
    <w:rsid w:val="00BA5416"/>
    <w:rsid w:val="00BA563E"/>
    <w:rsid w:val="00BA5EC9"/>
    <w:rsid w:val="00BA74F8"/>
    <w:rsid w:val="00BA7774"/>
    <w:rsid w:val="00BA7FF0"/>
    <w:rsid w:val="00BB00CC"/>
    <w:rsid w:val="00BB0AE0"/>
    <w:rsid w:val="00BB1446"/>
    <w:rsid w:val="00BB1A29"/>
    <w:rsid w:val="00BB2382"/>
    <w:rsid w:val="00BB2BFC"/>
    <w:rsid w:val="00BB2FB3"/>
    <w:rsid w:val="00BB3087"/>
    <w:rsid w:val="00BB3328"/>
    <w:rsid w:val="00BB3D9D"/>
    <w:rsid w:val="00BB40C6"/>
    <w:rsid w:val="00BB4255"/>
    <w:rsid w:val="00BB5B6D"/>
    <w:rsid w:val="00BB5D0F"/>
    <w:rsid w:val="00BB5F04"/>
    <w:rsid w:val="00BB65CC"/>
    <w:rsid w:val="00BB6647"/>
    <w:rsid w:val="00BB7733"/>
    <w:rsid w:val="00BB7FF8"/>
    <w:rsid w:val="00BC0EE5"/>
    <w:rsid w:val="00BC1A32"/>
    <w:rsid w:val="00BC2281"/>
    <w:rsid w:val="00BC282A"/>
    <w:rsid w:val="00BC2963"/>
    <w:rsid w:val="00BC2CE9"/>
    <w:rsid w:val="00BC3B02"/>
    <w:rsid w:val="00BC49C3"/>
    <w:rsid w:val="00BC4F4D"/>
    <w:rsid w:val="00BC5C0A"/>
    <w:rsid w:val="00BC6A82"/>
    <w:rsid w:val="00BC6CCE"/>
    <w:rsid w:val="00BD0497"/>
    <w:rsid w:val="00BD1993"/>
    <w:rsid w:val="00BD2960"/>
    <w:rsid w:val="00BD2A22"/>
    <w:rsid w:val="00BD355E"/>
    <w:rsid w:val="00BD3B69"/>
    <w:rsid w:val="00BD3E44"/>
    <w:rsid w:val="00BD50E9"/>
    <w:rsid w:val="00BD6070"/>
    <w:rsid w:val="00BD6212"/>
    <w:rsid w:val="00BD76AB"/>
    <w:rsid w:val="00BD7AB0"/>
    <w:rsid w:val="00BE0320"/>
    <w:rsid w:val="00BE0EE5"/>
    <w:rsid w:val="00BE2030"/>
    <w:rsid w:val="00BE29AA"/>
    <w:rsid w:val="00BE4093"/>
    <w:rsid w:val="00BE46F4"/>
    <w:rsid w:val="00BE4FAB"/>
    <w:rsid w:val="00BE4FB8"/>
    <w:rsid w:val="00BE5112"/>
    <w:rsid w:val="00BE537E"/>
    <w:rsid w:val="00BE5C60"/>
    <w:rsid w:val="00BE5D09"/>
    <w:rsid w:val="00BE5EAA"/>
    <w:rsid w:val="00BE6D75"/>
    <w:rsid w:val="00BE718F"/>
    <w:rsid w:val="00BE72D5"/>
    <w:rsid w:val="00BE73BD"/>
    <w:rsid w:val="00BE7556"/>
    <w:rsid w:val="00BE756D"/>
    <w:rsid w:val="00BE78B0"/>
    <w:rsid w:val="00BF01B7"/>
    <w:rsid w:val="00BF075D"/>
    <w:rsid w:val="00BF17C9"/>
    <w:rsid w:val="00BF18F4"/>
    <w:rsid w:val="00BF2EC1"/>
    <w:rsid w:val="00BF3275"/>
    <w:rsid w:val="00BF3650"/>
    <w:rsid w:val="00BF4962"/>
    <w:rsid w:val="00BF556D"/>
    <w:rsid w:val="00C01957"/>
    <w:rsid w:val="00C02008"/>
    <w:rsid w:val="00C02919"/>
    <w:rsid w:val="00C03215"/>
    <w:rsid w:val="00C04511"/>
    <w:rsid w:val="00C04AA5"/>
    <w:rsid w:val="00C053B7"/>
    <w:rsid w:val="00C0550D"/>
    <w:rsid w:val="00C05B5C"/>
    <w:rsid w:val="00C06BCC"/>
    <w:rsid w:val="00C06CA2"/>
    <w:rsid w:val="00C0781E"/>
    <w:rsid w:val="00C07CDF"/>
    <w:rsid w:val="00C102D1"/>
    <w:rsid w:val="00C10E0A"/>
    <w:rsid w:val="00C1171D"/>
    <w:rsid w:val="00C11847"/>
    <w:rsid w:val="00C11BB6"/>
    <w:rsid w:val="00C11D17"/>
    <w:rsid w:val="00C1216F"/>
    <w:rsid w:val="00C121E8"/>
    <w:rsid w:val="00C12845"/>
    <w:rsid w:val="00C1377D"/>
    <w:rsid w:val="00C13EDC"/>
    <w:rsid w:val="00C148F2"/>
    <w:rsid w:val="00C14CEE"/>
    <w:rsid w:val="00C15216"/>
    <w:rsid w:val="00C1553B"/>
    <w:rsid w:val="00C1631A"/>
    <w:rsid w:val="00C163DE"/>
    <w:rsid w:val="00C16C25"/>
    <w:rsid w:val="00C173EA"/>
    <w:rsid w:val="00C227C1"/>
    <w:rsid w:val="00C23F53"/>
    <w:rsid w:val="00C24002"/>
    <w:rsid w:val="00C24A7C"/>
    <w:rsid w:val="00C25685"/>
    <w:rsid w:val="00C26258"/>
    <w:rsid w:val="00C2765A"/>
    <w:rsid w:val="00C278E7"/>
    <w:rsid w:val="00C319CE"/>
    <w:rsid w:val="00C31A9E"/>
    <w:rsid w:val="00C31DA5"/>
    <w:rsid w:val="00C32218"/>
    <w:rsid w:val="00C331EC"/>
    <w:rsid w:val="00C35019"/>
    <w:rsid w:val="00C353D8"/>
    <w:rsid w:val="00C36B55"/>
    <w:rsid w:val="00C36EB9"/>
    <w:rsid w:val="00C36FF3"/>
    <w:rsid w:val="00C37983"/>
    <w:rsid w:val="00C4054D"/>
    <w:rsid w:val="00C40AA3"/>
    <w:rsid w:val="00C418FF"/>
    <w:rsid w:val="00C41F2E"/>
    <w:rsid w:val="00C42B9E"/>
    <w:rsid w:val="00C42BB9"/>
    <w:rsid w:val="00C430C3"/>
    <w:rsid w:val="00C436EB"/>
    <w:rsid w:val="00C43CF6"/>
    <w:rsid w:val="00C43F7D"/>
    <w:rsid w:val="00C4495E"/>
    <w:rsid w:val="00C44FE7"/>
    <w:rsid w:val="00C45536"/>
    <w:rsid w:val="00C4620D"/>
    <w:rsid w:val="00C478EB"/>
    <w:rsid w:val="00C47E63"/>
    <w:rsid w:val="00C50D8A"/>
    <w:rsid w:val="00C51012"/>
    <w:rsid w:val="00C51C09"/>
    <w:rsid w:val="00C52108"/>
    <w:rsid w:val="00C52330"/>
    <w:rsid w:val="00C5251A"/>
    <w:rsid w:val="00C529A6"/>
    <w:rsid w:val="00C52DB3"/>
    <w:rsid w:val="00C53582"/>
    <w:rsid w:val="00C54014"/>
    <w:rsid w:val="00C5433E"/>
    <w:rsid w:val="00C5517B"/>
    <w:rsid w:val="00C552AC"/>
    <w:rsid w:val="00C558DD"/>
    <w:rsid w:val="00C56457"/>
    <w:rsid w:val="00C56E9F"/>
    <w:rsid w:val="00C57655"/>
    <w:rsid w:val="00C57A86"/>
    <w:rsid w:val="00C60276"/>
    <w:rsid w:val="00C603B6"/>
    <w:rsid w:val="00C605D4"/>
    <w:rsid w:val="00C60812"/>
    <w:rsid w:val="00C60B01"/>
    <w:rsid w:val="00C615A8"/>
    <w:rsid w:val="00C642A0"/>
    <w:rsid w:val="00C64B65"/>
    <w:rsid w:val="00C65814"/>
    <w:rsid w:val="00C65DC3"/>
    <w:rsid w:val="00C6608E"/>
    <w:rsid w:val="00C66FAE"/>
    <w:rsid w:val="00C67BAC"/>
    <w:rsid w:val="00C70F04"/>
    <w:rsid w:val="00C70F6F"/>
    <w:rsid w:val="00C7115E"/>
    <w:rsid w:val="00C71293"/>
    <w:rsid w:val="00C71553"/>
    <w:rsid w:val="00C71749"/>
    <w:rsid w:val="00C71824"/>
    <w:rsid w:val="00C72A91"/>
    <w:rsid w:val="00C730EA"/>
    <w:rsid w:val="00C731B9"/>
    <w:rsid w:val="00C73AE6"/>
    <w:rsid w:val="00C754C5"/>
    <w:rsid w:val="00C756DB"/>
    <w:rsid w:val="00C75ACB"/>
    <w:rsid w:val="00C76687"/>
    <w:rsid w:val="00C770C1"/>
    <w:rsid w:val="00C80775"/>
    <w:rsid w:val="00C81400"/>
    <w:rsid w:val="00C81543"/>
    <w:rsid w:val="00C838F0"/>
    <w:rsid w:val="00C84965"/>
    <w:rsid w:val="00C84FAA"/>
    <w:rsid w:val="00C85278"/>
    <w:rsid w:val="00C856EB"/>
    <w:rsid w:val="00C85792"/>
    <w:rsid w:val="00C85BEC"/>
    <w:rsid w:val="00C86412"/>
    <w:rsid w:val="00C905DA"/>
    <w:rsid w:val="00C9079C"/>
    <w:rsid w:val="00C90EEE"/>
    <w:rsid w:val="00C91119"/>
    <w:rsid w:val="00C91156"/>
    <w:rsid w:val="00C9175E"/>
    <w:rsid w:val="00C919B1"/>
    <w:rsid w:val="00C91D4A"/>
    <w:rsid w:val="00C92231"/>
    <w:rsid w:val="00C930D2"/>
    <w:rsid w:val="00C93A46"/>
    <w:rsid w:val="00C944BA"/>
    <w:rsid w:val="00C955E2"/>
    <w:rsid w:val="00C979D8"/>
    <w:rsid w:val="00CA000C"/>
    <w:rsid w:val="00CA177A"/>
    <w:rsid w:val="00CA2AA6"/>
    <w:rsid w:val="00CA3335"/>
    <w:rsid w:val="00CA3478"/>
    <w:rsid w:val="00CA3BE9"/>
    <w:rsid w:val="00CA3E57"/>
    <w:rsid w:val="00CA41DF"/>
    <w:rsid w:val="00CA4666"/>
    <w:rsid w:val="00CA4A8E"/>
    <w:rsid w:val="00CA73BB"/>
    <w:rsid w:val="00CA7619"/>
    <w:rsid w:val="00CB058B"/>
    <w:rsid w:val="00CB1678"/>
    <w:rsid w:val="00CB183A"/>
    <w:rsid w:val="00CB1F76"/>
    <w:rsid w:val="00CB20EC"/>
    <w:rsid w:val="00CB28CE"/>
    <w:rsid w:val="00CB2FCA"/>
    <w:rsid w:val="00CB3267"/>
    <w:rsid w:val="00CB499D"/>
    <w:rsid w:val="00CB4B79"/>
    <w:rsid w:val="00CB5758"/>
    <w:rsid w:val="00CB57F4"/>
    <w:rsid w:val="00CB668D"/>
    <w:rsid w:val="00CB7719"/>
    <w:rsid w:val="00CB78C2"/>
    <w:rsid w:val="00CC2433"/>
    <w:rsid w:val="00CC2B28"/>
    <w:rsid w:val="00CC2C6A"/>
    <w:rsid w:val="00CC3797"/>
    <w:rsid w:val="00CC4763"/>
    <w:rsid w:val="00CC4A83"/>
    <w:rsid w:val="00CC4D68"/>
    <w:rsid w:val="00CC533C"/>
    <w:rsid w:val="00CC551C"/>
    <w:rsid w:val="00CC56B4"/>
    <w:rsid w:val="00CC58BF"/>
    <w:rsid w:val="00CC5FCA"/>
    <w:rsid w:val="00CC6786"/>
    <w:rsid w:val="00CC6971"/>
    <w:rsid w:val="00CC6F58"/>
    <w:rsid w:val="00CC6FA9"/>
    <w:rsid w:val="00CD0406"/>
    <w:rsid w:val="00CD0641"/>
    <w:rsid w:val="00CD06E3"/>
    <w:rsid w:val="00CD1AD9"/>
    <w:rsid w:val="00CD35AF"/>
    <w:rsid w:val="00CD47D7"/>
    <w:rsid w:val="00CD6F26"/>
    <w:rsid w:val="00CD7263"/>
    <w:rsid w:val="00CD75F3"/>
    <w:rsid w:val="00CD7639"/>
    <w:rsid w:val="00CD7F3C"/>
    <w:rsid w:val="00CE0DBE"/>
    <w:rsid w:val="00CE3433"/>
    <w:rsid w:val="00CE47F3"/>
    <w:rsid w:val="00CE54FF"/>
    <w:rsid w:val="00CE5904"/>
    <w:rsid w:val="00CE5BCF"/>
    <w:rsid w:val="00CF1048"/>
    <w:rsid w:val="00CF3E8E"/>
    <w:rsid w:val="00CF5BD7"/>
    <w:rsid w:val="00CF647A"/>
    <w:rsid w:val="00CF6CC1"/>
    <w:rsid w:val="00CF6EBF"/>
    <w:rsid w:val="00CF76E2"/>
    <w:rsid w:val="00CF7E5C"/>
    <w:rsid w:val="00D009CE"/>
    <w:rsid w:val="00D00EB6"/>
    <w:rsid w:val="00D01C32"/>
    <w:rsid w:val="00D01EE2"/>
    <w:rsid w:val="00D0315A"/>
    <w:rsid w:val="00D03D76"/>
    <w:rsid w:val="00D046D1"/>
    <w:rsid w:val="00D060FB"/>
    <w:rsid w:val="00D064A5"/>
    <w:rsid w:val="00D071C0"/>
    <w:rsid w:val="00D11682"/>
    <w:rsid w:val="00D116C9"/>
    <w:rsid w:val="00D14294"/>
    <w:rsid w:val="00D152C1"/>
    <w:rsid w:val="00D15AEF"/>
    <w:rsid w:val="00D15B9A"/>
    <w:rsid w:val="00D17966"/>
    <w:rsid w:val="00D219CD"/>
    <w:rsid w:val="00D2276F"/>
    <w:rsid w:val="00D230FB"/>
    <w:rsid w:val="00D24EF9"/>
    <w:rsid w:val="00D2506F"/>
    <w:rsid w:val="00D259EA"/>
    <w:rsid w:val="00D25DEF"/>
    <w:rsid w:val="00D25FF5"/>
    <w:rsid w:val="00D262D4"/>
    <w:rsid w:val="00D267B9"/>
    <w:rsid w:val="00D26F2B"/>
    <w:rsid w:val="00D27322"/>
    <w:rsid w:val="00D27ABE"/>
    <w:rsid w:val="00D301AE"/>
    <w:rsid w:val="00D30B73"/>
    <w:rsid w:val="00D30C3B"/>
    <w:rsid w:val="00D320BC"/>
    <w:rsid w:val="00D32764"/>
    <w:rsid w:val="00D33006"/>
    <w:rsid w:val="00D33910"/>
    <w:rsid w:val="00D33A52"/>
    <w:rsid w:val="00D33C9D"/>
    <w:rsid w:val="00D35443"/>
    <w:rsid w:val="00D3627E"/>
    <w:rsid w:val="00D3631E"/>
    <w:rsid w:val="00D36A4A"/>
    <w:rsid w:val="00D37073"/>
    <w:rsid w:val="00D37515"/>
    <w:rsid w:val="00D37C34"/>
    <w:rsid w:val="00D417EB"/>
    <w:rsid w:val="00D41B27"/>
    <w:rsid w:val="00D42448"/>
    <w:rsid w:val="00D427AC"/>
    <w:rsid w:val="00D42917"/>
    <w:rsid w:val="00D42A85"/>
    <w:rsid w:val="00D441BD"/>
    <w:rsid w:val="00D447A5"/>
    <w:rsid w:val="00D44D37"/>
    <w:rsid w:val="00D44F0F"/>
    <w:rsid w:val="00D45284"/>
    <w:rsid w:val="00D46215"/>
    <w:rsid w:val="00D46404"/>
    <w:rsid w:val="00D47042"/>
    <w:rsid w:val="00D47691"/>
    <w:rsid w:val="00D47EEC"/>
    <w:rsid w:val="00D50AD8"/>
    <w:rsid w:val="00D50F50"/>
    <w:rsid w:val="00D51C9F"/>
    <w:rsid w:val="00D51E83"/>
    <w:rsid w:val="00D525AE"/>
    <w:rsid w:val="00D53D6B"/>
    <w:rsid w:val="00D54AB6"/>
    <w:rsid w:val="00D55640"/>
    <w:rsid w:val="00D5589D"/>
    <w:rsid w:val="00D56B6F"/>
    <w:rsid w:val="00D57011"/>
    <w:rsid w:val="00D57188"/>
    <w:rsid w:val="00D574C3"/>
    <w:rsid w:val="00D602D1"/>
    <w:rsid w:val="00D6136E"/>
    <w:rsid w:val="00D62383"/>
    <w:rsid w:val="00D62C30"/>
    <w:rsid w:val="00D6357A"/>
    <w:rsid w:val="00D63BA1"/>
    <w:rsid w:val="00D63E19"/>
    <w:rsid w:val="00D64245"/>
    <w:rsid w:val="00D6436F"/>
    <w:rsid w:val="00D64A44"/>
    <w:rsid w:val="00D652F7"/>
    <w:rsid w:val="00D665AE"/>
    <w:rsid w:val="00D679C2"/>
    <w:rsid w:val="00D702DA"/>
    <w:rsid w:val="00D711C1"/>
    <w:rsid w:val="00D7248F"/>
    <w:rsid w:val="00D727FB"/>
    <w:rsid w:val="00D7479C"/>
    <w:rsid w:val="00D75323"/>
    <w:rsid w:val="00D7768A"/>
    <w:rsid w:val="00D776CB"/>
    <w:rsid w:val="00D810F3"/>
    <w:rsid w:val="00D815C9"/>
    <w:rsid w:val="00D81900"/>
    <w:rsid w:val="00D819D5"/>
    <w:rsid w:val="00D81DAC"/>
    <w:rsid w:val="00D81F17"/>
    <w:rsid w:val="00D82214"/>
    <w:rsid w:val="00D84856"/>
    <w:rsid w:val="00D84960"/>
    <w:rsid w:val="00D849CA"/>
    <w:rsid w:val="00D84CE2"/>
    <w:rsid w:val="00D853F6"/>
    <w:rsid w:val="00D8575A"/>
    <w:rsid w:val="00D86BD7"/>
    <w:rsid w:val="00D87E3C"/>
    <w:rsid w:val="00D9058A"/>
    <w:rsid w:val="00D9115A"/>
    <w:rsid w:val="00D911E9"/>
    <w:rsid w:val="00D9176C"/>
    <w:rsid w:val="00D932E5"/>
    <w:rsid w:val="00D936F0"/>
    <w:rsid w:val="00D93BB7"/>
    <w:rsid w:val="00D93CC5"/>
    <w:rsid w:val="00D93DD0"/>
    <w:rsid w:val="00D945BF"/>
    <w:rsid w:val="00D97A98"/>
    <w:rsid w:val="00D97DE7"/>
    <w:rsid w:val="00DA0F2C"/>
    <w:rsid w:val="00DA1B40"/>
    <w:rsid w:val="00DA2874"/>
    <w:rsid w:val="00DA3086"/>
    <w:rsid w:val="00DA321F"/>
    <w:rsid w:val="00DA3CB2"/>
    <w:rsid w:val="00DA3F8A"/>
    <w:rsid w:val="00DA69DC"/>
    <w:rsid w:val="00DA6B8F"/>
    <w:rsid w:val="00DA6DFE"/>
    <w:rsid w:val="00DA7407"/>
    <w:rsid w:val="00DB037C"/>
    <w:rsid w:val="00DB186A"/>
    <w:rsid w:val="00DB1DD5"/>
    <w:rsid w:val="00DB2CD6"/>
    <w:rsid w:val="00DB3F3B"/>
    <w:rsid w:val="00DB470D"/>
    <w:rsid w:val="00DB470E"/>
    <w:rsid w:val="00DB4789"/>
    <w:rsid w:val="00DB5A64"/>
    <w:rsid w:val="00DB6B7E"/>
    <w:rsid w:val="00DB7FB1"/>
    <w:rsid w:val="00DC03C6"/>
    <w:rsid w:val="00DC0544"/>
    <w:rsid w:val="00DC1194"/>
    <w:rsid w:val="00DC1C8D"/>
    <w:rsid w:val="00DC1EE4"/>
    <w:rsid w:val="00DC2244"/>
    <w:rsid w:val="00DC3695"/>
    <w:rsid w:val="00DC3BA2"/>
    <w:rsid w:val="00DC4A51"/>
    <w:rsid w:val="00DC509E"/>
    <w:rsid w:val="00DC5CEA"/>
    <w:rsid w:val="00DC5D6B"/>
    <w:rsid w:val="00DC6768"/>
    <w:rsid w:val="00DC70EC"/>
    <w:rsid w:val="00DC7827"/>
    <w:rsid w:val="00DC7959"/>
    <w:rsid w:val="00DC7BB3"/>
    <w:rsid w:val="00DC7F36"/>
    <w:rsid w:val="00DD0AD0"/>
    <w:rsid w:val="00DD1F33"/>
    <w:rsid w:val="00DD208F"/>
    <w:rsid w:val="00DD2F25"/>
    <w:rsid w:val="00DD387D"/>
    <w:rsid w:val="00DD42B7"/>
    <w:rsid w:val="00DD4596"/>
    <w:rsid w:val="00DD4A20"/>
    <w:rsid w:val="00DD5EA5"/>
    <w:rsid w:val="00DD6794"/>
    <w:rsid w:val="00DD6856"/>
    <w:rsid w:val="00DD6B0C"/>
    <w:rsid w:val="00DD6BBE"/>
    <w:rsid w:val="00DD76B0"/>
    <w:rsid w:val="00DD7880"/>
    <w:rsid w:val="00DD78C1"/>
    <w:rsid w:val="00DD7FA8"/>
    <w:rsid w:val="00DE08B3"/>
    <w:rsid w:val="00DE1E9A"/>
    <w:rsid w:val="00DE1FDE"/>
    <w:rsid w:val="00DE245A"/>
    <w:rsid w:val="00DE2A26"/>
    <w:rsid w:val="00DE322B"/>
    <w:rsid w:val="00DE43F7"/>
    <w:rsid w:val="00DE51F5"/>
    <w:rsid w:val="00DE58F0"/>
    <w:rsid w:val="00DE5AF1"/>
    <w:rsid w:val="00DE6B96"/>
    <w:rsid w:val="00DE776C"/>
    <w:rsid w:val="00DE7EC9"/>
    <w:rsid w:val="00DF0766"/>
    <w:rsid w:val="00DF0F7A"/>
    <w:rsid w:val="00DF1B3B"/>
    <w:rsid w:val="00DF1E19"/>
    <w:rsid w:val="00DF4168"/>
    <w:rsid w:val="00DF62A5"/>
    <w:rsid w:val="00DF63A0"/>
    <w:rsid w:val="00DF662C"/>
    <w:rsid w:val="00DF66AF"/>
    <w:rsid w:val="00DF676D"/>
    <w:rsid w:val="00DF6F09"/>
    <w:rsid w:val="00DF7346"/>
    <w:rsid w:val="00DF7F22"/>
    <w:rsid w:val="00E00967"/>
    <w:rsid w:val="00E01369"/>
    <w:rsid w:val="00E017AF"/>
    <w:rsid w:val="00E0180B"/>
    <w:rsid w:val="00E01D9A"/>
    <w:rsid w:val="00E02C97"/>
    <w:rsid w:val="00E0303B"/>
    <w:rsid w:val="00E03AF2"/>
    <w:rsid w:val="00E03E87"/>
    <w:rsid w:val="00E040C1"/>
    <w:rsid w:val="00E04926"/>
    <w:rsid w:val="00E05061"/>
    <w:rsid w:val="00E050C5"/>
    <w:rsid w:val="00E050CE"/>
    <w:rsid w:val="00E056BE"/>
    <w:rsid w:val="00E06107"/>
    <w:rsid w:val="00E072CC"/>
    <w:rsid w:val="00E07EA4"/>
    <w:rsid w:val="00E101F6"/>
    <w:rsid w:val="00E1086B"/>
    <w:rsid w:val="00E10AED"/>
    <w:rsid w:val="00E114F9"/>
    <w:rsid w:val="00E11B19"/>
    <w:rsid w:val="00E12D70"/>
    <w:rsid w:val="00E1380D"/>
    <w:rsid w:val="00E13AB0"/>
    <w:rsid w:val="00E144FA"/>
    <w:rsid w:val="00E16C91"/>
    <w:rsid w:val="00E16D25"/>
    <w:rsid w:val="00E17AE0"/>
    <w:rsid w:val="00E17CF6"/>
    <w:rsid w:val="00E17D4A"/>
    <w:rsid w:val="00E17DE4"/>
    <w:rsid w:val="00E2060B"/>
    <w:rsid w:val="00E20E39"/>
    <w:rsid w:val="00E21D45"/>
    <w:rsid w:val="00E22595"/>
    <w:rsid w:val="00E23CDE"/>
    <w:rsid w:val="00E24873"/>
    <w:rsid w:val="00E24D77"/>
    <w:rsid w:val="00E26858"/>
    <w:rsid w:val="00E26E4F"/>
    <w:rsid w:val="00E271D7"/>
    <w:rsid w:val="00E27AD0"/>
    <w:rsid w:val="00E30102"/>
    <w:rsid w:val="00E3122F"/>
    <w:rsid w:val="00E319DE"/>
    <w:rsid w:val="00E32C7B"/>
    <w:rsid w:val="00E32E29"/>
    <w:rsid w:val="00E333CE"/>
    <w:rsid w:val="00E33E7B"/>
    <w:rsid w:val="00E34AFE"/>
    <w:rsid w:val="00E35511"/>
    <w:rsid w:val="00E3559B"/>
    <w:rsid w:val="00E35744"/>
    <w:rsid w:val="00E35965"/>
    <w:rsid w:val="00E36F58"/>
    <w:rsid w:val="00E373DB"/>
    <w:rsid w:val="00E37736"/>
    <w:rsid w:val="00E37B66"/>
    <w:rsid w:val="00E37C6C"/>
    <w:rsid w:val="00E401E8"/>
    <w:rsid w:val="00E404A9"/>
    <w:rsid w:val="00E404DE"/>
    <w:rsid w:val="00E405C7"/>
    <w:rsid w:val="00E40710"/>
    <w:rsid w:val="00E40BAB"/>
    <w:rsid w:val="00E40C82"/>
    <w:rsid w:val="00E41EEA"/>
    <w:rsid w:val="00E42F99"/>
    <w:rsid w:val="00E43073"/>
    <w:rsid w:val="00E433B6"/>
    <w:rsid w:val="00E4342D"/>
    <w:rsid w:val="00E43789"/>
    <w:rsid w:val="00E43D60"/>
    <w:rsid w:val="00E454FE"/>
    <w:rsid w:val="00E45879"/>
    <w:rsid w:val="00E46889"/>
    <w:rsid w:val="00E50744"/>
    <w:rsid w:val="00E50C8F"/>
    <w:rsid w:val="00E51AF7"/>
    <w:rsid w:val="00E52C75"/>
    <w:rsid w:val="00E531CD"/>
    <w:rsid w:val="00E5336C"/>
    <w:rsid w:val="00E5370A"/>
    <w:rsid w:val="00E53F1B"/>
    <w:rsid w:val="00E548F5"/>
    <w:rsid w:val="00E54E8A"/>
    <w:rsid w:val="00E54EDD"/>
    <w:rsid w:val="00E55A2E"/>
    <w:rsid w:val="00E56428"/>
    <w:rsid w:val="00E56976"/>
    <w:rsid w:val="00E569C8"/>
    <w:rsid w:val="00E56E91"/>
    <w:rsid w:val="00E57E33"/>
    <w:rsid w:val="00E60866"/>
    <w:rsid w:val="00E60E74"/>
    <w:rsid w:val="00E61202"/>
    <w:rsid w:val="00E62873"/>
    <w:rsid w:val="00E62CA4"/>
    <w:rsid w:val="00E65126"/>
    <w:rsid w:val="00E65285"/>
    <w:rsid w:val="00E653D5"/>
    <w:rsid w:val="00E65C79"/>
    <w:rsid w:val="00E6637A"/>
    <w:rsid w:val="00E667B9"/>
    <w:rsid w:val="00E6710B"/>
    <w:rsid w:val="00E67321"/>
    <w:rsid w:val="00E6752F"/>
    <w:rsid w:val="00E6764D"/>
    <w:rsid w:val="00E70D4D"/>
    <w:rsid w:val="00E71105"/>
    <w:rsid w:val="00E71E72"/>
    <w:rsid w:val="00E7254A"/>
    <w:rsid w:val="00E728A8"/>
    <w:rsid w:val="00E729B2"/>
    <w:rsid w:val="00E72A1D"/>
    <w:rsid w:val="00E73DF8"/>
    <w:rsid w:val="00E74289"/>
    <w:rsid w:val="00E763C3"/>
    <w:rsid w:val="00E8012D"/>
    <w:rsid w:val="00E8042A"/>
    <w:rsid w:val="00E8074B"/>
    <w:rsid w:val="00E80E53"/>
    <w:rsid w:val="00E81014"/>
    <w:rsid w:val="00E8148E"/>
    <w:rsid w:val="00E8189B"/>
    <w:rsid w:val="00E818A0"/>
    <w:rsid w:val="00E81EF1"/>
    <w:rsid w:val="00E82055"/>
    <w:rsid w:val="00E82E66"/>
    <w:rsid w:val="00E830FF"/>
    <w:rsid w:val="00E83572"/>
    <w:rsid w:val="00E84AE8"/>
    <w:rsid w:val="00E84BF2"/>
    <w:rsid w:val="00E84E72"/>
    <w:rsid w:val="00E856AD"/>
    <w:rsid w:val="00E856C1"/>
    <w:rsid w:val="00E85CC5"/>
    <w:rsid w:val="00E869A7"/>
    <w:rsid w:val="00E86A69"/>
    <w:rsid w:val="00E86E9D"/>
    <w:rsid w:val="00E870B1"/>
    <w:rsid w:val="00E908C7"/>
    <w:rsid w:val="00E90915"/>
    <w:rsid w:val="00E90B2D"/>
    <w:rsid w:val="00E91280"/>
    <w:rsid w:val="00E92EFC"/>
    <w:rsid w:val="00E93665"/>
    <w:rsid w:val="00E93C7E"/>
    <w:rsid w:val="00E94233"/>
    <w:rsid w:val="00E95357"/>
    <w:rsid w:val="00E9638C"/>
    <w:rsid w:val="00E96993"/>
    <w:rsid w:val="00E97183"/>
    <w:rsid w:val="00E97303"/>
    <w:rsid w:val="00E9798D"/>
    <w:rsid w:val="00EA0330"/>
    <w:rsid w:val="00EA0646"/>
    <w:rsid w:val="00EA1330"/>
    <w:rsid w:val="00EA1D1E"/>
    <w:rsid w:val="00EA2871"/>
    <w:rsid w:val="00EA3324"/>
    <w:rsid w:val="00EA3A22"/>
    <w:rsid w:val="00EA3E86"/>
    <w:rsid w:val="00EA407B"/>
    <w:rsid w:val="00EA468C"/>
    <w:rsid w:val="00EA503C"/>
    <w:rsid w:val="00EA5212"/>
    <w:rsid w:val="00EA5E24"/>
    <w:rsid w:val="00EA628D"/>
    <w:rsid w:val="00EA6C59"/>
    <w:rsid w:val="00EA6DF5"/>
    <w:rsid w:val="00EB089B"/>
    <w:rsid w:val="00EB0CEC"/>
    <w:rsid w:val="00EB1443"/>
    <w:rsid w:val="00EB1566"/>
    <w:rsid w:val="00EB1791"/>
    <w:rsid w:val="00EB3414"/>
    <w:rsid w:val="00EB359D"/>
    <w:rsid w:val="00EB4302"/>
    <w:rsid w:val="00EB4D19"/>
    <w:rsid w:val="00EB51AD"/>
    <w:rsid w:val="00EB639C"/>
    <w:rsid w:val="00EB63B9"/>
    <w:rsid w:val="00EB6603"/>
    <w:rsid w:val="00EB745B"/>
    <w:rsid w:val="00EB7A2C"/>
    <w:rsid w:val="00EC05DA"/>
    <w:rsid w:val="00EC08D7"/>
    <w:rsid w:val="00EC1066"/>
    <w:rsid w:val="00EC1A3A"/>
    <w:rsid w:val="00EC2DEE"/>
    <w:rsid w:val="00EC2FEC"/>
    <w:rsid w:val="00EC3345"/>
    <w:rsid w:val="00EC3732"/>
    <w:rsid w:val="00EC3AD6"/>
    <w:rsid w:val="00EC4302"/>
    <w:rsid w:val="00EC4649"/>
    <w:rsid w:val="00EC486B"/>
    <w:rsid w:val="00EC4FC5"/>
    <w:rsid w:val="00EC52E8"/>
    <w:rsid w:val="00EC6224"/>
    <w:rsid w:val="00ED05D2"/>
    <w:rsid w:val="00ED07C4"/>
    <w:rsid w:val="00ED0B8D"/>
    <w:rsid w:val="00ED14EC"/>
    <w:rsid w:val="00ED1A6C"/>
    <w:rsid w:val="00ED1D14"/>
    <w:rsid w:val="00ED46AF"/>
    <w:rsid w:val="00ED4D77"/>
    <w:rsid w:val="00ED4DA2"/>
    <w:rsid w:val="00ED548E"/>
    <w:rsid w:val="00ED5A31"/>
    <w:rsid w:val="00EE0282"/>
    <w:rsid w:val="00EE13F7"/>
    <w:rsid w:val="00EE1488"/>
    <w:rsid w:val="00EE17D7"/>
    <w:rsid w:val="00EE311E"/>
    <w:rsid w:val="00EE4838"/>
    <w:rsid w:val="00EE4C1D"/>
    <w:rsid w:val="00EE54FB"/>
    <w:rsid w:val="00EE7DD7"/>
    <w:rsid w:val="00EE7E85"/>
    <w:rsid w:val="00EF0109"/>
    <w:rsid w:val="00EF0BD8"/>
    <w:rsid w:val="00EF0D21"/>
    <w:rsid w:val="00EF0F44"/>
    <w:rsid w:val="00EF1B78"/>
    <w:rsid w:val="00EF1FD8"/>
    <w:rsid w:val="00EF2882"/>
    <w:rsid w:val="00EF3415"/>
    <w:rsid w:val="00EF4A41"/>
    <w:rsid w:val="00EF541A"/>
    <w:rsid w:val="00EF565C"/>
    <w:rsid w:val="00EF5F40"/>
    <w:rsid w:val="00EF5FA3"/>
    <w:rsid w:val="00EF607E"/>
    <w:rsid w:val="00EF6414"/>
    <w:rsid w:val="00EF6A5A"/>
    <w:rsid w:val="00EF6D2C"/>
    <w:rsid w:val="00EF6D68"/>
    <w:rsid w:val="00EF6FD6"/>
    <w:rsid w:val="00EF78B2"/>
    <w:rsid w:val="00F01219"/>
    <w:rsid w:val="00F01AD7"/>
    <w:rsid w:val="00F01DDE"/>
    <w:rsid w:val="00F024B2"/>
    <w:rsid w:val="00F029F2"/>
    <w:rsid w:val="00F02EDC"/>
    <w:rsid w:val="00F03728"/>
    <w:rsid w:val="00F04430"/>
    <w:rsid w:val="00F04B23"/>
    <w:rsid w:val="00F05100"/>
    <w:rsid w:val="00F0673E"/>
    <w:rsid w:val="00F0759F"/>
    <w:rsid w:val="00F075CC"/>
    <w:rsid w:val="00F07980"/>
    <w:rsid w:val="00F101E5"/>
    <w:rsid w:val="00F110E7"/>
    <w:rsid w:val="00F11B9F"/>
    <w:rsid w:val="00F1205C"/>
    <w:rsid w:val="00F128DC"/>
    <w:rsid w:val="00F14053"/>
    <w:rsid w:val="00F143B2"/>
    <w:rsid w:val="00F1448F"/>
    <w:rsid w:val="00F149F9"/>
    <w:rsid w:val="00F14E29"/>
    <w:rsid w:val="00F14E7D"/>
    <w:rsid w:val="00F14F7A"/>
    <w:rsid w:val="00F15748"/>
    <w:rsid w:val="00F16B1E"/>
    <w:rsid w:val="00F16ED6"/>
    <w:rsid w:val="00F1746C"/>
    <w:rsid w:val="00F17906"/>
    <w:rsid w:val="00F205BD"/>
    <w:rsid w:val="00F21876"/>
    <w:rsid w:val="00F23488"/>
    <w:rsid w:val="00F2351A"/>
    <w:rsid w:val="00F24E8B"/>
    <w:rsid w:val="00F256B1"/>
    <w:rsid w:val="00F25834"/>
    <w:rsid w:val="00F25BA4"/>
    <w:rsid w:val="00F25BD8"/>
    <w:rsid w:val="00F26763"/>
    <w:rsid w:val="00F26C2D"/>
    <w:rsid w:val="00F272F5"/>
    <w:rsid w:val="00F2747F"/>
    <w:rsid w:val="00F277AB"/>
    <w:rsid w:val="00F30D20"/>
    <w:rsid w:val="00F30D51"/>
    <w:rsid w:val="00F31A0C"/>
    <w:rsid w:val="00F31ABF"/>
    <w:rsid w:val="00F31CDE"/>
    <w:rsid w:val="00F34F02"/>
    <w:rsid w:val="00F36186"/>
    <w:rsid w:val="00F36BA2"/>
    <w:rsid w:val="00F376E7"/>
    <w:rsid w:val="00F37B99"/>
    <w:rsid w:val="00F37DA5"/>
    <w:rsid w:val="00F4003A"/>
    <w:rsid w:val="00F407E8"/>
    <w:rsid w:val="00F40F71"/>
    <w:rsid w:val="00F41182"/>
    <w:rsid w:val="00F414A5"/>
    <w:rsid w:val="00F41FA1"/>
    <w:rsid w:val="00F42892"/>
    <w:rsid w:val="00F43196"/>
    <w:rsid w:val="00F431AA"/>
    <w:rsid w:val="00F4320C"/>
    <w:rsid w:val="00F437EF"/>
    <w:rsid w:val="00F4386D"/>
    <w:rsid w:val="00F43DE4"/>
    <w:rsid w:val="00F44E86"/>
    <w:rsid w:val="00F45967"/>
    <w:rsid w:val="00F46265"/>
    <w:rsid w:val="00F4640E"/>
    <w:rsid w:val="00F470F6"/>
    <w:rsid w:val="00F50C31"/>
    <w:rsid w:val="00F50E42"/>
    <w:rsid w:val="00F50F87"/>
    <w:rsid w:val="00F5195D"/>
    <w:rsid w:val="00F52B11"/>
    <w:rsid w:val="00F52BBE"/>
    <w:rsid w:val="00F53981"/>
    <w:rsid w:val="00F5462A"/>
    <w:rsid w:val="00F55953"/>
    <w:rsid w:val="00F55BAD"/>
    <w:rsid w:val="00F561CC"/>
    <w:rsid w:val="00F5620C"/>
    <w:rsid w:val="00F56EFF"/>
    <w:rsid w:val="00F5721D"/>
    <w:rsid w:val="00F614E3"/>
    <w:rsid w:val="00F62F32"/>
    <w:rsid w:val="00F63A30"/>
    <w:rsid w:val="00F6421D"/>
    <w:rsid w:val="00F647F3"/>
    <w:rsid w:val="00F66488"/>
    <w:rsid w:val="00F668A9"/>
    <w:rsid w:val="00F674B9"/>
    <w:rsid w:val="00F676D3"/>
    <w:rsid w:val="00F712A3"/>
    <w:rsid w:val="00F72699"/>
    <w:rsid w:val="00F73A69"/>
    <w:rsid w:val="00F73C90"/>
    <w:rsid w:val="00F74BFD"/>
    <w:rsid w:val="00F74FE7"/>
    <w:rsid w:val="00F750C3"/>
    <w:rsid w:val="00F776C4"/>
    <w:rsid w:val="00F778FC"/>
    <w:rsid w:val="00F80623"/>
    <w:rsid w:val="00F80E1B"/>
    <w:rsid w:val="00F81651"/>
    <w:rsid w:val="00F81942"/>
    <w:rsid w:val="00F8197B"/>
    <w:rsid w:val="00F843B7"/>
    <w:rsid w:val="00F84881"/>
    <w:rsid w:val="00F84EFE"/>
    <w:rsid w:val="00F85F67"/>
    <w:rsid w:val="00F866AF"/>
    <w:rsid w:val="00F8740B"/>
    <w:rsid w:val="00F87E74"/>
    <w:rsid w:val="00F9194E"/>
    <w:rsid w:val="00F91B88"/>
    <w:rsid w:val="00F923D4"/>
    <w:rsid w:val="00F92499"/>
    <w:rsid w:val="00F93038"/>
    <w:rsid w:val="00F93153"/>
    <w:rsid w:val="00F93A18"/>
    <w:rsid w:val="00F9417E"/>
    <w:rsid w:val="00F95233"/>
    <w:rsid w:val="00F95307"/>
    <w:rsid w:val="00F95D94"/>
    <w:rsid w:val="00F96A00"/>
    <w:rsid w:val="00F9775D"/>
    <w:rsid w:val="00FA05D1"/>
    <w:rsid w:val="00FA2376"/>
    <w:rsid w:val="00FA5855"/>
    <w:rsid w:val="00FA73E1"/>
    <w:rsid w:val="00FA76F2"/>
    <w:rsid w:val="00FB0001"/>
    <w:rsid w:val="00FB04F8"/>
    <w:rsid w:val="00FB08EB"/>
    <w:rsid w:val="00FB0D4E"/>
    <w:rsid w:val="00FB1EF8"/>
    <w:rsid w:val="00FB2219"/>
    <w:rsid w:val="00FB2E9C"/>
    <w:rsid w:val="00FB36E2"/>
    <w:rsid w:val="00FB4746"/>
    <w:rsid w:val="00FB4DFA"/>
    <w:rsid w:val="00FB4E6A"/>
    <w:rsid w:val="00FB6360"/>
    <w:rsid w:val="00FB63AA"/>
    <w:rsid w:val="00FB69CA"/>
    <w:rsid w:val="00FB7C81"/>
    <w:rsid w:val="00FC04F9"/>
    <w:rsid w:val="00FC0681"/>
    <w:rsid w:val="00FC080A"/>
    <w:rsid w:val="00FC1891"/>
    <w:rsid w:val="00FC2240"/>
    <w:rsid w:val="00FC2917"/>
    <w:rsid w:val="00FC2E3D"/>
    <w:rsid w:val="00FC3334"/>
    <w:rsid w:val="00FC3439"/>
    <w:rsid w:val="00FC396C"/>
    <w:rsid w:val="00FC4336"/>
    <w:rsid w:val="00FC46BA"/>
    <w:rsid w:val="00FC4943"/>
    <w:rsid w:val="00FC4DBC"/>
    <w:rsid w:val="00FC4F0B"/>
    <w:rsid w:val="00FC5619"/>
    <w:rsid w:val="00FC6F7C"/>
    <w:rsid w:val="00FC6FC1"/>
    <w:rsid w:val="00FC7999"/>
    <w:rsid w:val="00FC79C6"/>
    <w:rsid w:val="00FC7A92"/>
    <w:rsid w:val="00FC7E39"/>
    <w:rsid w:val="00FD0573"/>
    <w:rsid w:val="00FD07C8"/>
    <w:rsid w:val="00FD1C2D"/>
    <w:rsid w:val="00FD20D3"/>
    <w:rsid w:val="00FD3334"/>
    <w:rsid w:val="00FD33C5"/>
    <w:rsid w:val="00FD37EA"/>
    <w:rsid w:val="00FD68F4"/>
    <w:rsid w:val="00FD6B19"/>
    <w:rsid w:val="00FD76A1"/>
    <w:rsid w:val="00FD7F63"/>
    <w:rsid w:val="00FE07EE"/>
    <w:rsid w:val="00FE2265"/>
    <w:rsid w:val="00FE3217"/>
    <w:rsid w:val="00FE4CB4"/>
    <w:rsid w:val="00FE6495"/>
    <w:rsid w:val="00FE6B2B"/>
    <w:rsid w:val="00FE7473"/>
    <w:rsid w:val="00FE77D0"/>
    <w:rsid w:val="00FF037E"/>
    <w:rsid w:val="00FF1764"/>
    <w:rsid w:val="00FF1B88"/>
    <w:rsid w:val="00FF1BC9"/>
    <w:rsid w:val="00FF23D2"/>
    <w:rsid w:val="00FF23E0"/>
    <w:rsid w:val="00FF260E"/>
    <w:rsid w:val="00FF2CF6"/>
    <w:rsid w:val="00FF605E"/>
    <w:rsid w:val="00FF65FA"/>
    <w:rsid w:val="00FF6C8E"/>
    <w:rsid w:val="00FF6EDA"/>
    <w:rsid w:val="6FAE9D8D"/>
  </w:rsids>
  <m:mathPr>
    <m:mathFont m:val="Cambria Math"/>
    <m:brkBin m:val="before"/>
    <m:brkBinSub m:val="--"/>
    <m:smallFrac m:val="0"/>
    <m:dispDef/>
    <m:lMargin m:val="0"/>
    <m:rMargin m:val="0"/>
    <m:defJc m:val="centerGroup"/>
    <m:wrapIndent m:val="1440"/>
    <m:intLim m:val="subSup"/>
    <m:naryLim m:val="undOvr"/>
  </m:mathPr>
  <w:themeFontLang w:val="es-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B1437B"/>
  <w15:docId w15:val="{AD55FCDC-4109-48AF-91AA-393ABF0B3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US" w:eastAsia="es-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US" w:eastAsia="en-US"/>
    </w:rPr>
  </w:style>
  <w:style w:type="paragraph" w:styleId="Heading1">
    <w:name w:val="heading 1"/>
    <w:basedOn w:val="Normal"/>
    <w:next w:val="Normal"/>
    <w:qFormat/>
    <w:pPr>
      <w:keepNext/>
      <w:jc w:val="right"/>
      <w:outlineLvl w:val="0"/>
    </w:pPr>
    <w:rPr>
      <w:rFonts w:ascii="Arial" w:hAnsi="Arial" w:cs="Arial"/>
      <w:b/>
      <w:bCs/>
      <w:sz w:val="18"/>
      <w:szCs w:val="18"/>
    </w:rPr>
  </w:style>
  <w:style w:type="paragraph" w:styleId="Heading2">
    <w:name w:val="heading 2"/>
    <w:basedOn w:val="Normal"/>
    <w:next w:val="Normal"/>
    <w:qFormat/>
    <w:rsid w:val="00795D6D"/>
    <w:pPr>
      <w:keepNext/>
      <w:numPr>
        <w:ilvl w:val="1"/>
        <w:numId w:val="1"/>
      </w:numPr>
      <w:autoSpaceDE w:val="0"/>
      <w:autoSpaceDN w:val="0"/>
      <w:adjustRightInd w:val="0"/>
      <w:outlineLvl w:val="1"/>
    </w:pPr>
    <w:rPr>
      <w:rFonts w:ascii="Arial" w:hAnsi="Arial" w:cs="Arial"/>
      <w:b/>
      <w:bCs/>
      <w:color w:val="000000"/>
      <w:sz w:val="18"/>
      <w:szCs w:val="18"/>
    </w:rPr>
  </w:style>
  <w:style w:type="paragraph" w:styleId="Heading3">
    <w:name w:val="heading 3"/>
    <w:basedOn w:val="Normal"/>
    <w:next w:val="Normal"/>
    <w:qFormat/>
    <w:rsid w:val="00795D6D"/>
    <w:pPr>
      <w:keepNext/>
      <w:numPr>
        <w:ilvl w:val="2"/>
        <w:numId w:val="1"/>
      </w:numPr>
      <w:autoSpaceDE w:val="0"/>
      <w:autoSpaceDN w:val="0"/>
      <w:adjustRightInd w:val="0"/>
      <w:jc w:val="both"/>
      <w:outlineLvl w:val="2"/>
    </w:pPr>
    <w:rPr>
      <w:rFonts w:ascii="Arial" w:hAnsi="Arial" w:cs="Arial"/>
      <w:b/>
      <w:bCs/>
      <w:color w:val="000000"/>
      <w:sz w:val="18"/>
      <w:szCs w:val="18"/>
    </w:rPr>
  </w:style>
  <w:style w:type="paragraph" w:styleId="Heading4">
    <w:name w:val="heading 4"/>
    <w:basedOn w:val="Normal"/>
    <w:next w:val="Normal"/>
    <w:qFormat/>
    <w:rsid w:val="00795D6D"/>
    <w:pPr>
      <w:keepNext/>
      <w:numPr>
        <w:ilvl w:val="3"/>
        <w:numId w:val="1"/>
      </w:numPr>
      <w:autoSpaceDE w:val="0"/>
      <w:autoSpaceDN w:val="0"/>
      <w:adjustRightInd w:val="0"/>
      <w:jc w:val="both"/>
      <w:outlineLvl w:val="3"/>
    </w:pPr>
    <w:rPr>
      <w:rFonts w:ascii="Arial" w:hAnsi="Arial" w:cs="Arial"/>
      <w:b/>
      <w:bCs/>
      <w:lang w:val="es-ES_tradnl"/>
    </w:rPr>
  </w:style>
  <w:style w:type="paragraph" w:styleId="Heading5">
    <w:name w:val="heading 5"/>
    <w:basedOn w:val="Normal"/>
    <w:next w:val="Normal"/>
    <w:qFormat/>
    <w:rsid w:val="00795D6D"/>
    <w:pPr>
      <w:keepNext/>
      <w:numPr>
        <w:ilvl w:val="4"/>
        <w:numId w:val="1"/>
      </w:numPr>
      <w:autoSpaceDE w:val="0"/>
      <w:autoSpaceDN w:val="0"/>
      <w:adjustRightInd w:val="0"/>
      <w:outlineLvl w:val="4"/>
    </w:pPr>
    <w:rPr>
      <w:rFonts w:ascii="Geneva" w:hAnsi="Geneva" w:cs="Arial"/>
      <w:b/>
      <w:bCs/>
      <w:i/>
      <w:iCs/>
      <w:color w:val="000000"/>
      <w:sz w:val="18"/>
      <w:szCs w:val="18"/>
      <w:lang w:val="es-ES_tradnl"/>
    </w:rPr>
  </w:style>
  <w:style w:type="paragraph" w:styleId="Heading6">
    <w:name w:val="heading 6"/>
    <w:basedOn w:val="Normal"/>
    <w:next w:val="Normal"/>
    <w:qFormat/>
    <w:rsid w:val="00795D6D"/>
    <w:pPr>
      <w:keepNext/>
      <w:numPr>
        <w:ilvl w:val="5"/>
        <w:numId w:val="1"/>
      </w:numPr>
      <w:autoSpaceDE w:val="0"/>
      <w:autoSpaceDN w:val="0"/>
      <w:adjustRightInd w:val="0"/>
      <w:outlineLvl w:val="5"/>
    </w:pPr>
    <w:rPr>
      <w:b/>
      <w:bCs/>
      <w:sz w:val="18"/>
      <w:szCs w:val="18"/>
      <w:lang w:val="es-ES_tradnl"/>
    </w:rPr>
  </w:style>
  <w:style w:type="paragraph" w:styleId="Heading7">
    <w:name w:val="heading 7"/>
    <w:basedOn w:val="Normal"/>
    <w:next w:val="Normal"/>
    <w:link w:val="Heading7Char"/>
    <w:semiHidden/>
    <w:unhideWhenUsed/>
    <w:qFormat/>
    <w:rsid w:val="00795D6D"/>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795D6D"/>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795D6D"/>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Textodeglobo2">
    <w:name w:val="Texto de globo2"/>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tyle>
  <w:style w:type="paragraph" w:customStyle="1" w:styleId="Asuntodelcomentario1">
    <w:name w:val="Asunto del comentario1"/>
    <w:basedOn w:val="CommentText"/>
    <w:next w:val="CommentText"/>
    <w:semiHidden/>
    <w:rPr>
      <w:b/>
      <w:bCs/>
    </w:rPr>
  </w:style>
  <w:style w:type="paragraph" w:styleId="BodyText">
    <w:name w:val="Body Text"/>
    <w:basedOn w:val="Normal"/>
    <w:pPr>
      <w:autoSpaceDE w:val="0"/>
      <w:autoSpaceDN w:val="0"/>
      <w:adjustRightInd w:val="0"/>
      <w:jc w:val="both"/>
    </w:pPr>
    <w:rPr>
      <w:rFonts w:ascii="Arial" w:hAnsi="Arial" w:cs="Arial"/>
      <w:color w:val="000000"/>
      <w:sz w:val="18"/>
      <w:szCs w:val="18"/>
    </w:rPr>
  </w:style>
  <w:style w:type="paragraph" w:styleId="BodyText2">
    <w:name w:val="Body Text 2"/>
    <w:basedOn w:val="Normal"/>
    <w:pPr>
      <w:autoSpaceDE w:val="0"/>
      <w:autoSpaceDN w:val="0"/>
      <w:adjustRightInd w:val="0"/>
      <w:jc w:val="both"/>
    </w:pPr>
    <w:rPr>
      <w:rFonts w:ascii="Arial" w:hAnsi="Arial" w:cs="Arial"/>
      <w:sz w:val="18"/>
      <w:szCs w:val="18"/>
    </w:rPr>
  </w:style>
  <w:style w:type="paragraph" w:styleId="BodyText3">
    <w:name w:val="Body Text 3"/>
    <w:basedOn w:val="Normal"/>
    <w:pPr>
      <w:autoSpaceDE w:val="0"/>
      <w:autoSpaceDN w:val="0"/>
      <w:adjustRightInd w:val="0"/>
    </w:pPr>
    <w:rPr>
      <w:rFonts w:ascii="Geneva" w:hAnsi="Geneva" w:cs="Arial"/>
      <w:b/>
      <w:bCs/>
      <w:i/>
      <w:iCs/>
      <w:color w:val="000000"/>
      <w:sz w:val="18"/>
      <w:szCs w:val="18"/>
      <w:lang w:val="es-ES_tradnl"/>
    </w:rPr>
  </w:style>
  <w:style w:type="paragraph" w:customStyle="1" w:styleId="Textodeglobo1">
    <w:name w:val="Texto de globo1"/>
    <w:basedOn w:val="Normal"/>
    <w:semiHidden/>
    <w:rPr>
      <w:rFonts w:ascii="Tahoma" w:hAnsi="Tahoma" w:cs="Tahoma"/>
      <w:sz w:val="16"/>
      <w:szCs w:val="16"/>
    </w:rPr>
  </w:style>
  <w:style w:type="paragraph" w:customStyle="1" w:styleId="Chapter">
    <w:name w:val="Chapter"/>
    <w:basedOn w:val="Normal"/>
    <w:next w:val="Normal"/>
    <w:rsid w:val="00795D6D"/>
    <w:pPr>
      <w:keepNext/>
      <w:numPr>
        <w:numId w:val="1"/>
      </w:numPr>
      <w:tabs>
        <w:tab w:val="num" w:pos="648"/>
        <w:tab w:val="left" w:pos="1440"/>
      </w:tabs>
      <w:spacing w:before="240" w:after="240"/>
      <w:ind w:left="0" w:firstLine="288"/>
      <w:jc w:val="center"/>
    </w:pPr>
    <w:rPr>
      <w:b/>
      <w:smallCaps/>
      <w:sz w:val="24"/>
      <w:lang w:val="es-ES"/>
    </w:rPr>
  </w:style>
  <w:style w:type="paragraph" w:customStyle="1" w:styleId="Paragraph">
    <w:name w:val="Paragraph"/>
    <w:basedOn w:val="BodyTextIndent"/>
    <w:rsid w:val="00795D6D"/>
    <w:pPr>
      <w:tabs>
        <w:tab w:val="num" w:pos="720"/>
      </w:tabs>
      <w:spacing w:before="120"/>
      <w:ind w:left="720" w:hanging="720"/>
      <w:jc w:val="both"/>
      <w:outlineLvl w:val="1"/>
    </w:pPr>
    <w:rPr>
      <w:lang w:val="es-ES"/>
    </w:rPr>
  </w:style>
  <w:style w:type="paragraph" w:customStyle="1" w:styleId="subpar">
    <w:name w:val="subpar"/>
    <w:basedOn w:val="BodyTextIndent3"/>
    <w:rsid w:val="00795D6D"/>
    <w:pPr>
      <w:tabs>
        <w:tab w:val="num" w:pos="1152"/>
      </w:tabs>
      <w:spacing w:before="120"/>
      <w:ind w:left="1152" w:hanging="432"/>
      <w:jc w:val="both"/>
      <w:outlineLvl w:val="2"/>
    </w:pPr>
    <w:rPr>
      <w:szCs w:val="20"/>
      <w:lang w:val="es-ES_tradnl"/>
    </w:rPr>
  </w:style>
  <w:style w:type="paragraph" w:customStyle="1" w:styleId="SubSubPar">
    <w:name w:val="SubSubPar"/>
    <w:basedOn w:val="subpar"/>
    <w:rsid w:val="00795D6D"/>
    <w:pPr>
      <w:tabs>
        <w:tab w:val="clear" w:pos="1152"/>
        <w:tab w:val="left" w:pos="0"/>
        <w:tab w:val="num" w:pos="1296"/>
      </w:tabs>
      <w:ind w:left="1296" w:hanging="288"/>
    </w:pPr>
  </w:style>
  <w:style w:type="paragraph" w:styleId="BodyTextIndent">
    <w:name w:val="Body Text Indent"/>
    <w:basedOn w:val="Normal"/>
    <w:pPr>
      <w:spacing w:after="120"/>
      <w:ind w:left="360"/>
    </w:pPr>
    <w:rPr>
      <w:sz w:val="24"/>
    </w:rPr>
  </w:style>
  <w:style w:type="paragraph" w:styleId="BodyTextIndent3">
    <w:name w:val="Body Text Indent 3"/>
    <w:basedOn w:val="Normal"/>
    <w:pPr>
      <w:spacing w:after="120"/>
      <w:ind w:left="360"/>
    </w:pPr>
    <w:rPr>
      <w:sz w:val="24"/>
      <w:szCs w:val="16"/>
    </w:rPr>
  </w:style>
  <w:style w:type="paragraph" w:styleId="FootnoteText">
    <w:name w:val="footnote text"/>
    <w:basedOn w:val="Normal"/>
    <w:semiHidden/>
    <w:pPr>
      <w:keepNext/>
      <w:keepLines/>
      <w:spacing w:after="120"/>
      <w:ind w:left="288" w:hanging="288"/>
      <w:jc w:val="both"/>
    </w:pPr>
    <w:rPr>
      <w:spacing w:val="-3"/>
    </w:rPr>
  </w:style>
  <w:style w:type="character" w:styleId="FootnoteReference">
    <w:name w:val="footnote reference"/>
    <w:semiHidden/>
    <w:rPr>
      <w:vertAlign w:val="superscript"/>
    </w:rPr>
  </w:style>
  <w:style w:type="paragraph" w:styleId="BalloonText">
    <w:name w:val="Balloon Text"/>
    <w:basedOn w:val="Normal"/>
    <w:semiHidden/>
    <w:rsid w:val="001D1698"/>
    <w:rPr>
      <w:rFonts w:ascii="Tahoma" w:hAnsi="Tahoma" w:cs="Tahoma"/>
      <w:sz w:val="16"/>
      <w:szCs w:val="16"/>
    </w:rPr>
  </w:style>
  <w:style w:type="character" w:customStyle="1" w:styleId="FooterChar">
    <w:name w:val="Footer Char"/>
    <w:link w:val="Footer"/>
    <w:uiPriority w:val="99"/>
    <w:rsid w:val="00E21D45"/>
    <w:rPr>
      <w:lang w:val="en-US" w:eastAsia="en-US"/>
    </w:rPr>
  </w:style>
  <w:style w:type="paragraph" w:customStyle="1" w:styleId="FirstHeading">
    <w:name w:val="FirstHeading"/>
    <w:basedOn w:val="Normal"/>
    <w:next w:val="Normal"/>
    <w:link w:val="FirstHeadingChar"/>
    <w:rsid w:val="00795D6D"/>
    <w:pPr>
      <w:keepNext/>
      <w:tabs>
        <w:tab w:val="left" w:pos="0"/>
        <w:tab w:val="left" w:pos="86"/>
      </w:tabs>
      <w:autoSpaceDE w:val="0"/>
      <w:autoSpaceDN w:val="0"/>
      <w:adjustRightInd w:val="0"/>
      <w:spacing w:before="120" w:after="120"/>
      <w:ind w:left="720" w:hanging="720"/>
    </w:pPr>
    <w:rPr>
      <w:b/>
      <w:sz w:val="24"/>
      <w:szCs w:val="18"/>
      <w:lang w:val="es-ES_tradnl"/>
    </w:rPr>
  </w:style>
  <w:style w:type="character" w:customStyle="1" w:styleId="FirstHeadingChar">
    <w:name w:val="FirstHeading Char"/>
    <w:link w:val="FirstHeading"/>
    <w:rsid w:val="00795D6D"/>
    <w:rPr>
      <w:b/>
      <w:sz w:val="24"/>
      <w:szCs w:val="18"/>
      <w:lang w:val="es-ES_tradnl"/>
    </w:rPr>
  </w:style>
  <w:style w:type="paragraph" w:customStyle="1" w:styleId="SecHeading">
    <w:name w:val="SecHeading"/>
    <w:basedOn w:val="Normal"/>
    <w:next w:val="Paragraph"/>
    <w:link w:val="SecHeadingChar"/>
    <w:rsid w:val="00795D6D"/>
    <w:pPr>
      <w:keepNext/>
      <w:tabs>
        <w:tab w:val="num" w:pos="1296"/>
      </w:tabs>
      <w:autoSpaceDE w:val="0"/>
      <w:autoSpaceDN w:val="0"/>
      <w:adjustRightInd w:val="0"/>
      <w:spacing w:before="120" w:after="120"/>
      <w:ind w:left="1296" w:hanging="576"/>
    </w:pPr>
    <w:rPr>
      <w:b/>
      <w:sz w:val="24"/>
      <w:szCs w:val="18"/>
      <w:lang w:val="es-ES_tradnl"/>
    </w:rPr>
  </w:style>
  <w:style w:type="character" w:customStyle="1" w:styleId="SecHeadingChar">
    <w:name w:val="SecHeading Char"/>
    <w:link w:val="SecHeading"/>
    <w:rsid w:val="00795D6D"/>
    <w:rPr>
      <w:b/>
      <w:sz w:val="24"/>
      <w:szCs w:val="18"/>
      <w:lang w:val="es-ES_tradnl"/>
    </w:rPr>
  </w:style>
  <w:style w:type="paragraph" w:customStyle="1" w:styleId="SubHeading1">
    <w:name w:val="SubHeading1"/>
    <w:basedOn w:val="SecHeading"/>
    <w:link w:val="SubHeading1Char"/>
    <w:rsid w:val="00795D6D"/>
    <w:pPr>
      <w:tabs>
        <w:tab w:val="clear" w:pos="1296"/>
        <w:tab w:val="num" w:pos="1872"/>
      </w:tabs>
      <w:ind w:left="1872"/>
    </w:pPr>
  </w:style>
  <w:style w:type="character" w:customStyle="1" w:styleId="SubHeading1Char">
    <w:name w:val="SubHeading1 Char"/>
    <w:link w:val="SubHeading1"/>
    <w:rsid w:val="00795D6D"/>
    <w:rPr>
      <w:b/>
      <w:sz w:val="24"/>
      <w:szCs w:val="18"/>
      <w:lang w:val="es-ES_tradnl"/>
    </w:rPr>
  </w:style>
  <w:style w:type="paragraph" w:customStyle="1" w:styleId="Subheading2">
    <w:name w:val="Subheading2"/>
    <w:basedOn w:val="SecHeading"/>
    <w:link w:val="Subheading2Char"/>
    <w:rsid w:val="00795D6D"/>
    <w:pPr>
      <w:tabs>
        <w:tab w:val="clear" w:pos="1296"/>
        <w:tab w:val="num" w:pos="2376"/>
      </w:tabs>
      <w:ind w:left="2376" w:hanging="288"/>
    </w:pPr>
  </w:style>
  <w:style w:type="character" w:customStyle="1" w:styleId="Subheading2Char">
    <w:name w:val="Subheading2 Char"/>
    <w:link w:val="Subheading2"/>
    <w:rsid w:val="00795D6D"/>
    <w:rPr>
      <w:b/>
      <w:sz w:val="24"/>
      <w:szCs w:val="18"/>
      <w:lang w:val="es-ES_tradnl"/>
    </w:rPr>
  </w:style>
  <w:style w:type="paragraph" w:customStyle="1" w:styleId="Regtable">
    <w:name w:val="Regtable"/>
    <w:basedOn w:val="Normal"/>
    <w:link w:val="RegtableChar"/>
    <w:rsid w:val="00795D6D"/>
    <w:pPr>
      <w:autoSpaceDE w:val="0"/>
      <w:autoSpaceDN w:val="0"/>
      <w:adjustRightInd w:val="0"/>
      <w:ind w:left="360" w:hanging="360"/>
      <w:jc w:val="both"/>
    </w:pPr>
    <w:rPr>
      <w:color w:val="000000"/>
      <w:szCs w:val="18"/>
      <w:lang w:val="es-ES_tradnl"/>
    </w:rPr>
  </w:style>
  <w:style w:type="character" w:customStyle="1" w:styleId="RegtableChar">
    <w:name w:val="Regtable Char"/>
    <w:link w:val="Regtable"/>
    <w:rsid w:val="00795D6D"/>
    <w:rPr>
      <w:color w:val="000000"/>
      <w:szCs w:val="18"/>
      <w:lang w:val="es-ES_tradnl"/>
    </w:rPr>
  </w:style>
  <w:style w:type="paragraph" w:customStyle="1" w:styleId="TableTitle">
    <w:name w:val="TableTitle"/>
    <w:basedOn w:val="Normal"/>
    <w:link w:val="TableTitleChar"/>
    <w:rsid w:val="00795D6D"/>
    <w:pPr>
      <w:numPr>
        <w:numId w:val="2"/>
      </w:numPr>
      <w:autoSpaceDE w:val="0"/>
      <w:autoSpaceDN w:val="0"/>
      <w:adjustRightInd w:val="0"/>
      <w:jc w:val="both"/>
    </w:pPr>
    <w:rPr>
      <w:color w:val="000000"/>
      <w:sz w:val="18"/>
      <w:szCs w:val="18"/>
      <w:lang w:val="es-ES_tradnl"/>
    </w:rPr>
  </w:style>
  <w:style w:type="character" w:customStyle="1" w:styleId="TableTitleChar">
    <w:name w:val="TableTitle Char"/>
    <w:link w:val="TableTitle"/>
    <w:rsid w:val="00795D6D"/>
    <w:rPr>
      <w:color w:val="000000"/>
      <w:sz w:val="18"/>
      <w:szCs w:val="18"/>
      <w:lang w:val="es-ES_tradnl" w:eastAsia="en-US"/>
    </w:rPr>
  </w:style>
  <w:style w:type="character" w:customStyle="1" w:styleId="Heading7Char">
    <w:name w:val="Heading 7 Char"/>
    <w:link w:val="Heading7"/>
    <w:semiHidden/>
    <w:rsid w:val="00795D6D"/>
    <w:rPr>
      <w:rFonts w:ascii="Calibri" w:hAnsi="Calibri"/>
      <w:sz w:val="24"/>
      <w:szCs w:val="24"/>
      <w:lang w:val="en-US" w:eastAsia="en-US"/>
    </w:rPr>
  </w:style>
  <w:style w:type="character" w:customStyle="1" w:styleId="Heading8Char">
    <w:name w:val="Heading 8 Char"/>
    <w:link w:val="Heading8"/>
    <w:semiHidden/>
    <w:rsid w:val="00795D6D"/>
    <w:rPr>
      <w:rFonts w:ascii="Calibri" w:hAnsi="Calibri"/>
      <w:i/>
      <w:iCs/>
      <w:sz w:val="24"/>
      <w:szCs w:val="24"/>
      <w:lang w:val="en-US" w:eastAsia="en-US"/>
    </w:rPr>
  </w:style>
  <w:style w:type="character" w:customStyle="1" w:styleId="Heading9Char">
    <w:name w:val="Heading 9 Char"/>
    <w:link w:val="Heading9"/>
    <w:semiHidden/>
    <w:rsid w:val="00795D6D"/>
    <w:rPr>
      <w:rFonts w:ascii="Cambria" w:hAnsi="Cambria"/>
      <w:sz w:val="22"/>
      <w:szCs w:val="22"/>
      <w:lang w:val="en-US" w:eastAsia="en-US"/>
    </w:rPr>
  </w:style>
  <w:style w:type="paragraph" w:styleId="ListParagraph">
    <w:name w:val="List Paragraph"/>
    <w:basedOn w:val="Normal"/>
    <w:uiPriority w:val="34"/>
    <w:qFormat/>
    <w:rsid w:val="00BD2960"/>
    <w:pPr>
      <w:ind w:left="720"/>
    </w:pPr>
  </w:style>
  <w:style w:type="paragraph" w:styleId="CommentSubject">
    <w:name w:val="annotation subject"/>
    <w:basedOn w:val="CommentText"/>
    <w:next w:val="CommentText"/>
    <w:link w:val="CommentSubjectChar"/>
    <w:rsid w:val="00EC08D7"/>
    <w:rPr>
      <w:b/>
      <w:bCs/>
    </w:rPr>
  </w:style>
  <w:style w:type="character" w:customStyle="1" w:styleId="CommentTextChar">
    <w:name w:val="Comment Text Char"/>
    <w:basedOn w:val="DefaultParagraphFont"/>
    <w:link w:val="CommentText"/>
    <w:rsid w:val="00EC08D7"/>
  </w:style>
  <w:style w:type="character" w:customStyle="1" w:styleId="CommentSubjectChar">
    <w:name w:val="Comment Subject Char"/>
    <w:basedOn w:val="CommentTextChar"/>
    <w:link w:val="CommentSubject"/>
    <w:rsid w:val="00EC08D7"/>
  </w:style>
  <w:style w:type="character" w:styleId="Hyperlink">
    <w:name w:val="Hyperlink"/>
    <w:basedOn w:val="DefaultParagraphFont"/>
    <w:rsid w:val="00171EBF"/>
    <w:rPr>
      <w:color w:val="0563C1" w:themeColor="hyperlink"/>
      <w:u w:val="single"/>
    </w:rPr>
  </w:style>
  <w:style w:type="character" w:customStyle="1" w:styleId="Mention1">
    <w:name w:val="Mention1"/>
    <w:basedOn w:val="DefaultParagraphFont"/>
    <w:uiPriority w:val="99"/>
    <w:semiHidden/>
    <w:unhideWhenUsed/>
    <w:rsid w:val="00171EBF"/>
    <w:rPr>
      <w:color w:val="2B579A"/>
      <w:shd w:val="clear" w:color="auto" w:fill="E6E6E6"/>
    </w:rPr>
  </w:style>
  <w:style w:type="paragraph" w:styleId="Revision">
    <w:name w:val="Revision"/>
    <w:hidden/>
    <w:uiPriority w:val="99"/>
    <w:semiHidden/>
    <w:rsid w:val="00427577"/>
    <w:rPr>
      <w:lang w:val="en-US" w:eastAsia="en-US"/>
    </w:rPr>
  </w:style>
  <w:style w:type="numbering" w:customStyle="1" w:styleId="Style1">
    <w:name w:val="Style1"/>
    <w:uiPriority w:val="99"/>
    <w:rsid w:val="00827870"/>
    <w:pPr>
      <w:numPr>
        <w:numId w:val="20"/>
      </w:numPr>
    </w:pPr>
  </w:style>
  <w:style w:type="numbering" w:customStyle="1" w:styleId="Style2">
    <w:name w:val="Style2"/>
    <w:uiPriority w:val="99"/>
    <w:rsid w:val="00827870"/>
    <w:pPr>
      <w:numPr>
        <w:numId w:val="21"/>
      </w:numPr>
    </w:pPr>
  </w:style>
  <w:style w:type="paragraph" w:customStyle="1" w:styleId="Default">
    <w:name w:val="Default"/>
    <w:rsid w:val="0063672F"/>
    <w:pPr>
      <w:autoSpaceDE w:val="0"/>
      <w:autoSpaceDN w:val="0"/>
      <w:adjustRightInd w:val="0"/>
    </w:pPr>
    <w:rPr>
      <w:rFonts w:ascii="Cambria" w:hAnsi="Cambria" w:cs="Cambri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52281">
      <w:bodyDiv w:val="1"/>
      <w:marLeft w:val="0"/>
      <w:marRight w:val="0"/>
      <w:marTop w:val="0"/>
      <w:marBottom w:val="0"/>
      <w:divBdr>
        <w:top w:val="none" w:sz="0" w:space="0" w:color="auto"/>
        <w:left w:val="none" w:sz="0" w:space="0" w:color="auto"/>
        <w:bottom w:val="none" w:sz="0" w:space="0" w:color="auto"/>
        <w:right w:val="none" w:sz="0" w:space="0" w:color="auto"/>
      </w:divBdr>
      <w:divsChild>
        <w:div w:id="769007348">
          <w:marLeft w:val="86"/>
          <w:marRight w:val="0"/>
          <w:marTop w:val="0"/>
          <w:marBottom w:val="40"/>
          <w:divBdr>
            <w:top w:val="none" w:sz="0" w:space="0" w:color="auto"/>
            <w:left w:val="none" w:sz="0" w:space="0" w:color="auto"/>
            <w:bottom w:val="none" w:sz="0" w:space="0" w:color="auto"/>
            <w:right w:val="none" w:sz="0" w:space="0" w:color="auto"/>
          </w:divBdr>
        </w:div>
      </w:divsChild>
    </w:div>
    <w:div w:id="141507038">
      <w:bodyDiv w:val="1"/>
      <w:marLeft w:val="0"/>
      <w:marRight w:val="0"/>
      <w:marTop w:val="0"/>
      <w:marBottom w:val="0"/>
      <w:divBdr>
        <w:top w:val="none" w:sz="0" w:space="0" w:color="auto"/>
        <w:left w:val="none" w:sz="0" w:space="0" w:color="auto"/>
        <w:bottom w:val="none" w:sz="0" w:space="0" w:color="auto"/>
        <w:right w:val="none" w:sz="0" w:space="0" w:color="auto"/>
      </w:divBdr>
    </w:div>
    <w:div w:id="348877141">
      <w:bodyDiv w:val="1"/>
      <w:marLeft w:val="0"/>
      <w:marRight w:val="0"/>
      <w:marTop w:val="0"/>
      <w:marBottom w:val="0"/>
      <w:divBdr>
        <w:top w:val="none" w:sz="0" w:space="0" w:color="auto"/>
        <w:left w:val="none" w:sz="0" w:space="0" w:color="auto"/>
        <w:bottom w:val="none" w:sz="0" w:space="0" w:color="auto"/>
        <w:right w:val="none" w:sz="0" w:space="0" w:color="auto"/>
      </w:divBdr>
    </w:div>
    <w:div w:id="460921826">
      <w:bodyDiv w:val="1"/>
      <w:marLeft w:val="0"/>
      <w:marRight w:val="0"/>
      <w:marTop w:val="0"/>
      <w:marBottom w:val="0"/>
      <w:divBdr>
        <w:top w:val="none" w:sz="0" w:space="0" w:color="auto"/>
        <w:left w:val="none" w:sz="0" w:space="0" w:color="auto"/>
        <w:bottom w:val="none" w:sz="0" w:space="0" w:color="auto"/>
        <w:right w:val="none" w:sz="0" w:space="0" w:color="auto"/>
      </w:divBdr>
    </w:div>
    <w:div w:id="490564609">
      <w:bodyDiv w:val="1"/>
      <w:marLeft w:val="0"/>
      <w:marRight w:val="0"/>
      <w:marTop w:val="0"/>
      <w:marBottom w:val="0"/>
      <w:divBdr>
        <w:top w:val="none" w:sz="0" w:space="0" w:color="auto"/>
        <w:left w:val="none" w:sz="0" w:space="0" w:color="auto"/>
        <w:bottom w:val="none" w:sz="0" w:space="0" w:color="auto"/>
        <w:right w:val="none" w:sz="0" w:space="0" w:color="auto"/>
      </w:divBdr>
    </w:div>
    <w:div w:id="626201523">
      <w:bodyDiv w:val="1"/>
      <w:marLeft w:val="0"/>
      <w:marRight w:val="0"/>
      <w:marTop w:val="0"/>
      <w:marBottom w:val="0"/>
      <w:divBdr>
        <w:top w:val="none" w:sz="0" w:space="0" w:color="auto"/>
        <w:left w:val="none" w:sz="0" w:space="0" w:color="auto"/>
        <w:bottom w:val="none" w:sz="0" w:space="0" w:color="auto"/>
        <w:right w:val="none" w:sz="0" w:space="0" w:color="auto"/>
      </w:divBdr>
    </w:div>
    <w:div w:id="821773375">
      <w:bodyDiv w:val="1"/>
      <w:marLeft w:val="0"/>
      <w:marRight w:val="0"/>
      <w:marTop w:val="0"/>
      <w:marBottom w:val="0"/>
      <w:divBdr>
        <w:top w:val="none" w:sz="0" w:space="0" w:color="auto"/>
        <w:left w:val="none" w:sz="0" w:space="0" w:color="auto"/>
        <w:bottom w:val="none" w:sz="0" w:space="0" w:color="auto"/>
        <w:right w:val="none" w:sz="0" w:space="0" w:color="auto"/>
      </w:divBdr>
    </w:div>
    <w:div w:id="1052660285">
      <w:bodyDiv w:val="1"/>
      <w:marLeft w:val="0"/>
      <w:marRight w:val="0"/>
      <w:marTop w:val="0"/>
      <w:marBottom w:val="0"/>
      <w:divBdr>
        <w:top w:val="none" w:sz="0" w:space="0" w:color="auto"/>
        <w:left w:val="none" w:sz="0" w:space="0" w:color="auto"/>
        <w:bottom w:val="none" w:sz="0" w:space="0" w:color="auto"/>
        <w:right w:val="none" w:sz="0" w:space="0" w:color="auto"/>
      </w:divBdr>
    </w:div>
    <w:div w:id="1361475116">
      <w:bodyDiv w:val="1"/>
      <w:marLeft w:val="0"/>
      <w:marRight w:val="0"/>
      <w:marTop w:val="0"/>
      <w:marBottom w:val="0"/>
      <w:divBdr>
        <w:top w:val="none" w:sz="0" w:space="0" w:color="auto"/>
        <w:left w:val="none" w:sz="0" w:space="0" w:color="auto"/>
        <w:bottom w:val="none" w:sz="0" w:space="0" w:color="auto"/>
        <w:right w:val="none" w:sz="0" w:space="0" w:color="auto"/>
      </w:divBdr>
      <w:divsChild>
        <w:div w:id="1689671200">
          <w:marLeft w:val="86"/>
          <w:marRight w:val="0"/>
          <w:marTop w:val="0"/>
          <w:marBottom w:val="40"/>
          <w:divBdr>
            <w:top w:val="none" w:sz="0" w:space="0" w:color="auto"/>
            <w:left w:val="none" w:sz="0" w:space="0" w:color="auto"/>
            <w:bottom w:val="none" w:sz="0" w:space="0" w:color="auto"/>
            <w:right w:val="none" w:sz="0" w:space="0" w:color="auto"/>
          </w:divBdr>
        </w:div>
        <w:div w:id="291056474">
          <w:marLeft w:val="86"/>
          <w:marRight w:val="0"/>
          <w:marTop w:val="0"/>
          <w:marBottom w:val="40"/>
          <w:divBdr>
            <w:top w:val="none" w:sz="0" w:space="0" w:color="auto"/>
            <w:left w:val="none" w:sz="0" w:space="0" w:color="auto"/>
            <w:bottom w:val="none" w:sz="0" w:space="0" w:color="auto"/>
            <w:right w:val="none" w:sz="0" w:space="0" w:color="auto"/>
          </w:divBdr>
        </w:div>
        <w:div w:id="1815951591">
          <w:marLeft w:val="86"/>
          <w:marRight w:val="0"/>
          <w:marTop w:val="0"/>
          <w:marBottom w:val="40"/>
          <w:divBdr>
            <w:top w:val="none" w:sz="0" w:space="0" w:color="auto"/>
            <w:left w:val="none" w:sz="0" w:space="0" w:color="auto"/>
            <w:bottom w:val="none" w:sz="0" w:space="0" w:color="auto"/>
            <w:right w:val="none" w:sz="0" w:space="0" w:color="auto"/>
          </w:divBdr>
        </w:div>
        <w:div w:id="1473251584">
          <w:marLeft w:val="374"/>
          <w:marRight w:val="0"/>
          <w:marTop w:val="0"/>
          <w:marBottom w:val="40"/>
          <w:divBdr>
            <w:top w:val="none" w:sz="0" w:space="0" w:color="auto"/>
            <w:left w:val="none" w:sz="0" w:space="0" w:color="auto"/>
            <w:bottom w:val="none" w:sz="0" w:space="0" w:color="auto"/>
            <w:right w:val="none" w:sz="0" w:space="0" w:color="auto"/>
          </w:divBdr>
        </w:div>
      </w:divsChild>
    </w:div>
    <w:div w:id="1670251555">
      <w:bodyDiv w:val="1"/>
      <w:marLeft w:val="0"/>
      <w:marRight w:val="0"/>
      <w:marTop w:val="0"/>
      <w:marBottom w:val="0"/>
      <w:divBdr>
        <w:top w:val="none" w:sz="0" w:space="0" w:color="auto"/>
        <w:left w:val="none" w:sz="0" w:space="0" w:color="auto"/>
        <w:bottom w:val="none" w:sz="0" w:space="0" w:color="auto"/>
        <w:right w:val="none" w:sz="0" w:space="0" w:color="auto"/>
      </w:divBdr>
      <w:divsChild>
        <w:div w:id="1821577903">
          <w:marLeft w:val="86"/>
          <w:marRight w:val="0"/>
          <w:marTop w:val="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Operations" ma:contentTypeID="0x01010097539AEBFB7E6F4387C0787516276B97009DBCD1A42EEC4644BC186F290D30B3F1" ma:contentTypeVersion="0" ma:contentTypeDescription="The base project type from which other project content types inherit their information" ma:contentTypeScope="" ma:versionID="326444e7a01c12bc0bcfbeaf47d2da5e">
  <xsd:schema xmlns:xsd="http://www.w3.org/2001/XMLSchema" xmlns:xs="http://www.w3.org/2001/XMLSchema" xmlns:p="http://schemas.microsoft.com/office/2006/metadata/properties" xmlns:ns2="9c571b2f-e523-4ab2-ba2e-09e151a03ef4" targetNamespace="http://schemas.microsoft.com/office/2006/metadata/properties" ma:root="true" ma:fieldsID="8997b640c295563ec33b3321389368e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minOccurs="0"/>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Project_x0020_Number" ma:index="15" nillable="true"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39493480</IDBDocs_x0020_Number>
    <TaxCatchAll xmlns="9c571b2f-e523-4ab2-ba2e-09e151a03ef4">
      <Value>11</Value>
      <Value>12</Value>
    </TaxCatchAll>
    <Phase xmlns="9c571b2f-e523-4ab2-ba2e-09e151a03ef4" xsi:nil="true"/>
    <SISCOR_x0020_Number xmlns="9c571b2f-e523-4ab2-ba2e-09e151a03ef4" xsi:nil="true"/>
    <Division_x0020_or_x0020_Unit xmlns="9c571b2f-e523-4ab2-ba2e-09e151a03ef4">INE/ENE</Division_x0020_or_x0020_Unit>
    <From_x003a_ xmlns="9c571b2f-e523-4ab2-ba2e-09e151a03ef4" xsi:nil="true"/>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 xsi:nil="true"/>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DR-L1058</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WORD&lt;/APPLICATION&gt;&lt;PD_OBJ_TYPE&gt;0&lt;/PD_OBJ_TYPE&gt;&lt;MAKERECORD&gt;N&lt;/MAKERECORD&gt;&lt;/Data&gt;</Migration_x0020_Info>
    <Operation_x0020_Type xmlns="9c571b2f-e523-4ab2-ba2e-09e151a03ef4" xsi:nil="true"/>
    <Document_x0020_Language_x0020_IDB xmlns="9c571b2f-e523-4ab2-ba2e-09e151a03ef4" xsi:nil="true"/>
    <Identifier xmlns="9c571b2f-e523-4ab2-ba2e-09e151a03ef4">POD</Identifier>
  </documentManagement>
</p:properties>
</file>

<file path=customXml/item4.xml><?xml version="1.0" encoding="utf-8"?>
<LongProperties xmlns="http://schemas.microsoft.com/office/2006/metadata/longProperties"/>
</file>

<file path=customXml/item5.xml><?xml version="1.0" encoding="utf-8"?>
<?mso-contentType ?>
<SharedContentType xmlns="Microsoft.SharePoint.Taxonomy.ContentTypeSync" SourceId="cf0be0ad-272c-4e7f-a157-3f0abda6cde5" ContentTypeId="0x01010097539AEBFB7E6F4387C0787516276B97" PreviousValue="false"/>
</file>

<file path=customXml/item6.xml><?xml version="1.0" encoding="utf-8"?>
<?mso-contentType ?>
<spe:Receivers xmlns:spe="http://schemas.microsoft.com/sharepoint/event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082F5-3470-45E4-AA37-CEDA568E0F72}">
  <ds:schemaRefs>
    <ds:schemaRef ds:uri="http://schemas.microsoft.com/sharepoint/v3/contenttype/forms"/>
  </ds:schemaRefs>
</ds:datastoreItem>
</file>

<file path=customXml/itemProps2.xml><?xml version="1.0" encoding="utf-8"?>
<ds:datastoreItem xmlns:ds="http://schemas.openxmlformats.org/officeDocument/2006/customXml" ds:itemID="{65B1F30D-58D6-4F84-B2DF-A3C2A6B45F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94CE12-F121-4119-9DC0-268753AE64BF}">
  <ds:schemaRefs>
    <ds:schemaRef ds:uri="http://purl.org/dc/terms/"/>
    <ds:schemaRef ds:uri="http://schemas.openxmlformats.org/package/2006/metadata/core-properties"/>
    <ds:schemaRef ds:uri="http://schemas.microsoft.com/office/2006/documentManagement/types"/>
    <ds:schemaRef ds:uri="9c571b2f-e523-4ab2-ba2e-09e151a03ef4"/>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5824E51-04D0-48D2-A12E-D5EA5D661E64}">
  <ds:schemaRefs>
    <ds:schemaRef ds:uri="http://schemas.microsoft.com/office/2006/metadata/longProperties"/>
  </ds:schemaRefs>
</ds:datastoreItem>
</file>

<file path=customXml/itemProps5.xml><?xml version="1.0" encoding="utf-8"?>
<ds:datastoreItem xmlns:ds="http://schemas.openxmlformats.org/officeDocument/2006/customXml" ds:itemID="{7B15BD9F-D239-48F8-AA1C-37CEAB57FEC3}">
  <ds:schemaRefs>
    <ds:schemaRef ds:uri="Microsoft.SharePoint.Taxonomy.ContentTypeSync"/>
  </ds:schemaRefs>
</ds:datastoreItem>
</file>

<file path=customXml/itemProps6.xml><?xml version="1.0" encoding="utf-8"?>
<ds:datastoreItem xmlns:ds="http://schemas.openxmlformats.org/officeDocument/2006/customXml" ds:itemID="{297FDBDF-5416-432B-BF6B-6A27AA2D22F0}">
  <ds:schemaRefs>
    <ds:schemaRef ds:uri="http://schemas.microsoft.com/sharepoint/events"/>
  </ds:schemaRefs>
</ds:datastoreItem>
</file>

<file path=customXml/itemProps7.xml><?xml version="1.0" encoding="utf-8"?>
<ds:datastoreItem xmlns:ds="http://schemas.openxmlformats.org/officeDocument/2006/customXml" ds:itemID="{3FBC9AE2-F877-4488-81F5-9FFBCD576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2036</Words>
  <Characters>11608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Matriz de Politica actualizada DR-L1058</vt:lpstr>
    </vt:vector>
  </TitlesOfParts>
  <Company>Inter-American Development Bank</Company>
  <LinksUpToDate>false</LinksUpToDate>
  <CharactersWithSpaces>13617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de Politica actualizada DR-L1058</dc:title>
  <dc:subject/>
  <dc:creator>JORGEM@iadb.org;NANCYJC@iadb.org</dc:creator>
  <cp:keywords/>
  <dc:description/>
  <cp:lastModifiedBy>Bonifaz Urquizu, Jeanette</cp:lastModifiedBy>
  <cp:revision>77</cp:revision>
  <cp:lastPrinted>2018-06-19T20:23:00Z</cp:lastPrinted>
  <dcterms:created xsi:type="dcterms:W3CDTF">2018-10-01T14:15:00Z</dcterms:created>
  <dcterms:modified xsi:type="dcterms:W3CDTF">2018-10-15T15:00:00Z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Series_x0020_Operations_x0020_IDB">
    <vt:lpwstr>11;#Unclassified|a6dff32e-d477-44cd-a56b-85efe9e0a56c</vt:lpwstr>
  </property>
  <property fmtid="{D5CDD505-2E9C-101B-9397-08002B2CF9AE}" pid="4" name="Sub_x002d_Sector">
    <vt:lpwstr/>
  </property>
  <property fmtid="{D5CDD505-2E9C-101B-9397-08002B2CF9AE}" pid="5" name="TaxKeyword">
    <vt:lpwstr/>
  </property>
  <property fmtid="{D5CDD505-2E9C-101B-9397-08002B2CF9AE}" pid="6" name="Function Operations IDB">
    <vt:lpwstr>12;#IDBDocs|cca77002-e150-4b2d-ab1f-1d7a7cdcae16</vt:lpwstr>
  </property>
  <property fmtid="{D5CDD505-2E9C-101B-9397-08002B2CF9AE}" pid="7" name="Sector IDB">
    <vt:lpwstr/>
  </property>
  <property fmtid="{D5CDD505-2E9C-101B-9397-08002B2CF9AE}" pid="8" name="Fund IDB">
    <vt:lpwstr/>
  </property>
  <property fmtid="{D5CDD505-2E9C-101B-9397-08002B2CF9AE}" pid="9" name="Country">
    <vt:lpwstr/>
  </property>
  <property fmtid="{D5CDD505-2E9C-101B-9397-08002B2CF9AE}" pid="10" name="display_urn:schemas-microsoft-com:office:office#Editor">
    <vt:lpwstr>Jesurun-Clements, Nancy</vt:lpwstr>
  </property>
  <property fmtid="{D5CDD505-2E9C-101B-9397-08002B2CF9AE}" pid="11" name="display_urn:schemas-microsoft-com:office:office#Author">
    <vt:lpwstr>Malagon Orjuela, Edwin Antonio</vt:lpwstr>
  </property>
  <property fmtid="{D5CDD505-2E9C-101B-9397-08002B2CF9AE}" pid="12" name="Series Operations IDB">
    <vt:lpwstr>11</vt:lpwstr>
  </property>
</Properties>
</file>