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ECA1C" w14:textId="77777777" w:rsidR="005B72F7" w:rsidRPr="00C3216A" w:rsidRDefault="005B72F7" w:rsidP="00FE0B90">
      <w:pPr>
        <w:tabs>
          <w:tab w:val="left" w:pos="1440"/>
          <w:tab w:val="left" w:pos="3060"/>
        </w:tabs>
        <w:jc w:val="center"/>
        <w:rPr>
          <w:rFonts w:ascii="Arial" w:hAnsi="Arial" w:cs="Arial"/>
          <w:b/>
          <w:smallCaps/>
          <w:szCs w:val="24"/>
          <w:lang w:val="es-ES"/>
        </w:rPr>
      </w:pPr>
      <w:bookmarkStart w:id="0" w:name="_Hlk511822332"/>
      <w:bookmarkEnd w:id="0"/>
      <w:r w:rsidRPr="00C3216A">
        <w:rPr>
          <w:rFonts w:ascii="Arial" w:hAnsi="Arial" w:cs="Arial"/>
          <w:b/>
          <w:smallCaps/>
          <w:szCs w:val="24"/>
          <w:lang w:val="es-ES"/>
        </w:rPr>
        <w:t>Documento del Banco Interamericano de Desarrollo</w:t>
      </w:r>
    </w:p>
    <w:p w14:paraId="417C5775" w14:textId="77777777" w:rsidR="005B72F7" w:rsidRPr="00C3216A" w:rsidRDefault="005B72F7" w:rsidP="005B72F7">
      <w:pPr>
        <w:ind w:left="1080"/>
        <w:jc w:val="center"/>
        <w:rPr>
          <w:rFonts w:ascii="Arial" w:hAnsi="Arial" w:cs="Arial"/>
          <w:b/>
          <w:sz w:val="22"/>
          <w:szCs w:val="22"/>
          <w:lang w:val="es-ES"/>
        </w:rPr>
      </w:pPr>
    </w:p>
    <w:p w14:paraId="5A3401B0" w14:textId="77777777" w:rsidR="005B72F7" w:rsidRPr="00C3216A" w:rsidRDefault="005B72F7" w:rsidP="005B72F7">
      <w:pPr>
        <w:tabs>
          <w:tab w:val="left" w:pos="1440"/>
          <w:tab w:val="left" w:pos="3060"/>
        </w:tabs>
        <w:jc w:val="center"/>
        <w:rPr>
          <w:rFonts w:ascii="Arial" w:hAnsi="Arial" w:cs="Arial"/>
          <w:b/>
          <w:smallCaps/>
          <w:sz w:val="22"/>
          <w:szCs w:val="22"/>
          <w:lang w:val="es-ES"/>
        </w:rPr>
      </w:pPr>
    </w:p>
    <w:p w14:paraId="1831A324" w14:textId="77777777" w:rsidR="005B72F7" w:rsidRPr="00C3216A" w:rsidRDefault="005B72F7" w:rsidP="005B72F7">
      <w:pPr>
        <w:tabs>
          <w:tab w:val="left" w:pos="1440"/>
          <w:tab w:val="left" w:pos="3060"/>
        </w:tabs>
        <w:jc w:val="center"/>
        <w:rPr>
          <w:rFonts w:ascii="Arial" w:hAnsi="Arial" w:cs="Arial"/>
          <w:b/>
          <w:smallCaps/>
          <w:sz w:val="22"/>
          <w:szCs w:val="22"/>
          <w:lang w:val="es-ES"/>
        </w:rPr>
      </w:pPr>
    </w:p>
    <w:p w14:paraId="434C6CA0" w14:textId="77777777" w:rsidR="005B72F7" w:rsidRPr="00C3216A" w:rsidRDefault="005B72F7" w:rsidP="005B72F7">
      <w:pPr>
        <w:tabs>
          <w:tab w:val="left" w:pos="1440"/>
          <w:tab w:val="left" w:pos="3060"/>
        </w:tabs>
        <w:jc w:val="center"/>
        <w:rPr>
          <w:rFonts w:ascii="Arial" w:hAnsi="Arial" w:cs="Arial"/>
          <w:b/>
          <w:smallCaps/>
          <w:sz w:val="22"/>
          <w:szCs w:val="22"/>
          <w:lang w:val="es-ES"/>
        </w:rPr>
      </w:pPr>
    </w:p>
    <w:p w14:paraId="65F01A14" w14:textId="77777777" w:rsidR="00FC339F" w:rsidRPr="00C3216A" w:rsidRDefault="00FC339F" w:rsidP="005B72F7">
      <w:pPr>
        <w:tabs>
          <w:tab w:val="left" w:pos="1440"/>
          <w:tab w:val="left" w:pos="3060"/>
        </w:tabs>
        <w:jc w:val="center"/>
        <w:rPr>
          <w:rFonts w:ascii="Arial" w:hAnsi="Arial" w:cs="Arial"/>
          <w:b/>
          <w:smallCaps/>
          <w:sz w:val="22"/>
          <w:szCs w:val="22"/>
          <w:lang w:val="es-ES"/>
        </w:rPr>
      </w:pPr>
    </w:p>
    <w:p w14:paraId="472556F1" w14:textId="77777777" w:rsidR="00FC339F" w:rsidRPr="00C3216A" w:rsidRDefault="00FC339F" w:rsidP="005B72F7">
      <w:pPr>
        <w:tabs>
          <w:tab w:val="left" w:pos="1440"/>
          <w:tab w:val="left" w:pos="3060"/>
        </w:tabs>
        <w:jc w:val="center"/>
        <w:rPr>
          <w:rFonts w:ascii="Arial" w:hAnsi="Arial" w:cs="Arial"/>
          <w:b/>
          <w:smallCaps/>
          <w:sz w:val="22"/>
          <w:szCs w:val="22"/>
          <w:lang w:val="es-ES"/>
        </w:rPr>
      </w:pPr>
    </w:p>
    <w:p w14:paraId="7E85480B" w14:textId="77777777" w:rsidR="005B72F7" w:rsidRPr="00C3216A" w:rsidRDefault="005B72F7" w:rsidP="005B72F7">
      <w:pPr>
        <w:tabs>
          <w:tab w:val="left" w:pos="1440"/>
          <w:tab w:val="left" w:pos="3060"/>
        </w:tabs>
        <w:jc w:val="center"/>
        <w:rPr>
          <w:rFonts w:ascii="Arial" w:hAnsi="Arial" w:cs="Arial"/>
          <w:b/>
          <w:smallCaps/>
          <w:sz w:val="22"/>
          <w:szCs w:val="22"/>
          <w:lang w:val="es-ES"/>
        </w:rPr>
      </w:pPr>
    </w:p>
    <w:p w14:paraId="5A29CECC" w14:textId="77777777" w:rsidR="005B72F7" w:rsidRPr="00C3216A" w:rsidRDefault="005B72F7" w:rsidP="005B72F7">
      <w:pPr>
        <w:tabs>
          <w:tab w:val="left" w:pos="1440"/>
          <w:tab w:val="left" w:pos="3060"/>
        </w:tabs>
        <w:jc w:val="center"/>
        <w:rPr>
          <w:rFonts w:ascii="Arial" w:hAnsi="Arial" w:cs="Arial"/>
          <w:b/>
          <w:smallCaps/>
          <w:sz w:val="22"/>
          <w:szCs w:val="22"/>
          <w:lang w:val="es-ES"/>
        </w:rPr>
      </w:pPr>
    </w:p>
    <w:p w14:paraId="10EF4B3E" w14:textId="77777777" w:rsidR="005B72F7" w:rsidRPr="00C3216A" w:rsidRDefault="005B72F7" w:rsidP="005B72F7">
      <w:pPr>
        <w:tabs>
          <w:tab w:val="left" w:pos="1440"/>
          <w:tab w:val="left" w:pos="3060"/>
        </w:tabs>
        <w:jc w:val="center"/>
        <w:rPr>
          <w:rFonts w:ascii="Arial" w:hAnsi="Arial" w:cs="Arial"/>
          <w:b/>
          <w:smallCaps/>
          <w:sz w:val="22"/>
          <w:szCs w:val="22"/>
          <w:lang w:val="es-ES"/>
        </w:rPr>
      </w:pPr>
    </w:p>
    <w:p w14:paraId="472648EA" w14:textId="77777777" w:rsidR="005B72F7" w:rsidRPr="00C3216A" w:rsidRDefault="005B72F7" w:rsidP="005B72F7">
      <w:pPr>
        <w:tabs>
          <w:tab w:val="left" w:pos="1440"/>
          <w:tab w:val="left" w:pos="3060"/>
        </w:tabs>
        <w:jc w:val="center"/>
        <w:rPr>
          <w:rFonts w:ascii="Arial" w:hAnsi="Arial" w:cs="Arial"/>
          <w:b/>
          <w:smallCaps/>
          <w:sz w:val="22"/>
          <w:szCs w:val="22"/>
          <w:lang w:val="es-ES"/>
        </w:rPr>
      </w:pPr>
    </w:p>
    <w:p w14:paraId="22C8061C" w14:textId="77777777" w:rsidR="005B72F7" w:rsidRPr="00C3216A" w:rsidRDefault="009041D4" w:rsidP="005B72F7">
      <w:pPr>
        <w:tabs>
          <w:tab w:val="left" w:pos="1440"/>
          <w:tab w:val="left" w:pos="3060"/>
        </w:tabs>
        <w:jc w:val="center"/>
        <w:rPr>
          <w:rFonts w:ascii="Arial" w:hAnsi="Arial" w:cs="Arial"/>
          <w:b/>
          <w:smallCaps/>
          <w:szCs w:val="24"/>
          <w:lang w:val="es-ES"/>
        </w:rPr>
      </w:pPr>
      <w:r>
        <w:rPr>
          <w:rFonts w:ascii="Arial" w:hAnsi="Arial" w:cs="Arial"/>
          <w:b/>
          <w:smallCaps/>
          <w:szCs w:val="24"/>
          <w:lang w:val="es-ES"/>
        </w:rPr>
        <w:t>República Dominicana</w:t>
      </w:r>
    </w:p>
    <w:p w14:paraId="6E9F367D" w14:textId="77777777" w:rsidR="005B72F7" w:rsidRPr="00C3216A" w:rsidRDefault="005B72F7" w:rsidP="005B72F7">
      <w:pPr>
        <w:tabs>
          <w:tab w:val="left" w:pos="1440"/>
          <w:tab w:val="left" w:pos="3060"/>
        </w:tabs>
        <w:jc w:val="center"/>
        <w:rPr>
          <w:rFonts w:ascii="Arial" w:hAnsi="Arial" w:cs="Arial"/>
          <w:smallCaps/>
          <w:sz w:val="22"/>
          <w:szCs w:val="22"/>
          <w:highlight w:val="lightGray"/>
          <w:lang w:val="es-ES"/>
        </w:rPr>
      </w:pPr>
    </w:p>
    <w:p w14:paraId="6CFA3CD6" w14:textId="77777777" w:rsidR="005B72F7" w:rsidRPr="00C3216A" w:rsidRDefault="005B72F7" w:rsidP="005B72F7">
      <w:pPr>
        <w:tabs>
          <w:tab w:val="left" w:pos="1440"/>
          <w:tab w:val="left" w:pos="3060"/>
        </w:tabs>
        <w:jc w:val="center"/>
        <w:rPr>
          <w:rFonts w:ascii="Arial" w:hAnsi="Arial" w:cs="Arial"/>
          <w:b/>
          <w:smallCaps/>
          <w:sz w:val="22"/>
          <w:szCs w:val="22"/>
          <w:highlight w:val="lightGray"/>
          <w:lang w:val="es-ES"/>
        </w:rPr>
      </w:pPr>
    </w:p>
    <w:p w14:paraId="56FCDF71" w14:textId="77777777" w:rsidR="005B72F7" w:rsidRPr="00C3216A" w:rsidRDefault="005B72F7" w:rsidP="005B72F7">
      <w:pPr>
        <w:tabs>
          <w:tab w:val="left" w:pos="1440"/>
          <w:tab w:val="left" w:pos="3060"/>
        </w:tabs>
        <w:jc w:val="center"/>
        <w:rPr>
          <w:rFonts w:ascii="Arial" w:hAnsi="Arial" w:cs="Arial"/>
          <w:b/>
          <w:smallCaps/>
          <w:sz w:val="22"/>
          <w:szCs w:val="22"/>
          <w:highlight w:val="lightGray"/>
          <w:lang w:val="es-ES"/>
        </w:rPr>
      </w:pPr>
    </w:p>
    <w:p w14:paraId="3E14DC13" w14:textId="77777777" w:rsidR="005B72F7" w:rsidRPr="00C3216A" w:rsidRDefault="005B72F7" w:rsidP="005B72F7">
      <w:pPr>
        <w:tabs>
          <w:tab w:val="left" w:pos="1440"/>
          <w:tab w:val="left" w:pos="3060"/>
        </w:tabs>
        <w:jc w:val="center"/>
        <w:rPr>
          <w:rFonts w:ascii="Arial" w:hAnsi="Arial" w:cs="Arial"/>
          <w:b/>
          <w:smallCaps/>
          <w:sz w:val="22"/>
          <w:szCs w:val="22"/>
          <w:highlight w:val="lightGray"/>
          <w:lang w:val="es-ES"/>
        </w:rPr>
      </w:pPr>
    </w:p>
    <w:p w14:paraId="414B9F91" w14:textId="77777777" w:rsidR="00B41C15" w:rsidRPr="00C3216A" w:rsidRDefault="00B41C15" w:rsidP="005B72F7">
      <w:pPr>
        <w:tabs>
          <w:tab w:val="left" w:pos="1440"/>
          <w:tab w:val="left" w:pos="3060"/>
        </w:tabs>
        <w:jc w:val="center"/>
        <w:rPr>
          <w:rFonts w:ascii="Arial" w:hAnsi="Arial" w:cs="Arial"/>
          <w:b/>
          <w:smallCaps/>
          <w:sz w:val="22"/>
          <w:szCs w:val="22"/>
          <w:highlight w:val="lightGray"/>
          <w:lang w:val="es-ES"/>
        </w:rPr>
      </w:pPr>
    </w:p>
    <w:p w14:paraId="0D354F47" w14:textId="77777777" w:rsidR="00B41C15" w:rsidRPr="00C3216A" w:rsidRDefault="00B41C15" w:rsidP="005B72F7">
      <w:pPr>
        <w:tabs>
          <w:tab w:val="left" w:pos="1440"/>
          <w:tab w:val="left" w:pos="3060"/>
        </w:tabs>
        <w:jc w:val="center"/>
        <w:rPr>
          <w:rFonts w:ascii="Arial" w:hAnsi="Arial" w:cs="Arial"/>
          <w:b/>
          <w:smallCaps/>
          <w:sz w:val="22"/>
          <w:szCs w:val="22"/>
          <w:highlight w:val="lightGray"/>
          <w:lang w:val="es-ES"/>
        </w:rPr>
      </w:pPr>
    </w:p>
    <w:p w14:paraId="512F02DA" w14:textId="77777777" w:rsidR="005B72F7" w:rsidRPr="00C3216A" w:rsidRDefault="005B72F7" w:rsidP="005B72F7">
      <w:pPr>
        <w:tabs>
          <w:tab w:val="left" w:pos="1440"/>
          <w:tab w:val="left" w:pos="3060"/>
        </w:tabs>
        <w:jc w:val="center"/>
        <w:rPr>
          <w:rFonts w:ascii="Arial" w:hAnsi="Arial" w:cs="Arial"/>
          <w:b/>
          <w:smallCaps/>
          <w:sz w:val="22"/>
          <w:szCs w:val="22"/>
          <w:highlight w:val="lightGray"/>
          <w:lang w:val="es-ES"/>
        </w:rPr>
      </w:pPr>
    </w:p>
    <w:p w14:paraId="138D378B" w14:textId="77777777" w:rsidR="009041D4" w:rsidRPr="009041D4" w:rsidRDefault="009041D4" w:rsidP="009041D4">
      <w:pPr>
        <w:jc w:val="center"/>
        <w:rPr>
          <w:rFonts w:ascii="Arial" w:hAnsi="Arial" w:cs="Arial"/>
          <w:b/>
          <w:smallCaps/>
          <w:szCs w:val="24"/>
          <w:lang w:val="es-ES"/>
        </w:rPr>
      </w:pPr>
      <w:r w:rsidRPr="009041D4">
        <w:rPr>
          <w:rFonts w:ascii="Arial" w:hAnsi="Arial" w:cs="Arial"/>
          <w:b/>
          <w:smallCaps/>
          <w:szCs w:val="24"/>
          <w:lang w:val="es-ES"/>
        </w:rPr>
        <w:t>Programa para la Sostenibilidad y Eficiencia del Sector Eléctrico II</w:t>
      </w:r>
    </w:p>
    <w:p w14:paraId="2B989AE0" w14:textId="77777777" w:rsidR="0098751B" w:rsidRPr="00C3216A" w:rsidRDefault="0098751B" w:rsidP="0098751B">
      <w:pPr>
        <w:jc w:val="center"/>
        <w:rPr>
          <w:rFonts w:ascii="Arial" w:hAnsi="Arial" w:cs="Arial"/>
          <w:b/>
          <w:smallCaps/>
          <w:szCs w:val="24"/>
          <w:lang w:val="es-ES"/>
        </w:rPr>
      </w:pPr>
      <w:r w:rsidRPr="00C3216A">
        <w:rPr>
          <w:rFonts w:ascii="Arial" w:hAnsi="Arial" w:cs="Arial"/>
          <w:b/>
          <w:smallCaps/>
          <w:szCs w:val="24"/>
          <w:lang w:val="es-ES"/>
        </w:rPr>
        <w:t>Segundo Préstamo</w:t>
      </w:r>
    </w:p>
    <w:p w14:paraId="187A52E0" w14:textId="77777777" w:rsidR="00232F8D" w:rsidRPr="00C3216A" w:rsidRDefault="00232F8D" w:rsidP="0098751B">
      <w:pPr>
        <w:jc w:val="center"/>
        <w:rPr>
          <w:rFonts w:ascii="Arial" w:hAnsi="Arial" w:cs="Arial"/>
          <w:b/>
          <w:smallCaps/>
          <w:szCs w:val="24"/>
          <w:lang w:val="es-ES"/>
        </w:rPr>
      </w:pPr>
    </w:p>
    <w:p w14:paraId="27CA2A80" w14:textId="77777777" w:rsidR="0098751B" w:rsidRPr="00C3216A" w:rsidRDefault="009041D4" w:rsidP="0098751B">
      <w:pPr>
        <w:jc w:val="center"/>
        <w:rPr>
          <w:rFonts w:ascii="Arial" w:hAnsi="Arial" w:cs="Arial"/>
          <w:b/>
          <w:smallCaps/>
          <w:szCs w:val="24"/>
          <w:lang w:val="es-ES"/>
        </w:rPr>
      </w:pPr>
      <w:r>
        <w:rPr>
          <w:rFonts w:ascii="Arial" w:hAnsi="Arial" w:cs="Arial"/>
          <w:b/>
          <w:smallCaps/>
          <w:szCs w:val="24"/>
          <w:lang w:val="es-ES"/>
        </w:rPr>
        <w:t>DR-L1058</w:t>
      </w:r>
    </w:p>
    <w:p w14:paraId="11CD4326" w14:textId="77777777" w:rsidR="005B72F7" w:rsidRPr="00C3216A" w:rsidRDefault="005B72F7" w:rsidP="005B72F7">
      <w:pPr>
        <w:pStyle w:val="Newpage"/>
        <w:rPr>
          <w:rFonts w:ascii="Arial" w:hAnsi="Arial"/>
          <w:b w:val="0"/>
          <w:caps/>
          <w:smallCaps w:val="0"/>
          <w:sz w:val="22"/>
          <w:szCs w:val="22"/>
          <w:lang w:val="es-ES"/>
        </w:rPr>
      </w:pPr>
    </w:p>
    <w:p w14:paraId="0A95C9B2"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2F6770AE"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2E5A93D6"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63E63D4D"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12CA9488"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00B0EBEB"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1E5746ED"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1548C08D"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230FA705" w14:textId="77777777" w:rsidR="00B41C15" w:rsidRPr="00C3216A" w:rsidRDefault="00B41C15" w:rsidP="005B72F7">
      <w:pPr>
        <w:tabs>
          <w:tab w:val="left" w:pos="1440"/>
          <w:tab w:val="left" w:pos="3060"/>
        </w:tabs>
        <w:jc w:val="center"/>
        <w:rPr>
          <w:rFonts w:ascii="Arial" w:hAnsi="Arial" w:cs="Arial"/>
          <w:smallCaps/>
          <w:sz w:val="22"/>
          <w:szCs w:val="22"/>
          <w:lang w:val="es-ES"/>
        </w:rPr>
      </w:pPr>
    </w:p>
    <w:p w14:paraId="2A873915" w14:textId="1BEEFFA8" w:rsidR="005B72F7" w:rsidRPr="00C3216A" w:rsidRDefault="0097728B" w:rsidP="00FE0B90">
      <w:pPr>
        <w:tabs>
          <w:tab w:val="left" w:pos="1440"/>
          <w:tab w:val="left" w:pos="3060"/>
        </w:tabs>
        <w:jc w:val="center"/>
        <w:rPr>
          <w:rFonts w:ascii="Arial" w:hAnsi="Arial" w:cs="Arial"/>
          <w:b/>
          <w:smallCaps/>
          <w:szCs w:val="24"/>
          <w:lang w:val="es-ES"/>
        </w:rPr>
      </w:pPr>
      <w:r w:rsidRPr="00C3216A">
        <w:rPr>
          <w:rFonts w:ascii="Arial" w:hAnsi="Arial" w:cs="Arial"/>
          <w:b/>
          <w:smallCaps/>
          <w:szCs w:val="24"/>
          <w:lang w:val="es-ES"/>
        </w:rPr>
        <w:t>Plan de Seguimiento</w:t>
      </w:r>
      <w:r w:rsidR="005B72F7" w:rsidRPr="00C3216A">
        <w:rPr>
          <w:rFonts w:ascii="Arial" w:hAnsi="Arial" w:cs="Arial"/>
          <w:b/>
          <w:smallCaps/>
          <w:szCs w:val="24"/>
          <w:lang w:val="es-ES"/>
        </w:rPr>
        <w:t xml:space="preserve"> y Evaluación</w:t>
      </w:r>
      <w:r w:rsidR="00BD6CCE">
        <w:rPr>
          <w:rFonts w:ascii="Arial" w:hAnsi="Arial" w:cs="Arial"/>
          <w:b/>
          <w:smallCaps/>
          <w:szCs w:val="24"/>
          <w:lang w:val="es-ES"/>
        </w:rPr>
        <w:t xml:space="preserve"> (PSE)</w:t>
      </w:r>
    </w:p>
    <w:p w14:paraId="20A596B0" w14:textId="77777777" w:rsidR="005B72F7" w:rsidRPr="00C3216A" w:rsidRDefault="005B72F7" w:rsidP="005B72F7">
      <w:pPr>
        <w:tabs>
          <w:tab w:val="left" w:pos="1440"/>
          <w:tab w:val="left" w:pos="3060"/>
        </w:tabs>
        <w:jc w:val="center"/>
        <w:outlineLvl w:val="0"/>
        <w:rPr>
          <w:rFonts w:ascii="Arial" w:hAnsi="Arial" w:cs="Arial"/>
          <w:b/>
          <w:smallCaps/>
          <w:sz w:val="22"/>
          <w:szCs w:val="22"/>
          <w:lang w:val="es-ES"/>
        </w:rPr>
      </w:pPr>
    </w:p>
    <w:p w14:paraId="0B9294AD" w14:textId="77777777" w:rsidR="00A45157" w:rsidRPr="00C3216A" w:rsidRDefault="00A45157" w:rsidP="005B72F7">
      <w:pPr>
        <w:ind w:left="1080"/>
        <w:jc w:val="center"/>
        <w:rPr>
          <w:rFonts w:ascii="Arial" w:hAnsi="Arial" w:cs="Arial"/>
          <w:b/>
          <w:sz w:val="22"/>
          <w:szCs w:val="22"/>
          <w:lang w:val="es-ES"/>
        </w:rPr>
      </w:pPr>
    </w:p>
    <w:p w14:paraId="115E6B8F" w14:textId="77777777" w:rsidR="00A45157" w:rsidRPr="00C3216A" w:rsidRDefault="00A45157" w:rsidP="005B72F7">
      <w:pPr>
        <w:ind w:left="1080"/>
        <w:jc w:val="center"/>
        <w:rPr>
          <w:rFonts w:ascii="Arial" w:hAnsi="Arial" w:cs="Arial"/>
          <w:b/>
          <w:sz w:val="22"/>
          <w:szCs w:val="22"/>
          <w:lang w:val="es-ES"/>
        </w:rPr>
      </w:pPr>
    </w:p>
    <w:p w14:paraId="6E50F957" w14:textId="77777777" w:rsidR="005B72F7" w:rsidRPr="00C3216A" w:rsidRDefault="005B72F7" w:rsidP="005B72F7">
      <w:pPr>
        <w:ind w:left="1080"/>
        <w:jc w:val="center"/>
        <w:rPr>
          <w:rFonts w:ascii="Arial" w:hAnsi="Arial" w:cs="Arial"/>
          <w:b/>
          <w:sz w:val="22"/>
          <w:szCs w:val="22"/>
          <w:lang w:val="es-ES"/>
        </w:rPr>
      </w:pPr>
    </w:p>
    <w:p w14:paraId="337A837E" w14:textId="77777777" w:rsidR="005B72F7" w:rsidRPr="00C3216A" w:rsidRDefault="005B72F7" w:rsidP="005B72F7">
      <w:pPr>
        <w:ind w:left="1080"/>
        <w:jc w:val="center"/>
        <w:rPr>
          <w:rFonts w:ascii="Arial" w:hAnsi="Arial" w:cs="Arial"/>
          <w:b/>
          <w:sz w:val="22"/>
          <w:szCs w:val="22"/>
          <w:lang w:val="es-ES"/>
        </w:rPr>
      </w:pPr>
    </w:p>
    <w:p w14:paraId="7E1344D2" w14:textId="77777777" w:rsidR="005B72F7" w:rsidRDefault="005B72F7" w:rsidP="005B72F7">
      <w:pPr>
        <w:ind w:left="1080"/>
        <w:jc w:val="center"/>
        <w:rPr>
          <w:rFonts w:ascii="Arial" w:hAnsi="Arial" w:cs="Arial"/>
          <w:b/>
          <w:sz w:val="22"/>
          <w:szCs w:val="22"/>
          <w:lang w:val="es-ES"/>
        </w:rPr>
      </w:pPr>
    </w:p>
    <w:p w14:paraId="44443A81" w14:textId="77777777" w:rsidR="009041D4" w:rsidRDefault="009041D4" w:rsidP="005B72F7">
      <w:pPr>
        <w:ind w:left="1080"/>
        <w:jc w:val="center"/>
        <w:rPr>
          <w:rFonts w:ascii="Arial" w:hAnsi="Arial" w:cs="Arial"/>
          <w:b/>
          <w:sz w:val="22"/>
          <w:szCs w:val="22"/>
          <w:lang w:val="es-ES"/>
        </w:rPr>
      </w:pPr>
    </w:p>
    <w:p w14:paraId="0885376A" w14:textId="77777777" w:rsidR="009041D4" w:rsidRDefault="009041D4" w:rsidP="005B72F7">
      <w:pPr>
        <w:ind w:left="1080"/>
        <w:jc w:val="center"/>
        <w:rPr>
          <w:rFonts w:ascii="Arial" w:hAnsi="Arial" w:cs="Arial"/>
          <w:b/>
          <w:sz w:val="22"/>
          <w:szCs w:val="22"/>
          <w:lang w:val="es-ES"/>
        </w:rPr>
      </w:pPr>
    </w:p>
    <w:p w14:paraId="79AB9B18" w14:textId="77777777" w:rsidR="009041D4" w:rsidRPr="00C3216A" w:rsidRDefault="009041D4" w:rsidP="005B72F7">
      <w:pPr>
        <w:ind w:left="1080"/>
        <w:jc w:val="center"/>
        <w:rPr>
          <w:rFonts w:ascii="Arial" w:hAnsi="Arial" w:cs="Arial"/>
          <w:b/>
          <w:sz w:val="22"/>
          <w:szCs w:val="22"/>
          <w:lang w:val="es-ES"/>
        </w:rPr>
      </w:pPr>
    </w:p>
    <w:p w14:paraId="4769F3C2" w14:textId="77777777" w:rsidR="005B72F7" w:rsidRPr="00C3216A" w:rsidRDefault="005B72F7" w:rsidP="005B72F7">
      <w:pPr>
        <w:ind w:left="1080"/>
        <w:jc w:val="center"/>
        <w:rPr>
          <w:rFonts w:ascii="Arial" w:hAnsi="Arial" w:cs="Arial"/>
          <w:b/>
          <w:sz w:val="22"/>
          <w:szCs w:val="22"/>
          <w:lang w:val="es-ES"/>
        </w:rPr>
      </w:pPr>
    </w:p>
    <w:p w14:paraId="46B9460C" w14:textId="77777777" w:rsidR="005B72F7" w:rsidRPr="00C3216A" w:rsidRDefault="005B72F7" w:rsidP="005B72F7">
      <w:pPr>
        <w:ind w:left="1080"/>
        <w:jc w:val="center"/>
        <w:rPr>
          <w:rFonts w:ascii="Arial" w:hAnsi="Arial" w:cs="Arial"/>
          <w:b/>
          <w:sz w:val="22"/>
          <w:szCs w:val="22"/>
          <w:lang w:val="es-ES"/>
        </w:rPr>
      </w:pPr>
    </w:p>
    <w:p w14:paraId="4CC11BC4" w14:textId="77777777" w:rsidR="00FD3291" w:rsidRPr="00C3216A" w:rsidRDefault="00FD3291" w:rsidP="00FD3291">
      <w:pPr>
        <w:tabs>
          <w:tab w:val="left" w:pos="1440"/>
          <w:tab w:val="left" w:pos="3060"/>
        </w:tabs>
        <w:jc w:val="center"/>
        <w:rPr>
          <w:rFonts w:ascii="Arial" w:hAnsi="Arial" w:cs="Arial"/>
          <w:sz w:val="22"/>
          <w:szCs w:val="22"/>
          <w:lang w:val="es-ES"/>
        </w:rPr>
      </w:pPr>
    </w:p>
    <w:p w14:paraId="1FDEDCEB" w14:textId="4CC05D18" w:rsidR="008A3E04" w:rsidRPr="00046E14" w:rsidRDefault="008A3E04" w:rsidP="008A3E04">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046E14">
        <w:rPr>
          <w:rFonts w:ascii="Arial" w:hAnsi="Arial" w:cs="Arial"/>
          <w:sz w:val="20"/>
          <w:lang w:val="es-ES"/>
        </w:rPr>
        <w:t xml:space="preserve">Este documento fue preparado por el equipo de proyecto integrado por: </w:t>
      </w:r>
      <w:r>
        <w:rPr>
          <w:rFonts w:ascii="Arial" w:hAnsi="Arial" w:cs="Arial"/>
          <w:sz w:val="20"/>
          <w:lang w:val="es-ES"/>
        </w:rPr>
        <w:t>Jorge Mercado (E</w:t>
      </w:r>
      <w:r w:rsidRPr="00B40069">
        <w:rPr>
          <w:rFonts w:ascii="Arial" w:hAnsi="Arial" w:cs="Arial"/>
          <w:sz w:val="20"/>
          <w:lang w:val="es-ES"/>
        </w:rPr>
        <w:t xml:space="preserve">NE/CDR), Jefe de Equipo; </w:t>
      </w:r>
      <w:r>
        <w:rPr>
          <w:rFonts w:ascii="Arial" w:hAnsi="Arial" w:cs="Arial"/>
          <w:sz w:val="20"/>
          <w:lang w:val="es-ES"/>
        </w:rPr>
        <w:t xml:space="preserve">Carlos Jácome (ENE/CHO) </w:t>
      </w:r>
      <w:r w:rsidRPr="00B40069">
        <w:rPr>
          <w:rFonts w:ascii="Arial" w:hAnsi="Arial" w:cs="Arial"/>
          <w:sz w:val="20"/>
          <w:lang w:val="es-ES"/>
        </w:rPr>
        <w:t>Co-Jefe de Equipo;</w:t>
      </w:r>
      <w:r>
        <w:rPr>
          <w:rFonts w:ascii="Arial" w:hAnsi="Arial" w:cs="Arial"/>
          <w:sz w:val="20"/>
          <w:lang w:val="es-ES"/>
        </w:rPr>
        <w:t xml:space="preserve"> Hector Baldivieso (ENE/</w:t>
      </w:r>
      <w:proofErr w:type="spellStart"/>
      <w:r>
        <w:rPr>
          <w:rFonts w:ascii="Arial" w:hAnsi="Arial" w:cs="Arial"/>
          <w:sz w:val="20"/>
          <w:lang w:val="es-ES"/>
        </w:rPr>
        <w:t>CNi</w:t>
      </w:r>
      <w:proofErr w:type="spellEnd"/>
      <w:r>
        <w:rPr>
          <w:rFonts w:ascii="Arial" w:hAnsi="Arial" w:cs="Arial"/>
          <w:sz w:val="20"/>
          <w:lang w:val="es-ES"/>
        </w:rPr>
        <w:t xml:space="preserve">); Odile I. Johnson; Stephanie Suber (INE/ENE); </w:t>
      </w:r>
      <w:r w:rsidRPr="00AC3E0C">
        <w:rPr>
          <w:rFonts w:ascii="Arial" w:hAnsi="Arial" w:cs="Arial"/>
          <w:sz w:val="20"/>
        </w:rPr>
        <w:t>Denise Salabie (VPC/FMP</w:t>
      </w:r>
      <w:r>
        <w:rPr>
          <w:rFonts w:ascii="Arial" w:hAnsi="Arial" w:cs="Arial"/>
          <w:sz w:val="20"/>
          <w:lang w:val="es-ES"/>
        </w:rPr>
        <w:t>)</w:t>
      </w:r>
      <w:r w:rsidRPr="00B40069">
        <w:rPr>
          <w:rFonts w:ascii="Arial" w:hAnsi="Arial" w:cs="Arial"/>
          <w:sz w:val="20"/>
          <w:lang w:val="es-ES"/>
        </w:rPr>
        <w:t xml:space="preserve">; y </w:t>
      </w:r>
      <w:r>
        <w:rPr>
          <w:rFonts w:ascii="Arial" w:hAnsi="Arial" w:cs="Arial"/>
          <w:sz w:val="20"/>
          <w:lang w:val="es-ES"/>
        </w:rPr>
        <w:t>Cristina Landázuri</w:t>
      </w:r>
      <w:r w:rsidRPr="00B40069">
        <w:rPr>
          <w:rFonts w:ascii="Arial" w:hAnsi="Arial" w:cs="Arial"/>
          <w:sz w:val="20"/>
          <w:lang w:val="es-ES"/>
        </w:rPr>
        <w:t xml:space="preserve"> (LEG/SGO)</w:t>
      </w:r>
      <w:r w:rsidRPr="00046E14">
        <w:rPr>
          <w:rFonts w:ascii="Arial" w:hAnsi="Arial" w:cs="Arial"/>
          <w:sz w:val="20"/>
          <w:lang w:val="es-ES"/>
        </w:rPr>
        <w:t xml:space="preserve">.  </w:t>
      </w:r>
    </w:p>
    <w:sdt>
      <w:sdtPr>
        <w:rPr>
          <w:rFonts w:ascii="Arial" w:eastAsia="Times New Roman" w:hAnsi="Arial" w:cs="Arial"/>
          <w:b w:val="0"/>
          <w:bCs w:val="0"/>
          <w:color w:val="auto"/>
          <w:spacing w:val="-3"/>
          <w:sz w:val="24"/>
          <w:szCs w:val="20"/>
          <w:lang w:val="es-ES" w:eastAsia="en-US"/>
        </w:rPr>
        <w:id w:val="-1745871001"/>
        <w:docPartObj>
          <w:docPartGallery w:val="Table of Contents"/>
          <w:docPartUnique/>
        </w:docPartObj>
      </w:sdtPr>
      <w:sdtEndPr/>
      <w:sdtContent>
        <w:p w14:paraId="382BD6E0" w14:textId="77777777" w:rsidR="00FE0B90" w:rsidRPr="00C3216A" w:rsidRDefault="00272D99" w:rsidP="006349F5">
          <w:pPr>
            <w:pStyle w:val="TOCHeading"/>
            <w:jc w:val="center"/>
            <w:rPr>
              <w:rFonts w:ascii="Arial" w:hAnsi="Arial" w:cs="Arial"/>
              <w:smallCaps/>
              <w:color w:val="000000" w:themeColor="text1"/>
              <w:sz w:val="22"/>
              <w:szCs w:val="22"/>
              <w:lang w:val="es-ES"/>
            </w:rPr>
          </w:pPr>
          <w:r w:rsidRPr="00C3216A">
            <w:rPr>
              <w:rFonts w:ascii="Arial" w:hAnsi="Arial" w:cs="Arial"/>
              <w:smallCaps/>
              <w:color w:val="000000" w:themeColor="text1"/>
              <w:sz w:val="22"/>
              <w:szCs w:val="22"/>
              <w:lang w:val="es-ES"/>
            </w:rPr>
            <w:t>Tabla de C</w:t>
          </w:r>
          <w:r w:rsidR="00FE0B90" w:rsidRPr="00C3216A">
            <w:rPr>
              <w:rFonts w:ascii="Arial" w:hAnsi="Arial" w:cs="Arial"/>
              <w:smallCaps/>
              <w:color w:val="000000" w:themeColor="text1"/>
              <w:sz w:val="22"/>
              <w:szCs w:val="22"/>
              <w:lang w:val="es-ES"/>
            </w:rPr>
            <w:t>ontenido</w:t>
          </w:r>
        </w:p>
        <w:p w14:paraId="04DF1D14" w14:textId="77777777" w:rsidR="00FE0B90" w:rsidRPr="00C3216A" w:rsidRDefault="00FE0B90" w:rsidP="00FE0B90">
          <w:pPr>
            <w:rPr>
              <w:rFonts w:ascii="Arial" w:hAnsi="Arial" w:cs="Arial"/>
              <w:sz w:val="22"/>
              <w:szCs w:val="22"/>
              <w:lang w:val="es-ES" w:eastAsia="es-CO"/>
            </w:rPr>
          </w:pPr>
        </w:p>
        <w:p w14:paraId="776C5846" w14:textId="67C99B32" w:rsidR="003C0759" w:rsidRDefault="003C0759">
          <w:pPr>
            <w:pStyle w:val="TOC1"/>
            <w:rPr>
              <w:rFonts w:asciiTheme="minorHAnsi" w:eastAsiaTheme="minorEastAsia" w:hAnsiTheme="minorHAnsi" w:cstheme="minorBidi"/>
              <w:b w:val="0"/>
              <w:spacing w:val="0"/>
              <w:szCs w:val="22"/>
              <w:lang w:val="en-US"/>
            </w:rPr>
          </w:pPr>
          <w:r>
            <w:rPr>
              <w:b w:val="0"/>
            </w:rPr>
            <w:fldChar w:fldCharType="begin"/>
          </w:r>
          <w:r>
            <w:rPr>
              <w:b w:val="0"/>
            </w:rPr>
            <w:instrText xml:space="preserve"> TOC \o "1-3" \h \z \u </w:instrText>
          </w:r>
          <w:r>
            <w:rPr>
              <w:b w:val="0"/>
            </w:rPr>
            <w:fldChar w:fldCharType="separate"/>
          </w:r>
          <w:hyperlink w:anchor="_Toc511826633" w:history="1">
            <w:r w:rsidRPr="00AD18D0">
              <w:rPr>
                <w:rStyle w:val="Hyperlink"/>
                <w:rFonts w:cs="Arial"/>
                <w:smallCaps/>
              </w:rPr>
              <w:t>I.</w:t>
            </w:r>
            <w:r>
              <w:rPr>
                <w:rFonts w:asciiTheme="minorHAnsi" w:eastAsiaTheme="minorEastAsia" w:hAnsiTheme="minorHAnsi" w:cstheme="minorBidi"/>
                <w:b w:val="0"/>
                <w:spacing w:val="0"/>
                <w:szCs w:val="22"/>
                <w:lang w:val="en-US"/>
              </w:rPr>
              <w:tab/>
            </w:r>
            <w:r w:rsidRPr="00AD18D0">
              <w:rPr>
                <w:rStyle w:val="Hyperlink"/>
                <w:rFonts w:eastAsiaTheme="majorEastAsia" w:cs="Arial"/>
                <w:bCs/>
              </w:rPr>
              <w:t>Introducción</w:t>
            </w:r>
            <w:r>
              <w:rPr>
                <w:webHidden/>
              </w:rPr>
              <w:tab/>
            </w:r>
            <w:r>
              <w:rPr>
                <w:webHidden/>
              </w:rPr>
              <w:fldChar w:fldCharType="begin"/>
            </w:r>
            <w:r>
              <w:rPr>
                <w:webHidden/>
              </w:rPr>
              <w:instrText xml:space="preserve"> PAGEREF _Toc511826633 \h </w:instrText>
            </w:r>
            <w:r>
              <w:rPr>
                <w:webHidden/>
              </w:rPr>
            </w:r>
            <w:r>
              <w:rPr>
                <w:webHidden/>
              </w:rPr>
              <w:fldChar w:fldCharType="separate"/>
            </w:r>
            <w:r>
              <w:rPr>
                <w:webHidden/>
              </w:rPr>
              <w:t>3</w:t>
            </w:r>
            <w:r>
              <w:rPr>
                <w:webHidden/>
              </w:rPr>
              <w:fldChar w:fldCharType="end"/>
            </w:r>
          </w:hyperlink>
        </w:p>
        <w:p w14:paraId="12837423" w14:textId="239DAE0E" w:rsidR="003C0759" w:rsidRDefault="009004B9">
          <w:pPr>
            <w:pStyle w:val="TOC1"/>
            <w:rPr>
              <w:rFonts w:asciiTheme="minorHAnsi" w:eastAsiaTheme="minorEastAsia" w:hAnsiTheme="minorHAnsi" w:cstheme="minorBidi"/>
              <w:b w:val="0"/>
              <w:spacing w:val="0"/>
              <w:szCs w:val="22"/>
              <w:lang w:val="en-US"/>
            </w:rPr>
          </w:pPr>
          <w:hyperlink w:anchor="_Toc511826634" w:history="1">
            <w:r w:rsidR="003C0759" w:rsidRPr="00AD18D0">
              <w:rPr>
                <w:rStyle w:val="Hyperlink"/>
                <w:rFonts w:eastAsiaTheme="majorEastAsia" w:cs="Arial"/>
                <w:bCs/>
              </w:rPr>
              <w:t>II.</w:t>
            </w:r>
            <w:r w:rsidR="003C0759">
              <w:rPr>
                <w:rFonts w:asciiTheme="minorHAnsi" w:eastAsiaTheme="minorEastAsia" w:hAnsiTheme="minorHAnsi" w:cstheme="minorBidi"/>
                <w:b w:val="0"/>
                <w:spacing w:val="0"/>
                <w:szCs w:val="22"/>
                <w:lang w:val="en-US"/>
              </w:rPr>
              <w:tab/>
            </w:r>
            <w:r w:rsidR="003C0759" w:rsidRPr="00AD18D0">
              <w:rPr>
                <w:rStyle w:val="Hyperlink"/>
                <w:rFonts w:eastAsiaTheme="majorEastAsia" w:cs="Arial"/>
                <w:bCs/>
              </w:rPr>
              <w:t>Plan de Seguimiento</w:t>
            </w:r>
            <w:r w:rsidR="003C0759">
              <w:rPr>
                <w:webHidden/>
              </w:rPr>
              <w:tab/>
            </w:r>
            <w:r w:rsidR="003C0759">
              <w:rPr>
                <w:webHidden/>
              </w:rPr>
              <w:fldChar w:fldCharType="begin"/>
            </w:r>
            <w:r w:rsidR="003C0759">
              <w:rPr>
                <w:webHidden/>
              </w:rPr>
              <w:instrText xml:space="preserve"> PAGEREF _Toc511826634 \h </w:instrText>
            </w:r>
            <w:r w:rsidR="003C0759">
              <w:rPr>
                <w:webHidden/>
              </w:rPr>
            </w:r>
            <w:r w:rsidR="003C0759">
              <w:rPr>
                <w:webHidden/>
              </w:rPr>
              <w:fldChar w:fldCharType="separate"/>
            </w:r>
            <w:r w:rsidR="003C0759">
              <w:rPr>
                <w:webHidden/>
              </w:rPr>
              <w:t>6</w:t>
            </w:r>
            <w:r w:rsidR="003C0759">
              <w:rPr>
                <w:webHidden/>
              </w:rPr>
              <w:fldChar w:fldCharType="end"/>
            </w:r>
          </w:hyperlink>
        </w:p>
        <w:p w14:paraId="580B27B9" w14:textId="2B30ACBF" w:rsidR="003C0759" w:rsidRDefault="009004B9">
          <w:pPr>
            <w:pStyle w:val="TOC2"/>
            <w:tabs>
              <w:tab w:val="left" w:pos="2137"/>
            </w:tabs>
            <w:rPr>
              <w:rFonts w:asciiTheme="minorHAnsi" w:eastAsiaTheme="minorEastAsia" w:hAnsiTheme="minorHAnsi" w:cstheme="minorBidi"/>
              <w:noProof/>
              <w:spacing w:val="0"/>
              <w:sz w:val="22"/>
              <w:szCs w:val="22"/>
              <w:lang w:val="en-US"/>
            </w:rPr>
          </w:pPr>
          <w:hyperlink w:anchor="_Toc511826635" w:history="1">
            <w:r w:rsidR="003C0759" w:rsidRPr="00AD18D0">
              <w:rPr>
                <w:rStyle w:val="Hyperlink"/>
                <w:rFonts w:ascii="Arial" w:hAnsi="Arial" w:cs="Arial"/>
                <w:b/>
                <w:noProof/>
                <w:lang w:val="es-ES"/>
              </w:rPr>
              <w:t>a)</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Indicadores</w:t>
            </w:r>
            <w:r w:rsidR="003C0759">
              <w:rPr>
                <w:noProof/>
                <w:webHidden/>
              </w:rPr>
              <w:tab/>
            </w:r>
            <w:r w:rsidR="003C0759">
              <w:rPr>
                <w:noProof/>
                <w:webHidden/>
              </w:rPr>
              <w:fldChar w:fldCharType="begin"/>
            </w:r>
            <w:r w:rsidR="003C0759">
              <w:rPr>
                <w:noProof/>
                <w:webHidden/>
              </w:rPr>
              <w:instrText xml:space="preserve"> PAGEREF _Toc511826635 \h </w:instrText>
            </w:r>
            <w:r w:rsidR="003C0759">
              <w:rPr>
                <w:noProof/>
                <w:webHidden/>
              </w:rPr>
            </w:r>
            <w:r w:rsidR="003C0759">
              <w:rPr>
                <w:noProof/>
                <w:webHidden/>
              </w:rPr>
              <w:fldChar w:fldCharType="separate"/>
            </w:r>
            <w:r w:rsidR="003C0759">
              <w:rPr>
                <w:noProof/>
                <w:webHidden/>
              </w:rPr>
              <w:t>6</w:t>
            </w:r>
            <w:r w:rsidR="003C0759">
              <w:rPr>
                <w:noProof/>
                <w:webHidden/>
              </w:rPr>
              <w:fldChar w:fldCharType="end"/>
            </w:r>
          </w:hyperlink>
        </w:p>
        <w:p w14:paraId="3EFFC936" w14:textId="3A40E8C2" w:rsidR="003C0759" w:rsidRDefault="009004B9">
          <w:pPr>
            <w:pStyle w:val="TOC2"/>
            <w:tabs>
              <w:tab w:val="left" w:pos="2151"/>
            </w:tabs>
            <w:rPr>
              <w:rFonts w:asciiTheme="minorHAnsi" w:eastAsiaTheme="minorEastAsia" w:hAnsiTheme="minorHAnsi" w:cstheme="minorBidi"/>
              <w:noProof/>
              <w:spacing w:val="0"/>
              <w:sz w:val="22"/>
              <w:szCs w:val="22"/>
              <w:lang w:val="en-US"/>
            </w:rPr>
          </w:pPr>
          <w:hyperlink w:anchor="_Toc511826636" w:history="1">
            <w:r w:rsidR="003C0759" w:rsidRPr="00AD18D0">
              <w:rPr>
                <w:rStyle w:val="Hyperlink"/>
                <w:rFonts w:ascii="Arial" w:hAnsi="Arial" w:cs="Arial"/>
                <w:b/>
                <w:noProof/>
                <w:lang w:val="es-ES"/>
              </w:rPr>
              <w:t>b)</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Recolección de la información</w:t>
            </w:r>
            <w:r w:rsidR="003C0759">
              <w:rPr>
                <w:noProof/>
                <w:webHidden/>
              </w:rPr>
              <w:tab/>
            </w:r>
            <w:r w:rsidR="003C0759">
              <w:rPr>
                <w:noProof/>
                <w:webHidden/>
              </w:rPr>
              <w:fldChar w:fldCharType="begin"/>
            </w:r>
            <w:r w:rsidR="003C0759">
              <w:rPr>
                <w:noProof/>
                <w:webHidden/>
              </w:rPr>
              <w:instrText xml:space="preserve"> PAGEREF _Toc511826636 \h </w:instrText>
            </w:r>
            <w:r w:rsidR="003C0759">
              <w:rPr>
                <w:noProof/>
                <w:webHidden/>
              </w:rPr>
            </w:r>
            <w:r w:rsidR="003C0759">
              <w:rPr>
                <w:noProof/>
                <w:webHidden/>
              </w:rPr>
              <w:fldChar w:fldCharType="separate"/>
            </w:r>
            <w:r w:rsidR="003C0759">
              <w:rPr>
                <w:noProof/>
                <w:webHidden/>
              </w:rPr>
              <w:t>10</w:t>
            </w:r>
            <w:r w:rsidR="003C0759">
              <w:rPr>
                <w:noProof/>
                <w:webHidden/>
              </w:rPr>
              <w:fldChar w:fldCharType="end"/>
            </w:r>
          </w:hyperlink>
        </w:p>
        <w:p w14:paraId="75D6F0C2" w14:textId="2E3C5BC9" w:rsidR="003C0759" w:rsidRDefault="009004B9">
          <w:pPr>
            <w:pStyle w:val="TOC1"/>
            <w:rPr>
              <w:rFonts w:asciiTheme="minorHAnsi" w:eastAsiaTheme="minorEastAsia" w:hAnsiTheme="minorHAnsi" w:cstheme="minorBidi"/>
              <w:b w:val="0"/>
              <w:spacing w:val="0"/>
              <w:szCs w:val="22"/>
              <w:lang w:val="en-US"/>
            </w:rPr>
          </w:pPr>
          <w:hyperlink w:anchor="_Toc511826637" w:history="1">
            <w:r w:rsidR="003C0759" w:rsidRPr="00AD18D0">
              <w:rPr>
                <w:rStyle w:val="Hyperlink"/>
                <w:rFonts w:cs="Arial"/>
              </w:rPr>
              <w:t>III.</w:t>
            </w:r>
            <w:r w:rsidR="003C0759">
              <w:rPr>
                <w:rFonts w:asciiTheme="minorHAnsi" w:eastAsiaTheme="minorEastAsia" w:hAnsiTheme="minorHAnsi" w:cstheme="minorBidi"/>
                <w:b w:val="0"/>
                <w:spacing w:val="0"/>
                <w:szCs w:val="22"/>
                <w:lang w:val="en-US"/>
              </w:rPr>
              <w:tab/>
            </w:r>
            <w:r w:rsidR="003C0759" w:rsidRPr="00AD18D0">
              <w:rPr>
                <w:rStyle w:val="Hyperlink"/>
                <w:rFonts w:cs="Arial"/>
              </w:rPr>
              <w:t>Plan de Evaluación</w:t>
            </w:r>
            <w:r w:rsidR="003C0759">
              <w:rPr>
                <w:webHidden/>
              </w:rPr>
              <w:tab/>
            </w:r>
            <w:r w:rsidR="003C0759">
              <w:rPr>
                <w:webHidden/>
              </w:rPr>
              <w:fldChar w:fldCharType="begin"/>
            </w:r>
            <w:r w:rsidR="003C0759">
              <w:rPr>
                <w:webHidden/>
              </w:rPr>
              <w:instrText xml:space="preserve"> PAGEREF _Toc511826637 \h </w:instrText>
            </w:r>
            <w:r w:rsidR="003C0759">
              <w:rPr>
                <w:webHidden/>
              </w:rPr>
            </w:r>
            <w:r w:rsidR="003C0759">
              <w:rPr>
                <w:webHidden/>
              </w:rPr>
              <w:fldChar w:fldCharType="separate"/>
            </w:r>
            <w:r w:rsidR="003C0759">
              <w:rPr>
                <w:webHidden/>
              </w:rPr>
              <w:t>10</w:t>
            </w:r>
            <w:r w:rsidR="003C0759">
              <w:rPr>
                <w:webHidden/>
              </w:rPr>
              <w:fldChar w:fldCharType="end"/>
            </w:r>
          </w:hyperlink>
        </w:p>
        <w:p w14:paraId="51DF4201" w14:textId="498F20A5" w:rsidR="003C0759" w:rsidRDefault="009004B9">
          <w:pPr>
            <w:pStyle w:val="TOC2"/>
            <w:tabs>
              <w:tab w:val="left" w:pos="2137"/>
            </w:tabs>
            <w:rPr>
              <w:rFonts w:asciiTheme="minorHAnsi" w:eastAsiaTheme="minorEastAsia" w:hAnsiTheme="minorHAnsi" w:cstheme="minorBidi"/>
              <w:noProof/>
              <w:spacing w:val="0"/>
              <w:sz w:val="22"/>
              <w:szCs w:val="22"/>
              <w:lang w:val="en-US"/>
            </w:rPr>
          </w:pPr>
          <w:hyperlink w:anchor="_Toc511826638" w:history="1">
            <w:r w:rsidR="003C0759" w:rsidRPr="00AD18D0">
              <w:rPr>
                <w:rStyle w:val="Hyperlink"/>
                <w:rFonts w:ascii="Arial" w:hAnsi="Arial" w:cs="Arial"/>
                <w:b/>
                <w:noProof/>
                <w:lang w:val="es-ES"/>
              </w:rPr>
              <w:t>a)</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Principales preguntas de evaluación</w:t>
            </w:r>
            <w:r w:rsidR="003C0759">
              <w:rPr>
                <w:noProof/>
                <w:webHidden/>
              </w:rPr>
              <w:tab/>
            </w:r>
            <w:r w:rsidR="003C0759">
              <w:rPr>
                <w:noProof/>
                <w:webHidden/>
              </w:rPr>
              <w:fldChar w:fldCharType="begin"/>
            </w:r>
            <w:r w:rsidR="003C0759">
              <w:rPr>
                <w:noProof/>
                <w:webHidden/>
              </w:rPr>
              <w:instrText xml:space="preserve"> PAGEREF _Toc511826638 \h </w:instrText>
            </w:r>
            <w:r w:rsidR="003C0759">
              <w:rPr>
                <w:noProof/>
                <w:webHidden/>
              </w:rPr>
            </w:r>
            <w:r w:rsidR="003C0759">
              <w:rPr>
                <w:noProof/>
                <w:webHidden/>
              </w:rPr>
              <w:fldChar w:fldCharType="separate"/>
            </w:r>
            <w:r w:rsidR="003C0759">
              <w:rPr>
                <w:noProof/>
                <w:webHidden/>
              </w:rPr>
              <w:t>11</w:t>
            </w:r>
            <w:r w:rsidR="003C0759">
              <w:rPr>
                <w:noProof/>
                <w:webHidden/>
              </w:rPr>
              <w:fldChar w:fldCharType="end"/>
            </w:r>
          </w:hyperlink>
        </w:p>
        <w:p w14:paraId="7CF40031" w14:textId="395E107A" w:rsidR="003C0759" w:rsidRDefault="009004B9">
          <w:pPr>
            <w:pStyle w:val="TOC2"/>
            <w:tabs>
              <w:tab w:val="left" w:pos="2151"/>
            </w:tabs>
            <w:rPr>
              <w:rFonts w:asciiTheme="minorHAnsi" w:eastAsiaTheme="minorEastAsia" w:hAnsiTheme="minorHAnsi" w:cstheme="minorBidi"/>
              <w:noProof/>
              <w:spacing w:val="0"/>
              <w:sz w:val="22"/>
              <w:szCs w:val="22"/>
              <w:lang w:val="en-US"/>
            </w:rPr>
          </w:pPr>
          <w:hyperlink w:anchor="_Toc511826639" w:history="1">
            <w:r w:rsidR="003C0759" w:rsidRPr="00AD18D0">
              <w:rPr>
                <w:rStyle w:val="Hyperlink"/>
                <w:rFonts w:ascii="Arial" w:hAnsi="Arial" w:cs="Arial"/>
                <w:b/>
                <w:noProof/>
                <w:lang w:val="es-ES"/>
              </w:rPr>
              <w:t>b)</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Metodología de la Evaluación</w:t>
            </w:r>
            <w:r w:rsidR="003C0759">
              <w:rPr>
                <w:noProof/>
                <w:webHidden/>
              </w:rPr>
              <w:tab/>
            </w:r>
            <w:r w:rsidR="003C0759">
              <w:rPr>
                <w:noProof/>
                <w:webHidden/>
              </w:rPr>
              <w:fldChar w:fldCharType="begin"/>
            </w:r>
            <w:r w:rsidR="003C0759">
              <w:rPr>
                <w:noProof/>
                <w:webHidden/>
              </w:rPr>
              <w:instrText xml:space="preserve"> PAGEREF _Toc511826639 \h </w:instrText>
            </w:r>
            <w:r w:rsidR="003C0759">
              <w:rPr>
                <w:noProof/>
                <w:webHidden/>
              </w:rPr>
            </w:r>
            <w:r w:rsidR="003C0759">
              <w:rPr>
                <w:noProof/>
                <w:webHidden/>
              </w:rPr>
              <w:fldChar w:fldCharType="separate"/>
            </w:r>
            <w:r w:rsidR="003C0759">
              <w:rPr>
                <w:noProof/>
                <w:webHidden/>
              </w:rPr>
              <w:t>11</w:t>
            </w:r>
            <w:r w:rsidR="003C0759">
              <w:rPr>
                <w:noProof/>
                <w:webHidden/>
              </w:rPr>
              <w:fldChar w:fldCharType="end"/>
            </w:r>
          </w:hyperlink>
        </w:p>
        <w:p w14:paraId="37B86438" w14:textId="2E666C45" w:rsidR="003C0759" w:rsidRDefault="009004B9">
          <w:pPr>
            <w:pStyle w:val="TOC2"/>
            <w:tabs>
              <w:tab w:val="left" w:pos="2137"/>
            </w:tabs>
            <w:rPr>
              <w:rFonts w:asciiTheme="minorHAnsi" w:eastAsiaTheme="minorEastAsia" w:hAnsiTheme="minorHAnsi" w:cstheme="minorBidi"/>
              <w:noProof/>
              <w:spacing w:val="0"/>
              <w:sz w:val="22"/>
              <w:szCs w:val="22"/>
              <w:lang w:val="en-US"/>
            </w:rPr>
          </w:pPr>
          <w:hyperlink w:anchor="_Toc511826640" w:history="1">
            <w:r w:rsidR="003C0759" w:rsidRPr="00AD18D0">
              <w:rPr>
                <w:rStyle w:val="Hyperlink"/>
                <w:rFonts w:ascii="Arial" w:hAnsi="Arial" w:cs="Arial"/>
                <w:b/>
                <w:noProof/>
                <w:lang w:val="es-ES"/>
              </w:rPr>
              <w:t>c)</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Conocimiento existente</w:t>
            </w:r>
            <w:r w:rsidR="003C0759">
              <w:rPr>
                <w:noProof/>
                <w:webHidden/>
              </w:rPr>
              <w:tab/>
            </w:r>
            <w:r w:rsidR="003C0759">
              <w:rPr>
                <w:noProof/>
                <w:webHidden/>
              </w:rPr>
              <w:fldChar w:fldCharType="begin"/>
            </w:r>
            <w:r w:rsidR="003C0759">
              <w:rPr>
                <w:noProof/>
                <w:webHidden/>
              </w:rPr>
              <w:instrText xml:space="preserve"> PAGEREF _Toc511826640 \h </w:instrText>
            </w:r>
            <w:r w:rsidR="003C0759">
              <w:rPr>
                <w:noProof/>
                <w:webHidden/>
              </w:rPr>
            </w:r>
            <w:r w:rsidR="003C0759">
              <w:rPr>
                <w:noProof/>
                <w:webHidden/>
              </w:rPr>
              <w:fldChar w:fldCharType="separate"/>
            </w:r>
            <w:r w:rsidR="003C0759">
              <w:rPr>
                <w:noProof/>
                <w:webHidden/>
              </w:rPr>
              <w:t>11</w:t>
            </w:r>
            <w:r w:rsidR="003C0759">
              <w:rPr>
                <w:noProof/>
                <w:webHidden/>
              </w:rPr>
              <w:fldChar w:fldCharType="end"/>
            </w:r>
          </w:hyperlink>
        </w:p>
        <w:p w14:paraId="37E97B1B" w14:textId="76C044E6" w:rsidR="003C0759" w:rsidRDefault="009004B9">
          <w:pPr>
            <w:pStyle w:val="TOC2"/>
            <w:tabs>
              <w:tab w:val="left" w:pos="2151"/>
            </w:tabs>
            <w:rPr>
              <w:rFonts w:asciiTheme="minorHAnsi" w:eastAsiaTheme="minorEastAsia" w:hAnsiTheme="minorHAnsi" w:cstheme="minorBidi"/>
              <w:noProof/>
              <w:spacing w:val="0"/>
              <w:sz w:val="22"/>
              <w:szCs w:val="22"/>
              <w:lang w:val="en-US"/>
            </w:rPr>
          </w:pPr>
          <w:hyperlink w:anchor="_Toc511826641" w:history="1">
            <w:r w:rsidR="003C0759" w:rsidRPr="00AD18D0">
              <w:rPr>
                <w:rStyle w:val="Hyperlink"/>
                <w:rFonts w:ascii="Arial" w:hAnsi="Arial" w:cs="Arial"/>
                <w:b/>
                <w:noProof/>
                <w:lang w:val="es-ES"/>
              </w:rPr>
              <w:t>d)</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Resultados de la evaluación ex ante</w:t>
            </w:r>
            <w:r w:rsidR="003C0759">
              <w:rPr>
                <w:noProof/>
                <w:webHidden/>
              </w:rPr>
              <w:tab/>
            </w:r>
            <w:r w:rsidR="003C0759">
              <w:rPr>
                <w:noProof/>
                <w:webHidden/>
              </w:rPr>
              <w:fldChar w:fldCharType="begin"/>
            </w:r>
            <w:r w:rsidR="003C0759">
              <w:rPr>
                <w:noProof/>
                <w:webHidden/>
              </w:rPr>
              <w:instrText xml:space="preserve"> PAGEREF _Toc511826641 \h </w:instrText>
            </w:r>
            <w:r w:rsidR="003C0759">
              <w:rPr>
                <w:noProof/>
                <w:webHidden/>
              </w:rPr>
            </w:r>
            <w:r w:rsidR="003C0759">
              <w:rPr>
                <w:noProof/>
                <w:webHidden/>
              </w:rPr>
              <w:fldChar w:fldCharType="separate"/>
            </w:r>
            <w:r w:rsidR="003C0759">
              <w:rPr>
                <w:noProof/>
                <w:webHidden/>
              </w:rPr>
              <w:t>11</w:t>
            </w:r>
            <w:r w:rsidR="003C0759">
              <w:rPr>
                <w:noProof/>
                <w:webHidden/>
              </w:rPr>
              <w:fldChar w:fldCharType="end"/>
            </w:r>
          </w:hyperlink>
        </w:p>
        <w:p w14:paraId="13248E95" w14:textId="74889387" w:rsidR="003C0759" w:rsidRDefault="009004B9">
          <w:pPr>
            <w:pStyle w:val="TOC2"/>
            <w:tabs>
              <w:tab w:val="left" w:pos="2137"/>
            </w:tabs>
            <w:rPr>
              <w:rFonts w:asciiTheme="minorHAnsi" w:eastAsiaTheme="minorEastAsia" w:hAnsiTheme="minorHAnsi" w:cstheme="minorBidi"/>
              <w:noProof/>
              <w:spacing w:val="0"/>
              <w:sz w:val="22"/>
              <w:szCs w:val="22"/>
              <w:lang w:val="en-US"/>
            </w:rPr>
          </w:pPr>
          <w:hyperlink w:anchor="_Toc511826642" w:history="1">
            <w:r w:rsidR="003C0759" w:rsidRPr="00AD18D0">
              <w:rPr>
                <w:rStyle w:val="Hyperlink"/>
                <w:rFonts w:ascii="Arial" w:hAnsi="Arial" w:cs="Arial"/>
                <w:b/>
                <w:noProof/>
                <w:lang w:val="es-ES"/>
              </w:rPr>
              <w:t>e)</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Evaluación de indicadores de resultados e impacto</w:t>
            </w:r>
            <w:r w:rsidR="003C0759">
              <w:rPr>
                <w:noProof/>
                <w:webHidden/>
              </w:rPr>
              <w:tab/>
            </w:r>
            <w:r w:rsidR="003C0759">
              <w:rPr>
                <w:noProof/>
                <w:webHidden/>
              </w:rPr>
              <w:fldChar w:fldCharType="begin"/>
            </w:r>
            <w:r w:rsidR="003C0759">
              <w:rPr>
                <w:noProof/>
                <w:webHidden/>
              </w:rPr>
              <w:instrText xml:space="preserve"> PAGEREF _Toc511826642 \h </w:instrText>
            </w:r>
            <w:r w:rsidR="003C0759">
              <w:rPr>
                <w:noProof/>
                <w:webHidden/>
              </w:rPr>
            </w:r>
            <w:r w:rsidR="003C0759">
              <w:rPr>
                <w:noProof/>
                <w:webHidden/>
              </w:rPr>
              <w:fldChar w:fldCharType="separate"/>
            </w:r>
            <w:r w:rsidR="003C0759">
              <w:rPr>
                <w:noProof/>
                <w:webHidden/>
              </w:rPr>
              <w:t>17</w:t>
            </w:r>
            <w:r w:rsidR="003C0759">
              <w:rPr>
                <w:noProof/>
                <w:webHidden/>
              </w:rPr>
              <w:fldChar w:fldCharType="end"/>
            </w:r>
          </w:hyperlink>
        </w:p>
        <w:p w14:paraId="7C7EA073" w14:textId="2958A998" w:rsidR="003C0759" w:rsidRDefault="009004B9">
          <w:pPr>
            <w:pStyle w:val="TOC2"/>
            <w:tabs>
              <w:tab w:val="left" w:pos="2084"/>
            </w:tabs>
            <w:rPr>
              <w:rFonts w:asciiTheme="minorHAnsi" w:eastAsiaTheme="minorEastAsia" w:hAnsiTheme="minorHAnsi" w:cstheme="minorBidi"/>
              <w:noProof/>
              <w:spacing w:val="0"/>
              <w:sz w:val="22"/>
              <w:szCs w:val="22"/>
              <w:lang w:val="en-US"/>
            </w:rPr>
          </w:pPr>
          <w:hyperlink w:anchor="_Toc511826643" w:history="1">
            <w:r w:rsidR="003C0759" w:rsidRPr="00AD18D0">
              <w:rPr>
                <w:rStyle w:val="Hyperlink"/>
                <w:rFonts w:ascii="Arial" w:hAnsi="Arial" w:cs="Arial"/>
                <w:b/>
                <w:noProof/>
                <w:lang w:val="es-ES"/>
              </w:rPr>
              <w:t>f)</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Aspectos técnicos de la metodología seleccionada</w:t>
            </w:r>
            <w:r w:rsidR="003C0759">
              <w:rPr>
                <w:noProof/>
                <w:webHidden/>
              </w:rPr>
              <w:tab/>
            </w:r>
            <w:r w:rsidR="003C0759">
              <w:rPr>
                <w:noProof/>
                <w:webHidden/>
              </w:rPr>
              <w:fldChar w:fldCharType="begin"/>
            </w:r>
            <w:r w:rsidR="003C0759">
              <w:rPr>
                <w:noProof/>
                <w:webHidden/>
              </w:rPr>
              <w:instrText xml:space="preserve"> PAGEREF _Toc511826643 \h </w:instrText>
            </w:r>
            <w:r w:rsidR="003C0759">
              <w:rPr>
                <w:noProof/>
                <w:webHidden/>
              </w:rPr>
            </w:r>
            <w:r w:rsidR="003C0759">
              <w:rPr>
                <w:noProof/>
                <w:webHidden/>
              </w:rPr>
              <w:fldChar w:fldCharType="separate"/>
            </w:r>
            <w:r w:rsidR="003C0759">
              <w:rPr>
                <w:noProof/>
                <w:webHidden/>
              </w:rPr>
              <w:t>17</w:t>
            </w:r>
            <w:r w:rsidR="003C0759">
              <w:rPr>
                <w:noProof/>
                <w:webHidden/>
              </w:rPr>
              <w:fldChar w:fldCharType="end"/>
            </w:r>
          </w:hyperlink>
        </w:p>
        <w:p w14:paraId="20DE5011" w14:textId="6152A232" w:rsidR="003C0759" w:rsidRDefault="009004B9">
          <w:pPr>
            <w:pStyle w:val="TOC2"/>
            <w:tabs>
              <w:tab w:val="left" w:pos="2151"/>
            </w:tabs>
            <w:rPr>
              <w:rFonts w:asciiTheme="minorHAnsi" w:eastAsiaTheme="minorEastAsia" w:hAnsiTheme="minorHAnsi" w:cstheme="minorBidi"/>
              <w:noProof/>
              <w:spacing w:val="0"/>
              <w:sz w:val="22"/>
              <w:szCs w:val="22"/>
              <w:lang w:val="en-US"/>
            </w:rPr>
          </w:pPr>
          <w:hyperlink w:anchor="_Toc511826644" w:history="1">
            <w:r w:rsidR="003C0759" w:rsidRPr="00AD18D0">
              <w:rPr>
                <w:rStyle w:val="Hyperlink"/>
                <w:rFonts w:ascii="Arial" w:hAnsi="Arial" w:cs="Arial"/>
                <w:b/>
                <w:noProof/>
                <w:lang w:val="es-ES"/>
              </w:rPr>
              <w:t>g)</w:t>
            </w:r>
            <w:r w:rsidR="003C0759">
              <w:rPr>
                <w:rFonts w:asciiTheme="minorHAnsi" w:eastAsiaTheme="minorEastAsia" w:hAnsiTheme="minorHAnsi" w:cstheme="minorBidi"/>
                <w:noProof/>
                <w:spacing w:val="0"/>
                <w:sz w:val="22"/>
                <w:szCs w:val="22"/>
                <w:lang w:val="en-US"/>
              </w:rPr>
              <w:tab/>
            </w:r>
            <w:r w:rsidR="003C0759" w:rsidRPr="00AD18D0">
              <w:rPr>
                <w:rStyle w:val="Hyperlink"/>
                <w:rFonts w:ascii="Arial" w:hAnsi="Arial" w:cs="Arial"/>
                <w:b/>
                <w:noProof/>
                <w:lang w:val="es-ES"/>
              </w:rPr>
              <w:t>Información de los resultados</w:t>
            </w:r>
            <w:r w:rsidR="003C0759">
              <w:rPr>
                <w:noProof/>
                <w:webHidden/>
              </w:rPr>
              <w:tab/>
            </w:r>
            <w:r w:rsidR="003C0759">
              <w:rPr>
                <w:noProof/>
                <w:webHidden/>
              </w:rPr>
              <w:fldChar w:fldCharType="begin"/>
            </w:r>
            <w:r w:rsidR="003C0759">
              <w:rPr>
                <w:noProof/>
                <w:webHidden/>
              </w:rPr>
              <w:instrText xml:space="preserve"> PAGEREF _Toc511826644 \h </w:instrText>
            </w:r>
            <w:r w:rsidR="003C0759">
              <w:rPr>
                <w:noProof/>
                <w:webHidden/>
              </w:rPr>
            </w:r>
            <w:r w:rsidR="003C0759">
              <w:rPr>
                <w:noProof/>
                <w:webHidden/>
              </w:rPr>
              <w:fldChar w:fldCharType="separate"/>
            </w:r>
            <w:r w:rsidR="003C0759">
              <w:rPr>
                <w:noProof/>
                <w:webHidden/>
              </w:rPr>
              <w:t>17</w:t>
            </w:r>
            <w:r w:rsidR="003C0759">
              <w:rPr>
                <w:noProof/>
                <w:webHidden/>
              </w:rPr>
              <w:fldChar w:fldCharType="end"/>
            </w:r>
          </w:hyperlink>
        </w:p>
        <w:p w14:paraId="0BB2726C" w14:textId="39BDCE8D" w:rsidR="003C0759" w:rsidRDefault="009004B9">
          <w:pPr>
            <w:pStyle w:val="TOC1"/>
            <w:rPr>
              <w:rFonts w:asciiTheme="minorHAnsi" w:eastAsiaTheme="minorEastAsia" w:hAnsiTheme="minorHAnsi" w:cstheme="minorBidi"/>
              <w:b w:val="0"/>
              <w:spacing w:val="0"/>
              <w:szCs w:val="22"/>
              <w:lang w:val="en-US"/>
            </w:rPr>
          </w:pPr>
          <w:hyperlink w:anchor="_Toc511826645" w:history="1">
            <w:r w:rsidR="003C0759" w:rsidRPr="00AD18D0">
              <w:rPr>
                <w:rStyle w:val="Hyperlink"/>
                <w:rFonts w:cs="Arial"/>
              </w:rPr>
              <w:t>IV.</w:t>
            </w:r>
            <w:r w:rsidR="003C0759">
              <w:rPr>
                <w:rFonts w:asciiTheme="minorHAnsi" w:eastAsiaTheme="minorEastAsia" w:hAnsiTheme="minorHAnsi" w:cstheme="minorBidi"/>
                <w:b w:val="0"/>
                <w:spacing w:val="0"/>
                <w:szCs w:val="22"/>
                <w:lang w:val="en-US"/>
              </w:rPr>
              <w:tab/>
            </w:r>
            <w:r w:rsidR="003C0759" w:rsidRPr="00AD18D0">
              <w:rPr>
                <w:rStyle w:val="Hyperlink"/>
                <w:rFonts w:eastAsiaTheme="majorEastAsia" w:cs="Arial"/>
                <w:bCs/>
              </w:rPr>
              <w:t>Presupuesto del PSE</w:t>
            </w:r>
            <w:r w:rsidR="003C0759">
              <w:rPr>
                <w:webHidden/>
              </w:rPr>
              <w:tab/>
            </w:r>
            <w:r w:rsidR="003C0759">
              <w:rPr>
                <w:webHidden/>
              </w:rPr>
              <w:fldChar w:fldCharType="begin"/>
            </w:r>
            <w:r w:rsidR="003C0759">
              <w:rPr>
                <w:webHidden/>
              </w:rPr>
              <w:instrText xml:space="preserve"> PAGEREF _Toc511826645 \h </w:instrText>
            </w:r>
            <w:r w:rsidR="003C0759">
              <w:rPr>
                <w:webHidden/>
              </w:rPr>
            </w:r>
            <w:r w:rsidR="003C0759">
              <w:rPr>
                <w:webHidden/>
              </w:rPr>
              <w:fldChar w:fldCharType="separate"/>
            </w:r>
            <w:r w:rsidR="003C0759">
              <w:rPr>
                <w:webHidden/>
              </w:rPr>
              <w:t>17</w:t>
            </w:r>
            <w:r w:rsidR="003C0759">
              <w:rPr>
                <w:webHidden/>
              </w:rPr>
              <w:fldChar w:fldCharType="end"/>
            </w:r>
          </w:hyperlink>
        </w:p>
        <w:p w14:paraId="7648456D" w14:textId="29E90668" w:rsidR="00FE0B90" w:rsidRPr="00C3216A" w:rsidRDefault="003C0759">
          <w:pPr>
            <w:rPr>
              <w:rFonts w:ascii="Arial" w:hAnsi="Arial" w:cs="Arial"/>
              <w:lang w:val="es-ES"/>
            </w:rPr>
          </w:pPr>
          <w:r>
            <w:rPr>
              <w:rFonts w:ascii="Arial" w:hAnsi="Arial"/>
              <w:b/>
              <w:noProof/>
              <w:sz w:val="22"/>
              <w:lang w:val="es-ES"/>
            </w:rPr>
            <w:fldChar w:fldCharType="end"/>
          </w:r>
        </w:p>
      </w:sdtContent>
    </w:sdt>
    <w:p w14:paraId="4D9C4DEC" w14:textId="77777777" w:rsidR="00247AAB" w:rsidRPr="00C3216A" w:rsidRDefault="00247AAB">
      <w:pPr>
        <w:spacing w:after="200" w:line="276" w:lineRule="auto"/>
        <w:rPr>
          <w:rFonts w:ascii="Arial" w:hAnsi="Arial" w:cs="Arial"/>
          <w:b/>
          <w:szCs w:val="24"/>
          <w:lang w:val="es-ES"/>
        </w:rPr>
      </w:pPr>
    </w:p>
    <w:p w14:paraId="00664329" w14:textId="77777777" w:rsidR="00FE0B90" w:rsidRPr="00C3216A" w:rsidRDefault="00A356D4">
      <w:pPr>
        <w:spacing w:after="200" w:line="276" w:lineRule="auto"/>
        <w:rPr>
          <w:rFonts w:ascii="Arial" w:hAnsi="Arial" w:cs="Arial"/>
          <w:b/>
          <w:szCs w:val="24"/>
          <w:lang w:val="es-ES"/>
        </w:rPr>
      </w:pPr>
      <w:r w:rsidRPr="00C3216A">
        <w:rPr>
          <w:rFonts w:ascii="Arial" w:hAnsi="Arial" w:cs="Arial"/>
          <w:b/>
          <w:szCs w:val="24"/>
          <w:lang w:val="es-ES"/>
        </w:rPr>
        <w:t>Anexos:</w:t>
      </w:r>
    </w:p>
    <w:tbl>
      <w:tblPr>
        <w:tblW w:w="9274" w:type="dxa"/>
        <w:jc w:val="center"/>
        <w:tblLayout w:type="fixed"/>
        <w:tblCellMar>
          <w:left w:w="0" w:type="dxa"/>
          <w:right w:w="0" w:type="dxa"/>
        </w:tblCellMar>
        <w:tblLook w:val="0000" w:firstRow="0" w:lastRow="0" w:firstColumn="0" w:lastColumn="0" w:noHBand="0" w:noVBand="0"/>
      </w:tblPr>
      <w:tblGrid>
        <w:gridCol w:w="9274"/>
      </w:tblGrid>
      <w:tr w:rsidR="004A32C5" w:rsidRPr="00C3216A" w14:paraId="64B386CA" w14:textId="77777777" w:rsidTr="006F1F39">
        <w:trPr>
          <w:trHeight w:val="1233"/>
          <w:jc w:val="center"/>
        </w:trPr>
        <w:tc>
          <w:tcPr>
            <w:tcW w:w="9274" w:type="dxa"/>
            <w:tcBorders>
              <w:top w:val="nil"/>
            </w:tcBorders>
            <w:noWrap/>
          </w:tcPr>
          <w:p w14:paraId="6E2B2900" w14:textId="77777777" w:rsidR="004A32C5" w:rsidRDefault="009004B9" w:rsidP="00C049E7">
            <w:pPr>
              <w:keepNext/>
              <w:keepLines/>
              <w:numPr>
                <w:ilvl w:val="0"/>
                <w:numId w:val="10"/>
              </w:numPr>
              <w:ind w:left="590" w:hanging="457"/>
              <w:rPr>
                <w:rFonts w:ascii="Arial" w:hAnsi="Arial" w:cs="Arial"/>
                <w:spacing w:val="0"/>
                <w:lang w:val="es-ES"/>
              </w:rPr>
            </w:pPr>
            <w:hyperlink r:id="rId8" w:history="1">
              <w:r w:rsidR="004A32C5" w:rsidRPr="00353BD7">
                <w:rPr>
                  <w:rStyle w:val="Hyperlink"/>
                  <w:rFonts w:ascii="Arial" w:hAnsi="Arial" w:cs="Arial"/>
                  <w:spacing w:val="0"/>
                  <w:lang w:val="es-ES"/>
                </w:rPr>
                <w:t>Matriz de Política</w:t>
              </w:r>
            </w:hyperlink>
          </w:p>
          <w:p w14:paraId="08D0CC2E" w14:textId="77777777" w:rsidR="009041D4" w:rsidRPr="00C3216A" w:rsidRDefault="009041D4" w:rsidP="009041D4">
            <w:pPr>
              <w:keepNext/>
              <w:keepLines/>
              <w:ind w:left="590"/>
              <w:rPr>
                <w:rFonts w:ascii="Arial" w:hAnsi="Arial" w:cs="Arial"/>
                <w:spacing w:val="0"/>
                <w:lang w:val="es-ES"/>
              </w:rPr>
            </w:pPr>
          </w:p>
          <w:p w14:paraId="4D35C738" w14:textId="77777777" w:rsidR="000C6D09" w:rsidRDefault="009004B9" w:rsidP="009041D4">
            <w:pPr>
              <w:keepNext/>
              <w:keepLines/>
              <w:numPr>
                <w:ilvl w:val="0"/>
                <w:numId w:val="10"/>
              </w:numPr>
              <w:ind w:left="590" w:hanging="457"/>
              <w:rPr>
                <w:rFonts w:ascii="Arial" w:hAnsi="Arial" w:cs="Arial"/>
                <w:spacing w:val="0"/>
                <w:lang w:val="es-ES"/>
              </w:rPr>
            </w:pPr>
            <w:hyperlink r:id="rId9" w:history="1">
              <w:r w:rsidR="004A32C5" w:rsidRPr="00353BD7">
                <w:rPr>
                  <w:rStyle w:val="Hyperlink"/>
                  <w:rFonts w:ascii="Arial" w:hAnsi="Arial" w:cs="Arial"/>
                  <w:spacing w:val="0"/>
                  <w:lang w:val="es-ES"/>
                </w:rPr>
                <w:t>Matriz de Medios de Verificación</w:t>
              </w:r>
            </w:hyperlink>
          </w:p>
          <w:p w14:paraId="23288643" w14:textId="77777777" w:rsidR="009041D4" w:rsidRPr="009041D4" w:rsidRDefault="009041D4" w:rsidP="009041D4">
            <w:pPr>
              <w:keepNext/>
              <w:keepLines/>
              <w:rPr>
                <w:rFonts w:ascii="Arial" w:hAnsi="Arial" w:cs="Arial"/>
                <w:spacing w:val="0"/>
                <w:lang w:val="es-ES"/>
              </w:rPr>
            </w:pPr>
          </w:p>
        </w:tc>
      </w:tr>
      <w:tr w:rsidR="004A32C5" w:rsidRPr="00C3216A" w14:paraId="6DB59742" w14:textId="77777777" w:rsidTr="00247AAB">
        <w:trPr>
          <w:trHeight w:val="630"/>
          <w:jc w:val="center"/>
        </w:trPr>
        <w:tc>
          <w:tcPr>
            <w:tcW w:w="9274" w:type="dxa"/>
            <w:tcBorders>
              <w:top w:val="nil"/>
            </w:tcBorders>
            <w:noWrap/>
          </w:tcPr>
          <w:p w14:paraId="4E0EE8CE" w14:textId="43438E41" w:rsidR="003B7AC1" w:rsidRDefault="009004B9" w:rsidP="003B7AC1">
            <w:pPr>
              <w:keepNext/>
              <w:keepLines/>
              <w:numPr>
                <w:ilvl w:val="0"/>
                <w:numId w:val="10"/>
              </w:numPr>
              <w:tabs>
                <w:tab w:val="left" w:pos="542"/>
              </w:tabs>
              <w:ind w:left="590" w:hanging="450"/>
              <w:rPr>
                <w:rFonts w:ascii="Arial" w:hAnsi="Arial" w:cs="Arial"/>
                <w:spacing w:val="0"/>
                <w:lang w:val="es-ES"/>
              </w:rPr>
            </w:pPr>
            <w:hyperlink r:id="rId10" w:history="1">
              <w:r w:rsidR="004A32C5" w:rsidRPr="00353BD7">
                <w:rPr>
                  <w:rStyle w:val="Hyperlink"/>
                  <w:rFonts w:ascii="Arial" w:hAnsi="Arial" w:cs="Arial"/>
                  <w:spacing w:val="0"/>
                  <w:lang w:val="es-ES"/>
                </w:rPr>
                <w:t>Matriz de Resultados</w:t>
              </w:r>
            </w:hyperlink>
          </w:p>
          <w:p w14:paraId="5B60127E" w14:textId="77777777" w:rsidR="003B7AC1" w:rsidRPr="003B7AC1" w:rsidRDefault="003B7AC1" w:rsidP="003B7AC1">
            <w:pPr>
              <w:keepNext/>
              <w:keepLines/>
              <w:tabs>
                <w:tab w:val="left" w:pos="542"/>
              </w:tabs>
              <w:ind w:left="590"/>
              <w:rPr>
                <w:rFonts w:ascii="Arial" w:hAnsi="Arial" w:cs="Arial"/>
                <w:spacing w:val="0"/>
                <w:lang w:val="es-ES"/>
              </w:rPr>
            </w:pPr>
          </w:p>
          <w:bookmarkStart w:id="1" w:name="_Hlk511829337"/>
          <w:p w14:paraId="7641699B" w14:textId="2D0607A5" w:rsidR="000C6D09" w:rsidRPr="003B7AC1" w:rsidRDefault="003B7AC1" w:rsidP="003B7AC1">
            <w:pPr>
              <w:keepNext/>
              <w:keepLines/>
              <w:numPr>
                <w:ilvl w:val="0"/>
                <w:numId w:val="10"/>
              </w:numPr>
              <w:tabs>
                <w:tab w:val="left" w:pos="542"/>
              </w:tabs>
              <w:ind w:left="590" w:hanging="450"/>
              <w:rPr>
                <w:rFonts w:ascii="Arial" w:hAnsi="Arial" w:cs="Arial"/>
                <w:spacing w:val="0"/>
                <w:lang w:val="es-ES"/>
              </w:rPr>
            </w:pPr>
            <w:r w:rsidRPr="003B7AC1">
              <w:rPr>
                <w:rStyle w:val="Hyperlink"/>
                <w:rFonts w:ascii="Arial" w:hAnsi="Arial" w:cs="Arial"/>
                <w:spacing w:val="0"/>
                <w:lang w:val="es-ES"/>
              </w:rPr>
              <w:fldChar w:fldCharType="begin"/>
            </w:r>
            <w:r w:rsidRPr="003B7AC1">
              <w:rPr>
                <w:rStyle w:val="Hyperlink"/>
                <w:rFonts w:ascii="Arial" w:hAnsi="Arial" w:cs="Arial"/>
                <w:spacing w:val="0"/>
                <w:lang w:val="es-ES"/>
              </w:rPr>
              <w:instrText xml:space="preserve"> HYPERLINK "https://idbg.sharepoint.com/teams/EZ-DR-LON/DR-L1058/_layouts/15/DocIdRedir.aspx?ID=EZSHARE-2128231034-34" </w:instrText>
            </w:r>
            <w:r w:rsidRPr="003B7AC1">
              <w:rPr>
                <w:rStyle w:val="Hyperlink"/>
                <w:rFonts w:ascii="Arial" w:hAnsi="Arial" w:cs="Arial"/>
                <w:spacing w:val="0"/>
                <w:lang w:val="es-ES"/>
              </w:rPr>
              <w:fldChar w:fldCharType="separate"/>
            </w:r>
            <w:r w:rsidRPr="003B7AC1">
              <w:rPr>
                <w:rStyle w:val="Hyperlink"/>
                <w:rFonts w:ascii="Arial" w:hAnsi="Arial" w:cs="Arial"/>
                <w:spacing w:val="0"/>
                <w:lang w:val="es-ES"/>
              </w:rPr>
              <w:t>Evaluación Económica</w:t>
            </w:r>
            <w:r w:rsidRPr="003B7AC1">
              <w:rPr>
                <w:rStyle w:val="Hyperlink"/>
                <w:rFonts w:ascii="Arial" w:hAnsi="Arial" w:cs="Arial"/>
                <w:spacing w:val="0"/>
                <w:lang w:val="es-ES"/>
              </w:rPr>
              <w:fldChar w:fldCharType="end"/>
            </w:r>
            <w:bookmarkEnd w:id="1"/>
          </w:p>
          <w:p w14:paraId="452289D6" w14:textId="77777777" w:rsidR="003B7AC1" w:rsidRPr="003B7AC1" w:rsidRDefault="003B7AC1" w:rsidP="003B7AC1">
            <w:pPr>
              <w:keepNext/>
              <w:keepLines/>
              <w:tabs>
                <w:tab w:val="left" w:pos="542"/>
              </w:tabs>
              <w:ind w:left="590"/>
              <w:rPr>
                <w:rFonts w:ascii="Arial" w:hAnsi="Arial" w:cs="Arial"/>
                <w:spacing w:val="0"/>
                <w:lang w:val="es-ES"/>
              </w:rPr>
            </w:pPr>
          </w:p>
          <w:p w14:paraId="467D67AE" w14:textId="0FB2458A" w:rsidR="000C6D09" w:rsidRPr="00C3216A" w:rsidRDefault="009004B9" w:rsidP="00C049E7">
            <w:pPr>
              <w:keepNext/>
              <w:keepLines/>
              <w:numPr>
                <w:ilvl w:val="0"/>
                <w:numId w:val="10"/>
              </w:numPr>
              <w:tabs>
                <w:tab w:val="left" w:pos="542"/>
              </w:tabs>
              <w:ind w:left="590" w:hanging="450"/>
              <w:rPr>
                <w:rFonts w:ascii="Arial" w:hAnsi="Arial" w:cs="Arial"/>
                <w:spacing w:val="0"/>
                <w:lang w:val="es-ES"/>
              </w:rPr>
            </w:pPr>
            <w:hyperlink r:id="rId11" w:history="1">
              <w:r w:rsidR="000C6D09" w:rsidRPr="00353BD7">
                <w:rPr>
                  <w:rStyle w:val="Hyperlink"/>
                  <w:rFonts w:ascii="Arial" w:hAnsi="Arial" w:cs="Arial"/>
                  <w:spacing w:val="0"/>
                  <w:lang w:val="es-ES"/>
                </w:rPr>
                <w:t>Matriz de Resultados de la primera operación de la seria programática (</w:t>
              </w:r>
              <w:r w:rsidR="009041D4" w:rsidRPr="00353BD7">
                <w:rPr>
                  <w:rStyle w:val="Hyperlink"/>
                  <w:rFonts w:ascii="Arial" w:hAnsi="Arial" w:cs="Arial"/>
                  <w:spacing w:val="0"/>
                  <w:lang w:val="es-ES"/>
                </w:rPr>
                <w:t>DR-L105</w:t>
              </w:r>
              <w:r w:rsidR="00353BD7" w:rsidRPr="00353BD7">
                <w:rPr>
                  <w:rStyle w:val="Hyperlink"/>
                  <w:rFonts w:ascii="Arial" w:hAnsi="Arial" w:cs="Arial"/>
                  <w:spacing w:val="0"/>
                  <w:lang w:val="es-ES"/>
                </w:rPr>
                <w:t>0</w:t>
              </w:r>
              <w:r w:rsidR="000C6D09" w:rsidRPr="00353BD7">
                <w:rPr>
                  <w:rStyle w:val="Hyperlink"/>
                  <w:rFonts w:ascii="Arial" w:hAnsi="Arial" w:cs="Arial"/>
                  <w:spacing w:val="0"/>
                  <w:lang w:val="es-ES"/>
                </w:rPr>
                <w:t>)</w:t>
              </w:r>
            </w:hyperlink>
          </w:p>
          <w:p w14:paraId="53FF482A" w14:textId="77777777" w:rsidR="000C6D09" w:rsidRPr="00C3216A" w:rsidRDefault="000C6D09" w:rsidP="000C6D09">
            <w:pPr>
              <w:keepNext/>
              <w:keepLines/>
              <w:ind w:left="590"/>
              <w:rPr>
                <w:rFonts w:ascii="Arial" w:hAnsi="Arial" w:cs="Arial"/>
                <w:spacing w:val="0"/>
                <w:lang w:val="es-ES"/>
              </w:rPr>
            </w:pPr>
          </w:p>
          <w:p w14:paraId="038057D1" w14:textId="77777777" w:rsidR="000C6D09" w:rsidRPr="00C3216A" w:rsidRDefault="000C6D09" w:rsidP="000C6D09">
            <w:pPr>
              <w:keepNext/>
              <w:keepLines/>
              <w:tabs>
                <w:tab w:val="left" w:pos="542"/>
              </w:tabs>
              <w:ind w:left="590"/>
              <w:rPr>
                <w:rFonts w:ascii="Arial" w:hAnsi="Arial" w:cs="Arial"/>
                <w:spacing w:val="0"/>
                <w:lang w:val="es-ES"/>
              </w:rPr>
            </w:pPr>
          </w:p>
        </w:tc>
      </w:tr>
    </w:tbl>
    <w:p w14:paraId="6A78B0DE" w14:textId="77777777" w:rsidR="00A356D4" w:rsidRPr="00C3216A" w:rsidRDefault="00A356D4" w:rsidP="00A356D4">
      <w:pPr>
        <w:spacing w:after="200" w:line="276" w:lineRule="auto"/>
        <w:ind w:left="720"/>
        <w:rPr>
          <w:rFonts w:ascii="Arial" w:hAnsi="Arial" w:cs="Arial"/>
          <w:b/>
          <w:szCs w:val="24"/>
          <w:lang w:val="es-ES"/>
        </w:rPr>
      </w:pPr>
      <w:r w:rsidRPr="00C3216A">
        <w:rPr>
          <w:rFonts w:ascii="Arial" w:hAnsi="Arial" w:cs="Arial"/>
          <w:b/>
          <w:szCs w:val="24"/>
          <w:lang w:val="es-ES"/>
        </w:rPr>
        <w:br w:type="page"/>
      </w:r>
    </w:p>
    <w:p w14:paraId="33261216" w14:textId="77777777" w:rsidR="005B72F7" w:rsidRPr="00C3216A" w:rsidRDefault="00BC1CB6" w:rsidP="003C0759">
      <w:pPr>
        <w:keepNext/>
        <w:keepLines/>
        <w:numPr>
          <w:ilvl w:val="0"/>
          <w:numId w:val="7"/>
        </w:numPr>
        <w:spacing w:before="480"/>
        <w:ind w:left="0" w:firstLine="0"/>
        <w:jc w:val="center"/>
        <w:outlineLvl w:val="0"/>
        <w:rPr>
          <w:rFonts w:ascii="Arial" w:hAnsi="Arial" w:cs="Arial"/>
          <w:smallCaps/>
          <w:color w:val="000000" w:themeColor="text1"/>
          <w:sz w:val="22"/>
          <w:szCs w:val="22"/>
          <w:lang w:val="es-ES"/>
        </w:rPr>
      </w:pPr>
      <w:bookmarkStart w:id="2" w:name="_Toc511826633"/>
      <w:r w:rsidRPr="003C0759">
        <w:rPr>
          <w:rFonts w:ascii="Arial" w:eastAsiaTheme="majorEastAsia" w:hAnsi="Arial" w:cs="Arial"/>
          <w:b/>
          <w:bCs/>
          <w:noProof/>
          <w:color w:val="000000" w:themeColor="text1"/>
          <w:sz w:val="22"/>
          <w:szCs w:val="22"/>
          <w:lang w:val="es-ES"/>
        </w:rPr>
        <w:lastRenderedPageBreak/>
        <w:t>Introducció</w:t>
      </w:r>
      <w:r w:rsidR="005B72F7" w:rsidRPr="003C0759">
        <w:rPr>
          <w:rFonts w:ascii="Arial" w:eastAsiaTheme="majorEastAsia" w:hAnsi="Arial" w:cs="Arial"/>
          <w:b/>
          <w:bCs/>
          <w:noProof/>
          <w:color w:val="000000" w:themeColor="text1"/>
          <w:sz w:val="22"/>
          <w:szCs w:val="22"/>
          <w:lang w:val="es-ES"/>
        </w:rPr>
        <w:t>n</w:t>
      </w:r>
      <w:bookmarkEnd w:id="2"/>
    </w:p>
    <w:p w14:paraId="56909CE0" w14:textId="3476394C" w:rsidR="00F865C7" w:rsidRPr="00EF01D9" w:rsidRDefault="004947B7" w:rsidP="00C049E7">
      <w:pPr>
        <w:pStyle w:val="BodyText2"/>
        <w:numPr>
          <w:ilvl w:val="1"/>
          <w:numId w:val="7"/>
        </w:numPr>
        <w:tabs>
          <w:tab w:val="left" w:pos="720"/>
        </w:tabs>
        <w:spacing w:before="240" w:line="240" w:lineRule="auto"/>
        <w:ind w:left="720" w:hanging="720"/>
        <w:jc w:val="both"/>
        <w:rPr>
          <w:rFonts w:ascii="Arial" w:hAnsi="Arial" w:cs="Arial"/>
          <w:bCs/>
          <w:sz w:val="22"/>
          <w:szCs w:val="22"/>
          <w:lang w:val="es-ES"/>
        </w:rPr>
      </w:pPr>
      <w:r w:rsidRPr="00EF01D9">
        <w:rPr>
          <w:rFonts w:ascii="Arial" w:hAnsi="Arial" w:cs="Arial"/>
          <w:bCs/>
          <w:sz w:val="22"/>
          <w:szCs w:val="22"/>
          <w:lang w:val="es-ES"/>
        </w:rPr>
        <w:t>Este documen</w:t>
      </w:r>
      <w:r w:rsidR="006D323A" w:rsidRPr="00EF01D9">
        <w:rPr>
          <w:rFonts w:ascii="Arial" w:hAnsi="Arial" w:cs="Arial"/>
          <w:bCs/>
          <w:sz w:val="22"/>
          <w:szCs w:val="22"/>
          <w:lang w:val="es-ES"/>
        </w:rPr>
        <w:t xml:space="preserve">to presenta la descripción del </w:t>
      </w:r>
      <w:r w:rsidR="00F865C7" w:rsidRPr="00EF01D9">
        <w:rPr>
          <w:rFonts w:ascii="Arial" w:hAnsi="Arial" w:cs="Arial"/>
          <w:bCs/>
          <w:sz w:val="22"/>
          <w:szCs w:val="22"/>
          <w:lang w:val="es-ES"/>
        </w:rPr>
        <w:t>P</w:t>
      </w:r>
      <w:r w:rsidR="006D323A" w:rsidRPr="00EF01D9">
        <w:rPr>
          <w:rFonts w:ascii="Arial" w:hAnsi="Arial" w:cs="Arial"/>
          <w:bCs/>
          <w:sz w:val="22"/>
          <w:szCs w:val="22"/>
          <w:lang w:val="es-ES"/>
        </w:rPr>
        <w:t xml:space="preserve">lan de </w:t>
      </w:r>
      <w:r w:rsidR="00B41C15" w:rsidRPr="00EF01D9">
        <w:rPr>
          <w:rFonts w:ascii="Arial" w:hAnsi="Arial" w:cs="Arial"/>
          <w:bCs/>
          <w:sz w:val="22"/>
          <w:szCs w:val="22"/>
          <w:lang w:val="es-ES"/>
        </w:rPr>
        <w:t>Seguimiento</w:t>
      </w:r>
      <w:r w:rsidR="006D323A" w:rsidRPr="00EF01D9">
        <w:rPr>
          <w:rFonts w:ascii="Arial" w:hAnsi="Arial" w:cs="Arial"/>
          <w:bCs/>
          <w:sz w:val="22"/>
          <w:szCs w:val="22"/>
          <w:lang w:val="es-ES"/>
        </w:rPr>
        <w:t xml:space="preserve"> y </w:t>
      </w:r>
      <w:r w:rsidR="00F865C7" w:rsidRPr="00EF01D9">
        <w:rPr>
          <w:rFonts w:ascii="Arial" w:hAnsi="Arial" w:cs="Arial"/>
          <w:bCs/>
          <w:sz w:val="22"/>
          <w:szCs w:val="22"/>
          <w:lang w:val="es-ES"/>
        </w:rPr>
        <w:t>E</w:t>
      </w:r>
      <w:r w:rsidRPr="00EF01D9">
        <w:rPr>
          <w:rFonts w:ascii="Arial" w:hAnsi="Arial" w:cs="Arial"/>
          <w:bCs/>
          <w:sz w:val="22"/>
          <w:szCs w:val="22"/>
          <w:lang w:val="es-ES"/>
        </w:rPr>
        <w:t xml:space="preserve">valuación </w:t>
      </w:r>
      <w:r w:rsidR="00B41C15" w:rsidRPr="00EF01D9">
        <w:rPr>
          <w:rFonts w:ascii="Arial" w:hAnsi="Arial" w:cs="Arial"/>
          <w:bCs/>
          <w:sz w:val="22"/>
          <w:szCs w:val="22"/>
          <w:lang w:val="es-ES"/>
        </w:rPr>
        <w:t xml:space="preserve">(PSE) </w:t>
      </w:r>
      <w:r w:rsidRPr="00EF01D9">
        <w:rPr>
          <w:rFonts w:ascii="Arial" w:hAnsi="Arial" w:cs="Arial"/>
          <w:bCs/>
          <w:sz w:val="22"/>
          <w:szCs w:val="22"/>
          <w:lang w:val="es-ES"/>
        </w:rPr>
        <w:t xml:space="preserve">del </w:t>
      </w:r>
      <w:r w:rsidR="00B41C15" w:rsidRPr="00EF01D9">
        <w:rPr>
          <w:rFonts w:ascii="Arial" w:hAnsi="Arial" w:cs="Arial"/>
          <w:bCs/>
          <w:sz w:val="22"/>
          <w:szCs w:val="22"/>
          <w:lang w:val="es-ES"/>
        </w:rPr>
        <w:t>programa</w:t>
      </w:r>
      <w:r w:rsidR="00F865C7" w:rsidRPr="00EF01D9">
        <w:rPr>
          <w:rFonts w:ascii="Arial" w:hAnsi="Arial" w:cs="Arial"/>
          <w:bCs/>
          <w:sz w:val="22"/>
          <w:szCs w:val="22"/>
          <w:lang w:val="es-ES"/>
        </w:rPr>
        <w:t xml:space="preserve">. El Plan de </w:t>
      </w:r>
      <w:r w:rsidR="00B41C15" w:rsidRPr="00EF01D9">
        <w:rPr>
          <w:rFonts w:ascii="Arial" w:hAnsi="Arial" w:cs="Arial"/>
          <w:bCs/>
          <w:sz w:val="22"/>
          <w:szCs w:val="22"/>
          <w:lang w:val="es-ES"/>
        </w:rPr>
        <w:t>Seguimiento</w:t>
      </w:r>
      <w:r w:rsidR="00F865C7" w:rsidRPr="00EF01D9">
        <w:rPr>
          <w:rFonts w:ascii="Arial" w:hAnsi="Arial" w:cs="Arial"/>
          <w:bCs/>
          <w:sz w:val="22"/>
          <w:szCs w:val="22"/>
          <w:lang w:val="es-ES"/>
        </w:rPr>
        <w:t xml:space="preserve"> incluye la definición de los indicadores de seguimiento asociados a la matriz de resultados, los mecanismos de verificación y el responsable de dicho seguimiento. </w:t>
      </w:r>
    </w:p>
    <w:p w14:paraId="04DF10C6" w14:textId="540CF1F5" w:rsidR="00951748" w:rsidRPr="00EF01D9" w:rsidRDefault="00951748" w:rsidP="00C049E7">
      <w:pPr>
        <w:pStyle w:val="BodyText2"/>
        <w:numPr>
          <w:ilvl w:val="1"/>
          <w:numId w:val="7"/>
        </w:numPr>
        <w:tabs>
          <w:tab w:val="left" w:pos="720"/>
        </w:tabs>
        <w:spacing w:before="240" w:line="240" w:lineRule="auto"/>
        <w:ind w:left="720" w:hanging="720"/>
        <w:jc w:val="both"/>
        <w:rPr>
          <w:rFonts w:ascii="Arial" w:hAnsi="Arial" w:cs="Arial"/>
          <w:bCs/>
          <w:sz w:val="22"/>
          <w:szCs w:val="22"/>
          <w:lang w:val="es-ES"/>
        </w:rPr>
      </w:pPr>
      <w:r w:rsidRPr="00EF01D9">
        <w:rPr>
          <w:rFonts w:ascii="Arial" w:hAnsi="Arial" w:cs="Arial"/>
          <w:bCs/>
          <w:sz w:val="22"/>
          <w:szCs w:val="22"/>
          <w:lang w:val="es-ES"/>
        </w:rPr>
        <w:t xml:space="preserve">El </w:t>
      </w:r>
      <w:r w:rsidR="001D340A">
        <w:rPr>
          <w:rFonts w:ascii="Arial" w:hAnsi="Arial" w:cs="Arial"/>
          <w:bCs/>
          <w:sz w:val="22"/>
          <w:szCs w:val="22"/>
          <w:lang w:val="es-ES"/>
        </w:rPr>
        <w:t>p</w:t>
      </w:r>
      <w:r w:rsidRPr="00EF01D9">
        <w:rPr>
          <w:rFonts w:ascii="Arial" w:hAnsi="Arial" w:cs="Arial"/>
          <w:bCs/>
          <w:sz w:val="22"/>
          <w:szCs w:val="22"/>
          <w:lang w:val="es-ES"/>
        </w:rPr>
        <w:t xml:space="preserve">rograma </w:t>
      </w:r>
      <w:r w:rsidR="009A33DB">
        <w:rPr>
          <w:rFonts w:ascii="Arial" w:hAnsi="Arial" w:cs="Arial"/>
          <w:bCs/>
          <w:sz w:val="22"/>
          <w:szCs w:val="22"/>
          <w:lang w:val="es-ES"/>
        </w:rPr>
        <w:t xml:space="preserve">está </w:t>
      </w:r>
      <w:r w:rsidRPr="00EF01D9">
        <w:rPr>
          <w:rFonts w:ascii="Arial" w:hAnsi="Arial" w:cs="Arial"/>
          <w:bCs/>
          <w:sz w:val="22"/>
          <w:szCs w:val="22"/>
          <w:lang w:val="es-ES"/>
        </w:rPr>
        <w:t>estructura</w:t>
      </w:r>
      <w:r w:rsidR="009A33DB">
        <w:rPr>
          <w:rFonts w:ascii="Arial" w:hAnsi="Arial" w:cs="Arial"/>
          <w:bCs/>
          <w:sz w:val="22"/>
          <w:szCs w:val="22"/>
          <w:lang w:val="es-ES"/>
        </w:rPr>
        <w:t>do</w:t>
      </w:r>
      <w:r w:rsidRPr="00EF01D9">
        <w:rPr>
          <w:rFonts w:ascii="Arial" w:hAnsi="Arial" w:cs="Arial"/>
          <w:bCs/>
          <w:sz w:val="22"/>
          <w:szCs w:val="22"/>
          <w:lang w:val="es-ES"/>
        </w:rPr>
        <w:t xml:space="preserve"> como un Programático </w:t>
      </w:r>
      <w:r w:rsidR="00E42CAA">
        <w:rPr>
          <w:rFonts w:ascii="Arial" w:hAnsi="Arial" w:cs="Arial"/>
          <w:bCs/>
          <w:sz w:val="22"/>
          <w:szCs w:val="22"/>
          <w:lang w:val="es-ES"/>
        </w:rPr>
        <w:t xml:space="preserve">de </w:t>
      </w:r>
      <w:r w:rsidR="00776B44">
        <w:rPr>
          <w:rFonts w:ascii="Arial" w:hAnsi="Arial" w:cs="Arial"/>
          <w:bCs/>
          <w:sz w:val="22"/>
          <w:szCs w:val="22"/>
          <w:lang w:val="es-ES"/>
        </w:rPr>
        <w:t>A</w:t>
      </w:r>
      <w:r w:rsidR="00E42CAA">
        <w:rPr>
          <w:rFonts w:ascii="Arial" w:hAnsi="Arial" w:cs="Arial"/>
          <w:bCs/>
          <w:sz w:val="22"/>
          <w:szCs w:val="22"/>
          <w:lang w:val="es-ES"/>
        </w:rPr>
        <w:t xml:space="preserve">poyo a </w:t>
      </w:r>
      <w:r w:rsidR="00776B44">
        <w:rPr>
          <w:rFonts w:ascii="Arial" w:hAnsi="Arial" w:cs="Arial"/>
          <w:bCs/>
          <w:sz w:val="22"/>
          <w:szCs w:val="22"/>
          <w:lang w:val="es-ES"/>
        </w:rPr>
        <w:t>R</w:t>
      </w:r>
      <w:r w:rsidR="00E42CAA">
        <w:rPr>
          <w:rFonts w:ascii="Arial" w:hAnsi="Arial" w:cs="Arial"/>
          <w:bCs/>
          <w:sz w:val="22"/>
          <w:szCs w:val="22"/>
          <w:lang w:val="es-ES"/>
        </w:rPr>
        <w:t>eformas de</w:t>
      </w:r>
      <w:r w:rsidRPr="00EF01D9">
        <w:rPr>
          <w:rFonts w:ascii="Arial" w:hAnsi="Arial" w:cs="Arial"/>
          <w:bCs/>
          <w:sz w:val="22"/>
          <w:szCs w:val="22"/>
          <w:lang w:val="es-ES"/>
        </w:rPr>
        <w:t xml:space="preserve"> Política (PBP) con</w:t>
      </w:r>
      <w:r w:rsidR="00737286">
        <w:rPr>
          <w:rFonts w:ascii="Arial" w:hAnsi="Arial" w:cs="Arial"/>
          <w:bCs/>
          <w:sz w:val="22"/>
          <w:szCs w:val="22"/>
          <w:lang w:val="es-ES"/>
        </w:rPr>
        <w:t xml:space="preserve"> una serie de</w:t>
      </w:r>
      <w:r w:rsidRPr="00EF01D9">
        <w:rPr>
          <w:rFonts w:ascii="Arial" w:hAnsi="Arial" w:cs="Arial"/>
          <w:bCs/>
          <w:sz w:val="22"/>
          <w:szCs w:val="22"/>
          <w:lang w:val="es-ES"/>
        </w:rPr>
        <w:t xml:space="preserve"> tres </w:t>
      </w:r>
      <w:r w:rsidR="005A1E12">
        <w:rPr>
          <w:rFonts w:ascii="Arial" w:hAnsi="Arial" w:cs="Arial"/>
          <w:bCs/>
          <w:sz w:val="22"/>
          <w:szCs w:val="22"/>
          <w:lang w:val="es-ES"/>
        </w:rPr>
        <w:t>préstamos</w:t>
      </w:r>
      <w:r w:rsidRPr="00EF01D9">
        <w:rPr>
          <w:rFonts w:ascii="Arial" w:hAnsi="Arial" w:cs="Arial"/>
          <w:bCs/>
          <w:sz w:val="22"/>
          <w:szCs w:val="22"/>
          <w:lang w:val="es-ES"/>
        </w:rPr>
        <w:t>, diseñado para apoyar al G</w:t>
      </w:r>
      <w:r w:rsidR="00232F8D" w:rsidRPr="00EF01D9">
        <w:rPr>
          <w:rFonts w:ascii="Arial" w:hAnsi="Arial" w:cs="Arial"/>
          <w:bCs/>
          <w:sz w:val="22"/>
          <w:szCs w:val="22"/>
          <w:lang w:val="es-ES"/>
        </w:rPr>
        <w:t>obierno de</w:t>
      </w:r>
      <w:r w:rsidR="009041D4">
        <w:rPr>
          <w:rFonts w:ascii="Arial" w:hAnsi="Arial" w:cs="Arial"/>
          <w:bCs/>
          <w:sz w:val="22"/>
          <w:szCs w:val="22"/>
          <w:lang w:val="es-ES"/>
        </w:rPr>
        <w:t xml:space="preserve"> la República Dominicana (GRD</w:t>
      </w:r>
      <w:r w:rsidR="00232F8D" w:rsidRPr="00EF01D9">
        <w:rPr>
          <w:rFonts w:ascii="Arial" w:hAnsi="Arial" w:cs="Arial"/>
          <w:bCs/>
          <w:sz w:val="22"/>
          <w:szCs w:val="22"/>
          <w:lang w:val="es-ES"/>
        </w:rPr>
        <w:t>)</w:t>
      </w:r>
      <w:r w:rsidRPr="00EF01D9">
        <w:rPr>
          <w:rFonts w:ascii="Arial" w:hAnsi="Arial" w:cs="Arial"/>
          <w:bCs/>
          <w:sz w:val="22"/>
          <w:szCs w:val="22"/>
          <w:lang w:val="es-ES"/>
        </w:rPr>
        <w:t xml:space="preserve"> en la implementación de</w:t>
      </w:r>
      <w:r w:rsidR="009041D4">
        <w:rPr>
          <w:rFonts w:ascii="Arial" w:hAnsi="Arial" w:cs="Arial"/>
          <w:bCs/>
          <w:sz w:val="22"/>
          <w:szCs w:val="22"/>
          <w:lang w:val="es-ES"/>
        </w:rPr>
        <w:t>l Programa para la Sostenibilidad y Eficiencia del Sector Eléctrico</w:t>
      </w:r>
      <w:r w:rsidRPr="00EF01D9">
        <w:rPr>
          <w:rFonts w:ascii="Arial" w:hAnsi="Arial" w:cs="Arial"/>
          <w:bCs/>
          <w:sz w:val="22"/>
          <w:szCs w:val="22"/>
          <w:lang w:val="es-ES"/>
        </w:rPr>
        <w:t xml:space="preserve">, </w:t>
      </w:r>
      <w:r w:rsidR="00776B44">
        <w:rPr>
          <w:rFonts w:ascii="Arial" w:hAnsi="Arial" w:cs="Arial"/>
          <w:bCs/>
          <w:sz w:val="22"/>
          <w:szCs w:val="22"/>
          <w:lang w:val="es-ES"/>
        </w:rPr>
        <w:t>mediante</w:t>
      </w:r>
      <w:r w:rsidRPr="00EF01D9">
        <w:rPr>
          <w:rFonts w:ascii="Arial" w:hAnsi="Arial" w:cs="Arial"/>
          <w:bCs/>
          <w:sz w:val="22"/>
          <w:szCs w:val="22"/>
          <w:lang w:val="es-ES"/>
        </w:rPr>
        <w:t xml:space="preserve"> </w:t>
      </w:r>
      <w:r w:rsidR="00466735">
        <w:rPr>
          <w:rFonts w:ascii="Arial" w:hAnsi="Arial" w:cs="Arial"/>
          <w:bCs/>
          <w:sz w:val="22"/>
          <w:szCs w:val="22"/>
          <w:lang w:val="es-ES"/>
        </w:rPr>
        <w:t xml:space="preserve">reformas de política </w:t>
      </w:r>
      <w:r w:rsidRPr="00EF01D9">
        <w:rPr>
          <w:rFonts w:ascii="Arial" w:hAnsi="Arial" w:cs="Arial"/>
          <w:bCs/>
          <w:sz w:val="22"/>
          <w:szCs w:val="22"/>
          <w:lang w:val="es-ES"/>
        </w:rPr>
        <w:t xml:space="preserve">necesarias para </w:t>
      </w:r>
      <w:r w:rsidR="00466735">
        <w:rPr>
          <w:rFonts w:ascii="Arial" w:hAnsi="Arial" w:cs="Arial"/>
          <w:bCs/>
          <w:sz w:val="22"/>
          <w:szCs w:val="22"/>
          <w:lang w:val="es-ES"/>
        </w:rPr>
        <w:t>impulsar</w:t>
      </w:r>
      <w:r w:rsidRPr="00EF01D9">
        <w:rPr>
          <w:rFonts w:ascii="Arial" w:hAnsi="Arial" w:cs="Arial"/>
          <w:bCs/>
          <w:sz w:val="22"/>
          <w:szCs w:val="22"/>
          <w:lang w:val="es-ES"/>
        </w:rPr>
        <w:t xml:space="preserve"> la sostenibilidad financiera y </w:t>
      </w:r>
      <w:r w:rsidR="00466735">
        <w:rPr>
          <w:rFonts w:ascii="Arial" w:hAnsi="Arial" w:cs="Arial"/>
          <w:bCs/>
          <w:sz w:val="22"/>
          <w:szCs w:val="22"/>
          <w:lang w:val="es-ES"/>
        </w:rPr>
        <w:t xml:space="preserve">la eficiencia </w:t>
      </w:r>
      <w:r w:rsidRPr="00EF01D9">
        <w:rPr>
          <w:rFonts w:ascii="Arial" w:hAnsi="Arial" w:cs="Arial"/>
          <w:bCs/>
          <w:sz w:val="22"/>
          <w:szCs w:val="22"/>
          <w:lang w:val="es-ES"/>
        </w:rPr>
        <w:t>operativa del sector eléctrico.</w:t>
      </w:r>
      <w:r w:rsidR="009A33DB">
        <w:rPr>
          <w:rFonts w:ascii="Arial" w:hAnsi="Arial" w:cs="Arial"/>
          <w:bCs/>
          <w:sz w:val="22"/>
          <w:szCs w:val="22"/>
          <w:lang w:val="es-ES"/>
        </w:rPr>
        <w:t xml:space="preserve"> Este documento representa el PSE del segundo préstamo de la serie.</w:t>
      </w:r>
    </w:p>
    <w:p w14:paraId="7C9335C5" w14:textId="5DCEDBE8" w:rsidR="00180051" w:rsidRPr="00180051" w:rsidRDefault="00B41C15" w:rsidP="00180051">
      <w:pPr>
        <w:pStyle w:val="BodyText2"/>
        <w:numPr>
          <w:ilvl w:val="1"/>
          <w:numId w:val="7"/>
        </w:numPr>
        <w:tabs>
          <w:tab w:val="left" w:pos="720"/>
        </w:tabs>
        <w:spacing w:before="240" w:line="240" w:lineRule="auto"/>
        <w:ind w:left="720" w:hanging="720"/>
        <w:jc w:val="both"/>
        <w:rPr>
          <w:rFonts w:ascii="Arial" w:eastAsia="Arial Unicode MS" w:hAnsi="Arial" w:cs="Arial"/>
          <w:bCs/>
          <w:sz w:val="22"/>
          <w:szCs w:val="22"/>
          <w:lang w:val="es-ES"/>
        </w:rPr>
      </w:pPr>
      <w:r w:rsidRPr="00180051">
        <w:rPr>
          <w:rFonts w:ascii="Arial" w:eastAsia="Arial Unicode MS" w:hAnsi="Arial" w:cs="Arial"/>
          <w:b/>
          <w:bCs/>
          <w:sz w:val="22"/>
          <w:szCs w:val="22"/>
          <w:lang w:val="es-ES"/>
        </w:rPr>
        <w:t>Objetivo del programa.</w:t>
      </w:r>
      <w:r w:rsidRPr="00180051">
        <w:rPr>
          <w:rFonts w:ascii="Arial" w:eastAsia="Arial Unicode MS" w:hAnsi="Arial" w:cs="Arial"/>
          <w:bCs/>
          <w:sz w:val="22"/>
          <w:szCs w:val="22"/>
          <w:lang w:val="es-ES"/>
        </w:rPr>
        <w:t xml:space="preserve"> </w:t>
      </w:r>
      <w:r w:rsidR="00612ADA" w:rsidRPr="00180051">
        <w:rPr>
          <w:rFonts w:ascii="Arial" w:eastAsia="Arial Unicode MS" w:hAnsi="Arial" w:cs="Arial"/>
          <w:bCs/>
          <w:sz w:val="22"/>
          <w:szCs w:val="22"/>
          <w:lang w:val="es-ES"/>
        </w:rPr>
        <w:t>El objetivo general de la serie programática y de la segunda</w:t>
      </w:r>
      <w:r w:rsidR="009041D4" w:rsidRPr="00180051">
        <w:rPr>
          <w:rFonts w:ascii="Arial" w:eastAsia="Arial Unicode MS" w:hAnsi="Arial" w:cs="Arial"/>
          <w:bCs/>
          <w:sz w:val="22"/>
          <w:szCs w:val="22"/>
          <w:lang w:val="es-ES"/>
        </w:rPr>
        <w:t xml:space="preserve"> operación es apoyar al </w:t>
      </w:r>
      <w:r w:rsidR="00353BD7" w:rsidRPr="00180051">
        <w:rPr>
          <w:rFonts w:ascii="Arial" w:eastAsia="Arial Unicode MS" w:hAnsi="Arial" w:cs="Arial"/>
          <w:bCs/>
          <w:sz w:val="22"/>
          <w:szCs w:val="22"/>
          <w:lang w:val="es-ES"/>
        </w:rPr>
        <w:t xml:space="preserve">GRD </w:t>
      </w:r>
      <w:r w:rsidR="009041D4" w:rsidRPr="00180051">
        <w:rPr>
          <w:rFonts w:ascii="Arial" w:eastAsia="Arial Unicode MS" w:hAnsi="Arial" w:cs="Arial"/>
          <w:bCs/>
          <w:sz w:val="22"/>
          <w:szCs w:val="22"/>
          <w:lang w:val="es-ES"/>
        </w:rPr>
        <w:t xml:space="preserve">en la adopción e implementación de las reformas y políticas sectoriales necesarias para impulsar la sostenibilidad financiera y la eficiencia operativa del sector eléctrico. Los objetivos específicos son: </w:t>
      </w:r>
      <w:r w:rsidR="00180051" w:rsidRPr="00435189">
        <w:rPr>
          <w:rFonts w:ascii="Arial" w:hAnsi="Arial" w:cs="Arial"/>
          <w:sz w:val="22"/>
          <w:szCs w:val="22"/>
        </w:rPr>
        <w:t>(i) fortalecer la capacidad institucional y de supervisión del sector eléctrico; (i</w:t>
      </w:r>
      <w:r w:rsidR="00106452">
        <w:rPr>
          <w:rFonts w:ascii="Arial" w:hAnsi="Arial" w:cs="Arial"/>
          <w:sz w:val="22"/>
          <w:szCs w:val="22"/>
        </w:rPr>
        <w:t>i</w:t>
      </w:r>
      <w:r w:rsidR="00180051" w:rsidRPr="00435189">
        <w:rPr>
          <w:rFonts w:ascii="Arial" w:hAnsi="Arial" w:cs="Arial"/>
          <w:sz w:val="22"/>
          <w:szCs w:val="22"/>
        </w:rPr>
        <w:t>) fortalecer el planeamiento y regulación sectorial; y (</w:t>
      </w:r>
      <w:r w:rsidR="00106452">
        <w:rPr>
          <w:rFonts w:ascii="Arial" w:hAnsi="Arial" w:cs="Arial"/>
          <w:sz w:val="22"/>
          <w:szCs w:val="22"/>
        </w:rPr>
        <w:t>iii</w:t>
      </w:r>
      <w:r w:rsidR="00180051" w:rsidRPr="00435189">
        <w:rPr>
          <w:rFonts w:ascii="Arial" w:hAnsi="Arial" w:cs="Arial"/>
          <w:sz w:val="22"/>
          <w:szCs w:val="22"/>
        </w:rPr>
        <w:t>) apoyar la mejora gerencial y operativa de las empresas eléctricas</w:t>
      </w:r>
      <w:r w:rsidR="00180051">
        <w:rPr>
          <w:rFonts w:ascii="Arial" w:hAnsi="Arial" w:cs="Arial"/>
          <w:sz w:val="22"/>
          <w:szCs w:val="22"/>
        </w:rPr>
        <w:t>.</w:t>
      </w:r>
    </w:p>
    <w:p w14:paraId="3682CF76" w14:textId="57192E39" w:rsidR="00677C2F" w:rsidRPr="00677C2F" w:rsidRDefault="00B41C15" w:rsidP="00180051">
      <w:pPr>
        <w:pStyle w:val="BodyText2"/>
        <w:numPr>
          <w:ilvl w:val="1"/>
          <w:numId w:val="7"/>
        </w:numPr>
        <w:tabs>
          <w:tab w:val="left" w:pos="720"/>
        </w:tabs>
        <w:spacing w:before="240" w:line="240" w:lineRule="auto"/>
        <w:ind w:left="720" w:hanging="720"/>
        <w:jc w:val="both"/>
        <w:rPr>
          <w:rFonts w:ascii="Arial" w:eastAsia="Arial Unicode MS" w:hAnsi="Arial" w:cs="Arial"/>
          <w:bCs/>
          <w:sz w:val="22"/>
          <w:szCs w:val="22"/>
          <w:lang w:val="es-ES"/>
        </w:rPr>
      </w:pPr>
      <w:r w:rsidRPr="00180051">
        <w:rPr>
          <w:rFonts w:ascii="Arial" w:eastAsia="Arial Unicode MS" w:hAnsi="Arial" w:cs="Arial"/>
          <w:b/>
          <w:bCs/>
          <w:sz w:val="22"/>
          <w:szCs w:val="22"/>
          <w:lang w:val="es-ES"/>
        </w:rPr>
        <w:t>Resultados esperados.</w:t>
      </w:r>
      <w:r w:rsidRPr="00180051">
        <w:rPr>
          <w:rFonts w:ascii="Arial" w:eastAsia="Arial Unicode MS" w:hAnsi="Arial" w:cs="Arial"/>
          <w:bCs/>
          <w:sz w:val="22"/>
          <w:szCs w:val="22"/>
          <w:lang w:val="es-ES"/>
        </w:rPr>
        <w:t xml:space="preserve"> </w:t>
      </w:r>
      <w:r w:rsidR="00AC6C51" w:rsidRPr="00180051">
        <w:rPr>
          <w:rFonts w:ascii="Arial" w:eastAsia="Arial Unicode MS" w:hAnsi="Arial" w:cs="Arial"/>
          <w:bCs/>
          <w:sz w:val="22"/>
          <w:szCs w:val="22"/>
          <w:lang w:val="es-ES"/>
        </w:rPr>
        <w:t>Para evaluar el logro de los objetivos del programa se toman como ref</w:t>
      </w:r>
      <w:r w:rsidR="00AC6C51" w:rsidRPr="007428BF">
        <w:rPr>
          <w:rFonts w:ascii="Arial" w:eastAsia="Arial Unicode MS" w:hAnsi="Arial" w:cs="Arial"/>
          <w:bCs/>
          <w:sz w:val="22"/>
          <w:szCs w:val="22"/>
          <w:lang w:val="es-ES"/>
        </w:rPr>
        <w:t xml:space="preserve">erencia los indicadores y metas que se presentan en la </w:t>
      </w:r>
      <w:hyperlink r:id="rId12" w:history="1">
        <w:r w:rsidR="006A1014" w:rsidRPr="007428BF">
          <w:rPr>
            <w:rStyle w:val="Hyperlink"/>
            <w:rFonts w:ascii="Arial" w:hAnsi="Arial" w:cs="Arial"/>
            <w:spacing w:val="0"/>
            <w:sz w:val="22"/>
            <w:szCs w:val="22"/>
            <w:lang w:val="es-ES"/>
          </w:rPr>
          <w:t>Matriz de Resultados</w:t>
        </w:r>
      </w:hyperlink>
      <w:r w:rsidR="00AE2707" w:rsidRPr="007428BF">
        <w:rPr>
          <w:rFonts w:ascii="Arial" w:eastAsia="Arial Unicode MS" w:hAnsi="Arial" w:cs="Arial"/>
          <w:bCs/>
          <w:sz w:val="22"/>
          <w:szCs w:val="22"/>
          <w:lang w:val="es-ES"/>
        </w:rPr>
        <w:t>,</w:t>
      </w:r>
      <w:r w:rsidR="00AC6C51" w:rsidRPr="007428BF">
        <w:rPr>
          <w:rFonts w:ascii="Arial" w:eastAsia="Arial Unicode MS" w:hAnsi="Arial" w:cs="Arial"/>
          <w:bCs/>
          <w:sz w:val="22"/>
          <w:szCs w:val="22"/>
          <w:lang w:val="es-ES"/>
        </w:rPr>
        <w:t xml:space="preserve"> mediante sus tres operaciones individuales</w:t>
      </w:r>
      <w:r w:rsidR="00AC6C51" w:rsidRPr="00180051">
        <w:rPr>
          <w:rFonts w:ascii="Arial" w:eastAsia="Arial Unicode MS" w:hAnsi="Arial" w:cs="Arial"/>
          <w:bCs/>
          <w:sz w:val="22"/>
          <w:szCs w:val="22"/>
          <w:lang w:val="es-ES"/>
        </w:rPr>
        <w:t xml:space="preserve"> reflejadas en la </w:t>
      </w:r>
      <w:hyperlink r:id="rId13" w:history="1">
        <w:r w:rsidR="007428BF" w:rsidRPr="009A33DB">
          <w:rPr>
            <w:rFonts w:ascii="Arial" w:eastAsia="Arial Unicode MS" w:hAnsi="Arial" w:cs="Arial"/>
            <w:bCs/>
            <w:color w:val="0000FF" w:themeColor="hyperlink"/>
            <w:sz w:val="22"/>
            <w:szCs w:val="22"/>
            <w:u w:val="single"/>
            <w:lang w:val="es-ES"/>
          </w:rPr>
          <w:t>Matriz de Políticas</w:t>
        </w:r>
      </w:hyperlink>
      <w:r w:rsidR="00AC6C51" w:rsidRPr="00180051">
        <w:rPr>
          <w:rFonts w:ascii="Arial" w:eastAsia="Arial Unicode MS" w:hAnsi="Arial" w:cs="Arial"/>
          <w:bCs/>
          <w:sz w:val="22"/>
          <w:szCs w:val="22"/>
          <w:lang w:val="es-ES"/>
        </w:rPr>
        <w:t xml:space="preserve">. </w:t>
      </w:r>
    </w:p>
    <w:p w14:paraId="535DB64F" w14:textId="3782C85B" w:rsidR="00C42924" w:rsidRPr="00EF01D9" w:rsidRDefault="00C42924" w:rsidP="00C049E7">
      <w:pPr>
        <w:pStyle w:val="BodyText2"/>
        <w:numPr>
          <w:ilvl w:val="1"/>
          <w:numId w:val="7"/>
        </w:numPr>
        <w:tabs>
          <w:tab w:val="left" w:pos="720"/>
        </w:tabs>
        <w:spacing w:before="120" w:line="240" w:lineRule="auto"/>
        <w:ind w:left="720" w:hanging="720"/>
        <w:jc w:val="both"/>
        <w:rPr>
          <w:rFonts w:ascii="Arial" w:eastAsia="Arial Unicode MS" w:hAnsi="Arial" w:cs="Arial"/>
          <w:bCs/>
          <w:sz w:val="22"/>
          <w:szCs w:val="22"/>
          <w:lang w:val="es-ES"/>
        </w:rPr>
      </w:pPr>
      <w:r w:rsidRPr="00EF01D9">
        <w:rPr>
          <w:rFonts w:ascii="Arial" w:eastAsia="Arial Unicode MS" w:hAnsi="Arial" w:cs="Arial"/>
          <w:bCs/>
          <w:sz w:val="22"/>
          <w:szCs w:val="22"/>
          <w:lang w:val="es-ES"/>
        </w:rPr>
        <w:t>Para alcanzar los objetivos</w:t>
      </w:r>
      <w:r w:rsidR="00B41C15" w:rsidRPr="00EF01D9">
        <w:rPr>
          <w:rFonts w:ascii="Arial" w:eastAsia="Arial Unicode MS" w:hAnsi="Arial" w:cs="Arial"/>
          <w:bCs/>
          <w:sz w:val="22"/>
          <w:szCs w:val="22"/>
          <w:lang w:val="es-ES"/>
        </w:rPr>
        <w:t>,</w:t>
      </w:r>
      <w:r w:rsidRPr="00EF01D9">
        <w:rPr>
          <w:rFonts w:ascii="Arial" w:eastAsia="Arial Unicode MS" w:hAnsi="Arial" w:cs="Arial"/>
          <w:bCs/>
          <w:sz w:val="22"/>
          <w:szCs w:val="22"/>
          <w:lang w:val="es-ES"/>
        </w:rPr>
        <w:t xml:space="preserve"> el </w:t>
      </w:r>
      <w:r w:rsidR="00B41C15" w:rsidRPr="00EF01D9">
        <w:rPr>
          <w:rFonts w:ascii="Arial" w:hAnsi="Arial" w:cs="Arial"/>
          <w:bCs/>
          <w:sz w:val="22"/>
          <w:szCs w:val="22"/>
          <w:lang w:val="es-ES"/>
        </w:rPr>
        <w:t>programa</w:t>
      </w:r>
      <w:r w:rsidRPr="00EF01D9">
        <w:rPr>
          <w:rFonts w:ascii="Arial" w:eastAsia="Arial Unicode MS" w:hAnsi="Arial" w:cs="Arial"/>
          <w:bCs/>
          <w:sz w:val="22"/>
          <w:szCs w:val="22"/>
          <w:lang w:val="es-ES"/>
        </w:rPr>
        <w:t xml:space="preserve"> se ha estructurado en </w:t>
      </w:r>
      <w:r w:rsidR="009A33DB">
        <w:rPr>
          <w:rFonts w:ascii="Arial" w:eastAsia="Arial Unicode MS" w:hAnsi="Arial" w:cs="Arial"/>
          <w:bCs/>
          <w:sz w:val="22"/>
          <w:szCs w:val="22"/>
          <w:lang w:val="es-ES"/>
        </w:rPr>
        <w:t>los siguientes</w:t>
      </w:r>
      <w:r w:rsidRPr="00EF01D9">
        <w:rPr>
          <w:rFonts w:ascii="Arial" w:eastAsia="Arial Unicode MS" w:hAnsi="Arial" w:cs="Arial"/>
          <w:bCs/>
          <w:sz w:val="22"/>
          <w:szCs w:val="22"/>
          <w:lang w:val="es-ES"/>
        </w:rPr>
        <w:t xml:space="preserve"> componentes:</w:t>
      </w:r>
    </w:p>
    <w:p w14:paraId="391C14CF" w14:textId="77777777" w:rsidR="009A33DB" w:rsidRPr="0085294A" w:rsidRDefault="009A33DB" w:rsidP="00B24D18">
      <w:pPr>
        <w:pStyle w:val="BodyText2"/>
        <w:numPr>
          <w:ilvl w:val="1"/>
          <w:numId w:val="7"/>
        </w:numPr>
        <w:tabs>
          <w:tab w:val="left" w:pos="720"/>
        </w:tabs>
        <w:spacing w:before="240" w:line="240" w:lineRule="auto"/>
        <w:ind w:left="720" w:hanging="720"/>
        <w:jc w:val="both"/>
        <w:rPr>
          <w:rFonts w:ascii="Arial" w:hAnsi="Arial" w:cs="Arial"/>
          <w:sz w:val="22"/>
        </w:rPr>
      </w:pPr>
      <w:r w:rsidRPr="0085294A">
        <w:rPr>
          <w:rFonts w:ascii="Arial" w:hAnsi="Arial" w:cs="Arial"/>
          <w:b/>
          <w:sz w:val="22"/>
        </w:rPr>
        <w:t xml:space="preserve">Estabilidad del marco general de políticas macroeconómicas. </w:t>
      </w:r>
      <w:r w:rsidRPr="0085294A">
        <w:rPr>
          <w:rFonts w:ascii="Arial" w:hAnsi="Arial" w:cs="Arial"/>
          <w:sz w:val="22"/>
        </w:rPr>
        <w:t>Se acordó apoyar el mantenimiento de un marco macroeconómico estable y conducente al logro de los objetivos del Programa y consistente con los lineamientos establecidos en la Carta de Política Sectorial.</w:t>
      </w:r>
    </w:p>
    <w:p w14:paraId="0D90B58E" w14:textId="0BE1B822" w:rsidR="009A33DB" w:rsidRPr="00F40BD5" w:rsidRDefault="009A33DB" w:rsidP="00B24D18">
      <w:pPr>
        <w:pStyle w:val="BodyText2"/>
        <w:numPr>
          <w:ilvl w:val="1"/>
          <w:numId w:val="7"/>
        </w:numPr>
        <w:tabs>
          <w:tab w:val="left" w:pos="720"/>
        </w:tabs>
        <w:spacing w:before="240" w:line="240" w:lineRule="auto"/>
        <w:ind w:left="720" w:hanging="720"/>
        <w:jc w:val="both"/>
        <w:rPr>
          <w:rFonts w:ascii="Arial" w:hAnsi="Arial" w:cs="Arial"/>
          <w:sz w:val="22"/>
        </w:rPr>
      </w:pPr>
      <w:r w:rsidRPr="00283247">
        <w:rPr>
          <w:rFonts w:ascii="Arial" w:hAnsi="Arial" w:cs="Arial"/>
          <w:b/>
          <w:iCs/>
          <w:sz w:val="22"/>
        </w:rPr>
        <w:t xml:space="preserve">Componente </w:t>
      </w:r>
      <w:r w:rsidR="002674A8">
        <w:rPr>
          <w:rFonts w:ascii="Arial" w:hAnsi="Arial" w:cs="Arial"/>
          <w:b/>
          <w:iCs/>
          <w:sz w:val="22"/>
        </w:rPr>
        <w:t>1</w:t>
      </w:r>
      <w:r w:rsidRPr="00283247">
        <w:rPr>
          <w:rFonts w:ascii="Arial" w:hAnsi="Arial" w:cs="Arial"/>
          <w:sz w:val="22"/>
        </w:rPr>
        <w:t xml:space="preserve">. </w:t>
      </w:r>
      <w:r w:rsidRPr="00283247">
        <w:rPr>
          <w:rFonts w:ascii="Arial" w:hAnsi="Arial" w:cs="Arial"/>
          <w:b/>
          <w:sz w:val="22"/>
        </w:rPr>
        <w:t xml:space="preserve">Fortalecimiento de la </w:t>
      </w:r>
      <w:r>
        <w:rPr>
          <w:rFonts w:ascii="Arial" w:hAnsi="Arial" w:cs="Arial"/>
          <w:b/>
          <w:sz w:val="22"/>
        </w:rPr>
        <w:t>c</w:t>
      </w:r>
      <w:r w:rsidRPr="00283247">
        <w:rPr>
          <w:rFonts w:ascii="Arial" w:hAnsi="Arial" w:cs="Arial"/>
          <w:b/>
          <w:sz w:val="22"/>
        </w:rPr>
        <w:t xml:space="preserve">apacidad </w:t>
      </w:r>
      <w:r>
        <w:rPr>
          <w:rFonts w:ascii="Arial" w:hAnsi="Arial" w:cs="Arial"/>
          <w:b/>
          <w:sz w:val="22"/>
        </w:rPr>
        <w:t>i</w:t>
      </w:r>
      <w:r w:rsidRPr="00283247">
        <w:rPr>
          <w:rFonts w:ascii="Arial" w:hAnsi="Arial" w:cs="Arial"/>
          <w:b/>
          <w:sz w:val="22"/>
        </w:rPr>
        <w:t xml:space="preserve">nstitucional y de </w:t>
      </w:r>
      <w:r>
        <w:rPr>
          <w:rFonts w:ascii="Arial" w:hAnsi="Arial" w:cs="Arial"/>
          <w:b/>
          <w:sz w:val="22"/>
        </w:rPr>
        <w:t>s</w:t>
      </w:r>
      <w:r w:rsidRPr="00283247">
        <w:rPr>
          <w:rFonts w:ascii="Arial" w:hAnsi="Arial" w:cs="Arial"/>
          <w:b/>
          <w:sz w:val="22"/>
        </w:rPr>
        <w:t xml:space="preserve">upervisión del </w:t>
      </w:r>
      <w:r>
        <w:rPr>
          <w:rFonts w:ascii="Arial" w:hAnsi="Arial" w:cs="Arial"/>
          <w:b/>
          <w:sz w:val="22"/>
        </w:rPr>
        <w:t>s</w:t>
      </w:r>
      <w:r w:rsidRPr="00283247">
        <w:rPr>
          <w:rFonts w:ascii="Arial" w:hAnsi="Arial" w:cs="Arial"/>
          <w:b/>
          <w:sz w:val="22"/>
        </w:rPr>
        <w:t xml:space="preserve">ector </w:t>
      </w:r>
      <w:r>
        <w:rPr>
          <w:rFonts w:ascii="Arial" w:hAnsi="Arial" w:cs="Arial"/>
          <w:b/>
          <w:sz w:val="22"/>
        </w:rPr>
        <w:t>e</w:t>
      </w:r>
      <w:r w:rsidRPr="00283247">
        <w:rPr>
          <w:rFonts w:ascii="Arial" w:hAnsi="Arial" w:cs="Arial"/>
          <w:b/>
          <w:sz w:val="22"/>
        </w:rPr>
        <w:t>léctrico.</w:t>
      </w:r>
      <w:r w:rsidRPr="00283247">
        <w:rPr>
          <w:rFonts w:ascii="Arial" w:hAnsi="Arial" w:cs="Arial"/>
          <w:sz w:val="22"/>
        </w:rPr>
        <w:t xml:space="preserve"> </w:t>
      </w:r>
      <w:bookmarkStart w:id="3" w:name="_Hlk509130724"/>
      <w:r>
        <w:rPr>
          <w:rFonts w:ascii="Arial" w:hAnsi="Arial" w:cs="Arial"/>
          <w:sz w:val="22"/>
        </w:rPr>
        <w:t>Para el segundo préstamo programático, s</w:t>
      </w:r>
      <w:r w:rsidRPr="00007406">
        <w:rPr>
          <w:rFonts w:ascii="Arial" w:hAnsi="Arial" w:cs="Arial"/>
          <w:sz w:val="22"/>
        </w:rPr>
        <w:t>e acord</w:t>
      </w:r>
      <w:r>
        <w:rPr>
          <w:rFonts w:ascii="Arial" w:hAnsi="Arial" w:cs="Arial"/>
          <w:sz w:val="22"/>
        </w:rPr>
        <w:t>ó</w:t>
      </w:r>
      <w:r w:rsidRPr="00007406">
        <w:rPr>
          <w:rFonts w:ascii="Arial" w:hAnsi="Arial" w:cs="Arial"/>
          <w:sz w:val="22"/>
        </w:rPr>
        <w:t>:</w:t>
      </w:r>
      <w:bookmarkEnd w:id="3"/>
      <w:r w:rsidRPr="00007406">
        <w:rPr>
          <w:rFonts w:ascii="Arial" w:hAnsi="Arial" w:cs="Arial"/>
          <w:sz w:val="22"/>
        </w:rPr>
        <w:t xml:space="preserve"> </w:t>
      </w:r>
      <w:r w:rsidR="002674A8" w:rsidRPr="002674A8">
        <w:rPr>
          <w:rFonts w:ascii="Arial" w:hAnsi="Arial" w:cs="Arial"/>
          <w:spacing w:val="0"/>
          <w:sz w:val="22"/>
          <w:szCs w:val="22"/>
        </w:rPr>
        <w:t xml:space="preserve">(i) que la Superintendencia de Electricidad (SIE), con base al Sistema Informático de Monitoreo y Rendición de Cuentas, produzca informes semestrales sobre el avance en el cumplimiento de las metas de reducción de pérdidas y costos operativos de las Empresas Distribuidoras de Electricidad (EDE), establecidos en sus Planes de Mejora de Gestión y Planes de Reducción de Pérdidas 2017-2022. Dicho informe deberá incluir lo siguiente: Nivel de pérdidas, Porcentaje de cobranzas, Porcentaje de abastecimiento y Relación de gastos operativos sobre ingresos; (ii) que el Organismo Coordinador (OC) se encuentre emitiendo y presentando a la SIE, reportes históricos sobre el incumplimiento con los valores mínimos técnicos de las plantas de generación del sistema, que fueron fijados por la SIE mediante resolución, con el fin de optimizar los costos de generación; (iii) que la SIE haya preparado y remitido al Poder Ejecutivo, una propuesta de decreto aprobando la modificación del reglamento que establece el procedimiento de </w:t>
      </w:r>
      <w:r w:rsidR="002674A8" w:rsidRPr="002674A8">
        <w:rPr>
          <w:rFonts w:ascii="Arial" w:hAnsi="Arial" w:cs="Arial"/>
          <w:spacing w:val="0"/>
          <w:sz w:val="22"/>
          <w:szCs w:val="22"/>
        </w:rPr>
        <w:lastRenderedPageBreak/>
        <w:t xml:space="preserve">selección y remuneración de los servicios auxiliares de regulación de frecuencia en el mercado de generación mayorista; (iv) que la SIE haya emitido y aprobado una resolución que establece el procedimiento de Contabilidad Regulatoria a ser seguido por las empresas de generación, transmisión y distribución del sector, cuya metodología homogenizará tanto las cuentas como costos asociados a la prestación del servicio eléctrico, para una mayor transparencia y eficiencia; (v) que el GCPS se encuentre realizando la focalización y asignación del subsidio eléctrico a aquellas personas categorizadas como elegibles por el Sistema Único de Beneficiarios (SIUBEN), en función a su condición socioeconómica; (vi) que el comité conformado por la SIE, GCPS, Ministerio de Hacienda y el Ministerio de Economía, Planificación y Desarrollo, haya definido los criterios base para llevar a cabo la revisión de la política de subsidios (cruzados  y directos a través de </w:t>
      </w:r>
      <w:proofErr w:type="spellStart"/>
      <w:r w:rsidR="002674A8" w:rsidRPr="002674A8">
        <w:rPr>
          <w:rFonts w:ascii="Arial" w:hAnsi="Arial" w:cs="Arial"/>
          <w:spacing w:val="0"/>
          <w:sz w:val="22"/>
          <w:szCs w:val="22"/>
        </w:rPr>
        <w:t>Bonoluz</w:t>
      </w:r>
      <w:proofErr w:type="spellEnd"/>
      <w:r w:rsidR="002674A8" w:rsidRPr="002674A8">
        <w:rPr>
          <w:rFonts w:ascii="Arial" w:hAnsi="Arial" w:cs="Arial"/>
          <w:spacing w:val="0"/>
          <w:sz w:val="22"/>
          <w:szCs w:val="22"/>
        </w:rPr>
        <w:t xml:space="preserve">) para los usuarios del servicio eléctrico; (vii) que el MH, con el objetivo de permitir el pago del subsidio focalizado de electricidad, se encuentre implementando las siguientes medidas a nivel presupuestario: reconocimiento de </w:t>
      </w:r>
      <w:proofErr w:type="spellStart"/>
      <w:r w:rsidR="002674A8" w:rsidRPr="002674A8">
        <w:rPr>
          <w:rFonts w:ascii="Arial" w:hAnsi="Arial" w:cs="Arial"/>
          <w:spacing w:val="0"/>
          <w:sz w:val="22"/>
          <w:szCs w:val="22"/>
        </w:rPr>
        <w:t>Bonoluz</w:t>
      </w:r>
      <w:proofErr w:type="spellEnd"/>
      <w:r w:rsidR="002674A8" w:rsidRPr="002674A8">
        <w:rPr>
          <w:rFonts w:ascii="Arial" w:hAnsi="Arial" w:cs="Arial"/>
          <w:spacing w:val="0"/>
          <w:sz w:val="22"/>
          <w:szCs w:val="22"/>
        </w:rPr>
        <w:t xml:space="preserve"> como entidad receptora en la clasificación de gastos de la Ley General de Presupuesto de cada año, y asignación a </w:t>
      </w:r>
      <w:proofErr w:type="spellStart"/>
      <w:r w:rsidR="002674A8" w:rsidRPr="002674A8">
        <w:rPr>
          <w:rFonts w:ascii="Arial" w:hAnsi="Arial" w:cs="Arial"/>
          <w:spacing w:val="0"/>
          <w:sz w:val="22"/>
          <w:szCs w:val="22"/>
        </w:rPr>
        <w:t>Bonoluz</w:t>
      </w:r>
      <w:proofErr w:type="spellEnd"/>
      <w:r w:rsidR="002674A8" w:rsidRPr="002674A8">
        <w:rPr>
          <w:rFonts w:ascii="Arial" w:hAnsi="Arial" w:cs="Arial"/>
          <w:spacing w:val="0"/>
          <w:sz w:val="22"/>
          <w:szCs w:val="22"/>
        </w:rPr>
        <w:t xml:space="preserve"> de los recursos financieros necesarios para el funcionamiento del subsidio; (viii) que el Congreso Nacional haya aprobado la Ley que crea al Ministerio de Energía y Minas (MEM), como órgano encargado de la formulación y administración de la política energética y de minería metálica y no metálica nacional; y que el MEM se encuentre en funcionamiento con presupuesto asignado y aprobado; (ix) que el MEM haya fortalecido su capacidad para ejercer la función de desarrollo de la electrificación rural y suburbana, mediante el establecimiento de una Unidad de Electrificación Rural dentro de su estructura organizacional y la elaboración de un plan operativo bianual</w:t>
      </w:r>
      <w:r w:rsidRPr="00F40BD5">
        <w:rPr>
          <w:rFonts w:ascii="Arial" w:hAnsi="Arial" w:cs="Arial"/>
          <w:sz w:val="22"/>
        </w:rPr>
        <w:t>.</w:t>
      </w:r>
    </w:p>
    <w:p w14:paraId="0391B971" w14:textId="2075BE75" w:rsidR="009A33DB" w:rsidRPr="00283247" w:rsidRDefault="009A33DB" w:rsidP="00B24D18">
      <w:pPr>
        <w:pStyle w:val="BodyText2"/>
        <w:numPr>
          <w:ilvl w:val="1"/>
          <w:numId w:val="7"/>
        </w:numPr>
        <w:tabs>
          <w:tab w:val="left" w:pos="720"/>
        </w:tabs>
        <w:spacing w:before="240" w:line="240" w:lineRule="auto"/>
        <w:ind w:left="720" w:hanging="720"/>
        <w:jc w:val="both"/>
        <w:rPr>
          <w:rFonts w:ascii="Arial" w:hAnsi="Arial" w:cs="Arial"/>
          <w:sz w:val="22"/>
        </w:rPr>
      </w:pPr>
      <w:r>
        <w:rPr>
          <w:rFonts w:ascii="Arial" w:hAnsi="Arial" w:cs="Arial"/>
          <w:iCs/>
          <w:sz w:val="22"/>
        </w:rPr>
        <w:t xml:space="preserve">Para el tercer préstamo, se acordó: </w:t>
      </w:r>
      <w:r w:rsidR="002674A8" w:rsidRPr="00EC2B20">
        <w:rPr>
          <w:rFonts w:ascii="Arial" w:hAnsi="Arial" w:cs="Arial"/>
          <w:sz w:val="22"/>
          <w:szCs w:val="22"/>
        </w:rPr>
        <w:t xml:space="preserve">medidas que garanticen la continuidad de las compromisos alcanzados durante el primer y segundo préstamo, en cuanto al uso de los sistema para monitorear el cumplimiento con las metas establecidas por las EDES, la emisión por el OC y supervisión por la SIE de reportes históricos sobre el incumplimiento con los valores mínimos técnicos de las plantas de generación, el monitoreando de la selección del servicio auxiliar de regulación de frecuencia en el mercado de generación mayorista, entre otros. Adicionalmente, se </w:t>
      </w:r>
      <w:r w:rsidR="002674A8">
        <w:rPr>
          <w:rFonts w:ascii="Arial" w:hAnsi="Arial" w:cs="Arial"/>
          <w:sz w:val="22"/>
          <w:szCs w:val="22"/>
        </w:rPr>
        <w:t xml:space="preserve">destacan los siguientes </w:t>
      </w:r>
      <w:r w:rsidR="002674A8" w:rsidRPr="00EC2B20">
        <w:rPr>
          <w:rFonts w:ascii="Arial" w:hAnsi="Arial" w:cs="Arial"/>
          <w:sz w:val="22"/>
          <w:szCs w:val="22"/>
        </w:rPr>
        <w:t xml:space="preserve">compromisos </w:t>
      </w:r>
      <w:r w:rsidR="002674A8">
        <w:rPr>
          <w:rFonts w:ascii="Arial" w:hAnsi="Arial" w:cs="Arial"/>
          <w:sz w:val="22"/>
          <w:szCs w:val="22"/>
        </w:rPr>
        <w:t>convenidos:</w:t>
      </w:r>
      <w:r w:rsidR="002674A8" w:rsidRPr="00EC2B20">
        <w:rPr>
          <w:rFonts w:ascii="Arial" w:hAnsi="Arial" w:cs="Arial"/>
          <w:sz w:val="22"/>
          <w:szCs w:val="22"/>
        </w:rPr>
        <w:t xml:space="preserve"> (i) que la SIE realice auditorías técnicas periódicas conforme a la Ley General de Electricidad No. 125-01; (ii) que la SIE haya emitido una normativa que establezca las condiciones necesarias para que las EDE puedan subcontratar la actividad de comercialización, para mejorar la gestión y; (iii) que el Poder Ejecutivo haya definido y aprobado la nueva política de subsidios para el sector eléctrico, tanto en términos de subsidios cruzados como de subsidios directos (a través del programa </w:t>
      </w:r>
      <w:proofErr w:type="spellStart"/>
      <w:r w:rsidR="002674A8" w:rsidRPr="00EC2B20">
        <w:rPr>
          <w:rFonts w:ascii="Arial" w:hAnsi="Arial" w:cs="Arial"/>
          <w:sz w:val="22"/>
          <w:szCs w:val="22"/>
        </w:rPr>
        <w:t>Bonoluz</w:t>
      </w:r>
      <w:proofErr w:type="spellEnd"/>
      <w:r w:rsidR="002674A8" w:rsidRPr="00EC2B20">
        <w:rPr>
          <w:rFonts w:ascii="Arial" w:hAnsi="Arial" w:cs="Arial"/>
          <w:sz w:val="22"/>
          <w:szCs w:val="22"/>
        </w:rPr>
        <w:t>)</w:t>
      </w:r>
      <w:r>
        <w:rPr>
          <w:rFonts w:ascii="Arial" w:hAnsi="Arial" w:cs="Arial"/>
          <w:iCs/>
          <w:sz w:val="22"/>
        </w:rPr>
        <w:t>.</w:t>
      </w:r>
    </w:p>
    <w:p w14:paraId="0883E804" w14:textId="6E09CB0A" w:rsidR="009A33DB" w:rsidRPr="007314CA" w:rsidRDefault="009A33DB" w:rsidP="007314CA">
      <w:pPr>
        <w:pStyle w:val="BodyText2"/>
        <w:numPr>
          <w:ilvl w:val="1"/>
          <w:numId w:val="7"/>
        </w:numPr>
        <w:tabs>
          <w:tab w:val="left" w:pos="720"/>
        </w:tabs>
        <w:spacing w:before="240" w:line="240" w:lineRule="auto"/>
        <w:ind w:left="720" w:hanging="720"/>
        <w:jc w:val="both"/>
        <w:rPr>
          <w:rFonts w:ascii="Arial" w:hAnsi="Arial" w:cs="Arial"/>
          <w:sz w:val="22"/>
        </w:rPr>
      </w:pPr>
      <w:r w:rsidRPr="00E90935">
        <w:rPr>
          <w:rFonts w:ascii="Arial" w:hAnsi="Arial" w:cs="Arial"/>
          <w:b/>
          <w:sz w:val="22"/>
        </w:rPr>
        <w:t xml:space="preserve">Componente </w:t>
      </w:r>
      <w:r w:rsidR="002674A8">
        <w:rPr>
          <w:rFonts w:ascii="Arial" w:hAnsi="Arial" w:cs="Arial"/>
          <w:b/>
          <w:sz w:val="22"/>
        </w:rPr>
        <w:t>2</w:t>
      </w:r>
      <w:r w:rsidRPr="00E90935">
        <w:rPr>
          <w:rFonts w:ascii="Arial" w:hAnsi="Arial" w:cs="Arial"/>
          <w:sz w:val="22"/>
        </w:rPr>
        <w:t>.</w:t>
      </w:r>
      <w:r w:rsidRPr="007314CA">
        <w:rPr>
          <w:rFonts w:ascii="Arial" w:hAnsi="Arial" w:cs="Arial"/>
          <w:b/>
          <w:sz w:val="22"/>
        </w:rPr>
        <w:t xml:space="preserve"> </w:t>
      </w:r>
      <w:r w:rsidR="007314CA" w:rsidRPr="007314CA">
        <w:rPr>
          <w:rFonts w:ascii="Arial" w:hAnsi="Arial" w:cs="Arial"/>
          <w:b/>
          <w:sz w:val="22"/>
        </w:rPr>
        <w:t>Fortalecimiento del Planeamiento Sectorial y la</w:t>
      </w:r>
      <w:r w:rsidR="007314CA" w:rsidRPr="007314CA">
        <w:rPr>
          <w:rFonts w:ascii="Arial" w:hAnsi="Arial" w:cs="Arial"/>
          <w:b/>
          <w:sz w:val="22"/>
        </w:rPr>
        <w:t xml:space="preserve"> </w:t>
      </w:r>
      <w:r w:rsidR="007314CA" w:rsidRPr="007314CA">
        <w:rPr>
          <w:rFonts w:ascii="Arial" w:hAnsi="Arial" w:cs="Arial"/>
          <w:b/>
          <w:sz w:val="22"/>
        </w:rPr>
        <w:t>Consolidación del Marco Regulatorio</w:t>
      </w:r>
      <w:r w:rsidR="007314CA" w:rsidRPr="007314CA">
        <w:rPr>
          <w:rFonts w:ascii="Arial" w:hAnsi="Arial" w:cs="Arial"/>
          <w:b/>
          <w:sz w:val="22"/>
        </w:rPr>
        <w:t>.</w:t>
      </w:r>
      <w:r w:rsidRPr="007314CA">
        <w:rPr>
          <w:rFonts w:ascii="Arial" w:hAnsi="Arial" w:cs="Arial"/>
          <w:b/>
          <w:sz w:val="22"/>
        </w:rPr>
        <w:t xml:space="preserve"> </w:t>
      </w:r>
      <w:r w:rsidRPr="007314CA">
        <w:rPr>
          <w:rFonts w:ascii="Arial" w:hAnsi="Arial" w:cs="Arial"/>
          <w:sz w:val="22"/>
        </w:rPr>
        <w:t xml:space="preserve">Para el segundo préstamo programático, se acordó: </w:t>
      </w:r>
      <w:r w:rsidR="002674A8" w:rsidRPr="007314CA">
        <w:rPr>
          <w:rFonts w:ascii="Arial" w:hAnsi="Arial" w:cs="Arial"/>
          <w:sz w:val="22"/>
          <w:szCs w:val="22"/>
        </w:rPr>
        <w:t>(i) que la CDEEE haya realizado la contratación de la expansión de generación y, que la Empresa de Transmisión Eléctrica Dominicana (ETED) haya contratado los nuevos proyectos de transmisión, de forma consistente con el Plan Indicativo de Expansión de la Generación y la Transmisión 2011-2025, aprobado por la CNE; (ii) que en el marco de la actualización del Plan Indicativo de Expansión de Generación y Transmisión 2018-2030, el MEM haya preparado los siguientes estudios como insumos base: Estudio de penetración máxima de las energías renovables no convencionales en el Sistema Eléctrico Nacional Interconectado (SENI), Estudio para la determinación del Valor Agregado de Transmisión (VAT) y, Estudio para la elaboración del plan maestro para la expansión del sistema de distribución; (iii) que la CDEEE se encuentre realizando las licitaciones y contrataciones de la generación de electricidad, mediante procesos competitivos, conforme al artículo 110 de Ley General de Electricidad No. 125-01; (iv) que el MEM haya fortalecido su capacidad institucional para el desarrollo de programas de Eficiencia Energética (EE), mediante: la creación de un Viceministerio encargado de proponer y administrar la política de ahorro y eficiencia energética, y la elaboración de plan operativo bianual que considere las iniciativas y proyectos de EE a ser ejecutados durante el periodo; (v) que el MEM elaborado y puesto a consulta pública, una nueva propuesta de proyecto de ley conteniendo el marco legal para el desarrollo del Programa Nacional de Eficiencia Energética, que incluya los siguientes puntos: Mecanismos de financiamiento, Promoción y fomento, Incentivos fiscales, Programas de etiquetado y Uso de productos eficientes; (vi) que la SIE haya aprobado y emitido la resolución con la tarifa de referencia  a ser aplicada a partir del 1ro de enero de 2023, en función de los siguientes parámetros: hasta un 15% de pérdidas, un 97% de cobranzas, un 10% de relación gastos operativos/ingresos, y la tasa de costo de capital para inversión en el sector eléctrico establecida por el Banco Central y; (vii) que la SIE transparente, mediante la publicación en su página Web, la metodología de cálculo y la estimación del subsidio implícito otorgado a los usuarios del servicio eléctrico, el cual estará dado por la diferencia entre la tarifa de referencia y la tarifa aplicada</w:t>
      </w:r>
      <w:r w:rsidRPr="007314CA">
        <w:rPr>
          <w:rFonts w:ascii="Arial" w:hAnsi="Arial" w:cs="Arial"/>
          <w:sz w:val="22"/>
        </w:rPr>
        <w:t>.</w:t>
      </w:r>
    </w:p>
    <w:p w14:paraId="47688B43" w14:textId="6116E5B9" w:rsidR="009A33DB" w:rsidRPr="009A33DB" w:rsidRDefault="009A33DB" w:rsidP="00B24D18">
      <w:pPr>
        <w:pStyle w:val="BodyText2"/>
        <w:numPr>
          <w:ilvl w:val="1"/>
          <w:numId w:val="7"/>
        </w:numPr>
        <w:tabs>
          <w:tab w:val="left" w:pos="720"/>
        </w:tabs>
        <w:spacing w:before="240" w:line="240" w:lineRule="auto"/>
        <w:ind w:left="720" w:hanging="720"/>
        <w:jc w:val="both"/>
        <w:rPr>
          <w:rFonts w:ascii="Arial" w:hAnsi="Arial" w:cs="Arial"/>
          <w:sz w:val="22"/>
          <w:lang w:val="es-US"/>
        </w:rPr>
      </w:pPr>
      <w:r w:rsidRPr="00E44005">
        <w:rPr>
          <w:rFonts w:ascii="Arial" w:hAnsi="Arial" w:cs="Arial"/>
          <w:sz w:val="22"/>
        </w:rPr>
        <w:t>Para el tercer préstamo se acorda</w:t>
      </w:r>
      <w:r>
        <w:rPr>
          <w:rFonts w:ascii="Arial" w:hAnsi="Arial" w:cs="Arial"/>
          <w:sz w:val="22"/>
        </w:rPr>
        <w:t>ron</w:t>
      </w:r>
      <w:r w:rsidRPr="00E44005">
        <w:rPr>
          <w:rFonts w:ascii="Arial" w:hAnsi="Arial" w:cs="Arial"/>
          <w:sz w:val="22"/>
        </w:rPr>
        <w:t xml:space="preserve"> los siguientes compromisos: </w:t>
      </w:r>
      <w:r w:rsidR="002674A8" w:rsidRPr="009A2BA2">
        <w:rPr>
          <w:rFonts w:ascii="Arial" w:hAnsi="Arial" w:cs="Arial"/>
          <w:sz w:val="22"/>
          <w:szCs w:val="22"/>
        </w:rPr>
        <w:t>que el MEM se encuentre implementando un Programa Nacional de Eficiencia Energética para el Sector Público, que el Poder Ejecutivo haya remitido al Congreso Nacional el proyecto de ley conteniendo el marco legal para el desarrollo del Programa Nacional de Eficiencia Energética y que la SIE: (i) haya aprobado el plan indicativo de expansión de generación y transmisión 2018-2030, (ii) continúe realizando la contratación de la generación mediante procesos competitivos, (iii) haya aprobado el marco regulatorio para el desarrollo de la generación distribuida y, (iv) haya aprobado y esté aplicando el régimen de tarifas de transición</w:t>
      </w:r>
      <w:r w:rsidRPr="009A33DB">
        <w:rPr>
          <w:rFonts w:ascii="Arial" w:hAnsi="Arial" w:cs="Arial"/>
          <w:sz w:val="22"/>
          <w:lang w:val="es-US"/>
        </w:rPr>
        <w:t>.</w:t>
      </w:r>
    </w:p>
    <w:p w14:paraId="10B370D2" w14:textId="47418030" w:rsidR="009A33DB" w:rsidRPr="004C4307" w:rsidRDefault="009A33DB" w:rsidP="00B24D18">
      <w:pPr>
        <w:pStyle w:val="BodyText2"/>
        <w:numPr>
          <w:ilvl w:val="1"/>
          <w:numId w:val="7"/>
        </w:numPr>
        <w:tabs>
          <w:tab w:val="left" w:pos="720"/>
        </w:tabs>
        <w:spacing w:before="240" w:line="240" w:lineRule="auto"/>
        <w:ind w:left="720" w:hanging="720"/>
        <w:jc w:val="both"/>
        <w:rPr>
          <w:rFonts w:ascii="Arial" w:hAnsi="Arial" w:cs="Arial"/>
          <w:sz w:val="22"/>
        </w:rPr>
      </w:pPr>
      <w:r w:rsidRPr="009A33DB">
        <w:rPr>
          <w:rFonts w:ascii="Arial" w:hAnsi="Arial" w:cs="Arial"/>
          <w:b/>
          <w:sz w:val="22"/>
          <w:lang w:val="es-US"/>
        </w:rPr>
        <w:t xml:space="preserve">Componente </w:t>
      </w:r>
      <w:r w:rsidR="002674A8">
        <w:rPr>
          <w:rFonts w:ascii="Arial" w:hAnsi="Arial" w:cs="Arial"/>
          <w:b/>
          <w:sz w:val="22"/>
          <w:lang w:val="es-US"/>
        </w:rPr>
        <w:t>3</w:t>
      </w:r>
      <w:r w:rsidRPr="009A33DB">
        <w:rPr>
          <w:rFonts w:ascii="Arial" w:hAnsi="Arial" w:cs="Arial"/>
          <w:b/>
          <w:sz w:val="22"/>
          <w:lang w:val="es-US"/>
        </w:rPr>
        <w:t xml:space="preserve">. Mejora Gerencial y Operativa de las Empresas Eléctricas. </w:t>
      </w:r>
      <w:r w:rsidRPr="009A33DB">
        <w:rPr>
          <w:rFonts w:ascii="Arial" w:hAnsi="Arial" w:cs="Arial"/>
          <w:sz w:val="22"/>
          <w:lang w:val="es-US"/>
        </w:rPr>
        <w:t>Para el segundo préstamo programático se acordó</w:t>
      </w:r>
      <w:r w:rsidR="002674A8">
        <w:rPr>
          <w:rFonts w:ascii="Arial" w:hAnsi="Arial" w:cs="Arial"/>
          <w:sz w:val="22"/>
          <w:lang w:val="es-US"/>
        </w:rPr>
        <w:t>:</w:t>
      </w:r>
      <w:r w:rsidRPr="009A33DB">
        <w:rPr>
          <w:rFonts w:ascii="Arial" w:hAnsi="Arial" w:cs="Arial"/>
          <w:sz w:val="22"/>
          <w:lang w:val="es-US"/>
        </w:rPr>
        <w:t xml:space="preserve"> </w:t>
      </w:r>
      <w:r w:rsidR="002674A8" w:rsidRPr="00761D13">
        <w:rPr>
          <w:rFonts w:ascii="Arial" w:hAnsi="Arial" w:cs="Arial"/>
          <w:sz w:val="22"/>
          <w:szCs w:val="22"/>
        </w:rPr>
        <w:t>(i)</w:t>
      </w:r>
      <w:r w:rsidR="002674A8">
        <w:rPr>
          <w:rFonts w:ascii="Arial" w:hAnsi="Arial" w:cs="Arial"/>
          <w:sz w:val="22"/>
          <w:szCs w:val="22"/>
        </w:rPr>
        <w:t xml:space="preserve"> </w:t>
      </w:r>
      <w:r w:rsidR="002674A8" w:rsidRPr="00761D13">
        <w:rPr>
          <w:rFonts w:ascii="Arial" w:hAnsi="Arial" w:cs="Arial"/>
          <w:sz w:val="22"/>
          <w:szCs w:val="22"/>
        </w:rPr>
        <w:t>que los Consejos Directivos de cada EDE hayan aprobado los Planes de Mejora de Gestión y Plan de Reducción de Pérdidas 2017-2022, los cuales consideren metas anuales hasta lograr en 2022, las siguientes metas: 15% de perdidas eléctricas totales, un 97% de cobranzas, 10% como relación Gastos operativos/ingresos y la tasa de costo de capital para inversión en el sector eléctrico establecida por el Banco Central; (ii) que el MEM haya emitido una normativa estableciendo los criterios para la determinación de las instituciones gubernamentales que se consideraran no cortables, en virtud de la Ley General de Electricidad No. 125-01; (iii) que las EDE estén utilizando el módulo administrativo en el sistema integrado de administración de recursos y; (iv) que las EDE estén utilizando el módulo financiero y módulo comercial del sistema integrado de administración de recursos</w:t>
      </w:r>
      <w:r>
        <w:rPr>
          <w:rFonts w:ascii="Arial" w:hAnsi="Arial" w:cs="Arial"/>
          <w:bCs/>
          <w:sz w:val="22"/>
          <w:lang w:val="es-CO"/>
        </w:rPr>
        <w:t>.</w:t>
      </w:r>
    </w:p>
    <w:p w14:paraId="4EFBD5D8" w14:textId="4FE66E67" w:rsidR="009A33DB" w:rsidRPr="004C4307" w:rsidRDefault="009A33DB" w:rsidP="00B24D18">
      <w:pPr>
        <w:pStyle w:val="BodyText2"/>
        <w:numPr>
          <w:ilvl w:val="1"/>
          <w:numId w:val="7"/>
        </w:numPr>
        <w:tabs>
          <w:tab w:val="left" w:pos="720"/>
        </w:tabs>
        <w:spacing w:before="240" w:line="240" w:lineRule="auto"/>
        <w:ind w:left="720" w:hanging="720"/>
        <w:jc w:val="both"/>
        <w:rPr>
          <w:rFonts w:ascii="Arial" w:hAnsi="Arial" w:cs="Arial"/>
          <w:sz w:val="22"/>
        </w:rPr>
      </w:pPr>
      <w:r w:rsidRPr="004C4307">
        <w:rPr>
          <w:rFonts w:ascii="Arial" w:hAnsi="Arial" w:cs="Arial"/>
          <w:sz w:val="22"/>
        </w:rPr>
        <w:t>Para el tercer préstamo se acordó</w:t>
      </w:r>
      <w:r>
        <w:rPr>
          <w:rFonts w:ascii="Arial" w:hAnsi="Arial" w:cs="Arial"/>
          <w:sz w:val="22"/>
        </w:rPr>
        <w:t>:</w:t>
      </w:r>
      <w:r w:rsidRPr="004C4307">
        <w:rPr>
          <w:rFonts w:ascii="Arial" w:hAnsi="Arial" w:cs="Arial"/>
          <w:sz w:val="22"/>
        </w:rPr>
        <w:t xml:space="preserve"> </w:t>
      </w:r>
      <w:r w:rsidR="002674A8" w:rsidRPr="00EE3BB6">
        <w:rPr>
          <w:rFonts w:ascii="Arial" w:hAnsi="Arial" w:cs="Arial"/>
          <w:sz w:val="22"/>
          <w:szCs w:val="22"/>
        </w:rPr>
        <w:t>confirmar que las EDE estén logrando los resultados previstos en sus Planes de Mejora de Gestión y Plan de Reducción de Pérdidas, incluyendo el compromiso de que el Poder Ejecutivo haya aprobado un régimen de consecuencias a aplicar en caso de incumplimiento por parte de las EDE, con los indicadores operativos y de inversión. Asimismo, se acordó que el compromiso del MH haya emitido una normativa que establezca el procedimiento para el pago total de la factura del servicio eléctrico de las instituciones gubernamentales no cortables a las EDES y que el mismo se esté aplicando. Finalmente, se convino que las EDE y la CDEEE estén generando anualmente estados financieros auditados, con base a los informes generados por el sistema integrado de administración de recursos</w:t>
      </w:r>
      <w:r w:rsidRPr="004C4307">
        <w:rPr>
          <w:rFonts w:ascii="Arial" w:hAnsi="Arial" w:cs="Arial"/>
          <w:sz w:val="22"/>
        </w:rPr>
        <w:t>.</w:t>
      </w:r>
    </w:p>
    <w:p w14:paraId="531302BE" w14:textId="447AE2BF" w:rsidR="009A33DB" w:rsidRDefault="00A356D4" w:rsidP="001A6236">
      <w:pPr>
        <w:pStyle w:val="ListParagraph"/>
        <w:numPr>
          <w:ilvl w:val="1"/>
          <w:numId w:val="7"/>
        </w:numPr>
        <w:ind w:left="720" w:hanging="720"/>
        <w:jc w:val="both"/>
        <w:rPr>
          <w:rFonts w:ascii="Arial" w:eastAsia="Arial Unicode MS" w:hAnsi="Arial" w:cs="Arial"/>
          <w:bCs/>
          <w:sz w:val="22"/>
          <w:szCs w:val="22"/>
          <w:lang w:val="es-ES"/>
        </w:rPr>
      </w:pPr>
      <w:r w:rsidRPr="001A6236">
        <w:rPr>
          <w:rFonts w:ascii="Arial" w:eastAsia="Arial Unicode MS" w:hAnsi="Arial" w:cs="Arial"/>
          <w:b/>
          <w:bCs/>
          <w:sz w:val="22"/>
          <w:szCs w:val="22"/>
          <w:lang w:val="es-ES"/>
        </w:rPr>
        <w:t>Ejecución.</w:t>
      </w:r>
      <w:r w:rsidRPr="001A6236">
        <w:rPr>
          <w:rFonts w:ascii="Arial" w:eastAsia="Arial Unicode MS" w:hAnsi="Arial" w:cs="Arial"/>
          <w:bCs/>
          <w:sz w:val="22"/>
          <w:szCs w:val="22"/>
          <w:lang w:val="es-ES"/>
        </w:rPr>
        <w:t xml:space="preserve"> </w:t>
      </w:r>
      <w:r w:rsidR="00D65312" w:rsidRPr="008667E4">
        <w:rPr>
          <w:rFonts w:ascii="Arial" w:hAnsi="Arial" w:cs="Arial"/>
          <w:sz w:val="22"/>
          <w:szCs w:val="22"/>
        </w:rPr>
        <w:t xml:space="preserve">El prestatario será la República </w:t>
      </w:r>
      <w:r w:rsidR="00D65312">
        <w:rPr>
          <w:rFonts w:ascii="Arial" w:hAnsi="Arial" w:cs="Arial"/>
          <w:sz w:val="22"/>
          <w:szCs w:val="22"/>
        </w:rPr>
        <w:t>Dominica</w:t>
      </w:r>
      <w:r w:rsidR="00D65312" w:rsidRPr="008667E4">
        <w:rPr>
          <w:rFonts w:ascii="Arial" w:hAnsi="Arial" w:cs="Arial"/>
          <w:sz w:val="22"/>
          <w:szCs w:val="22"/>
        </w:rPr>
        <w:t>. La ejecución del programa y la utilización de los recursos del financiamiento serán llevadas a cabo por el prestatario a través del MH en calidad de Organismo Ejecutor</w:t>
      </w:r>
      <w:r w:rsidR="00D65312">
        <w:rPr>
          <w:rFonts w:ascii="Arial" w:hAnsi="Arial" w:cs="Arial"/>
          <w:sz w:val="22"/>
          <w:szCs w:val="22"/>
        </w:rPr>
        <w:t>. El MH</w:t>
      </w:r>
      <w:r w:rsidR="00D65312" w:rsidRPr="008667E4">
        <w:rPr>
          <w:rFonts w:ascii="Arial" w:hAnsi="Arial" w:cs="Arial"/>
          <w:sz w:val="22"/>
          <w:szCs w:val="22"/>
        </w:rPr>
        <w:t xml:space="preserve"> mediante el desarrollo de reuniones periódicas de análisis y seguimiento, </w:t>
      </w:r>
      <w:r w:rsidR="00D65312">
        <w:rPr>
          <w:rFonts w:ascii="Arial" w:hAnsi="Arial" w:cs="Arial"/>
          <w:sz w:val="22"/>
          <w:szCs w:val="22"/>
        </w:rPr>
        <w:t xml:space="preserve">trabajará </w:t>
      </w:r>
      <w:proofErr w:type="gramStart"/>
      <w:r w:rsidR="00D65312">
        <w:rPr>
          <w:rFonts w:ascii="Arial" w:hAnsi="Arial" w:cs="Arial"/>
          <w:sz w:val="22"/>
          <w:szCs w:val="22"/>
        </w:rPr>
        <w:t>conjuntamente</w:t>
      </w:r>
      <w:r w:rsidR="00D65312" w:rsidRPr="008667E4">
        <w:rPr>
          <w:rFonts w:ascii="Arial" w:hAnsi="Arial" w:cs="Arial"/>
          <w:sz w:val="22"/>
          <w:szCs w:val="22"/>
        </w:rPr>
        <w:t xml:space="preserve"> con</w:t>
      </w:r>
      <w:proofErr w:type="gramEnd"/>
      <w:r w:rsidR="00D65312" w:rsidRPr="008667E4">
        <w:rPr>
          <w:rFonts w:ascii="Arial" w:hAnsi="Arial" w:cs="Arial"/>
          <w:sz w:val="22"/>
          <w:szCs w:val="22"/>
        </w:rPr>
        <w:t xml:space="preserve"> </w:t>
      </w:r>
      <w:r w:rsidR="00D65312">
        <w:rPr>
          <w:rFonts w:ascii="Arial" w:hAnsi="Arial" w:cs="Arial"/>
          <w:sz w:val="22"/>
          <w:szCs w:val="22"/>
        </w:rPr>
        <w:t xml:space="preserve">MEM, CNE, CDEE, SIE, y </w:t>
      </w:r>
      <w:r w:rsidR="00D65312" w:rsidRPr="0075027F">
        <w:rPr>
          <w:rFonts w:ascii="Arial" w:hAnsi="Arial" w:cs="Arial"/>
          <w:sz w:val="22"/>
          <w:szCs w:val="22"/>
        </w:rPr>
        <w:t>GDPS</w:t>
      </w:r>
      <w:r w:rsidR="00D65312">
        <w:rPr>
          <w:rFonts w:ascii="Arial" w:hAnsi="Arial" w:cs="Arial"/>
          <w:sz w:val="22"/>
          <w:szCs w:val="22"/>
        </w:rPr>
        <w:t>, las</w:t>
      </w:r>
      <w:r w:rsidR="00D65312" w:rsidRPr="0075027F">
        <w:rPr>
          <w:rFonts w:ascii="Arial" w:hAnsi="Arial" w:cs="Arial"/>
          <w:sz w:val="22"/>
          <w:szCs w:val="22"/>
        </w:rPr>
        <w:t xml:space="preserve"> </w:t>
      </w:r>
      <w:r w:rsidR="00D65312">
        <w:rPr>
          <w:rFonts w:ascii="Arial" w:hAnsi="Arial" w:cs="Arial"/>
          <w:sz w:val="22"/>
          <w:szCs w:val="22"/>
        </w:rPr>
        <w:t>entidades competentes involucradas, para el</w:t>
      </w:r>
      <w:r w:rsidR="00D65312" w:rsidRPr="008667E4">
        <w:rPr>
          <w:rFonts w:ascii="Arial" w:hAnsi="Arial" w:cs="Arial"/>
          <w:sz w:val="22"/>
          <w:szCs w:val="22"/>
        </w:rPr>
        <w:t xml:space="preserve"> cumplimiento de los compromisos programáticos y la consolidación de la reforma sectorial. El MH es responsable de: (i) impulsar el logro de los objetivos de política; (ii) proveer evidencia del cumplimiento de las condiciones de política acordadas; y (iii)</w:t>
      </w:r>
      <w:r w:rsidR="00D65312">
        <w:rPr>
          <w:rFonts w:ascii="Arial" w:hAnsi="Arial" w:cs="Arial"/>
          <w:sz w:val="22"/>
          <w:szCs w:val="22"/>
        </w:rPr>
        <w:t xml:space="preserve"> </w:t>
      </w:r>
      <w:r w:rsidR="00D65312" w:rsidRPr="008667E4">
        <w:rPr>
          <w:rFonts w:ascii="Arial" w:hAnsi="Arial" w:cs="Arial"/>
          <w:sz w:val="22"/>
          <w:szCs w:val="22"/>
        </w:rPr>
        <w:t xml:space="preserve">recopilar y proveer la información que permita al </w:t>
      </w:r>
      <w:r w:rsidR="00D65312">
        <w:rPr>
          <w:rFonts w:ascii="Arial" w:hAnsi="Arial" w:cs="Arial"/>
          <w:sz w:val="22"/>
          <w:szCs w:val="22"/>
        </w:rPr>
        <w:t>G</w:t>
      </w:r>
      <w:r w:rsidR="00D65312" w:rsidRPr="008667E4">
        <w:rPr>
          <w:rFonts w:ascii="Arial" w:hAnsi="Arial" w:cs="Arial"/>
          <w:sz w:val="22"/>
          <w:szCs w:val="22"/>
        </w:rPr>
        <w:t>obierno y al Banco medir y evaluar los resultados del programa</w:t>
      </w:r>
      <w:r w:rsidR="001A6236" w:rsidRPr="001A6236">
        <w:rPr>
          <w:rFonts w:ascii="Arial" w:eastAsia="Arial Unicode MS" w:hAnsi="Arial" w:cs="Arial"/>
          <w:bCs/>
          <w:sz w:val="22"/>
          <w:szCs w:val="22"/>
          <w:lang w:val="es-ES"/>
        </w:rPr>
        <w:t>.</w:t>
      </w:r>
    </w:p>
    <w:p w14:paraId="5B6D0FD6" w14:textId="77777777" w:rsidR="009A33DB" w:rsidRDefault="009A33DB" w:rsidP="009A33DB">
      <w:pPr>
        <w:pStyle w:val="ListParagraph"/>
        <w:jc w:val="both"/>
        <w:rPr>
          <w:rFonts w:ascii="Arial" w:eastAsia="Arial Unicode MS" w:hAnsi="Arial" w:cs="Arial"/>
          <w:bCs/>
          <w:sz w:val="22"/>
          <w:szCs w:val="22"/>
          <w:lang w:val="es-ES"/>
        </w:rPr>
      </w:pPr>
    </w:p>
    <w:p w14:paraId="1FAF518B" w14:textId="724EBB1A" w:rsidR="00A356D4" w:rsidRDefault="00D65312" w:rsidP="001A6236">
      <w:pPr>
        <w:pStyle w:val="ListParagraph"/>
        <w:numPr>
          <w:ilvl w:val="1"/>
          <w:numId w:val="7"/>
        </w:numPr>
        <w:ind w:left="720" w:hanging="720"/>
        <w:jc w:val="both"/>
        <w:rPr>
          <w:rFonts w:ascii="Arial" w:eastAsia="Arial Unicode MS" w:hAnsi="Arial" w:cs="Arial"/>
          <w:bCs/>
          <w:sz w:val="22"/>
          <w:szCs w:val="22"/>
          <w:lang w:val="es-ES"/>
        </w:rPr>
      </w:pPr>
      <w:bookmarkStart w:id="4" w:name="_Ref470877477"/>
      <w:r w:rsidRPr="00846029">
        <w:rPr>
          <w:rFonts w:ascii="Arial" w:hAnsi="Arial" w:cs="Arial"/>
          <w:sz w:val="22"/>
          <w:szCs w:val="22"/>
        </w:rPr>
        <w:t>La transferencia de recursos de esta operación constituye un apoyo presupuestario directo. Los recursos serán transferidos al MH siguiendo los procedimientos de administración financiera establecidos en la legislación nacional. Se prevé efectuar un desembolso único, luego de suscrito el contrato de préstamo y cuando se haya verific</w:t>
      </w:r>
      <w:r w:rsidRPr="008C470B">
        <w:rPr>
          <w:rFonts w:ascii="Arial" w:hAnsi="Arial" w:cs="Arial"/>
          <w:sz w:val="22"/>
          <w:szCs w:val="22"/>
        </w:rPr>
        <w:t>ado el cumplimiento de las condiciones especiales y generales previas al desembolso. El único desembolso del préstamo estará condicionado al cumplimiento de las medidas de reforma de política de conformidad con lo establecido en la Matriz de Política (Anexo II) y en la Carta de Política</w:t>
      </w:r>
      <w:r w:rsidR="009A33DB" w:rsidRPr="009A33DB">
        <w:rPr>
          <w:rFonts w:ascii="Arial" w:eastAsia="Arial Unicode MS" w:hAnsi="Arial" w:cs="Arial"/>
          <w:bCs/>
          <w:sz w:val="22"/>
          <w:szCs w:val="22"/>
        </w:rPr>
        <w:t xml:space="preserve">. Se confirmará este cumplimiento mediante los instrumentos identificados en la </w:t>
      </w:r>
      <w:hyperlink r:id="rId14" w:history="1">
        <w:r w:rsidR="009A33DB" w:rsidRPr="009A33DB">
          <w:rPr>
            <w:rStyle w:val="Hyperlink"/>
            <w:rFonts w:ascii="Arial" w:eastAsia="Arial Unicode MS" w:hAnsi="Arial" w:cs="Arial"/>
            <w:bCs/>
            <w:sz w:val="22"/>
            <w:szCs w:val="22"/>
          </w:rPr>
          <w:t>Matriz de Medios Verificación</w:t>
        </w:r>
      </w:hyperlink>
      <w:r w:rsidR="009A33DB" w:rsidRPr="009A33DB">
        <w:rPr>
          <w:rFonts w:ascii="Arial" w:eastAsia="Arial Unicode MS" w:hAnsi="Arial" w:cs="Arial"/>
          <w:bCs/>
          <w:sz w:val="22"/>
          <w:szCs w:val="22"/>
        </w:rPr>
        <w:t>. El Banco podrá solicitar auditoría externa del programa en caso de considerarlo pertinente</w:t>
      </w:r>
      <w:bookmarkEnd w:id="4"/>
      <w:r w:rsidR="009A33DB">
        <w:rPr>
          <w:rFonts w:ascii="Arial" w:eastAsia="Arial Unicode MS" w:hAnsi="Arial" w:cs="Arial"/>
          <w:bCs/>
          <w:sz w:val="22"/>
          <w:szCs w:val="22"/>
        </w:rPr>
        <w:t>.</w:t>
      </w:r>
      <w:r w:rsidR="009A33DB">
        <w:rPr>
          <w:rFonts w:ascii="Arial" w:eastAsia="Arial Unicode MS" w:hAnsi="Arial" w:cs="Arial"/>
          <w:bCs/>
          <w:sz w:val="22"/>
          <w:szCs w:val="22"/>
          <w:lang w:val="es-ES"/>
        </w:rPr>
        <w:t xml:space="preserve"> </w:t>
      </w:r>
    </w:p>
    <w:p w14:paraId="24A81D4F" w14:textId="047E107C" w:rsidR="009A33DB" w:rsidRDefault="009A33DB" w:rsidP="009A33DB">
      <w:pPr>
        <w:pStyle w:val="ListParagraph"/>
        <w:jc w:val="both"/>
        <w:rPr>
          <w:rFonts w:ascii="Arial" w:eastAsia="Arial Unicode MS" w:hAnsi="Arial" w:cs="Arial"/>
          <w:bCs/>
          <w:sz w:val="22"/>
          <w:szCs w:val="22"/>
          <w:lang w:val="es-ES"/>
        </w:rPr>
      </w:pPr>
    </w:p>
    <w:p w14:paraId="734B276E" w14:textId="77777777" w:rsidR="009A33DB" w:rsidRDefault="009A33DB" w:rsidP="009A33DB">
      <w:pPr>
        <w:pStyle w:val="ListParagraph"/>
        <w:jc w:val="both"/>
        <w:rPr>
          <w:rFonts w:ascii="Arial" w:eastAsia="Arial Unicode MS" w:hAnsi="Arial" w:cs="Arial"/>
          <w:bCs/>
          <w:sz w:val="22"/>
          <w:szCs w:val="22"/>
          <w:lang w:val="es-ES"/>
        </w:rPr>
      </w:pPr>
    </w:p>
    <w:p w14:paraId="0390008A" w14:textId="77777777" w:rsidR="009A33DB" w:rsidRPr="009A33DB" w:rsidRDefault="009A33DB" w:rsidP="009A33DB">
      <w:pPr>
        <w:keepNext/>
        <w:keepLines/>
        <w:numPr>
          <w:ilvl w:val="0"/>
          <w:numId w:val="7"/>
        </w:numPr>
        <w:spacing w:before="480"/>
        <w:ind w:left="0" w:firstLine="0"/>
        <w:jc w:val="center"/>
        <w:outlineLvl w:val="0"/>
        <w:rPr>
          <w:rFonts w:ascii="Arial" w:eastAsiaTheme="majorEastAsia" w:hAnsi="Arial" w:cs="Arial"/>
          <w:b/>
          <w:bCs/>
          <w:noProof/>
          <w:color w:val="000000" w:themeColor="text1"/>
          <w:sz w:val="22"/>
          <w:szCs w:val="22"/>
          <w:lang w:val="es-ES"/>
        </w:rPr>
      </w:pPr>
      <w:bookmarkStart w:id="5" w:name="_Toc511826634"/>
      <w:r w:rsidRPr="009A33DB">
        <w:rPr>
          <w:rFonts w:ascii="Arial" w:eastAsiaTheme="majorEastAsia" w:hAnsi="Arial" w:cs="Arial"/>
          <w:b/>
          <w:bCs/>
          <w:noProof/>
          <w:color w:val="000000" w:themeColor="text1"/>
          <w:sz w:val="22"/>
          <w:szCs w:val="22"/>
          <w:lang w:val="es-ES"/>
        </w:rPr>
        <w:t>Plan de Seguimiento</w:t>
      </w:r>
      <w:bookmarkEnd w:id="5"/>
    </w:p>
    <w:p w14:paraId="4671516D" w14:textId="77777777" w:rsidR="009A33DB" w:rsidRPr="009A33DB" w:rsidRDefault="009A33DB" w:rsidP="009A33DB">
      <w:pPr>
        <w:numPr>
          <w:ilvl w:val="1"/>
          <w:numId w:val="7"/>
        </w:numPr>
        <w:tabs>
          <w:tab w:val="left" w:pos="720"/>
        </w:tabs>
        <w:spacing w:before="120" w:after="120"/>
        <w:ind w:left="720" w:hanging="720"/>
        <w:jc w:val="both"/>
        <w:rPr>
          <w:rFonts w:ascii="Arial" w:eastAsia="Arial Unicode MS" w:hAnsi="Arial" w:cs="Arial"/>
          <w:bCs/>
          <w:sz w:val="22"/>
          <w:szCs w:val="22"/>
          <w:lang w:val="es-ES"/>
        </w:rPr>
      </w:pPr>
      <w:r w:rsidRPr="009A33DB">
        <w:rPr>
          <w:rFonts w:ascii="Arial" w:hAnsi="Arial" w:cs="Arial"/>
          <w:sz w:val="22"/>
          <w:szCs w:val="22"/>
          <w:lang w:val="es-ES"/>
        </w:rPr>
        <w:t xml:space="preserve">El propósito de </w:t>
      </w:r>
      <w:r w:rsidRPr="009A33DB">
        <w:rPr>
          <w:rFonts w:ascii="Arial" w:eastAsia="Arial Unicode MS" w:hAnsi="Arial" w:cs="Arial"/>
          <w:bCs/>
          <w:sz w:val="22"/>
          <w:szCs w:val="22"/>
          <w:lang w:val="es-ES"/>
        </w:rPr>
        <w:t>esta</w:t>
      </w:r>
      <w:r w:rsidRPr="009A33DB">
        <w:rPr>
          <w:rFonts w:ascii="Arial" w:hAnsi="Arial" w:cs="Arial"/>
          <w:sz w:val="22"/>
          <w:szCs w:val="22"/>
          <w:lang w:val="es-ES"/>
        </w:rPr>
        <w:t xml:space="preserve"> sección es describir el proceso de seguimiento del programa, presentando </w:t>
      </w:r>
      <w:r w:rsidRPr="009A33DB">
        <w:rPr>
          <w:rFonts w:ascii="Arial" w:eastAsia="Arial Unicode MS" w:hAnsi="Arial" w:cs="Arial"/>
          <w:bCs/>
          <w:sz w:val="22"/>
          <w:szCs w:val="22"/>
          <w:lang w:val="es-ES"/>
        </w:rPr>
        <w:t xml:space="preserve">principalmente, los indicadores asociados a los productos que se espera obtener. </w:t>
      </w:r>
    </w:p>
    <w:p w14:paraId="044D8B48" w14:textId="77777777" w:rsidR="009A33DB" w:rsidRPr="009A33DB" w:rsidRDefault="009A33DB" w:rsidP="009A33DB">
      <w:pPr>
        <w:numPr>
          <w:ilvl w:val="0"/>
          <w:numId w:val="8"/>
        </w:numPr>
        <w:tabs>
          <w:tab w:val="left" w:pos="1260"/>
        </w:tabs>
        <w:spacing w:before="240"/>
        <w:ind w:left="1530" w:hanging="810"/>
        <w:outlineLvl w:val="1"/>
        <w:rPr>
          <w:rFonts w:ascii="Arial" w:hAnsi="Arial" w:cs="Arial"/>
          <w:b/>
          <w:spacing w:val="0"/>
          <w:sz w:val="22"/>
          <w:szCs w:val="22"/>
          <w:lang w:val="es-ES"/>
        </w:rPr>
      </w:pPr>
      <w:bookmarkStart w:id="6" w:name="_Toc511826635"/>
      <w:r w:rsidRPr="009A33DB">
        <w:rPr>
          <w:rFonts w:ascii="Arial" w:hAnsi="Arial" w:cs="Arial"/>
          <w:b/>
          <w:spacing w:val="0"/>
          <w:sz w:val="22"/>
          <w:szCs w:val="22"/>
          <w:lang w:val="es-ES"/>
        </w:rPr>
        <w:t>Indicadores</w:t>
      </w:r>
      <w:bookmarkEnd w:id="6"/>
    </w:p>
    <w:p w14:paraId="401B1DF4" w14:textId="63D2C673" w:rsidR="00E90CEA" w:rsidRPr="004A600E" w:rsidRDefault="009A33DB" w:rsidP="004A600E">
      <w:pPr>
        <w:numPr>
          <w:ilvl w:val="1"/>
          <w:numId w:val="7"/>
        </w:numPr>
        <w:tabs>
          <w:tab w:val="left" w:pos="720"/>
        </w:tabs>
        <w:spacing w:before="120" w:after="120"/>
        <w:ind w:left="720" w:hanging="720"/>
        <w:jc w:val="both"/>
        <w:rPr>
          <w:rFonts w:ascii="Arial" w:hAnsi="Arial" w:cs="Arial"/>
          <w:sz w:val="22"/>
          <w:szCs w:val="22"/>
          <w:lang w:val="es-ES"/>
        </w:rPr>
      </w:pPr>
      <w:r w:rsidRPr="009A33DB">
        <w:rPr>
          <w:rFonts w:ascii="Arial" w:eastAsia="Arial Unicode MS" w:hAnsi="Arial" w:cs="Arial"/>
          <w:bCs/>
          <w:sz w:val="22"/>
          <w:szCs w:val="22"/>
          <w:lang w:val="es-ES"/>
        </w:rPr>
        <w:t>Por tratarse de un PBP</w:t>
      </w:r>
      <w:r w:rsidR="00E90CEA">
        <w:rPr>
          <w:rFonts w:ascii="Arial" w:eastAsia="Arial Unicode MS" w:hAnsi="Arial" w:cs="Arial"/>
          <w:bCs/>
          <w:sz w:val="22"/>
          <w:szCs w:val="22"/>
          <w:lang w:val="es-ES"/>
        </w:rPr>
        <w:t>,</w:t>
      </w:r>
      <w:r w:rsidRPr="009A33DB">
        <w:rPr>
          <w:rFonts w:ascii="Arial" w:eastAsia="Arial Unicode MS" w:hAnsi="Arial" w:cs="Arial"/>
          <w:bCs/>
          <w:sz w:val="22"/>
          <w:szCs w:val="22"/>
          <w:lang w:val="es-ES"/>
        </w:rPr>
        <w:t xml:space="preserve"> los productos de esta segunda operación corresponden a los compromisos establecidos en la </w:t>
      </w:r>
      <w:hyperlink r:id="rId15" w:history="1">
        <w:r w:rsidRPr="009A33DB">
          <w:rPr>
            <w:rFonts w:ascii="Arial" w:eastAsia="Arial Unicode MS" w:hAnsi="Arial" w:cs="Arial"/>
            <w:bCs/>
            <w:color w:val="0000FF" w:themeColor="hyperlink"/>
            <w:sz w:val="22"/>
            <w:szCs w:val="22"/>
            <w:u w:val="single"/>
            <w:lang w:val="es-ES"/>
          </w:rPr>
          <w:t>Matriz de Políticas</w:t>
        </w:r>
      </w:hyperlink>
      <w:r w:rsidR="00E90CEA">
        <w:rPr>
          <w:rFonts w:ascii="Arial" w:eastAsia="Arial Unicode MS" w:hAnsi="Arial" w:cs="Arial"/>
          <w:bCs/>
          <w:sz w:val="22"/>
          <w:szCs w:val="22"/>
          <w:lang w:val="es-ES"/>
        </w:rPr>
        <w:t xml:space="preserve">. </w:t>
      </w:r>
      <w:r w:rsidR="00E90CEA" w:rsidRPr="00E90CEA">
        <w:rPr>
          <w:rFonts w:ascii="Arial" w:eastAsia="Arial Unicode MS" w:hAnsi="Arial" w:cs="Arial"/>
          <w:bCs/>
          <w:sz w:val="22"/>
          <w:szCs w:val="22"/>
          <w:lang w:val="es-ES"/>
        </w:rPr>
        <w:t xml:space="preserve">La evidencia de cumplimiento de estos compromisos se presenta </w:t>
      </w:r>
      <w:r w:rsidRPr="009A33DB">
        <w:rPr>
          <w:rFonts w:ascii="Arial" w:eastAsia="Arial Unicode MS" w:hAnsi="Arial" w:cs="Arial"/>
          <w:bCs/>
          <w:sz w:val="22"/>
          <w:szCs w:val="22"/>
          <w:lang w:val="es-ES"/>
        </w:rPr>
        <w:t xml:space="preserve">en la </w:t>
      </w:r>
      <w:hyperlink r:id="rId16" w:history="1">
        <w:r w:rsidRPr="009A33DB">
          <w:rPr>
            <w:rFonts w:ascii="Arial" w:eastAsia="Arial Unicode MS" w:hAnsi="Arial" w:cs="Arial"/>
            <w:bCs/>
            <w:color w:val="0000FF" w:themeColor="hyperlink"/>
            <w:sz w:val="22"/>
            <w:szCs w:val="22"/>
            <w:u w:val="single"/>
            <w:lang w:val="es-ES"/>
          </w:rPr>
          <w:t>Matriz de Medios de Verificación</w:t>
        </w:r>
      </w:hyperlink>
      <w:r w:rsidRPr="009A33DB">
        <w:rPr>
          <w:rFonts w:ascii="Arial" w:eastAsia="Arial Unicode MS" w:hAnsi="Arial" w:cs="Arial"/>
          <w:bCs/>
          <w:sz w:val="22"/>
          <w:szCs w:val="22"/>
          <w:lang w:val="es-ES"/>
        </w:rPr>
        <w:t xml:space="preserve">. </w:t>
      </w:r>
      <w:r w:rsidR="00E90CEA">
        <w:rPr>
          <w:rFonts w:ascii="Arial" w:eastAsia="Arial Unicode MS" w:hAnsi="Arial" w:cs="Arial"/>
          <w:bCs/>
          <w:sz w:val="22"/>
          <w:szCs w:val="22"/>
          <w:lang w:val="es-ES"/>
        </w:rPr>
        <w:t>El</w:t>
      </w:r>
      <w:r w:rsidRPr="009A33DB">
        <w:rPr>
          <w:rFonts w:ascii="Arial" w:hAnsi="Arial" w:cs="Arial"/>
          <w:sz w:val="22"/>
          <w:szCs w:val="22"/>
          <w:lang w:val="es-ES"/>
        </w:rPr>
        <w:t xml:space="preserve"> seguimiento del cumplimiento de los productos del programa se realizó de manera ex – ante y no requerirá nuevos instrumentos de coordinación, establecimiento de un plan de trabajo o presupuesto</w:t>
      </w:r>
      <w:r w:rsidR="00E90CEA">
        <w:rPr>
          <w:rFonts w:ascii="Arial" w:hAnsi="Arial" w:cs="Arial"/>
          <w:sz w:val="22"/>
          <w:szCs w:val="22"/>
          <w:lang w:val="es-ES"/>
        </w:rPr>
        <w:t xml:space="preserve"> para esos compromisos</w:t>
      </w:r>
      <w:r w:rsidRPr="009A33DB">
        <w:rPr>
          <w:rFonts w:ascii="Arial" w:hAnsi="Arial" w:cs="Arial"/>
          <w:sz w:val="22"/>
          <w:szCs w:val="22"/>
          <w:lang w:val="es-ES"/>
        </w:rPr>
        <w:t>. El Cuadro 1 muestra los compromisos asociados a cada objetivo</w:t>
      </w:r>
      <w:r w:rsidR="00E90CEA">
        <w:rPr>
          <w:rFonts w:ascii="Arial" w:hAnsi="Arial" w:cs="Arial"/>
          <w:sz w:val="22"/>
          <w:szCs w:val="22"/>
          <w:lang w:val="es-ES"/>
        </w:rPr>
        <w:t xml:space="preserve"> del programa y</w:t>
      </w:r>
      <w:r w:rsidRPr="009A33DB">
        <w:rPr>
          <w:rFonts w:ascii="Arial" w:hAnsi="Arial" w:cs="Arial"/>
          <w:sz w:val="22"/>
          <w:szCs w:val="22"/>
          <w:lang w:val="es-ES"/>
        </w:rPr>
        <w:t xml:space="preserve"> el medio de verificación utilizado.</w:t>
      </w:r>
    </w:p>
    <w:p w14:paraId="1B9485A3" w14:textId="77777777" w:rsidR="009A33DB" w:rsidRPr="001A6236" w:rsidRDefault="009A33DB" w:rsidP="009A33DB">
      <w:pPr>
        <w:pStyle w:val="ListParagraph"/>
        <w:jc w:val="both"/>
        <w:rPr>
          <w:rFonts w:ascii="Arial" w:eastAsia="Arial Unicode MS" w:hAnsi="Arial" w:cs="Arial"/>
          <w:bCs/>
          <w:sz w:val="22"/>
          <w:szCs w:val="22"/>
          <w:lang w:val="es-ES"/>
        </w:rPr>
      </w:pPr>
    </w:p>
    <w:tbl>
      <w:tblPr>
        <w:tblpPr w:leftFromText="180" w:rightFromText="180" w:vertAnchor="text" w:horzAnchor="margin" w:tblpX="-1080" w:tblpY="-1048"/>
        <w:tblW w:w="60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806"/>
        <w:gridCol w:w="3152"/>
        <w:gridCol w:w="1245"/>
        <w:gridCol w:w="723"/>
        <w:gridCol w:w="654"/>
        <w:gridCol w:w="610"/>
        <w:gridCol w:w="2315"/>
        <w:gridCol w:w="8"/>
      </w:tblGrid>
      <w:tr w:rsidR="00173475" w:rsidRPr="00AE2707" w14:paraId="28987C32" w14:textId="77777777" w:rsidTr="00B24727">
        <w:trPr>
          <w:tblHeader/>
        </w:trPr>
        <w:tc>
          <w:tcPr>
            <w:tcW w:w="859" w:type="pct"/>
            <w:tcBorders>
              <w:top w:val="nil"/>
              <w:left w:val="nil"/>
              <w:bottom w:val="single" w:sz="4" w:space="0" w:color="auto"/>
              <w:right w:val="nil"/>
            </w:tcBorders>
            <w:shd w:val="clear" w:color="auto" w:fill="FFFFFF" w:themeFill="background1"/>
          </w:tcPr>
          <w:p w14:paraId="45B5C1BB" w14:textId="77777777" w:rsidR="00173475" w:rsidRDefault="00173475" w:rsidP="00173475">
            <w:pPr>
              <w:autoSpaceDE w:val="0"/>
              <w:autoSpaceDN w:val="0"/>
              <w:adjustRightInd w:val="0"/>
              <w:rPr>
                <w:rFonts w:ascii="Arial" w:hAnsi="Arial" w:cs="Arial"/>
                <w:b/>
                <w:bCs/>
                <w:spacing w:val="0"/>
                <w:sz w:val="20"/>
              </w:rPr>
            </w:pPr>
          </w:p>
        </w:tc>
        <w:tc>
          <w:tcPr>
            <w:tcW w:w="4141" w:type="pct"/>
            <w:gridSpan w:val="7"/>
            <w:tcBorders>
              <w:top w:val="nil"/>
              <w:left w:val="nil"/>
              <w:bottom w:val="single" w:sz="4" w:space="0" w:color="auto"/>
              <w:right w:val="nil"/>
            </w:tcBorders>
            <w:shd w:val="clear" w:color="auto" w:fill="FFFFFF" w:themeFill="background1"/>
            <w:vAlign w:val="center"/>
          </w:tcPr>
          <w:p w14:paraId="0270CDA4" w14:textId="64D475BD" w:rsidR="00173475" w:rsidRDefault="00173475" w:rsidP="00173475">
            <w:pPr>
              <w:autoSpaceDE w:val="0"/>
              <w:autoSpaceDN w:val="0"/>
              <w:adjustRightInd w:val="0"/>
              <w:rPr>
                <w:rFonts w:ascii="Arial" w:hAnsi="Arial" w:cs="Arial"/>
                <w:b/>
                <w:bCs/>
                <w:spacing w:val="0"/>
                <w:sz w:val="20"/>
              </w:rPr>
            </w:pPr>
          </w:p>
          <w:p w14:paraId="261EBE7A" w14:textId="77777777" w:rsidR="00173475" w:rsidRDefault="00173475" w:rsidP="00173475">
            <w:pPr>
              <w:autoSpaceDE w:val="0"/>
              <w:autoSpaceDN w:val="0"/>
              <w:adjustRightInd w:val="0"/>
              <w:jc w:val="center"/>
              <w:rPr>
                <w:rFonts w:ascii="Arial" w:hAnsi="Arial" w:cs="Arial"/>
                <w:b/>
                <w:bCs/>
                <w:spacing w:val="0"/>
                <w:sz w:val="20"/>
              </w:rPr>
            </w:pPr>
          </w:p>
          <w:p w14:paraId="402A0F44" w14:textId="3C8DC72C" w:rsidR="00173475" w:rsidRPr="00AE2707" w:rsidRDefault="00173475" w:rsidP="00173475">
            <w:pPr>
              <w:autoSpaceDE w:val="0"/>
              <w:autoSpaceDN w:val="0"/>
              <w:adjustRightInd w:val="0"/>
              <w:jc w:val="center"/>
              <w:rPr>
                <w:rFonts w:ascii="Arial" w:hAnsi="Arial" w:cs="Arial"/>
                <w:b/>
                <w:bCs/>
                <w:spacing w:val="0"/>
                <w:sz w:val="20"/>
              </w:rPr>
            </w:pPr>
            <w:r w:rsidRPr="009A33DB">
              <w:rPr>
                <w:rFonts w:ascii="Arial" w:hAnsi="Arial" w:cs="Arial"/>
                <w:b/>
                <w:bCs/>
                <w:noProof/>
                <w:spacing w:val="0"/>
                <w:sz w:val="20"/>
              </w:rPr>
              <w:drawing>
                <wp:inline distT="0" distB="0" distL="0" distR="0" wp14:anchorId="7FB364B9" wp14:editId="170204BB">
                  <wp:extent cx="5486400" cy="161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161925"/>
                          </a:xfrm>
                          <a:prstGeom prst="rect">
                            <a:avLst/>
                          </a:prstGeom>
                          <a:noFill/>
                          <a:ln>
                            <a:noFill/>
                          </a:ln>
                        </pic:spPr>
                      </pic:pic>
                    </a:graphicData>
                  </a:graphic>
                </wp:inline>
              </w:drawing>
            </w:r>
          </w:p>
        </w:tc>
      </w:tr>
      <w:tr w:rsidR="00173475" w:rsidRPr="00AE2707" w14:paraId="36A0C2FC" w14:textId="77777777" w:rsidTr="00B24727">
        <w:trPr>
          <w:gridAfter w:val="1"/>
          <w:wAfter w:w="4" w:type="pct"/>
          <w:tblHeader/>
        </w:trPr>
        <w:tc>
          <w:tcPr>
            <w:tcW w:w="859" w:type="pct"/>
            <w:tcBorders>
              <w:top w:val="single" w:sz="4" w:space="0" w:color="auto"/>
            </w:tcBorders>
            <w:shd w:val="clear" w:color="auto" w:fill="D9D9D9"/>
            <w:vAlign w:val="center"/>
          </w:tcPr>
          <w:p w14:paraId="23D7F4D3" w14:textId="77777777" w:rsidR="00173475" w:rsidRPr="00AE2707" w:rsidRDefault="00173475" w:rsidP="00173475">
            <w:pPr>
              <w:autoSpaceDE w:val="0"/>
              <w:autoSpaceDN w:val="0"/>
              <w:adjustRightInd w:val="0"/>
              <w:jc w:val="center"/>
              <w:rPr>
                <w:rFonts w:ascii="Arial" w:hAnsi="Arial" w:cs="Arial"/>
                <w:b/>
                <w:bCs/>
                <w:spacing w:val="0"/>
                <w:sz w:val="20"/>
                <w:lang w:val="es-ES"/>
              </w:rPr>
            </w:pPr>
            <w:r w:rsidRPr="00AE2707">
              <w:rPr>
                <w:rFonts w:ascii="Arial" w:hAnsi="Arial" w:cs="Arial"/>
                <w:b/>
                <w:bCs/>
                <w:spacing w:val="0"/>
                <w:sz w:val="20"/>
                <w:lang w:val="es-ES"/>
              </w:rPr>
              <w:t>Objetivo</w:t>
            </w:r>
          </w:p>
        </w:tc>
        <w:tc>
          <w:tcPr>
            <w:tcW w:w="1499" w:type="pct"/>
            <w:tcBorders>
              <w:top w:val="single" w:sz="4" w:space="0" w:color="auto"/>
            </w:tcBorders>
            <w:shd w:val="clear" w:color="auto" w:fill="D9D9D9"/>
            <w:vAlign w:val="center"/>
          </w:tcPr>
          <w:p w14:paraId="2ED80664" w14:textId="77777777" w:rsidR="00173475" w:rsidRPr="00AE2707" w:rsidRDefault="00173475" w:rsidP="00173475">
            <w:pPr>
              <w:autoSpaceDE w:val="0"/>
              <w:autoSpaceDN w:val="0"/>
              <w:adjustRightInd w:val="0"/>
              <w:jc w:val="center"/>
              <w:rPr>
                <w:rFonts w:ascii="Arial" w:hAnsi="Arial" w:cs="Arial"/>
                <w:b/>
                <w:bCs/>
                <w:color w:val="FFFFFF"/>
                <w:spacing w:val="0"/>
                <w:sz w:val="20"/>
              </w:rPr>
            </w:pPr>
            <w:r w:rsidRPr="00AE2707">
              <w:rPr>
                <w:rFonts w:ascii="Arial" w:hAnsi="Arial" w:cs="Arial"/>
                <w:b/>
                <w:bCs/>
                <w:spacing w:val="0"/>
                <w:sz w:val="20"/>
                <w:lang w:val="es-ES"/>
              </w:rPr>
              <w:t>Producto</w:t>
            </w:r>
          </w:p>
        </w:tc>
        <w:tc>
          <w:tcPr>
            <w:tcW w:w="592" w:type="pct"/>
            <w:tcBorders>
              <w:top w:val="single" w:sz="4" w:space="0" w:color="auto"/>
            </w:tcBorders>
            <w:shd w:val="clear" w:color="auto" w:fill="D9D9D9"/>
            <w:vAlign w:val="center"/>
          </w:tcPr>
          <w:p w14:paraId="3079E599" w14:textId="77777777" w:rsidR="00173475" w:rsidRPr="00AE2707" w:rsidRDefault="00173475" w:rsidP="00173475">
            <w:pPr>
              <w:autoSpaceDE w:val="0"/>
              <w:autoSpaceDN w:val="0"/>
              <w:adjustRightInd w:val="0"/>
              <w:jc w:val="center"/>
              <w:rPr>
                <w:rFonts w:ascii="Arial" w:hAnsi="Arial" w:cs="Arial"/>
                <w:b/>
                <w:bCs/>
                <w:spacing w:val="0"/>
                <w:sz w:val="20"/>
              </w:rPr>
            </w:pPr>
            <w:r w:rsidRPr="00AE2707">
              <w:rPr>
                <w:rFonts w:ascii="Arial" w:hAnsi="Arial" w:cs="Arial"/>
                <w:b/>
                <w:bCs/>
                <w:spacing w:val="0"/>
                <w:sz w:val="20"/>
              </w:rPr>
              <w:t>Unidad</w:t>
            </w:r>
          </w:p>
        </w:tc>
        <w:tc>
          <w:tcPr>
            <w:tcW w:w="344" w:type="pct"/>
            <w:tcBorders>
              <w:top w:val="single" w:sz="4" w:space="0" w:color="auto"/>
            </w:tcBorders>
            <w:shd w:val="clear" w:color="auto" w:fill="D9D9D9"/>
            <w:vAlign w:val="center"/>
          </w:tcPr>
          <w:p w14:paraId="4F69EC0F" w14:textId="77777777" w:rsidR="00173475" w:rsidRPr="00AE2707" w:rsidRDefault="00173475" w:rsidP="00173475">
            <w:pPr>
              <w:autoSpaceDE w:val="0"/>
              <w:autoSpaceDN w:val="0"/>
              <w:adjustRightInd w:val="0"/>
              <w:jc w:val="center"/>
              <w:rPr>
                <w:rFonts w:ascii="Arial" w:hAnsi="Arial" w:cs="Arial"/>
                <w:b/>
                <w:bCs/>
                <w:spacing w:val="0"/>
                <w:sz w:val="20"/>
              </w:rPr>
            </w:pPr>
            <w:r w:rsidRPr="00AE2707">
              <w:rPr>
                <w:rFonts w:ascii="Arial" w:hAnsi="Arial" w:cs="Arial"/>
                <w:b/>
                <w:bCs/>
                <w:spacing w:val="0"/>
                <w:sz w:val="20"/>
              </w:rPr>
              <w:t>Base</w:t>
            </w:r>
          </w:p>
          <w:p w14:paraId="2D91CE3F" w14:textId="706C5E15" w:rsidR="00173475" w:rsidRPr="00AE2707" w:rsidRDefault="00173475" w:rsidP="00173475">
            <w:pPr>
              <w:autoSpaceDE w:val="0"/>
              <w:autoSpaceDN w:val="0"/>
              <w:adjustRightInd w:val="0"/>
              <w:jc w:val="center"/>
              <w:rPr>
                <w:rFonts w:ascii="Arial" w:hAnsi="Arial" w:cs="Arial"/>
                <w:b/>
                <w:bCs/>
                <w:spacing w:val="0"/>
                <w:sz w:val="20"/>
              </w:rPr>
            </w:pPr>
            <w:r>
              <w:rPr>
                <w:rFonts w:ascii="Arial" w:hAnsi="Arial" w:cs="Arial"/>
                <w:b/>
                <w:bCs/>
                <w:spacing w:val="0"/>
                <w:sz w:val="20"/>
              </w:rPr>
              <w:t>(2016)</w:t>
            </w:r>
          </w:p>
        </w:tc>
        <w:tc>
          <w:tcPr>
            <w:tcW w:w="311" w:type="pct"/>
            <w:tcBorders>
              <w:top w:val="single" w:sz="4" w:space="0" w:color="auto"/>
            </w:tcBorders>
            <w:shd w:val="clear" w:color="auto" w:fill="D9D9D9"/>
            <w:vAlign w:val="center"/>
          </w:tcPr>
          <w:p w14:paraId="4DA215B6" w14:textId="5D612D39" w:rsidR="00173475" w:rsidRPr="00AE2707" w:rsidRDefault="00173475" w:rsidP="00173475">
            <w:pPr>
              <w:autoSpaceDE w:val="0"/>
              <w:autoSpaceDN w:val="0"/>
              <w:adjustRightInd w:val="0"/>
              <w:jc w:val="center"/>
              <w:rPr>
                <w:rFonts w:ascii="Arial" w:hAnsi="Arial" w:cs="Arial"/>
                <w:b/>
                <w:bCs/>
                <w:spacing w:val="0"/>
                <w:sz w:val="20"/>
              </w:rPr>
            </w:pPr>
            <w:r>
              <w:rPr>
                <w:rFonts w:ascii="Arial" w:hAnsi="Arial" w:cs="Arial"/>
                <w:b/>
                <w:bCs/>
                <w:spacing w:val="0"/>
                <w:sz w:val="20"/>
              </w:rPr>
              <w:t>2018</w:t>
            </w:r>
            <w:r>
              <w:rPr>
                <w:rStyle w:val="FootnoteReference"/>
                <w:rFonts w:ascii="Arial" w:hAnsi="Arial" w:cs="Arial"/>
                <w:b/>
                <w:bCs/>
                <w:spacing w:val="0"/>
                <w:sz w:val="20"/>
              </w:rPr>
              <w:footnoteReference w:id="1"/>
            </w:r>
          </w:p>
        </w:tc>
        <w:tc>
          <w:tcPr>
            <w:tcW w:w="290" w:type="pct"/>
            <w:tcBorders>
              <w:top w:val="single" w:sz="4" w:space="0" w:color="auto"/>
            </w:tcBorders>
            <w:shd w:val="clear" w:color="auto" w:fill="D9D9D9"/>
            <w:vAlign w:val="center"/>
          </w:tcPr>
          <w:p w14:paraId="7354F4DA" w14:textId="2BAA9A3A" w:rsidR="00173475" w:rsidRPr="00AE2707" w:rsidRDefault="00173475" w:rsidP="00173475">
            <w:pPr>
              <w:autoSpaceDE w:val="0"/>
              <w:autoSpaceDN w:val="0"/>
              <w:adjustRightInd w:val="0"/>
              <w:jc w:val="center"/>
              <w:rPr>
                <w:rFonts w:ascii="Arial" w:hAnsi="Arial" w:cs="Arial"/>
                <w:b/>
                <w:bCs/>
                <w:spacing w:val="0"/>
                <w:sz w:val="20"/>
              </w:rPr>
            </w:pPr>
            <w:r>
              <w:rPr>
                <w:rFonts w:ascii="Arial" w:hAnsi="Arial" w:cs="Arial"/>
                <w:b/>
                <w:bCs/>
                <w:spacing w:val="0"/>
                <w:sz w:val="20"/>
              </w:rPr>
              <w:t>2022</w:t>
            </w:r>
          </w:p>
        </w:tc>
        <w:tc>
          <w:tcPr>
            <w:tcW w:w="1101" w:type="pct"/>
            <w:tcBorders>
              <w:top w:val="single" w:sz="4" w:space="0" w:color="auto"/>
            </w:tcBorders>
            <w:shd w:val="clear" w:color="auto" w:fill="D9D9D9"/>
            <w:vAlign w:val="center"/>
          </w:tcPr>
          <w:p w14:paraId="5E27C440" w14:textId="68D5F640" w:rsidR="00173475" w:rsidRPr="00AE2707" w:rsidRDefault="00173475" w:rsidP="00173475">
            <w:pPr>
              <w:autoSpaceDE w:val="0"/>
              <w:autoSpaceDN w:val="0"/>
              <w:adjustRightInd w:val="0"/>
              <w:jc w:val="center"/>
              <w:rPr>
                <w:rFonts w:ascii="Arial" w:hAnsi="Arial" w:cs="Arial"/>
                <w:b/>
                <w:bCs/>
                <w:spacing w:val="0"/>
                <w:sz w:val="20"/>
              </w:rPr>
            </w:pPr>
            <w:r w:rsidRPr="00AE2707">
              <w:rPr>
                <w:rFonts w:ascii="Arial" w:hAnsi="Arial" w:cs="Arial"/>
                <w:b/>
                <w:bCs/>
                <w:spacing w:val="0"/>
                <w:sz w:val="20"/>
              </w:rPr>
              <w:t>Medio de Verificación</w:t>
            </w:r>
          </w:p>
        </w:tc>
      </w:tr>
      <w:tr w:rsidR="00173475" w:rsidRPr="00AE2707" w14:paraId="52C0314E" w14:textId="77777777" w:rsidTr="00B24727">
        <w:trPr>
          <w:tblHeader/>
        </w:trPr>
        <w:tc>
          <w:tcPr>
            <w:tcW w:w="859" w:type="pct"/>
            <w:shd w:val="clear" w:color="auto" w:fill="BFBFBF"/>
          </w:tcPr>
          <w:p w14:paraId="101899FB" w14:textId="77777777" w:rsidR="00173475" w:rsidRPr="00380D60" w:rsidRDefault="00173475" w:rsidP="00173475">
            <w:pPr>
              <w:numPr>
                <w:ilvl w:val="0"/>
                <w:numId w:val="5"/>
              </w:numPr>
              <w:autoSpaceDE w:val="0"/>
              <w:autoSpaceDN w:val="0"/>
              <w:adjustRightInd w:val="0"/>
              <w:ind w:left="0"/>
              <w:rPr>
                <w:rFonts w:ascii="Arial" w:hAnsi="Arial" w:cs="Arial"/>
                <w:b/>
                <w:bCs/>
                <w:color w:val="000000"/>
                <w:spacing w:val="0"/>
                <w:sz w:val="20"/>
                <w:lang w:val="es-ES"/>
              </w:rPr>
            </w:pPr>
          </w:p>
        </w:tc>
        <w:tc>
          <w:tcPr>
            <w:tcW w:w="4141" w:type="pct"/>
            <w:gridSpan w:val="7"/>
            <w:shd w:val="clear" w:color="auto" w:fill="BFBFBF"/>
          </w:tcPr>
          <w:p w14:paraId="5065216D" w14:textId="1D4235D9" w:rsidR="00173475" w:rsidRPr="00380D60" w:rsidRDefault="00173475" w:rsidP="00173475">
            <w:pPr>
              <w:numPr>
                <w:ilvl w:val="0"/>
                <w:numId w:val="5"/>
              </w:numPr>
              <w:autoSpaceDE w:val="0"/>
              <w:autoSpaceDN w:val="0"/>
              <w:adjustRightInd w:val="0"/>
              <w:ind w:left="0"/>
              <w:rPr>
                <w:rFonts w:ascii="Arial" w:hAnsi="Arial" w:cs="Arial"/>
                <w:b/>
                <w:bCs/>
                <w:color w:val="000000"/>
                <w:spacing w:val="0"/>
                <w:sz w:val="20"/>
                <w:lang w:val="es-ES"/>
              </w:rPr>
            </w:pPr>
            <w:r w:rsidRPr="00380D60">
              <w:rPr>
                <w:rFonts w:ascii="Arial" w:hAnsi="Arial" w:cs="Arial"/>
                <w:b/>
                <w:bCs/>
                <w:color w:val="000000"/>
                <w:spacing w:val="0"/>
                <w:sz w:val="20"/>
                <w:lang w:val="es-ES"/>
              </w:rPr>
              <w:t>MARCO GENERAL DE POLÍTICAS MACROECONÓMICAS</w:t>
            </w:r>
          </w:p>
        </w:tc>
      </w:tr>
      <w:tr w:rsidR="00173475" w:rsidRPr="00380D60" w14:paraId="28682A78" w14:textId="77777777" w:rsidTr="00B24727">
        <w:trPr>
          <w:gridAfter w:val="1"/>
          <w:wAfter w:w="4" w:type="pct"/>
          <w:tblHeader/>
        </w:trPr>
        <w:tc>
          <w:tcPr>
            <w:tcW w:w="859" w:type="pct"/>
            <w:shd w:val="clear" w:color="auto" w:fill="auto"/>
          </w:tcPr>
          <w:p w14:paraId="32306DF4" w14:textId="25084921" w:rsidR="00173475" w:rsidRPr="00380D60" w:rsidRDefault="00173475" w:rsidP="00173475">
            <w:pPr>
              <w:autoSpaceDE w:val="0"/>
              <w:autoSpaceDN w:val="0"/>
              <w:adjustRightInd w:val="0"/>
              <w:rPr>
                <w:rFonts w:ascii="Arial" w:hAnsi="Arial" w:cs="Arial"/>
                <w:bCs/>
                <w:spacing w:val="0"/>
                <w:sz w:val="20"/>
              </w:rPr>
            </w:pPr>
            <w:r w:rsidRPr="00380D60">
              <w:rPr>
                <w:rFonts w:ascii="Arial" w:hAnsi="Arial" w:cs="Arial"/>
                <w:b/>
                <w:color w:val="000000"/>
                <w:spacing w:val="0"/>
                <w:sz w:val="20"/>
              </w:rPr>
              <w:t>Estabilidad del Marco General de Políticas Macroeconómicas</w:t>
            </w:r>
          </w:p>
        </w:tc>
        <w:tc>
          <w:tcPr>
            <w:tcW w:w="1499" w:type="pct"/>
            <w:shd w:val="clear" w:color="auto" w:fill="auto"/>
          </w:tcPr>
          <w:p w14:paraId="2437666D" w14:textId="77777777" w:rsidR="00173475" w:rsidRDefault="00173475" w:rsidP="00173475">
            <w:pPr>
              <w:autoSpaceDE w:val="0"/>
              <w:autoSpaceDN w:val="0"/>
              <w:adjustRightInd w:val="0"/>
              <w:rPr>
                <w:rFonts w:ascii="Arial" w:hAnsi="Arial" w:cs="Arial"/>
                <w:spacing w:val="0"/>
                <w:sz w:val="20"/>
                <w:lang w:val="es-ES"/>
              </w:rPr>
            </w:pPr>
            <w:r w:rsidRPr="00380D60">
              <w:rPr>
                <w:rStyle w:val="Hyperlink"/>
                <w:rFonts w:ascii="Arial" w:hAnsi="Arial" w:cs="Arial"/>
                <w:color w:val="000000" w:themeColor="text1"/>
                <w:sz w:val="20"/>
                <w:u w:val="none"/>
              </w:rPr>
              <w:t>Evaluación Independiente de Condiciones Macroeconómicas (IAMC) vigente al momento de solicitar el desembolso</w:t>
            </w:r>
            <w:r w:rsidRPr="00380D60">
              <w:rPr>
                <w:rFonts w:ascii="Arial" w:hAnsi="Arial" w:cs="Arial"/>
                <w:spacing w:val="0"/>
                <w:sz w:val="20"/>
                <w:lang w:val="es-ES"/>
              </w:rPr>
              <w:t>.</w:t>
            </w:r>
          </w:p>
          <w:p w14:paraId="06F703B5" w14:textId="28140CAF" w:rsidR="004A600E" w:rsidRPr="00380D60" w:rsidRDefault="004A600E" w:rsidP="00173475">
            <w:pPr>
              <w:autoSpaceDE w:val="0"/>
              <w:autoSpaceDN w:val="0"/>
              <w:adjustRightInd w:val="0"/>
              <w:rPr>
                <w:rFonts w:ascii="Arial" w:hAnsi="Arial" w:cs="Arial"/>
                <w:color w:val="000000"/>
                <w:spacing w:val="0"/>
                <w:sz w:val="20"/>
                <w:lang w:val="es-ES"/>
              </w:rPr>
            </w:pPr>
          </w:p>
        </w:tc>
        <w:tc>
          <w:tcPr>
            <w:tcW w:w="592" w:type="pct"/>
          </w:tcPr>
          <w:p w14:paraId="4D55F6F8" w14:textId="67425ACC" w:rsidR="00173475" w:rsidRPr="00380D60" w:rsidRDefault="00173475" w:rsidP="00173475">
            <w:pPr>
              <w:autoSpaceDE w:val="0"/>
              <w:autoSpaceDN w:val="0"/>
              <w:adjustRightInd w:val="0"/>
              <w:jc w:val="center"/>
              <w:rPr>
                <w:rFonts w:ascii="Arial" w:hAnsi="Arial" w:cs="Arial"/>
                <w:color w:val="000000"/>
                <w:spacing w:val="0"/>
                <w:sz w:val="20"/>
                <w:lang w:val="es-ES"/>
              </w:rPr>
            </w:pPr>
            <w:r w:rsidRPr="00380D60">
              <w:rPr>
                <w:rFonts w:ascii="Arial" w:hAnsi="Arial" w:cs="Arial"/>
                <w:color w:val="000000"/>
                <w:spacing w:val="0"/>
                <w:sz w:val="20"/>
                <w:lang w:val="es-ES"/>
              </w:rPr>
              <w:t>(SI/NO)</w:t>
            </w:r>
          </w:p>
        </w:tc>
        <w:tc>
          <w:tcPr>
            <w:tcW w:w="344" w:type="pct"/>
          </w:tcPr>
          <w:p w14:paraId="75F0551E" w14:textId="77777777" w:rsidR="00173475" w:rsidRPr="00380D60" w:rsidRDefault="00173475" w:rsidP="00173475">
            <w:pPr>
              <w:autoSpaceDE w:val="0"/>
              <w:autoSpaceDN w:val="0"/>
              <w:adjustRightInd w:val="0"/>
              <w:jc w:val="center"/>
              <w:rPr>
                <w:rFonts w:ascii="Arial" w:hAnsi="Arial" w:cs="Arial"/>
                <w:color w:val="000000"/>
                <w:spacing w:val="0"/>
                <w:sz w:val="20"/>
                <w:lang w:val="es-ES"/>
              </w:rPr>
            </w:pPr>
            <w:r w:rsidRPr="00380D60">
              <w:rPr>
                <w:rFonts w:ascii="Arial" w:hAnsi="Arial" w:cs="Arial"/>
                <w:color w:val="000000"/>
                <w:spacing w:val="0"/>
                <w:sz w:val="20"/>
                <w:lang w:val="es-ES"/>
              </w:rPr>
              <w:t>NO</w:t>
            </w:r>
          </w:p>
        </w:tc>
        <w:tc>
          <w:tcPr>
            <w:tcW w:w="311" w:type="pct"/>
          </w:tcPr>
          <w:p w14:paraId="1FFE559D" w14:textId="77777777" w:rsidR="00173475" w:rsidRPr="00380D60" w:rsidRDefault="00173475" w:rsidP="00173475">
            <w:pPr>
              <w:autoSpaceDE w:val="0"/>
              <w:autoSpaceDN w:val="0"/>
              <w:adjustRightInd w:val="0"/>
              <w:jc w:val="center"/>
              <w:rPr>
                <w:rFonts w:ascii="Arial" w:hAnsi="Arial" w:cs="Arial"/>
                <w:color w:val="000000"/>
                <w:spacing w:val="0"/>
                <w:sz w:val="20"/>
                <w:lang w:val="es-ES"/>
              </w:rPr>
            </w:pPr>
            <w:r w:rsidRPr="00380D60">
              <w:rPr>
                <w:rFonts w:ascii="Arial" w:hAnsi="Arial" w:cs="Arial"/>
                <w:color w:val="000000"/>
                <w:spacing w:val="0"/>
                <w:sz w:val="20"/>
                <w:lang w:val="es-ES"/>
              </w:rPr>
              <w:t>SI</w:t>
            </w:r>
          </w:p>
        </w:tc>
        <w:tc>
          <w:tcPr>
            <w:tcW w:w="290" w:type="pct"/>
          </w:tcPr>
          <w:p w14:paraId="6778773A" w14:textId="478E0A2C" w:rsidR="00173475" w:rsidRPr="00380D60" w:rsidRDefault="00173475" w:rsidP="00173475">
            <w:pPr>
              <w:autoSpaceDE w:val="0"/>
              <w:autoSpaceDN w:val="0"/>
              <w:adjustRightInd w:val="0"/>
              <w:rPr>
                <w:rFonts w:ascii="Arial" w:hAnsi="Arial" w:cs="Arial"/>
                <w:color w:val="000000"/>
                <w:spacing w:val="0"/>
                <w:sz w:val="20"/>
                <w:lang w:val="es-ES"/>
              </w:rPr>
            </w:pPr>
            <w:r>
              <w:rPr>
                <w:rFonts w:ascii="Arial" w:hAnsi="Arial" w:cs="Arial"/>
                <w:color w:val="000000"/>
                <w:spacing w:val="0"/>
                <w:sz w:val="20"/>
                <w:lang w:val="es-ES"/>
              </w:rPr>
              <w:t>SI</w:t>
            </w:r>
          </w:p>
        </w:tc>
        <w:tc>
          <w:tcPr>
            <w:tcW w:w="1101" w:type="pct"/>
            <w:shd w:val="clear" w:color="auto" w:fill="auto"/>
          </w:tcPr>
          <w:p w14:paraId="7B27294B" w14:textId="1AD7E4FD" w:rsidR="00173475" w:rsidRPr="00380D60" w:rsidRDefault="00173475" w:rsidP="00173475">
            <w:pPr>
              <w:autoSpaceDE w:val="0"/>
              <w:autoSpaceDN w:val="0"/>
              <w:adjustRightInd w:val="0"/>
              <w:rPr>
                <w:rFonts w:ascii="Arial" w:hAnsi="Arial" w:cs="Arial"/>
                <w:color w:val="000000"/>
                <w:spacing w:val="0"/>
                <w:sz w:val="20"/>
                <w:lang w:val="es-ES"/>
              </w:rPr>
            </w:pPr>
            <w:r w:rsidRPr="00380D60">
              <w:rPr>
                <w:rFonts w:ascii="Arial" w:hAnsi="Arial" w:cs="Arial"/>
                <w:color w:val="000000"/>
                <w:spacing w:val="0"/>
                <w:sz w:val="20"/>
                <w:lang w:val="es-ES"/>
              </w:rPr>
              <w:t>Evaluación de las condiciones desarrollada.</w:t>
            </w:r>
          </w:p>
        </w:tc>
      </w:tr>
      <w:tr w:rsidR="00173475" w:rsidRPr="00AE2707" w14:paraId="5F5F0922" w14:textId="77777777" w:rsidTr="00B24727">
        <w:trPr>
          <w:tblHeader/>
        </w:trPr>
        <w:tc>
          <w:tcPr>
            <w:tcW w:w="5000" w:type="pct"/>
            <w:gridSpan w:val="8"/>
            <w:shd w:val="clear" w:color="auto" w:fill="D9D9D9" w:themeFill="background1" w:themeFillShade="D9"/>
          </w:tcPr>
          <w:p w14:paraId="13F5FFB2" w14:textId="1382EA8D" w:rsidR="00173475" w:rsidRPr="00380D60" w:rsidDel="00AB6113" w:rsidRDefault="00173475" w:rsidP="00173475">
            <w:pPr>
              <w:autoSpaceDE w:val="0"/>
              <w:autoSpaceDN w:val="0"/>
              <w:adjustRightInd w:val="0"/>
              <w:rPr>
                <w:rFonts w:ascii="Arial" w:hAnsi="Arial" w:cs="Arial"/>
                <w:color w:val="000000" w:themeColor="text1"/>
                <w:sz w:val="20"/>
                <w:lang w:val="es-CO" w:eastAsia="es-CO"/>
              </w:rPr>
            </w:pPr>
            <w:r w:rsidRPr="00380D60">
              <w:rPr>
                <w:rFonts w:ascii="Arial" w:hAnsi="Arial" w:cs="Arial"/>
                <w:b/>
                <w:bCs/>
                <w:color w:val="000000" w:themeColor="text1"/>
                <w:sz w:val="20"/>
                <w:lang w:val="es-ES"/>
              </w:rPr>
              <w:t>1. FORTALECIMIENTO DE LA CAPACIDAD INSTITUCIONAL Y DE SUPERVISIÓN DEL SECTOR ELÉCTRICO</w:t>
            </w:r>
          </w:p>
        </w:tc>
      </w:tr>
      <w:tr w:rsidR="00173475" w:rsidRPr="00AE2707" w14:paraId="699F335C" w14:textId="77777777" w:rsidTr="00B24727">
        <w:trPr>
          <w:gridAfter w:val="1"/>
          <w:wAfter w:w="4" w:type="pct"/>
          <w:tblHeader/>
        </w:trPr>
        <w:tc>
          <w:tcPr>
            <w:tcW w:w="859" w:type="pct"/>
            <w:shd w:val="clear" w:color="auto" w:fill="auto"/>
          </w:tcPr>
          <w:p w14:paraId="260949B2" w14:textId="0D616AD7" w:rsidR="00173475" w:rsidRPr="003371F8" w:rsidRDefault="00173475" w:rsidP="00173475">
            <w:pPr>
              <w:autoSpaceDE w:val="0"/>
              <w:autoSpaceDN w:val="0"/>
              <w:adjustRightInd w:val="0"/>
              <w:rPr>
                <w:rFonts w:ascii="Arial" w:hAnsi="Arial" w:cs="Arial"/>
                <w:b/>
                <w:color w:val="000000"/>
                <w:spacing w:val="0"/>
                <w:sz w:val="20"/>
              </w:rPr>
            </w:pPr>
            <w:r>
              <w:rPr>
                <w:rFonts w:ascii="Arial" w:hAnsi="Arial" w:cs="Arial"/>
                <w:b/>
                <w:color w:val="000000"/>
                <w:spacing w:val="0"/>
                <w:sz w:val="20"/>
              </w:rPr>
              <w:t xml:space="preserve">1.1 </w:t>
            </w:r>
            <w:r w:rsidRPr="003371F8">
              <w:rPr>
                <w:rFonts w:ascii="Arial" w:hAnsi="Arial" w:cs="Arial"/>
                <w:b/>
                <w:color w:val="000000"/>
                <w:spacing w:val="0"/>
                <w:sz w:val="20"/>
              </w:rPr>
              <w:t>Mejorar la capacidad de supervisión de las cuentas del sector eléctrico para aumentar transparencia</w:t>
            </w:r>
          </w:p>
        </w:tc>
        <w:tc>
          <w:tcPr>
            <w:tcW w:w="1499" w:type="pct"/>
            <w:shd w:val="clear" w:color="auto" w:fill="auto"/>
          </w:tcPr>
          <w:p w14:paraId="72285EE3" w14:textId="77777777" w:rsidR="00173475" w:rsidRPr="00F727B1" w:rsidRDefault="00173475" w:rsidP="00173475">
            <w:pPr>
              <w:autoSpaceDE w:val="0"/>
              <w:autoSpaceDN w:val="0"/>
              <w:adjustRightInd w:val="0"/>
              <w:ind w:right="60"/>
              <w:jc w:val="both"/>
              <w:rPr>
                <w:rFonts w:ascii="Arial" w:hAnsi="Arial" w:cs="Arial"/>
                <w:color w:val="000000" w:themeColor="text1"/>
                <w:sz w:val="20"/>
              </w:rPr>
            </w:pPr>
            <w:r w:rsidRPr="00F727B1">
              <w:rPr>
                <w:rFonts w:ascii="Arial" w:hAnsi="Arial" w:cs="Arial"/>
                <w:color w:val="000000" w:themeColor="text1"/>
                <w:sz w:val="20"/>
              </w:rPr>
              <w:t xml:space="preserve">Sistema de Monitoreo y Rendición de Cuentas, del avance en el cumplimiento de los compromisos y metas de reducción de pérdidas y costos operativos de las </w:t>
            </w:r>
            <w:proofErr w:type="spellStart"/>
            <w:r w:rsidRPr="00F727B1">
              <w:rPr>
                <w:rFonts w:ascii="Arial" w:hAnsi="Arial" w:cs="Arial"/>
                <w:color w:val="000000" w:themeColor="text1"/>
                <w:sz w:val="20"/>
              </w:rPr>
              <w:t>EDEs</w:t>
            </w:r>
            <w:proofErr w:type="spellEnd"/>
            <w:r w:rsidRPr="00F727B1">
              <w:rPr>
                <w:rFonts w:ascii="Arial" w:hAnsi="Arial" w:cs="Arial"/>
                <w:color w:val="000000" w:themeColor="text1"/>
                <w:sz w:val="20"/>
              </w:rPr>
              <w:t>, que contenga al menos:</w:t>
            </w:r>
          </w:p>
          <w:p w14:paraId="11CD2C05" w14:textId="77777777" w:rsidR="00173475" w:rsidRPr="00F727B1" w:rsidRDefault="00173475" w:rsidP="00173475">
            <w:pPr>
              <w:pStyle w:val="ListParagraph"/>
              <w:numPr>
                <w:ilvl w:val="0"/>
                <w:numId w:val="32"/>
              </w:numPr>
              <w:autoSpaceDE w:val="0"/>
              <w:autoSpaceDN w:val="0"/>
              <w:adjustRightInd w:val="0"/>
              <w:ind w:left="234" w:hanging="234"/>
              <w:rPr>
                <w:rFonts w:ascii="Arial" w:hAnsi="Arial" w:cs="Arial"/>
                <w:color w:val="000000" w:themeColor="text1"/>
                <w:sz w:val="20"/>
                <w:lang w:eastAsia="es-CO"/>
              </w:rPr>
            </w:pPr>
            <w:r w:rsidRPr="00F727B1">
              <w:rPr>
                <w:rFonts w:ascii="Arial" w:hAnsi="Arial" w:cs="Arial"/>
                <w:color w:val="000000" w:themeColor="text1"/>
                <w:sz w:val="20"/>
                <w:lang w:eastAsia="es-CO"/>
              </w:rPr>
              <w:t>Nivel de pérdidas.</w:t>
            </w:r>
          </w:p>
          <w:p w14:paraId="071E718B" w14:textId="77777777" w:rsidR="00173475" w:rsidRPr="00F727B1" w:rsidRDefault="00173475" w:rsidP="00173475">
            <w:pPr>
              <w:pStyle w:val="ListParagraph"/>
              <w:numPr>
                <w:ilvl w:val="0"/>
                <w:numId w:val="32"/>
              </w:numPr>
              <w:autoSpaceDE w:val="0"/>
              <w:autoSpaceDN w:val="0"/>
              <w:adjustRightInd w:val="0"/>
              <w:ind w:left="234" w:hanging="234"/>
              <w:rPr>
                <w:rFonts w:ascii="Arial" w:hAnsi="Arial" w:cs="Arial"/>
                <w:color w:val="000000" w:themeColor="text1"/>
                <w:sz w:val="20"/>
                <w:lang w:eastAsia="es-CO"/>
              </w:rPr>
            </w:pPr>
            <w:r w:rsidRPr="00F727B1">
              <w:rPr>
                <w:rFonts w:ascii="Arial" w:hAnsi="Arial" w:cs="Arial"/>
                <w:color w:val="000000" w:themeColor="text1"/>
                <w:sz w:val="20"/>
              </w:rPr>
              <w:t>P</w:t>
            </w:r>
            <w:r w:rsidRPr="00F727B1">
              <w:rPr>
                <w:rFonts w:ascii="Arial" w:hAnsi="Arial" w:cs="Arial"/>
                <w:color w:val="000000" w:themeColor="text1"/>
                <w:sz w:val="20"/>
                <w:lang w:eastAsia="es-CO"/>
              </w:rPr>
              <w:t>orcentaje de cobranzas.</w:t>
            </w:r>
          </w:p>
          <w:p w14:paraId="35F69E0A" w14:textId="77777777" w:rsidR="00173475" w:rsidRPr="00F727B1" w:rsidRDefault="00173475" w:rsidP="00173475">
            <w:pPr>
              <w:pStyle w:val="ListParagraph"/>
              <w:numPr>
                <w:ilvl w:val="0"/>
                <w:numId w:val="32"/>
              </w:numPr>
              <w:autoSpaceDE w:val="0"/>
              <w:autoSpaceDN w:val="0"/>
              <w:adjustRightInd w:val="0"/>
              <w:ind w:left="234" w:hanging="234"/>
              <w:rPr>
                <w:rFonts w:ascii="Arial" w:hAnsi="Arial" w:cs="Arial"/>
                <w:color w:val="000000" w:themeColor="text1"/>
                <w:sz w:val="20"/>
                <w:lang w:eastAsia="es-CO"/>
              </w:rPr>
            </w:pPr>
            <w:r w:rsidRPr="00F727B1">
              <w:rPr>
                <w:rFonts w:ascii="Arial" w:hAnsi="Arial" w:cs="Arial"/>
                <w:color w:val="000000" w:themeColor="text1"/>
                <w:sz w:val="20"/>
                <w:lang w:eastAsia="es-CO"/>
              </w:rPr>
              <w:t>Porcentaje de abastecimiento.</w:t>
            </w:r>
          </w:p>
          <w:p w14:paraId="3DBC5009" w14:textId="77777777" w:rsidR="00173475" w:rsidRPr="00173475" w:rsidRDefault="00173475" w:rsidP="00173475">
            <w:pPr>
              <w:pStyle w:val="ListParagraph"/>
              <w:numPr>
                <w:ilvl w:val="0"/>
                <w:numId w:val="32"/>
              </w:numPr>
              <w:autoSpaceDE w:val="0"/>
              <w:autoSpaceDN w:val="0"/>
              <w:adjustRightInd w:val="0"/>
              <w:ind w:left="234" w:hanging="234"/>
              <w:rPr>
                <w:rFonts w:ascii="Arial" w:hAnsi="Arial" w:cs="Arial"/>
                <w:color w:val="000000" w:themeColor="text1"/>
                <w:sz w:val="20"/>
                <w:u w:val="single"/>
                <w:lang w:eastAsia="es-CO"/>
              </w:rPr>
            </w:pPr>
            <w:r w:rsidRPr="00F727B1">
              <w:rPr>
                <w:rFonts w:ascii="Arial" w:hAnsi="Arial" w:cs="Arial"/>
                <w:color w:val="000000" w:themeColor="text1"/>
                <w:sz w:val="20"/>
                <w:lang w:eastAsia="es-CO"/>
              </w:rPr>
              <w:t>Relación de gastos operativos sobre ingresos.</w:t>
            </w:r>
          </w:p>
          <w:p w14:paraId="4D5CF6F9" w14:textId="6315286A" w:rsidR="00173475" w:rsidRPr="00F727B1" w:rsidRDefault="00173475" w:rsidP="00173475">
            <w:pPr>
              <w:pStyle w:val="ListParagraph"/>
              <w:autoSpaceDE w:val="0"/>
              <w:autoSpaceDN w:val="0"/>
              <w:adjustRightInd w:val="0"/>
              <w:ind w:left="234"/>
              <w:rPr>
                <w:rStyle w:val="Hyperlink"/>
                <w:rFonts w:ascii="Arial" w:hAnsi="Arial" w:cs="Arial"/>
                <w:color w:val="000000" w:themeColor="text1"/>
                <w:sz w:val="20"/>
                <w:lang w:eastAsia="es-CO"/>
              </w:rPr>
            </w:pPr>
          </w:p>
        </w:tc>
        <w:tc>
          <w:tcPr>
            <w:tcW w:w="592" w:type="pct"/>
          </w:tcPr>
          <w:p w14:paraId="027B88F9" w14:textId="2386FDEA" w:rsidR="00173475" w:rsidRPr="00F727B1" w:rsidRDefault="00173475" w:rsidP="00173475">
            <w:pPr>
              <w:autoSpaceDE w:val="0"/>
              <w:autoSpaceDN w:val="0"/>
              <w:adjustRightInd w:val="0"/>
              <w:jc w:val="center"/>
              <w:rPr>
                <w:rFonts w:ascii="Arial" w:hAnsi="Arial" w:cs="Arial"/>
                <w:color w:val="000000"/>
                <w:spacing w:val="0"/>
                <w:sz w:val="20"/>
                <w:lang w:val="es-ES"/>
              </w:rPr>
            </w:pPr>
            <w:r w:rsidRPr="00F727B1">
              <w:rPr>
                <w:rFonts w:ascii="Arial" w:hAnsi="Arial" w:cs="Arial"/>
                <w:color w:val="000000"/>
                <w:spacing w:val="0"/>
                <w:sz w:val="20"/>
                <w:lang w:val="es-ES"/>
              </w:rPr>
              <w:t># de sistema</w:t>
            </w:r>
          </w:p>
        </w:tc>
        <w:tc>
          <w:tcPr>
            <w:tcW w:w="344" w:type="pct"/>
          </w:tcPr>
          <w:p w14:paraId="58427C1E" w14:textId="2FE5580E" w:rsidR="00173475" w:rsidRPr="00F727B1"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09A06591" w14:textId="3852E8C9" w:rsidR="00173475" w:rsidRPr="00F727B1"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290" w:type="pct"/>
          </w:tcPr>
          <w:p w14:paraId="3A29544E" w14:textId="5ACB5595" w:rsidR="00173475" w:rsidRPr="00DC7619" w:rsidRDefault="00F04002" w:rsidP="00067B26">
            <w:pPr>
              <w:autoSpaceDE w:val="0"/>
              <w:autoSpaceDN w:val="0"/>
              <w:adjustRightInd w:val="0"/>
              <w:jc w:val="center"/>
              <w:rPr>
                <w:rFonts w:ascii="Arial" w:hAnsi="Arial" w:cs="Arial"/>
                <w:color w:val="000000" w:themeColor="text1"/>
                <w:sz w:val="20"/>
                <w:lang w:val="es-CO" w:eastAsia="es-CO"/>
              </w:rPr>
            </w:pPr>
            <w:r>
              <w:rPr>
                <w:rFonts w:ascii="Arial" w:hAnsi="Arial" w:cs="Arial"/>
                <w:color w:val="000000" w:themeColor="text1"/>
                <w:sz w:val="20"/>
                <w:lang w:val="es-CO" w:eastAsia="es-CO"/>
              </w:rPr>
              <w:t>1</w:t>
            </w:r>
          </w:p>
        </w:tc>
        <w:tc>
          <w:tcPr>
            <w:tcW w:w="1101" w:type="pct"/>
            <w:shd w:val="clear" w:color="auto" w:fill="auto"/>
          </w:tcPr>
          <w:p w14:paraId="0B399C57" w14:textId="0DF63A5A" w:rsidR="00173475" w:rsidRPr="00DC7619" w:rsidRDefault="00173475" w:rsidP="00173475">
            <w:pPr>
              <w:contextualSpacing/>
              <w:jc w:val="both"/>
              <w:rPr>
                <w:rFonts w:ascii="Arial" w:hAnsi="Arial" w:cs="Arial"/>
                <w:color w:val="000000" w:themeColor="text1"/>
                <w:sz w:val="20"/>
                <w:lang w:val="es-CO" w:eastAsia="es-CO"/>
              </w:rPr>
            </w:pPr>
            <w:r w:rsidRPr="00DC7619">
              <w:rPr>
                <w:rFonts w:ascii="Arial" w:hAnsi="Arial" w:cs="Arial"/>
                <w:color w:val="000000" w:themeColor="text1"/>
                <w:sz w:val="20"/>
                <w:lang w:val="es-CO" w:eastAsia="es-CO"/>
              </w:rPr>
              <w:t>Informe de la SIE</w:t>
            </w:r>
            <w:r>
              <w:rPr>
                <w:rFonts w:ascii="Arial" w:hAnsi="Arial" w:cs="Arial"/>
                <w:color w:val="000000" w:themeColor="text1"/>
                <w:sz w:val="20"/>
                <w:lang w:val="es-CO" w:eastAsia="es-CO"/>
              </w:rPr>
              <w:t>.</w:t>
            </w:r>
          </w:p>
          <w:p w14:paraId="69652DE9" w14:textId="5F423D61" w:rsidR="00173475" w:rsidRPr="00F727B1" w:rsidRDefault="00173475" w:rsidP="00173475">
            <w:pPr>
              <w:pStyle w:val="ListParagraph"/>
              <w:ind w:left="0"/>
              <w:contextualSpacing/>
              <w:jc w:val="both"/>
              <w:rPr>
                <w:rFonts w:ascii="Arial" w:hAnsi="Arial" w:cs="Arial"/>
                <w:color w:val="000000"/>
                <w:spacing w:val="0"/>
                <w:sz w:val="20"/>
                <w:lang w:val="es-CO"/>
              </w:rPr>
            </w:pPr>
          </w:p>
        </w:tc>
      </w:tr>
      <w:tr w:rsidR="00173475" w:rsidRPr="00AE2707" w14:paraId="742D6AD3" w14:textId="77777777" w:rsidTr="00B24727">
        <w:trPr>
          <w:gridAfter w:val="1"/>
          <w:wAfter w:w="4" w:type="pct"/>
          <w:trHeight w:val="703"/>
          <w:tblHeader/>
        </w:trPr>
        <w:tc>
          <w:tcPr>
            <w:tcW w:w="859" w:type="pct"/>
            <w:vMerge w:val="restart"/>
            <w:shd w:val="clear" w:color="auto" w:fill="auto"/>
          </w:tcPr>
          <w:p w14:paraId="5C8EACBA" w14:textId="33E893FE" w:rsidR="00173475" w:rsidRPr="003371F8" w:rsidRDefault="00173475" w:rsidP="00173475">
            <w:pPr>
              <w:autoSpaceDE w:val="0"/>
              <w:autoSpaceDN w:val="0"/>
              <w:adjustRightInd w:val="0"/>
              <w:rPr>
                <w:rFonts w:ascii="Arial" w:hAnsi="Arial" w:cs="Arial"/>
                <w:b/>
                <w:color w:val="000000"/>
                <w:spacing w:val="0"/>
                <w:sz w:val="20"/>
              </w:rPr>
            </w:pPr>
            <w:r>
              <w:rPr>
                <w:rFonts w:ascii="Arial" w:hAnsi="Arial" w:cs="Arial"/>
                <w:b/>
                <w:color w:val="000000"/>
                <w:spacing w:val="0"/>
                <w:sz w:val="20"/>
              </w:rPr>
              <w:t xml:space="preserve">1.2 </w:t>
            </w:r>
            <w:r w:rsidRPr="003371F8">
              <w:rPr>
                <w:rFonts w:ascii="Arial" w:hAnsi="Arial" w:cs="Arial"/>
                <w:b/>
                <w:color w:val="000000"/>
                <w:spacing w:val="0"/>
                <w:sz w:val="20"/>
              </w:rPr>
              <w:t xml:space="preserve">Mejorar supervisión del mercado mayorista de electricidad para incrementar eficiencia en la generación eléctrica.  </w:t>
            </w:r>
          </w:p>
          <w:p w14:paraId="3B82A2C8" w14:textId="77777777" w:rsidR="00173475" w:rsidRDefault="00173475" w:rsidP="00173475">
            <w:pPr>
              <w:autoSpaceDE w:val="0"/>
              <w:autoSpaceDN w:val="0"/>
              <w:adjustRightInd w:val="0"/>
              <w:rPr>
                <w:rFonts w:ascii="Arial" w:hAnsi="Arial" w:cs="Arial"/>
                <w:b/>
                <w:bCs/>
                <w:color w:val="000000"/>
                <w:spacing w:val="0"/>
                <w:sz w:val="20"/>
                <w:lang w:val="es-ES"/>
              </w:rPr>
            </w:pPr>
          </w:p>
        </w:tc>
        <w:tc>
          <w:tcPr>
            <w:tcW w:w="1499" w:type="pct"/>
            <w:shd w:val="clear" w:color="auto" w:fill="auto"/>
          </w:tcPr>
          <w:p w14:paraId="1DABA1C8" w14:textId="109C0588" w:rsidR="00173475" w:rsidRPr="004467CD" w:rsidRDefault="00173475" w:rsidP="00173475">
            <w:pPr>
              <w:autoSpaceDE w:val="0"/>
              <w:autoSpaceDN w:val="0"/>
              <w:adjustRightInd w:val="0"/>
              <w:jc w:val="both"/>
              <w:rPr>
                <w:rStyle w:val="Hyperlink"/>
                <w:rFonts w:ascii="Arial" w:hAnsi="Arial" w:cs="Arial"/>
                <w:color w:val="000000" w:themeColor="text1"/>
                <w:sz w:val="22"/>
                <w:lang w:val="es-ES" w:eastAsia="es-CO"/>
              </w:rPr>
            </w:pPr>
            <w:bookmarkStart w:id="7" w:name="_Hlk509129847"/>
            <w:r>
              <w:rPr>
                <w:rFonts w:ascii="Arial" w:hAnsi="Arial" w:cs="Arial"/>
                <w:color w:val="000000" w:themeColor="text1"/>
                <w:sz w:val="20"/>
                <w:lang w:val="es-ES"/>
              </w:rPr>
              <w:t xml:space="preserve">Reporte de supervisión </w:t>
            </w:r>
            <w:r w:rsidRPr="00DC7619">
              <w:rPr>
                <w:rFonts w:ascii="Arial" w:hAnsi="Arial" w:cs="Arial"/>
                <w:color w:val="000000" w:themeColor="text1"/>
                <w:sz w:val="20"/>
                <w:lang w:val="es-ES"/>
              </w:rPr>
              <w:t>de los valores mínimos fijados para las plantas de generación</w:t>
            </w:r>
            <w:r>
              <w:rPr>
                <w:rFonts w:ascii="Arial" w:hAnsi="Arial" w:cs="Arial"/>
                <w:color w:val="000000" w:themeColor="text1"/>
                <w:sz w:val="20"/>
                <w:lang w:val="es-ES"/>
              </w:rPr>
              <w:t xml:space="preserve"> publicado</w:t>
            </w:r>
            <w:r w:rsidRPr="004467CD">
              <w:rPr>
                <w:rFonts w:ascii="Arial" w:hAnsi="Arial" w:cs="Arial"/>
                <w:color w:val="000000" w:themeColor="text1"/>
                <w:sz w:val="22"/>
                <w:lang w:val="es-ES"/>
              </w:rPr>
              <w:t>.</w:t>
            </w:r>
            <w:bookmarkEnd w:id="7"/>
          </w:p>
        </w:tc>
        <w:tc>
          <w:tcPr>
            <w:tcW w:w="592" w:type="pct"/>
          </w:tcPr>
          <w:p w14:paraId="5C6A484D" w14:textId="5F2C4278"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 de reportes</w:t>
            </w:r>
          </w:p>
        </w:tc>
        <w:tc>
          <w:tcPr>
            <w:tcW w:w="344" w:type="pct"/>
          </w:tcPr>
          <w:p w14:paraId="74649939" w14:textId="6FE9B6D1"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0</w:t>
            </w:r>
          </w:p>
        </w:tc>
        <w:tc>
          <w:tcPr>
            <w:tcW w:w="311" w:type="pct"/>
          </w:tcPr>
          <w:p w14:paraId="52570516" w14:textId="74176184"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1</w:t>
            </w:r>
          </w:p>
        </w:tc>
        <w:tc>
          <w:tcPr>
            <w:tcW w:w="290" w:type="pct"/>
          </w:tcPr>
          <w:p w14:paraId="6F7816F5" w14:textId="2DDFCA58" w:rsidR="00173475" w:rsidRPr="00EF3B9C" w:rsidRDefault="008E54DB" w:rsidP="00067B26">
            <w:pPr>
              <w:autoSpaceDE w:val="0"/>
              <w:autoSpaceDN w:val="0"/>
              <w:adjustRightInd w:val="0"/>
              <w:jc w:val="center"/>
              <w:rPr>
                <w:rFonts w:ascii="Arial" w:hAnsi="Arial" w:cs="Arial"/>
                <w:color w:val="000000" w:themeColor="text1"/>
                <w:sz w:val="20"/>
                <w:lang w:val="es-ES"/>
              </w:rPr>
            </w:pPr>
            <w:r>
              <w:rPr>
                <w:rFonts w:ascii="Arial" w:hAnsi="Arial" w:cs="Arial"/>
                <w:color w:val="000000" w:themeColor="text1"/>
                <w:sz w:val="20"/>
                <w:lang w:val="es-ES"/>
              </w:rPr>
              <w:t>1</w:t>
            </w:r>
          </w:p>
        </w:tc>
        <w:tc>
          <w:tcPr>
            <w:tcW w:w="1101" w:type="pct"/>
            <w:shd w:val="clear" w:color="auto" w:fill="auto"/>
          </w:tcPr>
          <w:p w14:paraId="1C041B34" w14:textId="5E94045C" w:rsidR="00173475" w:rsidRPr="00EF3B9C" w:rsidRDefault="00173475" w:rsidP="00173475">
            <w:pPr>
              <w:autoSpaceDE w:val="0"/>
              <w:autoSpaceDN w:val="0"/>
              <w:adjustRightInd w:val="0"/>
              <w:jc w:val="both"/>
              <w:rPr>
                <w:rFonts w:ascii="Arial" w:hAnsi="Arial" w:cs="Arial"/>
                <w:color w:val="000000" w:themeColor="text1"/>
                <w:sz w:val="20"/>
                <w:lang w:val="es-ES"/>
              </w:rPr>
            </w:pPr>
            <w:r w:rsidRPr="00EF3B9C">
              <w:rPr>
                <w:rFonts w:ascii="Arial" w:hAnsi="Arial" w:cs="Arial"/>
                <w:color w:val="000000" w:themeColor="text1"/>
                <w:sz w:val="20"/>
                <w:lang w:val="es-ES"/>
              </w:rPr>
              <w:t>Informe de la SIE.</w:t>
            </w:r>
          </w:p>
          <w:p w14:paraId="5CA256E6" w14:textId="77777777" w:rsidR="00173475" w:rsidRPr="00EF3B9C" w:rsidRDefault="00173475" w:rsidP="00173475">
            <w:pPr>
              <w:autoSpaceDE w:val="0"/>
              <w:autoSpaceDN w:val="0"/>
              <w:adjustRightInd w:val="0"/>
              <w:ind w:right="110"/>
              <w:jc w:val="both"/>
              <w:rPr>
                <w:rFonts w:ascii="Arial" w:hAnsi="Arial" w:cs="Arial"/>
                <w:color w:val="000000" w:themeColor="text1"/>
                <w:sz w:val="20"/>
                <w:lang w:val="es-ES"/>
              </w:rPr>
            </w:pPr>
          </w:p>
          <w:p w14:paraId="5AECA592" w14:textId="77777777" w:rsidR="00173475" w:rsidRPr="00EF3B9C" w:rsidRDefault="00173475" w:rsidP="00173475">
            <w:pPr>
              <w:autoSpaceDE w:val="0"/>
              <w:autoSpaceDN w:val="0"/>
              <w:adjustRightInd w:val="0"/>
              <w:ind w:right="110"/>
              <w:jc w:val="both"/>
              <w:rPr>
                <w:rFonts w:ascii="Arial" w:hAnsi="Arial" w:cs="Arial"/>
                <w:color w:val="000000" w:themeColor="text1"/>
                <w:sz w:val="20"/>
                <w:lang w:val="es-ES"/>
              </w:rPr>
            </w:pPr>
          </w:p>
          <w:p w14:paraId="6F6AEDB0" w14:textId="77777777" w:rsidR="00173475" w:rsidRPr="00EF3B9C" w:rsidRDefault="00173475" w:rsidP="00173475">
            <w:pPr>
              <w:autoSpaceDE w:val="0"/>
              <w:autoSpaceDN w:val="0"/>
              <w:adjustRightInd w:val="0"/>
              <w:rPr>
                <w:rFonts w:ascii="Arial" w:hAnsi="Arial" w:cs="Arial"/>
                <w:color w:val="000000"/>
                <w:spacing w:val="0"/>
                <w:sz w:val="20"/>
                <w:lang w:val="es-ES"/>
              </w:rPr>
            </w:pPr>
          </w:p>
        </w:tc>
      </w:tr>
      <w:tr w:rsidR="00173475" w:rsidRPr="00AE2707" w14:paraId="0E5A185D" w14:textId="77777777" w:rsidTr="00B24727">
        <w:trPr>
          <w:gridAfter w:val="1"/>
          <w:wAfter w:w="4" w:type="pct"/>
          <w:tblHeader/>
        </w:trPr>
        <w:tc>
          <w:tcPr>
            <w:tcW w:w="859" w:type="pct"/>
            <w:vMerge/>
            <w:shd w:val="clear" w:color="auto" w:fill="auto"/>
          </w:tcPr>
          <w:p w14:paraId="0D682474" w14:textId="77777777" w:rsidR="00173475" w:rsidRDefault="00173475" w:rsidP="00173475">
            <w:pPr>
              <w:autoSpaceDE w:val="0"/>
              <w:autoSpaceDN w:val="0"/>
              <w:adjustRightInd w:val="0"/>
              <w:rPr>
                <w:rFonts w:ascii="Arial" w:hAnsi="Arial" w:cs="Arial"/>
                <w:b/>
                <w:bCs/>
                <w:color w:val="000000"/>
                <w:spacing w:val="0"/>
                <w:sz w:val="20"/>
                <w:lang w:val="es-ES"/>
              </w:rPr>
            </w:pPr>
          </w:p>
        </w:tc>
        <w:tc>
          <w:tcPr>
            <w:tcW w:w="1499" w:type="pct"/>
            <w:shd w:val="clear" w:color="auto" w:fill="auto"/>
          </w:tcPr>
          <w:p w14:paraId="392035E3" w14:textId="35D42B9E" w:rsidR="00173475" w:rsidRPr="004467CD" w:rsidRDefault="00173475" w:rsidP="00173475">
            <w:pPr>
              <w:autoSpaceDE w:val="0"/>
              <w:autoSpaceDN w:val="0"/>
              <w:adjustRightInd w:val="0"/>
              <w:jc w:val="both"/>
              <w:rPr>
                <w:rFonts w:ascii="Arial" w:hAnsi="Arial" w:cs="Arial"/>
                <w:color w:val="000000" w:themeColor="text1"/>
                <w:sz w:val="22"/>
                <w:lang w:val="es-ES"/>
              </w:rPr>
            </w:pPr>
            <w:r>
              <w:rPr>
                <w:rFonts w:ascii="Arial" w:hAnsi="Arial" w:cs="Arial"/>
                <w:color w:val="000000" w:themeColor="text1"/>
                <w:sz w:val="20"/>
                <w:lang w:val="es-ES"/>
              </w:rPr>
              <w:t>R</w:t>
            </w:r>
            <w:r w:rsidRPr="00DC7619">
              <w:rPr>
                <w:rFonts w:ascii="Arial" w:hAnsi="Arial" w:cs="Arial"/>
                <w:color w:val="000000" w:themeColor="text1"/>
                <w:sz w:val="20"/>
                <w:lang w:val="es-ES"/>
              </w:rPr>
              <w:t>esolución que establece el procedimiento de Contabilidad Regulatoria</w:t>
            </w:r>
            <w:r>
              <w:rPr>
                <w:rFonts w:ascii="Arial" w:hAnsi="Arial" w:cs="Arial"/>
                <w:color w:val="000000" w:themeColor="text1"/>
                <w:sz w:val="20"/>
                <w:lang w:val="es-ES"/>
              </w:rPr>
              <w:t xml:space="preserve"> aprobada</w:t>
            </w:r>
            <w:r w:rsidRPr="004467CD">
              <w:rPr>
                <w:rFonts w:ascii="Arial" w:hAnsi="Arial" w:cs="Arial"/>
                <w:color w:val="000000" w:themeColor="text1"/>
                <w:sz w:val="22"/>
                <w:lang w:val="es-ES"/>
              </w:rPr>
              <w:t>.</w:t>
            </w:r>
          </w:p>
          <w:p w14:paraId="6F4B3D18" w14:textId="77777777" w:rsidR="00173475" w:rsidRPr="00F4320C" w:rsidRDefault="00173475" w:rsidP="00173475">
            <w:pPr>
              <w:autoSpaceDE w:val="0"/>
              <w:autoSpaceDN w:val="0"/>
              <w:adjustRightInd w:val="0"/>
              <w:jc w:val="both"/>
              <w:rPr>
                <w:rStyle w:val="Hyperlink"/>
                <w:rFonts w:ascii="Arial" w:hAnsi="Arial" w:cs="Arial"/>
                <w:color w:val="000000" w:themeColor="text1"/>
                <w:lang w:val="es-ES" w:eastAsia="es-CO"/>
              </w:rPr>
            </w:pPr>
          </w:p>
        </w:tc>
        <w:tc>
          <w:tcPr>
            <w:tcW w:w="592" w:type="pct"/>
          </w:tcPr>
          <w:p w14:paraId="3473C272" w14:textId="503DDAAF"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Resolución</w:t>
            </w:r>
          </w:p>
        </w:tc>
        <w:tc>
          <w:tcPr>
            <w:tcW w:w="344" w:type="pct"/>
          </w:tcPr>
          <w:p w14:paraId="57F76BA6" w14:textId="6FFB39CC"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0</w:t>
            </w:r>
          </w:p>
        </w:tc>
        <w:tc>
          <w:tcPr>
            <w:tcW w:w="311" w:type="pct"/>
          </w:tcPr>
          <w:p w14:paraId="49E9B025" w14:textId="13E5393A"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1</w:t>
            </w:r>
          </w:p>
        </w:tc>
        <w:tc>
          <w:tcPr>
            <w:tcW w:w="290" w:type="pct"/>
          </w:tcPr>
          <w:p w14:paraId="752EA010" w14:textId="7D6256D3" w:rsidR="00173475" w:rsidRPr="00EF3B9C" w:rsidRDefault="008E54DB" w:rsidP="00067B26">
            <w:pPr>
              <w:autoSpaceDE w:val="0"/>
              <w:autoSpaceDN w:val="0"/>
              <w:adjustRightInd w:val="0"/>
              <w:ind w:right="110"/>
              <w:jc w:val="center"/>
              <w:rPr>
                <w:rFonts w:ascii="Arial" w:hAnsi="Arial" w:cs="Arial"/>
                <w:color w:val="000000" w:themeColor="text1"/>
                <w:sz w:val="20"/>
                <w:lang w:val="es-ES"/>
              </w:rPr>
            </w:pPr>
            <w:r>
              <w:rPr>
                <w:rFonts w:ascii="Arial" w:hAnsi="Arial" w:cs="Arial"/>
                <w:color w:val="000000" w:themeColor="text1"/>
                <w:sz w:val="20"/>
                <w:lang w:val="es-ES"/>
              </w:rPr>
              <w:t>1</w:t>
            </w:r>
          </w:p>
        </w:tc>
        <w:tc>
          <w:tcPr>
            <w:tcW w:w="1101" w:type="pct"/>
            <w:shd w:val="clear" w:color="auto" w:fill="auto"/>
          </w:tcPr>
          <w:p w14:paraId="563423CF" w14:textId="6D15B787" w:rsidR="00173475" w:rsidRPr="00EF3B9C" w:rsidRDefault="00173475" w:rsidP="00173475">
            <w:pPr>
              <w:autoSpaceDE w:val="0"/>
              <w:autoSpaceDN w:val="0"/>
              <w:adjustRightInd w:val="0"/>
              <w:ind w:right="110"/>
              <w:jc w:val="both"/>
              <w:rPr>
                <w:rFonts w:ascii="Arial" w:hAnsi="Arial" w:cs="Arial"/>
                <w:color w:val="000000" w:themeColor="text1"/>
                <w:sz w:val="20"/>
                <w:lang w:val="es-ES"/>
              </w:rPr>
            </w:pPr>
            <w:r w:rsidRPr="00EF3B9C">
              <w:rPr>
                <w:rFonts w:ascii="Arial" w:hAnsi="Arial" w:cs="Arial"/>
                <w:color w:val="000000" w:themeColor="text1"/>
                <w:sz w:val="20"/>
                <w:lang w:val="es-ES"/>
              </w:rPr>
              <w:t>Resolución de la SIE.</w:t>
            </w:r>
          </w:p>
          <w:p w14:paraId="25176A6A" w14:textId="77777777" w:rsidR="00173475" w:rsidRPr="00EF3B9C" w:rsidRDefault="00173475" w:rsidP="00173475">
            <w:pPr>
              <w:autoSpaceDE w:val="0"/>
              <w:autoSpaceDN w:val="0"/>
              <w:adjustRightInd w:val="0"/>
              <w:rPr>
                <w:rFonts w:ascii="Arial" w:hAnsi="Arial" w:cs="Arial"/>
                <w:color w:val="000000"/>
                <w:spacing w:val="0"/>
                <w:sz w:val="20"/>
                <w:lang w:val="es-ES"/>
              </w:rPr>
            </w:pPr>
          </w:p>
        </w:tc>
      </w:tr>
      <w:tr w:rsidR="00173475" w:rsidRPr="00AE2707" w14:paraId="49999535" w14:textId="77777777" w:rsidTr="00B24727">
        <w:trPr>
          <w:gridAfter w:val="1"/>
          <w:wAfter w:w="4" w:type="pct"/>
          <w:tblHeader/>
        </w:trPr>
        <w:tc>
          <w:tcPr>
            <w:tcW w:w="859" w:type="pct"/>
            <w:shd w:val="clear" w:color="auto" w:fill="auto"/>
          </w:tcPr>
          <w:p w14:paraId="5BEE4367" w14:textId="1207D0A2" w:rsidR="00173475" w:rsidRPr="00AE2707" w:rsidRDefault="00173475" w:rsidP="00173475">
            <w:pPr>
              <w:autoSpaceDE w:val="0"/>
              <w:autoSpaceDN w:val="0"/>
              <w:adjustRightInd w:val="0"/>
              <w:rPr>
                <w:rFonts w:ascii="Arial" w:hAnsi="Arial" w:cs="Arial"/>
                <w:bCs/>
                <w:color w:val="000000"/>
                <w:spacing w:val="0"/>
                <w:sz w:val="20"/>
                <w:lang w:val="es-ES"/>
              </w:rPr>
            </w:pPr>
            <w:r>
              <w:rPr>
                <w:rFonts w:ascii="Arial" w:hAnsi="Arial" w:cs="Arial"/>
                <w:b/>
                <w:bCs/>
                <w:color w:val="000000"/>
                <w:spacing w:val="0"/>
                <w:sz w:val="20"/>
                <w:lang w:val="es-ES"/>
              </w:rPr>
              <w:t>1.3</w:t>
            </w:r>
            <w:r w:rsidRPr="00262C34">
              <w:rPr>
                <w:rFonts w:ascii="Arial" w:hAnsi="Arial" w:cs="Arial"/>
                <w:b/>
                <w:bCs/>
                <w:color w:val="000000"/>
                <w:spacing w:val="0"/>
                <w:sz w:val="20"/>
                <w:lang w:val="es-ES"/>
              </w:rPr>
              <w:t xml:space="preserve"> Extender</w:t>
            </w:r>
            <w:r>
              <w:rPr>
                <w:rFonts w:ascii="Arial" w:hAnsi="Arial" w:cs="Arial"/>
                <w:b/>
                <w:bCs/>
                <w:color w:val="000000"/>
                <w:spacing w:val="0"/>
                <w:sz w:val="20"/>
                <w:lang w:val="es-ES"/>
              </w:rPr>
              <w:t xml:space="preserve"> la</w:t>
            </w:r>
            <w:r w:rsidRPr="00262C34">
              <w:rPr>
                <w:rFonts w:ascii="Arial" w:hAnsi="Arial" w:cs="Arial"/>
                <w:b/>
                <w:bCs/>
                <w:color w:val="000000"/>
                <w:spacing w:val="0"/>
                <w:sz w:val="20"/>
                <w:lang w:val="es-ES"/>
              </w:rPr>
              <w:t xml:space="preserve"> cobertura del subsidio </w:t>
            </w:r>
            <w:r>
              <w:rPr>
                <w:rFonts w:ascii="Arial" w:hAnsi="Arial" w:cs="Arial"/>
                <w:b/>
                <w:bCs/>
                <w:color w:val="000000"/>
                <w:spacing w:val="0"/>
                <w:sz w:val="20"/>
                <w:lang w:val="es-ES"/>
              </w:rPr>
              <w:t>y mejorar su focalización</w:t>
            </w:r>
            <w:r w:rsidRPr="00262C34">
              <w:rPr>
                <w:rFonts w:ascii="Arial" w:hAnsi="Arial" w:cs="Arial"/>
                <w:b/>
                <w:bCs/>
                <w:color w:val="000000"/>
                <w:spacing w:val="0"/>
                <w:sz w:val="20"/>
                <w:lang w:val="es-ES"/>
              </w:rPr>
              <w:t xml:space="preserve"> al consumo de electricidad de manera sostenible</w:t>
            </w:r>
          </w:p>
        </w:tc>
        <w:tc>
          <w:tcPr>
            <w:tcW w:w="1499" w:type="pct"/>
            <w:shd w:val="clear" w:color="auto" w:fill="auto"/>
          </w:tcPr>
          <w:p w14:paraId="773CEB1B" w14:textId="77777777" w:rsidR="00173475" w:rsidRDefault="00173475" w:rsidP="00173475">
            <w:pPr>
              <w:autoSpaceDE w:val="0"/>
              <w:autoSpaceDN w:val="0"/>
              <w:adjustRightInd w:val="0"/>
              <w:jc w:val="both"/>
              <w:rPr>
                <w:rFonts w:ascii="Arial" w:hAnsi="Arial" w:cs="Arial"/>
                <w:color w:val="000000" w:themeColor="text1"/>
                <w:sz w:val="20"/>
                <w:lang w:val="es-ES"/>
              </w:rPr>
            </w:pPr>
            <w:r w:rsidRPr="0082540C">
              <w:rPr>
                <w:rFonts w:ascii="Arial" w:hAnsi="Arial" w:cs="Arial"/>
                <w:color w:val="000000" w:themeColor="text1"/>
                <w:sz w:val="20"/>
                <w:lang w:val="es-ES"/>
              </w:rPr>
              <w:t xml:space="preserve">Informe del Gabinete de Coordinación de Políticas Sociales (GCPS) con el número de beneficiarios </w:t>
            </w:r>
            <w:proofErr w:type="spellStart"/>
            <w:r w:rsidRPr="0082540C">
              <w:rPr>
                <w:rFonts w:ascii="Arial" w:hAnsi="Arial" w:cs="Arial"/>
                <w:color w:val="000000" w:themeColor="text1"/>
                <w:sz w:val="20"/>
                <w:lang w:val="es-ES"/>
              </w:rPr>
              <w:t>BonoLuz</w:t>
            </w:r>
            <w:proofErr w:type="spellEnd"/>
            <w:r w:rsidRPr="0082540C">
              <w:rPr>
                <w:rFonts w:ascii="Arial" w:hAnsi="Arial" w:cs="Arial"/>
                <w:color w:val="000000" w:themeColor="text1"/>
                <w:sz w:val="20"/>
                <w:lang w:val="es-ES"/>
              </w:rPr>
              <w:t>, y confirmando que los mismos han sido categorizados por el SIUBEN como población elegible (dado a su condición socioeconómica) y que son miembros del Programa Progresando con Solidaridad</w:t>
            </w:r>
            <w:r>
              <w:rPr>
                <w:rFonts w:ascii="Arial" w:hAnsi="Arial" w:cs="Arial"/>
                <w:color w:val="000000" w:themeColor="text1"/>
                <w:sz w:val="20"/>
                <w:lang w:val="es-ES"/>
              </w:rPr>
              <w:t>.</w:t>
            </w:r>
          </w:p>
          <w:p w14:paraId="5E9CAF64" w14:textId="334B9FC4" w:rsidR="00173475" w:rsidRPr="00E87594" w:rsidRDefault="00173475" w:rsidP="00173475">
            <w:pPr>
              <w:autoSpaceDE w:val="0"/>
              <w:autoSpaceDN w:val="0"/>
              <w:adjustRightInd w:val="0"/>
              <w:jc w:val="both"/>
              <w:rPr>
                <w:rStyle w:val="Hyperlink"/>
                <w:rFonts w:ascii="Arial" w:hAnsi="Arial" w:cs="Arial"/>
                <w:color w:val="000000" w:themeColor="text1"/>
                <w:highlight w:val="yellow"/>
                <w:lang w:val="es-ES" w:eastAsia="es-CO"/>
              </w:rPr>
            </w:pPr>
          </w:p>
        </w:tc>
        <w:tc>
          <w:tcPr>
            <w:tcW w:w="592" w:type="pct"/>
          </w:tcPr>
          <w:p w14:paraId="3C017B86" w14:textId="261D249F"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 de reportes</w:t>
            </w:r>
          </w:p>
        </w:tc>
        <w:tc>
          <w:tcPr>
            <w:tcW w:w="344" w:type="pct"/>
          </w:tcPr>
          <w:p w14:paraId="1FECA89C" w14:textId="4712C07A"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0</w:t>
            </w:r>
          </w:p>
        </w:tc>
        <w:tc>
          <w:tcPr>
            <w:tcW w:w="311" w:type="pct"/>
          </w:tcPr>
          <w:p w14:paraId="550D35D9" w14:textId="356EE48F"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1</w:t>
            </w:r>
          </w:p>
        </w:tc>
        <w:tc>
          <w:tcPr>
            <w:tcW w:w="290" w:type="pct"/>
          </w:tcPr>
          <w:p w14:paraId="06A797A7" w14:textId="40A9DA15" w:rsidR="00173475" w:rsidRPr="00EF3B9C" w:rsidRDefault="008E54DB" w:rsidP="00067B26">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1101" w:type="pct"/>
            <w:shd w:val="clear" w:color="auto" w:fill="auto"/>
          </w:tcPr>
          <w:p w14:paraId="76D7A31D" w14:textId="18BF86EB" w:rsidR="00173475" w:rsidRPr="00EF3B9C" w:rsidRDefault="00173475" w:rsidP="00173475">
            <w:pPr>
              <w:autoSpaceDE w:val="0"/>
              <w:autoSpaceDN w:val="0"/>
              <w:adjustRightInd w:val="0"/>
              <w:rPr>
                <w:rFonts w:ascii="Arial" w:hAnsi="Arial" w:cs="Arial"/>
                <w:color w:val="000000"/>
                <w:spacing w:val="0"/>
                <w:sz w:val="20"/>
                <w:lang w:val="es-ES"/>
              </w:rPr>
            </w:pPr>
            <w:r w:rsidRPr="00EF3B9C">
              <w:rPr>
                <w:rFonts w:ascii="Arial" w:hAnsi="Arial" w:cs="Arial"/>
                <w:color w:val="000000"/>
                <w:spacing w:val="0"/>
                <w:sz w:val="20"/>
                <w:lang w:val="es-ES"/>
              </w:rPr>
              <w:t>Informe del GCPS.</w:t>
            </w:r>
          </w:p>
        </w:tc>
      </w:tr>
      <w:tr w:rsidR="00173475" w:rsidRPr="00AE2707" w14:paraId="51DF7A2B" w14:textId="77777777" w:rsidTr="00B24727">
        <w:trPr>
          <w:gridAfter w:val="1"/>
          <w:wAfter w:w="4" w:type="pct"/>
          <w:tblHeader/>
        </w:trPr>
        <w:tc>
          <w:tcPr>
            <w:tcW w:w="859" w:type="pct"/>
            <w:shd w:val="clear" w:color="auto" w:fill="auto"/>
          </w:tcPr>
          <w:p w14:paraId="23FDEDE5" w14:textId="5CEBE723" w:rsidR="00173475" w:rsidRPr="00EF3B9C" w:rsidRDefault="00173475" w:rsidP="00173475">
            <w:pPr>
              <w:autoSpaceDE w:val="0"/>
              <w:autoSpaceDN w:val="0"/>
              <w:adjustRightInd w:val="0"/>
              <w:rPr>
                <w:rFonts w:ascii="Arial" w:hAnsi="Arial" w:cs="Arial"/>
                <w:b/>
                <w:bCs/>
                <w:color w:val="000000"/>
                <w:spacing w:val="0"/>
                <w:sz w:val="20"/>
                <w:lang w:val="es-ES"/>
              </w:rPr>
            </w:pPr>
            <w:r w:rsidRPr="00EF3B9C">
              <w:rPr>
                <w:rFonts w:ascii="Arial" w:hAnsi="Arial" w:cs="Arial"/>
                <w:b/>
                <w:bCs/>
                <w:spacing w:val="0"/>
                <w:sz w:val="20"/>
              </w:rPr>
              <w:t xml:space="preserve">1.4 Fortalecer capacidad institucional </w:t>
            </w:r>
            <w:r>
              <w:rPr>
                <w:rFonts w:ascii="Arial" w:hAnsi="Arial" w:cs="Arial"/>
                <w:b/>
                <w:spacing w:val="0"/>
                <w:sz w:val="20"/>
              </w:rPr>
              <w:t>y de coordinación del sector</w:t>
            </w:r>
            <w:r w:rsidRPr="00EF3B9C">
              <w:rPr>
                <w:rFonts w:ascii="Arial" w:hAnsi="Arial" w:cs="Arial"/>
                <w:b/>
                <w:spacing w:val="0"/>
                <w:sz w:val="20"/>
              </w:rPr>
              <w:t>.</w:t>
            </w:r>
          </w:p>
        </w:tc>
        <w:tc>
          <w:tcPr>
            <w:tcW w:w="1499" w:type="pct"/>
            <w:shd w:val="clear" w:color="auto" w:fill="auto"/>
          </w:tcPr>
          <w:p w14:paraId="6F5C1AC0" w14:textId="77777777" w:rsidR="00173475" w:rsidRDefault="00173475" w:rsidP="00173475">
            <w:pPr>
              <w:autoSpaceDE w:val="0"/>
              <w:autoSpaceDN w:val="0"/>
              <w:adjustRightInd w:val="0"/>
              <w:rPr>
                <w:rFonts w:ascii="Arial" w:hAnsi="Arial" w:cs="Arial"/>
                <w:color w:val="000000" w:themeColor="text1"/>
                <w:sz w:val="20"/>
                <w:lang w:val="es-ES"/>
              </w:rPr>
            </w:pPr>
            <w:bookmarkStart w:id="8" w:name="_Hlk509130461"/>
            <w:r w:rsidRPr="00EF3B9C">
              <w:rPr>
                <w:rFonts w:ascii="Arial" w:hAnsi="Arial" w:cs="Arial"/>
                <w:color w:val="000000" w:themeColor="text1"/>
                <w:sz w:val="20"/>
                <w:lang w:val="es-ES"/>
              </w:rPr>
              <w:t>Ley que crea al Ministerio de Energía y Minas (MEM), como órgano encargado de la formulación y administración de la política energética y de minería metálica y no metálica nacional; y que el MEM se encuentre en funcionamiento con presupuesto asignado y aprobado.</w:t>
            </w:r>
            <w:bookmarkEnd w:id="8"/>
          </w:p>
          <w:p w14:paraId="5F9C2349" w14:textId="417CE4A3" w:rsidR="00173475" w:rsidRPr="00EF3B9C" w:rsidRDefault="00173475" w:rsidP="00173475">
            <w:pPr>
              <w:autoSpaceDE w:val="0"/>
              <w:autoSpaceDN w:val="0"/>
              <w:adjustRightInd w:val="0"/>
              <w:rPr>
                <w:rFonts w:ascii="Arial" w:hAnsi="Arial" w:cs="Arial"/>
                <w:bCs/>
                <w:color w:val="000000"/>
                <w:spacing w:val="0"/>
                <w:sz w:val="20"/>
                <w:lang w:val="es-ES"/>
              </w:rPr>
            </w:pPr>
          </w:p>
        </w:tc>
        <w:tc>
          <w:tcPr>
            <w:tcW w:w="592" w:type="pct"/>
          </w:tcPr>
          <w:p w14:paraId="04029119" w14:textId="679E6DE0"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Publicación</w:t>
            </w:r>
          </w:p>
        </w:tc>
        <w:tc>
          <w:tcPr>
            <w:tcW w:w="344" w:type="pct"/>
          </w:tcPr>
          <w:p w14:paraId="71851CEF" w14:textId="43EA0C02" w:rsidR="00173475" w:rsidRPr="00EF3B9C" w:rsidRDefault="00173475" w:rsidP="00173475">
            <w:pPr>
              <w:autoSpaceDE w:val="0"/>
              <w:autoSpaceDN w:val="0"/>
              <w:adjustRightInd w:val="0"/>
              <w:jc w:val="center"/>
              <w:rPr>
                <w:rFonts w:ascii="Arial" w:hAnsi="Arial" w:cs="Arial"/>
                <w:color w:val="000000"/>
                <w:spacing w:val="0"/>
                <w:sz w:val="20"/>
                <w:lang w:val="es-ES"/>
              </w:rPr>
            </w:pPr>
            <w:r w:rsidRPr="00EF3B9C">
              <w:rPr>
                <w:rFonts w:ascii="Arial" w:hAnsi="Arial" w:cs="Arial"/>
                <w:color w:val="000000"/>
                <w:spacing w:val="0"/>
                <w:sz w:val="20"/>
                <w:lang w:val="es-ES"/>
              </w:rPr>
              <w:t>0</w:t>
            </w:r>
          </w:p>
        </w:tc>
        <w:tc>
          <w:tcPr>
            <w:tcW w:w="311" w:type="pct"/>
          </w:tcPr>
          <w:p w14:paraId="1AB3E726" w14:textId="02CF719E" w:rsidR="00173475" w:rsidRPr="00EF3B9C" w:rsidRDefault="000E6516"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290" w:type="pct"/>
          </w:tcPr>
          <w:p w14:paraId="2DC42601" w14:textId="306C6287" w:rsidR="00173475" w:rsidRPr="00EF3B9C" w:rsidRDefault="000E6516" w:rsidP="00067B26">
            <w:pPr>
              <w:autoSpaceDE w:val="0"/>
              <w:autoSpaceDN w:val="0"/>
              <w:adjustRightInd w:val="0"/>
              <w:jc w:val="center"/>
              <w:rPr>
                <w:rFonts w:ascii="Arial" w:hAnsi="Arial" w:cs="Arial"/>
                <w:color w:val="000000" w:themeColor="text1"/>
                <w:sz w:val="20"/>
              </w:rPr>
            </w:pPr>
            <w:r>
              <w:rPr>
                <w:rFonts w:ascii="Arial" w:hAnsi="Arial" w:cs="Arial"/>
                <w:color w:val="000000" w:themeColor="text1"/>
                <w:sz w:val="20"/>
              </w:rPr>
              <w:t>1</w:t>
            </w:r>
          </w:p>
        </w:tc>
        <w:tc>
          <w:tcPr>
            <w:tcW w:w="1101" w:type="pct"/>
            <w:shd w:val="clear" w:color="auto" w:fill="auto"/>
          </w:tcPr>
          <w:p w14:paraId="02B76D0F" w14:textId="66719092" w:rsidR="00173475" w:rsidRPr="00EF3B9C" w:rsidRDefault="00173475" w:rsidP="00173475">
            <w:pPr>
              <w:autoSpaceDE w:val="0"/>
              <w:autoSpaceDN w:val="0"/>
              <w:adjustRightInd w:val="0"/>
              <w:rPr>
                <w:rFonts w:ascii="Arial" w:hAnsi="Arial" w:cs="Arial"/>
                <w:color w:val="000000"/>
                <w:spacing w:val="0"/>
                <w:sz w:val="20"/>
                <w:lang w:val="es-ES"/>
              </w:rPr>
            </w:pPr>
            <w:r w:rsidRPr="00EF3B9C">
              <w:rPr>
                <w:rFonts w:ascii="Arial" w:hAnsi="Arial" w:cs="Arial"/>
                <w:color w:val="000000" w:themeColor="text1"/>
                <w:sz w:val="20"/>
              </w:rPr>
              <w:t>Ley de creación del MEM vigente</w:t>
            </w:r>
            <w:r w:rsidRPr="00EF3B9C">
              <w:rPr>
                <w:rFonts w:ascii="Arial" w:hAnsi="Arial" w:cs="Arial"/>
                <w:color w:val="000000" w:themeColor="text1"/>
                <w:sz w:val="20"/>
                <w:lang w:val="es-CO" w:eastAsia="es-CO"/>
              </w:rPr>
              <w:t>.</w:t>
            </w:r>
          </w:p>
        </w:tc>
      </w:tr>
      <w:tr w:rsidR="009004B9" w:rsidRPr="00AE2707" w14:paraId="184A71E0" w14:textId="77777777" w:rsidTr="009004B9">
        <w:trPr>
          <w:tblHeader/>
        </w:trPr>
        <w:tc>
          <w:tcPr>
            <w:tcW w:w="5000" w:type="pct"/>
            <w:gridSpan w:val="8"/>
            <w:shd w:val="clear" w:color="auto" w:fill="BFBFBF"/>
          </w:tcPr>
          <w:p w14:paraId="055E936D" w14:textId="2CC79C0C" w:rsidR="009004B9" w:rsidRPr="00380D60" w:rsidRDefault="009004B9" w:rsidP="00173475">
            <w:pPr>
              <w:tabs>
                <w:tab w:val="left" w:pos="0"/>
              </w:tabs>
              <w:autoSpaceDE w:val="0"/>
              <w:autoSpaceDN w:val="0"/>
              <w:adjustRightInd w:val="0"/>
              <w:contextualSpacing/>
              <w:rPr>
                <w:rFonts w:ascii="Arial" w:hAnsi="Arial" w:cs="Arial"/>
                <w:b/>
                <w:bCs/>
                <w:color w:val="000000"/>
                <w:spacing w:val="0"/>
                <w:sz w:val="20"/>
                <w:lang w:val="es-ES"/>
              </w:rPr>
            </w:pPr>
            <w:r>
              <w:rPr>
                <w:rFonts w:ascii="Arial" w:hAnsi="Arial" w:cs="Arial"/>
                <w:b/>
                <w:bCs/>
                <w:color w:val="000000"/>
                <w:spacing w:val="0"/>
                <w:sz w:val="20"/>
                <w:lang w:val="es-ES"/>
              </w:rPr>
              <w:t>2</w:t>
            </w:r>
            <w:r w:rsidRPr="00380D60">
              <w:rPr>
                <w:rFonts w:ascii="Arial" w:hAnsi="Arial" w:cs="Arial"/>
                <w:b/>
                <w:bCs/>
                <w:color w:val="000000"/>
                <w:spacing w:val="0"/>
                <w:sz w:val="20"/>
                <w:lang w:val="es-ES"/>
              </w:rPr>
              <w:t xml:space="preserve">. </w:t>
            </w:r>
            <w:r w:rsidRPr="009004B9">
              <w:rPr>
                <w:rFonts w:ascii="Arial" w:hAnsi="Arial" w:cs="Arial"/>
                <w:b/>
                <w:bCs/>
                <w:color w:val="000000"/>
                <w:spacing w:val="0"/>
                <w:sz w:val="20"/>
                <w:lang w:val="es-ES"/>
              </w:rPr>
              <w:t>FORTALECIMIENTO DEL PLANEAMIENTO SECTORIAL Y LA CONSOLIDACIÓN DEL MARCO REGULATORIO</w:t>
            </w:r>
          </w:p>
        </w:tc>
      </w:tr>
      <w:tr w:rsidR="00173475" w:rsidRPr="00826EFE" w14:paraId="58221680" w14:textId="77777777" w:rsidTr="00B24727">
        <w:trPr>
          <w:gridAfter w:val="1"/>
          <w:wAfter w:w="4" w:type="pct"/>
          <w:trHeight w:val="1757"/>
          <w:tblHeader/>
        </w:trPr>
        <w:tc>
          <w:tcPr>
            <w:tcW w:w="859" w:type="pct"/>
            <w:vMerge w:val="restart"/>
            <w:shd w:val="clear" w:color="auto" w:fill="auto"/>
          </w:tcPr>
          <w:p w14:paraId="30CB802B" w14:textId="755EFCD5" w:rsidR="00173475" w:rsidRPr="00380D60" w:rsidRDefault="00173475" w:rsidP="00173475">
            <w:pPr>
              <w:autoSpaceDE w:val="0"/>
              <w:autoSpaceDN w:val="0"/>
              <w:adjustRightInd w:val="0"/>
              <w:rPr>
                <w:rFonts w:ascii="Arial" w:hAnsi="Arial" w:cs="Arial"/>
                <w:bCs/>
                <w:spacing w:val="0"/>
                <w:sz w:val="20"/>
              </w:rPr>
            </w:pPr>
            <w:r>
              <w:rPr>
                <w:rFonts w:ascii="Arial" w:hAnsi="Arial" w:cs="Arial"/>
                <w:b/>
                <w:bCs/>
                <w:color w:val="000000"/>
                <w:spacing w:val="0"/>
                <w:sz w:val="20"/>
                <w:lang w:val="es-ES"/>
              </w:rPr>
              <w:t>2</w:t>
            </w:r>
            <w:r w:rsidRPr="00380D60">
              <w:rPr>
                <w:rFonts w:ascii="Arial" w:hAnsi="Arial" w:cs="Arial"/>
                <w:b/>
                <w:bCs/>
                <w:color w:val="000000"/>
                <w:spacing w:val="0"/>
                <w:sz w:val="20"/>
                <w:lang w:val="es-ES"/>
              </w:rPr>
              <w:t>.1 Asegurar la expansión eficiente de los sistemas de generación y transmisión eléctricos.</w:t>
            </w:r>
          </w:p>
        </w:tc>
        <w:tc>
          <w:tcPr>
            <w:tcW w:w="1499" w:type="pct"/>
            <w:shd w:val="clear" w:color="auto" w:fill="auto"/>
          </w:tcPr>
          <w:p w14:paraId="113D3973" w14:textId="77777777" w:rsidR="00173475" w:rsidRDefault="00173475" w:rsidP="00173475">
            <w:pPr>
              <w:autoSpaceDE w:val="0"/>
              <w:autoSpaceDN w:val="0"/>
              <w:adjustRightInd w:val="0"/>
              <w:ind w:left="-3"/>
              <w:rPr>
                <w:rFonts w:ascii="Arial" w:hAnsi="Arial" w:cs="Arial"/>
                <w:color w:val="000000" w:themeColor="text1"/>
                <w:sz w:val="20"/>
              </w:rPr>
            </w:pPr>
            <w:r w:rsidRPr="00666FBA">
              <w:rPr>
                <w:rFonts w:ascii="Arial" w:hAnsi="Arial" w:cs="Arial"/>
                <w:color w:val="000000" w:themeColor="text1"/>
                <w:sz w:val="20"/>
              </w:rPr>
              <w:t>Informe de CNE/MEM indicando que toda la contratación de generación y proyectos de transmisión realizados se han hecho en consistencia con el Plan Indicativo de Expansión de la Generación y la Transmisión 2011-2025.</w:t>
            </w:r>
          </w:p>
          <w:p w14:paraId="0A00C8EB" w14:textId="0EEC1062" w:rsidR="00173475" w:rsidRPr="00666FBA" w:rsidRDefault="00173475" w:rsidP="00173475">
            <w:pPr>
              <w:autoSpaceDE w:val="0"/>
              <w:autoSpaceDN w:val="0"/>
              <w:adjustRightInd w:val="0"/>
              <w:ind w:left="-3"/>
              <w:rPr>
                <w:rFonts w:ascii="Arial" w:hAnsi="Arial" w:cs="Arial"/>
                <w:b/>
                <w:bCs/>
                <w:spacing w:val="0"/>
                <w:sz w:val="20"/>
                <w:lang w:val="es-HN"/>
              </w:rPr>
            </w:pPr>
          </w:p>
        </w:tc>
        <w:tc>
          <w:tcPr>
            <w:tcW w:w="592" w:type="pct"/>
          </w:tcPr>
          <w:p w14:paraId="5B2883EF" w14:textId="352BFEA9"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 de informes</w:t>
            </w:r>
          </w:p>
        </w:tc>
        <w:tc>
          <w:tcPr>
            <w:tcW w:w="344" w:type="pct"/>
          </w:tcPr>
          <w:p w14:paraId="3C5A5A3E" w14:textId="3084DC65"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7144BE02" w14:textId="7407EE13"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290" w:type="pct"/>
          </w:tcPr>
          <w:p w14:paraId="21D2431E" w14:textId="6B467D62" w:rsidR="00173475" w:rsidRDefault="000E6516" w:rsidP="000E6516">
            <w:pPr>
              <w:autoSpaceDE w:val="0"/>
              <w:autoSpaceDN w:val="0"/>
              <w:adjustRightInd w:val="0"/>
              <w:jc w:val="center"/>
              <w:rPr>
                <w:rFonts w:ascii="Arial" w:hAnsi="Arial" w:cs="Arial"/>
                <w:color w:val="000000" w:themeColor="text1"/>
                <w:sz w:val="20"/>
              </w:rPr>
            </w:pPr>
            <w:r>
              <w:rPr>
                <w:rFonts w:ascii="Arial" w:hAnsi="Arial" w:cs="Arial"/>
                <w:color w:val="000000" w:themeColor="text1"/>
                <w:sz w:val="20"/>
              </w:rPr>
              <w:t>1</w:t>
            </w:r>
          </w:p>
        </w:tc>
        <w:tc>
          <w:tcPr>
            <w:tcW w:w="1101" w:type="pct"/>
            <w:shd w:val="clear" w:color="auto" w:fill="auto"/>
          </w:tcPr>
          <w:p w14:paraId="753A497C" w14:textId="10DDA366" w:rsidR="00173475" w:rsidRPr="00380D60" w:rsidRDefault="00173475" w:rsidP="00173475">
            <w:pPr>
              <w:autoSpaceDE w:val="0"/>
              <w:autoSpaceDN w:val="0"/>
              <w:adjustRightInd w:val="0"/>
              <w:rPr>
                <w:rFonts w:ascii="Arial" w:hAnsi="Arial" w:cs="Arial"/>
                <w:color w:val="000000"/>
                <w:spacing w:val="0"/>
                <w:sz w:val="20"/>
                <w:lang w:val="es-ES"/>
              </w:rPr>
            </w:pPr>
            <w:r>
              <w:rPr>
                <w:rFonts w:ascii="Arial" w:hAnsi="Arial" w:cs="Arial"/>
                <w:color w:val="000000" w:themeColor="text1"/>
                <w:sz w:val="20"/>
              </w:rPr>
              <w:t>Informe de la SIE.</w:t>
            </w:r>
            <w:r w:rsidRPr="00380D60">
              <w:rPr>
                <w:rFonts w:ascii="Arial" w:hAnsi="Arial" w:cs="Arial"/>
                <w:color w:val="000000"/>
                <w:spacing w:val="0"/>
                <w:sz w:val="20"/>
                <w:lang w:val="es-ES"/>
              </w:rPr>
              <w:t xml:space="preserve"> </w:t>
            </w:r>
          </w:p>
        </w:tc>
      </w:tr>
      <w:tr w:rsidR="00173475" w:rsidRPr="00826EFE" w14:paraId="6CE25251" w14:textId="77777777" w:rsidTr="00B24727">
        <w:trPr>
          <w:gridAfter w:val="1"/>
          <w:wAfter w:w="4" w:type="pct"/>
          <w:trHeight w:val="2078"/>
          <w:tblHeader/>
        </w:trPr>
        <w:tc>
          <w:tcPr>
            <w:tcW w:w="859" w:type="pct"/>
            <w:vMerge/>
            <w:shd w:val="clear" w:color="auto" w:fill="auto"/>
          </w:tcPr>
          <w:p w14:paraId="558021A1" w14:textId="77777777" w:rsidR="00173475" w:rsidRPr="00380D60" w:rsidRDefault="00173475" w:rsidP="00173475">
            <w:pPr>
              <w:autoSpaceDE w:val="0"/>
              <w:autoSpaceDN w:val="0"/>
              <w:adjustRightInd w:val="0"/>
              <w:rPr>
                <w:rFonts w:ascii="Arial" w:hAnsi="Arial" w:cs="Arial"/>
                <w:b/>
                <w:bCs/>
                <w:color w:val="000000"/>
                <w:spacing w:val="0"/>
                <w:sz w:val="20"/>
                <w:lang w:val="es-ES"/>
              </w:rPr>
            </w:pPr>
          </w:p>
        </w:tc>
        <w:tc>
          <w:tcPr>
            <w:tcW w:w="1499" w:type="pct"/>
            <w:shd w:val="clear" w:color="auto" w:fill="auto"/>
          </w:tcPr>
          <w:p w14:paraId="66A8F937" w14:textId="77777777" w:rsidR="00173475" w:rsidRPr="00666FBA" w:rsidRDefault="00173475" w:rsidP="00173475">
            <w:pPr>
              <w:autoSpaceDE w:val="0"/>
              <w:autoSpaceDN w:val="0"/>
              <w:adjustRightInd w:val="0"/>
              <w:jc w:val="both"/>
              <w:rPr>
                <w:rFonts w:ascii="Arial" w:hAnsi="Arial" w:cs="Arial"/>
                <w:color w:val="000000" w:themeColor="text1"/>
                <w:sz w:val="20"/>
              </w:rPr>
            </w:pPr>
            <w:r w:rsidRPr="00666FBA">
              <w:rPr>
                <w:rFonts w:ascii="Arial" w:hAnsi="Arial" w:cs="Arial"/>
                <w:color w:val="000000" w:themeColor="text1"/>
                <w:sz w:val="20"/>
              </w:rPr>
              <w:t>Estudio de penetración aceptable de las energías renovables no convencionales en el Sistema Eléctrico Nacional Interconectado (SENI), elaborado</w:t>
            </w:r>
          </w:p>
          <w:p w14:paraId="7B6D90A3" w14:textId="77777777" w:rsidR="00173475" w:rsidRPr="00666FBA" w:rsidRDefault="00173475" w:rsidP="00173475">
            <w:pPr>
              <w:autoSpaceDE w:val="0"/>
              <w:autoSpaceDN w:val="0"/>
              <w:adjustRightInd w:val="0"/>
              <w:jc w:val="both"/>
              <w:rPr>
                <w:rFonts w:ascii="Arial" w:hAnsi="Arial" w:cs="Arial"/>
                <w:color w:val="000000" w:themeColor="text1"/>
                <w:sz w:val="20"/>
              </w:rPr>
            </w:pPr>
          </w:p>
          <w:p w14:paraId="3552BF5E" w14:textId="77777777" w:rsidR="00173475" w:rsidRPr="00666FBA" w:rsidRDefault="00173475" w:rsidP="00173475">
            <w:pPr>
              <w:autoSpaceDE w:val="0"/>
              <w:autoSpaceDN w:val="0"/>
              <w:adjustRightInd w:val="0"/>
              <w:jc w:val="both"/>
              <w:rPr>
                <w:rFonts w:ascii="Arial" w:hAnsi="Arial" w:cs="Arial"/>
                <w:color w:val="000000" w:themeColor="text1"/>
                <w:sz w:val="20"/>
              </w:rPr>
            </w:pPr>
            <w:r w:rsidRPr="00666FBA">
              <w:rPr>
                <w:rFonts w:ascii="Arial" w:hAnsi="Arial" w:cs="Arial"/>
                <w:color w:val="000000" w:themeColor="text1"/>
                <w:sz w:val="20"/>
              </w:rPr>
              <w:t>Estudio para la determinación del Valor Agregado de Transmisión (VAT) elaborado</w:t>
            </w:r>
          </w:p>
          <w:p w14:paraId="42844041" w14:textId="77777777" w:rsidR="00173475" w:rsidRPr="00666FBA" w:rsidRDefault="00173475" w:rsidP="00173475">
            <w:pPr>
              <w:autoSpaceDE w:val="0"/>
              <w:autoSpaceDN w:val="0"/>
              <w:adjustRightInd w:val="0"/>
              <w:jc w:val="both"/>
              <w:rPr>
                <w:rFonts w:ascii="Arial" w:hAnsi="Arial" w:cs="Arial"/>
                <w:color w:val="000000" w:themeColor="text1"/>
                <w:sz w:val="20"/>
              </w:rPr>
            </w:pPr>
          </w:p>
          <w:p w14:paraId="66A1E5E9" w14:textId="77777777" w:rsidR="00173475" w:rsidRPr="00666FBA" w:rsidRDefault="00173475" w:rsidP="00173475">
            <w:pPr>
              <w:autoSpaceDE w:val="0"/>
              <w:autoSpaceDN w:val="0"/>
              <w:adjustRightInd w:val="0"/>
              <w:jc w:val="both"/>
              <w:rPr>
                <w:rFonts w:ascii="Arial" w:hAnsi="Arial" w:cs="Arial"/>
                <w:color w:val="000000" w:themeColor="text1"/>
                <w:sz w:val="20"/>
              </w:rPr>
            </w:pPr>
            <w:r w:rsidRPr="00666FBA">
              <w:rPr>
                <w:rFonts w:ascii="Arial" w:hAnsi="Arial" w:cs="Arial"/>
                <w:color w:val="000000" w:themeColor="text1"/>
                <w:sz w:val="20"/>
              </w:rPr>
              <w:t>Estudio para la elaboración del plan maestro para la expansión del sistema de distribución, elaborado</w:t>
            </w:r>
          </w:p>
          <w:p w14:paraId="2F96F215" w14:textId="77777777" w:rsidR="00173475" w:rsidRPr="00666FBA" w:rsidRDefault="00173475" w:rsidP="00173475">
            <w:pPr>
              <w:autoSpaceDE w:val="0"/>
              <w:autoSpaceDN w:val="0"/>
              <w:adjustRightInd w:val="0"/>
              <w:ind w:left="-3"/>
              <w:rPr>
                <w:rFonts w:ascii="Arial" w:hAnsi="Arial" w:cs="Arial"/>
                <w:color w:val="000000" w:themeColor="text1"/>
                <w:sz w:val="20"/>
              </w:rPr>
            </w:pPr>
          </w:p>
        </w:tc>
        <w:tc>
          <w:tcPr>
            <w:tcW w:w="592" w:type="pct"/>
          </w:tcPr>
          <w:p w14:paraId="4CD1EC3D" w14:textId="6D0E4CB8"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 de reportes</w:t>
            </w:r>
          </w:p>
        </w:tc>
        <w:tc>
          <w:tcPr>
            <w:tcW w:w="344" w:type="pct"/>
          </w:tcPr>
          <w:p w14:paraId="2C60CD7B" w14:textId="6F453181"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18B7C20D" w14:textId="4C892390"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290" w:type="pct"/>
          </w:tcPr>
          <w:p w14:paraId="479873EA" w14:textId="0A450148" w:rsidR="00173475" w:rsidRDefault="000E6516" w:rsidP="000E6516">
            <w:pPr>
              <w:autoSpaceDE w:val="0"/>
              <w:autoSpaceDN w:val="0"/>
              <w:adjustRightInd w:val="0"/>
              <w:jc w:val="center"/>
              <w:rPr>
                <w:rFonts w:ascii="Arial" w:hAnsi="Arial" w:cs="Arial"/>
                <w:color w:val="000000" w:themeColor="text1"/>
                <w:sz w:val="20"/>
              </w:rPr>
            </w:pPr>
            <w:r>
              <w:rPr>
                <w:rFonts w:ascii="Arial" w:hAnsi="Arial" w:cs="Arial"/>
                <w:color w:val="000000" w:themeColor="text1"/>
                <w:sz w:val="20"/>
              </w:rPr>
              <w:t>3</w:t>
            </w:r>
          </w:p>
        </w:tc>
        <w:tc>
          <w:tcPr>
            <w:tcW w:w="1101" w:type="pct"/>
            <w:shd w:val="clear" w:color="auto" w:fill="auto"/>
          </w:tcPr>
          <w:p w14:paraId="5C9C2272" w14:textId="1A659F2E" w:rsidR="00173475" w:rsidRPr="00380D60" w:rsidRDefault="00173475" w:rsidP="00173475">
            <w:pPr>
              <w:autoSpaceDE w:val="0"/>
              <w:autoSpaceDN w:val="0"/>
              <w:adjustRightInd w:val="0"/>
              <w:rPr>
                <w:rFonts w:ascii="Arial" w:hAnsi="Arial" w:cs="Arial"/>
                <w:color w:val="000000" w:themeColor="text1"/>
                <w:sz w:val="20"/>
              </w:rPr>
            </w:pPr>
            <w:r>
              <w:rPr>
                <w:rFonts w:ascii="Arial" w:hAnsi="Arial" w:cs="Arial"/>
                <w:color w:val="000000" w:themeColor="text1"/>
                <w:sz w:val="20"/>
              </w:rPr>
              <w:t>Informe final de estudios.</w:t>
            </w:r>
          </w:p>
        </w:tc>
      </w:tr>
      <w:tr w:rsidR="00173475" w:rsidRPr="00826EFE" w14:paraId="16ECDD60" w14:textId="77777777" w:rsidTr="00B24727">
        <w:trPr>
          <w:gridAfter w:val="1"/>
          <w:wAfter w:w="4" w:type="pct"/>
          <w:trHeight w:val="1610"/>
          <w:tblHeader/>
        </w:trPr>
        <w:tc>
          <w:tcPr>
            <w:tcW w:w="859" w:type="pct"/>
            <w:vMerge/>
            <w:shd w:val="clear" w:color="auto" w:fill="auto"/>
          </w:tcPr>
          <w:p w14:paraId="516D61A1" w14:textId="77777777" w:rsidR="00173475" w:rsidRPr="00380D60" w:rsidRDefault="00173475" w:rsidP="00173475">
            <w:pPr>
              <w:autoSpaceDE w:val="0"/>
              <w:autoSpaceDN w:val="0"/>
              <w:adjustRightInd w:val="0"/>
              <w:rPr>
                <w:rFonts w:ascii="Arial" w:hAnsi="Arial" w:cs="Arial"/>
                <w:b/>
                <w:bCs/>
                <w:color w:val="000000"/>
                <w:spacing w:val="0"/>
                <w:sz w:val="20"/>
                <w:lang w:val="es-ES"/>
              </w:rPr>
            </w:pPr>
          </w:p>
        </w:tc>
        <w:tc>
          <w:tcPr>
            <w:tcW w:w="1499" w:type="pct"/>
            <w:shd w:val="clear" w:color="auto" w:fill="auto"/>
          </w:tcPr>
          <w:p w14:paraId="6C472BDC" w14:textId="4F3E1C6F" w:rsidR="00173475" w:rsidRPr="00666FBA" w:rsidRDefault="00173475" w:rsidP="00173475">
            <w:pPr>
              <w:pStyle w:val="ListParagraph"/>
              <w:ind w:left="0"/>
              <w:rPr>
                <w:rFonts w:ascii="Arial" w:hAnsi="Arial" w:cs="Arial"/>
                <w:color w:val="000000" w:themeColor="text1"/>
                <w:sz w:val="20"/>
              </w:rPr>
            </w:pPr>
            <w:r w:rsidRPr="00666FBA">
              <w:rPr>
                <w:rFonts w:ascii="Arial" w:hAnsi="Arial" w:cs="Arial"/>
                <w:color w:val="000000" w:themeColor="text1"/>
                <w:sz w:val="20"/>
              </w:rPr>
              <w:t>Informe de la SIE, como ente supervisor, con las evidencias de que las licitaciones realizadas para la contratación de energía se realizaron conforme la normativa vigente.</w:t>
            </w:r>
          </w:p>
        </w:tc>
        <w:tc>
          <w:tcPr>
            <w:tcW w:w="592" w:type="pct"/>
          </w:tcPr>
          <w:p w14:paraId="016A96FA" w14:textId="755DE554"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Publicación</w:t>
            </w:r>
          </w:p>
        </w:tc>
        <w:tc>
          <w:tcPr>
            <w:tcW w:w="344" w:type="pct"/>
          </w:tcPr>
          <w:p w14:paraId="712EB8A1" w14:textId="44263556"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286DE117" w14:textId="08D8FEE9"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290" w:type="pct"/>
          </w:tcPr>
          <w:p w14:paraId="275B157B" w14:textId="144EE81F" w:rsidR="00173475" w:rsidRDefault="000E6516" w:rsidP="000E6516">
            <w:pPr>
              <w:autoSpaceDE w:val="0"/>
              <w:autoSpaceDN w:val="0"/>
              <w:adjustRightInd w:val="0"/>
              <w:jc w:val="center"/>
              <w:rPr>
                <w:rFonts w:ascii="Arial" w:hAnsi="Arial" w:cs="Arial"/>
                <w:color w:val="000000" w:themeColor="text1"/>
                <w:sz w:val="20"/>
              </w:rPr>
            </w:pPr>
            <w:r>
              <w:rPr>
                <w:rFonts w:ascii="Arial" w:hAnsi="Arial" w:cs="Arial"/>
                <w:color w:val="000000" w:themeColor="text1"/>
                <w:sz w:val="20"/>
              </w:rPr>
              <w:t>1</w:t>
            </w:r>
          </w:p>
        </w:tc>
        <w:tc>
          <w:tcPr>
            <w:tcW w:w="1101" w:type="pct"/>
            <w:shd w:val="clear" w:color="auto" w:fill="auto"/>
          </w:tcPr>
          <w:p w14:paraId="1A610440" w14:textId="3EA3A76F" w:rsidR="00173475" w:rsidRPr="00380D60" w:rsidRDefault="00173475" w:rsidP="00173475">
            <w:pPr>
              <w:autoSpaceDE w:val="0"/>
              <w:autoSpaceDN w:val="0"/>
              <w:adjustRightInd w:val="0"/>
              <w:rPr>
                <w:rFonts w:ascii="Arial" w:hAnsi="Arial" w:cs="Arial"/>
                <w:color w:val="000000" w:themeColor="text1"/>
                <w:sz w:val="20"/>
              </w:rPr>
            </w:pPr>
            <w:r>
              <w:rPr>
                <w:rFonts w:ascii="Arial" w:hAnsi="Arial" w:cs="Arial"/>
                <w:color w:val="000000" w:themeColor="text1"/>
                <w:sz w:val="20"/>
              </w:rPr>
              <w:t>Comunicación de la SIE.</w:t>
            </w:r>
          </w:p>
        </w:tc>
      </w:tr>
      <w:tr w:rsidR="00173475" w:rsidRPr="00AE2707" w14:paraId="0B4C0B2B" w14:textId="77777777" w:rsidTr="00B24727">
        <w:trPr>
          <w:gridAfter w:val="1"/>
          <w:wAfter w:w="4" w:type="pct"/>
          <w:tblHeader/>
        </w:trPr>
        <w:tc>
          <w:tcPr>
            <w:tcW w:w="859" w:type="pct"/>
            <w:vMerge w:val="restart"/>
            <w:shd w:val="clear" w:color="auto" w:fill="auto"/>
          </w:tcPr>
          <w:p w14:paraId="2EC62177" w14:textId="6F1EF615" w:rsidR="00173475" w:rsidRPr="00380D60" w:rsidRDefault="00173475" w:rsidP="00173475">
            <w:pPr>
              <w:autoSpaceDE w:val="0"/>
              <w:autoSpaceDN w:val="0"/>
              <w:adjustRightInd w:val="0"/>
              <w:rPr>
                <w:rFonts w:ascii="Arial" w:hAnsi="Arial" w:cs="Arial"/>
                <w:bCs/>
                <w:color w:val="000000"/>
                <w:spacing w:val="0"/>
                <w:sz w:val="20"/>
                <w:lang w:val="es-ES"/>
              </w:rPr>
            </w:pPr>
            <w:r>
              <w:rPr>
                <w:rFonts w:ascii="Arial" w:hAnsi="Arial" w:cs="Arial"/>
                <w:b/>
                <w:bCs/>
                <w:color w:val="000000"/>
                <w:spacing w:val="0"/>
                <w:sz w:val="20"/>
                <w:lang w:val="es-ES"/>
              </w:rPr>
              <w:t>2</w:t>
            </w:r>
            <w:r w:rsidRPr="00380D60">
              <w:rPr>
                <w:rFonts w:ascii="Arial" w:hAnsi="Arial" w:cs="Arial"/>
                <w:b/>
                <w:bCs/>
                <w:color w:val="000000"/>
                <w:spacing w:val="0"/>
                <w:sz w:val="20"/>
                <w:lang w:val="es-ES"/>
              </w:rPr>
              <w:t>.2 Incrementar eficiencia en la gestión de la demanda de energía eléctrica.</w:t>
            </w:r>
          </w:p>
        </w:tc>
        <w:tc>
          <w:tcPr>
            <w:tcW w:w="1499" w:type="pct"/>
            <w:shd w:val="clear" w:color="auto" w:fill="auto"/>
          </w:tcPr>
          <w:p w14:paraId="13DEDA59" w14:textId="54278F9F" w:rsidR="00173475" w:rsidRPr="006F594C" w:rsidRDefault="00173475" w:rsidP="00173475">
            <w:pPr>
              <w:pStyle w:val="ListParagraph"/>
              <w:ind w:left="0"/>
              <w:rPr>
                <w:rFonts w:ascii="Arial" w:hAnsi="Arial" w:cs="Arial"/>
                <w:color w:val="000000" w:themeColor="text1"/>
                <w:sz w:val="20"/>
              </w:rPr>
            </w:pPr>
            <w:r w:rsidRPr="006F594C">
              <w:rPr>
                <w:rFonts w:ascii="Arial" w:hAnsi="Arial" w:cs="Arial"/>
                <w:color w:val="000000" w:themeColor="text1"/>
                <w:sz w:val="20"/>
              </w:rPr>
              <w:t>Informe de iniciativas de EE en el MEM, incluyendo en detalle los recursos humanos necesarios para el</w:t>
            </w:r>
            <w:r w:rsidRPr="006F594C">
              <w:rPr>
                <w:rFonts w:ascii="Arial" w:hAnsi="Arial" w:cs="Arial"/>
                <w:sz w:val="20"/>
                <w:lang w:val="es-ES"/>
              </w:rPr>
              <w:t xml:space="preserve"> </w:t>
            </w:r>
            <w:r w:rsidRPr="006F594C">
              <w:rPr>
                <w:rFonts w:ascii="Arial" w:hAnsi="Arial" w:cs="Arial"/>
                <w:color w:val="000000" w:themeColor="text1"/>
                <w:sz w:val="20"/>
              </w:rPr>
              <w:t>desarrollo de programas de EE</w:t>
            </w:r>
            <w:r>
              <w:rPr>
                <w:rFonts w:ascii="Arial" w:hAnsi="Arial" w:cs="Arial"/>
                <w:color w:val="000000" w:themeColor="text1"/>
                <w:sz w:val="20"/>
              </w:rPr>
              <w:t>.</w:t>
            </w:r>
          </w:p>
          <w:p w14:paraId="01FE9A77" w14:textId="676B421A" w:rsidR="00173475" w:rsidRPr="006F594C" w:rsidRDefault="00173475" w:rsidP="00173475">
            <w:pPr>
              <w:autoSpaceDE w:val="0"/>
              <w:autoSpaceDN w:val="0"/>
              <w:adjustRightInd w:val="0"/>
              <w:rPr>
                <w:rFonts w:ascii="Arial" w:hAnsi="Arial" w:cs="Arial"/>
                <w:bCs/>
                <w:color w:val="000000"/>
                <w:spacing w:val="0"/>
                <w:sz w:val="20"/>
                <w:lang w:val="es-ES"/>
              </w:rPr>
            </w:pPr>
            <w:r w:rsidRPr="006F594C" w:rsidDel="000C56BC">
              <w:rPr>
                <w:rFonts w:ascii="Arial" w:hAnsi="Arial" w:cs="Arial"/>
                <w:color w:val="000000" w:themeColor="text1"/>
                <w:sz w:val="20"/>
              </w:rPr>
              <w:t xml:space="preserve"> </w:t>
            </w:r>
          </w:p>
        </w:tc>
        <w:tc>
          <w:tcPr>
            <w:tcW w:w="592" w:type="pct"/>
          </w:tcPr>
          <w:p w14:paraId="1F787E9B" w14:textId="0852AF9A"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Publicación</w:t>
            </w:r>
          </w:p>
        </w:tc>
        <w:tc>
          <w:tcPr>
            <w:tcW w:w="344" w:type="pct"/>
          </w:tcPr>
          <w:p w14:paraId="6C9DBCB3" w14:textId="6D45E193"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7A5D1F4D" w14:textId="698C5AF4"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290" w:type="pct"/>
          </w:tcPr>
          <w:p w14:paraId="69BCB0A7" w14:textId="322BB33F" w:rsidR="00173475" w:rsidRDefault="000E6516" w:rsidP="000E6516">
            <w:pPr>
              <w:autoSpaceDE w:val="0"/>
              <w:autoSpaceDN w:val="0"/>
              <w:adjustRightInd w:val="0"/>
              <w:jc w:val="center"/>
              <w:rPr>
                <w:rFonts w:ascii="Arial" w:hAnsi="Arial" w:cs="Arial"/>
                <w:color w:val="000000" w:themeColor="text1"/>
                <w:sz w:val="20"/>
                <w:lang w:val="es-ES"/>
              </w:rPr>
            </w:pPr>
            <w:r>
              <w:rPr>
                <w:rFonts w:ascii="Arial" w:hAnsi="Arial" w:cs="Arial"/>
                <w:color w:val="000000" w:themeColor="text1"/>
                <w:sz w:val="20"/>
                <w:lang w:val="es-ES"/>
              </w:rPr>
              <w:t>1</w:t>
            </w:r>
          </w:p>
        </w:tc>
        <w:tc>
          <w:tcPr>
            <w:tcW w:w="1101" w:type="pct"/>
            <w:shd w:val="clear" w:color="auto" w:fill="auto"/>
          </w:tcPr>
          <w:p w14:paraId="4ABD892B" w14:textId="6C53E673" w:rsidR="00173475" w:rsidRPr="00380D60" w:rsidRDefault="00173475" w:rsidP="00173475">
            <w:pPr>
              <w:autoSpaceDE w:val="0"/>
              <w:autoSpaceDN w:val="0"/>
              <w:adjustRightInd w:val="0"/>
              <w:jc w:val="both"/>
              <w:rPr>
                <w:rFonts w:ascii="Arial" w:hAnsi="Arial" w:cs="Arial"/>
                <w:color w:val="000000" w:themeColor="text1"/>
                <w:sz w:val="20"/>
                <w:lang w:val="es-ES"/>
              </w:rPr>
            </w:pPr>
            <w:r>
              <w:rPr>
                <w:rFonts w:ascii="Arial" w:hAnsi="Arial" w:cs="Arial"/>
                <w:color w:val="000000" w:themeColor="text1"/>
                <w:sz w:val="20"/>
                <w:lang w:val="es-ES"/>
              </w:rPr>
              <w:t>Informe del MEM.</w:t>
            </w:r>
          </w:p>
          <w:p w14:paraId="6186CBF9" w14:textId="77777777" w:rsidR="00173475" w:rsidRPr="00380D60" w:rsidRDefault="00173475" w:rsidP="00173475">
            <w:pPr>
              <w:autoSpaceDE w:val="0"/>
              <w:autoSpaceDN w:val="0"/>
              <w:adjustRightInd w:val="0"/>
              <w:rPr>
                <w:rFonts w:ascii="Arial" w:hAnsi="Arial" w:cs="Arial"/>
                <w:bCs/>
                <w:color w:val="000000"/>
                <w:spacing w:val="0"/>
                <w:sz w:val="20"/>
                <w:lang w:val="es-ES"/>
              </w:rPr>
            </w:pPr>
          </w:p>
        </w:tc>
      </w:tr>
      <w:tr w:rsidR="00173475" w:rsidRPr="00AE2707" w14:paraId="3B960E7A" w14:textId="77777777" w:rsidTr="00B24727">
        <w:trPr>
          <w:gridAfter w:val="1"/>
          <w:wAfter w:w="4" w:type="pct"/>
          <w:tblHeader/>
        </w:trPr>
        <w:tc>
          <w:tcPr>
            <w:tcW w:w="859" w:type="pct"/>
            <w:vMerge/>
            <w:shd w:val="clear" w:color="auto" w:fill="auto"/>
          </w:tcPr>
          <w:p w14:paraId="5675CCCC" w14:textId="77777777" w:rsidR="00173475" w:rsidRDefault="00173475" w:rsidP="00173475">
            <w:pPr>
              <w:autoSpaceDE w:val="0"/>
              <w:autoSpaceDN w:val="0"/>
              <w:adjustRightInd w:val="0"/>
              <w:rPr>
                <w:rFonts w:ascii="Arial" w:hAnsi="Arial" w:cs="Arial"/>
                <w:b/>
                <w:color w:val="000000"/>
                <w:spacing w:val="0"/>
                <w:sz w:val="20"/>
                <w:lang w:val="es-ES"/>
              </w:rPr>
            </w:pPr>
          </w:p>
        </w:tc>
        <w:tc>
          <w:tcPr>
            <w:tcW w:w="1499" w:type="pct"/>
            <w:shd w:val="clear" w:color="auto" w:fill="auto"/>
          </w:tcPr>
          <w:p w14:paraId="18D3BB03" w14:textId="16C9BB6A" w:rsidR="00173475" w:rsidRPr="006F594C" w:rsidRDefault="00173475" w:rsidP="00173475">
            <w:pPr>
              <w:pStyle w:val="ListParagraph"/>
              <w:ind w:left="0"/>
              <w:rPr>
                <w:rFonts w:ascii="Arial" w:hAnsi="Arial" w:cs="Arial"/>
                <w:color w:val="000000" w:themeColor="text1"/>
                <w:sz w:val="20"/>
                <w:lang w:val="es-ES"/>
              </w:rPr>
            </w:pPr>
            <w:r w:rsidRPr="006F594C">
              <w:rPr>
                <w:rFonts w:ascii="Arial" w:eastAsia="Arial" w:hAnsi="Arial" w:cs="Arial"/>
                <w:color w:val="000000" w:themeColor="text1"/>
                <w:sz w:val="20"/>
                <w:lang w:val="es-ES"/>
              </w:rPr>
              <w:t>Documento de anteproyecto de ley conteniendo el marco legal para el desarrollo del Programa Nacional de Eficiencia Energética</w:t>
            </w:r>
            <w:r>
              <w:rPr>
                <w:rFonts w:ascii="Arial" w:eastAsia="Arial" w:hAnsi="Arial" w:cs="Arial"/>
                <w:color w:val="000000" w:themeColor="text1"/>
                <w:sz w:val="20"/>
                <w:lang w:val="es-ES"/>
              </w:rPr>
              <w:t>.</w:t>
            </w:r>
            <w:r w:rsidRPr="006F594C" w:rsidDel="000C56BC">
              <w:rPr>
                <w:rFonts w:ascii="Arial" w:hAnsi="Arial" w:cs="Arial"/>
                <w:color w:val="000000" w:themeColor="text1"/>
                <w:sz w:val="20"/>
                <w:lang w:val="es-ES"/>
              </w:rPr>
              <w:t xml:space="preserve"> </w:t>
            </w:r>
          </w:p>
          <w:p w14:paraId="003E810F" w14:textId="77777777" w:rsidR="00173475" w:rsidRPr="006F594C" w:rsidRDefault="00173475" w:rsidP="00173475">
            <w:pPr>
              <w:autoSpaceDE w:val="0"/>
              <w:autoSpaceDN w:val="0"/>
              <w:adjustRightInd w:val="0"/>
              <w:rPr>
                <w:rFonts w:ascii="Arial" w:hAnsi="Arial" w:cs="Arial"/>
                <w:bCs/>
                <w:color w:val="000000"/>
                <w:spacing w:val="0"/>
                <w:sz w:val="20"/>
                <w:lang w:val="es-ES"/>
              </w:rPr>
            </w:pPr>
          </w:p>
        </w:tc>
        <w:tc>
          <w:tcPr>
            <w:tcW w:w="592" w:type="pct"/>
          </w:tcPr>
          <w:p w14:paraId="78E9D2D8" w14:textId="0EA84E2A"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Publicación</w:t>
            </w:r>
          </w:p>
        </w:tc>
        <w:tc>
          <w:tcPr>
            <w:tcW w:w="344" w:type="pct"/>
          </w:tcPr>
          <w:p w14:paraId="3D4AA3BA" w14:textId="69CB6344"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7377F726" w14:textId="3AAC28E1"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290" w:type="pct"/>
          </w:tcPr>
          <w:p w14:paraId="3C7D82C6" w14:textId="51884463" w:rsidR="00173475" w:rsidRDefault="000E6516" w:rsidP="000E6516">
            <w:pPr>
              <w:autoSpaceDE w:val="0"/>
              <w:autoSpaceDN w:val="0"/>
              <w:adjustRightInd w:val="0"/>
              <w:jc w:val="center"/>
              <w:rPr>
                <w:rFonts w:ascii="Arial" w:hAnsi="Arial" w:cs="Arial"/>
                <w:bCs/>
                <w:color w:val="000000"/>
                <w:spacing w:val="0"/>
                <w:sz w:val="20"/>
                <w:lang w:val="es-ES"/>
              </w:rPr>
            </w:pPr>
            <w:r>
              <w:rPr>
                <w:rFonts w:ascii="Arial" w:hAnsi="Arial" w:cs="Arial"/>
                <w:bCs/>
                <w:color w:val="000000"/>
                <w:spacing w:val="0"/>
                <w:sz w:val="20"/>
                <w:lang w:val="es-ES"/>
              </w:rPr>
              <w:t>1</w:t>
            </w:r>
          </w:p>
        </w:tc>
        <w:tc>
          <w:tcPr>
            <w:tcW w:w="1101" w:type="pct"/>
            <w:shd w:val="clear" w:color="auto" w:fill="auto"/>
          </w:tcPr>
          <w:p w14:paraId="5C51722D" w14:textId="06D1DFA5" w:rsidR="00173475" w:rsidRPr="00380D60" w:rsidRDefault="00173475" w:rsidP="00173475">
            <w:pPr>
              <w:autoSpaceDE w:val="0"/>
              <w:autoSpaceDN w:val="0"/>
              <w:adjustRightInd w:val="0"/>
              <w:rPr>
                <w:rFonts w:ascii="Arial" w:hAnsi="Arial" w:cs="Arial"/>
                <w:bCs/>
                <w:color w:val="000000"/>
                <w:spacing w:val="0"/>
                <w:sz w:val="20"/>
                <w:lang w:val="es-ES"/>
              </w:rPr>
            </w:pPr>
            <w:r>
              <w:rPr>
                <w:rFonts w:ascii="Arial" w:hAnsi="Arial" w:cs="Arial"/>
                <w:bCs/>
                <w:color w:val="000000"/>
                <w:spacing w:val="0"/>
                <w:sz w:val="20"/>
                <w:lang w:val="es-ES"/>
              </w:rPr>
              <w:t>Web de la CIE.</w:t>
            </w:r>
          </w:p>
        </w:tc>
      </w:tr>
      <w:tr w:rsidR="00173475" w:rsidRPr="00AE2707" w14:paraId="17C33D75" w14:textId="77777777" w:rsidTr="00B24727">
        <w:trPr>
          <w:gridAfter w:val="1"/>
          <w:wAfter w:w="4" w:type="pct"/>
          <w:tblHeader/>
        </w:trPr>
        <w:tc>
          <w:tcPr>
            <w:tcW w:w="859" w:type="pct"/>
            <w:vMerge w:val="restart"/>
            <w:shd w:val="clear" w:color="auto" w:fill="auto"/>
          </w:tcPr>
          <w:p w14:paraId="0BD2A4CE" w14:textId="2B37474F" w:rsidR="00173475" w:rsidRPr="00380D60" w:rsidRDefault="00173475" w:rsidP="00173475">
            <w:pPr>
              <w:autoSpaceDE w:val="0"/>
              <w:autoSpaceDN w:val="0"/>
              <w:adjustRightInd w:val="0"/>
              <w:rPr>
                <w:rFonts w:ascii="Arial" w:hAnsi="Arial" w:cs="Arial"/>
                <w:b/>
                <w:color w:val="000000"/>
                <w:spacing w:val="0"/>
                <w:sz w:val="20"/>
                <w:lang w:val="es-ES"/>
              </w:rPr>
            </w:pPr>
            <w:r>
              <w:rPr>
                <w:rFonts w:ascii="Arial" w:hAnsi="Arial" w:cs="Arial"/>
                <w:b/>
                <w:color w:val="000000"/>
                <w:spacing w:val="0"/>
                <w:sz w:val="20"/>
                <w:lang w:val="es-ES"/>
              </w:rPr>
              <w:t>2</w:t>
            </w:r>
            <w:r w:rsidRPr="00380D60">
              <w:rPr>
                <w:rFonts w:ascii="Arial" w:hAnsi="Arial" w:cs="Arial"/>
                <w:b/>
                <w:color w:val="000000"/>
                <w:spacing w:val="0"/>
                <w:sz w:val="20"/>
                <w:lang w:val="es-ES"/>
              </w:rPr>
              <w:t>.3 Apoyar diseño e implementación de nuevo régimen tarifario eficiente, flexible y que favorezca la sostenibilidad del sector</w:t>
            </w:r>
          </w:p>
          <w:p w14:paraId="7F551FD3" w14:textId="77777777" w:rsidR="00173475" w:rsidRPr="00380D60" w:rsidRDefault="00173475" w:rsidP="00173475">
            <w:pPr>
              <w:autoSpaceDE w:val="0"/>
              <w:autoSpaceDN w:val="0"/>
              <w:adjustRightInd w:val="0"/>
              <w:rPr>
                <w:rFonts w:ascii="Arial" w:hAnsi="Arial" w:cs="Arial"/>
                <w:b/>
                <w:bCs/>
                <w:color w:val="000000"/>
                <w:spacing w:val="0"/>
                <w:sz w:val="20"/>
                <w:lang w:val="es-ES"/>
              </w:rPr>
            </w:pPr>
          </w:p>
        </w:tc>
        <w:tc>
          <w:tcPr>
            <w:tcW w:w="1499" w:type="pct"/>
            <w:shd w:val="clear" w:color="auto" w:fill="auto"/>
          </w:tcPr>
          <w:p w14:paraId="7FCFC6B4" w14:textId="77777777" w:rsidR="00173475" w:rsidRDefault="00173475" w:rsidP="00173475">
            <w:pPr>
              <w:autoSpaceDE w:val="0"/>
              <w:autoSpaceDN w:val="0"/>
              <w:adjustRightInd w:val="0"/>
              <w:rPr>
                <w:rFonts w:ascii="Arial" w:hAnsi="Arial" w:cs="Arial"/>
                <w:color w:val="000000" w:themeColor="text1"/>
                <w:sz w:val="20"/>
                <w:lang w:val="es-ES" w:eastAsia="es-CO"/>
              </w:rPr>
            </w:pPr>
            <w:r w:rsidRPr="00DC7619">
              <w:rPr>
                <w:rFonts w:ascii="Arial" w:hAnsi="Arial" w:cs="Arial"/>
                <w:color w:val="000000" w:themeColor="text1"/>
                <w:sz w:val="20"/>
                <w:lang w:val="es-ES" w:eastAsia="es-CO"/>
              </w:rPr>
              <w:t>Resolución de la SIE con la fijación de la tarifa de referencia</w:t>
            </w:r>
            <w:r>
              <w:rPr>
                <w:rFonts w:ascii="Arial" w:hAnsi="Arial" w:cs="Arial"/>
                <w:color w:val="000000" w:themeColor="text1"/>
                <w:sz w:val="20"/>
                <w:lang w:val="es-ES" w:eastAsia="es-CO"/>
              </w:rPr>
              <w:t xml:space="preserve"> aprobada</w:t>
            </w:r>
          </w:p>
          <w:p w14:paraId="7FB2CC1F" w14:textId="79FD270B" w:rsidR="00173475" w:rsidRPr="00380D60" w:rsidDel="00C01B28" w:rsidRDefault="00173475" w:rsidP="00173475">
            <w:pPr>
              <w:autoSpaceDE w:val="0"/>
              <w:autoSpaceDN w:val="0"/>
              <w:adjustRightInd w:val="0"/>
              <w:rPr>
                <w:rFonts w:ascii="Arial" w:hAnsi="Arial" w:cs="Arial"/>
                <w:bCs/>
                <w:color w:val="000000"/>
                <w:spacing w:val="0"/>
                <w:sz w:val="20"/>
                <w:lang w:val="es-ES"/>
              </w:rPr>
            </w:pPr>
            <w:r w:rsidRPr="00380D60">
              <w:rPr>
                <w:rFonts w:ascii="Arial" w:hAnsi="Arial" w:cs="Arial"/>
                <w:bCs/>
                <w:color w:val="000000"/>
                <w:spacing w:val="0"/>
                <w:sz w:val="20"/>
                <w:lang w:val="es-ES"/>
              </w:rPr>
              <w:t xml:space="preserve"> </w:t>
            </w:r>
          </w:p>
        </w:tc>
        <w:tc>
          <w:tcPr>
            <w:tcW w:w="592" w:type="pct"/>
          </w:tcPr>
          <w:p w14:paraId="640CA5E3" w14:textId="77777777" w:rsidR="00173475"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Publicación</w:t>
            </w:r>
          </w:p>
          <w:p w14:paraId="094DC5D0" w14:textId="6FA690C4" w:rsidR="00173475" w:rsidRPr="00380D60" w:rsidRDefault="00173475" w:rsidP="00173475">
            <w:pPr>
              <w:autoSpaceDE w:val="0"/>
              <w:autoSpaceDN w:val="0"/>
              <w:adjustRightInd w:val="0"/>
              <w:jc w:val="center"/>
              <w:rPr>
                <w:rFonts w:ascii="Arial" w:hAnsi="Arial" w:cs="Arial"/>
                <w:color w:val="000000"/>
                <w:spacing w:val="0"/>
                <w:sz w:val="20"/>
                <w:lang w:val="es-ES"/>
              </w:rPr>
            </w:pPr>
          </w:p>
        </w:tc>
        <w:tc>
          <w:tcPr>
            <w:tcW w:w="344" w:type="pct"/>
          </w:tcPr>
          <w:p w14:paraId="03521EE2" w14:textId="77777777" w:rsidR="00173475"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p w14:paraId="07AA7C7B" w14:textId="72F3856A" w:rsidR="00173475" w:rsidRPr="00380D60" w:rsidRDefault="00173475" w:rsidP="00173475">
            <w:pPr>
              <w:autoSpaceDE w:val="0"/>
              <w:autoSpaceDN w:val="0"/>
              <w:adjustRightInd w:val="0"/>
              <w:jc w:val="center"/>
              <w:rPr>
                <w:rFonts w:ascii="Arial" w:hAnsi="Arial" w:cs="Arial"/>
                <w:color w:val="000000"/>
                <w:spacing w:val="0"/>
                <w:sz w:val="20"/>
                <w:lang w:val="es-ES"/>
              </w:rPr>
            </w:pPr>
          </w:p>
        </w:tc>
        <w:tc>
          <w:tcPr>
            <w:tcW w:w="311" w:type="pct"/>
          </w:tcPr>
          <w:p w14:paraId="1F97D6AD" w14:textId="77777777" w:rsidR="00173475"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p w14:paraId="32762BD6" w14:textId="03E2670B" w:rsidR="00173475" w:rsidRPr="00380D60" w:rsidRDefault="00173475" w:rsidP="00173475">
            <w:pPr>
              <w:autoSpaceDE w:val="0"/>
              <w:autoSpaceDN w:val="0"/>
              <w:adjustRightInd w:val="0"/>
              <w:jc w:val="center"/>
              <w:rPr>
                <w:rFonts w:ascii="Arial" w:hAnsi="Arial" w:cs="Arial"/>
                <w:color w:val="000000"/>
                <w:spacing w:val="0"/>
                <w:sz w:val="20"/>
                <w:lang w:val="es-ES"/>
              </w:rPr>
            </w:pPr>
          </w:p>
        </w:tc>
        <w:tc>
          <w:tcPr>
            <w:tcW w:w="290" w:type="pct"/>
          </w:tcPr>
          <w:p w14:paraId="70892718" w14:textId="73B47542" w:rsidR="00173475" w:rsidRDefault="000E6516" w:rsidP="000E6516">
            <w:pPr>
              <w:autoSpaceDE w:val="0"/>
              <w:autoSpaceDN w:val="0"/>
              <w:adjustRightInd w:val="0"/>
              <w:jc w:val="center"/>
              <w:rPr>
                <w:rFonts w:ascii="Arial" w:hAnsi="Arial" w:cs="Arial"/>
                <w:bCs/>
                <w:color w:val="000000"/>
                <w:spacing w:val="0"/>
                <w:sz w:val="20"/>
                <w:lang w:val="es-ES"/>
              </w:rPr>
            </w:pPr>
            <w:r>
              <w:rPr>
                <w:rFonts w:ascii="Arial" w:hAnsi="Arial" w:cs="Arial"/>
                <w:bCs/>
                <w:color w:val="000000"/>
                <w:spacing w:val="0"/>
                <w:sz w:val="20"/>
                <w:lang w:val="es-ES"/>
              </w:rPr>
              <w:t>1</w:t>
            </w:r>
          </w:p>
        </w:tc>
        <w:tc>
          <w:tcPr>
            <w:tcW w:w="1101" w:type="pct"/>
            <w:shd w:val="clear" w:color="auto" w:fill="auto"/>
          </w:tcPr>
          <w:p w14:paraId="7A7C9092" w14:textId="360ECADC" w:rsidR="00173475" w:rsidRPr="00380D60" w:rsidRDefault="00173475" w:rsidP="00173475">
            <w:pPr>
              <w:autoSpaceDE w:val="0"/>
              <w:autoSpaceDN w:val="0"/>
              <w:adjustRightInd w:val="0"/>
              <w:rPr>
                <w:rFonts w:ascii="Arial" w:hAnsi="Arial" w:cs="Arial"/>
                <w:bCs/>
                <w:color w:val="000000"/>
                <w:spacing w:val="0"/>
                <w:sz w:val="20"/>
                <w:lang w:val="es-ES"/>
              </w:rPr>
            </w:pPr>
            <w:proofErr w:type="spellStart"/>
            <w:r>
              <w:rPr>
                <w:rFonts w:ascii="Arial" w:hAnsi="Arial" w:cs="Arial"/>
                <w:bCs/>
                <w:color w:val="000000"/>
                <w:spacing w:val="0"/>
                <w:sz w:val="20"/>
                <w:lang w:val="es-ES"/>
              </w:rPr>
              <w:t>Resolucion</w:t>
            </w:r>
            <w:proofErr w:type="spellEnd"/>
            <w:r>
              <w:rPr>
                <w:rFonts w:ascii="Arial" w:hAnsi="Arial" w:cs="Arial"/>
                <w:bCs/>
                <w:color w:val="000000"/>
                <w:spacing w:val="0"/>
                <w:sz w:val="20"/>
                <w:lang w:val="es-ES"/>
              </w:rPr>
              <w:t xml:space="preserve"> de la CIE.</w:t>
            </w:r>
          </w:p>
        </w:tc>
      </w:tr>
      <w:tr w:rsidR="00173475" w:rsidRPr="00AE2707" w14:paraId="4B24D5F3" w14:textId="77777777" w:rsidTr="00B24727">
        <w:trPr>
          <w:gridAfter w:val="1"/>
          <w:wAfter w:w="4" w:type="pct"/>
          <w:tblHeader/>
        </w:trPr>
        <w:tc>
          <w:tcPr>
            <w:tcW w:w="859" w:type="pct"/>
            <w:vMerge/>
            <w:shd w:val="clear" w:color="auto" w:fill="auto"/>
          </w:tcPr>
          <w:p w14:paraId="29B1BD68" w14:textId="77777777" w:rsidR="00173475" w:rsidRPr="00380D60" w:rsidRDefault="00173475" w:rsidP="00173475">
            <w:pPr>
              <w:autoSpaceDE w:val="0"/>
              <w:autoSpaceDN w:val="0"/>
              <w:adjustRightInd w:val="0"/>
              <w:rPr>
                <w:rFonts w:ascii="Arial" w:hAnsi="Arial" w:cs="Arial"/>
                <w:b/>
                <w:color w:val="000000"/>
                <w:spacing w:val="0"/>
                <w:sz w:val="20"/>
                <w:lang w:val="es-ES"/>
              </w:rPr>
            </w:pPr>
          </w:p>
        </w:tc>
        <w:tc>
          <w:tcPr>
            <w:tcW w:w="1499" w:type="pct"/>
            <w:shd w:val="clear" w:color="auto" w:fill="auto"/>
          </w:tcPr>
          <w:p w14:paraId="22BC0CB5" w14:textId="4E56592B" w:rsidR="00173475" w:rsidRPr="00380D60" w:rsidRDefault="00173475" w:rsidP="00173475">
            <w:pPr>
              <w:autoSpaceDE w:val="0"/>
              <w:autoSpaceDN w:val="0"/>
              <w:adjustRightInd w:val="0"/>
              <w:rPr>
                <w:rFonts w:ascii="Arial" w:hAnsi="Arial" w:cs="Arial"/>
                <w:bCs/>
                <w:color w:val="000000"/>
                <w:spacing w:val="0"/>
                <w:sz w:val="20"/>
                <w:lang w:val="es-ES"/>
              </w:rPr>
            </w:pPr>
            <w:r>
              <w:rPr>
                <w:rFonts w:ascii="Arial" w:hAnsi="Arial" w:cs="Arial"/>
                <w:color w:val="000000" w:themeColor="text1"/>
                <w:sz w:val="20"/>
                <w:lang w:val="es-ES" w:eastAsia="es-CO"/>
              </w:rPr>
              <w:t xml:space="preserve">Reporte público sobre </w:t>
            </w:r>
            <w:r w:rsidRPr="00FC0236">
              <w:rPr>
                <w:rFonts w:ascii="Arial" w:hAnsi="Arial" w:cs="Arial"/>
                <w:color w:val="000000" w:themeColor="text1"/>
                <w:sz w:val="20"/>
                <w:lang w:val="es-ES" w:eastAsia="es-CO"/>
              </w:rPr>
              <w:t xml:space="preserve">cálculo del subsidio implícito por nivel </w:t>
            </w:r>
            <w:r>
              <w:rPr>
                <w:rFonts w:ascii="Arial" w:hAnsi="Arial" w:cs="Arial"/>
                <w:color w:val="000000" w:themeColor="text1"/>
                <w:sz w:val="20"/>
                <w:lang w:val="es-ES" w:eastAsia="es-CO"/>
              </w:rPr>
              <w:t>de tarifa eléctrica publicado</w:t>
            </w:r>
            <w:r w:rsidRPr="00380D60">
              <w:rPr>
                <w:rFonts w:ascii="Arial" w:hAnsi="Arial" w:cs="Arial"/>
                <w:color w:val="000000" w:themeColor="text1"/>
                <w:sz w:val="20"/>
                <w:lang w:val="es-ES"/>
              </w:rPr>
              <w:t>.</w:t>
            </w:r>
          </w:p>
        </w:tc>
        <w:tc>
          <w:tcPr>
            <w:tcW w:w="592" w:type="pct"/>
          </w:tcPr>
          <w:p w14:paraId="23405200" w14:textId="6089E312"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Publicación</w:t>
            </w:r>
          </w:p>
        </w:tc>
        <w:tc>
          <w:tcPr>
            <w:tcW w:w="344" w:type="pct"/>
          </w:tcPr>
          <w:p w14:paraId="75968018" w14:textId="6AEB948D"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29BD1E78" w14:textId="6AAECD4C"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290" w:type="pct"/>
          </w:tcPr>
          <w:p w14:paraId="1DC64089" w14:textId="6D03695F" w:rsidR="00173475" w:rsidRDefault="000E6516" w:rsidP="000E6516">
            <w:pPr>
              <w:autoSpaceDE w:val="0"/>
              <w:autoSpaceDN w:val="0"/>
              <w:adjustRightInd w:val="0"/>
              <w:jc w:val="center"/>
              <w:rPr>
                <w:rFonts w:ascii="Arial" w:hAnsi="Arial" w:cs="Arial"/>
                <w:bCs/>
                <w:color w:val="000000"/>
                <w:spacing w:val="0"/>
                <w:sz w:val="20"/>
                <w:lang w:val="es-ES"/>
              </w:rPr>
            </w:pPr>
            <w:r>
              <w:rPr>
                <w:rFonts w:ascii="Arial" w:hAnsi="Arial" w:cs="Arial"/>
                <w:bCs/>
                <w:color w:val="000000"/>
                <w:spacing w:val="0"/>
                <w:sz w:val="20"/>
                <w:lang w:val="es-ES"/>
              </w:rPr>
              <w:t>1</w:t>
            </w:r>
          </w:p>
        </w:tc>
        <w:tc>
          <w:tcPr>
            <w:tcW w:w="1101" w:type="pct"/>
            <w:shd w:val="clear" w:color="auto" w:fill="auto"/>
          </w:tcPr>
          <w:p w14:paraId="57469DE9" w14:textId="58ADC75E" w:rsidR="00173475" w:rsidRPr="00380D60" w:rsidRDefault="00173475" w:rsidP="00173475">
            <w:pPr>
              <w:autoSpaceDE w:val="0"/>
              <w:autoSpaceDN w:val="0"/>
              <w:adjustRightInd w:val="0"/>
              <w:rPr>
                <w:rFonts w:ascii="Arial" w:hAnsi="Arial" w:cs="Arial"/>
                <w:bCs/>
                <w:color w:val="000000"/>
                <w:spacing w:val="0"/>
                <w:sz w:val="20"/>
                <w:lang w:val="es-ES"/>
              </w:rPr>
            </w:pPr>
            <w:r>
              <w:rPr>
                <w:rFonts w:ascii="Arial" w:hAnsi="Arial" w:cs="Arial"/>
                <w:bCs/>
                <w:color w:val="000000"/>
                <w:spacing w:val="0"/>
                <w:sz w:val="20"/>
                <w:lang w:val="es-ES"/>
              </w:rPr>
              <w:t>Web de la CIE.</w:t>
            </w:r>
          </w:p>
        </w:tc>
      </w:tr>
      <w:tr w:rsidR="009004B9" w:rsidRPr="00AE2707" w14:paraId="331C1484" w14:textId="77777777" w:rsidTr="009004B9">
        <w:trPr>
          <w:trHeight w:val="386"/>
          <w:tblHeader/>
        </w:trPr>
        <w:tc>
          <w:tcPr>
            <w:tcW w:w="5000" w:type="pct"/>
            <w:gridSpan w:val="8"/>
            <w:shd w:val="clear" w:color="auto" w:fill="D9D9D9" w:themeFill="background1" w:themeFillShade="D9"/>
          </w:tcPr>
          <w:p w14:paraId="0D81440B" w14:textId="59A68403" w:rsidR="009004B9" w:rsidRPr="00380D60" w:rsidRDefault="009004B9" w:rsidP="00173475">
            <w:pPr>
              <w:autoSpaceDE w:val="0"/>
              <w:autoSpaceDN w:val="0"/>
              <w:adjustRightInd w:val="0"/>
              <w:rPr>
                <w:rFonts w:ascii="Arial" w:hAnsi="Arial" w:cs="Arial"/>
                <w:bCs/>
                <w:color w:val="000000"/>
                <w:spacing w:val="0"/>
                <w:sz w:val="20"/>
                <w:lang w:val="es-ES"/>
              </w:rPr>
            </w:pPr>
            <w:bookmarkStart w:id="9" w:name="_GoBack" w:colFirst="0" w:colLast="0"/>
            <w:r>
              <w:rPr>
                <w:rFonts w:ascii="Arial" w:hAnsi="Arial" w:cs="Arial"/>
                <w:b/>
                <w:bCs/>
                <w:color w:val="000000"/>
                <w:spacing w:val="0"/>
                <w:sz w:val="20"/>
                <w:lang w:val="es-ES"/>
              </w:rPr>
              <w:t>3</w:t>
            </w:r>
            <w:r w:rsidRPr="00380D60">
              <w:rPr>
                <w:rFonts w:ascii="Arial" w:hAnsi="Arial" w:cs="Arial"/>
                <w:b/>
                <w:bCs/>
                <w:color w:val="000000"/>
                <w:spacing w:val="0"/>
                <w:sz w:val="20"/>
                <w:lang w:val="es-ES"/>
              </w:rPr>
              <w:t>. MEJORA GERENCIAL</w:t>
            </w:r>
            <w:r>
              <w:rPr>
                <w:rFonts w:ascii="Arial" w:hAnsi="Arial" w:cs="Arial"/>
                <w:b/>
                <w:bCs/>
                <w:color w:val="000000"/>
                <w:spacing w:val="0"/>
                <w:sz w:val="20"/>
                <w:lang w:val="es-ES"/>
              </w:rPr>
              <w:t xml:space="preserve"> Y</w:t>
            </w:r>
            <w:r w:rsidRPr="00380D60">
              <w:rPr>
                <w:rFonts w:ascii="Arial" w:hAnsi="Arial" w:cs="Arial"/>
                <w:b/>
                <w:bCs/>
                <w:color w:val="000000"/>
                <w:spacing w:val="0"/>
                <w:sz w:val="20"/>
                <w:lang w:val="es-ES"/>
              </w:rPr>
              <w:t xml:space="preserve"> OPERATIVA </w:t>
            </w:r>
            <w:r>
              <w:rPr>
                <w:rFonts w:ascii="Arial" w:hAnsi="Arial" w:cs="Arial"/>
                <w:b/>
                <w:bCs/>
                <w:color w:val="000000"/>
                <w:spacing w:val="0"/>
                <w:sz w:val="20"/>
                <w:lang w:val="es-ES"/>
              </w:rPr>
              <w:t>EL SECTOR ELECTRICO</w:t>
            </w:r>
          </w:p>
        </w:tc>
      </w:tr>
      <w:bookmarkEnd w:id="9"/>
      <w:tr w:rsidR="00173475" w:rsidRPr="00AE2707" w14:paraId="60A71E1A" w14:textId="77777777" w:rsidTr="00B24727">
        <w:trPr>
          <w:gridAfter w:val="1"/>
          <w:wAfter w:w="4" w:type="pct"/>
          <w:trHeight w:val="2243"/>
          <w:tblHeader/>
        </w:trPr>
        <w:tc>
          <w:tcPr>
            <w:tcW w:w="859" w:type="pct"/>
            <w:vMerge w:val="restart"/>
            <w:shd w:val="clear" w:color="auto" w:fill="auto"/>
          </w:tcPr>
          <w:p w14:paraId="574BE079" w14:textId="466172D5" w:rsidR="00173475" w:rsidRPr="00380D60" w:rsidRDefault="00173475" w:rsidP="00173475">
            <w:pPr>
              <w:autoSpaceDE w:val="0"/>
              <w:autoSpaceDN w:val="0"/>
              <w:adjustRightInd w:val="0"/>
              <w:rPr>
                <w:rFonts w:ascii="Arial" w:hAnsi="Arial" w:cs="Arial"/>
                <w:b/>
                <w:bCs/>
                <w:color w:val="000000"/>
                <w:spacing w:val="0"/>
                <w:sz w:val="20"/>
                <w:lang w:val="es-ES"/>
              </w:rPr>
            </w:pPr>
            <w:r>
              <w:rPr>
                <w:rFonts w:ascii="Arial" w:hAnsi="Arial" w:cs="Arial"/>
                <w:b/>
                <w:bCs/>
                <w:color w:val="000000"/>
                <w:spacing w:val="0"/>
                <w:sz w:val="20"/>
                <w:lang w:val="es-ES"/>
              </w:rPr>
              <w:t>3</w:t>
            </w:r>
            <w:r w:rsidRPr="00380D60">
              <w:rPr>
                <w:rFonts w:ascii="Arial" w:hAnsi="Arial" w:cs="Arial"/>
                <w:b/>
                <w:bCs/>
                <w:color w:val="000000"/>
                <w:spacing w:val="0"/>
                <w:sz w:val="20"/>
                <w:lang w:val="es-ES"/>
              </w:rPr>
              <w:t>.1 Mejorar eficiencia y sostenibilidad operativa y financiera en la distribución de energía eléctrica</w:t>
            </w:r>
          </w:p>
        </w:tc>
        <w:tc>
          <w:tcPr>
            <w:tcW w:w="1499" w:type="pct"/>
            <w:shd w:val="clear" w:color="auto" w:fill="auto"/>
          </w:tcPr>
          <w:p w14:paraId="14EF579A" w14:textId="6433B4F6" w:rsidR="00173475" w:rsidRPr="00380D60" w:rsidRDefault="00173475" w:rsidP="00173475">
            <w:pPr>
              <w:autoSpaceDE w:val="0"/>
              <w:autoSpaceDN w:val="0"/>
              <w:adjustRightInd w:val="0"/>
              <w:jc w:val="both"/>
              <w:rPr>
                <w:rFonts w:ascii="Arial" w:hAnsi="Arial" w:cs="Arial"/>
                <w:bCs/>
                <w:color w:val="000000" w:themeColor="text1"/>
                <w:sz w:val="20"/>
              </w:rPr>
            </w:pPr>
            <w:bookmarkStart w:id="10" w:name="_Hlk509131254"/>
            <w:r w:rsidRPr="00DC7619">
              <w:rPr>
                <w:rFonts w:ascii="Arial" w:hAnsi="Arial" w:cs="Arial"/>
                <w:bCs/>
                <w:color w:val="000000" w:themeColor="text1"/>
                <w:sz w:val="20"/>
              </w:rPr>
              <w:t>Plan de Mejora de Gestión y Plan de Reducción de Pérdidas 2017-2022</w:t>
            </w:r>
            <w:r>
              <w:rPr>
                <w:rFonts w:ascii="Arial" w:hAnsi="Arial" w:cs="Arial"/>
                <w:bCs/>
                <w:color w:val="000000" w:themeColor="text1"/>
                <w:sz w:val="20"/>
              </w:rPr>
              <w:t xml:space="preserve"> elaborado</w:t>
            </w:r>
            <w:r w:rsidRPr="00380D60">
              <w:rPr>
                <w:rFonts w:ascii="Arial" w:hAnsi="Arial" w:cs="Arial"/>
                <w:bCs/>
                <w:color w:val="000000" w:themeColor="text1"/>
                <w:sz w:val="20"/>
              </w:rPr>
              <w:t>.</w:t>
            </w:r>
            <w:bookmarkEnd w:id="10"/>
          </w:p>
        </w:tc>
        <w:tc>
          <w:tcPr>
            <w:tcW w:w="592" w:type="pct"/>
          </w:tcPr>
          <w:p w14:paraId="3D007A06" w14:textId="66F76492"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 de Documentos</w:t>
            </w:r>
          </w:p>
        </w:tc>
        <w:tc>
          <w:tcPr>
            <w:tcW w:w="344" w:type="pct"/>
          </w:tcPr>
          <w:p w14:paraId="5656122B" w14:textId="7947AC1F"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3F03DB3B" w14:textId="036AA4E2"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3</w:t>
            </w:r>
          </w:p>
        </w:tc>
        <w:tc>
          <w:tcPr>
            <w:tcW w:w="290" w:type="pct"/>
          </w:tcPr>
          <w:p w14:paraId="3184838E" w14:textId="36EE6037" w:rsidR="00173475" w:rsidRDefault="000E6516" w:rsidP="000E6516">
            <w:pPr>
              <w:autoSpaceDE w:val="0"/>
              <w:autoSpaceDN w:val="0"/>
              <w:adjustRightInd w:val="0"/>
              <w:jc w:val="center"/>
              <w:rPr>
                <w:rFonts w:ascii="Arial" w:hAnsi="Arial" w:cs="Arial"/>
                <w:bCs/>
                <w:color w:val="000000"/>
                <w:spacing w:val="0"/>
                <w:sz w:val="20"/>
                <w:lang w:val="es-ES"/>
              </w:rPr>
            </w:pPr>
            <w:r>
              <w:rPr>
                <w:rFonts w:ascii="Arial" w:hAnsi="Arial" w:cs="Arial"/>
                <w:bCs/>
                <w:color w:val="000000"/>
                <w:spacing w:val="0"/>
                <w:sz w:val="20"/>
                <w:lang w:val="es-ES"/>
              </w:rPr>
              <w:t>3</w:t>
            </w:r>
          </w:p>
        </w:tc>
        <w:tc>
          <w:tcPr>
            <w:tcW w:w="1101" w:type="pct"/>
            <w:shd w:val="clear" w:color="auto" w:fill="auto"/>
          </w:tcPr>
          <w:p w14:paraId="11FE3796" w14:textId="37B8398C" w:rsidR="00173475" w:rsidRPr="00380D60" w:rsidRDefault="00173475" w:rsidP="00173475">
            <w:pPr>
              <w:autoSpaceDE w:val="0"/>
              <w:autoSpaceDN w:val="0"/>
              <w:adjustRightInd w:val="0"/>
              <w:rPr>
                <w:rFonts w:ascii="Arial" w:hAnsi="Arial" w:cs="Arial"/>
                <w:bCs/>
                <w:color w:val="000000"/>
                <w:spacing w:val="0"/>
                <w:sz w:val="20"/>
                <w:lang w:val="es-ES"/>
              </w:rPr>
            </w:pPr>
            <w:r>
              <w:rPr>
                <w:rFonts w:ascii="Arial" w:hAnsi="Arial" w:cs="Arial"/>
                <w:bCs/>
                <w:color w:val="000000"/>
                <w:spacing w:val="0"/>
                <w:sz w:val="20"/>
                <w:lang w:val="es-ES"/>
              </w:rPr>
              <w:t>Web del MEM.</w:t>
            </w:r>
          </w:p>
        </w:tc>
      </w:tr>
      <w:tr w:rsidR="00173475" w:rsidRPr="00AE2707" w14:paraId="2A7BC885" w14:textId="77777777" w:rsidTr="00B24727">
        <w:trPr>
          <w:gridAfter w:val="1"/>
          <w:wAfter w:w="4" w:type="pct"/>
          <w:tblHeader/>
        </w:trPr>
        <w:tc>
          <w:tcPr>
            <w:tcW w:w="859" w:type="pct"/>
            <w:vMerge/>
            <w:shd w:val="clear" w:color="auto" w:fill="auto"/>
          </w:tcPr>
          <w:p w14:paraId="5940BB8D" w14:textId="77777777" w:rsidR="00173475" w:rsidRPr="00380D60" w:rsidRDefault="00173475" w:rsidP="00173475">
            <w:pPr>
              <w:autoSpaceDE w:val="0"/>
              <w:autoSpaceDN w:val="0"/>
              <w:adjustRightInd w:val="0"/>
              <w:rPr>
                <w:rFonts w:ascii="Arial" w:hAnsi="Arial" w:cs="Arial"/>
                <w:b/>
                <w:bCs/>
                <w:color w:val="000000"/>
                <w:spacing w:val="0"/>
                <w:sz w:val="20"/>
                <w:lang w:val="es-ES"/>
              </w:rPr>
            </w:pPr>
          </w:p>
        </w:tc>
        <w:tc>
          <w:tcPr>
            <w:tcW w:w="1499" w:type="pct"/>
            <w:shd w:val="clear" w:color="auto" w:fill="auto"/>
          </w:tcPr>
          <w:p w14:paraId="6F9A249F" w14:textId="621706FA" w:rsidR="00173475" w:rsidRPr="00380D60" w:rsidRDefault="00173475" w:rsidP="00173475">
            <w:pPr>
              <w:autoSpaceDE w:val="0"/>
              <w:autoSpaceDN w:val="0"/>
              <w:adjustRightInd w:val="0"/>
              <w:jc w:val="both"/>
              <w:rPr>
                <w:rFonts w:ascii="Arial" w:hAnsi="Arial" w:cs="Arial"/>
                <w:color w:val="000000" w:themeColor="text1"/>
                <w:sz w:val="20"/>
              </w:rPr>
            </w:pPr>
            <w:bookmarkStart w:id="11" w:name="_Hlk509131288"/>
            <w:r w:rsidRPr="00DC7619">
              <w:rPr>
                <w:rFonts w:ascii="Arial" w:hAnsi="Arial" w:cs="Arial"/>
                <w:bCs/>
                <w:color w:val="000000" w:themeColor="text1"/>
                <w:sz w:val="20"/>
              </w:rPr>
              <w:t>Normativa</w:t>
            </w:r>
            <w:r>
              <w:rPr>
                <w:rFonts w:ascii="Arial" w:hAnsi="Arial" w:cs="Arial"/>
                <w:bCs/>
                <w:color w:val="000000" w:themeColor="text1"/>
                <w:sz w:val="20"/>
              </w:rPr>
              <w:t xml:space="preserve"> con</w:t>
            </w:r>
            <w:r w:rsidRPr="00DC7619">
              <w:rPr>
                <w:rFonts w:ascii="Arial" w:hAnsi="Arial" w:cs="Arial"/>
                <w:bCs/>
                <w:color w:val="000000" w:themeColor="text1"/>
                <w:sz w:val="20"/>
              </w:rPr>
              <w:t xml:space="preserve"> </w:t>
            </w:r>
            <w:r>
              <w:rPr>
                <w:rFonts w:ascii="Arial" w:hAnsi="Arial" w:cs="Arial"/>
                <w:bCs/>
                <w:color w:val="000000" w:themeColor="text1"/>
                <w:sz w:val="20"/>
              </w:rPr>
              <w:t>sobre</w:t>
            </w:r>
            <w:r w:rsidRPr="00DC7619">
              <w:rPr>
                <w:rFonts w:ascii="Arial" w:hAnsi="Arial" w:cs="Arial"/>
                <w:bCs/>
                <w:color w:val="000000" w:themeColor="text1"/>
                <w:sz w:val="20"/>
              </w:rPr>
              <w:t xml:space="preserve"> los criterios y determinación de las instituciones gubernamentales no cortables</w:t>
            </w:r>
            <w:r>
              <w:rPr>
                <w:rFonts w:ascii="Arial" w:hAnsi="Arial" w:cs="Arial"/>
                <w:bCs/>
                <w:color w:val="000000" w:themeColor="text1"/>
                <w:sz w:val="20"/>
              </w:rPr>
              <w:t xml:space="preserve"> aprobada.</w:t>
            </w:r>
          </w:p>
          <w:bookmarkEnd w:id="11"/>
          <w:p w14:paraId="2367EFE8" w14:textId="77777777" w:rsidR="00173475" w:rsidRPr="00380D60" w:rsidRDefault="00173475" w:rsidP="00173475">
            <w:pPr>
              <w:autoSpaceDE w:val="0"/>
              <w:autoSpaceDN w:val="0"/>
              <w:adjustRightInd w:val="0"/>
              <w:jc w:val="both"/>
              <w:rPr>
                <w:rFonts w:ascii="Arial" w:hAnsi="Arial" w:cs="Arial"/>
                <w:bCs/>
                <w:color w:val="000000"/>
                <w:spacing w:val="0"/>
                <w:sz w:val="20"/>
                <w:lang w:val="es-ES"/>
              </w:rPr>
            </w:pPr>
          </w:p>
        </w:tc>
        <w:tc>
          <w:tcPr>
            <w:tcW w:w="592" w:type="pct"/>
          </w:tcPr>
          <w:p w14:paraId="656B6F65" w14:textId="429D34C5"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Publicación</w:t>
            </w:r>
          </w:p>
        </w:tc>
        <w:tc>
          <w:tcPr>
            <w:tcW w:w="344" w:type="pct"/>
          </w:tcPr>
          <w:p w14:paraId="659D66E8" w14:textId="2D443431"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6281BDBA" w14:textId="2C92F738"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290" w:type="pct"/>
          </w:tcPr>
          <w:p w14:paraId="798CE661" w14:textId="71EDFDD0" w:rsidR="00173475" w:rsidRDefault="000E6516" w:rsidP="000E6516">
            <w:pPr>
              <w:autoSpaceDE w:val="0"/>
              <w:autoSpaceDN w:val="0"/>
              <w:adjustRightInd w:val="0"/>
              <w:jc w:val="center"/>
              <w:rPr>
                <w:rFonts w:ascii="Arial" w:hAnsi="Arial" w:cs="Arial"/>
                <w:bCs/>
                <w:color w:val="000000"/>
                <w:spacing w:val="0"/>
                <w:sz w:val="20"/>
                <w:lang w:val="es-ES"/>
              </w:rPr>
            </w:pPr>
            <w:r>
              <w:rPr>
                <w:rFonts w:ascii="Arial" w:hAnsi="Arial" w:cs="Arial"/>
                <w:bCs/>
                <w:color w:val="000000"/>
                <w:spacing w:val="0"/>
                <w:sz w:val="20"/>
                <w:lang w:val="es-ES"/>
              </w:rPr>
              <w:t>1</w:t>
            </w:r>
          </w:p>
        </w:tc>
        <w:tc>
          <w:tcPr>
            <w:tcW w:w="1101" w:type="pct"/>
            <w:shd w:val="clear" w:color="auto" w:fill="auto"/>
          </w:tcPr>
          <w:p w14:paraId="2658748B" w14:textId="43B7B44E" w:rsidR="00173475" w:rsidRPr="00380D60" w:rsidRDefault="00173475" w:rsidP="00173475">
            <w:pPr>
              <w:autoSpaceDE w:val="0"/>
              <w:autoSpaceDN w:val="0"/>
              <w:adjustRightInd w:val="0"/>
              <w:rPr>
                <w:rFonts w:ascii="Arial" w:hAnsi="Arial" w:cs="Arial"/>
                <w:bCs/>
                <w:color w:val="000000"/>
                <w:spacing w:val="0"/>
                <w:sz w:val="20"/>
                <w:lang w:val="es-ES"/>
              </w:rPr>
            </w:pPr>
            <w:r>
              <w:rPr>
                <w:rFonts w:ascii="Arial" w:hAnsi="Arial" w:cs="Arial"/>
                <w:bCs/>
                <w:color w:val="000000"/>
                <w:spacing w:val="0"/>
                <w:sz w:val="20"/>
                <w:lang w:val="es-ES"/>
              </w:rPr>
              <w:t>Web del MEM.</w:t>
            </w:r>
          </w:p>
        </w:tc>
      </w:tr>
      <w:tr w:rsidR="00173475" w:rsidRPr="00AE2707" w14:paraId="0D6A1FE7" w14:textId="77777777" w:rsidTr="00B24727">
        <w:trPr>
          <w:gridAfter w:val="1"/>
          <w:wAfter w:w="4" w:type="pct"/>
          <w:trHeight w:val="260"/>
          <w:tblHeader/>
        </w:trPr>
        <w:tc>
          <w:tcPr>
            <w:tcW w:w="859" w:type="pct"/>
            <w:shd w:val="clear" w:color="auto" w:fill="auto"/>
          </w:tcPr>
          <w:p w14:paraId="063AB686" w14:textId="1380F8E8" w:rsidR="00173475" w:rsidRPr="00380D60" w:rsidRDefault="00173475" w:rsidP="00173475">
            <w:pPr>
              <w:autoSpaceDE w:val="0"/>
              <w:autoSpaceDN w:val="0"/>
              <w:adjustRightInd w:val="0"/>
              <w:rPr>
                <w:rFonts w:ascii="Arial" w:hAnsi="Arial" w:cs="Arial"/>
                <w:b/>
                <w:bCs/>
                <w:color w:val="000000"/>
                <w:spacing w:val="0"/>
                <w:sz w:val="20"/>
                <w:lang w:val="es-ES"/>
              </w:rPr>
            </w:pPr>
            <w:r>
              <w:rPr>
                <w:rFonts w:ascii="Arial" w:hAnsi="Arial" w:cs="Arial"/>
                <w:b/>
                <w:bCs/>
                <w:color w:val="000000"/>
                <w:spacing w:val="0"/>
                <w:sz w:val="20"/>
                <w:lang w:val="es-ES"/>
              </w:rPr>
              <w:t>3</w:t>
            </w:r>
            <w:r w:rsidRPr="00380D60">
              <w:rPr>
                <w:rFonts w:ascii="Arial" w:hAnsi="Arial" w:cs="Arial"/>
                <w:b/>
                <w:bCs/>
                <w:color w:val="000000"/>
                <w:spacing w:val="0"/>
                <w:sz w:val="20"/>
                <w:lang w:val="es-ES"/>
              </w:rPr>
              <w:t xml:space="preserve">.2 Mejorar la gestión corporativa de CDEEE y de </w:t>
            </w:r>
            <w:proofErr w:type="spellStart"/>
            <w:r w:rsidRPr="00380D60">
              <w:rPr>
                <w:rFonts w:ascii="Arial" w:hAnsi="Arial" w:cs="Arial"/>
                <w:b/>
                <w:bCs/>
                <w:color w:val="000000"/>
                <w:spacing w:val="0"/>
                <w:sz w:val="20"/>
                <w:lang w:val="es-ES"/>
              </w:rPr>
              <w:t>EDEs</w:t>
            </w:r>
            <w:proofErr w:type="spellEnd"/>
          </w:p>
        </w:tc>
        <w:tc>
          <w:tcPr>
            <w:tcW w:w="1499" w:type="pct"/>
            <w:shd w:val="clear" w:color="auto" w:fill="auto"/>
          </w:tcPr>
          <w:p w14:paraId="1578D573" w14:textId="0C177F61" w:rsidR="00173475" w:rsidRPr="00380D60" w:rsidRDefault="00173475" w:rsidP="00173475">
            <w:pPr>
              <w:autoSpaceDE w:val="0"/>
              <w:autoSpaceDN w:val="0"/>
              <w:adjustRightInd w:val="0"/>
              <w:rPr>
                <w:rFonts w:ascii="Arial" w:hAnsi="Arial" w:cs="Arial"/>
                <w:bCs/>
                <w:color w:val="000000"/>
                <w:spacing w:val="0"/>
                <w:sz w:val="20"/>
                <w:lang w:val="es-ES"/>
              </w:rPr>
            </w:pPr>
            <w:r>
              <w:rPr>
                <w:rFonts w:ascii="Arial" w:hAnsi="Arial" w:cs="Arial"/>
                <w:color w:val="000000" w:themeColor="text1"/>
                <w:sz w:val="20"/>
                <w:lang w:val="es-CO" w:eastAsia="es-CO"/>
              </w:rPr>
              <w:t>Reporte sobre</w:t>
            </w:r>
            <w:r w:rsidRPr="00DC7619">
              <w:rPr>
                <w:rFonts w:ascii="Arial" w:hAnsi="Arial" w:cs="Arial"/>
                <w:color w:val="000000" w:themeColor="text1"/>
                <w:sz w:val="20"/>
                <w:lang w:val="es-CO" w:eastAsia="es-CO"/>
              </w:rPr>
              <w:t xml:space="preserve"> la implementación y utilización de </w:t>
            </w:r>
            <w:r>
              <w:rPr>
                <w:rFonts w:ascii="Arial" w:hAnsi="Arial" w:cs="Arial"/>
                <w:color w:val="000000" w:themeColor="text1"/>
                <w:sz w:val="20"/>
                <w:lang w:val="es-CO" w:eastAsia="es-CO"/>
              </w:rPr>
              <w:t xml:space="preserve">los </w:t>
            </w:r>
            <w:r w:rsidRPr="00DC7619">
              <w:rPr>
                <w:rFonts w:ascii="Arial" w:hAnsi="Arial" w:cs="Arial"/>
                <w:color w:val="000000" w:themeColor="text1"/>
                <w:sz w:val="20"/>
                <w:lang w:val="es-CO" w:eastAsia="es-CO"/>
              </w:rPr>
              <w:t>módulo</w:t>
            </w:r>
            <w:r>
              <w:rPr>
                <w:rFonts w:ascii="Arial" w:hAnsi="Arial" w:cs="Arial"/>
                <w:color w:val="000000" w:themeColor="text1"/>
                <w:sz w:val="20"/>
                <w:lang w:val="es-CO" w:eastAsia="es-CO"/>
              </w:rPr>
              <w:t>s</w:t>
            </w:r>
            <w:r w:rsidRPr="00DC7619">
              <w:rPr>
                <w:rFonts w:ascii="Arial" w:hAnsi="Arial" w:cs="Arial"/>
                <w:color w:val="000000" w:themeColor="text1"/>
                <w:sz w:val="20"/>
                <w:lang w:val="es-CO" w:eastAsia="es-CO"/>
              </w:rPr>
              <w:t xml:space="preserve"> administrativo</w:t>
            </w:r>
            <w:r>
              <w:rPr>
                <w:rFonts w:ascii="Arial" w:hAnsi="Arial" w:cs="Arial"/>
                <w:color w:val="000000" w:themeColor="text1"/>
                <w:sz w:val="20"/>
                <w:lang w:val="es-CO" w:eastAsia="es-CO"/>
              </w:rPr>
              <w:t xml:space="preserve">, financiero y comercial </w:t>
            </w:r>
            <w:r w:rsidRPr="00DC7619">
              <w:rPr>
                <w:rFonts w:ascii="Arial" w:hAnsi="Arial" w:cs="Arial"/>
                <w:color w:val="000000" w:themeColor="text1"/>
                <w:sz w:val="20"/>
                <w:lang w:val="es-CO" w:eastAsia="es-CO"/>
              </w:rPr>
              <w:t>del sistema integrado de recursos en las EDE</w:t>
            </w:r>
            <w:r>
              <w:rPr>
                <w:rFonts w:ascii="Arial" w:hAnsi="Arial" w:cs="Arial"/>
                <w:color w:val="000000" w:themeColor="text1"/>
                <w:sz w:val="20"/>
                <w:lang w:val="es-CO" w:eastAsia="es-CO"/>
              </w:rPr>
              <w:t>, elaborado</w:t>
            </w:r>
            <w:r w:rsidRPr="00380D60">
              <w:rPr>
                <w:rFonts w:ascii="Arial" w:hAnsi="Arial" w:cs="Arial"/>
                <w:color w:val="000000" w:themeColor="text1"/>
                <w:sz w:val="20"/>
                <w:lang w:val="es-CO" w:eastAsia="es-CO"/>
              </w:rPr>
              <w:t xml:space="preserve">. </w:t>
            </w:r>
          </w:p>
        </w:tc>
        <w:tc>
          <w:tcPr>
            <w:tcW w:w="592" w:type="pct"/>
          </w:tcPr>
          <w:p w14:paraId="57A15B0B" w14:textId="47D58310"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 de reportes</w:t>
            </w:r>
          </w:p>
        </w:tc>
        <w:tc>
          <w:tcPr>
            <w:tcW w:w="344" w:type="pct"/>
          </w:tcPr>
          <w:p w14:paraId="642E8CA9" w14:textId="61FAAF07"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0</w:t>
            </w:r>
          </w:p>
        </w:tc>
        <w:tc>
          <w:tcPr>
            <w:tcW w:w="311" w:type="pct"/>
          </w:tcPr>
          <w:p w14:paraId="68D71D2A" w14:textId="158865C7" w:rsidR="00173475" w:rsidRPr="00380D60" w:rsidRDefault="00173475" w:rsidP="00173475">
            <w:pPr>
              <w:autoSpaceDE w:val="0"/>
              <w:autoSpaceDN w:val="0"/>
              <w:adjustRightInd w:val="0"/>
              <w:jc w:val="center"/>
              <w:rPr>
                <w:rFonts w:ascii="Arial" w:hAnsi="Arial" w:cs="Arial"/>
                <w:color w:val="000000"/>
                <w:spacing w:val="0"/>
                <w:sz w:val="20"/>
                <w:lang w:val="es-ES"/>
              </w:rPr>
            </w:pPr>
            <w:r>
              <w:rPr>
                <w:rFonts w:ascii="Arial" w:hAnsi="Arial" w:cs="Arial"/>
                <w:color w:val="000000"/>
                <w:spacing w:val="0"/>
                <w:sz w:val="20"/>
                <w:lang w:val="es-ES"/>
              </w:rPr>
              <w:t>1</w:t>
            </w:r>
          </w:p>
        </w:tc>
        <w:tc>
          <w:tcPr>
            <w:tcW w:w="290" w:type="pct"/>
          </w:tcPr>
          <w:p w14:paraId="4F8C31D7" w14:textId="522EFA9D" w:rsidR="00173475" w:rsidRPr="00173475" w:rsidRDefault="000E6516" w:rsidP="000E6516">
            <w:pPr>
              <w:autoSpaceDE w:val="0"/>
              <w:autoSpaceDN w:val="0"/>
              <w:adjustRightInd w:val="0"/>
              <w:jc w:val="center"/>
              <w:rPr>
                <w:rFonts w:ascii="Arial" w:hAnsi="Arial" w:cs="Arial"/>
                <w:color w:val="000000" w:themeColor="text1"/>
                <w:sz w:val="20"/>
                <w:highlight w:val="yellow"/>
                <w:lang w:val="es-CO" w:eastAsia="es-CO"/>
              </w:rPr>
            </w:pPr>
            <w:r w:rsidRPr="000E6516">
              <w:rPr>
                <w:rFonts w:ascii="Arial" w:hAnsi="Arial" w:cs="Arial"/>
                <w:color w:val="000000" w:themeColor="text1"/>
                <w:sz w:val="20"/>
                <w:lang w:val="es-CO" w:eastAsia="es-CO"/>
              </w:rPr>
              <w:t>1</w:t>
            </w:r>
          </w:p>
        </w:tc>
        <w:tc>
          <w:tcPr>
            <w:tcW w:w="1101" w:type="pct"/>
            <w:shd w:val="clear" w:color="auto" w:fill="auto"/>
          </w:tcPr>
          <w:p w14:paraId="54A35D13" w14:textId="37005C64" w:rsidR="00173475" w:rsidRPr="00DC7619" w:rsidRDefault="000D5307" w:rsidP="00173475">
            <w:pPr>
              <w:autoSpaceDE w:val="0"/>
              <w:autoSpaceDN w:val="0"/>
              <w:adjustRightInd w:val="0"/>
              <w:jc w:val="both"/>
              <w:rPr>
                <w:rFonts w:ascii="Arial" w:hAnsi="Arial" w:cs="Arial"/>
                <w:color w:val="000000" w:themeColor="text1"/>
                <w:sz w:val="20"/>
                <w:lang w:val="es-CO" w:eastAsia="es-CO"/>
              </w:rPr>
            </w:pPr>
            <w:proofErr w:type="spellStart"/>
            <w:r>
              <w:rPr>
                <w:rFonts w:ascii="Arial" w:hAnsi="Arial" w:cs="Arial"/>
                <w:color w:val="000000" w:themeColor="text1"/>
                <w:sz w:val="20"/>
                <w:lang w:val="es-CO" w:eastAsia="es-CO"/>
              </w:rPr>
              <w:t>EZS</w:t>
            </w:r>
            <w:r w:rsidR="00173475" w:rsidRPr="0017599E">
              <w:rPr>
                <w:rFonts w:ascii="Arial" w:hAnsi="Arial" w:cs="Arial"/>
                <w:color w:val="000000" w:themeColor="text1"/>
                <w:sz w:val="20"/>
                <w:lang w:val="es-CO" w:eastAsia="es-CO"/>
              </w:rPr>
              <w:t>hare</w:t>
            </w:r>
            <w:proofErr w:type="spellEnd"/>
            <w:r w:rsidR="00173475" w:rsidRPr="0017599E">
              <w:rPr>
                <w:rFonts w:ascii="Arial" w:hAnsi="Arial" w:cs="Arial"/>
                <w:color w:val="000000" w:themeColor="text1"/>
                <w:sz w:val="20"/>
                <w:lang w:val="es-CO" w:eastAsia="es-CO"/>
              </w:rPr>
              <w:t xml:space="preserve"> (Repositorio BID de Documentos de la Operación)</w:t>
            </w:r>
          </w:p>
          <w:p w14:paraId="1F86B212" w14:textId="6A3834DA" w:rsidR="00173475" w:rsidRPr="007F4739" w:rsidRDefault="00173475" w:rsidP="00173475">
            <w:pPr>
              <w:autoSpaceDE w:val="0"/>
              <w:autoSpaceDN w:val="0"/>
              <w:adjustRightInd w:val="0"/>
              <w:rPr>
                <w:rFonts w:ascii="Arial" w:hAnsi="Arial" w:cs="Arial"/>
                <w:bCs/>
                <w:color w:val="000000"/>
                <w:spacing w:val="0"/>
                <w:sz w:val="20"/>
                <w:lang w:val="es-CO"/>
              </w:rPr>
            </w:pPr>
          </w:p>
        </w:tc>
      </w:tr>
    </w:tbl>
    <w:p w14:paraId="7688CC46" w14:textId="69979531" w:rsidR="00951748" w:rsidRPr="00EF01D9" w:rsidRDefault="00E90CEA" w:rsidP="00C049E7">
      <w:pPr>
        <w:pStyle w:val="BodyText2"/>
        <w:numPr>
          <w:ilvl w:val="1"/>
          <w:numId w:val="7"/>
        </w:numPr>
        <w:tabs>
          <w:tab w:val="left" w:pos="720"/>
        </w:tabs>
        <w:spacing w:before="120" w:line="240" w:lineRule="auto"/>
        <w:ind w:left="720" w:hanging="720"/>
        <w:jc w:val="both"/>
        <w:rPr>
          <w:rFonts w:ascii="Arial" w:eastAsia="Arial Unicode MS" w:hAnsi="Arial" w:cs="Arial"/>
          <w:bCs/>
          <w:sz w:val="22"/>
          <w:szCs w:val="22"/>
          <w:lang w:val="es-ES"/>
        </w:rPr>
      </w:pPr>
      <w:r>
        <w:rPr>
          <w:rFonts w:ascii="Arial" w:eastAsia="Arial Unicode MS" w:hAnsi="Arial" w:cs="Arial"/>
          <w:bCs/>
          <w:sz w:val="22"/>
          <w:szCs w:val="22"/>
          <w:lang w:val="es-ES"/>
        </w:rPr>
        <w:t xml:space="preserve">Con el fin de acompañar al GRD en el logro de las metas del proceso de reformas y el alcance de los mecanismos activadores del </w:t>
      </w:r>
      <w:r w:rsidR="00425CB4">
        <w:rPr>
          <w:rFonts w:ascii="Arial" w:eastAsia="Arial Unicode MS" w:hAnsi="Arial" w:cs="Arial"/>
          <w:bCs/>
          <w:sz w:val="22"/>
          <w:szCs w:val="22"/>
          <w:lang w:val="es-ES"/>
        </w:rPr>
        <w:t>tercer</w:t>
      </w:r>
      <w:r>
        <w:rPr>
          <w:rFonts w:ascii="Arial" w:eastAsia="Arial Unicode MS" w:hAnsi="Arial" w:cs="Arial"/>
          <w:bCs/>
          <w:sz w:val="22"/>
          <w:szCs w:val="22"/>
          <w:lang w:val="es-ES"/>
        </w:rPr>
        <w:t xml:space="preserve"> préstamo, e</w:t>
      </w:r>
      <w:r w:rsidR="00DD0804">
        <w:rPr>
          <w:rFonts w:ascii="Arial" w:eastAsia="Arial Unicode MS" w:hAnsi="Arial" w:cs="Arial"/>
          <w:bCs/>
          <w:sz w:val="22"/>
          <w:szCs w:val="22"/>
          <w:lang w:val="es-ES"/>
        </w:rPr>
        <w:t>l GRD</w:t>
      </w:r>
      <w:r w:rsidR="005C2174" w:rsidRPr="00EF01D9">
        <w:rPr>
          <w:rFonts w:ascii="Arial" w:eastAsia="Arial Unicode MS" w:hAnsi="Arial" w:cs="Arial"/>
          <w:bCs/>
          <w:sz w:val="22"/>
          <w:szCs w:val="22"/>
          <w:lang w:val="es-ES"/>
        </w:rPr>
        <w:t xml:space="preserve"> y el Banco han acordado</w:t>
      </w:r>
      <w:r w:rsidR="005C2174" w:rsidRPr="006A1014">
        <w:rPr>
          <w:rFonts w:ascii="Arial" w:eastAsia="Arial Unicode MS" w:hAnsi="Arial" w:cs="Arial"/>
          <w:bCs/>
          <w:sz w:val="22"/>
          <w:szCs w:val="22"/>
          <w:lang w:val="es-ES"/>
        </w:rPr>
        <w:t xml:space="preserve"> efectuar reuniones de </w:t>
      </w:r>
      <w:r w:rsidRPr="006A1014">
        <w:rPr>
          <w:rFonts w:ascii="Arial" w:eastAsiaTheme="minorHAnsi" w:hAnsi="Arial" w:cs="Arial"/>
          <w:sz w:val="22"/>
          <w:szCs w:val="22"/>
          <w:lang w:val="es-US"/>
        </w:rPr>
        <w:t xml:space="preserve">coordinación y seguimiento </w:t>
      </w:r>
      <w:r w:rsidRPr="006A1014">
        <w:rPr>
          <w:rFonts w:ascii="Arial" w:eastAsia="Arial Unicode MS" w:hAnsi="Arial" w:cs="Arial"/>
          <w:bCs/>
          <w:sz w:val="22"/>
          <w:szCs w:val="22"/>
          <w:lang w:val="es-ES"/>
        </w:rPr>
        <w:t xml:space="preserve">de la </w:t>
      </w:r>
      <w:hyperlink r:id="rId18" w:history="1">
        <w:r w:rsidR="006A1014" w:rsidRPr="006A1014">
          <w:rPr>
            <w:rStyle w:val="Hyperlink"/>
            <w:rFonts w:ascii="Arial" w:hAnsi="Arial" w:cs="Arial"/>
            <w:spacing w:val="0"/>
            <w:sz w:val="22"/>
            <w:szCs w:val="22"/>
            <w:lang w:val="es-ES"/>
          </w:rPr>
          <w:t>Matriz de Resultados</w:t>
        </w:r>
      </w:hyperlink>
      <w:r w:rsidR="006A1014" w:rsidRPr="006A1014">
        <w:rPr>
          <w:rStyle w:val="Hyperlink"/>
          <w:rFonts w:ascii="Arial" w:hAnsi="Arial" w:cs="Arial"/>
          <w:spacing w:val="0"/>
          <w:sz w:val="22"/>
          <w:szCs w:val="22"/>
          <w:lang w:val="es-ES"/>
        </w:rPr>
        <w:t xml:space="preserve"> </w:t>
      </w:r>
      <w:r w:rsidRPr="006A1014">
        <w:rPr>
          <w:rFonts w:ascii="Arial" w:eastAsia="Arial Unicode MS" w:hAnsi="Arial" w:cs="Arial"/>
          <w:bCs/>
          <w:sz w:val="22"/>
          <w:szCs w:val="22"/>
          <w:lang w:val="es-ES"/>
        </w:rPr>
        <w:t>cada</w:t>
      </w:r>
      <w:r w:rsidRPr="00EF01D9">
        <w:rPr>
          <w:rFonts w:ascii="Arial" w:eastAsia="Arial Unicode MS" w:hAnsi="Arial" w:cs="Arial"/>
          <w:bCs/>
          <w:sz w:val="22"/>
          <w:szCs w:val="22"/>
          <w:lang w:val="es-ES"/>
        </w:rPr>
        <w:t xml:space="preserve"> </w:t>
      </w:r>
      <w:r w:rsidRPr="00E90CEA">
        <w:rPr>
          <w:rFonts w:ascii="Arial" w:eastAsia="Arial Unicode MS" w:hAnsi="Arial" w:cs="Arial"/>
          <w:bCs/>
          <w:sz w:val="22"/>
          <w:szCs w:val="22"/>
          <w:lang w:val="es-ES"/>
        </w:rPr>
        <w:t>seis mese</w:t>
      </w:r>
      <w:r w:rsidR="00425CB4">
        <w:rPr>
          <w:rFonts w:ascii="Arial" w:eastAsia="Arial Unicode MS" w:hAnsi="Arial" w:cs="Arial"/>
          <w:bCs/>
          <w:sz w:val="22"/>
          <w:szCs w:val="22"/>
          <w:lang w:val="es-ES"/>
        </w:rPr>
        <w:t>s</w:t>
      </w:r>
      <w:r w:rsidRPr="00A55C11">
        <w:rPr>
          <w:rFonts w:ascii="Arial" w:eastAsiaTheme="minorHAnsi" w:hAnsi="Arial"/>
          <w:sz w:val="22"/>
          <w:lang w:val="es-US"/>
        </w:rPr>
        <w:t xml:space="preserve"> </w:t>
      </w:r>
      <w:r>
        <w:rPr>
          <w:rFonts w:ascii="Arial" w:eastAsiaTheme="minorHAnsi" w:hAnsi="Arial"/>
          <w:sz w:val="22"/>
          <w:lang w:val="es-US"/>
        </w:rPr>
        <w:t xml:space="preserve">con </w:t>
      </w:r>
      <w:r w:rsidR="00605BB9">
        <w:rPr>
          <w:rFonts w:ascii="Arial" w:eastAsiaTheme="minorHAnsi" w:hAnsi="Arial"/>
          <w:sz w:val="22"/>
          <w:lang w:val="es-US"/>
        </w:rPr>
        <w:t xml:space="preserve">la </w:t>
      </w:r>
      <w:proofErr w:type="spellStart"/>
      <w:r w:rsidR="00605BB9">
        <w:rPr>
          <w:rFonts w:ascii="Arial" w:eastAsiaTheme="minorHAnsi" w:hAnsi="Arial"/>
          <w:sz w:val="22"/>
          <w:lang w:val="es-US"/>
        </w:rPr>
        <w:t>participacion</w:t>
      </w:r>
      <w:proofErr w:type="spellEnd"/>
      <w:r w:rsidR="00605BB9">
        <w:rPr>
          <w:rFonts w:ascii="Arial" w:eastAsiaTheme="minorHAnsi" w:hAnsi="Arial"/>
          <w:sz w:val="22"/>
          <w:lang w:val="es-US"/>
        </w:rPr>
        <w:t xml:space="preserve"> d</w:t>
      </w:r>
      <w:r>
        <w:rPr>
          <w:rFonts w:ascii="Arial" w:eastAsiaTheme="minorHAnsi" w:hAnsi="Arial"/>
          <w:sz w:val="22"/>
          <w:lang w:val="es-US"/>
        </w:rPr>
        <w:t>el</w:t>
      </w:r>
      <w:r w:rsidRPr="00A55C11">
        <w:rPr>
          <w:rFonts w:ascii="Arial" w:eastAsiaTheme="minorHAnsi" w:hAnsi="Arial"/>
          <w:sz w:val="22"/>
          <w:lang w:val="es-US"/>
        </w:rPr>
        <w:t xml:space="preserve"> equipo liderado por </w:t>
      </w:r>
      <w:r>
        <w:rPr>
          <w:rFonts w:ascii="Arial" w:eastAsiaTheme="minorHAnsi" w:hAnsi="Arial"/>
          <w:sz w:val="22"/>
          <w:lang w:val="es-US"/>
        </w:rPr>
        <w:t xml:space="preserve">el </w:t>
      </w:r>
      <w:r w:rsidRPr="00A55C11">
        <w:rPr>
          <w:rFonts w:ascii="Arial" w:eastAsiaTheme="minorHAnsi" w:hAnsi="Arial"/>
          <w:sz w:val="22"/>
          <w:lang w:val="es-US"/>
        </w:rPr>
        <w:t>Ministerio de Hacienda e integrado por Ministerio de Energía y Minas, Superintendencia de Electricidad, CDEEE y el BID</w:t>
      </w:r>
      <w:r w:rsidR="00AE2707">
        <w:rPr>
          <w:rFonts w:ascii="Arial" w:eastAsia="Arial Unicode MS" w:hAnsi="Arial" w:cs="Arial"/>
          <w:bCs/>
          <w:sz w:val="22"/>
          <w:szCs w:val="22"/>
          <w:lang w:val="es-ES"/>
        </w:rPr>
        <w:t>,</w:t>
      </w:r>
      <w:r w:rsidR="005C2174" w:rsidRPr="00EF01D9">
        <w:rPr>
          <w:rFonts w:ascii="Arial" w:eastAsia="Arial Unicode MS" w:hAnsi="Arial" w:cs="Arial"/>
          <w:bCs/>
          <w:sz w:val="22"/>
          <w:szCs w:val="22"/>
          <w:lang w:val="es-ES"/>
        </w:rPr>
        <w:t xml:space="preserve"> en fechas a definir de común acuerdo. Antes de procesar el </w:t>
      </w:r>
      <w:r w:rsidR="0013778F">
        <w:rPr>
          <w:rFonts w:ascii="Arial" w:eastAsia="Arial Unicode MS" w:hAnsi="Arial" w:cs="Arial"/>
          <w:bCs/>
          <w:sz w:val="22"/>
          <w:szCs w:val="22"/>
          <w:lang w:val="es-ES"/>
        </w:rPr>
        <w:t>tercer</w:t>
      </w:r>
      <w:r w:rsidR="005C2174" w:rsidRPr="00EF01D9">
        <w:rPr>
          <w:rFonts w:ascii="Arial" w:eastAsia="Arial Unicode MS" w:hAnsi="Arial" w:cs="Arial"/>
          <w:bCs/>
          <w:sz w:val="22"/>
          <w:szCs w:val="22"/>
          <w:lang w:val="es-ES"/>
        </w:rPr>
        <w:t xml:space="preserve"> préstamo del PBP, el Banco producirá un </w:t>
      </w:r>
      <w:r w:rsidR="00C01B28">
        <w:rPr>
          <w:rFonts w:ascii="Arial" w:eastAsia="Arial Unicode MS" w:hAnsi="Arial" w:cs="Arial"/>
          <w:bCs/>
          <w:sz w:val="22"/>
          <w:szCs w:val="22"/>
          <w:lang w:val="es-ES"/>
        </w:rPr>
        <w:t>I</w:t>
      </w:r>
      <w:r w:rsidR="005C2174" w:rsidRPr="00EF01D9">
        <w:rPr>
          <w:rFonts w:ascii="Arial" w:eastAsia="Arial Unicode MS" w:hAnsi="Arial" w:cs="Arial"/>
          <w:bCs/>
          <w:sz w:val="22"/>
          <w:szCs w:val="22"/>
          <w:lang w:val="es-ES"/>
        </w:rPr>
        <w:t xml:space="preserve">nforme de </w:t>
      </w:r>
      <w:r w:rsidR="00C01B28">
        <w:rPr>
          <w:rFonts w:ascii="Arial" w:eastAsia="Arial Unicode MS" w:hAnsi="Arial" w:cs="Arial"/>
          <w:bCs/>
          <w:sz w:val="22"/>
          <w:szCs w:val="22"/>
          <w:lang w:val="es-ES"/>
        </w:rPr>
        <w:t>P</w:t>
      </w:r>
      <w:r w:rsidR="005C2174" w:rsidRPr="00EF01D9">
        <w:rPr>
          <w:rFonts w:ascii="Arial" w:eastAsia="Arial Unicode MS" w:hAnsi="Arial" w:cs="Arial"/>
          <w:bCs/>
          <w:sz w:val="22"/>
          <w:szCs w:val="22"/>
          <w:lang w:val="es-ES"/>
        </w:rPr>
        <w:t>rogreso revisando la evolución de los indicadores del programa a fin de verificar los avances en las reformas y los mecanismos activadores, e identificar modificaciones y ajustes que pudiesen requerirse para alcanzar las metas del programa</w:t>
      </w:r>
      <w:r w:rsidR="00F14CA5" w:rsidRPr="00EF01D9">
        <w:rPr>
          <w:rFonts w:ascii="Arial" w:eastAsia="Arial Unicode MS" w:hAnsi="Arial" w:cs="Arial"/>
          <w:bCs/>
          <w:sz w:val="22"/>
          <w:szCs w:val="22"/>
          <w:lang w:val="es-ES"/>
        </w:rPr>
        <w:t xml:space="preserve">. </w:t>
      </w:r>
    </w:p>
    <w:p w14:paraId="79118CAB" w14:textId="6F961368" w:rsidR="004920DE" w:rsidRPr="00EF01D9" w:rsidRDefault="00EC48D4" w:rsidP="00C049E7">
      <w:pPr>
        <w:pStyle w:val="BodyText2"/>
        <w:numPr>
          <w:ilvl w:val="1"/>
          <w:numId w:val="7"/>
        </w:numPr>
        <w:tabs>
          <w:tab w:val="left" w:pos="720"/>
        </w:tabs>
        <w:spacing w:before="120" w:line="240" w:lineRule="auto"/>
        <w:ind w:left="720" w:hanging="720"/>
        <w:jc w:val="both"/>
        <w:rPr>
          <w:rFonts w:ascii="Arial" w:eastAsia="Arial Unicode MS" w:hAnsi="Arial" w:cs="Arial"/>
          <w:bCs/>
          <w:sz w:val="22"/>
          <w:szCs w:val="22"/>
          <w:lang w:val="es-ES"/>
        </w:rPr>
      </w:pPr>
      <w:r w:rsidRPr="00EF01D9">
        <w:rPr>
          <w:rFonts w:ascii="Arial" w:eastAsia="Arial Unicode MS" w:hAnsi="Arial" w:cs="Arial"/>
          <w:bCs/>
          <w:sz w:val="22"/>
          <w:szCs w:val="22"/>
          <w:lang w:val="es-ES"/>
        </w:rPr>
        <w:t xml:space="preserve">El BID </w:t>
      </w:r>
      <w:r w:rsidR="0013778F">
        <w:rPr>
          <w:rFonts w:ascii="Arial" w:eastAsia="Arial Unicode MS" w:hAnsi="Arial" w:cs="Arial"/>
          <w:bCs/>
          <w:sz w:val="22"/>
          <w:szCs w:val="22"/>
          <w:lang w:val="es-ES"/>
        </w:rPr>
        <w:t>seguirá apoyando</w:t>
      </w:r>
      <w:r w:rsidRPr="00EF01D9">
        <w:rPr>
          <w:rFonts w:ascii="Arial" w:eastAsia="Arial Unicode MS" w:hAnsi="Arial" w:cs="Arial"/>
          <w:bCs/>
          <w:sz w:val="22"/>
          <w:szCs w:val="22"/>
          <w:lang w:val="es-ES"/>
        </w:rPr>
        <w:t xml:space="preserve"> </w:t>
      </w:r>
      <w:r w:rsidR="00DD0804">
        <w:rPr>
          <w:rFonts w:ascii="Arial" w:eastAsia="Arial Unicode MS" w:hAnsi="Arial" w:cs="Arial"/>
          <w:bCs/>
          <w:sz w:val="22"/>
          <w:szCs w:val="22"/>
          <w:lang w:val="es-ES"/>
        </w:rPr>
        <w:t>al GRD</w:t>
      </w:r>
      <w:r w:rsidR="0013778F" w:rsidRPr="00EF01D9">
        <w:rPr>
          <w:rFonts w:ascii="Arial" w:eastAsia="Arial Unicode MS" w:hAnsi="Arial" w:cs="Arial"/>
          <w:bCs/>
          <w:sz w:val="22"/>
          <w:szCs w:val="22"/>
          <w:lang w:val="es-ES"/>
        </w:rPr>
        <w:t xml:space="preserve"> </w:t>
      </w:r>
      <w:r w:rsidRPr="00EF01D9">
        <w:rPr>
          <w:rFonts w:ascii="Arial" w:eastAsia="Arial Unicode MS" w:hAnsi="Arial" w:cs="Arial"/>
          <w:bCs/>
          <w:sz w:val="22"/>
          <w:szCs w:val="22"/>
          <w:lang w:val="es-ES"/>
        </w:rPr>
        <w:t>en el fortalecimiento de la capacidad institucional de los agentes del sector eléctrico</w:t>
      </w:r>
      <w:r w:rsidR="0013778F">
        <w:rPr>
          <w:rFonts w:ascii="Arial" w:eastAsia="Arial Unicode MS" w:hAnsi="Arial" w:cs="Arial"/>
          <w:bCs/>
          <w:sz w:val="22"/>
          <w:szCs w:val="22"/>
          <w:lang w:val="es-ES"/>
        </w:rPr>
        <w:t>, con la</w:t>
      </w:r>
      <w:r w:rsidR="0013778F" w:rsidRPr="00EF01D9">
        <w:rPr>
          <w:rFonts w:ascii="Arial" w:eastAsia="Arial Unicode MS" w:hAnsi="Arial" w:cs="Arial"/>
          <w:bCs/>
          <w:sz w:val="22"/>
          <w:szCs w:val="22"/>
          <w:lang w:val="es-ES"/>
        </w:rPr>
        <w:t xml:space="preserve"> Cooperación Técnica (CT) no reembolsable (</w:t>
      </w:r>
      <w:r w:rsidR="00DD0804" w:rsidRPr="002964DE">
        <w:rPr>
          <w:rFonts w:ascii="Arial" w:eastAsia="Arial Unicode MS" w:hAnsi="Arial" w:cs="Arial"/>
          <w:bCs/>
          <w:sz w:val="22"/>
          <w:szCs w:val="22"/>
          <w:lang w:val="es-ES"/>
        </w:rPr>
        <w:t>DR-</w:t>
      </w:r>
      <w:r w:rsidR="00C01B28" w:rsidRPr="002964DE">
        <w:rPr>
          <w:rFonts w:ascii="Arial" w:eastAsia="Arial Unicode MS" w:hAnsi="Arial" w:cs="Arial"/>
          <w:bCs/>
          <w:sz w:val="22"/>
          <w:szCs w:val="22"/>
          <w:lang w:val="es-ES"/>
        </w:rPr>
        <w:t>T</w:t>
      </w:r>
      <w:r w:rsidR="002964DE">
        <w:rPr>
          <w:rFonts w:ascii="Arial" w:eastAsia="Arial Unicode MS" w:hAnsi="Arial" w:cs="Arial"/>
          <w:bCs/>
          <w:sz w:val="22"/>
          <w:szCs w:val="22"/>
          <w:lang w:val="es-ES"/>
        </w:rPr>
        <w:t>1179</w:t>
      </w:r>
      <w:r w:rsidR="0013778F" w:rsidRPr="00EF01D9">
        <w:rPr>
          <w:rFonts w:ascii="Arial" w:eastAsia="Arial Unicode MS" w:hAnsi="Arial" w:cs="Arial"/>
          <w:bCs/>
          <w:sz w:val="22"/>
          <w:szCs w:val="22"/>
          <w:lang w:val="es-ES"/>
        </w:rPr>
        <w:t>)</w:t>
      </w:r>
      <w:r w:rsidRPr="00EF01D9">
        <w:rPr>
          <w:rFonts w:ascii="Arial" w:eastAsia="Arial Unicode MS" w:hAnsi="Arial" w:cs="Arial"/>
          <w:bCs/>
          <w:sz w:val="22"/>
          <w:szCs w:val="22"/>
          <w:lang w:val="es-ES"/>
        </w:rPr>
        <w:t>. Con</w:t>
      </w:r>
      <w:r w:rsidR="0013778F">
        <w:rPr>
          <w:rFonts w:ascii="Arial" w:eastAsia="Arial Unicode MS" w:hAnsi="Arial" w:cs="Arial"/>
          <w:bCs/>
          <w:sz w:val="22"/>
          <w:szCs w:val="22"/>
          <w:lang w:val="es-ES"/>
        </w:rPr>
        <w:t xml:space="preserve"> recursos de dicha CT se apoya</w:t>
      </w:r>
      <w:r w:rsidR="00E60424">
        <w:rPr>
          <w:rFonts w:ascii="Arial" w:eastAsia="Arial Unicode MS" w:hAnsi="Arial" w:cs="Arial"/>
          <w:bCs/>
          <w:sz w:val="22"/>
          <w:szCs w:val="22"/>
          <w:lang w:val="es-ES"/>
        </w:rPr>
        <w:t>rá</w:t>
      </w:r>
      <w:r w:rsidR="00DD0804">
        <w:rPr>
          <w:rFonts w:ascii="Arial" w:eastAsia="Arial Unicode MS" w:hAnsi="Arial" w:cs="Arial"/>
          <w:bCs/>
          <w:sz w:val="22"/>
          <w:szCs w:val="22"/>
          <w:lang w:val="es-ES"/>
        </w:rPr>
        <w:t xml:space="preserve"> al GRD</w:t>
      </w:r>
      <w:r w:rsidRPr="00EF01D9">
        <w:rPr>
          <w:rFonts w:ascii="Arial" w:eastAsia="Arial Unicode MS" w:hAnsi="Arial" w:cs="Arial"/>
          <w:bCs/>
          <w:sz w:val="22"/>
          <w:szCs w:val="22"/>
          <w:lang w:val="es-ES"/>
        </w:rPr>
        <w:t xml:space="preserve"> en las actividades de </w:t>
      </w:r>
      <w:r w:rsidR="00A16631" w:rsidRPr="00EF01D9">
        <w:rPr>
          <w:rFonts w:ascii="Arial" w:eastAsia="Arial Unicode MS" w:hAnsi="Arial" w:cs="Arial"/>
          <w:bCs/>
          <w:sz w:val="22"/>
          <w:szCs w:val="22"/>
          <w:lang w:val="es-ES"/>
        </w:rPr>
        <w:t>seguimiento</w:t>
      </w:r>
      <w:r w:rsidRPr="00EF01D9">
        <w:rPr>
          <w:rFonts w:ascii="Arial" w:eastAsia="Arial Unicode MS" w:hAnsi="Arial" w:cs="Arial"/>
          <w:bCs/>
          <w:sz w:val="22"/>
          <w:szCs w:val="22"/>
          <w:lang w:val="es-ES"/>
        </w:rPr>
        <w:t xml:space="preserve"> y de coordinación necesarias. Por su parte </w:t>
      </w:r>
      <w:r w:rsidR="00DD0804">
        <w:rPr>
          <w:rFonts w:ascii="Arial" w:eastAsia="Arial Unicode MS" w:hAnsi="Arial" w:cs="Arial"/>
          <w:bCs/>
          <w:sz w:val="22"/>
          <w:szCs w:val="22"/>
          <w:lang w:val="es-ES"/>
        </w:rPr>
        <w:t>el MH</w:t>
      </w:r>
      <w:r w:rsidRPr="00EF01D9">
        <w:rPr>
          <w:rFonts w:ascii="Arial" w:eastAsia="Arial Unicode MS" w:hAnsi="Arial" w:cs="Arial"/>
          <w:bCs/>
          <w:sz w:val="22"/>
          <w:szCs w:val="22"/>
          <w:lang w:val="es-ES"/>
        </w:rPr>
        <w:t xml:space="preserve"> tienen amplia experiencia ejecutando procesos de reforma apoyados con operaciones de préstamo del Banco</w:t>
      </w:r>
      <w:r w:rsidR="00A16631" w:rsidRPr="00EF01D9">
        <w:rPr>
          <w:rFonts w:ascii="Arial" w:eastAsia="Arial Unicode MS" w:hAnsi="Arial" w:cs="Arial"/>
          <w:bCs/>
          <w:sz w:val="22"/>
          <w:szCs w:val="22"/>
          <w:lang w:val="es-ES"/>
        </w:rPr>
        <w:t>.</w:t>
      </w:r>
    </w:p>
    <w:p w14:paraId="314E640C" w14:textId="77777777" w:rsidR="006424F0" w:rsidRPr="00EF01D9" w:rsidRDefault="00DC711D" w:rsidP="006424F0">
      <w:pPr>
        <w:pStyle w:val="Subtitle"/>
        <w:numPr>
          <w:ilvl w:val="0"/>
          <w:numId w:val="8"/>
        </w:numPr>
        <w:tabs>
          <w:tab w:val="left" w:pos="1260"/>
        </w:tabs>
        <w:spacing w:before="240" w:after="0"/>
        <w:ind w:left="1530" w:hanging="810"/>
        <w:jc w:val="left"/>
        <w:rPr>
          <w:rFonts w:ascii="Arial" w:hAnsi="Arial" w:cs="Arial"/>
          <w:b/>
          <w:sz w:val="22"/>
          <w:szCs w:val="22"/>
          <w:lang w:val="es-ES"/>
        </w:rPr>
      </w:pPr>
      <w:bookmarkStart w:id="12" w:name="_Toc511826636"/>
      <w:r w:rsidRPr="00EF01D9">
        <w:rPr>
          <w:rFonts w:ascii="Arial" w:hAnsi="Arial" w:cs="Arial"/>
          <w:b/>
          <w:sz w:val="22"/>
          <w:szCs w:val="22"/>
          <w:lang w:val="es-ES"/>
        </w:rPr>
        <w:t>Recolección de la información</w:t>
      </w:r>
      <w:bookmarkEnd w:id="12"/>
    </w:p>
    <w:p w14:paraId="2760F7CD" w14:textId="0B2E6EBE" w:rsidR="00DC711D" w:rsidRPr="00EF01D9" w:rsidRDefault="006424F0" w:rsidP="00C049E7">
      <w:pPr>
        <w:pStyle w:val="BodyText2"/>
        <w:numPr>
          <w:ilvl w:val="1"/>
          <w:numId w:val="7"/>
        </w:numPr>
        <w:tabs>
          <w:tab w:val="left" w:pos="720"/>
        </w:tabs>
        <w:spacing w:before="120" w:line="240" w:lineRule="auto"/>
        <w:ind w:left="720" w:hanging="720"/>
        <w:jc w:val="both"/>
        <w:rPr>
          <w:rFonts w:ascii="Arial" w:eastAsia="Arial Unicode MS" w:hAnsi="Arial" w:cs="Arial"/>
          <w:bCs/>
          <w:sz w:val="22"/>
          <w:szCs w:val="22"/>
          <w:lang w:val="es-ES"/>
        </w:rPr>
      </w:pPr>
      <w:r w:rsidRPr="00EF01D9">
        <w:rPr>
          <w:rFonts w:ascii="Arial" w:eastAsia="Arial Unicode MS" w:hAnsi="Arial" w:cs="Arial"/>
          <w:bCs/>
          <w:sz w:val="22"/>
          <w:szCs w:val="22"/>
          <w:lang w:val="es-ES"/>
        </w:rPr>
        <w:t>D</w:t>
      </w:r>
      <w:r w:rsidR="00DC711D" w:rsidRPr="00EF01D9">
        <w:rPr>
          <w:rFonts w:ascii="Arial" w:eastAsia="Arial Unicode MS" w:hAnsi="Arial" w:cs="Arial"/>
          <w:bCs/>
          <w:sz w:val="22"/>
          <w:szCs w:val="22"/>
          <w:lang w:val="es-ES"/>
        </w:rPr>
        <w:t>ada la modalidad de la operación</w:t>
      </w:r>
      <w:r w:rsidR="0025732D">
        <w:rPr>
          <w:rFonts w:ascii="Arial" w:eastAsia="Arial Unicode MS" w:hAnsi="Arial" w:cs="Arial"/>
          <w:bCs/>
          <w:sz w:val="22"/>
          <w:szCs w:val="22"/>
          <w:lang w:val="es-ES"/>
        </w:rPr>
        <w:t xml:space="preserve"> (PBP),</w:t>
      </w:r>
      <w:r w:rsidR="00DC711D" w:rsidRPr="00EF01D9">
        <w:rPr>
          <w:rFonts w:ascii="Arial" w:eastAsia="Arial Unicode MS" w:hAnsi="Arial" w:cs="Arial"/>
          <w:bCs/>
          <w:sz w:val="22"/>
          <w:szCs w:val="22"/>
          <w:lang w:val="es-ES"/>
        </w:rPr>
        <w:t xml:space="preserve"> la recolección de la información se </w:t>
      </w:r>
      <w:r w:rsidR="00F80867" w:rsidRPr="00EF01D9">
        <w:rPr>
          <w:rFonts w:ascii="Arial" w:eastAsia="Arial Unicode MS" w:hAnsi="Arial" w:cs="Arial"/>
          <w:bCs/>
          <w:sz w:val="22"/>
          <w:szCs w:val="22"/>
          <w:lang w:val="es-ES"/>
        </w:rPr>
        <w:t>llev</w:t>
      </w:r>
      <w:r w:rsidR="0025732D">
        <w:rPr>
          <w:rFonts w:ascii="Arial" w:eastAsia="Arial Unicode MS" w:hAnsi="Arial" w:cs="Arial"/>
          <w:bCs/>
          <w:sz w:val="22"/>
          <w:szCs w:val="22"/>
          <w:lang w:val="es-ES"/>
        </w:rPr>
        <w:t>ó</w:t>
      </w:r>
      <w:r w:rsidR="00F80867" w:rsidRPr="00EF01D9">
        <w:rPr>
          <w:rFonts w:ascii="Arial" w:eastAsia="Arial Unicode MS" w:hAnsi="Arial" w:cs="Arial"/>
          <w:bCs/>
          <w:sz w:val="22"/>
          <w:szCs w:val="22"/>
          <w:lang w:val="es-ES"/>
        </w:rPr>
        <w:t xml:space="preserve"> a cabo una sola vez</w:t>
      </w:r>
      <w:r w:rsidR="00DC711D" w:rsidRPr="00EF01D9">
        <w:rPr>
          <w:rFonts w:ascii="Arial" w:eastAsia="Arial Unicode MS" w:hAnsi="Arial" w:cs="Arial"/>
          <w:bCs/>
          <w:sz w:val="22"/>
          <w:szCs w:val="22"/>
          <w:lang w:val="es-ES"/>
        </w:rPr>
        <w:t xml:space="preserve"> durante el proceso de </w:t>
      </w:r>
      <w:r w:rsidR="000851C0" w:rsidRPr="00EF01D9">
        <w:rPr>
          <w:rFonts w:ascii="Arial" w:eastAsia="Arial Unicode MS" w:hAnsi="Arial" w:cs="Arial"/>
          <w:bCs/>
          <w:sz w:val="22"/>
          <w:szCs w:val="22"/>
          <w:lang w:val="es-ES"/>
        </w:rPr>
        <w:t xml:space="preserve">preparación de la </w:t>
      </w:r>
      <w:r w:rsidR="00DC711D" w:rsidRPr="00EF01D9">
        <w:rPr>
          <w:rFonts w:ascii="Arial" w:eastAsia="Arial Unicode MS" w:hAnsi="Arial" w:cs="Arial"/>
          <w:bCs/>
          <w:sz w:val="22"/>
          <w:szCs w:val="22"/>
          <w:lang w:val="es-ES"/>
        </w:rPr>
        <w:t xml:space="preserve">operación para garantizar </w:t>
      </w:r>
      <w:r w:rsidR="00605BB9">
        <w:rPr>
          <w:rFonts w:ascii="Arial" w:eastAsia="Arial Unicode MS" w:hAnsi="Arial" w:cs="Arial"/>
          <w:bCs/>
          <w:sz w:val="22"/>
          <w:szCs w:val="22"/>
          <w:lang w:val="es-ES"/>
        </w:rPr>
        <w:t xml:space="preserve">que </w:t>
      </w:r>
      <w:r w:rsidR="00DC711D" w:rsidRPr="00EF01D9">
        <w:rPr>
          <w:rFonts w:ascii="Arial" w:eastAsia="Arial Unicode MS" w:hAnsi="Arial" w:cs="Arial"/>
          <w:bCs/>
          <w:sz w:val="22"/>
          <w:szCs w:val="22"/>
          <w:lang w:val="es-ES"/>
        </w:rPr>
        <w:t>todos los compromisos</w:t>
      </w:r>
      <w:r w:rsidR="00F80867" w:rsidRPr="00EF01D9">
        <w:rPr>
          <w:rFonts w:ascii="Arial" w:eastAsia="Arial Unicode MS" w:hAnsi="Arial" w:cs="Arial"/>
          <w:bCs/>
          <w:sz w:val="22"/>
          <w:szCs w:val="22"/>
          <w:lang w:val="es-ES"/>
        </w:rPr>
        <w:t xml:space="preserve"> (productos) establecidos en </w:t>
      </w:r>
      <w:r w:rsidR="00DA1F98">
        <w:rPr>
          <w:rFonts w:ascii="Arial" w:eastAsia="Arial Unicode MS" w:hAnsi="Arial" w:cs="Arial"/>
          <w:bCs/>
          <w:sz w:val="22"/>
          <w:szCs w:val="22"/>
          <w:lang w:val="es-ES"/>
        </w:rPr>
        <w:t>la Matriz</w:t>
      </w:r>
      <w:r w:rsidR="00F80867" w:rsidRPr="00EF01D9">
        <w:rPr>
          <w:rFonts w:ascii="Arial" w:eastAsia="Arial Unicode MS" w:hAnsi="Arial" w:cs="Arial"/>
          <w:bCs/>
          <w:sz w:val="22"/>
          <w:szCs w:val="22"/>
          <w:lang w:val="es-ES"/>
        </w:rPr>
        <w:t xml:space="preserve"> de </w:t>
      </w:r>
      <w:r w:rsidR="00DC711D" w:rsidRPr="00EF01D9">
        <w:rPr>
          <w:rFonts w:ascii="Arial" w:eastAsia="Arial Unicode MS" w:hAnsi="Arial" w:cs="Arial"/>
          <w:bCs/>
          <w:sz w:val="22"/>
          <w:szCs w:val="22"/>
          <w:lang w:val="es-ES"/>
        </w:rPr>
        <w:t xml:space="preserve">Política </w:t>
      </w:r>
      <w:r w:rsidR="00DD0804">
        <w:rPr>
          <w:rFonts w:ascii="Arial" w:eastAsia="Arial Unicode MS" w:hAnsi="Arial" w:cs="Arial"/>
          <w:bCs/>
          <w:sz w:val="22"/>
          <w:szCs w:val="22"/>
          <w:lang w:val="es-ES"/>
        </w:rPr>
        <w:t xml:space="preserve">y </w:t>
      </w:r>
      <w:r w:rsidR="00DA1F98">
        <w:rPr>
          <w:rFonts w:ascii="Arial" w:eastAsia="Arial Unicode MS" w:hAnsi="Arial" w:cs="Arial"/>
          <w:bCs/>
          <w:sz w:val="22"/>
          <w:szCs w:val="22"/>
          <w:lang w:val="es-ES"/>
        </w:rPr>
        <w:t xml:space="preserve">en la Matriz </w:t>
      </w:r>
      <w:r w:rsidR="00DD0804">
        <w:rPr>
          <w:rFonts w:ascii="Arial" w:eastAsia="Arial Unicode MS" w:hAnsi="Arial" w:cs="Arial"/>
          <w:bCs/>
          <w:sz w:val="22"/>
          <w:szCs w:val="22"/>
          <w:lang w:val="es-ES"/>
        </w:rPr>
        <w:t xml:space="preserve">de </w:t>
      </w:r>
      <w:r w:rsidR="00F80867" w:rsidRPr="00EF01D9">
        <w:rPr>
          <w:rFonts w:ascii="Arial" w:eastAsia="Arial Unicode MS" w:hAnsi="Arial" w:cs="Arial"/>
          <w:bCs/>
          <w:sz w:val="22"/>
          <w:szCs w:val="22"/>
          <w:lang w:val="es-ES"/>
        </w:rPr>
        <w:t xml:space="preserve">Resultados </w:t>
      </w:r>
      <w:r w:rsidR="0025732D" w:rsidRPr="00EF01D9">
        <w:rPr>
          <w:rFonts w:ascii="Arial" w:eastAsia="Arial Unicode MS" w:hAnsi="Arial" w:cs="Arial"/>
          <w:bCs/>
          <w:sz w:val="22"/>
          <w:szCs w:val="22"/>
          <w:lang w:val="es-ES"/>
        </w:rPr>
        <w:t xml:space="preserve">se cumplen </w:t>
      </w:r>
      <w:r w:rsidR="00DC711D" w:rsidRPr="00EF01D9">
        <w:rPr>
          <w:rFonts w:ascii="Arial" w:eastAsia="Arial Unicode MS" w:hAnsi="Arial" w:cs="Arial"/>
          <w:bCs/>
          <w:sz w:val="22"/>
          <w:szCs w:val="22"/>
          <w:lang w:val="es-ES"/>
        </w:rPr>
        <w:t xml:space="preserve">y que se han proporcionado todos los documentos establecidos </w:t>
      </w:r>
      <w:r w:rsidR="00F80867" w:rsidRPr="00EF01D9">
        <w:rPr>
          <w:rFonts w:ascii="Arial" w:eastAsia="Arial Unicode MS" w:hAnsi="Arial" w:cs="Arial"/>
          <w:bCs/>
          <w:sz w:val="22"/>
          <w:szCs w:val="22"/>
          <w:lang w:val="es-ES"/>
        </w:rPr>
        <w:t>como</w:t>
      </w:r>
      <w:r w:rsidR="00DD0804">
        <w:rPr>
          <w:rFonts w:ascii="Arial" w:eastAsia="Arial Unicode MS" w:hAnsi="Arial" w:cs="Arial"/>
          <w:bCs/>
          <w:sz w:val="22"/>
          <w:szCs w:val="22"/>
          <w:lang w:val="es-ES"/>
        </w:rPr>
        <w:t xml:space="preserve"> </w:t>
      </w:r>
      <w:r w:rsidR="00DA1F98">
        <w:rPr>
          <w:rFonts w:ascii="Arial" w:eastAsia="Arial Unicode MS" w:hAnsi="Arial" w:cs="Arial"/>
          <w:bCs/>
          <w:sz w:val="22"/>
          <w:szCs w:val="22"/>
          <w:lang w:val="es-ES"/>
        </w:rPr>
        <w:t>m</w:t>
      </w:r>
      <w:r w:rsidR="00DD0804">
        <w:rPr>
          <w:rFonts w:ascii="Arial" w:eastAsia="Arial Unicode MS" w:hAnsi="Arial" w:cs="Arial"/>
          <w:bCs/>
          <w:sz w:val="22"/>
          <w:szCs w:val="22"/>
          <w:lang w:val="es-ES"/>
        </w:rPr>
        <w:t xml:space="preserve">edios de </w:t>
      </w:r>
      <w:r w:rsidR="00DA1F98">
        <w:rPr>
          <w:rFonts w:ascii="Arial" w:eastAsia="Arial Unicode MS" w:hAnsi="Arial" w:cs="Arial"/>
          <w:bCs/>
          <w:sz w:val="22"/>
          <w:szCs w:val="22"/>
          <w:lang w:val="es-ES"/>
        </w:rPr>
        <w:t>v</w:t>
      </w:r>
      <w:r w:rsidR="00DC711D" w:rsidRPr="00EF01D9">
        <w:rPr>
          <w:rFonts w:ascii="Arial" w:eastAsia="Arial Unicode MS" w:hAnsi="Arial" w:cs="Arial"/>
          <w:bCs/>
          <w:sz w:val="22"/>
          <w:szCs w:val="22"/>
          <w:lang w:val="es-ES"/>
        </w:rPr>
        <w:t>erificación</w:t>
      </w:r>
      <w:r w:rsidR="0025732D">
        <w:rPr>
          <w:rFonts w:ascii="Arial" w:eastAsia="Arial Unicode MS" w:hAnsi="Arial" w:cs="Arial"/>
          <w:bCs/>
          <w:sz w:val="22"/>
          <w:szCs w:val="22"/>
          <w:lang w:val="es-ES"/>
        </w:rPr>
        <w:t>, antes del único desembolso</w:t>
      </w:r>
      <w:r w:rsidR="00DC711D" w:rsidRPr="00EF01D9">
        <w:rPr>
          <w:rFonts w:ascii="Arial" w:eastAsia="Arial Unicode MS" w:hAnsi="Arial" w:cs="Arial"/>
          <w:bCs/>
          <w:sz w:val="22"/>
          <w:szCs w:val="22"/>
          <w:lang w:val="es-ES"/>
        </w:rPr>
        <w:t xml:space="preserve">. </w:t>
      </w:r>
      <w:r w:rsidR="00750A10" w:rsidRPr="00EF01D9">
        <w:rPr>
          <w:rFonts w:ascii="Arial" w:eastAsia="Arial Unicode MS" w:hAnsi="Arial" w:cs="Arial"/>
          <w:bCs/>
          <w:sz w:val="22"/>
          <w:szCs w:val="22"/>
          <w:lang w:val="es-ES"/>
        </w:rPr>
        <w:t xml:space="preserve">El equipo del proyecto se asegurará que </w:t>
      </w:r>
      <w:r w:rsidR="0025732D">
        <w:rPr>
          <w:rFonts w:ascii="Arial" w:eastAsia="Arial Unicode MS" w:hAnsi="Arial" w:cs="Arial"/>
          <w:bCs/>
          <w:sz w:val="22"/>
          <w:szCs w:val="22"/>
          <w:lang w:val="es-ES"/>
        </w:rPr>
        <w:t xml:space="preserve">las autoridades presenten </w:t>
      </w:r>
      <w:r w:rsidR="00750A10" w:rsidRPr="00EF01D9">
        <w:rPr>
          <w:rFonts w:ascii="Arial" w:eastAsia="Arial Unicode MS" w:hAnsi="Arial" w:cs="Arial"/>
          <w:bCs/>
          <w:sz w:val="22"/>
          <w:szCs w:val="22"/>
          <w:lang w:val="es-ES"/>
        </w:rPr>
        <w:t>t</w:t>
      </w:r>
      <w:r w:rsidR="00DC711D" w:rsidRPr="00EF01D9">
        <w:rPr>
          <w:rFonts w:ascii="Arial" w:eastAsia="Arial Unicode MS" w:hAnsi="Arial" w:cs="Arial"/>
          <w:bCs/>
          <w:sz w:val="22"/>
          <w:szCs w:val="22"/>
          <w:lang w:val="es-ES"/>
        </w:rPr>
        <w:t>odos los documentos definidos como medios de verificación</w:t>
      </w:r>
      <w:r w:rsidR="0025732D">
        <w:rPr>
          <w:rFonts w:ascii="Arial" w:eastAsia="Arial Unicode MS" w:hAnsi="Arial" w:cs="Arial"/>
          <w:bCs/>
          <w:sz w:val="22"/>
          <w:szCs w:val="22"/>
          <w:lang w:val="es-ES"/>
        </w:rPr>
        <w:t xml:space="preserve">, </w:t>
      </w:r>
      <w:r w:rsidR="00DC711D" w:rsidRPr="00EF01D9">
        <w:rPr>
          <w:rFonts w:ascii="Arial" w:eastAsia="Arial Unicode MS" w:hAnsi="Arial" w:cs="Arial"/>
          <w:bCs/>
          <w:sz w:val="22"/>
          <w:szCs w:val="22"/>
          <w:lang w:val="es-ES"/>
        </w:rPr>
        <w:t xml:space="preserve">a más tardar </w:t>
      </w:r>
      <w:r w:rsidR="00DA1F98">
        <w:rPr>
          <w:rFonts w:ascii="Arial" w:eastAsia="Arial Unicode MS" w:hAnsi="Arial" w:cs="Arial"/>
          <w:bCs/>
          <w:sz w:val="22"/>
          <w:szCs w:val="22"/>
          <w:lang w:val="es-ES"/>
        </w:rPr>
        <w:t>durante el cuarto trimestre</w:t>
      </w:r>
      <w:r w:rsidR="00DC711D" w:rsidRPr="00EF01D9">
        <w:rPr>
          <w:rFonts w:ascii="Arial" w:eastAsia="Arial Unicode MS" w:hAnsi="Arial" w:cs="Arial"/>
          <w:bCs/>
          <w:sz w:val="22"/>
          <w:szCs w:val="22"/>
          <w:lang w:val="es-ES"/>
        </w:rPr>
        <w:t xml:space="preserve"> de 201</w:t>
      </w:r>
      <w:r w:rsidR="00DA1F98">
        <w:rPr>
          <w:rFonts w:ascii="Arial" w:eastAsia="Arial Unicode MS" w:hAnsi="Arial" w:cs="Arial"/>
          <w:bCs/>
          <w:sz w:val="22"/>
          <w:szCs w:val="22"/>
          <w:lang w:val="es-ES"/>
        </w:rPr>
        <w:t>8</w:t>
      </w:r>
      <w:r w:rsidR="00DC711D" w:rsidRPr="00EF01D9">
        <w:rPr>
          <w:rFonts w:ascii="Arial" w:eastAsia="Arial Unicode MS" w:hAnsi="Arial" w:cs="Arial"/>
          <w:bCs/>
          <w:sz w:val="22"/>
          <w:szCs w:val="22"/>
          <w:lang w:val="es-ES"/>
        </w:rPr>
        <w:t>.</w:t>
      </w:r>
      <w:r w:rsidR="00643525" w:rsidRPr="00EF01D9">
        <w:rPr>
          <w:rFonts w:ascii="Arial" w:eastAsia="Arial Unicode MS" w:hAnsi="Arial" w:cs="Arial"/>
          <w:bCs/>
          <w:sz w:val="22"/>
          <w:szCs w:val="22"/>
          <w:lang w:val="es-ES"/>
        </w:rPr>
        <w:t xml:space="preserve"> </w:t>
      </w:r>
      <w:r w:rsidR="006F7944" w:rsidRPr="00A55C11">
        <w:rPr>
          <w:rFonts w:ascii="Arial" w:eastAsiaTheme="minorHAnsi" w:hAnsi="Arial"/>
          <w:sz w:val="22"/>
          <w:lang w:val="es-US"/>
        </w:rPr>
        <w:t xml:space="preserve">Como indicadores de avance en el cumplimiento, se estarán monitoreando los compromisos a través de los </w:t>
      </w:r>
      <w:r w:rsidR="006F7944" w:rsidRPr="004577C1">
        <w:rPr>
          <w:rFonts w:ascii="Arial" w:eastAsiaTheme="minorHAnsi" w:hAnsi="Arial" w:cs="Arial"/>
          <w:sz w:val="22"/>
          <w:szCs w:val="22"/>
        </w:rPr>
        <w:t>informes generados por SIGOB</w:t>
      </w:r>
      <w:r w:rsidR="006F7944">
        <w:rPr>
          <w:rFonts w:ascii="Arial" w:eastAsiaTheme="minorHAnsi" w:hAnsi="Arial" w:cs="Arial"/>
          <w:sz w:val="22"/>
          <w:szCs w:val="22"/>
        </w:rPr>
        <w:t xml:space="preserve"> y se estarán preparando in</w:t>
      </w:r>
      <w:r w:rsidR="006F7944" w:rsidRPr="00A55C11">
        <w:rPr>
          <w:rFonts w:ascii="Arial" w:eastAsiaTheme="minorHAnsi" w:hAnsi="Arial"/>
          <w:sz w:val="22"/>
          <w:lang w:val="es-US"/>
        </w:rPr>
        <w:t xml:space="preserve">formes de avance de </w:t>
      </w:r>
      <w:r w:rsidR="006F7944" w:rsidRPr="0085294A">
        <w:rPr>
          <w:rFonts w:ascii="Arial" w:eastAsiaTheme="minorHAnsi" w:hAnsi="Arial"/>
          <w:sz w:val="22"/>
          <w:lang w:val="es-US"/>
        </w:rPr>
        <w:t xml:space="preserve">cumplimiento de los </w:t>
      </w:r>
      <w:r w:rsidR="003524DE">
        <w:rPr>
          <w:rFonts w:ascii="Arial" w:eastAsiaTheme="minorHAnsi" w:hAnsi="Arial"/>
          <w:sz w:val="22"/>
          <w:lang w:val="es-US"/>
        </w:rPr>
        <w:t>m</w:t>
      </w:r>
      <w:r w:rsidR="006F7944" w:rsidRPr="0085294A">
        <w:rPr>
          <w:rFonts w:ascii="Arial" w:eastAsiaTheme="minorHAnsi" w:hAnsi="Arial"/>
          <w:sz w:val="22"/>
          <w:lang w:val="es-US"/>
        </w:rPr>
        <w:t xml:space="preserve">ecanismos </w:t>
      </w:r>
      <w:r w:rsidR="003524DE">
        <w:rPr>
          <w:rFonts w:ascii="Arial" w:eastAsiaTheme="minorHAnsi" w:hAnsi="Arial"/>
          <w:sz w:val="22"/>
          <w:lang w:val="es-US"/>
        </w:rPr>
        <w:t>a</w:t>
      </w:r>
      <w:r w:rsidR="006F7944" w:rsidRPr="0085294A">
        <w:rPr>
          <w:rFonts w:ascii="Arial" w:eastAsiaTheme="minorHAnsi" w:hAnsi="Arial"/>
          <w:sz w:val="22"/>
          <w:lang w:val="es-US"/>
        </w:rPr>
        <w:t>ctivadores</w:t>
      </w:r>
      <w:r w:rsidR="003524DE">
        <w:rPr>
          <w:rFonts w:ascii="Arial" w:eastAsiaTheme="minorHAnsi" w:hAnsi="Arial"/>
          <w:sz w:val="22"/>
          <w:lang w:val="es-US"/>
        </w:rPr>
        <w:t xml:space="preserve"> del tercer préstamo</w:t>
      </w:r>
      <w:r w:rsidR="006F7944" w:rsidRPr="0085294A">
        <w:rPr>
          <w:rFonts w:ascii="Arial" w:eastAsiaTheme="minorHAnsi" w:hAnsi="Arial"/>
          <w:sz w:val="22"/>
          <w:lang w:val="es-US"/>
        </w:rPr>
        <w:t>.</w:t>
      </w:r>
    </w:p>
    <w:p w14:paraId="1108F01C" w14:textId="77777777" w:rsidR="004920DE" w:rsidRPr="00EF01D9" w:rsidRDefault="00E640E4" w:rsidP="00D91C47">
      <w:pPr>
        <w:pStyle w:val="Heading1"/>
        <w:numPr>
          <w:ilvl w:val="0"/>
          <w:numId w:val="7"/>
        </w:numPr>
        <w:ind w:left="0" w:firstLine="0"/>
        <w:jc w:val="center"/>
        <w:rPr>
          <w:rFonts w:ascii="Arial" w:hAnsi="Arial" w:cs="Arial"/>
          <w:noProof/>
          <w:color w:val="000000" w:themeColor="text1"/>
          <w:sz w:val="22"/>
          <w:szCs w:val="22"/>
          <w:lang w:val="es-ES"/>
        </w:rPr>
      </w:pPr>
      <w:bookmarkStart w:id="13" w:name="_Toc511826637"/>
      <w:r w:rsidRPr="00EF01D9">
        <w:rPr>
          <w:rFonts w:ascii="Arial" w:hAnsi="Arial" w:cs="Arial"/>
          <w:noProof/>
          <w:color w:val="000000" w:themeColor="text1"/>
          <w:sz w:val="22"/>
          <w:szCs w:val="22"/>
          <w:lang w:val="es-ES"/>
        </w:rPr>
        <w:t xml:space="preserve">Plan de </w:t>
      </w:r>
      <w:r w:rsidR="00652AD4" w:rsidRPr="00EF01D9">
        <w:rPr>
          <w:rFonts w:ascii="Arial" w:hAnsi="Arial" w:cs="Arial"/>
          <w:noProof/>
          <w:color w:val="000000" w:themeColor="text1"/>
          <w:sz w:val="22"/>
          <w:szCs w:val="22"/>
          <w:lang w:val="es-ES"/>
        </w:rPr>
        <w:t>Evaluación</w:t>
      </w:r>
      <w:bookmarkEnd w:id="13"/>
    </w:p>
    <w:p w14:paraId="1E4A8564" w14:textId="22A769C2" w:rsidR="00EE3542" w:rsidRPr="007A4E86" w:rsidRDefault="00652AD4" w:rsidP="00EE3542">
      <w:pPr>
        <w:pStyle w:val="BodyText2"/>
        <w:numPr>
          <w:ilvl w:val="1"/>
          <w:numId w:val="7"/>
        </w:numPr>
        <w:tabs>
          <w:tab w:val="left" w:pos="720"/>
        </w:tabs>
        <w:spacing w:before="120" w:line="240" w:lineRule="auto"/>
        <w:ind w:left="720" w:hanging="720"/>
        <w:jc w:val="both"/>
        <w:rPr>
          <w:rFonts w:ascii="Arial" w:hAnsi="Arial" w:cs="Arial"/>
          <w:sz w:val="22"/>
          <w:szCs w:val="22"/>
          <w:lang w:val="es-ES"/>
        </w:rPr>
      </w:pPr>
      <w:r w:rsidRPr="00EE3542">
        <w:rPr>
          <w:rFonts w:ascii="Arial" w:hAnsi="Arial" w:cs="Arial"/>
          <w:sz w:val="22"/>
          <w:szCs w:val="22"/>
          <w:lang w:val="es-ES"/>
        </w:rPr>
        <w:t xml:space="preserve">En esta sección se </w:t>
      </w:r>
      <w:r w:rsidR="00685774" w:rsidRPr="00EE3542">
        <w:rPr>
          <w:rFonts w:ascii="Arial" w:hAnsi="Arial" w:cs="Arial"/>
          <w:sz w:val="22"/>
          <w:szCs w:val="22"/>
          <w:lang w:val="es-ES"/>
        </w:rPr>
        <w:t>presenta</w:t>
      </w:r>
      <w:r w:rsidR="007A4E86">
        <w:rPr>
          <w:rFonts w:ascii="Arial" w:hAnsi="Arial" w:cs="Arial"/>
          <w:sz w:val="22"/>
          <w:szCs w:val="22"/>
          <w:lang w:val="es-ES"/>
        </w:rPr>
        <w:t>: (i)</w:t>
      </w:r>
      <w:r w:rsidRPr="00EE3542">
        <w:rPr>
          <w:rFonts w:ascii="Arial" w:hAnsi="Arial" w:cs="Arial"/>
          <w:sz w:val="22"/>
          <w:szCs w:val="22"/>
          <w:lang w:val="es-ES"/>
        </w:rPr>
        <w:t xml:space="preserve"> la metodología de evaluación </w:t>
      </w:r>
      <w:r w:rsidR="00EE3542" w:rsidRPr="00EE3542">
        <w:rPr>
          <w:rFonts w:ascii="Arial" w:hAnsi="Arial" w:cs="Arial"/>
          <w:sz w:val="22"/>
          <w:szCs w:val="22"/>
          <w:lang w:val="es-ES"/>
        </w:rPr>
        <w:t xml:space="preserve">ex ante </w:t>
      </w:r>
      <w:r w:rsidRPr="00EE3542">
        <w:rPr>
          <w:rFonts w:ascii="Arial" w:hAnsi="Arial" w:cs="Arial"/>
          <w:sz w:val="22"/>
          <w:szCs w:val="22"/>
          <w:lang w:val="es-ES"/>
        </w:rPr>
        <w:t xml:space="preserve">del </w:t>
      </w:r>
      <w:r w:rsidR="00B41C15" w:rsidRPr="00EE3542">
        <w:rPr>
          <w:rFonts w:ascii="Arial" w:hAnsi="Arial" w:cs="Arial"/>
          <w:sz w:val="22"/>
          <w:szCs w:val="22"/>
          <w:lang w:val="es-ES"/>
        </w:rPr>
        <w:t>programa</w:t>
      </w:r>
      <w:r w:rsidR="0025732D" w:rsidRPr="00EE3542">
        <w:rPr>
          <w:rFonts w:ascii="Arial" w:hAnsi="Arial" w:cs="Arial"/>
          <w:sz w:val="22"/>
          <w:szCs w:val="22"/>
          <w:lang w:val="es-ES"/>
        </w:rPr>
        <w:t xml:space="preserve">, </w:t>
      </w:r>
      <w:r w:rsidR="00EE3542" w:rsidRPr="00EE3542">
        <w:rPr>
          <w:rFonts w:ascii="Arial" w:eastAsia="Arial Unicode MS" w:hAnsi="Arial" w:cs="Arial"/>
          <w:bCs/>
          <w:sz w:val="22"/>
          <w:szCs w:val="22"/>
          <w:lang w:val="es-ES"/>
        </w:rPr>
        <w:t>resumiendo la descripción d</w:t>
      </w:r>
      <w:r w:rsidR="00685774" w:rsidRPr="00EE3542">
        <w:rPr>
          <w:rFonts w:ascii="Arial" w:hAnsi="Arial" w:cs="Arial"/>
          <w:sz w:val="22"/>
          <w:szCs w:val="22"/>
          <w:lang w:val="es-ES"/>
        </w:rPr>
        <w:t>el alcance</w:t>
      </w:r>
      <w:r w:rsidR="00EE3542" w:rsidRPr="00EE3542">
        <w:rPr>
          <w:rFonts w:ascii="Arial" w:hAnsi="Arial" w:cs="Arial"/>
          <w:sz w:val="22"/>
          <w:szCs w:val="22"/>
          <w:lang w:val="es-ES"/>
        </w:rPr>
        <w:t>,</w:t>
      </w:r>
      <w:r w:rsidR="00685774" w:rsidRPr="00EE3542">
        <w:rPr>
          <w:rFonts w:ascii="Arial" w:hAnsi="Arial" w:cs="Arial"/>
          <w:sz w:val="22"/>
          <w:szCs w:val="22"/>
          <w:lang w:val="es-ES"/>
        </w:rPr>
        <w:t xml:space="preserve"> </w:t>
      </w:r>
      <w:r w:rsidR="005B4C61">
        <w:rPr>
          <w:rFonts w:ascii="Arial" w:hAnsi="Arial" w:cs="Arial"/>
          <w:sz w:val="22"/>
          <w:szCs w:val="22"/>
          <w:lang w:val="es-ES"/>
        </w:rPr>
        <w:t>los</w:t>
      </w:r>
      <w:r w:rsidR="00EE3542" w:rsidRPr="00EE3542">
        <w:rPr>
          <w:rFonts w:ascii="Arial" w:hAnsi="Arial" w:cs="Arial"/>
          <w:sz w:val="22"/>
          <w:szCs w:val="22"/>
          <w:lang w:val="es-ES"/>
        </w:rPr>
        <w:t xml:space="preserve"> beneficios</w:t>
      </w:r>
      <w:r w:rsidR="00605BB9">
        <w:rPr>
          <w:rFonts w:ascii="Arial" w:hAnsi="Arial" w:cs="Arial"/>
          <w:sz w:val="22"/>
          <w:szCs w:val="22"/>
          <w:lang w:val="es-ES"/>
        </w:rPr>
        <w:t xml:space="preserve"> </w:t>
      </w:r>
      <w:r w:rsidR="005B4C61">
        <w:rPr>
          <w:rFonts w:ascii="Arial" w:hAnsi="Arial" w:cs="Arial"/>
          <w:sz w:val="22"/>
          <w:szCs w:val="22"/>
          <w:lang w:val="es-ES"/>
        </w:rPr>
        <w:t>cuantificables</w:t>
      </w:r>
      <w:r w:rsidR="00EE3542" w:rsidRPr="00EE3542">
        <w:rPr>
          <w:rFonts w:ascii="Arial" w:hAnsi="Arial" w:cs="Arial"/>
          <w:sz w:val="22"/>
          <w:szCs w:val="22"/>
          <w:lang w:val="es-ES"/>
        </w:rPr>
        <w:t xml:space="preserve"> </w:t>
      </w:r>
      <w:r w:rsidR="005B4C61">
        <w:rPr>
          <w:rFonts w:ascii="Arial" w:hAnsi="Arial" w:cs="Arial"/>
          <w:sz w:val="22"/>
          <w:szCs w:val="22"/>
          <w:lang w:val="es-ES"/>
        </w:rPr>
        <w:t xml:space="preserve">y </w:t>
      </w:r>
      <w:r w:rsidR="00685774" w:rsidRPr="00EE3542">
        <w:rPr>
          <w:rFonts w:ascii="Arial" w:hAnsi="Arial" w:cs="Arial"/>
          <w:sz w:val="22"/>
          <w:szCs w:val="22"/>
          <w:lang w:val="es-ES"/>
        </w:rPr>
        <w:t>mecanismos de recolección de información</w:t>
      </w:r>
      <w:r w:rsidR="005B4C61">
        <w:rPr>
          <w:rFonts w:ascii="Arial" w:hAnsi="Arial" w:cs="Arial"/>
          <w:sz w:val="22"/>
          <w:szCs w:val="22"/>
          <w:lang w:val="es-ES"/>
        </w:rPr>
        <w:t>;</w:t>
      </w:r>
      <w:r w:rsidR="007A4E86">
        <w:rPr>
          <w:rFonts w:ascii="Arial" w:hAnsi="Arial" w:cs="Arial"/>
          <w:sz w:val="22"/>
          <w:szCs w:val="22"/>
          <w:lang w:val="es-ES"/>
        </w:rPr>
        <w:t xml:space="preserve"> y (ii) e</w:t>
      </w:r>
      <w:r w:rsidR="007A4E86" w:rsidRPr="00EE3542">
        <w:rPr>
          <w:rFonts w:ascii="Arial" w:hAnsi="Arial" w:cs="Arial"/>
          <w:sz w:val="22"/>
          <w:szCs w:val="22"/>
          <w:lang w:val="es-ES"/>
        </w:rPr>
        <w:t>valuación</w:t>
      </w:r>
      <w:r w:rsidR="007A4E86" w:rsidRPr="007A4E86">
        <w:rPr>
          <w:rFonts w:ascii="Arial" w:hAnsi="Arial" w:cs="Arial"/>
          <w:sz w:val="22"/>
          <w:szCs w:val="22"/>
          <w:lang w:val="es-ES"/>
        </w:rPr>
        <w:t xml:space="preserve"> de indicadores de resultados e impacto antes y después</w:t>
      </w:r>
      <w:r w:rsidR="007A4E86">
        <w:rPr>
          <w:rFonts w:ascii="Arial" w:hAnsi="Arial" w:cs="Arial"/>
          <w:sz w:val="22"/>
          <w:szCs w:val="22"/>
          <w:lang w:val="es-ES"/>
        </w:rPr>
        <w:t xml:space="preserve"> de la ejecución del segundo préstamo.</w:t>
      </w:r>
    </w:p>
    <w:p w14:paraId="7EC2AD36" w14:textId="30E3629A" w:rsidR="00652AD4" w:rsidRPr="00EE3542" w:rsidRDefault="00652AD4" w:rsidP="00EE3542">
      <w:pPr>
        <w:pStyle w:val="Subtitle"/>
        <w:numPr>
          <w:ilvl w:val="0"/>
          <w:numId w:val="15"/>
        </w:numPr>
        <w:tabs>
          <w:tab w:val="left" w:pos="1260"/>
        </w:tabs>
        <w:spacing w:before="240" w:after="0"/>
        <w:jc w:val="left"/>
        <w:rPr>
          <w:rFonts w:ascii="Arial" w:hAnsi="Arial" w:cs="Arial"/>
          <w:b/>
          <w:sz w:val="22"/>
          <w:szCs w:val="22"/>
          <w:lang w:val="es-ES"/>
        </w:rPr>
      </w:pPr>
      <w:bookmarkStart w:id="14" w:name="_Toc511826638"/>
      <w:r w:rsidRPr="00EE3542">
        <w:rPr>
          <w:rFonts w:ascii="Arial" w:hAnsi="Arial" w:cs="Arial"/>
          <w:b/>
          <w:sz w:val="22"/>
          <w:szCs w:val="22"/>
          <w:lang w:val="es-ES"/>
        </w:rPr>
        <w:t>Principales preguntas de evaluación</w:t>
      </w:r>
      <w:bookmarkEnd w:id="14"/>
    </w:p>
    <w:p w14:paraId="14DA533F" w14:textId="77777777" w:rsidR="00D2248C" w:rsidRPr="00D2248C" w:rsidRDefault="00652AD4" w:rsidP="00D2248C">
      <w:pPr>
        <w:pStyle w:val="BodyText2"/>
        <w:numPr>
          <w:ilvl w:val="1"/>
          <w:numId w:val="7"/>
        </w:numPr>
        <w:tabs>
          <w:tab w:val="left" w:pos="720"/>
        </w:tabs>
        <w:spacing w:before="120" w:line="240" w:lineRule="auto"/>
        <w:ind w:left="720" w:hanging="720"/>
        <w:jc w:val="both"/>
        <w:rPr>
          <w:rFonts w:ascii="Arial" w:hAnsi="Arial" w:cs="Arial"/>
          <w:b/>
          <w:sz w:val="22"/>
          <w:szCs w:val="22"/>
          <w:lang w:val="es-ES"/>
        </w:rPr>
      </w:pPr>
      <w:r w:rsidRPr="00EF01D9">
        <w:rPr>
          <w:rFonts w:ascii="Arial" w:hAnsi="Arial" w:cs="Arial"/>
          <w:sz w:val="22"/>
          <w:szCs w:val="22"/>
          <w:lang w:val="es-ES"/>
        </w:rPr>
        <w:t xml:space="preserve">La principal pregunta </w:t>
      </w:r>
      <w:r w:rsidR="00E640E4" w:rsidRPr="00EF01D9">
        <w:rPr>
          <w:rFonts w:ascii="Arial" w:hAnsi="Arial" w:cs="Arial"/>
          <w:sz w:val="22"/>
          <w:szCs w:val="22"/>
          <w:lang w:val="es-ES"/>
        </w:rPr>
        <w:t>que se desea responder con la</w:t>
      </w:r>
      <w:r w:rsidRPr="00EF01D9">
        <w:rPr>
          <w:rFonts w:ascii="Arial" w:hAnsi="Arial" w:cs="Arial"/>
          <w:sz w:val="22"/>
          <w:szCs w:val="22"/>
          <w:lang w:val="es-ES"/>
        </w:rPr>
        <w:t xml:space="preserve"> evaluaci</w:t>
      </w:r>
      <w:r w:rsidR="00685774" w:rsidRPr="00EF01D9">
        <w:rPr>
          <w:rFonts w:ascii="Arial" w:hAnsi="Arial" w:cs="Arial"/>
          <w:sz w:val="22"/>
          <w:szCs w:val="22"/>
          <w:lang w:val="es-ES"/>
        </w:rPr>
        <w:t xml:space="preserve">ón </w:t>
      </w:r>
      <w:r w:rsidR="0025732D">
        <w:rPr>
          <w:rFonts w:ascii="Arial" w:hAnsi="Arial" w:cs="Arial"/>
          <w:sz w:val="22"/>
          <w:szCs w:val="22"/>
          <w:lang w:val="es-ES"/>
        </w:rPr>
        <w:t>para determinar la efectividad del programa en el logro de su objetivo es s</w:t>
      </w:r>
      <w:r w:rsidR="00685774" w:rsidRPr="00EF01D9">
        <w:rPr>
          <w:rFonts w:ascii="Arial" w:hAnsi="Arial" w:cs="Arial"/>
          <w:sz w:val="22"/>
          <w:szCs w:val="22"/>
          <w:lang w:val="es-ES"/>
        </w:rPr>
        <w:t xml:space="preserve">i las medidas de reforma planteadas </w:t>
      </w:r>
      <w:r w:rsidRPr="00EF01D9">
        <w:rPr>
          <w:rFonts w:ascii="Arial" w:hAnsi="Arial" w:cs="Arial"/>
          <w:sz w:val="22"/>
          <w:szCs w:val="22"/>
          <w:lang w:val="es-ES"/>
        </w:rPr>
        <w:t>contribuye</w:t>
      </w:r>
      <w:r w:rsidR="00685774" w:rsidRPr="00EF01D9">
        <w:rPr>
          <w:rFonts w:ascii="Arial" w:hAnsi="Arial" w:cs="Arial"/>
          <w:sz w:val="22"/>
          <w:szCs w:val="22"/>
          <w:lang w:val="es-ES"/>
        </w:rPr>
        <w:t>n</w:t>
      </w:r>
      <w:r w:rsidRPr="00EF01D9">
        <w:rPr>
          <w:rFonts w:ascii="Arial" w:hAnsi="Arial" w:cs="Arial"/>
          <w:sz w:val="22"/>
          <w:szCs w:val="22"/>
          <w:lang w:val="es-ES"/>
        </w:rPr>
        <w:t xml:space="preserve"> al mejoramiento de la </w:t>
      </w:r>
      <w:r w:rsidRPr="00EF01D9">
        <w:rPr>
          <w:rFonts w:ascii="Arial" w:hAnsi="Arial" w:cs="Arial"/>
          <w:bCs/>
          <w:sz w:val="22"/>
          <w:szCs w:val="22"/>
          <w:lang w:val="es-ES"/>
        </w:rPr>
        <w:t>sostenibilidad</w:t>
      </w:r>
      <w:r w:rsidRPr="00EF01D9">
        <w:rPr>
          <w:rFonts w:ascii="Arial" w:hAnsi="Arial" w:cs="Arial"/>
          <w:sz w:val="22"/>
          <w:szCs w:val="22"/>
          <w:lang w:val="es-ES"/>
        </w:rPr>
        <w:t xml:space="preserve"> financiera </w:t>
      </w:r>
      <w:r w:rsidR="00685774" w:rsidRPr="00EF01D9">
        <w:rPr>
          <w:rFonts w:ascii="Arial" w:hAnsi="Arial" w:cs="Arial"/>
          <w:sz w:val="22"/>
          <w:szCs w:val="22"/>
          <w:lang w:val="es-ES"/>
        </w:rPr>
        <w:t xml:space="preserve">y a la eficiencia </w:t>
      </w:r>
      <w:r w:rsidRPr="00EF01D9">
        <w:rPr>
          <w:rFonts w:ascii="Arial" w:hAnsi="Arial" w:cs="Arial"/>
          <w:sz w:val="22"/>
          <w:szCs w:val="22"/>
          <w:lang w:val="es-ES"/>
        </w:rPr>
        <w:t xml:space="preserve">del </w:t>
      </w:r>
      <w:r w:rsidRPr="00EF01D9">
        <w:rPr>
          <w:rFonts w:ascii="Arial" w:eastAsia="Arial Unicode MS" w:hAnsi="Arial" w:cs="Arial"/>
          <w:bCs/>
          <w:sz w:val="22"/>
          <w:szCs w:val="22"/>
          <w:lang w:val="es-ES"/>
        </w:rPr>
        <w:t>sector</w:t>
      </w:r>
      <w:r w:rsidRPr="00EF01D9">
        <w:rPr>
          <w:rFonts w:ascii="Arial" w:hAnsi="Arial" w:cs="Arial"/>
          <w:sz w:val="22"/>
          <w:szCs w:val="22"/>
          <w:lang w:val="es-ES"/>
        </w:rPr>
        <w:t xml:space="preserve"> eléctrico de </w:t>
      </w:r>
      <w:r w:rsidR="00DD0804">
        <w:rPr>
          <w:rFonts w:ascii="Arial" w:hAnsi="Arial" w:cs="Arial"/>
          <w:sz w:val="22"/>
          <w:szCs w:val="22"/>
          <w:lang w:val="es-ES"/>
        </w:rPr>
        <w:t>la República Dominicana.</w:t>
      </w:r>
    </w:p>
    <w:p w14:paraId="03388E3E" w14:textId="4AE3810B" w:rsidR="00AB13F6" w:rsidRPr="00EF01D9" w:rsidRDefault="00D2248C" w:rsidP="00080787">
      <w:pPr>
        <w:pStyle w:val="Subtitle"/>
        <w:numPr>
          <w:ilvl w:val="0"/>
          <w:numId w:val="15"/>
        </w:numPr>
        <w:tabs>
          <w:tab w:val="left" w:pos="1260"/>
        </w:tabs>
        <w:spacing w:before="240" w:after="0"/>
        <w:jc w:val="left"/>
        <w:rPr>
          <w:rFonts w:ascii="Arial" w:hAnsi="Arial" w:cs="Arial"/>
          <w:b/>
          <w:sz w:val="22"/>
          <w:szCs w:val="22"/>
          <w:lang w:val="es-ES"/>
        </w:rPr>
      </w:pPr>
      <w:r w:rsidRPr="00EF01D9">
        <w:rPr>
          <w:rFonts w:ascii="Arial" w:hAnsi="Arial" w:cs="Arial"/>
          <w:b/>
          <w:sz w:val="22"/>
          <w:szCs w:val="22"/>
          <w:lang w:val="es-ES"/>
        </w:rPr>
        <w:t xml:space="preserve"> </w:t>
      </w:r>
      <w:bookmarkStart w:id="15" w:name="_Toc511826639"/>
      <w:r w:rsidR="00C82682" w:rsidRPr="00EF01D9">
        <w:rPr>
          <w:rFonts w:ascii="Arial" w:hAnsi="Arial" w:cs="Arial"/>
          <w:b/>
          <w:sz w:val="22"/>
          <w:szCs w:val="22"/>
          <w:lang w:val="es-ES"/>
        </w:rPr>
        <w:t>Metodología de la Evaluación</w:t>
      </w:r>
      <w:bookmarkEnd w:id="15"/>
    </w:p>
    <w:p w14:paraId="0A21EA01" w14:textId="565AED38" w:rsidR="00D2248C" w:rsidRPr="00D6159E" w:rsidRDefault="00D2248C" w:rsidP="00D2248C">
      <w:pPr>
        <w:pStyle w:val="BodyText2"/>
        <w:numPr>
          <w:ilvl w:val="1"/>
          <w:numId w:val="7"/>
        </w:numPr>
        <w:tabs>
          <w:tab w:val="left" w:pos="720"/>
        </w:tabs>
        <w:spacing w:before="120" w:line="240" w:lineRule="auto"/>
        <w:ind w:left="720" w:hanging="720"/>
        <w:jc w:val="both"/>
        <w:rPr>
          <w:rFonts w:ascii="Arial" w:hAnsi="Arial" w:cs="Arial"/>
          <w:sz w:val="22"/>
          <w:szCs w:val="22"/>
          <w:lang w:val="es-ES"/>
        </w:rPr>
      </w:pPr>
      <w:r w:rsidRPr="00D6159E">
        <w:rPr>
          <w:rFonts w:ascii="Arial" w:hAnsi="Arial" w:cs="Arial"/>
          <w:sz w:val="22"/>
          <w:szCs w:val="22"/>
          <w:lang w:val="es-ES"/>
        </w:rPr>
        <w:t xml:space="preserve">Debido a que los recursos desembolsados bajo los PBP son de libre disponibilidad, para el </w:t>
      </w:r>
      <w:r w:rsidRPr="00D6159E">
        <w:rPr>
          <w:rFonts w:ascii="Arial" w:hAnsi="Arial" w:cs="Arial"/>
          <w:sz w:val="22"/>
          <w:szCs w:val="22"/>
          <w:lang w:val="es-CL"/>
        </w:rPr>
        <w:t>análisis</w:t>
      </w:r>
      <w:r w:rsidRPr="00D6159E">
        <w:rPr>
          <w:rFonts w:ascii="Arial" w:hAnsi="Arial" w:cs="Arial"/>
          <w:sz w:val="22"/>
          <w:szCs w:val="22"/>
          <w:lang w:val="es-ES"/>
        </w:rPr>
        <w:t xml:space="preserve"> de la viabilidad económica de un PBP no se realiza una asociación directa entre el monto del programa y los beneficios esperados. Los beneficios esperados como resultado de este segundo préstamo están asociados a los impactos y resultados esperados. El análisis identifica los impactos cuantificables más importantes que se pueden atribuir a las medidas de reforma implementadas bajo el programa. La identificación de los beneficios se realiza partiendo de la base de que las políticas a implementar inducen y/o incentivan las condiciones para generar estos beneficios, reflejados en los impactos y resultados que se proponen como objetivos del </w:t>
      </w:r>
      <w:r w:rsidRPr="00D2248C">
        <w:rPr>
          <w:rFonts w:ascii="Arial" w:hAnsi="Arial" w:cs="Arial"/>
          <w:sz w:val="22"/>
          <w:szCs w:val="22"/>
          <w:lang w:val="es-ES"/>
        </w:rPr>
        <w:t>programa</w:t>
      </w:r>
      <w:r w:rsidRPr="00D6159E">
        <w:rPr>
          <w:rFonts w:ascii="Arial" w:hAnsi="Arial" w:cs="Arial"/>
          <w:sz w:val="22"/>
          <w:szCs w:val="22"/>
          <w:lang w:val="es-ES"/>
        </w:rPr>
        <w:t xml:space="preserve"> en la Matriz de Resultados del programa, sus indicadores, línea de base y metas cuantificadas.</w:t>
      </w:r>
    </w:p>
    <w:p w14:paraId="5282EACB" w14:textId="0F0DFC8C" w:rsidR="000279A7" w:rsidRDefault="000279A7" w:rsidP="00080787">
      <w:pPr>
        <w:pStyle w:val="BodyText2"/>
        <w:numPr>
          <w:ilvl w:val="1"/>
          <w:numId w:val="7"/>
        </w:numPr>
        <w:tabs>
          <w:tab w:val="left" w:pos="720"/>
        </w:tabs>
        <w:spacing w:before="120" w:line="240" w:lineRule="auto"/>
        <w:ind w:left="720" w:hanging="720"/>
        <w:jc w:val="both"/>
        <w:rPr>
          <w:rFonts w:ascii="Arial" w:eastAsia="Calibri" w:hAnsi="Arial" w:cs="Arial"/>
          <w:spacing w:val="0"/>
          <w:sz w:val="22"/>
          <w:szCs w:val="22"/>
          <w:lang w:val="es-ES" w:eastAsia="x-none"/>
        </w:rPr>
      </w:pPr>
      <w:r>
        <w:rPr>
          <w:rFonts w:ascii="Arial" w:eastAsia="Calibri" w:hAnsi="Arial" w:cs="Arial"/>
          <w:spacing w:val="0"/>
          <w:sz w:val="22"/>
          <w:szCs w:val="22"/>
          <w:lang w:val="es-ES" w:eastAsia="x-none"/>
        </w:rPr>
        <w:t xml:space="preserve">El informe de </w:t>
      </w:r>
      <w:proofErr w:type="spellStart"/>
      <w:r w:rsidR="005B4C61">
        <w:rPr>
          <w:rFonts w:ascii="Arial" w:eastAsia="Calibri" w:hAnsi="Arial" w:cs="Arial"/>
          <w:spacing w:val="0"/>
          <w:sz w:val="22"/>
          <w:szCs w:val="22"/>
          <w:lang w:val="es-ES" w:eastAsia="x-none"/>
        </w:rPr>
        <w:t>evaluacion</w:t>
      </w:r>
      <w:proofErr w:type="spellEnd"/>
      <w:r w:rsidR="005B4C61">
        <w:rPr>
          <w:rFonts w:ascii="Arial" w:eastAsia="Calibri" w:hAnsi="Arial" w:cs="Arial"/>
          <w:spacing w:val="0"/>
          <w:sz w:val="22"/>
          <w:szCs w:val="22"/>
          <w:lang w:val="es-ES" w:eastAsia="x-none"/>
        </w:rPr>
        <w:t xml:space="preserve"> de beneficios cuantificables </w:t>
      </w:r>
      <w:r w:rsidRPr="003F5FED">
        <w:rPr>
          <w:rFonts w:ascii="Arial" w:eastAsia="Calibri" w:hAnsi="Arial" w:cs="Arial"/>
          <w:spacing w:val="0"/>
          <w:sz w:val="22"/>
          <w:szCs w:val="22"/>
          <w:lang w:val="es-ES" w:eastAsia="x-none"/>
        </w:rPr>
        <w:t>detalla</w:t>
      </w:r>
      <w:r>
        <w:rPr>
          <w:rFonts w:ascii="Arial" w:eastAsia="Calibri" w:hAnsi="Arial" w:cs="Arial"/>
          <w:spacing w:val="0"/>
          <w:sz w:val="22"/>
          <w:szCs w:val="22"/>
          <w:lang w:val="es-ES" w:eastAsia="x-none"/>
        </w:rPr>
        <w:t xml:space="preserve"> </w:t>
      </w:r>
      <w:r w:rsidR="005B4C61">
        <w:rPr>
          <w:rFonts w:ascii="Arial" w:eastAsia="Calibri" w:hAnsi="Arial" w:cs="Arial"/>
          <w:spacing w:val="0"/>
          <w:sz w:val="22"/>
          <w:szCs w:val="22"/>
          <w:lang w:val="es-ES" w:eastAsia="x-none"/>
        </w:rPr>
        <w:t>la</w:t>
      </w:r>
      <w:r>
        <w:rPr>
          <w:rFonts w:ascii="Arial" w:eastAsia="Calibri" w:hAnsi="Arial" w:cs="Arial"/>
          <w:spacing w:val="0"/>
          <w:sz w:val="22"/>
          <w:szCs w:val="22"/>
          <w:lang w:val="es-ES" w:eastAsia="x-none"/>
        </w:rPr>
        <w:t xml:space="preserve"> metodología y resultados obtenidos, los cuales se resumen en esta sección.</w:t>
      </w:r>
    </w:p>
    <w:p w14:paraId="5B785175" w14:textId="77777777" w:rsidR="00D2248C" w:rsidRPr="00EF01D9" w:rsidRDefault="00D2248C" w:rsidP="00D2248C">
      <w:pPr>
        <w:pStyle w:val="Subtitle"/>
        <w:numPr>
          <w:ilvl w:val="0"/>
          <w:numId w:val="15"/>
        </w:numPr>
        <w:spacing w:before="240" w:after="0"/>
        <w:ind w:left="1260" w:hanging="540"/>
        <w:jc w:val="left"/>
        <w:rPr>
          <w:rFonts w:ascii="Arial" w:hAnsi="Arial" w:cs="Arial"/>
          <w:b/>
          <w:sz w:val="22"/>
          <w:szCs w:val="22"/>
          <w:lang w:val="es-ES"/>
        </w:rPr>
      </w:pPr>
      <w:bookmarkStart w:id="16" w:name="_Toc300558504"/>
      <w:bookmarkStart w:id="17" w:name="_Toc511826640"/>
      <w:r w:rsidRPr="00EF01D9">
        <w:rPr>
          <w:rFonts w:ascii="Arial" w:hAnsi="Arial" w:cs="Arial"/>
          <w:b/>
          <w:sz w:val="22"/>
          <w:szCs w:val="22"/>
          <w:lang w:val="es-ES"/>
        </w:rPr>
        <w:t>Conocimiento existente</w:t>
      </w:r>
      <w:bookmarkEnd w:id="16"/>
      <w:bookmarkEnd w:id="17"/>
    </w:p>
    <w:p w14:paraId="3F5FDE7F" w14:textId="53E77653" w:rsidR="00B24D18" w:rsidRPr="007428BF" w:rsidRDefault="00791B8F" w:rsidP="007428BF">
      <w:pPr>
        <w:pStyle w:val="BodyText2"/>
        <w:numPr>
          <w:ilvl w:val="1"/>
          <w:numId w:val="7"/>
        </w:numPr>
        <w:tabs>
          <w:tab w:val="left" w:pos="720"/>
        </w:tabs>
        <w:spacing w:before="120" w:line="240" w:lineRule="auto"/>
        <w:ind w:left="720" w:hanging="720"/>
        <w:jc w:val="both"/>
        <w:rPr>
          <w:rFonts w:ascii="Arial" w:hAnsi="Arial" w:cs="Arial"/>
          <w:sz w:val="22"/>
          <w:szCs w:val="22"/>
          <w:lang w:val="es-ES"/>
        </w:rPr>
      </w:pPr>
      <w:r>
        <w:rPr>
          <w:rFonts w:ascii="Arial" w:hAnsi="Arial" w:cs="Arial"/>
          <w:sz w:val="22"/>
          <w:szCs w:val="22"/>
          <w:lang w:val="es-ES"/>
        </w:rPr>
        <w:t xml:space="preserve">La evaluación </w:t>
      </w:r>
      <w:r w:rsidR="005B4C61">
        <w:rPr>
          <w:rFonts w:ascii="Arial" w:hAnsi="Arial" w:cs="Arial"/>
          <w:sz w:val="22"/>
          <w:szCs w:val="22"/>
          <w:lang w:val="es-ES"/>
        </w:rPr>
        <w:t>de beneficios</w:t>
      </w:r>
      <w:r>
        <w:rPr>
          <w:rFonts w:ascii="Arial" w:hAnsi="Arial" w:cs="Arial"/>
          <w:sz w:val="22"/>
          <w:szCs w:val="22"/>
          <w:lang w:val="es-ES"/>
        </w:rPr>
        <w:t xml:space="preserve"> se basa en el nivel de logro de los objetivos del programa, el impacto y resultados esperados</w:t>
      </w:r>
      <w:r w:rsidRPr="00791B8F">
        <w:rPr>
          <w:rFonts w:ascii="Arial" w:hAnsi="Arial" w:cs="Arial"/>
          <w:sz w:val="22"/>
          <w:szCs w:val="22"/>
          <w:lang w:val="es-ES"/>
        </w:rPr>
        <w:t xml:space="preserve"> </w:t>
      </w:r>
      <w:r>
        <w:rPr>
          <w:rFonts w:ascii="Arial" w:hAnsi="Arial" w:cs="Arial"/>
          <w:sz w:val="22"/>
          <w:szCs w:val="22"/>
          <w:lang w:val="es-ES"/>
        </w:rPr>
        <w:t xml:space="preserve">de la implementación de las reformas. </w:t>
      </w:r>
      <w:r w:rsidR="00D2248C" w:rsidRPr="00D2248C">
        <w:rPr>
          <w:rFonts w:ascii="Arial" w:hAnsi="Arial" w:cs="Arial"/>
          <w:sz w:val="22"/>
          <w:szCs w:val="22"/>
          <w:lang w:val="es-ES"/>
        </w:rPr>
        <w:t>Los principales beneficios esperados</w:t>
      </w:r>
      <w:r w:rsidR="00080787">
        <w:rPr>
          <w:rFonts w:ascii="Arial" w:hAnsi="Arial" w:cs="Arial"/>
          <w:sz w:val="22"/>
          <w:szCs w:val="22"/>
          <w:lang w:val="es-ES"/>
        </w:rPr>
        <w:t xml:space="preserve"> como impacto y resultado </w:t>
      </w:r>
      <w:r w:rsidR="00D2248C" w:rsidRPr="00D2248C">
        <w:rPr>
          <w:rFonts w:ascii="Arial" w:hAnsi="Arial" w:cs="Arial"/>
          <w:sz w:val="22"/>
          <w:szCs w:val="22"/>
          <w:lang w:val="es-ES"/>
        </w:rPr>
        <w:t xml:space="preserve">se derivan de: (A) beneficios en sostenibilidad financiera del sector. </w:t>
      </w:r>
      <w:r w:rsidR="00D2248C">
        <w:rPr>
          <w:rFonts w:ascii="Arial" w:hAnsi="Arial" w:cs="Arial"/>
          <w:sz w:val="22"/>
          <w:szCs w:val="22"/>
          <w:lang w:val="es-ES"/>
        </w:rPr>
        <w:t>Estos</w:t>
      </w:r>
      <w:r w:rsidR="00D2248C" w:rsidRPr="00D2248C">
        <w:rPr>
          <w:rFonts w:ascii="Arial" w:hAnsi="Arial" w:cs="Arial"/>
          <w:sz w:val="22"/>
          <w:szCs w:val="22"/>
          <w:lang w:val="es-ES"/>
        </w:rPr>
        <w:t xml:space="preserve"> beneficios se derivan de las medidas para obtener: </w:t>
      </w:r>
      <w:r w:rsidR="005B4C61" w:rsidRPr="00190FD8">
        <w:rPr>
          <w:rFonts w:ascii="Arial" w:hAnsi="Arial" w:cs="Arial"/>
          <w:sz w:val="22"/>
          <w:szCs w:val="22"/>
          <w:lang w:val="es-CO"/>
        </w:rPr>
        <w:t>(</w:t>
      </w:r>
      <w:r w:rsidR="005B4C61">
        <w:rPr>
          <w:rFonts w:ascii="Arial" w:hAnsi="Arial" w:cs="Arial"/>
          <w:sz w:val="22"/>
          <w:szCs w:val="22"/>
          <w:lang w:val="es-CO"/>
        </w:rPr>
        <w:t>i</w:t>
      </w:r>
      <w:r w:rsidR="005B4C61" w:rsidRPr="00190FD8">
        <w:rPr>
          <w:rFonts w:ascii="Arial" w:hAnsi="Arial" w:cs="Arial"/>
          <w:sz w:val="22"/>
          <w:szCs w:val="22"/>
          <w:lang w:val="es-CO"/>
        </w:rPr>
        <w:t>) la reducción de costos de generación, medida por medio de los cambios en el costo marginal de la generación en US$/</w:t>
      </w:r>
      <w:proofErr w:type="spellStart"/>
      <w:r w:rsidR="005B4C61" w:rsidRPr="00190FD8">
        <w:rPr>
          <w:rFonts w:ascii="Arial" w:hAnsi="Arial" w:cs="Arial"/>
          <w:sz w:val="22"/>
          <w:szCs w:val="22"/>
          <w:lang w:val="es-CO"/>
        </w:rPr>
        <w:t>MWh</w:t>
      </w:r>
      <w:proofErr w:type="spellEnd"/>
      <w:r w:rsidR="005B4C61" w:rsidRPr="00190FD8">
        <w:rPr>
          <w:rFonts w:ascii="Arial" w:hAnsi="Arial" w:cs="Arial"/>
          <w:sz w:val="22"/>
          <w:szCs w:val="22"/>
          <w:lang w:val="es-CO"/>
        </w:rPr>
        <w:t>; y (</w:t>
      </w:r>
      <w:r w:rsidR="005B4C61">
        <w:rPr>
          <w:rFonts w:ascii="Arial" w:hAnsi="Arial" w:cs="Arial"/>
          <w:sz w:val="22"/>
          <w:szCs w:val="22"/>
          <w:lang w:val="es-CO"/>
        </w:rPr>
        <w:t>ii</w:t>
      </w:r>
      <w:r w:rsidR="005B4C61" w:rsidRPr="00190FD8">
        <w:rPr>
          <w:rFonts w:ascii="Arial" w:hAnsi="Arial" w:cs="Arial"/>
          <w:sz w:val="22"/>
          <w:szCs w:val="22"/>
          <w:lang w:val="es-CO"/>
        </w:rPr>
        <w:t xml:space="preserve">) reducción de </w:t>
      </w:r>
      <w:r w:rsidR="005B4C61" w:rsidRPr="00190FD8">
        <w:rPr>
          <w:rFonts w:ascii="Arial" w:hAnsi="Arial" w:cs="Arial"/>
          <w:sz w:val="22"/>
          <w:szCs w:val="22"/>
        </w:rPr>
        <w:t>transferencias</w:t>
      </w:r>
      <w:r w:rsidR="005B4C61" w:rsidRPr="00190FD8">
        <w:rPr>
          <w:rFonts w:ascii="Arial" w:hAnsi="Arial" w:cs="Arial"/>
          <w:sz w:val="22"/>
          <w:szCs w:val="22"/>
          <w:lang w:val="es-CO"/>
        </w:rPr>
        <w:t xml:space="preserve"> fiscales al sector</w:t>
      </w:r>
      <w:r w:rsidR="00D2248C" w:rsidRPr="00D2248C">
        <w:rPr>
          <w:rFonts w:ascii="Arial" w:hAnsi="Arial" w:cs="Arial"/>
          <w:sz w:val="22"/>
          <w:szCs w:val="22"/>
          <w:lang w:val="es-ES"/>
        </w:rPr>
        <w:t xml:space="preserve">; y (B) beneficios por mejoras en eficiencia operativa. </w:t>
      </w:r>
      <w:r w:rsidR="005B4C61" w:rsidRPr="00190FD8">
        <w:rPr>
          <w:rFonts w:ascii="Arial" w:hAnsi="Arial" w:cs="Arial"/>
          <w:sz w:val="22"/>
          <w:szCs w:val="22"/>
        </w:rPr>
        <w:t>El programa induce la introducción de medidas</w:t>
      </w:r>
      <w:r w:rsidR="005B4C61" w:rsidRPr="00190FD8">
        <w:rPr>
          <w:rFonts w:ascii="Arial" w:hAnsi="Arial" w:cs="Arial"/>
          <w:sz w:val="22"/>
          <w:szCs w:val="22"/>
          <w:lang w:val="es-CL"/>
        </w:rPr>
        <w:t xml:space="preserve"> para mejorar la eficiencia y sostenibilidad operativa y financiera en la distribución de energía eléctrica, por medio de la introducción del </w:t>
      </w:r>
      <w:r w:rsidR="005B4C61" w:rsidRPr="00190FD8">
        <w:rPr>
          <w:rFonts w:ascii="Arial" w:hAnsi="Arial" w:cs="Arial"/>
          <w:sz w:val="22"/>
          <w:szCs w:val="22"/>
        </w:rPr>
        <w:t>Plan Estratégico y de Negocios para la Mejora de Gestión 2017-2022, con metas para reducir las pérdidas y establecer indicadores de gestión y desempeño</w:t>
      </w:r>
      <w:r w:rsidR="00D2248C">
        <w:rPr>
          <w:rFonts w:ascii="Arial" w:hAnsi="Arial" w:cs="Arial"/>
          <w:sz w:val="22"/>
          <w:szCs w:val="22"/>
        </w:rPr>
        <w:t>.</w:t>
      </w:r>
    </w:p>
    <w:p w14:paraId="12DC873C" w14:textId="5BE79157" w:rsidR="00CE685D" w:rsidRDefault="00CE685D" w:rsidP="00CE685D">
      <w:pPr>
        <w:pStyle w:val="Subtitle"/>
        <w:numPr>
          <w:ilvl w:val="0"/>
          <w:numId w:val="15"/>
        </w:numPr>
        <w:tabs>
          <w:tab w:val="left" w:pos="1260"/>
        </w:tabs>
        <w:spacing w:before="240" w:after="0"/>
        <w:jc w:val="left"/>
        <w:rPr>
          <w:rFonts w:ascii="Arial" w:hAnsi="Arial" w:cs="Arial"/>
          <w:b/>
          <w:sz w:val="22"/>
          <w:szCs w:val="22"/>
          <w:lang w:val="es-ES"/>
        </w:rPr>
      </w:pPr>
      <w:bookmarkStart w:id="18" w:name="_Toc511826641"/>
      <w:r w:rsidRPr="00CE685D">
        <w:rPr>
          <w:rFonts w:ascii="Arial" w:hAnsi="Arial" w:cs="Arial"/>
          <w:b/>
          <w:sz w:val="22"/>
          <w:szCs w:val="22"/>
          <w:lang w:val="es-ES"/>
        </w:rPr>
        <w:t>Resultados de la evaluación</w:t>
      </w:r>
      <w:r w:rsidR="004E6327">
        <w:rPr>
          <w:rFonts w:ascii="Arial" w:hAnsi="Arial" w:cs="Arial"/>
          <w:b/>
          <w:sz w:val="22"/>
          <w:szCs w:val="22"/>
          <w:lang w:val="es-ES"/>
        </w:rPr>
        <w:t xml:space="preserve"> ex ante</w:t>
      </w:r>
      <w:bookmarkEnd w:id="18"/>
    </w:p>
    <w:p w14:paraId="5DBFA353" w14:textId="77777777" w:rsidR="00B24D18" w:rsidRPr="00B24D18" w:rsidRDefault="00B24D18" w:rsidP="00B24D18">
      <w:pPr>
        <w:rPr>
          <w:lang w:val="es-ES"/>
        </w:rPr>
      </w:pPr>
    </w:p>
    <w:p w14:paraId="0CBE7918" w14:textId="77777777" w:rsidR="007A4E86" w:rsidRPr="00123D5D" w:rsidRDefault="007A4E86" w:rsidP="007A4E86">
      <w:pPr>
        <w:pStyle w:val="ListParagraph"/>
        <w:numPr>
          <w:ilvl w:val="0"/>
          <w:numId w:val="31"/>
        </w:numPr>
        <w:tabs>
          <w:tab w:val="left" w:pos="9090"/>
        </w:tabs>
        <w:spacing w:before="120"/>
        <w:ind w:right="-270"/>
        <w:jc w:val="both"/>
        <w:rPr>
          <w:rFonts w:ascii="Arial" w:eastAsiaTheme="minorHAnsi" w:hAnsi="Arial" w:cs="Arial"/>
          <w:b/>
          <w:spacing w:val="0"/>
          <w:sz w:val="22"/>
          <w:szCs w:val="22"/>
          <w:lang w:val="es-CO"/>
        </w:rPr>
      </w:pPr>
      <w:r w:rsidRPr="00123D5D">
        <w:rPr>
          <w:rFonts w:ascii="Arial" w:eastAsiaTheme="minorHAnsi" w:hAnsi="Arial" w:cs="Arial"/>
          <w:b/>
          <w:spacing w:val="0"/>
          <w:sz w:val="22"/>
          <w:szCs w:val="22"/>
          <w:lang w:val="es-CO"/>
        </w:rPr>
        <w:t xml:space="preserve">Beneficios en </w:t>
      </w:r>
      <w:r w:rsidRPr="00123D5D">
        <w:rPr>
          <w:rFonts w:ascii="Arial" w:hAnsi="Arial" w:cs="Arial"/>
          <w:b/>
          <w:sz w:val="22"/>
          <w:szCs w:val="22"/>
          <w:lang w:val="es-ES"/>
        </w:rPr>
        <w:t>sostenibilidad</w:t>
      </w:r>
      <w:r w:rsidRPr="00123D5D">
        <w:rPr>
          <w:rFonts w:ascii="Arial" w:eastAsiaTheme="minorHAnsi" w:hAnsi="Arial" w:cs="Arial"/>
          <w:b/>
          <w:spacing w:val="0"/>
          <w:sz w:val="22"/>
          <w:szCs w:val="22"/>
          <w:lang w:val="es-CO"/>
        </w:rPr>
        <w:t xml:space="preserve"> financiera</w:t>
      </w:r>
    </w:p>
    <w:p w14:paraId="4F75BD01" w14:textId="2F2E54EB" w:rsidR="000279A7" w:rsidRPr="000279A7" w:rsidRDefault="000279A7" w:rsidP="000279A7">
      <w:pPr>
        <w:pStyle w:val="BodyText2"/>
        <w:numPr>
          <w:ilvl w:val="1"/>
          <w:numId w:val="7"/>
        </w:numPr>
        <w:tabs>
          <w:tab w:val="left" w:pos="720"/>
        </w:tabs>
        <w:spacing w:before="120" w:line="240" w:lineRule="auto"/>
        <w:ind w:left="720" w:hanging="720"/>
        <w:jc w:val="both"/>
        <w:rPr>
          <w:rFonts w:ascii="Arial" w:hAnsi="Arial" w:cs="Arial"/>
          <w:sz w:val="22"/>
          <w:szCs w:val="22"/>
          <w:lang w:val="es-ES"/>
        </w:rPr>
      </w:pPr>
      <w:r w:rsidRPr="00EB05E4">
        <w:rPr>
          <w:rFonts w:ascii="Arial" w:hAnsi="Arial" w:cs="Arial"/>
          <w:b/>
          <w:sz w:val="22"/>
          <w:szCs w:val="22"/>
          <w:lang w:val="es-ES"/>
        </w:rPr>
        <w:t>Reducción de costos de generación</w:t>
      </w:r>
      <w:r w:rsidRPr="00123D5D">
        <w:rPr>
          <w:rFonts w:ascii="Arial" w:hAnsi="Arial" w:cs="Arial"/>
          <w:sz w:val="22"/>
          <w:szCs w:val="22"/>
          <w:lang w:val="es-ES"/>
        </w:rPr>
        <w:t>. El programa busca la reducción de costos de generación mediante</w:t>
      </w:r>
      <w:r>
        <w:rPr>
          <w:rFonts w:ascii="Arial" w:hAnsi="Arial" w:cs="Arial"/>
          <w:sz w:val="22"/>
          <w:szCs w:val="22"/>
          <w:lang w:val="es-ES"/>
        </w:rPr>
        <w:t>:</w:t>
      </w:r>
      <w:r w:rsidRPr="00123D5D">
        <w:rPr>
          <w:rFonts w:ascii="Arial" w:hAnsi="Arial" w:cs="Arial"/>
          <w:sz w:val="22"/>
          <w:szCs w:val="22"/>
          <w:lang w:val="es-ES"/>
        </w:rPr>
        <w:t xml:space="preserve"> una mejor asignación de recursos a nivel de planeamiento de largo plazo</w:t>
      </w:r>
      <w:r>
        <w:rPr>
          <w:rFonts w:ascii="Arial" w:hAnsi="Arial" w:cs="Arial"/>
          <w:sz w:val="22"/>
          <w:szCs w:val="22"/>
          <w:lang w:val="es-ES"/>
        </w:rPr>
        <w:t>;</w:t>
      </w:r>
      <w:r w:rsidRPr="00123D5D">
        <w:rPr>
          <w:rFonts w:ascii="Arial" w:hAnsi="Arial" w:cs="Arial"/>
          <w:sz w:val="22"/>
          <w:szCs w:val="22"/>
          <w:lang w:val="es-ES"/>
        </w:rPr>
        <w:t xml:space="preserve"> optimización operativa mediante </w:t>
      </w:r>
      <w:r w:rsidRPr="00E974F6">
        <w:rPr>
          <w:rFonts w:ascii="Arial" w:hAnsi="Arial" w:cs="Arial"/>
          <w:sz w:val="22"/>
          <w:szCs w:val="22"/>
          <w:lang w:val="es-ES"/>
        </w:rPr>
        <w:t>la expansión eficiente de los sistemas de generación y transmisión eléctricos; y mejoras en la supervisión del mercado mayorista de electricidad para incrementar la eficiencia en la generación eléctrica del sistema</w:t>
      </w:r>
      <w:r>
        <w:rPr>
          <w:rFonts w:ascii="Arial" w:hAnsi="Arial" w:cs="Arial"/>
          <w:sz w:val="22"/>
          <w:szCs w:val="22"/>
          <w:lang w:val="es-ES"/>
        </w:rPr>
        <w:t xml:space="preserve">. </w:t>
      </w:r>
      <w:r w:rsidRPr="000279A7">
        <w:rPr>
          <w:rFonts w:ascii="Arial" w:hAnsi="Arial" w:cs="Arial"/>
          <w:sz w:val="22"/>
          <w:szCs w:val="22"/>
          <w:lang w:val="es-ES"/>
        </w:rPr>
        <w:t>Para observar la materialización de estos beneficios, el indicador pertinente consiste en la reducción del costo marginal de generación a largo plazo.</w:t>
      </w:r>
      <w:r>
        <w:rPr>
          <w:rFonts w:ascii="Arial" w:hAnsi="Arial" w:cs="Arial"/>
          <w:sz w:val="22"/>
          <w:szCs w:val="22"/>
          <w:lang w:val="es-ES"/>
        </w:rPr>
        <w:t xml:space="preserve"> </w:t>
      </w:r>
      <w:r w:rsidRPr="003B2958">
        <w:rPr>
          <w:rFonts w:ascii="Arial" w:hAnsi="Arial" w:cs="Arial"/>
          <w:sz w:val="22"/>
          <w:szCs w:val="22"/>
          <w:lang w:val="es-ES"/>
        </w:rPr>
        <w:t xml:space="preserve">Un componente clave para lograr la reducción del costo marginal de generación es contar con un parque de generación </w:t>
      </w:r>
      <w:r>
        <w:rPr>
          <w:rFonts w:ascii="Arial" w:hAnsi="Arial" w:cs="Arial"/>
          <w:sz w:val="22"/>
          <w:szCs w:val="22"/>
          <w:lang w:val="es-ES"/>
        </w:rPr>
        <w:t xml:space="preserve">con una composición óptima de diferentes tecnologías </w:t>
      </w:r>
      <w:r w:rsidRPr="003B2958">
        <w:rPr>
          <w:rFonts w:ascii="Arial" w:hAnsi="Arial" w:cs="Arial"/>
          <w:sz w:val="22"/>
          <w:szCs w:val="22"/>
          <w:lang w:val="es-ES"/>
        </w:rPr>
        <w:t xml:space="preserve">que opere a máxima eficiencia.  En preparación a este segundo préstamo del PBP se realizó el </w:t>
      </w:r>
      <w:bookmarkStart w:id="19" w:name="_Hlk509747666"/>
      <w:r w:rsidRPr="003B2958">
        <w:rPr>
          <w:rFonts w:ascii="Arial" w:hAnsi="Arial" w:cs="Arial"/>
          <w:sz w:val="22"/>
          <w:szCs w:val="22"/>
          <w:lang w:val="es-ES"/>
        </w:rPr>
        <w:t xml:space="preserve">Plan de Obras de Generación y Transmisión </w:t>
      </w:r>
      <w:r w:rsidRPr="00B619DB">
        <w:rPr>
          <w:rFonts w:ascii="Arial" w:hAnsi="Arial" w:cs="Arial"/>
          <w:sz w:val="22"/>
          <w:szCs w:val="22"/>
          <w:lang w:val="es-ES"/>
        </w:rPr>
        <w:t>del SENI</w:t>
      </w:r>
      <w:r w:rsidRPr="003B2958">
        <w:rPr>
          <w:rFonts w:ascii="Arial" w:hAnsi="Arial" w:cs="Arial"/>
          <w:sz w:val="22"/>
          <w:szCs w:val="22"/>
          <w:lang w:val="es-ES"/>
        </w:rPr>
        <w:t xml:space="preserve"> 2018-2030</w:t>
      </w:r>
      <w:bookmarkEnd w:id="19"/>
      <w:r w:rsidRPr="004B7023">
        <w:rPr>
          <w:vertAlign w:val="superscript"/>
        </w:rPr>
        <w:footnoteReference w:id="2"/>
      </w:r>
      <w:r>
        <w:rPr>
          <w:rFonts w:ascii="Arial" w:hAnsi="Arial" w:cs="Arial"/>
          <w:sz w:val="22"/>
          <w:szCs w:val="22"/>
          <w:lang w:val="es-ES"/>
        </w:rPr>
        <w:t>, el cual refleja</w:t>
      </w:r>
      <w:r w:rsidRPr="003B2958">
        <w:rPr>
          <w:rFonts w:ascii="Arial" w:hAnsi="Arial" w:cs="Arial"/>
          <w:sz w:val="22"/>
          <w:szCs w:val="22"/>
          <w:lang w:val="es-ES"/>
        </w:rPr>
        <w:t xml:space="preserve"> una revisión de Plan Indicativo 2011-2025</w:t>
      </w:r>
      <w:r>
        <w:rPr>
          <w:rFonts w:ascii="Arial" w:hAnsi="Arial" w:cs="Arial"/>
          <w:sz w:val="22"/>
          <w:szCs w:val="22"/>
          <w:lang w:val="es-ES"/>
        </w:rPr>
        <w:t xml:space="preserve"> realizado</w:t>
      </w:r>
      <w:r w:rsidRPr="003B2958">
        <w:rPr>
          <w:rFonts w:ascii="Arial" w:hAnsi="Arial" w:cs="Arial"/>
          <w:sz w:val="22"/>
          <w:szCs w:val="22"/>
          <w:lang w:val="es-ES"/>
        </w:rPr>
        <w:t xml:space="preserve"> </w:t>
      </w:r>
      <w:r w:rsidRPr="00F41C76">
        <w:rPr>
          <w:rFonts w:ascii="Arial" w:hAnsi="Arial" w:cs="Arial"/>
          <w:bCs/>
          <w:sz w:val="22"/>
          <w:szCs w:val="22"/>
          <w:lang w:val="es-ES"/>
        </w:rPr>
        <w:t xml:space="preserve">por la </w:t>
      </w:r>
      <w:r w:rsidRPr="00442B39">
        <w:rPr>
          <w:rFonts w:ascii="Arial" w:hAnsi="Arial" w:cs="Arial"/>
          <w:bCs/>
          <w:sz w:val="22"/>
          <w:szCs w:val="22"/>
          <w:lang w:val="es-ES"/>
        </w:rPr>
        <w:t>Corporación Dominicana de Empresas Eléctricas Estatales</w:t>
      </w:r>
      <w:r>
        <w:rPr>
          <w:rFonts w:ascii="Arial" w:hAnsi="Arial" w:cs="Arial"/>
          <w:bCs/>
          <w:sz w:val="22"/>
          <w:szCs w:val="22"/>
          <w:lang w:val="es-ES"/>
        </w:rPr>
        <w:t xml:space="preserve"> (</w:t>
      </w:r>
      <w:r w:rsidRPr="00F41C76">
        <w:rPr>
          <w:rFonts w:ascii="Arial" w:hAnsi="Arial" w:cs="Arial"/>
          <w:bCs/>
          <w:sz w:val="22"/>
          <w:szCs w:val="22"/>
          <w:lang w:val="es-ES"/>
        </w:rPr>
        <w:t>CDEEE</w:t>
      </w:r>
      <w:r>
        <w:rPr>
          <w:rFonts w:ascii="Arial" w:hAnsi="Arial" w:cs="Arial"/>
          <w:bCs/>
          <w:sz w:val="22"/>
          <w:szCs w:val="22"/>
          <w:lang w:val="es-ES"/>
        </w:rPr>
        <w:t>)</w:t>
      </w:r>
      <w:r w:rsidRPr="00F41C76">
        <w:rPr>
          <w:rFonts w:ascii="Arial" w:hAnsi="Arial" w:cs="Arial"/>
          <w:bCs/>
          <w:sz w:val="22"/>
          <w:szCs w:val="22"/>
          <w:lang w:val="es-ES"/>
        </w:rPr>
        <w:t xml:space="preserve"> en agosto de 2011</w:t>
      </w:r>
      <w:r>
        <w:rPr>
          <w:rFonts w:ascii="Arial" w:hAnsi="Arial" w:cs="Arial"/>
          <w:bCs/>
          <w:sz w:val="22"/>
          <w:szCs w:val="22"/>
          <w:lang w:val="es-ES"/>
        </w:rPr>
        <w:t xml:space="preserve">.  </w:t>
      </w:r>
      <w:r w:rsidRPr="003B2958">
        <w:rPr>
          <w:rFonts w:ascii="Arial" w:hAnsi="Arial" w:cs="Arial"/>
          <w:sz w:val="22"/>
          <w:szCs w:val="22"/>
          <w:lang w:val="es-ES"/>
        </w:rPr>
        <w:t>Est</w:t>
      </w:r>
      <w:r>
        <w:rPr>
          <w:rFonts w:ascii="Arial" w:hAnsi="Arial" w:cs="Arial"/>
          <w:sz w:val="22"/>
          <w:szCs w:val="22"/>
          <w:lang w:val="es-ES"/>
        </w:rPr>
        <w:t>a actualización del</w:t>
      </w:r>
      <w:r w:rsidRPr="003B2958">
        <w:rPr>
          <w:rFonts w:ascii="Arial" w:hAnsi="Arial" w:cs="Arial"/>
          <w:sz w:val="22"/>
          <w:szCs w:val="22"/>
          <w:lang w:val="es-ES"/>
        </w:rPr>
        <w:t xml:space="preserve"> Plan está basad</w:t>
      </w:r>
      <w:r>
        <w:rPr>
          <w:rFonts w:ascii="Arial" w:hAnsi="Arial" w:cs="Arial"/>
          <w:sz w:val="22"/>
          <w:szCs w:val="22"/>
          <w:lang w:val="es-ES"/>
        </w:rPr>
        <w:t>a</w:t>
      </w:r>
      <w:r w:rsidRPr="003B2958">
        <w:rPr>
          <w:rFonts w:ascii="Arial" w:hAnsi="Arial" w:cs="Arial"/>
          <w:sz w:val="22"/>
          <w:szCs w:val="22"/>
          <w:lang w:val="es-ES"/>
        </w:rPr>
        <w:t xml:space="preserve"> en</w:t>
      </w:r>
      <w:r>
        <w:rPr>
          <w:rFonts w:ascii="Arial" w:hAnsi="Arial" w:cs="Arial"/>
          <w:sz w:val="22"/>
          <w:szCs w:val="22"/>
          <w:lang w:val="es-ES"/>
        </w:rPr>
        <w:t xml:space="preserve"> las</w:t>
      </w:r>
      <w:r w:rsidRPr="003B2958">
        <w:rPr>
          <w:rFonts w:ascii="Arial" w:hAnsi="Arial" w:cs="Arial"/>
          <w:sz w:val="22"/>
          <w:szCs w:val="22"/>
          <w:lang w:val="es-ES"/>
        </w:rPr>
        <w:t xml:space="preserve"> inversiones</w:t>
      </w:r>
      <w:r>
        <w:rPr>
          <w:rFonts w:ascii="Arial" w:hAnsi="Arial" w:cs="Arial"/>
          <w:sz w:val="22"/>
          <w:szCs w:val="22"/>
          <w:lang w:val="es-ES"/>
        </w:rPr>
        <w:t xml:space="preserve"> </w:t>
      </w:r>
      <w:r w:rsidRPr="003B2958">
        <w:rPr>
          <w:rFonts w:ascii="Arial" w:hAnsi="Arial" w:cs="Arial"/>
          <w:sz w:val="22"/>
          <w:szCs w:val="22"/>
          <w:lang w:val="es-ES"/>
        </w:rPr>
        <w:t xml:space="preserve">para </w:t>
      </w:r>
      <w:r>
        <w:rPr>
          <w:rFonts w:ascii="Arial" w:hAnsi="Arial" w:cs="Arial"/>
          <w:sz w:val="22"/>
          <w:szCs w:val="22"/>
          <w:lang w:val="es-ES"/>
        </w:rPr>
        <w:t xml:space="preserve">la </w:t>
      </w:r>
      <w:r w:rsidRPr="00065340">
        <w:rPr>
          <w:rFonts w:ascii="Arial" w:eastAsiaTheme="minorHAnsi" w:hAnsi="Arial" w:cs="Arial"/>
          <w:spacing w:val="0"/>
          <w:sz w:val="22"/>
          <w:szCs w:val="22"/>
          <w:lang w:val="es-CO"/>
        </w:rPr>
        <w:t>expansión de generación y transporte, incluyendo fuentes de energía renovable no convencionales, requeridas para permitir abastecer la demanda esperada del sistema eléctrico.  El Plan actualiza las proyecciones de los precios de los combustibles; la demanda proyectada; las perspectivas de desarrollo del gas natural en el país; y la evolución de la disponibilidad, regulación y precios de las ERNC, en particular la energía eólica, y restricciones ambientales</w:t>
      </w:r>
      <w:r>
        <w:rPr>
          <w:rFonts w:ascii="Arial" w:eastAsiaTheme="minorHAnsi" w:hAnsi="Arial" w:cs="Arial"/>
          <w:spacing w:val="0"/>
          <w:sz w:val="22"/>
          <w:szCs w:val="22"/>
          <w:lang w:val="es-CO"/>
        </w:rPr>
        <w:t xml:space="preserve">. </w:t>
      </w:r>
    </w:p>
    <w:p w14:paraId="4748842D" w14:textId="532D9008" w:rsidR="00D2248C" w:rsidRDefault="000279A7" w:rsidP="00D85B3C">
      <w:pPr>
        <w:pStyle w:val="BodyText2"/>
        <w:numPr>
          <w:ilvl w:val="1"/>
          <w:numId w:val="7"/>
        </w:numPr>
        <w:tabs>
          <w:tab w:val="left" w:pos="720"/>
        </w:tabs>
        <w:spacing w:before="120" w:line="240" w:lineRule="auto"/>
        <w:ind w:left="720" w:hanging="720"/>
        <w:jc w:val="both"/>
        <w:rPr>
          <w:rFonts w:ascii="Arial" w:eastAsia="Calibri" w:hAnsi="Arial" w:cs="Arial"/>
          <w:spacing w:val="0"/>
          <w:sz w:val="22"/>
          <w:szCs w:val="22"/>
          <w:lang w:val="es-ES" w:eastAsia="x-none"/>
        </w:rPr>
      </w:pPr>
      <w:r w:rsidRPr="000279A7">
        <w:rPr>
          <w:rFonts w:ascii="Arial" w:hAnsi="Arial" w:cs="Arial"/>
          <w:sz w:val="22"/>
          <w:szCs w:val="22"/>
          <w:lang w:val="es-ES"/>
        </w:rPr>
        <w:t>El modelo de cálculo para la actualización del Plan de Obras</w:t>
      </w:r>
      <w:r w:rsidR="00B32F63">
        <w:rPr>
          <w:rStyle w:val="FootnoteReference"/>
          <w:rFonts w:ascii="Arial" w:hAnsi="Arial" w:cs="Arial"/>
          <w:sz w:val="22"/>
          <w:szCs w:val="22"/>
          <w:lang w:val="es-ES"/>
        </w:rPr>
        <w:footnoteReference w:id="3"/>
      </w:r>
      <w:r w:rsidRPr="000279A7">
        <w:rPr>
          <w:rFonts w:ascii="Arial" w:hAnsi="Arial" w:cs="Arial"/>
          <w:sz w:val="22"/>
          <w:szCs w:val="22"/>
          <w:lang w:val="es-ES"/>
        </w:rPr>
        <w:t xml:space="preserve"> </w:t>
      </w:r>
      <w:r w:rsidR="00D85B3C" w:rsidRPr="0052435A">
        <w:rPr>
          <w:rFonts w:ascii="Arial" w:hAnsi="Arial" w:cs="Arial"/>
          <w:sz w:val="22"/>
          <w:szCs w:val="22"/>
          <w:lang w:val="es-ES"/>
        </w:rPr>
        <w:t>calcula los costos de inversión y costos operativos de cada proyecto</w:t>
      </w:r>
      <w:r w:rsidR="00D85B3C">
        <w:rPr>
          <w:rFonts w:ascii="Arial" w:hAnsi="Arial" w:cs="Arial"/>
          <w:sz w:val="22"/>
          <w:szCs w:val="22"/>
          <w:lang w:val="es-ES"/>
        </w:rPr>
        <w:t xml:space="preserve"> y produce varios escenarios de acuerdo con supuestos suministrados por el modelador</w:t>
      </w:r>
      <w:r w:rsidR="00B32F63">
        <w:rPr>
          <w:rFonts w:ascii="Arial" w:hAnsi="Arial" w:cs="Arial"/>
          <w:sz w:val="22"/>
          <w:szCs w:val="22"/>
          <w:lang w:val="es-ES"/>
        </w:rPr>
        <w:t>. El modelo</w:t>
      </w:r>
      <w:r w:rsidR="00B32F63" w:rsidRPr="000279A7">
        <w:rPr>
          <w:rFonts w:ascii="Arial" w:hAnsi="Arial" w:cs="Arial"/>
          <w:sz w:val="22"/>
          <w:szCs w:val="22"/>
          <w:lang w:val="es-ES"/>
        </w:rPr>
        <w:t xml:space="preserve"> </w:t>
      </w:r>
      <w:r w:rsidR="001B5F38" w:rsidRPr="000279A7">
        <w:rPr>
          <w:rFonts w:ascii="Arial" w:hAnsi="Arial" w:cs="Arial"/>
          <w:sz w:val="22"/>
          <w:szCs w:val="22"/>
          <w:lang w:val="es-ES"/>
        </w:rPr>
        <w:t>produjo</w:t>
      </w:r>
      <w:r w:rsidRPr="000279A7">
        <w:rPr>
          <w:rFonts w:ascii="Arial" w:hAnsi="Arial" w:cs="Arial"/>
          <w:sz w:val="22"/>
          <w:szCs w:val="22"/>
          <w:lang w:val="es-ES"/>
        </w:rPr>
        <w:t xml:space="preserve"> un escenario base</w:t>
      </w:r>
      <w:r w:rsidR="004B7A7C">
        <w:rPr>
          <w:rFonts w:ascii="Arial" w:hAnsi="Arial" w:cs="Arial"/>
          <w:sz w:val="22"/>
          <w:szCs w:val="22"/>
          <w:lang w:val="es-ES"/>
        </w:rPr>
        <w:t xml:space="preserve">, </w:t>
      </w:r>
      <w:r w:rsidR="00D85B3C">
        <w:rPr>
          <w:rFonts w:ascii="Arial" w:eastAsiaTheme="minorHAnsi" w:hAnsi="Arial" w:cs="Arial"/>
          <w:spacing w:val="0"/>
          <w:sz w:val="22"/>
          <w:szCs w:val="22"/>
          <w:lang w:val="es-CO"/>
        </w:rPr>
        <w:t>seleccionado como</w:t>
      </w:r>
      <w:r w:rsidR="004B7A7C">
        <w:rPr>
          <w:rFonts w:ascii="Arial" w:hAnsi="Arial" w:cs="Arial"/>
          <w:sz w:val="22"/>
          <w:szCs w:val="22"/>
          <w:lang w:val="es-ES"/>
        </w:rPr>
        <w:t xml:space="preserve"> el </w:t>
      </w:r>
      <w:r w:rsidR="004B7A7C" w:rsidRPr="004B7A7C">
        <w:rPr>
          <w:rFonts w:ascii="Arial" w:hAnsi="Arial" w:cs="Arial"/>
          <w:sz w:val="22"/>
          <w:szCs w:val="22"/>
          <w:lang w:val="es-ES"/>
        </w:rPr>
        <w:t>caso más factible de ocurrir y lo suficientemente robusto como para abastecer la demanda en los distintos escenarios analizados, ya sea para (a) precios de combustibles menores, como para (b) un escenario de menor demanda de energía.</w:t>
      </w:r>
      <w:r w:rsidR="004B7A7C" w:rsidRPr="00EF01D9">
        <w:rPr>
          <w:rFonts w:ascii="Arial" w:eastAsia="Calibri" w:hAnsi="Arial" w:cs="Arial"/>
          <w:spacing w:val="0"/>
          <w:sz w:val="22"/>
          <w:szCs w:val="22"/>
          <w:lang w:val="es-ES" w:eastAsia="x-none"/>
        </w:rPr>
        <w:t xml:space="preserve"> </w:t>
      </w:r>
      <w:r w:rsidR="00D85B3C">
        <w:rPr>
          <w:rFonts w:ascii="Arial" w:eastAsia="Calibri" w:hAnsi="Arial" w:cs="Arial"/>
          <w:spacing w:val="0"/>
          <w:sz w:val="22"/>
          <w:szCs w:val="22"/>
          <w:lang w:val="es-ES" w:eastAsia="x-none"/>
        </w:rPr>
        <w:t xml:space="preserve">El resultado de este </w:t>
      </w:r>
      <w:r w:rsidR="00D85B3C" w:rsidRPr="00D85B3C">
        <w:rPr>
          <w:rFonts w:ascii="Arial" w:eastAsia="Calibri" w:hAnsi="Arial" w:cs="Arial"/>
          <w:spacing w:val="0"/>
          <w:sz w:val="22"/>
          <w:szCs w:val="22"/>
          <w:lang w:val="es-ES" w:eastAsia="x-none"/>
        </w:rPr>
        <w:t xml:space="preserve">de este escenario se compara con el caso “Escenario Sin Proyecto”, el cual asume que no se toman las medidas de optimización propuestas por el programa, </w:t>
      </w:r>
      <w:r w:rsidR="00D85B3C" w:rsidRPr="00D85B3C">
        <w:rPr>
          <w:rFonts w:ascii="Arial" w:eastAsiaTheme="minorHAnsi" w:hAnsi="Arial" w:cs="Arial"/>
          <w:spacing w:val="0"/>
          <w:sz w:val="22"/>
          <w:szCs w:val="22"/>
          <w:lang w:val="es-CO"/>
        </w:rPr>
        <w:t>resultando</w:t>
      </w:r>
      <w:r w:rsidR="00D85B3C" w:rsidRPr="00D85B3C">
        <w:rPr>
          <w:rFonts w:ascii="Arial" w:eastAsia="Calibri" w:hAnsi="Arial" w:cs="Arial"/>
          <w:spacing w:val="0"/>
          <w:sz w:val="22"/>
          <w:szCs w:val="22"/>
          <w:lang w:val="es-ES" w:eastAsia="x-none"/>
        </w:rPr>
        <w:t xml:space="preserve"> en una situación de nulo crecimiento de capacidad, ante incrementos de demanda alta. Este último escenario se considera de pesimismo extremo, con creciente deterioro en la capacidad de abastecimiento</w:t>
      </w:r>
      <w:r w:rsidR="00F456FC">
        <w:rPr>
          <w:rFonts w:ascii="Arial" w:eastAsia="Calibri" w:hAnsi="Arial" w:cs="Arial"/>
          <w:spacing w:val="0"/>
          <w:sz w:val="22"/>
          <w:szCs w:val="22"/>
          <w:lang w:val="es-ES" w:eastAsia="x-none"/>
        </w:rPr>
        <w:t>.</w:t>
      </w:r>
    </w:p>
    <w:p w14:paraId="15FB558E" w14:textId="508DFBB3" w:rsidR="00F456FC" w:rsidRPr="00F456FC" w:rsidRDefault="00F456FC" w:rsidP="00D85B3C">
      <w:pPr>
        <w:pStyle w:val="BodyText2"/>
        <w:numPr>
          <w:ilvl w:val="1"/>
          <w:numId w:val="7"/>
        </w:numPr>
        <w:tabs>
          <w:tab w:val="left" w:pos="720"/>
        </w:tabs>
        <w:spacing w:before="120" w:line="240" w:lineRule="auto"/>
        <w:ind w:left="720" w:hanging="720"/>
        <w:jc w:val="both"/>
        <w:rPr>
          <w:rFonts w:ascii="Arial" w:eastAsia="Calibri" w:hAnsi="Arial" w:cs="Arial"/>
          <w:spacing w:val="0"/>
          <w:sz w:val="22"/>
          <w:szCs w:val="22"/>
          <w:lang w:val="es-ES" w:eastAsia="x-none"/>
        </w:rPr>
      </w:pPr>
      <w:r>
        <w:rPr>
          <w:rFonts w:ascii="Arial" w:hAnsi="Arial" w:cs="Arial"/>
          <w:sz w:val="22"/>
          <w:szCs w:val="22"/>
          <w:lang w:val="es-ES"/>
        </w:rPr>
        <w:t>La diferencia en los flujos de costos operativos de los dos escenarios representa los beneficios del programa. Las inversiones asociadas a las obras resultantes de la optimización del Escenario Base con Proyecto corresponden a los costos del componente del programa.  Los resultados de aplicar una tasa de descuento del</w:t>
      </w:r>
      <w:r w:rsidRPr="009C782E">
        <w:rPr>
          <w:rFonts w:ascii="Arial" w:hAnsi="Arial" w:cs="Arial"/>
          <w:sz w:val="22"/>
          <w:szCs w:val="22"/>
          <w:lang w:val="es-ES"/>
        </w:rPr>
        <w:t xml:space="preserve"> 12</w:t>
      </w:r>
      <w:r>
        <w:rPr>
          <w:rFonts w:ascii="Arial" w:hAnsi="Arial" w:cs="Arial"/>
          <w:sz w:val="22"/>
          <w:szCs w:val="22"/>
          <w:lang w:val="es-ES"/>
        </w:rPr>
        <w:t xml:space="preserve">% para descontar los flujos respectivos al valor presente, se </w:t>
      </w:r>
      <w:r w:rsidRPr="009C782E">
        <w:rPr>
          <w:rFonts w:ascii="Arial" w:hAnsi="Arial" w:cs="Arial"/>
          <w:sz w:val="22"/>
          <w:szCs w:val="22"/>
          <w:lang w:val="es-ES"/>
        </w:rPr>
        <w:t xml:space="preserve">muestra </w:t>
      </w:r>
      <w:r w:rsidR="00CE685D">
        <w:rPr>
          <w:rFonts w:ascii="Arial" w:hAnsi="Arial" w:cs="Arial"/>
          <w:sz w:val="22"/>
          <w:szCs w:val="22"/>
          <w:lang w:val="es-ES"/>
        </w:rPr>
        <w:t>en el Cuadro 2</w:t>
      </w:r>
      <w:r>
        <w:rPr>
          <w:rFonts w:ascii="Arial" w:hAnsi="Arial" w:cs="Arial"/>
          <w:sz w:val="22"/>
          <w:szCs w:val="22"/>
          <w:lang w:val="es-ES"/>
        </w:rPr>
        <w:t>.  La tasa interna de retorno (TIR) del flujo es de 137% y la relación beneficio/Costo (B/C) es 2,3 lo que prueba los altos beneficios de instalar una combinación de tecnologías en nueva capacidad de generación y transmisión, considerada óptima desde el punto de vista de eficiencia operativa y de inversión.</w:t>
      </w:r>
    </w:p>
    <w:p w14:paraId="7085096D" w14:textId="7FF0563D" w:rsidR="00F456FC" w:rsidRPr="00976FBD" w:rsidRDefault="00F456FC" w:rsidP="00F456FC">
      <w:pPr>
        <w:pStyle w:val="ListParagraph"/>
        <w:spacing w:before="120"/>
        <w:jc w:val="center"/>
        <w:rPr>
          <w:rFonts w:ascii="Arial" w:hAnsi="Arial" w:cs="Arial"/>
          <w:b/>
          <w:sz w:val="20"/>
          <w:lang w:val="es-ES"/>
        </w:rPr>
      </w:pPr>
      <w:r w:rsidRPr="00976FBD">
        <w:rPr>
          <w:rFonts w:ascii="Arial" w:hAnsi="Arial" w:cs="Arial"/>
          <w:b/>
          <w:sz w:val="20"/>
          <w:lang w:val="es-ES"/>
        </w:rPr>
        <w:t xml:space="preserve">Cuadro </w:t>
      </w:r>
      <w:r>
        <w:rPr>
          <w:rFonts w:ascii="Arial" w:hAnsi="Arial" w:cs="Arial"/>
          <w:b/>
          <w:sz w:val="20"/>
          <w:lang w:val="es-ES"/>
        </w:rPr>
        <w:t>2</w:t>
      </w:r>
      <w:r w:rsidRPr="00976FBD">
        <w:rPr>
          <w:rFonts w:ascii="Arial" w:hAnsi="Arial" w:cs="Arial"/>
          <w:b/>
          <w:sz w:val="20"/>
          <w:lang w:val="es-ES"/>
        </w:rPr>
        <w:t xml:space="preserve"> - Reducción precio de generación (US$ Millones)</w:t>
      </w:r>
    </w:p>
    <w:p w14:paraId="3AC78466" w14:textId="77777777" w:rsidR="00F456FC" w:rsidRPr="00695D37" w:rsidRDefault="00F456FC" w:rsidP="00F456FC">
      <w:pPr>
        <w:pStyle w:val="ListParagraph"/>
        <w:spacing w:before="120"/>
        <w:ind w:left="-1440" w:firstLine="90"/>
        <w:jc w:val="both"/>
        <w:rPr>
          <w:rFonts w:ascii="Arial" w:eastAsia="Calibri" w:hAnsi="Arial" w:cs="Arial"/>
          <w:sz w:val="22"/>
          <w:szCs w:val="22"/>
          <w:lang w:val="es-CL"/>
        </w:rPr>
      </w:pPr>
      <w:r w:rsidRPr="00C80A2C">
        <w:rPr>
          <w:rFonts w:eastAsia="Calibri"/>
          <w:noProof/>
        </w:rPr>
        <w:drawing>
          <wp:inline distT="0" distB="0" distL="0" distR="0" wp14:anchorId="3DC50973" wp14:editId="4B085479">
            <wp:extent cx="7260590" cy="1594122"/>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308708" cy="1604687"/>
                    </a:xfrm>
                    <a:prstGeom prst="rect">
                      <a:avLst/>
                    </a:prstGeom>
                    <a:noFill/>
                    <a:ln>
                      <a:noFill/>
                    </a:ln>
                  </pic:spPr>
                </pic:pic>
              </a:graphicData>
            </a:graphic>
          </wp:inline>
        </w:drawing>
      </w:r>
    </w:p>
    <w:p w14:paraId="132F02D1" w14:textId="77777777" w:rsidR="00F456FC" w:rsidRDefault="00F456FC" w:rsidP="00F456FC">
      <w:pPr>
        <w:pStyle w:val="ListParagraph"/>
        <w:spacing w:before="120"/>
        <w:jc w:val="both"/>
        <w:rPr>
          <w:rFonts w:ascii="Arial" w:eastAsia="Calibri" w:hAnsi="Arial" w:cs="Arial"/>
          <w:sz w:val="22"/>
          <w:szCs w:val="22"/>
          <w:u w:val="single"/>
          <w:lang w:val="es-CL"/>
        </w:rPr>
      </w:pPr>
    </w:p>
    <w:p w14:paraId="0D8BC387" w14:textId="1E76EDDA" w:rsidR="00F456FC" w:rsidRPr="00B77724" w:rsidRDefault="00F456FC" w:rsidP="00F456FC">
      <w:pPr>
        <w:pStyle w:val="BodyText2"/>
        <w:numPr>
          <w:ilvl w:val="1"/>
          <w:numId w:val="7"/>
        </w:numPr>
        <w:tabs>
          <w:tab w:val="left" w:pos="720"/>
        </w:tabs>
        <w:spacing w:before="120" w:line="240" w:lineRule="auto"/>
        <w:ind w:left="720" w:hanging="720"/>
        <w:jc w:val="both"/>
        <w:rPr>
          <w:rFonts w:ascii="Arial" w:eastAsia="Calibri" w:hAnsi="Arial" w:cs="Arial"/>
          <w:sz w:val="22"/>
          <w:szCs w:val="22"/>
          <w:u w:val="single"/>
          <w:lang w:val="es-CL"/>
        </w:rPr>
      </w:pPr>
      <w:bookmarkStart w:id="22" w:name="_Hlk511597519"/>
      <w:r w:rsidRPr="00B77724">
        <w:rPr>
          <w:rFonts w:ascii="Arial" w:eastAsia="Calibri" w:hAnsi="Arial" w:cs="Arial"/>
          <w:sz w:val="22"/>
          <w:szCs w:val="22"/>
          <w:u w:val="single"/>
          <w:lang w:val="es-CL"/>
        </w:rPr>
        <w:t>Análisis de sensibilidad</w:t>
      </w:r>
      <w:bookmarkEnd w:id="22"/>
      <w:r w:rsidRPr="00B77724">
        <w:rPr>
          <w:rFonts w:ascii="Arial" w:eastAsia="Calibri" w:hAnsi="Arial" w:cs="Arial"/>
          <w:sz w:val="22"/>
          <w:szCs w:val="22"/>
          <w:u w:val="single"/>
          <w:lang w:val="es-CL"/>
        </w:rPr>
        <w:t>.</w:t>
      </w:r>
      <w:r w:rsidRPr="00B77724">
        <w:rPr>
          <w:rFonts w:ascii="Arial" w:eastAsia="Calibri" w:hAnsi="Arial" w:cs="Arial"/>
          <w:sz w:val="22"/>
          <w:szCs w:val="22"/>
          <w:lang w:val="es-CL"/>
        </w:rPr>
        <w:t xml:space="preserve">  Se realizó un análisis del flujo de beneficios por reducción de costos de generación, considerando un incremento en los costos de inversión de 15% y un aumento en los costos operativos con proyecto, de 20%. </w:t>
      </w:r>
      <w:r w:rsidRPr="00F456FC">
        <w:rPr>
          <w:rFonts w:ascii="Arial" w:hAnsi="Arial" w:cs="Arial"/>
          <w:sz w:val="22"/>
          <w:szCs w:val="22"/>
          <w:lang w:val="es-ES"/>
        </w:rPr>
        <w:t>Este</w:t>
      </w:r>
      <w:r w:rsidRPr="00B77724">
        <w:rPr>
          <w:rFonts w:ascii="Arial" w:eastAsia="Calibri" w:hAnsi="Arial" w:cs="Arial"/>
          <w:sz w:val="22"/>
          <w:szCs w:val="22"/>
          <w:lang w:val="es-CL"/>
        </w:rPr>
        <w:t xml:space="preserve"> ejercicio muestra robustez general de los resultados ante </w:t>
      </w:r>
      <w:r w:rsidRPr="00AA5647">
        <w:rPr>
          <w:rFonts w:ascii="Arial" w:hAnsi="Arial" w:cs="Arial"/>
          <w:sz w:val="22"/>
          <w:szCs w:val="22"/>
          <w:lang w:val="es-ES"/>
        </w:rPr>
        <w:t>cambios</w:t>
      </w:r>
      <w:r w:rsidRPr="00B77724">
        <w:rPr>
          <w:rFonts w:ascii="Arial" w:eastAsia="Calibri" w:hAnsi="Arial" w:cs="Arial"/>
          <w:sz w:val="22"/>
          <w:szCs w:val="22"/>
          <w:lang w:val="es-CL"/>
        </w:rPr>
        <w:t xml:space="preserve"> en las dos variables más críticas, revelando mayor sensibilidad a cambios en los costos operativos del sistema con proyecto. Un resumen de los resultados se presenta en el Cuadro </w:t>
      </w:r>
      <w:r>
        <w:rPr>
          <w:rFonts w:ascii="Arial" w:eastAsia="Calibri" w:hAnsi="Arial" w:cs="Arial"/>
          <w:sz w:val="22"/>
          <w:szCs w:val="22"/>
          <w:lang w:val="es-CL"/>
        </w:rPr>
        <w:t>3</w:t>
      </w:r>
      <w:r w:rsidRPr="00B77724">
        <w:rPr>
          <w:rFonts w:ascii="Arial" w:eastAsia="Calibri" w:hAnsi="Arial" w:cs="Arial"/>
          <w:sz w:val="22"/>
          <w:szCs w:val="22"/>
          <w:lang w:val="es-CL"/>
        </w:rPr>
        <w:t>.</w:t>
      </w:r>
    </w:p>
    <w:tbl>
      <w:tblPr>
        <w:tblStyle w:val="TableGrid"/>
        <w:tblW w:w="8370" w:type="dxa"/>
        <w:tblInd w:w="810" w:type="dxa"/>
        <w:tblLook w:val="04A0" w:firstRow="1" w:lastRow="0" w:firstColumn="1" w:lastColumn="0" w:noHBand="0" w:noVBand="1"/>
      </w:tblPr>
      <w:tblGrid>
        <w:gridCol w:w="3600"/>
        <w:gridCol w:w="1260"/>
        <w:gridCol w:w="1620"/>
        <w:gridCol w:w="1846"/>
        <w:gridCol w:w="44"/>
      </w:tblGrid>
      <w:tr w:rsidR="00F456FC" w14:paraId="26D69FBC" w14:textId="77777777" w:rsidTr="0032758E">
        <w:tc>
          <w:tcPr>
            <w:tcW w:w="8370" w:type="dxa"/>
            <w:gridSpan w:val="5"/>
            <w:tcBorders>
              <w:top w:val="nil"/>
              <w:left w:val="nil"/>
              <w:bottom w:val="single" w:sz="4" w:space="0" w:color="auto"/>
              <w:right w:val="nil"/>
            </w:tcBorders>
            <w:shd w:val="clear" w:color="auto" w:fill="auto"/>
          </w:tcPr>
          <w:p w14:paraId="45D8BCFA" w14:textId="26998EE6" w:rsidR="00F456FC" w:rsidRPr="00976FBD" w:rsidRDefault="00F456FC" w:rsidP="0032758E">
            <w:pPr>
              <w:spacing w:before="120"/>
              <w:jc w:val="center"/>
              <w:rPr>
                <w:rFonts w:ascii="Arial" w:eastAsia="Calibri" w:hAnsi="Arial" w:cs="Arial"/>
                <w:b/>
                <w:sz w:val="20"/>
                <w:lang w:val="es-CL"/>
              </w:rPr>
            </w:pPr>
            <w:r w:rsidRPr="00976FBD">
              <w:rPr>
                <w:rFonts w:ascii="Arial" w:eastAsia="Calibri" w:hAnsi="Arial" w:cs="Arial"/>
                <w:b/>
                <w:sz w:val="20"/>
                <w:lang w:val="es-CL"/>
              </w:rPr>
              <w:t xml:space="preserve">Cuadro </w:t>
            </w:r>
            <w:r>
              <w:rPr>
                <w:rFonts w:ascii="Arial" w:eastAsia="Calibri" w:hAnsi="Arial" w:cs="Arial"/>
                <w:b/>
                <w:sz w:val="20"/>
                <w:lang w:val="es-CL"/>
              </w:rPr>
              <w:t>3</w:t>
            </w:r>
            <w:r w:rsidRPr="00976FBD">
              <w:rPr>
                <w:rFonts w:ascii="Arial" w:eastAsia="Calibri" w:hAnsi="Arial" w:cs="Arial"/>
                <w:b/>
                <w:sz w:val="20"/>
                <w:lang w:val="es-CL"/>
              </w:rPr>
              <w:t xml:space="preserve"> –</w:t>
            </w:r>
            <w:r>
              <w:rPr>
                <w:rFonts w:ascii="Arial" w:eastAsia="Calibri" w:hAnsi="Arial" w:cs="Arial"/>
                <w:b/>
                <w:sz w:val="20"/>
                <w:lang w:val="es-CL"/>
              </w:rPr>
              <w:t xml:space="preserve"> </w:t>
            </w:r>
            <w:r w:rsidRPr="00976FBD">
              <w:rPr>
                <w:rFonts w:ascii="Arial" w:eastAsia="Calibri" w:hAnsi="Arial" w:cs="Arial"/>
                <w:b/>
                <w:sz w:val="20"/>
                <w:lang w:val="es-CL"/>
              </w:rPr>
              <w:t>Reducción costos de generación - Análisis de sensibilidad</w:t>
            </w:r>
          </w:p>
        </w:tc>
      </w:tr>
      <w:tr w:rsidR="00F456FC" w14:paraId="6955D0A0" w14:textId="77777777" w:rsidTr="0032758E">
        <w:trPr>
          <w:gridAfter w:val="1"/>
          <w:wAfter w:w="44" w:type="dxa"/>
        </w:trPr>
        <w:tc>
          <w:tcPr>
            <w:tcW w:w="3600" w:type="dxa"/>
            <w:tcBorders>
              <w:top w:val="single" w:sz="4" w:space="0" w:color="auto"/>
            </w:tcBorders>
            <w:shd w:val="clear" w:color="auto" w:fill="DBE5F1" w:themeFill="accent1" w:themeFillTint="33"/>
            <w:vAlign w:val="center"/>
          </w:tcPr>
          <w:p w14:paraId="12BAABC4" w14:textId="77777777" w:rsidR="00F456FC" w:rsidRDefault="00F456FC" w:rsidP="0032758E">
            <w:pPr>
              <w:spacing w:before="120"/>
              <w:jc w:val="center"/>
              <w:rPr>
                <w:rFonts w:ascii="Arial" w:eastAsia="Calibri" w:hAnsi="Arial" w:cs="Arial"/>
                <w:sz w:val="22"/>
                <w:szCs w:val="22"/>
                <w:lang w:val="es-CL"/>
              </w:rPr>
            </w:pPr>
          </w:p>
        </w:tc>
        <w:tc>
          <w:tcPr>
            <w:tcW w:w="1260" w:type="dxa"/>
            <w:tcBorders>
              <w:top w:val="single" w:sz="4" w:space="0" w:color="auto"/>
            </w:tcBorders>
            <w:shd w:val="clear" w:color="auto" w:fill="DBE5F1" w:themeFill="accent1" w:themeFillTint="33"/>
            <w:vAlign w:val="center"/>
          </w:tcPr>
          <w:p w14:paraId="1E5C4816" w14:textId="77777777" w:rsidR="00F456FC" w:rsidRPr="007966AA" w:rsidRDefault="00F456FC" w:rsidP="0032758E">
            <w:pPr>
              <w:spacing w:before="120"/>
              <w:jc w:val="center"/>
              <w:rPr>
                <w:rFonts w:ascii="Arial" w:eastAsia="Calibri" w:hAnsi="Arial" w:cs="Arial"/>
                <w:b/>
                <w:sz w:val="20"/>
                <w:lang w:val="es-CL"/>
              </w:rPr>
            </w:pPr>
            <w:r w:rsidRPr="007966AA">
              <w:rPr>
                <w:rFonts w:ascii="Arial" w:eastAsia="Calibri" w:hAnsi="Arial" w:cs="Arial"/>
                <w:b/>
                <w:sz w:val="20"/>
                <w:lang w:val="es-CL"/>
              </w:rPr>
              <w:t>TIR</w:t>
            </w:r>
          </w:p>
        </w:tc>
        <w:tc>
          <w:tcPr>
            <w:tcW w:w="1620" w:type="dxa"/>
            <w:tcBorders>
              <w:top w:val="single" w:sz="4" w:space="0" w:color="auto"/>
            </w:tcBorders>
            <w:shd w:val="clear" w:color="auto" w:fill="DBE5F1" w:themeFill="accent1" w:themeFillTint="33"/>
            <w:vAlign w:val="center"/>
          </w:tcPr>
          <w:p w14:paraId="55462B37" w14:textId="77777777" w:rsidR="00F456FC" w:rsidRPr="007966AA" w:rsidRDefault="00F456FC" w:rsidP="0032758E">
            <w:pPr>
              <w:spacing w:before="120"/>
              <w:jc w:val="center"/>
              <w:rPr>
                <w:rFonts w:ascii="Arial" w:eastAsia="Calibri" w:hAnsi="Arial" w:cs="Arial"/>
                <w:b/>
                <w:sz w:val="20"/>
                <w:lang w:val="es-CL"/>
              </w:rPr>
            </w:pPr>
            <w:r w:rsidRPr="007966AA">
              <w:rPr>
                <w:rFonts w:ascii="Arial" w:eastAsia="Calibri" w:hAnsi="Arial" w:cs="Arial"/>
                <w:b/>
                <w:sz w:val="20"/>
                <w:lang w:val="es-CL"/>
              </w:rPr>
              <w:t>VPN (M$)</w:t>
            </w:r>
          </w:p>
        </w:tc>
        <w:tc>
          <w:tcPr>
            <w:tcW w:w="1846" w:type="dxa"/>
            <w:tcBorders>
              <w:top w:val="single" w:sz="4" w:space="0" w:color="auto"/>
            </w:tcBorders>
            <w:shd w:val="clear" w:color="auto" w:fill="DBE5F1" w:themeFill="accent1" w:themeFillTint="33"/>
            <w:vAlign w:val="center"/>
          </w:tcPr>
          <w:p w14:paraId="7FF4B1CC" w14:textId="77777777" w:rsidR="00F456FC" w:rsidRPr="007966AA" w:rsidRDefault="00F456FC" w:rsidP="0032758E">
            <w:pPr>
              <w:spacing w:before="120"/>
              <w:jc w:val="center"/>
              <w:rPr>
                <w:rFonts w:ascii="Arial" w:eastAsia="Calibri" w:hAnsi="Arial" w:cs="Arial"/>
                <w:b/>
                <w:sz w:val="20"/>
                <w:lang w:val="es-CL"/>
              </w:rPr>
            </w:pPr>
            <w:r w:rsidRPr="007966AA">
              <w:rPr>
                <w:rFonts w:ascii="Arial" w:eastAsia="Calibri" w:hAnsi="Arial" w:cs="Arial"/>
                <w:b/>
                <w:sz w:val="20"/>
                <w:lang w:val="es-CL"/>
              </w:rPr>
              <w:t>Razón Beneficio/Costo</w:t>
            </w:r>
          </w:p>
        </w:tc>
      </w:tr>
      <w:tr w:rsidR="00F456FC" w14:paraId="22900FC7" w14:textId="77777777" w:rsidTr="0032758E">
        <w:trPr>
          <w:gridAfter w:val="1"/>
          <w:wAfter w:w="44" w:type="dxa"/>
          <w:trHeight w:val="395"/>
        </w:trPr>
        <w:tc>
          <w:tcPr>
            <w:tcW w:w="3600" w:type="dxa"/>
            <w:vAlign w:val="center"/>
          </w:tcPr>
          <w:p w14:paraId="1C316B29" w14:textId="77777777" w:rsidR="00F456FC" w:rsidRPr="00BE7B2B" w:rsidRDefault="00F456FC" w:rsidP="0032758E">
            <w:pPr>
              <w:spacing w:before="120"/>
              <w:rPr>
                <w:rFonts w:ascii="Arial" w:eastAsia="Calibri" w:hAnsi="Arial" w:cs="Arial"/>
                <w:sz w:val="20"/>
                <w:lang w:val="es-CL"/>
              </w:rPr>
            </w:pPr>
            <w:r w:rsidRPr="00BE7B2B">
              <w:rPr>
                <w:rFonts w:ascii="Arial" w:eastAsia="Calibri" w:hAnsi="Arial" w:cs="Arial"/>
                <w:sz w:val="20"/>
                <w:lang w:val="es-CL"/>
              </w:rPr>
              <w:t>Escenario Base</w:t>
            </w:r>
          </w:p>
        </w:tc>
        <w:tc>
          <w:tcPr>
            <w:tcW w:w="1260" w:type="dxa"/>
            <w:vAlign w:val="center"/>
          </w:tcPr>
          <w:p w14:paraId="2EE8BFFD" w14:textId="77777777" w:rsidR="00F456FC" w:rsidRPr="00BE7B2B" w:rsidRDefault="00F456FC" w:rsidP="0032758E">
            <w:pPr>
              <w:spacing w:before="120"/>
              <w:jc w:val="center"/>
              <w:rPr>
                <w:rFonts w:ascii="Arial" w:eastAsia="Calibri" w:hAnsi="Arial" w:cs="Arial"/>
                <w:sz w:val="20"/>
                <w:lang w:val="es-CL"/>
              </w:rPr>
            </w:pPr>
            <w:r w:rsidRPr="00BE7B2B">
              <w:rPr>
                <w:rFonts w:ascii="Arial" w:eastAsia="Calibri" w:hAnsi="Arial" w:cs="Arial"/>
                <w:sz w:val="20"/>
                <w:lang w:val="es-CL"/>
              </w:rPr>
              <w:t>137%</w:t>
            </w:r>
          </w:p>
        </w:tc>
        <w:tc>
          <w:tcPr>
            <w:tcW w:w="1620" w:type="dxa"/>
            <w:vAlign w:val="center"/>
          </w:tcPr>
          <w:p w14:paraId="321A1A50" w14:textId="77777777" w:rsidR="00F456FC" w:rsidRPr="00BE7B2B" w:rsidRDefault="00F456FC" w:rsidP="0032758E">
            <w:pPr>
              <w:spacing w:before="120"/>
              <w:jc w:val="center"/>
              <w:rPr>
                <w:rFonts w:ascii="Arial" w:eastAsia="Calibri" w:hAnsi="Arial" w:cs="Arial"/>
                <w:sz w:val="20"/>
                <w:lang w:val="es-CL"/>
              </w:rPr>
            </w:pPr>
            <w:r>
              <w:rPr>
                <w:rFonts w:ascii="Arial" w:eastAsia="Calibri" w:hAnsi="Arial" w:cs="Arial"/>
                <w:sz w:val="20"/>
                <w:lang w:val="es-CL"/>
              </w:rPr>
              <w:t>2.186,801</w:t>
            </w:r>
          </w:p>
        </w:tc>
        <w:tc>
          <w:tcPr>
            <w:tcW w:w="1846" w:type="dxa"/>
            <w:vAlign w:val="center"/>
          </w:tcPr>
          <w:p w14:paraId="2E703AE4" w14:textId="77777777" w:rsidR="00F456FC" w:rsidRPr="00BE7B2B" w:rsidRDefault="00F456FC" w:rsidP="0032758E">
            <w:pPr>
              <w:spacing w:before="120"/>
              <w:jc w:val="center"/>
              <w:rPr>
                <w:rFonts w:ascii="Arial" w:eastAsia="Calibri" w:hAnsi="Arial" w:cs="Arial"/>
                <w:sz w:val="20"/>
                <w:lang w:val="es-CL"/>
              </w:rPr>
            </w:pPr>
            <w:r>
              <w:rPr>
                <w:rFonts w:ascii="Arial" w:eastAsia="Calibri" w:hAnsi="Arial" w:cs="Arial"/>
                <w:sz w:val="20"/>
                <w:lang w:val="es-CL"/>
              </w:rPr>
              <w:t>2,3</w:t>
            </w:r>
          </w:p>
        </w:tc>
      </w:tr>
      <w:tr w:rsidR="00F456FC" w14:paraId="7BE079EB" w14:textId="77777777" w:rsidTr="0032758E">
        <w:trPr>
          <w:gridAfter w:val="1"/>
          <w:wAfter w:w="44" w:type="dxa"/>
        </w:trPr>
        <w:tc>
          <w:tcPr>
            <w:tcW w:w="3600" w:type="dxa"/>
            <w:vAlign w:val="center"/>
          </w:tcPr>
          <w:p w14:paraId="0BB9FBB2" w14:textId="77777777" w:rsidR="00F456FC" w:rsidRPr="00BE7B2B" w:rsidRDefault="00F456FC" w:rsidP="0032758E">
            <w:pPr>
              <w:spacing w:before="120"/>
              <w:rPr>
                <w:rFonts w:ascii="Arial" w:eastAsia="Calibri" w:hAnsi="Arial" w:cs="Arial"/>
                <w:sz w:val="20"/>
                <w:lang w:val="es-CL"/>
              </w:rPr>
            </w:pPr>
            <w:r w:rsidRPr="00BE7B2B">
              <w:rPr>
                <w:rFonts w:ascii="Arial" w:eastAsia="Calibri" w:hAnsi="Arial" w:cs="Arial"/>
                <w:sz w:val="28"/>
                <w:szCs w:val="28"/>
                <w:lang w:val="es-CL"/>
              </w:rPr>
              <w:t xml:space="preserve">↑ </w:t>
            </w:r>
            <w:r w:rsidRPr="00BE7B2B">
              <w:rPr>
                <w:rFonts w:ascii="Arial" w:eastAsia="Calibri" w:hAnsi="Arial" w:cs="Arial"/>
                <w:sz w:val="20"/>
                <w:lang w:val="es-CL"/>
              </w:rPr>
              <w:t>15% costo de inversión</w:t>
            </w:r>
          </w:p>
        </w:tc>
        <w:tc>
          <w:tcPr>
            <w:tcW w:w="1260" w:type="dxa"/>
            <w:vAlign w:val="center"/>
          </w:tcPr>
          <w:p w14:paraId="78F98A31" w14:textId="77777777" w:rsidR="00F456FC" w:rsidRPr="00BE7B2B" w:rsidRDefault="00F456FC" w:rsidP="0032758E">
            <w:pPr>
              <w:spacing w:before="120"/>
              <w:jc w:val="center"/>
              <w:rPr>
                <w:rFonts w:ascii="Arial" w:eastAsia="Calibri" w:hAnsi="Arial" w:cs="Arial"/>
                <w:sz w:val="20"/>
                <w:lang w:val="es-CL"/>
              </w:rPr>
            </w:pPr>
            <w:r w:rsidRPr="00BE7B2B">
              <w:rPr>
                <w:rFonts w:ascii="Arial" w:eastAsia="Calibri" w:hAnsi="Arial" w:cs="Arial"/>
                <w:sz w:val="20"/>
                <w:lang w:val="es-CL"/>
              </w:rPr>
              <w:t>109%</w:t>
            </w:r>
          </w:p>
        </w:tc>
        <w:tc>
          <w:tcPr>
            <w:tcW w:w="1620" w:type="dxa"/>
            <w:vAlign w:val="center"/>
          </w:tcPr>
          <w:p w14:paraId="1837724A" w14:textId="77777777" w:rsidR="00F456FC" w:rsidRPr="00BE7B2B" w:rsidRDefault="00F456FC" w:rsidP="0032758E">
            <w:pPr>
              <w:spacing w:before="120"/>
              <w:jc w:val="center"/>
              <w:rPr>
                <w:rFonts w:ascii="Arial" w:eastAsia="Calibri" w:hAnsi="Arial" w:cs="Arial"/>
                <w:sz w:val="20"/>
                <w:lang w:val="es-CL"/>
              </w:rPr>
            </w:pPr>
            <w:r>
              <w:rPr>
                <w:rFonts w:ascii="Arial" w:eastAsia="Calibri" w:hAnsi="Arial" w:cs="Arial"/>
                <w:sz w:val="20"/>
                <w:lang w:val="es-CL"/>
              </w:rPr>
              <w:t>1.927.875</w:t>
            </w:r>
          </w:p>
        </w:tc>
        <w:tc>
          <w:tcPr>
            <w:tcW w:w="1846" w:type="dxa"/>
            <w:vAlign w:val="center"/>
          </w:tcPr>
          <w:p w14:paraId="2228375C" w14:textId="77777777" w:rsidR="00F456FC" w:rsidRPr="00BE7B2B" w:rsidRDefault="00F456FC" w:rsidP="0032758E">
            <w:pPr>
              <w:spacing w:before="120"/>
              <w:jc w:val="center"/>
              <w:rPr>
                <w:rFonts w:ascii="Arial" w:eastAsia="Calibri" w:hAnsi="Arial" w:cs="Arial"/>
                <w:sz w:val="20"/>
                <w:lang w:val="es-CL"/>
              </w:rPr>
            </w:pPr>
            <w:r>
              <w:rPr>
                <w:rFonts w:ascii="Arial" w:eastAsia="Calibri" w:hAnsi="Arial" w:cs="Arial"/>
                <w:sz w:val="20"/>
                <w:lang w:val="es-CL"/>
              </w:rPr>
              <w:t>2.0</w:t>
            </w:r>
          </w:p>
        </w:tc>
      </w:tr>
      <w:tr w:rsidR="00F456FC" w14:paraId="5CE7A580" w14:textId="77777777" w:rsidTr="0032758E">
        <w:trPr>
          <w:gridAfter w:val="1"/>
          <w:wAfter w:w="44" w:type="dxa"/>
        </w:trPr>
        <w:tc>
          <w:tcPr>
            <w:tcW w:w="3600" w:type="dxa"/>
            <w:vAlign w:val="center"/>
          </w:tcPr>
          <w:p w14:paraId="6DB220BB" w14:textId="77777777" w:rsidR="00F456FC" w:rsidRPr="00BE7B2B" w:rsidRDefault="00F456FC" w:rsidP="0032758E">
            <w:pPr>
              <w:spacing w:before="120"/>
              <w:rPr>
                <w:rFonts w:ascii="Arial" w:eastAsia="Calibri" w:hAnsi="Arial" w:cs="Arial"/>
                <w:sz w:val="20"/>
                <w:lang w:val="es-CL"/>
              </w:rPr>
            </w:pPr>
            <w:r w:rsidRPr="00BE7B2B">
              <w:rPr>
                <w:rFonts w:ascii="Arial" w:eastAsia="Calibri" w:hAnsi="Arial" w:cs="Arial"/>
                <w:sz w:val="28"/>
                <w:szCs w:val="28"/>
                <w:lang w:val="es-CL"/>
              </w:rPr>
              <w:t xml:space="preserve">↑ </w:t>
            </w:r>
            <w:r w:rsidRPr="00BE7B2B">
              <w:rPr>
                <w:rFonts w:ascii="Arial" w:eastAsia="Calibri" w:hAnsi="Arial" w:cs="Arial"/>
                <w:sz w:val="20"/>
                <w:lang w:val="es-CL"/>
              </w:rPr>
              <w:t>30% costos operativos con proyecto</w:t>
            </w:r>
          </w:p>
        </w:tc>
        <w:tc>
          <w:tcPr>
            <w:tcW w:w="1260" w:type="dxa"/>
            <w:vAlign w:val="center"/>
          </w:tcPr>
          <w:p w14:paraId="659EA995" w14:textId="77777777" w:rsidR="00F456FC" w:rsidRPr="00BE7B2B" w:rsidRDefault="00F456FC" w:rsidP="0032758E">
            <w:pPr>
              <w:spacing w:before="120"/>
              <w:jc w:val="center"/>
              <w:rPr>
                <w:rFonts w:ascii="Arial" w:eastAsia="Calibri" w:hAnsi="Arial" w:cs="Arial"/>
                <w:sz w:val="20"/>
                <w:lang w:val="es-CL"/>
              </w:rPr>
            </w:pPr>
            <w:r w:rsidRPr="00BE7B2B">
              <w:rPr>
                <w:rFonts w:ascii="Arial" w:eastAsia="Calibri" w:hAnsi="Arial" w:cs="Arial"/>
                <w:sz w:val="20"/>
                <w:lang w:val="es-CL"/>
              </w:rPr>
              <w:t>36%</w:t>
            </w:r>
          </w:p>
        </w:tc>
        <w:tc>
          <w:tcPr>
            <w:tcW w:w="1620" w:type="dxa"/>
            <w:vAlign w:val="center"/>
          </w:tcPr>
          <w:p w14:paraId="12DC9884" w14:textId="77777777" w:rsidR="00F456FC" w:rsidRPr="00BE7B2B" w:rsidRDefault="00F456FC" w:rsidP="0032758E">
            <w:pPr>
              <w:spacing w:before="120"/>
              <w:jc w:val="center"/>
              <w:rPr>
                <w:rFonts w:ascii="Arial" w:eastAsia="Calibri" w:hAnsi="Arial" w:cs="Arial"/>
                <w:sz w:val="20"/>
                <w:lang w:val="es-CL"/>
              </w:rPr>
            </w:pPr>
            <w:r>
              <w:rPr>
                <w:rFonts w:ascii="Arial" w:eastAsia="Calibri" w:hAnsi="Arial" w:cs="Arial"/>
                <w:sz w:val="20"/>
                <w:lang w:val="es-CL"/>
              </w:rPr>
              <w:t>853.163</w:t>
            </w:r>
          </w:p>
        </w:tc>
        <w:tc>
          <w:tcPr>
            <w:tcW w:w="1846" w:type="dxa"/>
            <w:vAlign w:val="center"/>
          </w:tcPr>
          <w:p w14:paraId="33D3BC32" w14:textId="77777777" w:rsidR="00F456FC" w:rsidRPr="00BE7B2B" w:rsidRDefault="00F456FC" w:rsidP="0032758E">
            <w:pPr>
              <w:spacing w:before="120"/>
              <w:jc w:val="center"/>
              <w:rPr>
                <w:rFonts w:ascii="Arial" w:eastAsia="Calibri" w:hAnsi="Arial" w:cs="Arial"/>
                <w:sz w:val="20"/>
                <w:lang w:val="es-CL"/>
              </w:rPr>
            </w:pPr>
            <w:r>
              <w:rPr>
                <w:rFonts w:ascii="Arial" w:eastAsia="Calibri" w:hAnsi="Arial" w:cs="Arial"/>
                <w:sz w:val="20"/>
                <w:lang w:val="es-CL"/>
              </w:rPr>
              <w:t>1.5</w:t>
            </w:r>
          </w:p>
        </w:tc>
      </w:tr>
    </w:tbl>
    <w:p w14:paraId="601A1ACB" w14:textId="6482D27C" w:rsidR="00F456FC" w:rsidRDefault="00F456FC" w:rsidP="00F456FC">
      <w:pPr>
        <w:pStyle w:val="BodyText2"/>
        <w:tabs>
          <w:tab w:val="left" w:pos="720"/>
        </w:tabs>
        <w:spacing w:before="120" w:line="240" w:lineRule="auto"/>
        <w:jc w:val="both"/>
        <w:rPr>
          <w:rFonts w:ascii="Arial" w:eastAsia="Calibri" w:hAnsi="Arial" w:cs="Arial"/>
          <w:spacing w:val="0"/>
          <w:sz w:val="22"/>
          <w:szCs w:val="22"/>
          <w:lang w:val="es-ES" w:eastAsia="x-none"/>
        </w:rPr>
      </w:pPr>
    </w:p>
    <w:p w14:paraId="0CA8D8E6" w14:textId="74F5E642" w:rsidR="00CE685D" w:rsidRDefault="00CE685D" w:rsidP="00CE685D">
      <w:pPr>
        <w:pStyle w:val="BodyText2"/>
        <w:numPr>
          <w:ilvl w:val="1"/>
          <w:numId w:val="7"/>
        </w:numPr>
        <w:tabs>
          <w:tab w:val="left" w:pos="720"/>
        </w:tabs>
        <w:spacing w:before="120" w:line="240" w:lineRule="auto"/>
        <w:ind w:left="720" w:hanging="720"/>
        <w:jc w:val="both"/>
        <w:rPr>
          <w:rFonts w:ascii="Arial" w:eastAsia="Calibri" w:hAnsi="Arial" w:cs="Arial"/>
          <w:sz w:val="22"/>
          <w:szCs w:val="22"/>
          <w:lang w:val="es-CL"/>
        </w:rPr>
      </w:pPr>
      <w:r w:rsidRPr="008A4C7B">
        <w:rPr>
          <w:rFonts w:ascii="Arial" w:eastAsia="Calibri" w:hAnsi="Arial" w:cs="Arial"/>
          <w:b/>
          <w:sz w:val="22"/>
          <w:szCs w:val="22"/>
          <w:lang w:val="es-CL"/>
        </w:rPr>
        <w:t>Reducción de transferencias fiscales al sector</w:t>
      </w:r>
      <w:r w:rsidRPr="009071F1">
        <w:rPr>
          <w:rFonts w:ascii="Arial" w:eastAsia="Calibri" w:hAnsi="Arial" w:cs="Arial"/>
          <w:sz w:val="22"/>
          <w:szCs w:val="22"/>
          <w:u w:val="single"/>
          <w:lang w:val="es-CL"/>
        </w:rPr>
        <w:t>.</w:t>
      </w:r>
      <w:r w:rsidRPr="00C82503">
        <w:rPr>
          <w:rFonts w:ascii="Arial" w:eastAsia="Calibri" w:hAnsi="Arial" w:cs="Arial"/>
          <w:sz w:val="22"/>
          <w:szCs w:val="22"/>
          <w:lang w:val="es-CL"/>
        </w:rPr>
        <w:t xml:space="preserve"> En 2017</w:t>
      </w:r>
      <w:r>
        <w:rPr>
          <w:rFonts w:ascii="Arial" w:eastAsia="Calibri" w:hAnsi="Arial" w:cs="Arial"/>
          <w:sz w:val="22"/>
          <w:szCs w:val="22"/>
          <w:lang w:val="es-CL"/>
        </w:rPr>
        <w:t xml:space="preserve"> l</w:t>
      </w:r>
      <w:r w:rsidRPr="00C82503">
        <w:rPr>
          <w:rFonts w:ascii="Arial" w:eastAsia="Calibri" w:hAnsi="Arial" w:cs="Arial"/>
          <w:sz w:val="22"/>
          <w:szCs w:val="22"/>
          <w:lang w:val="es-CL"/>
        </w:rPr>
        <w:t xml:space="preserve">as transferencias fiscales al sector eléctrico llegaron </w:t>
      </w:r>
      <w:r w:rsidRPr="00207305">
        <w:rPr>
          <w:rFonts w:ascii="Arial" w:eastAsia="Calibri" w:hAnsi="Arial" w:cs="Arial"/>
          <w:sz w:val="22"/>
          <w:szCs w:val="22"/>
          <w:lang w:val="es-CL"/>
        </w:rPr>
        <w:t>a 1,5 del PIB.  Con el programa se espera reducir este porcentaje a 0,</w:t>
      </w:r>
      <w:r>
        <w:rPr>
          <w:rFonts w:ascii="Arial" w:eastAsia="Calibri" w:hAnsi="Arial" w:cs="Arial"/>
          <w:sz w:val="22"/>
          <w:szCs w:val="22"/>
          <w:lang w:val="es-CL"/>
        </w:rPr>
        <w:t>7</w:t>
      </w:r>
      <w:r w:rsidRPr="00207305">
        <w:rPr>
          <w:rFonts w:ascii="Arial" w:eastAsia="Calibri" w:hAnsi="Arial" w:cs="Arial"/>
          <w:sz w:val="22"/>
          <w:szCs w:val="22"/>
          <w:lang w:val="es-CL"/>
        </w:rPr>
        <w:t>% en 2022.  Proyectando</w:t>
      </w:r>
      <w:r w:rsidRPr="00C82503">
        <w:rPr>
          <w:rFonts w:ascii="Arial" w:eastAsia="Calibri" w:hAnsi="Arial" w:cs="Arial"/>
          <w:sz w:val="22"/>
          <w:szCs w:val="22"/>
          <w:lang w:val="es-CL"/>
        </w:rPr>
        <w:t xml:space="preserve"> el PIB a 2022</w:t>
      </w:r>
      <w:r>
        <w:rPr>
          <w:rFonts w:ascii="Arial" w:eastAsia="Calibri" w:hAnsi="Arial" w:cs="Arial"/>
          <w:sz w:val="22"/>
          <w:szCs w:val="22"/>
          <w:lang w:val="es-CL"/>
        </w:rPr>
        <w:t xml:space="preserve"> con crecimiento anual de entre 3,5% y 4% en los próximos cinco años y considerando las metas propuestas</w:t>
      </w:r>
      <w:r w:rsidRPr="00C82503">
        <w:rPr>
          <w:rFonts w:ascii="Arial" w:eastAsia="Calibri" w:hAnsi="Arial" w:cs="Arial"/>
          <w:sz w:val="22"/>
          <w:szCs w:val="22"/>
          <w:lang w:val="es-CL"/>
        </w:rPr>
        <w:t>, se esperaría</w:t>
      </w:r>
      <w:r>
        <w:rPr>
          <w:rFonts w:ascii="Arial" w:eastAsia="Calibri" w:hAnsi="Arial" w:cs="Arial"/>
          <w:sz w:val="22"/>
          <w:szCs w:val="22"/>
          <w:lang w:val="es-CL"/>
        </w:rPr>
        <w:t>n</w:t>
      </w:r>
      <w:r w:rsidRPr="00C82503">
        <w:rPr>
          <w:rFonts w:ascii="Arial" w:eastAsia="Calibri" w:hAnsi="Arial" w:cs="Arial"/>
          <w:sz w:val="22"/>
          <w:szCs w:val="22"/>
          <w:lang w:val="es-CL"/>
        </w:rPr>
        <w:t xml:space="preserve"> </w:t>
      </w:r>
      <w:r>
        <w:rPr>
          <w:rFonts w:ascii="Arial" w:eastAsia="Calibri" w:hAnsi="Arial" w:cs="Arial"/>
          <w:sz w:val="22"/>
          <w:szCs w:val="22"/>
          <w:lang w:val="es-CL"/>
        </w:rPr>
        <w:t xml:space="preserve">ahorros </w:t>
      </w:r>
      <w:r w:rsidRPr="00C82503">
        <w:rPr>
          <w:rFonts w:ascii="Arial" w:eastAsia="Calibri" w:hAnsi="Arial" w:cs="Arial"/>
          <w:sz w:val="22"/>
          <w:szCs w:val="22"/>
          <w:lang w:val="es-CL"/>
        </w:rPr>
        <w:t>fiscales</w:t>
      </w:r>
      <w:r>
        <w:rPr>
          <w:rFonts w:ascii="Arial" w:eastAsia="Calibri" w:hAnsi="Arial" w:cs="Arial"/>
          <w:sz w:val="22"/>
          <w:szCs w:val="22"/>
          <w:lang w:val="es-CL"/>
        </w:rPr>
        <w:t xml:space="preserve"> como se muestran en el Cuadro 4.  Con la reducción propuesta, el Gobierno obtendría un ahorro en recursos fiscales con valor presente de US$1.548 millones. Estos ahorros</w:t>
      </w:r>
      <w:r w:rsidRPr="00C82503">
        <w:rPr>
          <w:rFonts w:ascii="Arial" w:eastAsia="Calibri" w:hAnsi="Arial" w:cs="Arial"/>
          <w:sz w:val="22"/>
          <w:szCs w:val="22"/>
          <w:lang w:val="es-CL"/>
        </w:rPr>
        <w:t xml:space="preserve"> podrían canalizarse hacia sectores</w:t>
      </w:r>
      <w:r>
        <w:rPr>
          <w:rFonts w:ascii="Arial" w:eastAsia="Calibri" w:hAnsi="Arial" w:cs="Arial"/>
          <w:sz w:val="22"/>
          <w:szCs w:val="22"/>
          <w:lang w:val="es-CL"/>
        </w:rPr>
        <w:t xml:space="preserve"> que no tienen capacidad para generar sus propios recursos y requieren el apoyo fiscal </w:t>
      </w:r>
      <w:r w:rsidRPr="00AA5647">
        <w:rPr>
          <w:rFonts w:ascii="Arial" w:hAnsi="Arial" w:cs="Arial"/>
          <w:sz w:val="22"/>
          <w:szCs w:val="22"/>
          <w:lang w:val="es-ES"/>
        </w:rPr>
        <w:t>para</w:t>
      </w:r>
      <w:r>
        <w:rPr>
          <w:rFonts w:ascii="Arial" w:eastAsia="Calibri" w:hAnsi="Arial" w:cs="Arial"/>
          <w:sz w:val="22"/>
          <w:szCs w:val="22"/>
          <w:lang w:val="es-CL"/>
        </w:rPr>
        <w:t xml:space="preserve"> lograr sus metas en beneficios. Estos recursos ahorrados los podrá invertir el Estado en los otros sectores que se determine tienen mayor rentabilidad social</w:t>
      </w:r>
      <w:r>
        <w:rPr>
          <w:rStyle w:val="FootnoteReference"/>
          <w:rFonts w:ascii="Arial" w:eastAsia="Calibri" w:hAnsi="Arial" w:cs="Arial"/>
          <w:sz w:val="22"/>
          <w:szCs w:val="22"/>
          <w:lang w:val="es-CL"/>
        </w:rPr>
        <w:footnoteReference w:id="4"/>
      </w:r>
      <w:r>
        <w:rPr>
          <w:rFonts w:ascii="Arial" w:eastAsia="Calibri" w:hAnsi="Arial" w:cs="Arial"/>
          <w:sz w:val="22"/>
          <w:szCs w:val="22"/>
          <w:lang w:val="es-CL"/>
        </w:rPr>
        <w:t>.  El beneficio económico adicional esperado de invertir en el nuevo destino de los recursos fiscales no es cuantificable en este análisis.</w:t>
      </w:r>
    </w:p>
    <w:tbl>
      <w:tblPr>
        <w:tblStyle w:val="TableGrid"/>
        <w:tblW w:w="8015" w:type="dxa"/>
        <w:tblInd w:w="715" w:type="dxa"/>
        <w:tblLook w:val="04A0" w:firstRow="1" w:lastRow="0" w:firstColumn="1" w:lastColumn="0" w:noHBand="0" w:noVBand="1"/>
      </w:tblPr>
      <w:tblGrid>
        <w:gridCol w:w="2525"/>
        <w:gridCol w:w="1121"/>
        <w:gridCol w:w="1121"/>
        <w:gridCol w:w="1079"/>
        <w:gridCol w:w="1079"/>
        <w:gridCol w:w="1090"/>
      </w:tblGrid>
      <w:tr w:rsidR="00CE685D" w14:paraId="177278B4" w14:textId="77777777" w:rsidTr="007428BF">
        <w:tc>
          <w:tcPr>
            <w:tcW w:w="8015" w:type="dxa"/>
            <w:gridSpan w:val="6"/>
            <w:tcBorders>
              <w:top w:val="nil"/>
              <w:left w:val="nil"/>
              <w:bottom w:val="single" w:sz="4" w:space="0" w:color="auto"/>
              <w:right w:val="nil"/>
            </w:tcBorders>
          </w:tcPr>
          <w:p w14:paraId="60B83FBF" w14:textId="61C5FA07" w:rsidR="00CE685D" w:rsidRPr="00BB56DA" w:rsidRDefault="00CE685D" w:rsidP="0032758E">
            <w:pPr>
              <w:pStyle w:val="ListParagraph"/>
              <w:spacing w:before="120"/>
              <w:ind w:left="0"/>
              <w:jc w:val="center"/>
              <w:rPr>
                <w:rFonts w:ascii="Arial" w:eastAsia="Calibri" w:hAnsi="Arial" w:cs="Arial"/>
                <w:b/>
                <w:sz w:val="20"/>
                <w:lang w:val="es-CL"/>
              </w:rPr>
            </w:pPr>
            <w:r w:rsidRPr="00BB56DA">
              <w:rPr>
                <w:rFonts w:ascii="Arial" w:eastAsia="Calibri" w:hAnsi="Arial" w:cs="Arial"/>
                <w:b/>
                <w:sz w:val="20"/>
                <w:lang w:val="es-CL"/>
              </w:rPr>
              <w:t>Cuadro</w:t>
            </w:r>
            <w:r>
              <w:rPr>
                <w:rFonts w:ascii="Arial" w:eastAsia="Calibri" w:hAnsi="Arial" w:cs="Arial"/>
                <w:b/>
                <w:sz w:val="20"/>
                <w:lang w:val="es-CL"/>
              </w:rPr>
              <w:t xml:space="preserve"> 4</w:t>
            </w:r>
            <w:r w:rsidRPr="00BB56DA">
              <w:rPr>
                <w:rFonts w:ascii="Arial" w:eastAsia="Calibri" w:hAnsi="Arial" w:cs="Arial"/>
                <w:b/>
                <w:sz w:val="20"/>
                <w:lang w:val="es-CL"/>
              </w:rPr>
              <w:t xml:space="preserve"> - Proyecciones Transferencias Fiscales</w:t>
            </w:r>
          </w:p>
        </w:tc>
      </w:tr>
      <w:tr w:rsidR="00CE685D" w14:paraId="630C5304" w14:textId="77777777" w:rsidTr="007428BF">
        <w:tc>
          <w:tcPr>
            <w:tcW w:w="2525" w:type="dxa"/>
            <w:tcBorders>
              <w:top w:val="single" w:sz="4" w:space="0" w:color="auto"/>
            </w:tcBorders>
            <w:shd w:val="clear" w:color="auto" w:fill="DBE5F1" w:themeFill="accent1" w:themeFillTint="33"/>
          </w:tcPr>
          <w:p w14:paraId="1D8D3D9A" w14:textId="77777777" w:rsidR="00CE685D" w:rsidRDefault="00CE685D" w:rsidP="0032758E">
            <w:pPr>
              <w:pStyle w:val="ListParagraph"/>
              <w:spacing w:before="120"/>
              <w:ind w:left="0"/>
              <w:jc w:val="both"/>
              <w:rPr>
                <w:rFonts w:ascii="Arial" w:eastAsia="Calibri" w:hAnsi="Arial" w:cs="Arial"/>
                <w:sz w:val="22"/>
                <w:szCs w:val="22"/>
                <w:lang w:val="es-CL"/>
              </w:rPr>
            </w:pPr>
          </w:p>
        </w:tc>
        <w:tc>
          <w:tcPr>
            <w:tcW w:w="1121" w:type="dxa"/>
            <w:tcBorders>
              <w:top w:val="single" w:sz="4" w:space="0" w:color="auto"/>
            </w:tcBorders>
            <w:shd w:val="clear" w:color="auto" w:fill="DBE5F1" w:themeFill="accent1" w:themeFillTint="33"/>
          </w:tcPr>
          <w:p w14:paraId="4E80F6DD" w14:textId="77777777" w:rsidR="00CE685D" w:rsidRPr="00C4026F" w:rsidRDefault="00CE685D" w:rsidP="0032758E">
            <w:pPr>
              <w:pStyle w:val="ListParagraph"/>
              <w:spacing w:before="120"/>
              <w:ind w:left="0"/>
              <w:jc w:val="center"/>
              <w:rPr>
                <w:rFonts w:ascii="Arial" w:eastAsia="Calibri" w:hAnsi="Arial" w:cs="Arial"/>
                <w:b/>
                <w:sz w:val="20"/>
                <w:lang w:val="es-CL"/>
              </w:rPr>
            </w:pPr>
            <w:r w:rsidRPr="00C4026F">
              <w:rPr>
                <w:rFonts w:ascii="Arial" w:eastAsia="Calibri" w:hAnsi="Arial" w:cs="Arial"/>
                <w:b/>
                <w:sz w:val="20"/>
                <w:lang w:val="es-CL"/>
              </w:rPr>
              <w:t>2018</w:t>
            </w:r>
          </w:p>
        </w:tc>
        <w:tc>
          <w:tcPr>
            <w:tcW w:w="1121" w:type="dxa"/>
            <w:tcBorders>
              <w:top w:val="single" w:sz="4" w:space="0" w:color="auto"/>
            </w:tcBorders>
            <w:shd w:val="clear" w:color="auto" w:fill="DBE5F1" w:themeFill="accent1" w:themeFillTint="33"/>
          </w:tcPr>
          <w:p w14:paraId="448B65C9" w14:textId="77777777" w:rsidR="00CE685D" w:rsidRPr="00C4026F" w:rsidRDefault="00CE685D" w:rsidP="0032758E">
            <w:pPr>
              <w:pStyle w:val="ListParagraph"/>
              <w:spacing w:before="120"/>
              <w:ind w:left="0"/>
              <w:jc w:val="center"/>
              <w:rPr>
                <w:rFonts w:ascii="Arial" w:eastAsia="Calibri" w:hAnsi="Arial" w:cs="Arial"/>
                <w:b/>
                <w:sz w:val="20"/>
                <w:lang w:val="es-CL"/>
              </w:rPr>
            </w:pPr>
            <w:r w:rsidRPr="00C4026F">
              <w:rPr>
                <w:rFonts w:ascii="Arial" w:eastAsia="Calibri" w:hAnsi="Arial" w:cs="Arial"/>
                <w:b/>
                <w:sz w:val="20"/>
                <w:lang w:val="es-CL"/>
              </w:rPr>
              <w:t>2019</w:t>
            </w:r>
          </w:p>
        </w:tc>
        <w:tc>
          <w:tcPr>
            <w:tcW w:w="1079" w:type="dxa"/>
            <w:tcBorders>
              <w:top w:val="single" w:sz="4" w:space="0" w:color="auto"/>
            </w:tcBorders>
            <w:shd w:val="clear" w:color="auto" w:fill="DBE5F1" w:themeFill="accent1" w:themeFillTint="33"/>
          </w:tcPr>
          <w:p w14:paraId="32CCA045" w14:textId="77777777" w:rsidR="00CE685D" w:rsidRPr="00C4026F" w:rsidRDefault="00CE685D" w:rsidP="0032758E">
            <w:pPr>
              <w:pStyle w:val="ListParagraph"/>
              <w:spacing w:before="120"/>
              <w:ind w:left="0"/>
              <w:jc w:val="center"/>
              <w:rPr>
                <w:rFonts w:ascii="Arial" w:eastAsia="Calibri" w:hAnsi="Arial" w:cs="Arial"/>
                <w:b/>
                <w:sz w:val="20"/>
                <w:lang w:val="es-CL"/>
              </w:rPr>
            </w:pPr>
            <w:r w:rsidRPr="00C4026F">
              <w:rPr>
                <w:rFonts w:ascii="Arial" w:eastAsia="Calibri" w:hAnsi="Arial" w:cs="Arial"/>
                <w:b/>
                <w:sz w:val="20"/>
                <w:lang w:val="es-CL"/>
              </w:rPr>
              <w:t>2020</w:t>
            </w:r>
          </w:p>
        </w:tc>
        <w:tc>
          <w:tcPr>
            <w:tcW w:w="1079" w:type="dxa"/>
            <w:tcBorders>
              <w:top w:val="single" w:sz="4" w:space="0" w:color="auto"/>
            </w:tcBorders>
            <w:shd w:val="clear" w:color="auto" w:fill="DBE5F1" w:themeFill="accent1" w:themeFillTint="33"/>
          </w:tcPr>
          <w:p w14:paraId="6F2D3F25" w14:textId="77777777" w:rsidR="00CE685D" w:rsidRPr="00C4026F" w:rsidRDefault="00CE685D" w:rsidP="0032758E">
            <w:pPr>
              <w:pStyle w:val="ListParagraph"/>
              <w:spacing w:before="120"/>
              <w:ind w:left="0"/>
              <w:jc w:val="center"/>
              <w:rPr>
                <w:rFonts w:ascii="Arial" w:eastAsia="Calibri" w:hAnsi="Arial" w:cs="Arial"/>
                <w:b/>
                <w:sz w:val="20"/>
                <w:lang w:val="es-CL"/>
              </w:rPr>
            </w:pPr>
            <w:r w:rsidRPr="00C4026F">
              <w:rPr>
                <w:rFonts w:ascii="Arial" w:eastAsia="Calibri" w:hAnsi="Arial" w:cs="Arial"/>
                <w:b/>
                <w:sz w:val="20"/>
                <w:lang w:val="es-CL"/>
              </w:rPr>
              <w:t>2021</w:t>
            </w:r>
          </w:p>
        </w:tc>
        <w:tc>
          <w:tcPr>
            <w:tcW w:w="1086" w:type="dxa"/>
            <w:tcBorders>
              <w:top w:val="single" w:sz="4" w:space="0" w:color="auto"/>
            </w:tcBorders>
            <w:shd w:val="clear" w:color="auto" w:fill="DBE5F1" w:themeFill="accent1" w:themeFillTint="33"/>
          </w:tcPr>
          <w:p w14:paraId="35DC649B" w14:textId="77777777" w:rsidR="00CE685D" w:rsidRPr="00C4026F" w:rsidRDefault="00CE685D" w:rsidP="0032758E">
            <w:pPr>
              <w:pStyle w:val="ListParagraph"/>
              <w:spacing w:before="120"/>
              <w:ind w:left="0"/>
              <w:jc w:val="center"/>
              <w:rPr>
                <w:rFonts w:ascii="Arial" w:eastAsia="Calibri" w:hAnsi="Arial" w:cs="Arial"/>
                <w:b/>
                <w:sz w:val="20"/>
                <w:lang w:val="es-CL"/>
              </w:rPr>
            </w:pPr>
            <w:r w:rsidRPr="00C4026F">
              <w:rPr>
                <w:rFonts w:ascii="Arial" w:eastAsia="Calibri" w:hAnsi="Arial" w:cs="Arial"/>
                <w:b/>
                <w:sz w:val="20"/>
                <w:lang w:val="es-CL"/>
              </w:rPr>
              <w:t>2022</w:t>
            </w:r>
          </w:p>
        </w:tc>
      </w:tr>
      <w:tr w:rsidR="00CE685D" w14:paraId="2B01A15C" w14:textId="77777777" w:rsidTr="007428BF">
        <w:trPr>
          <w:trHeight w:val="440"/>
        </w:trPr>
        <w:tc>
          <w:tcPr>
            <w:tcW w:w="2525" w:type="dxa"/>
          </w:tcPr>
          <w:p w14:paraId="6AD9AFF2" w14:textId="77777777" w:rsidR="00CE685D" w:rsidRPr="005A458E" w:rsidRDefault="00CE685D" w:rsidP="0032758E">
            <w:pPr>
              <w:pStyle w:val="ListParagraph"/>
              <w:spacing w:before="120"/>
              <w:ind w:left="0"/>
              <w:jc w:val="both"/>
              <w:rPr>
                <w:rFonts w:ascii="Arial" w:eastAsia="Calibri" w:hAnsi="Arial" w:cs="Arial"/>
                <w:sz w:val="20"/>
                <w:lang w:val="es-CL"/>
              </w:rPr>
            </w:pPr>
            <w:r w:rsidRPr="005A458E">
              <w:rPr>
                <w:rFonts w:ascii="Arial" w:eastAsia="Calibri" w:hAnsi="Arial" w:cs="Arial"/>
                <w:sz w:val="20"/>
                <w:lang w:val="es-CL"/>
              </w:rPr>
              <w:t>PIB Proyectado</w:t>
            </w:r>
            <w:r>
              <w:rPr>
                <w:rFonts w:ascii="Arial" w:eastAsia="Calibri" w:hAnsi="Arial" w:cs="Arial"/>
                <w:sz w:val="20"/>
                <w:lang w:val="es-CL"/>
              </w:rPr>
              <w:t xml:space="preserve"> (</w:t>
            </w:r>
            <w:r w:rsidRPr="009F51B6">
              <w:rPr>
                <w:rFonts w:ascii="Arial" w:eastAsia="Calibri" w:hAnsi="Arial" w:cs="Arial"/>
                <w:sz w:val="20"/>
                <w:lang w:val="es-CL"/>
              </w:rPr>
              <w:t>US$ millones)</w:t>
            </w:r>
          </w:p>
        </w:tc>
        <w:tc>
          <w:tcPr>
            <w:tcW w:w="1121" w:type="dxa"/>
            <w:vAlign w:val="center"/>
          </w:tcPr>
          <w:p w14:paraId="3C3FBB8B" w14:textId="77777777" w:rsidR="00CE685D" w:rsidRPr="005A458E" w:rsidRDefault="00CE685D" w:rsidP="0032758E">
            <w:pPr>
              <w:rPr>
                <w:rFonts w:ascii="Arial" w:hAnsi="Arial" w:cs="Arial"/>
                <w:sz w:val="20"/>
              </w:rPr>
            </w:pPr>
            <w:r w:rsidRPr="005A458E">
              <w:rPr>
                <w:rFonts w:ascii="Arial" w:hAnsi="Arial" w:cs="Arial"/>
                <w:sz w:val="20"/>
              </w:rPr>
              <w:t xml:space="preserve"> 79,051.70 </w:t>
            </w:r>
          </w:p>
        </w:tc>
        <w:tc>
          <w:tcPr>
            <w:tcW w:w="1121" w:type="dxa"/>
            <w:vAlign w:val="center"/>
          </w:tcPr>
          <w:p w14:paraId="740A9B3C" w14:textId="77777777" w:rsidR="00CE685D" w:rsidRPr="005A458E" w:rsidRDefault="00CE685D" w:rsidP="0032758E">
            <w:pPr>
              <w:rPr>
                <w:rFonts w:ascii="Arial" w:hAnsi="Arial" w:cs="Arial"/>
                <w:sz w:val="20"/>
              </w:rPr>
            </w:pPr>
            <w:r w:rsidRPr="005A458E">
              <w:rPr>
                <w:rFonts w:ascii="Arial" w:hAnsi="Arial" w:cs="Arial"/>
                <w:sz w:val="20"/>
              </w:rPr>
              <w:t xml:space="preserve"> 81,818.51 </w:t>
            </w:r>
          </w:p>
        </w:tc>
        <w:tc>
          <w:tcPr>
            <w:tcW w:w="1079" w:type="dxa"/>
            <w:vAlign w:val="center"/>
          </w:tcPr>
          <w:p w14:paraId="55F24189" w14:textId="77777777" w:rsidR="00CE685D" w:rsidRPr="005A458E" w:rsidRDefault="00CE685D" w:rsidP="0032758E">
            <w:pPr>
              <w:rPr>
                <w:rFonts w:ascii="Arial" w:hAnsi="Arial" w:cs="Arial"/>
                <w:sz w:val="20"/>
              </w:rPr>
            </w:pPr>
            <w:r w:rsidRPr="005A458E">
              <w:rPr>
                <w:rFonts w:ascii="Arial" w:hAnsi="Arial" w:cs="Arial"/>
                <w:sz w:val="20"/>
              </w:rPr>
              <w:t xml:space="preserve"> 84,682.15 </w:t>
            </w:r>
          </w:p>
        </w:tc>
        <w:tc>
          <w:tcPr>
            <w:tcW w:w="1079" w:type="dxa"/>
            <w:vAlign w:val="center"/>
          </w:tcPr>
          <w:p w14:paraId="49C8FE9C" w14:textId="77777777" w:rsidR="00CE685D" w:rsidRPr="005A458E" w:rsidRDefault="00CE685D" w:rsidP="0032758E">
            <w:pPr>
              <w:rPr>
                <w:rFonts w:ascii="Arial" w:hAnsi="Arial" w:cs="Arial"/>
                <w:sz w:val="20"/>
              </w:rPr>
            </w:pPr>
            <w:r w:rsidRPr="005A458E">
              <w:rPr>
                <w:rFonts w:ascii="Arial" w:hAnsi="Arial" w:cs="Arial"/>
                <w:sz w:val="20"/>
              </w:rPr>
              <w:t xml:space="preserve"> 87,646.03 </w:t>
            </w:r>
          </w:p>
        </w:tc>
        <w:tc>
          <w:tcPr>
            <w:tcW w:w="1086" w:type="dxa"/>
            <w:vAlign w:val="center"/>
          </w:tcPr>
          <w:p w14:paraId="3EDC7858" w14:textId="77777777" w:rsidR="00CE685D" w:rsidRPr="005A458E" w:rsidRDefault="00CE685D" w:rsidP="0032758E">
            <w:pPr>
              <w:rPr>
                <w:rFonts w:ascii="Arial" w:hAnsi="Arial" w:cs="Arial"/>
                <w:sz w:val="20"/>
              </w:rPr>
            </w:pPr>
            <w:r w:rsidRPr="005A458E">
              <w:rPr>
                <w:rFonts w:ascii="Arial" w:hAnsi="Arial" w:cs="Arial"/>
                <w:sz w:val="20"/>
              </w:rPr>
              <w:t xml:space="preserve"> 90,713.64 </w:t>
            </w:r>
          </w:p>
        </w:tc>
      </w:tr>
      <w:tr w:rsidR="00CE685D" w14:paraId="2656D850" w14:textId="77777777" w:rsidTr="007428BF">
        <w:tc>
          <w:tcPr>
            <w:tcW w:w="2525" w:type="dxa"/>
          </w:tcPr>
          <w:p w14:paraId="789814A5" w14:textId="77777777" w:rsidR="00CE685D" w:rsidRPr="005A458E" w:rsidRDefault="00CE685D" w:rsidP="0032758E">
            <w:pPr>
              <w:pStyle w:val="ListParagraph"/>
              <w:spacing w:before="120"/>
              <w:ind w:left="0"/>
              <w:jc w:val="both"/>
              <w:rPr>
                <w:rFonts w:ascii="Arial" w:eastAsia="Calibri" w:hAnsi="Arial" w:cs="Arial"/>
                <w:sz w:val="20"/>
                <w:lang w:val="es-CL"/>
              </w:rPr>
            </w:pPr>
            <w:r w:rsidRPr="005A458E">
              <w:rPr>
                <w:rFonts w:ascii="Arial" w:eastAsia="Calibri" w:hAnsi="Arial" w:cs="Arial"/>
                <w:sz w:val="20"/>
                <w:lang w:val="es-CL"/>
              </w:rPr>
              <w:t>Transferencias al sector eléctrico con reforma (% PIB)</w:t>
            </w:r>
          </w:p>
        </w:tc>
        <w:tc>
          <w:tcPr>
            <w:tcW w:w="1121" w:type="dxa"/>
            <w:vAlign w:val="center"/>
          </w:tcPr>
          <w:p w14:paraId="7D5CF00E" w14:textId="77777777" w:rsidR="00CE685D" w:rsidRPr="005A458E" w:rsidRDefault="00CE685D" w:rsidP="0032758E">
            <w:pPr>
              <w:jc w:val="center"/>
              <w:rPr>
                <w:rFonts w:ascii="Arial" w:hAnsi="Arial" w:cs="Arial"/>
                <w:sz w:val="20"/>
              </w:rPr>
            </w:pPr>
            <w:r w:rsidRPr="005A458E">
              <w:rPr>
                <w:rFonts w:ascii="Arial" w:hAnsi="Arial" w:cs="Arial"/>
                <w:sz w:val="20"/>
              </w:rPr>
              <w:t>1.20%</w:t>
            </w:r>
          </w:p>
        </w:tc>
        <w:tc>
          <w:tcPr>
            <w:tcW w:w="1121" w:type="dxa"/>
            <w:vAlign w:val="center"/>
          </w:tcPr>
          <w:p w14:paraId="71723B80" w14:textId="77777777" w:rsidR="00CE685D" w:rsidRPr="005A458E" w:rsidRDefault="00CE685D" w:rsidP="0032758E">
            <w:pPr>
              <w:jc w:val="center"/>
              <w:rPr>
                <w:rFonts w:ascii="Arial" w:hAnsi="Arial" w:cs="Arial"/>
                <w:sz w:val="20"/>
              </w:rPr>
            </w:pPr>
            <w:r w:rsidRPr="005A458E">
              <w:rPr>
                <w:rFonts w:ascii="Arial" w:hAnsi="Arial" w:cs="Arial"/>
                <w:sz w:val="20"/>
              </w:rPr>
              <w:t>1.10%</w:t>
            </w:r>
          </w:p>
        </w:tc>
        <w:tc>
          <w:tcPr>
            <w:tcW w:w="1079" w:type="dxa"/>
            <w:vAlign w:val="center"/>
          </w:tcPr>
          <w:p w14:paraId="4661856D" w14:textId="77777777" w:rsidR="00CE685D" w:rsidRPr="005A458E" w:rsidRDefault="00CE685D" w:rsidP="0032758E">
            <w:pPr>
              <w:jc w:val="center"/>
              <w:rPr>
                <w:rFonts w:ascii="Arial" w:hAnsi="Arial" w:cs="Arial"/>
                <w:sz w:val="20"/>
              </w:rPr>
            </w:pPr>
            <w:r w:rsidRPr="005A458E">
              <w:rPr>
                <w:rFonts w:ascii="Arial" w:hAnsi="Arial" w:cs="Arial"/>
                <w:sz w:val="20"/>
              </w:rPr>
              <w:t>1.00%</w:t>
            </w:r>
          </w:p>
        </w:tc>
        <w:tc>
          <w:tcPr>
            <w:tcW w:w="1079" w:type="dxa"/>
            <w:vAlign w:val="center"/>
          </w:tcPr>
          <w:p w14:paraId="26487E0A" w14:textId="77777777" w:rsidR="00CE685D" w:rsidRPr="005A458E" w:rsidRDefault="00CE685D" w:rsidP="0032758E">
            <w:pPr>
              <w:jc w:val="center"/>
              <w:rPr>
                <w:rFonts w:ascii="Arial" w:hAnsi="Arial" w:cs="Arial"/>
                <w:sz w:val="20"/>
              </w:rPr>
            </w:pPr>
            <w:r w:rsidRPr="005A458E">
              <w:rPr>
                <w:rFonts w:ascii="Arial" w:hAnsi="Arial" w:cs="Arial"/>
                <w:sz w:val="20"/>
              </w:rPr>
              <w:t>0.85%</w:t>
            </w:r>
          </w:p>
        </w:tc>
        <w:tc>
          <w:tcPr>
            <w:tcW w:w="1086" w:type="dxa"/>
            <w:vAlign w:val="center"/>
          </w:tcPr>
          <w:p w14:paraId="46181E7F" w14:textId="77777777" w:rsidR="00CE685D" w:rsidRPr="005A458E" w:rsidRDefault="00CE685D" w:rsidP="0032758E">
            <w:pPr>
              <w:jc w:val="center"/>
              <w:rPr>
                <w:rFonts w:ascii="Arial" w:hAnsi="Arial" w:cs="Arial"/>
                <w:sz w:val="20"/>
              </w:rPr>
            </w:pPr>
            <w:r w:rsidRPr="005A458E">
              <w:rPr>
                <w:rFonts w:ascii="Arial" w:hAnsi="Arial" w:cs="Arial"/>
                <w:sz w:val="20"/>
              </w:rPr>
              <w:t>0.70%</w:t>
            </w:r>
          </w:p>
        </w:tc>
      </w:tr>
      <w:tr w:rsidR="00CE685D" w14:paraId="430B23B9" w14:textId="77777777" w:rsidTr="007428BF">
        <w:tc>
          <w:tcPr>
            <w:tcW w:w="2525" w:type="dxa"/>
          </w:tcPr>
          <w:p w14:paraId="6CB5374C" w14:textId="77777777" w:rsidR="00CE685D" w:rsidRPr="005A458E" w:rsidRDefault="00CE685D" w:rsidP="0032758E">
            <w:pPr>
              <w:pStyle w:val="ListParagraph"/>
              <w:spacing w:before="120"/>
              <w:ind w:left="0"/>
              <w:jc w:val="both"/>
              <w:rPr>
                <w:rFonts w:ascii="Arial" w:eastAsia="Calibri" w:hAnsi="Arial" w:cs="Arial"/>
                <w:sz w:val="20"/>
                <w:lang w:val="es-CL"/>
              </w:rPr>
            </w:pPr>
            <w:r w:rsidRPr="005A458E">
              <w:rPr>
                <w:rFonts w:ascii="Arial" w:eastAsia="Calibri" w:hAnsi="Arial" w:cs="Arial"/>
                <w:sz w:val="20"/>
                <w:lang w:val="es-CL"/>
              </w:rPr>
              <w:t>Transferencias con reforma (US$ millones)</w:t>
            </w:r>
          </w:p>
        </w:tc>
        <w:tc>
          <w:tcPr>
            <w:tcW w:w="1121" w:type="dxa"/>
            <w:vAlign w:val="center"/>
          </w:tcPr>
          <w:p w14:paraId="7F174E53" w14:textId="77777777" w:rsidR="00CE685D" w:rsidRPr="005A458E" w:rsidRDefault="00CE685D" w:rsidP="0032758E">
            <w:pPr>
              <w:jc w:val="center"/>
              <w:rPr>
                <w:rFonts w:ascii="Arial" w:hAnsi="Arial" w:cs="Arial"/>
                <w:sz w:val="20"/>
              </w:rPr>
            </w:pPr>
            <w:r w:rsidRPr="005A458E">
              <w:rPr>
                <w:rFonts w:ascii="Arial" w:hAnsi="Arial" w:cs="Arial"/>
                <w:sz w:val="20"/>
              </w:rPr>
              <w:t>948.62</w:t>
            </w:r>
          </w:p>
        </w:tc>
        <w:tc>
          <w:tcPr>
            <w:tcW w:w="1121" w:type="dxa"/>
            <w:vAlign w:val="center"/>
          </w:tcPr>
          <w:p w14:paraId="3C24BFC3" w14:textId="77777777" w:rsidR="00CE685D" w:rsidRPr="005A458E" w:rsidRDefault="00CE685D" w:rsidP="0032758E">
            <w:pPr>
              <w:jc w:val="center"/>
              <w:rPr>
                <w:rFonts w:ascii="Arial" w:hAnsi="Arial" w:cs="Arial"/>
                <w:sz w:val="20"/>
              </w:rPr>
            </w:pPr>
            <w:r w:rsidRPr="005A458E">
              <w:rPr>
                <w:rFonts w:ascii="Arial" w:hAnsi="Arial" w:cs="Arial"/>
                <w:sz w:val="20"/>
              </w:rPr>
              <w:t>900.00</w:t>
            </w:r>
          </w:p>
        </w:tc>
        <w:tc>
          <w:tcPr>
            <w:tcW w:w="1079" w:type="dxa"/>
            <w:vAlign w:val="center"/>
          </w:tcPr>
          <w:p w14:paraId="68DD6E2F" w14:textId="77777777" w:rsidR="00CE685D" w:rsidRPr="005A458E" w:rsidRDefault="00CE685D" w:rsidP="0032758E">
            <w:pPr>
              <w:jc w:val="center"/>
              <w:rPr>
                <w:rFonts w:ascii="Arial" w:hAnsi="Arial" w:cs="Arial"/>
                <w:sz w:val="20"/>
              </w:rPr>
            </w:pPr>
            <w:r w:rsidRPr="005A458E">
              <w:rPr>
                <w:rFonts w:ascii="Arial" w:hAnsi="Arial" w:cs="Arial"/>
                <w:sz w:val="20"/>
              </w:rPr>
              <w:t>846.82</w:t>
            </w:r>
          </w:p>
        </w:tc>
        <w:tc>
          <w:tcPr>
            <w:tcW w:w="1079" w:type="dxa"/>
            <w:vAlign w:val="center"/>
          </w:tcPr>
          <w:p w14:paraId="11D8F2D2" w14:textId="77777777" w:rsidR="00CE685D" w:rsidRPr="005A458E" w:rsidRDefault="00CE685D" w:rsidP="0032758E">
            <w:pPr>
              <w:jc w:val="center"/>
              <w:rPr>
                <w:rFonts w:ascii="Arial" w:hAnsi="Arial" w:cs="Arial"/>
                <w:sz w:val="20"/>
              </w:rPr>
            </w:pPr>
            <w:r w:rsidRPr="005A458E">
              <w:rPr>
                <w:rFonts w:ascii="Arial" w:hAnsi="Arial" w:cs="Arial"/>
                <w:sz w:val="20"/>
              </w:rPr>
              <w:t>744.99</w:t>
            </w:r>
          </w:p>
        </w:tc>
        <w:tc>
          <w:tcPr>
            <w:tcW w:w="1086" w:type="dxa"/>
            <w:vAlign w:val="center"/>
          </w:tcPr>
          <w:p w14:paraId="4AE80B6D" w14:textId="77777777" w:rsidR="00CE685D" w:rsidRPr="005A458E" w:rsidRDefault="00CE685D" w:rsidP="0032758E">
            <w:pPr>
              <w:jc w:val="center"/>
              <w:rPr>
                <w:rFonts w:ascii="Arial" w:hAnsi="Arial" w:cs="Arial"/>
                <w:sz w:val="20"/>
              </w:rPr>
            </w:pPr>
            <w:r w:rsidRPr="005A458E">
              <w:rPr>
                <w:rFonts w:ascii="Arial" w:hAnsi="Arial" w:cs="Arial"/>
                <w:sz w:val="20"/>
              </w:rPr>
              <w:t>635.00</w:t>
            </w:r>
          </w:p>
        </w:tc>
      </w:tr>
      <w:tr w:rsidR="00CE685D" w14:paraId="0ABA44CC" w14:textId="77777777" w:rsidTr="007428BF">
        <w:tc>
          <w:tcPr>
            <w:tcW w:w="2525" w:type="dxa"/>
          </w:tcPr>
          <w:p w14:paraId="1D6642DB" w14:textId="77777777" w:rsidR="00CE685D" w:rsidRPr="005A458E" w:rsidRDefault="00CE685D" w:rsidP="0032758E">
            <w:pPr>
              <w:pStyle w:val="ListParagraph"/>
              <w:spacing w:before="120"/>
              <w:ind w:left="0"/>
              <w:jc w:val="both"/>
              <w:rPr>
                <w:rFonts w:ascii="Arial" w:eastAsia="Calibri" w:hAnsi="Arial" w:cs="Arial"/>
                <w:sz w:val="20"/>
                <w:lang w:val="es-CL"/>
              </w:rPr>
            </w:pPr>
            <w:r w:rsidRPr="005A458E">
              <w:rPr>
                <w:rFonts w:ascii="Arial" w:eastAsia="Calibri" w:hAnsi="Arial" w:cs="Arial"/>
                <w:sz w:val="20"/>
                <w:lang w:val="es-CL"/>
              </w:rPr>
              <w:t xml:space="preserve">Transferencias sin reforma 1,5% (US$ millones) </w:t>
            </w:r>
          </w:p>
        </w:tc>
        <w:tc>
          <w:tcPr>
            <w:tcW w:w="1121" w:type="dxa"/>
            <w:vAlign w:val="center"/>
          </w:tcPr>
          <w:p w14:paraId="771F8C72" w14:textId="77777777" w:rsidR="00CE685D" w:rsidRPr="005A458E" w:rsidRDefault="00CE685D" w:rsidP="0032758E">
            <w:pPr>
              <w:jc w:val="center"/>
              <w:rPr>
                <w:rFonts w:ascii="Arial" w:hAnsi="Arial" w:cs="Arial"/>
                <w:sz w:val="20"/>
              </w:rPr>
            </w:pPr>
            <w:r w:rsidRPr="005A458E">
              <w:rPr>
                <w:rFonts w:ascii="Arial" w:hAnsi="Arial" w:cs="Arial"/>
                <w:sz w:val="20"/>
              </w:rPr>
              <w:t>1,185.78</w:t>
            </w:r>
          </w:p>
        </w:tc>
        <w:tc>
          <w:tcPr>
            <w:tcW w:w="1121" w:type="dxa"/>
            <w:vAlign w:val="center"/>
          </w:tcPr>
          <w:p w14:paraId="105BD6CC" w14:textId="77777777" w:rsidR="00CE685D" w:rsidRPr="005A458E" w:rsidRDefault="00CE685D" w:rsidP="0032758E">
            <w:pPr>
              <w:jc w:val="center"/>
              <w:rPr>
                <w:rFonts w:ascii="Arial" w:hAnsi="Arial" w:cs="Arial"/>
                <w:sz w:val="20"/>
              </w:rPr>
            </w:pPr>
            <w:r w:rsidRPr="005A458E">
              <w:rPr>
                <w:rFonts w:ascii="Arial" w:hAnsi="Arial" w:cs="Arial"/>
                <w:sz w:val="20"/>
              </w:rPr>
              <w:t>1,227.28</w:t>
            </w:r>
          </w:p>
        </w:tc>
        <w:tc>
          <w:tcPr>
            <w:tcW w:w="1079" w:type="dxa"/>
            <w:vAlign w:val="center"/>
          </w:tcPr>
          <w:p w14:paraId="2E4BFA72" w14:textId="77777777" w:rsidR="00CE685D" w:rsidRPr="005A458E" w:rsidRDefault="00CE685D" w:rsidP="0032758E">
            <w:pPr>
              <w:jc w:val="center"/>
              <w:rPr>
                <w:rFonts w:ascii="Arial" w:hAnsi="Arial" w:cs="Arial"/>
                <w:sz w:val="20"/>
              </w:rPr>
            </w:pPr>
            <w:r w:rsidRPr="005A458E">
              <w:rPr>
                <w:rFonts w:ascii="Arial" w:hAnsi="Arial" w:cs="Arial"/>
                <w:sz w:val="20"/>
              </w:rPr>
              <w:t>1,270.23</w:t>
            </w:r>
          </w:p>
        </w:tc>
        <w:tc>
          <w:tcPr>
            <w:tcW w:w="1079" w:type="dxa"/>
            <w:vAlign w:val="center"/>
          </w:tcPr>
          <w:p w14:paraId="33D3B2F1" w14:textId="77777777" w:rsidR="00CE685D" w:rsidRPr="005A458E" w:rsidRDefault="00CE685D" w:rsidP="0032758E">
            <w:pPr>
              <w:jc w:val="center"/>
              <w:rPr>
                <w:rFonts w:ascii="Arial" w:hAnsi="Arial" w:cs="Arial"/>
                <w:sz w:val="20"/>
              </w:rPr>
            </w:pPr>
            <w:r w:rsidRPr="005A458E">
              <w:rPr>
                <w:rFonts w:ascii="Arial" w:hAnsi="Arial" w:cs="Arial"/>
                <w:sz w:val="20"/>
              </w:rPr>
              <w:t>1,314.69</w:t>
            </w:r>
          </w:p>
        </w:tc>
        <w:tc>
          <w:tcPr>
            <w:tcW w:w="1086" w:type="dxa"/>
            <w:vAlign w:val="center"/>
          </w:tcPr>
          <w:p w14:paraId="5B84A4FC" w14:textId="77777777" w:rsidR="00CE685D" w:rsidRPr="005A458E" w:rsidRDefault="00CE685D" w:rsidP="0032758E">
            <w:pPr>
              <w:jc w:val="center"/>
              <w:rPr>
                <w:rFonts w:ascii="Arial" w:hAnsi="Arial" w:cs="Arial"/>
                <w:sz w:val="20"/>
              </w:rPr>
            </w:pPr>
            <w:r w:rsidRPr="005A458E">
              <w:rPr>
                <w:rFonts w:ascii="Arial" w:hAnsi="Arial" w:cs="Arial"/>
                <w:sz w:val="20"/>
              </w:rPr>
              <w:t>1,360.70</w:t>
            </w:r>
          </w:p>
        </w:tc>
      </w:tr>
      <w:tr w:rsidR="00CE685D" w14:paraId="2DCFBA9D" w14:textId="77777777" w:rsidTr="007428BF">
        <w:tc>
          <w:tcPr>
            <w:tcW w:w="2525" w:type="dxa"/>
            <w:tcBorders>
              <w:bottom w:val="single" w:sz="4" w:space="0" w:color="auto"/>
            </w:tcBorders>
          </w:tcPr>
          <w:p w14:paraId="26EDF325" w14:textId="77777777" w:rsidR="00CE685D" w:rsidRPr="005A458E" w:rsidRDefault="00CE685D" w:rsidP="0032758E">
            <w:pPr>
              <w:pStyle w:val="ListParagraph"/>
              <w:spacing w:before="120"/>
              <w:ind w:left="0"/>
              <w:jc w:val="both"/>
              <w:rPr>
                <w:rFonts w:ascii="Arial" w:eastAsia="Calibri" w:hAnsi="Arial" w:cs="Arial"/>
                <w:sz w:val="20"/>
                <w:lang w:val="es-CL"/>
              </w:rPr>
            </w:pPr>
            <w:r w:rsidRPr="005A458E">
              <w:rPr>
                <w:rFonts w:ascii="Arial" w:eastAsia="Calibri" w:hAnsi="Arial" w:cs="Arial"/>
                <w:sz w:val="20"/>
                <w:lang w:val="es-CL"/>
              </w:rPr>
              <w:t>Ahorro fiscal por reformas (US$ millones)</w:t>
            </w:r>
          </w:p>
        </w:tc>
        <w:tc>
          <w:tcPr>
            <w:tcW w:w="1121" w:type="dxa"/>
            <w:tcBorders>
              <w:bottom w:val="single" w:sz="4" w:space="0" w:color="auto"/>
            </w:tcBorders>
            <w:vAlign w:val="center"/>
          </w:tcPr>
          <w:p w14:paraId="11958C4A" w14:textId="77777777" w:rsidR="00CE685D" w:rsidRPr="005A458E" w:rsidRDefault="00CE685D" w:rsidP="0032758E">
            <w:pPr>
              <w:jc w:val="center"/>
              <w:rPr>
                <w:rFonts w:ascii="Arial" w:hAnsi="Arial" w:cs="Arial"/>
                <w:sz w:val="20"/>
              </w:rPr>
            </w:pPr>
            <w:r w:rsidRPr="005A458E">
              <w:rPr>
                <w:rFonts w:ascii="Arial" w:hAnsi="Arial" w:cs="Arial"/>
                <w:sz w:val="20"/>
              </w:rPr>
              <w:t>237.16</w:t>
            </w:r>
          </w:p>
        </w:tc>
        <w:tc>
          <w:tcPr>
            <w:tcW w:w="1121" w:type="dxa"/>
            <w:tcBorders>
              <w:bottom w:val="single" w:sz="4" w:space="0" w:color="auto"/>
            </w:tcBorders>
            <w:vAlign w:val="center"/>
          </w:tcPr>
          <w:p w14:paraId="3133AF0D" w14:textId="77777777" w:rsidR="00CE685D" w:rsidRPr="005A458E" w:rsidRDefault="00CE685D" w:rsidP="0032758E">
            <w:pPr>
              <w:jc w:val="center"/>
              <w:rPr>
                <w:rFonts w:ascii="Arial" w:hAnsi="Arial" w:cs="Arial"/>
                <w:sz w:val="20"/>
              </w:rPr>
            </w:pPr>
            <w:r w:rsidRPr="005A458E">
              <w:rPr>
                <w:rFonts w:ascii="Arial" w:hAnsi="Arial" w:cs="Arial"/>
                <w:sz w:val="20"/>
              </w:rPr>
              <w:t>327.27</w:t>
            </w:r>
          </w:p>
        </w:tc>
        <w:tc>
          <w:tcPr>
            <w:tcW w:w="1079" w:type="dxa"/>
            <w:tcBorders>
              <w:bottom w:val="single" w:sz="4" w:space="0" w:color="auto"/>
            </w:tcBorders>
            <w:vAlign w:val="center"/>
          </w:tcPr>
          <w:p w14:paraId="26CF5A18" w14:textId="77777777" w:rsidR="00CE685D" w:rsidRPr="005A458E" w:rsidRDefault="00CE685D" w:rsidP="0032758E">
            <w:pPr>
              <w:jc w:val="center"/>
              <w:rPr>
                <w:rFonts w:ascii="Arial" w:hAnsi="Arial" w:cs="Arial"/>
                <w:sz w:val="20"/>
              </w:rPr>
            </w:pPr>
            <w:r w:rsidRPr="005A458E">
              <w:rPr>
                <w:rFonts w:ascii="Arial" w:hAnsi="Arial" w:cs="Arial"/>
                <w:sz w:val="20"/>
              </w:rPr>
              <w:t>423.41</w:t>
            </w:r>
          </w:p>
        </w:tc>
        <w:tc>
          <w:tcPr>
            <w:tcW w:w="1079" w:type="dxa"/>
            <w:tcBorders>
              <w:bottom w:val="single" w:sz="4" w:space="0" w:color="auto"/>
            </w:tcBorders>
            <w:vAlign w:val="center"/>
          </w:tcPr>
          <w:p w14:paraId="7BC0126C" w14:textId="77777777" w:rsidR="00CE685D" w:rsidRPr="005A458E" w:rsidRDefault="00CE685D" w:rsidP="0032758E">
            <w:pPr>
              <w:jc w:val="center"/>
              <w:rPr>
                <w:rFonts w:ascii="Arial" w:hAnsi="Arial" w:cs="Arial"/>
                <w:sz w:val="20"/>
              </w:rPr>
            </w:pPr>
            <w:r w:rsidRPr="005A458E">
              <w:rPr>
                <w:rFonts w:ascii="Arial" w:hAnsi="Arial" w:cs="Arial"/>
                <w:sz w:val="20"/>
              </w:rPr>
              <w:t>569.70</w:t>
            </w:r>
          </w:p>
        </w:tc>
        <w:tc>
          <w:tcPr>
            <w:tcW w:w="1086" w:type="dxa"/>
            <w:tcBorders>
              <w:bottom w:val="single" w:sz="4" w:space="0" w:color="auto"/>
            </w:tcBorders>
            <w:vAlign w:val="center"/>
          </w:tcPr>
          <w:p w14:paraId="128FB2EC" w14:textId="77777777" w:rsidR="00CE685D" w:rsidRPr="005A458E" w:rsidRDefault="00CE685D" w:rsidP="0032758E">
            <w:pPr>
              <w:jc w:val="center"/>
              <w:rPr>
                <w:rFonts w:ascii="Arial" w:hAnsi="Arial" w:cs="Arial"/>
                <w:sz w:val="20"/>
              </w:rPr>
            </w:pPr>
            <w:r w:rsidRPr="005A458E">
              <w:rPr>
                <w:rFonts w:ascii="Arial" w:hAnsi="Arial" w:cs="Arial"/>
                <w:sz w:val="20"/>
              </w:rPr>
              <w:t>725.71</w:t>
            </w:r>
          </w:p>
        </w:tc>
      </w:tr>
      <w:tr w:rsidR="00CE685D" w14:paraId="77F824D4" w14:textId="77777777" w:rsidTr="007428BF">
        <w:tc>
          <w:tcPr>
            <w:tcW w:w="2525" w:type="dxa"/>
            <w:tcBorders>
              <w:bottom w:val="single" w:sz="4" w:space="0" w:color="auto"/>
              <w:right w:val="nil"/>
            </w:tcBorders>
          </w:tcPr>
          <w:p w14:paraId="1536D954" w14:textId="77777777" w:rsidR="00CE685D" w:rsidRPr="005A458E" w:rsidRDefault="00CE685D" w:rsidP="0032758E">
            <w:pPr>
              <w:pStyle w:val="ListParagraph"/>
              <w:spacing w:before="120"/>
              <w:ind w:left="0"/>
              <w:jc w:val="both"/>
              <w:rPr>
                <w:rFonts w:ascii="Arial" w:eastAsia="Calibri" w:hAnsi="Arial" w:cs="Arial"/>
                <w:sz w:val="20"/>
                <w:lang w:val="es-CL"/>
              </w:rPr>
            </w:pPr>
            <w:r w:rsidRPr="005A458E">
              <w:rPr>
                <w:rFonts w:ascii="Arial" w:eastAsia="Calibri" w:hAnsi="Arial" w:cs="Arial"/>
                <w:sz w:val="20"/>
                <w:lang w:val="es-CL"/>
              </w:rPr>
              <w:t>VP de ahorros fiscales hasta 2022 ($US millones):</w:t>
            </w:r>
          </w:p>
        </w:tc>
        <w:tc>
          <w:tcPr>
            <w:tcW w:w="5486" w:type="dxa"/>
            <w:gridSpan w:val="5"/>
            <w:tcBorders>
              <w:left w:val="nil"/>
              <w:bottom w:val="single" w:sz="4" w:space="0" w:color="auto"/>
            </w:tcBorders>
            <w:vAlign w:val="center"/>
          </w:tcPr>
          <w:p w14:paraId="743C1925" w14:textId="77777777" w:rsidR="00CE685D" w:rsidRPr="005A458E" w:rsidRDefault="00CE685D" w:rsidP="0032758E">
            <w:pPr>
              <w:rPr>
                <w:rFonts w:ascii="Arial" w:hAnsi="Arial" w:cs="Arial"/>
                <w:sz w:val="20"/>
                <w:lang w:val="es-CL"/>
              </w:rPr>
            </w:pPr>
            <w:r w:rsidRPr="005A458E">
              <w:rPr>
                <w:rFonts w:ascii="Arial" w:hAnsi="Arial" w:cs="Arial"/>
                <w:sz w:val="20"/>
                <w:lang w:val="es-CL"/>
              </w:rPr>
              <w:t>1.547,9</w:t>
            </w:r>
          </w:p>
          <w:p w14:paraId="409D9208" w14:textId="77777777" w:rsidR="00CE685D" w:rsidRPr="005A458E" w:rsidRDefault="00CE685D" w:rsidP="0032758E">
            <w:pPr>
              <w:rPr>
                <w:rFonts w:ascii="Arial" w:hAnsi="Arial" w:cs="Arial"/>
                <w:sz w:val="20"/>
              </w:rPr>
            </w:pPr>
          </w:p>
        </w:tc>
      </w:tr>
    </w:tbl>
    <w:p w14:paraId="05A9D6C0" w14:textId="77777777" w:rsidR="00CE685D" w:rsidRDefault="00CE685D" w:rsidP="00CE685D">
      <w:pPr>
        <w:pStyle w:val="BodyText2"/>
        <w:numPr>
          <w:ilvl w:val="1"/>
          <w:numId w:val="7"/>
        </w:numPr>
        <w:tabs>
          <w:tab w:val="left" w:pos="720"/>
        </w:tabs>
        <w:spacing w:before="120" w:line="240" w:lineRule="auto"/>
        <w:ind w:left="720" w:hanging="720"/>
        <w:jc w:val="both"/>
        <w:rPr>
          <w:rFonts w:ascii="Arial" w:eastAsia="Calibri" w:hAnsi="Arial" w:cs="Arial"/>
          <w:sz w:val="22"/>
          <w:szCs w:val="22"/>
          <w:lang w:val="es-CL"/>
        </w:rPr>
      </w:pPr>
      <w:r w:rsidRPr="002B2B74">
        <w:rPr>
          <w:rFonts w:ascii="Arial" w:eastAsia="Calibri" w:hAnsi="Arial" w:cs="Arial"/>
          <w:sz w:val="22"/>
          <w:szCs w:val="22"/>
          <w:u w:val="single"/>
          <w:lang w:val="es-CL"/>
        </w:rPr>
        <w:t>Análisis de sensibilidad</w:t>
      </w:r>
      <w:r>
        <w:rPr>
          <w:rFonts w:ascii="Arial" w:eastAsia="Calibri" w:hAnsi="Arial" w:cs="Arial"/>
          <w:sz w:val="22"/>
          <w:szCs w:val="22"/>
          <w:lang w:val="es-CL"/>
        </w:rPr>
        <w:t>. Considerando metas 10% menores y 10% mayores de reducción de subsidios fiscales al sector, se obtiene los siguientes resultados en valor presente de los cinco años: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4"/>
        <w:gridCol w:w="2567"/>
      </w:tblGrid>
      <w:tr w:rsidR="00CE685D" w14:paraId="3D10B6C9" w14:textId="77777777" w:rsidTr="00CE685D">
        <w:tc>
          <w:tcPr>
            <w:tcW w:w="4854" w:type="dxa"/>
          </w:tcPr>
          <w:p w14:paraId="5FA02F6E" w14:textId="77777777" w:rsidR="00CE685D" w:rsidRDefault="00CE685D" w:rsidP="0032758E">
            <w:pPr>
              <w:pStyle w:val="ListParagraph"/>
              <w:spacing w:before="240"/>
              <w:ind w:left="0"/>
              <w:jc w:val="both"/>
              <w:rPr>
                <w:rFonts w:ascii="Arial" w:eastAsia="Calibri" w:hAnsi="Arial" w:cs="Arial"/>
                <w:sz w:val="22"/>
                <w:szCs w:val="22"/>
                <w:lang w:val="es-CL"/>
              </w:rPr>
            </w:pPr>
            <w:r w:rsidRPr="0046108B">
              <w:rPr>
                <w:rFonts w:ascii="Arial" w:eastAsia="Calibri" w:hAnsi="Arial" w:cs="Arial"/>
                <w:sz w:val="22"/>
                <w:szCs w:val="22"/>
                <w:lang w:val="es-CL"/>
              </w:rPr>
              <w:t>VP ahorros fiscales hasta 2022</w:t>
            </w:r>
            <w:r>
              <w:rPr>
                <w:rFonts w:ascii="Arial" w:eastAsia="Calibri" w:hAnsi="Arial" w:cs="Arial"/>
                <w:sz w:val="22"/>
                <w:szCs w:val="22"/>
                <w:lang w:val="es-CL"/>
              </w:rPr>
              <w:t xml:space="preserve"> (Caso Base)</w:t>
            </w:r>
          </w:p>
        </w:tc>
        <w:tc>
          <w:tcPr>
            <w:tcW w:w="2567" w:type="dxa"/>
          </w:tcPr>
          <w:p w14:paraId="1F488B32" w14:textId="77777777" w:rsidR="00CE685D" w:rsidRDefault="00CE685D" w:rsidP="0032758E">
            <w:pPr>
              <w:pStyle w:val="ListParagraph"/>
              <w:spacing w:before="240"/>
              <w:ind w:left="0"/>
              <w:jc w:val="both"/>
              <w:rPr>
                <w:rFonts w:ascii="Arial" w:eastAsia="Calibri" w:hAnsi="Arial" w:cs="Arial"/>
                <w:sz w:val="22"/>
                <w:szCs w:val="22"/>
                <w:lang w:val="es-CL"/>
              </w:rPr>
            </w:pPr>
            <w:r>
              <w:rPr>
                <w:rFonts w:ascii="Arial" w:eastAsia="Calibri" w:hAnsi="Arial" w:cs="Arial"/>
                <w:sz w:val="22"/>
                <w:szCs w:val="22"/>
                <w:lang w:val="es-CL"/>
              </w:rPr>
              <w:t xml:space="preserve">US$ </w:t>
            </w:r>
            <w:r w:rsidRPr="0046108B">
              <w:rPr>
                <w:rFonts w:ascii="Arial" w:eastAsia="Calibri" w:hAnsi="Arial" w:cs="Arial"/>
                <w:sz w:val="22"/>
                <w:szCs w:val="22"/>
                <w:lang w:val="es-CL"/>
              </w:rPr>
              <w:t>1.547,9</w:t>
            </w:r>
            <w:r>
              <w:rPr>
                <w:rFonts w:ascii="Arial" w:eastAsia="Calibri" w:hAnsi="Arial" w:cs="Arial"/>
                <w:sz w:val="22"/>
                <w:szCs w:val="22"/>
                <w:lang w:val="es-CL"/>
              </w:rPr>
              <w:t xml:space="preserve"> millones</w:t>
            </w:r>
          </w:p>
        </w:tc>
      </w:tr>
      <w:tr w:rsidR="00CE685D" w14:paraId="671E7F6E" w14:textId="77777777" w:rsidTr="00CE685D">
        <w:trPr>
          <w:trHeight w:val="297"/>
        </w:trPr>
        <w:tc>
          <w:tcPr>
            <w:tcW w:w="4854" w:type="dxa"/>
          </w:tcPr>
          <w:p w14:paraId="45410AA5" w14:textId="77777777" w:rsidR="00CE685D" w:rsidRDefault="00CE685D" w:rsidP="0032758E">
            <w:pPr>
              <w:pStyle w:val="ListParagraph"/>
              <w:spacing w:before="240"/>
              <w:ind w:left="0"/>
              <w:jc w:val="both"/>
              <w:rPr>
                <w:rFonts w:ascii="Arial" w:eastAsia="Calibri" w:hAnsi="Arial" w:cs="Arial"/>
                <w:sz w:val="22"/>
                <w:szCs w:val="22"/>
                <w:lang w:val="es-CL"/>
              </w:rPr>
            </w:pPr>
            <w:r w:rsidRPr="0046108B">
              <w:rPr>
                <w:rFonts w:ascii="Arial" w:eastAsia="Calibri" w:hAnsi="Arial" w:cs="Arial"/>
                <w:sz w:val="22"/>
                <w:szCs w:val="22"/>
                <w:lang w:val="es-CL"/>
              </w:rPr>
              <w:t>VP ahorros fiscales hasta 2022 (</w:t>
            </w:r>
            <w:r>
              <w:rPr>
                <w:rFonts w:ascii="Arial" w:eastAsia="Calibri" w:hAnsi="Arial" w:cs="Arial"/>
                <w:sz w:val="22"/>
                <w:szCs w:val="22"/>
                <w:lang w:val="es-CL"/>
              </w:rPr>
              <w:t>10% menor ahorro</w:t>
            </w:r>
            <w:r w:rsidRPr="0046108B">
              <w:rPr>
                <w:rFonts w:ascii="Arial" w:eastAsia="Calibri" w:hAnsi="Arial" w:cs="Arial"/>
                <w:sz w:val="22"/>
                <w:szCs w:val="22"/>
                <w:lang w:val="es-CL"/>
              </w:rPr>
              <w:t>)</w:t>
            </w:r>
          </w:p>
        </w:tc>
        <w:tc>
          <w:tcPr>
            <w:tcW w:w="2567" w:type="dxa"/>
          </w:tcPr>
          <w:p w14:paraId="6B423CAC" w14:textId="77777777" w:rsidR="00CE685D" w:rsidRDefault="00CE685D" w:rsidP="0032758E">
            <w:pPr>
              <w:pStyle w:val="ListParagraph"/>
              <w:spacing w:before="240"/>
              <w:ind w:left="0"/>
              <w:jc w:val="both"/>
              <w:rPr>
                <w:rFonts w:ascii="Arial" w:eastAsia="Calibri" w:hAnsi="Arial" w:cs="Arial"/>
                <w:sz w:val="22"/>
                <w:szCs w:val="22"/>
                <w:lang w:val="es-CL"/>
              </w:rPr>
            </w:pPr>
            <w:r>
              <w:rPr>
                <w:rFonts w:ascii="Arial" w:eastAsia="Calibri" w:hAnsi="Arial" w:cs="Arial"/>
                <w:sz w:val="22"/>
                <w:szCs w:val="22"/>
                <w:lang w:val="es-CL"/>
              </w:rPr>
              <w:t>US$ 1.247,8 millones</w:t>
            </w:r>
          </w:p>
        </w:tc>
      </w:tr>
      <w:tr w:rsidR="00CE685D" w14:paraId="705FE8B5" w14:textId="77777777" w:rsidTr="00CE685D">
        <w:trPr>
          <w:trHeight w:val="207"/>
        </w:trPr>
        <w:tc>
          <w:tcPr>
            <w:tcW w:w="4854" w:type="dxa"/>
          </w:tcPr>
          <w:p w14:paraId="180B7D00" w14:textId="77777777" w:rsidR="00CE685D" w:rsidRDefault="00CE685D" w:rsidP="0032758E">
            <w:pPr>
              <w:pStyle w:val="ListParagraph"/>
              <w:spacing w:before="240"/>
              <w:ind w:left="0"/>
              <w:jc w:val="both"/>
              <w:rPr>
                <w:rFonts w:ascii="Arial" w:eastAsia="Calibri" w:hAnsi="Arial" w:cs="Arial"/>
                <w:sz w:val="22"/>
                <w:szCs w:val="22"/>
                <w:lang w:val="es-CL"/>
              </w:rPr>
            </w:pPr>
            <w:r w:rsidRPr="0046108B">
              <w:rPr>
                <w:rFonts w:ascii="Arial" w:eastAsia="Calibri" w:hAnsi="Arial" w:cs="Arial"/>
                <w:sz w:val="22"/>
                <w:szCs w:val="22"/>
                <w:lang w:val="es-CL"/>
              </w:rPr>
              <w:t>VP ahorros fiscales hasta 2022 (</w:t>
            </w:r>
            <w:r>
              <w:rPr>
                <w:rFonts w:ascii="Arial" w:eastAsia="Calibri" w:hAnsi="Arial" w:cs="Arial"/>
                <w:sz w:val="22"/>
                <w:szCs w:val="22"/>
                <w:lang w:val="es-CL"/>
              </w:rPr>
              <w:t>10% mayor ahorro</w:t>
            </w:r>
            <w:r w:rsidRPr="0046108B">
              <w:rPr>
                <w:rFonts w:ascii="Arial" w:eastAsia="Calibri" w:hAnsi="Arial" w:cs="Arial"/>
                <w:sz w:val="22"/>
                <w:szCs w:val="22"/>
                <w:lang w:val="es-CL"/>
              </w:rPr>
              <w:t>)</w:t>
            </w:r>
          </w:p>
        </w:tc>
        <w:tc>
          <w:tcPr>
            <w:tcW w:w="2567" w:type="dxa"/>
          </w:tcPr>
          <w:p w14:paraId="0BC71AE8" w14:textId="77777777" w:rsidR="00CE685D" w:rsidRDefault="00CE685D" w:rsidP="0032758E">
            <w:pPr>
              <w:pStyle w:val="ListParagraph"/>
              <w:spacing w:before="240"/>
              <w:ind w:left="0"/>
              <w:jc w:val="both"/>
              <w:rPr>
                <w:rFonts w:ascii="Arial" w:eastAsia="Calibri" w:hAnsi="Arial" w:cs="Arial"/>
                <w:sz w:val="22"/>
                <w:szCs w:val="22"/>
                <w:lang w:val="es-CL"/>
              </w:rPr>
            </w:pPr>
            <w:r>
              <w:rPr>
                <w:rFonts w:ascii="Arial" w:eastAsia="Calibri" w:hAnsi="Arial" w:cs="Arial"/>
                <w:sz w:val="22"/>
                <w:szCs w:val="22"/>
                <w:lang w:val="es-CL"/>
              </w:rPr>
              <w:t>US$ 1.848,0 millones</w:t>
            </w:r>
          </w:p>
        </w:tc>
      </w:tr>
    </w:tbl>
    <w:p w14:paraId="11F45EAB" w14:textId="77777777" w:rsidR="004E6327" w:rsidRPr="00164AA5" w:rsidRDefault="004E6327" w:rsidP="004E6327">
      <w:pPr>
        <w:pStyle w:val="ListParagraph"/>
        <w:numPr>
          <w:ilvl w:val="0"/>
          <w:numId w:val="29"/>
        </w:numPr>
        <w:spacing w:before="240"/>
        <w:jc w:val="both"/>
        <w:rPr>
          <w:rFonts w:ascii="Arial" w:eastAsia="Calibri" w:hAnsi="Arial" w:cs="Arial"/>
          <w:b/>
          <w:sz w:val="22"/>
          <w:szCs w:val="22"/>
          <w:lang w:val="es-CL"/>
        </w:rPr>
      </w:pPr>
      <w:r w:rsidRPr="00164AA5">
        <w:rPr>
          <w:rFonts w:ascii="Arial" w:eastAsiaTheme="minorHAnsi" w:hAnsi="Arial" w:cs="Arial"/>
          <w:b/>
          <w:spacing w:val="0"/>
          <w:sz w:val="22"/>
          <w:szCs w:val="22"/>
          <w:lang w:val="es-CO"/>
        </w:rPr>
        <w:t>Mejora</w:t>
      </w:r>
      <w:r w:rsidRPr="00164AA5">
        <w:rPr>
          <w:rFonts w:ascii="Arial" w:eastAsia="Calibri" w:hAnsi="Arial" w:cs="Arial"/>
          <w:b/>
          <w:sz w:val="22"/>
          <w:szCs w:val="22"/>
          <w:lang w:val="es-CL"/>
        </w:rPr>
        <w:t xml:space="preserve"> de Eficiencia </w:t>
      </w:r>
      <w:r>
        <w:rPr>
          <w:rFonts w:ascii="Arial" w:eastAsia="Calibri" w:hAnsi="Arial" w:cs="Arial"/>
          <w:b/>
          <w:sz w:val="22"/>
          <w:szCs w:val="22"/>
          <w:lang w:val="es-CL"/>
        </w:rPr>
        <w:t>O</w:t>
      </w:r>
      <w:r w:rsidRPr="00164AA5">
        <w:rPr>
          <w:rFonts w:ascii="Arial" w:eastAsia="Calibri" w:hAnsi="Arial" w:cs="Arial"/>
          <w:b/>
          <w:sz w:val="22"/>
          <w:szCs w:val="22"/>
          <w:lang w:val="es-CL"/>
        </w:rPr>
        <w:t>perativa</w:t>
      </w:r>
    </w:p>
    <w:p w14:paraId="79518AE3" w14:textId="68233ABB" w:rsidR="007A4E86" w:rsidRPr="006A1014" w:rsidRDefault="004E6327" w:rsidP="007A4E86">
      <w:pPr>
        <w:pStyle w:val="BodyText2"/>
        <w:numPr>
          <w:ilvl w:val="1"/>
          <w:numId w:val="7"/>
        </w:numPr>
        <w:tabs>
          <w:tab w:val="left" w:pos="720"/>
        </w:tabs>
        <w:spacing w:before="120" w:line="240" w:lineRule="auto"/>
        <w:ind w:left="720" w:hanging="720"/>
        <w:jc w:val="both"/>
        <w:rPr>
          <w:rFonts w:ascii="Arial" w:eastAsia="Calibri" w:hAnsi="Arial" w:cs="Arial"/>
          <w:spacing w:val="0"/>
          <w:sz w:val="22"/>
          <w:szCs w:val="22"/>
          <w:lang w:val="es-ES" w:eastAsia="x-none"/>
        </w:rPr>
      </w:pPr>
      <w:r w:rsidRPr="00AC2783">
        <w:rPr>
          <w:rFonts w:ascii="Arial" w:hAnsi="Arial" w:cs="Arial"/>
          <w:b/>
          <w:sz w:val="22"/>
          <w:szCs w:val="22"/>
          <w:lang w:val="es-ES"/>
        </w:rPr>
        <w:t>Reducción de pérdidas</w:t>
      </w:r>
      <w:r w:rsidRPr="00D17E29">
        <w:rPr>
          <w:rFonts w:ascii="Arial" w:hAnsi="Arial" w:cs="Arial"/>
          <w:sz w:val="22"/>
          <w:szCs w:val="22"/>
          <w:lang w:val="es-ES"/>
        </w:rPr>
        <w:t xml:space="preserve">. </w:t>
      </w:r>
      <w:r>
        <w:rPr>
          <w:rFonts w:ascii="Arial" w:hAnsi="Arial" w:cs="Arial"/>
          <w:sz w:val="22"/>
          <w:szCs w:val="22"/>
          <w:lang w:val="es-ES"/>
        </w:rPr>
        <w:t xml:space="preserve">Se calculó el nivel de reducción de pérdidas esperado como resultado de las medidas propuestas bajo el programa, con un horizonte de 15 años. Para financiar actividades administrativas que mejoren la capacidad de recuperar las pérdidas </w:t>
      </w:r>
      <w:r w:rsidRPr="002A6E90">
        <w:rPr>
          <w:rFonts w:ascii="Arial" w:eastAsia="Calibri" w:hAnsi="Arial" w:cs="Arial"/>
          <w:sz w:val="22"/>
          <w:szCs w:val="22"/>
          <w:lang w:val="es-CL"/>
        </w:rPr>
        <w:t>comerciales</w:t>
      </w:r>
      <w:r>
        <w:rPr>
          <w:rFonts w:ascii="Arial" w:hAnsi="Arial" w:cs="Arial"/>
          <w:sz w:val="22"/>
          <w:szCs w:val="22"/>
          <w:lang w:val="es-ES"/>
        </w:rPr>
        <w:t xml:space="preserve"> que se establecen como meta se realiza una inversión de US$600 millones para las tres </w:t>
      </w:r>
      <w:proofErr w:type="spellStart"/>
      <w:r>
        <w:rPr>
          <w:rFonts w:ascii="Arial" w:hAnsi="Arial" w:cs="Arial"/>
          <w:sz w:val="22"/>
          <w:szCs w:val="22"/>
          <w:lang w:val="es-ES"/>
        </w:rPr>
        <w:t>EDEs</w:t>
      </w:r>
      <w:proofErr w:type="spellEnd"/>
      <w:r>
        <w:rPr>
          <w:rFonts w:ascii="Arial" w:hAnsi="Arial" w:cs="Arial"/>
          <w:sz w:val="22"/>
          <w:szCs w:val="22"/>
          <w:lang w:val="es-ES"/>
        </w:rPr>
        <w:t xml:space="preserve">, magnitud relativamente pequeña en comparación con el valor financiero de las pérdidas de electricidad a nivel nacional. </w:t>
      </w:r>
      <w:r w:rsidRPr="00D17E29">
        <w:rPr>
          <w:rFonts w:ascii="Arial" w:hAnsi="Arial" w:cs="Arial"/>
          <w:sz w:val="22"/>
          <w:szCs w:val="22"/>
          <w:lang w:val="es-ES"/>
        </w:rPr>
        <w:t>El</w:t>
      </w:r>
      <w:r w:rsidRPr="00407B8E">
        <w:rPr>
          <w:rFonts w:ascii="Arial" w:eastAsia="Calibri" w:hAnsi="Arial" w:cs="Arial"/>
          <w:sz w:val="22"/>
          <w:szCs w:val="22"/>
          <w:lang w:val="es-ES"/>
        </w:rPr>
        <w:t xml:space="preserve"> </w:t>
      </w:r>
      <w:r>
        <w:rPr>
          <w:rFonts w:ascii="Arial" w:eastAsia="Calibri" w:hAnsi="Arial" w:cs="Arial"/>
          <w:sz w:val="22"/>
          <w:szCs w:val="22"/>
          <w:lang w:val="es-ES"/>
        </w:rPr>
        <w:t>Cuadro 5</w:t>
      </w:r>
      <w:r w:rsidRPr="00407B8E">
        <w:rPr>
          <w:rFonts w:ascii="Arial" w:eastAsia="Calibri" w:hAnsi="Arial" w:cs="Arial"/>
          <w:sz w:val="22"/>
          <w:szCs w:val="22"/>
          <w:lang w:val="es-CL"/>
        </w:rPr>
        <w:t xml:space="preserve"> presenta el resumen de los resultados del modelo de evaluación para cada </w:t>
      </w:r>
      <w:proofErr w:type="spellStart"/>
      <w:r w:rsidRPr="00407B8E">
        <w:rPr>
          <w:rFonts w:ascii="Arial" w:eastAsia="Calibri" w:hAnsi="Arial" w:cs="Arial"/>
          <w:sz w:val="22"/>
          <w:szCs w:val="22"/>
          <w:lang w:val="es-CL"/>
        </w:rPr>
        <w:t>EDEs</w:t>
      </w:r>
      <w:proofErr w:type="spellEnd"/>
      <w:r>
        <w:rPr>
          <w:rFonts w:ascii="Arial" w:eastAsia="Calibri" w:hAnsi="Arial" w:cs="Arial"/>
          <w:sz w:val="22"/>
          <w:szCs w:val="22"/>
          <w:lang w:val="es-CL"/>
        </w:rPr>
        <w:t xml:space="preserve"> y</w:t>
      </w:r>
      <w:r w:rsidRPr="00407B8E">
        <w:rPr>
          <w:rFonts w:ascii="Arial" w:eastAsia="Calibri" w:hAnsi="Arial" w:cs="Arial"/>
          <w:sz w:val="22"/>
          <w:szCs w:val="22"/>
          <w:lang w:val="es-CL"/>
        </w:rPr>
        <w:t xml:space="preserve"> agregado</w:t>
      </w:r>
      <w:r>
        <w:rPr>
          <w:rFonts w:ascii="Arial" w:eastAsia="Calibri" w:hAnsi="Arial" w:cs="Arial"/>
          <w:sz w:val="22"/>
          <w:szCs w:val="22"/>
          <w:lang w:val="es-CL"/>
        </w:rPr>
        <w:t>,</w:t>
      </w:r>
      <w:r w:rsidRPr="00407B8E">
        <w:rPr>
          <w:rFonts w:ascii="Arial" w:eastAsia="Calibri" w:hAnsi="Arial" w:cs="Arial"/>
          <w:sz w:val="22"/>
          <w:szCs w:val="22"/>
          <w:lang w:val="es-CL"/>
        </w:rPr>
        <w:t xml:space="preserve"> </w:t>
      </w:r>
      <w:r w:rsidRPr="00407B8E">
        <w:rPr>
          <w:rFonts w:ascii="Arial" w:eastAsia="Calibri" w:hAnsi="Arial" w:cs="Arial"/>
          <w:sz w:val="22"/>
          <w:szCs w:val="22"/>
          <w:lang w:val="es-ES"/>
        </w:rPr>
        <w:t xml:space="preserve">descontado a una tasa social de </w:t>
      </w:r>
      <w:r w:rsidRPr="00E974F6">
        <w:rPr>
          <w:rFonts w:ascii="Arial" w:hAnsi="Arial" w:cs="Arial"/>
          <w:sz w:val="22"/>
          <w:szCs w:val="22"/>
          <w:lang w:val="es-ES"/>
        </w:rPr>
        <w:t>descuento</w:t>
      </w:r>
      <w:r w:rsidRPr="00407B8E">
        <w:rPr>
          <w:rFonts w:ascii="Arial" w:eastAsia="Calibri" w:hAnsi="Arial" w:cs="Arial"/>
          <w:sz w:val="22"/>
          <w:szCs w:val="22"/>
          <w:lang w:val="es-ES"/>
        </w:rPr>
        <w:t xml:space="preserve"> del 12%</w:t>
      </w:r>
      <w:r w:rsidR="007A4E86">
        <w:rPr>
          <w:rFonts w:ascii="Arial" w:eastAsia="Calibri" w:hAnsi="Arial" w:cs="Arial"/>
          <w:sz w:val="22"/>
          <w:szCs w:val="22"/>
          <w:lang w:val="es-ES"/>
        </w:rPr>
        <w:t>.</w:t>
      </w:r>
    </w:p>
    <w:tbl>
      <w:tblPr>
        <w:tblpPr w:leftFromText="180" w:rightFromText="180" w:vertAnchor="text" w:horzAnchor="margin" w:tblpXSpec="center" w:tblpY="314"/>
        <w:tblW w:w="8275" w:type="dxa"/>
        <w:tblLayout w:type="fixed"/>
        <w:tblLook w:val="04A0" w:firstRow="1" w:lastRow="0" w:firstColumn="1" w:lastColumn="0" w:noHBand="0" w:noVBand="1"/>
      </w:tblPr>
      <w:tblGrid>
        <w:gridCol w:w="2515"/>
        <w:gridCol w:w="1440"/>
        <w:gridCol w:w="1260"/>
        <w:gridCol w:w="1530"/>
        <w:gridCol w:w="1530"/>
      </w:tblGrid>
      <w:tr w:rsidR="004E6327" w:rsidRPr="00DC7D5C" w14:paraId="0F798985" w14:textId="77777777" w:rsidTr="0032758E">
        <w:trPr>
          <w:trHeight w:val="261"/>
        </w:trPr>
        <w:tc>
          <w:tcPr>
            <w:tcW w:w="8275" w:type="dxa"/>
            <w:gridSpan w:val="5"/>
            <w:tcBorders>
              <w:bottom w:val="single" w:sz="4" w:space="0" w:color="auto"/>
            </w:tcBorders>
            <w:shd w:val="clear" w:color="auto" w:fill="auto"/>
            <w:vAlign w:val="center"/>
          </w:tcPr>
          <w:p w14:paraId="0C46B424" w14:textId="767CA0FB" w:rsidR="004E6327" w:rsidRPr="00DC7D5C" w:rsidRDefault="004E6327" w:rsidP="0032758E">
            <w:pPr>
              <w:ind w:left="75"/>
              <w:jc w:val="center"/>
              <w:rPr>
                <w:rFonts w:ascii="Arial" w:hAnsi="Arial" w:cs="Arial"/>
                <w:b/>
                <w:bCs/>
                <w:spacing w:val="0"/>
                <w:sz w:val="20"/>
                <w:lang w:val="es-US"/>
              </w:rPr>
            </w:pPr>
            <w:r w:rsidRPr="00DC7D5C">
              <w:rPr>
                <w:rFonts w:ascii="Arial" w:hAnsi="Arial" w:cs="Arial"/>
                <w:b/>
                <w:bCs/>
                <w:spacing w:val="0"/>
                <w:sz w:val="20"/>
                <w:lang w:val="es-US"/>
              </w:rPr>
              <w:t xml:space="preserve">Cuadro </w:t>
            </w:r>
            <w:r>
              <w:rPr>
                <w:rFonts w:ascii="Arial" w:hAnsi="Arial" w:cs="Arial"/>
                <w:b/>
                <w:bCs/>
                <w:spacing w:val="0"/>
                <w:sz w:val="20"/>
                <w:lang w:val="es-US"/>
              </w:rPr>
              <w:t>5</w:t>
            </w:r>
            <w:r w:rsidRPr="00DC7D5C">
              <w:rPr>
                <w:rFonts w:ascii="Arial" w:hAnsi="Arial" w:cs="Arial"/>
                <w:b/>
                <w:bCs/>
                <w:spacing w:val="0"/>
                <w:sz w:val="20"/>
                <w:lang w:val="es-US"/>
              </w:rPr>
              <w:t xml:space="preserve"> – Rentabilidad Económica por Reducción de Pérdidas</w:t>
            </w:r>
          </w:p>
        </w:tc>
      </w:tr>
      <w:tr w:rsidR="004E6327" w:rsidRPr="00DC7D5C" w14:paraId="6EAF6CD5" w14:textId="77777777" w:rsidTr="0032758E">
        <w:trPr>
          <w:trHeight w:val="261"/>
        </w:trPr>
        <w:tc>
          <w:tcPr>
            <w:tcW w:w="251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49D6EE2" w14:textId="77777777" w:rsidR="004E6327" w:rsidRPr="00DC7D5C" w:rsidRDefault="004E6327" w:rsidP="0032758E">
            <w:pPr>
              <w:ind w:left="75"/>
              <w:jc w:val="center"/>
              <w:rPr>
                <w:rFonts w:ascii="Arial" w:hAnsi="Arial" w:cs="Arial"/>
                <w:b/>
                <w:bCs/>
                <w:spacing w:val="0"/>
                <w:sz w:val="20"/>
              </w:rPr>
            </w:pPr>
          </w:p>
        </w:tc>
        <w:tc>
          <w:tcPr>
            <w:tcW w:w="144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B3BD73" w14:textId="77777777" w:rsidR="004E6327" w:rsidRPr="00DC7D5C" w:rsidRDefault="004E6327" w:rsidP="0032758E">
            <w:pPr>
              <w:ind w:left="75"/>
              <w:jc w:val="center"/>
              <w:rPr>
                <w:rFonts w:ascii="Arial" w:hAnsi="Arial" w:cs="Arial"/>
                <w:b/>
                <w:bCs/>
                <w:spacing w:val="0"/>
                <w:sz w:val="20"/>
                <w:lang w:val="en-US"/>
              </w:rPr>
            </w:pPr>
            <w:r w:rsidRPr="00DC7D5C">
              <w:rPr>
                <w:rFonts w:ascii="Arial" w:hAnsi="Arial" w:cs="Arial"/>
                <w:b/>
                <w:bCs/>
                <w:spacing w:val="0"/>
                <w:sz w:val="20"/>
                <w:lang w:val="en-US"/>
              </w:rPr>
              <w:t>EDENORTE</w:t>
            </w:r>
          </w:p>
        </w:tc>
        <w:tc>
          <w:tcPr>
            <w:tcW w:w="12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877CD74" w14:textId="77777777" w:rsidR="004E6327" w:rsidRPr="00DC7D5C" w:rsidRDefault="004E6327" w:rsidP="0032758E">
            <w:pPr>
              <w:ind w:left="75"/>
              <w:jc w:val="center"/>
              <w:rPr>
                <w:rFonts w:ascii="Arial" w:hAnsi="Arial" w:cs="Arial"/>
                <w:b/>
                <w:bCs/>
                <w:spacing w:val="0"/>
                <w:sz w:val="20"/>
                <w:lang w:val="en-US"/>
              </w:rPr>
            </w:pPr>
            <w:r w:rsidRPr="00DC7D5C">
              <w:rPr>
                <w:rFonts w:ascii="Arial" w:hAnsi="Arial" w:cs="Arial"/>
                <w:b/>
                <w:bCs/>
                <w:spacing w:val="0"/>
                <w:sz w:val="20"/>
                <w:lang w:val="en-US"/>
              </w:rPr>
              <w:t>EDESUR</w:t>
            </w:r>
          </w:p>
        </w:tc>
        <w:tc>
          <w:tcPr>
            <w:tcW w:w="153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711AB77" w14:textId="77777777" w:rsidR="004E6327" w:rsidRPr="00DC7D5C" w:rsidRDefault="004E6327" w:rsidP="0032758E">
            <w:pPr>
              <w:ind w:left="75"/>
              <w:jc w:val="center"/>
              <w:rPr>
                <w:rFonts w:ascii="Arial" w:hAnsi="Arial" w:cs="Arial"/>
                <w:b/>
                <w:bCs/>
                <w:spacing w:val="0"/>
                <w:sz w:val="20"/>
                <w:lang w:val="en-US"/>
              </w:rPr>
            </w:pPr>
            <w:r w:rsidRPr="00DC7D5C">
              <w:rPr>
                <w:rFonts w:ascii="Arial" w:hAnsi="Arial" w:cs="Arial"/>
                <w:b/>
                <w:bCs/>
                <w:spacing w:val="0"/>
                <w:sz w:val="20"/>
                <w:lang w:val="en-US"/>
              </w:rPr>
              <w:t>EDESTE</w:t>
            </w:r>
          </w:p>
        </w:tc>
        <w:tc>
          <w:tcPr>
            <w:tcW w:w="153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BEBC349" w14:textId="77777777" w:rsidR="004E6327" w:rsidRPr="00DC7D5C" w:rsidRDefault="004E6327" w:rsidP="0032758E">
            <w:pPr>
              <w:ind w:left="75"/>
              <w:jc w:val="center"/>
              <w:rPr>
                <w:rFonts w:ascii="Arial" w:hAnsi="Arial" w:cs="Arial"/>
                <w:b/>
                <w:bCs/>
                <w:spacing w:val="0"/>
                <w:sz w:val="20"/>
                <w:lang w:val="en-US"/>
              </w:rPr>
            </w:pPr>
            <w:r w:rsidRPr="00DC7D5C">
              <w:rPr>
                <w:rFonts w:ascii="Arial" w:hAnsi="Arial" w:cs="Arial"/>
                <w:b/>
                <w:bCs/>
                <w:spacing w:val="0"/>
                <w:sz w:val="20"/>
                <w:lang w:val="en-US"/>
              </w:rPr>
              <w:t>TOTAL EDES</w:t>
            </w:r>
          </w:p>
        </w:tc>
      </w:tr>
      <w:tr w:rsidR="004E6327" w:rsidRPr="00E9744C" w14:paraId="51B21532" w14:textId="77777777" w:rsidTr="0032758E">
        <w:trPr>
          <w:trHeight w:val="255"/>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F12C0"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VP Costos MUS$</w:t>
            </w:r>
          </w:p>
        </w:tc>
        <w:tc>
          <w:tcPr>
            <w:tcW w:w="1440" w:type="dxa"/>
            <w:tcBorders>
              <w:top w:val="single" w:sz="4" w:space="0" w:color="auto"/>
              <w:left w:val="nil"/>
              <w:bottom w:val="single" w:sz="4" w:space="0" w:color="auto"/>
              <w:right w:val="single" w:sz="4" w:space="0" w:color="auto"/>
            </w:tcBorders>
            <w:shd w:val="clear" w:color="auto" w:fill="auto"/>
            <w:vAlign w:val="center"/>
          </w:tcPr>
          <w:p w14:paraId="20AF34D5"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93,9</w:t>
            </w:r>
          </w:p>
        </w:tc>
        <w:tc>
          <w:tcPr>
            <w:tcW w:w="1260" w:type="dxa"/>
            <w:tcBorders>
              <w:top w:val="single" w:sz="4" w:space="0" w:color="auto"/>
              <w:left w:val="nil"/>
              <w:bottom w:val="single" w:sz="4" w:space="0" w:color="auto"/>
              <w:right w:val="single" w:sz="4" w:space="0" w:color="auto"/>
            </w:tcBorders>
            <w:shd w:val="clear" w:color="auto" w:fill="auto"/>
            <w:vAlign w:val="center"/>
          </w:tcPr>
          <w:p w14:paraId="7C8A8420"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132,27</w:t>
            </w:r>
          </w:p>
        </w:tc>
        <w:tc>
          <w:tcPr>
            <w:tcW w:w="1530" w:type="dxa"/>
            <w:tcBorders>
              <w:top w:val="single" w:sz="4" w:space="0" w:color="auto"/>
              <w:left w:val="nil"/>
              <w:bottom w:val="single" w:sz="4" w:space="0" w:color="auto"/>
              <w:right w:val="single" w:sz="4" w:space="0" w:color="auto"/>
            </w:tcBorders>
            <w:shd w:val="clear" w:color="auto" w:fill="auto"/>
            <w:vAlign w:val="center"/>
          </w:tcPr>
          <w:p w14:paraId="68FBBB08"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198,4</w:t>
            </w:r>
          </w:p>
        </w:tc>
        <w:tc>
          <w:tcPr>
            <w:tcW w:w="1530" w:type="dxa"/>
            <w:tcBorders>
              <w:top w:val="single" w:sz="4" w:space="0" w:color="auto"/>
              <w:left w:val="nil"/>
              <w:bottom w:val="single" w:sz="4" w:space="0" w:color="auto"/>
              <w:right w:val="single" w:sz="4" w:space="0" w:color="auto"/>
            </w:tcBorders>
            <w:shd w:val="clear" w:color="000000" w:fill="D9D9D9"/>
            <w:vAlign w:val="center"/>
          </w:tcPr>
          <w:p w14:paraId="1C43020B" w14:textId="77777777" w:rsidR="004E6327" w:rsidRPr="00E9744C" w:rsidRDefault="004E6327" w:rsidP="0032758E">
            <w:pPr>
              <w:ind w:left="75"/>
              <w:jc w:val="center"/>
              <w:rPr>
                <w:rFonts w:ascii="Arial" w:hAnsi="Arial" w:cs="Arial"/>
                <w:b/>
                <w:spacing w:val="0"/>
                <w:sz w:val="20"/>
                <w:lang w:val="es-US"/>
              </w:rPr>
            </w:pPr>
            <w:r w:rsidRPr="00E9744C">
              <w:rPr>
                <w:rFonts w:ascii="Arial" w:hAnsi="Arial" w:cs="Arial"/>
                <w:b/>
                <w:spacing w:val="0"/>
                <w:sz w:val="20"/>
                <w:lang w:val="es-US"/>
              </w:rPr>
              <w:t>440,9</w:t>
            </w:r>
          </w:p>
        </w:tc>
      </w:tr>
      <w:tr w:rsidR="004E6327" w:rsidRPr="00E9744C" w14:paraId="6EC3829D" w14:textId="77777777" w:rsidTr="0032758E">
        <w:trPr>
          <w:trHeight w:val="510"/>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3F7A8"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VP Beneficio Económico MUS$</w:t>
            </w:r>
          </w:p>
        </w:tc>
        <w:tc>
          <w:tcPr>
            <w:tcW w:w="1440" w:type="dxa"/>
            <w:tcBorders>
              <w:top w:val="single" w:sz="4" w:space="0" w:color="auto"/>
              <w:left w:val="nil"/>
              <w:bottom w:val="single" w:sz="4" w:space="0" w:color="auto"/>
              <w:right w:val="single" w:sz="4" w:space="0" w:color="auto"/>
            </w:tcBorders>
            <w:shd w:val="clear" w:color="auto" w:fill="auto"/>
            <w:vAlign w:val="center"/>
          </w:tcPr>
          <w:p w14:paraId="3FA0AF5D"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181,1</w:t>
            </w:r>
          </w:p>
        </w:tc>
        <w:tc>
          <w:tcPr>
            <w:tcW w:w="1260" w:type="dxa"/>
            <w:tcBorders>
              <w:top w:val="single" w:sz="4" w:space="0" w:color="auto"/>
              <w:left w:val="nil"/>
              <w:bottom w:val="single" w:sz="4" w:space="0" w:color="auto"/>
              <w:right w:val="single" w:sz="4" w:space="0" w:color="auto"/>
            </w:tcBorders>
            <w:shd w:val="clear" w:color="auto" w:fill="auto"/>
            <w:vAlign w:val="center"/>
          </w:tcPr>
          <w:p w14:paraId="127459A1"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378,5</w:t>
            </w:r>
          </w:p>
        </w:tc>
        <w:tc>
          <w:tcPr>
            <w:tcW w:w="1530" w:type="dxa"/>
            <w:tcBorders>
              <w:top w:val="single" w:sz="4" w:space="0" w:color="auto"/>
              <w:left w:val="nil"/>
              <w:bottom w:val="single" w:sz="4" w:space="0" w:color="auto"/>
              <w:right w:val="single" w:sz="4" w:space="0" w:color="auto"/>
            </w:tcBorders>
            <w:shd w:val="clear" w:color="auto" w:fill="auto"/>
            <w:vAlign w:val="center"/>
          </w:tcPr>
          <w:p w14:paraId="149F3CF9"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639,5</w:t>
            </w:r>
          </w:p>
        </w:tc>
        <w:tc>
          <w:tcPr>
            <w:tcW w:w="1530" w:type="dxa"/>
            <w:tcBorders>
              <w:top w:val="single" w:sz="4" w:space="0" w:color="auto"/>
              <w:left w:val="nil"/>
              <w:bottom w:val="single" w:sz="4" w:space="0" w:color="auto"/>
              <w:right w:val="single" w:sz="4" w:space="0" w:color="auto"/>
            </w:tcBorders>
            <w:shd w:val="clear" w:color="000000" w:fill="D9D9D9"/>
            <w:vAlign w:val="center"/>
          </w:tcPr>
          <w:p w14:paraId="3BF2DADF" w14:textId="77777777" w:rsidR="004E6327" w:rsidRPr="00E9744C" w:rsidRDefault="004E6327" w:rsidP="0032758E">
            <w:pPr>
              <w:ind w:left="75"/>
              <w:jc w:val="center"/>
              <w:rPr>
                <w:rFonts w:ascii="Arial" w:hAnsi="Arial" w:cs="Arial"/>
                <w:b/>
                <w:spacing w:val="0"/>
                <w:sz w:val="20"/>
                <w:lang w:val="es-US"/>
              </w:rPr>
            </w:pPr>
            <w:r w:rsidRPr="00E9744C">
              <w:rPr>
                <w:rFonts w:ascii="Arial" w:hAnsi="Arial" w:cs="Arial"/>
                <w:b/>
                <w:spacing w:val="0"/>
                <w:sz w:val="20"/>
                <w:lang w:val="es-US"/>
              </w:rPr>
              <w:t>1,199,1</w:t>
            </w:r>
          </w:p>
        </w:tc>
      </w:tr>
      <w:tr w:rsidR="004E6327" w:rsidRPr="00E9744C" w14:paraId="47177327" w14:textId="77777777" w:rsidTr="0032758E">
        <w:trPr>
          <w:trHeight w:val="51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5D76A690"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Tasa Interna de Retorno Económico (TIRE) %</w:t>
            </w:r>
          </w:p>
        </w:tc>
        <w:tc>
          <w:tcPr>
            <w:tcW w:w="1440" w:type="dxa"/>
            <w:tcBorders>
              <w:top w:val="nil"/>
              <w:left w:val="nil"/>
              <w:bottom w:val="single" w:sz="4" w:space="0" w:color="auto"/>
              <w:right w:val="single" w:sz="4" w:space="0" w:color="auto"/>
            </w:tcBorders>
            <w:shd w:val="clear" w:color="auto" w:fill="auto"/>
            <w:vAlign w:val="center"/>
          </w:tcPr>
          <w:p w14:paraId="2BE0C0F3"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29.1</w:t>
            </w:r>
          </w:p>
        </w:tc>
        <w:tc>
          <w:tcPr>
            <w:tcW w:w="1260" w:type="dxa"/>
            <w:tcBorders>
              <w:top w:val="nil"/>
              <w:left w:val="nil"/>
              <w:bottom w:val="single" w:sz="4" w:space="0" w:color="auto"/>
              <w:right w:val="single" w:sz="4" w:space="0" w:color="auto"/>
            </w:tcBorders>
            <w:shd w:val="clear" w:color="auto" w:fill="auto"/>
            <w:vAlign w:val="center"/>
          </w:tcPr>
          <w:p w14:paraId="6856ED90"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69,1</w:t>
            </w:r>
          </w:p>
        </w:tc>
        <w:tc>
          <w:tcPr>
            <w:tcW w:w="1530" w:type="dxa"/>
            <w:tcBorders>
              <w:top w:val="nil"/>
              <w:left w:val="nil"/>
              <w:bottom w:val="single" w:sz="4" w:space="0" w:color="auto"/>
              <w:right w:val="single" w:sz="4" w:space="0" w:color="auto"/>
            </w:tcBorders>
            <w:shd w:val="clear" w:color="auto" w:fill="auto"/>
            <w:vAlign w:val="center"/>
          </w:tcPr>
          <w:p w14:paraId="69E48B7F"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142,6</w:t>
            </w:r>
          </w:p>
        </w:tc>
        <w:tc>
          <w:tcPr>
            <w:tcW w:w="1530" w:type="dxa"/>
            <w:tcBorders>
              <w:top w:val="nil"/>
              <w:left w:val="nil"/>
              <w:bottom w:val="single" w:sz="4" w:space="0" w:color="auto"/>
              <w:right w:val="single" w:sz="4" w:space="0" w:color="auto"/>
            </w:tcBorders>
            <w:shd w:val="clear" w:color="000000" w:fill="D9D9D9"/>
            <w:vAlign w:val="center"/>
          </w:tcPr>
          <w:p w14:paraId="7FC86D56" w14:textId="77777777" w:rsidR="004E6327" w:rsidRPr="00E9744C" w:rsidRDefault="004E6327" w:rsidP="0032758E">
            <w:pPr>
              <w:ind w:left="75"/>
              <w:jc w:val="center"/>
              <w:rPr>
                <w:rFonts w:ascii="Arial" w:hAnsi="Arial" w:cs="Arial"/>
                <w:b/>
                <w:spacing w:val="0"/>
                <w:sz w:val="20"/>
                <w:lang w:val="es-US"/>
              </w:rPr>
            </w:pPr>
            <w:r w:rsidRPr="00E9744C">
              <w:rPr>
                <w:rFonts w:ascii="Arial" w:hAnsi="Arial" w:cs="Arial"/>
                <w:b/>
                <w:spacing w:val="0"/>
                <w:sz w:val="20"/>
                <w:lang w:val="es-US"/>
              </w:rPr>
              <w:t>65,4</w:t>
            </w:r>
          </w:p>
        </w:tc>
      </w:tr>
      <w:tr w:rsidR="004E6327" w:rsidRPr="00E9744C" w14:paraId="5BCDFF21" w14:textId="77777777" w:rsidTr="0032758E">
        <w:trPr>
          <w:trHeight w:val="510"/>
        </w:trPr>
        <w:tc>
          <w:tcPr>
            <w:tcW w:w="2515" w:type="dxa"/>
            <w:tcBorders>
              <w:top w:val="nil"/>
              <w:left w:val="single" w:sz="4" w:space="0" w:color="auto"/>
              <w:bottom w:val="single" w:sz="4" w:space="0" w:color="auto"/>
              <w:right w:val="single" w:sz="4" w:space="0" w:color="auto"/>
            </w:tcBorders>
            <w:shd w:val="clear" w:color="auto" w:fill="auto"/>
            <w:vAlign w:val="center"/>
          </w:tcPr>
          <w:p w14:paraId="69A98332"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 xml:space="preserve">Relación B/C Económico </w:t>
            </w:r>
          </w:p>
        </w:tc>
        <w:tc>
          <w:tcPr>
            <w:tcW w:w="1440" w:type="dxa"/>
            <w:tcBorders>
              <w:top w:val="nil"/>
              <w:left w:val="nil"/>
              <w:bottom w:val="single" w:sz="4" w:space="0" w:color="auto"/>
              <w:right w:val="single" w:sz="4" w:space="0" w:color="auto"/>
            </w:tcBorders>
            <w:shd w:val="clear" w:color="auto" w:fill="auto"/>
            <w:vAlign w:val="center"/>
          </w:tcPr>
          <w:p w14:paraId="271B01D0"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1,93</w:t>
            </w:r>
          </w:p>
        </w:tc>
        <w:tc>
          <w:tcPr>
            <w:tcW w:w="1260" w:type="dxa"/>
            <w:tcBorders>
              <w:top w:val="nil"/>
              <w:left w:val="nil"/>
              <w:bottom w:val="single" w:sz="4" w:space="0" w:color="auto"/>
              <w:right w:val="single" w:sz="4" w:space="0" w:color="auto"/>
            </w:tcBorders>
            <w:shd w:val="clear" w:color="auto" w:fill="auto"/>
            <w:vAlign w:val="center"/>
          </w:tcPr>
          <w:p w14:paraId="52214A93"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2,86</w:t>
            </w:r>
          </w:p>
        </w:tc>
        <w:tc>
          <w:tcPr>
            <w:tcW w:w="1530" w:type="dxa"/>
            <w:tcBorders>
              <w:top w:val="nil"/>
              <w:left w:val="nil"/>
              <w:bottom w:val="single" w:sz="4" w:space="0" w:color="auto"/>
              <w:right w:val="single" w:sz="4" w:space="0" w:color="auto"/>
            </w:tcBorders>
            <w:shd w:val="clear" w:color="auto" w:fill="auto"/>
            <w:vAlign w:val="center"/>
          </w:tcPr>
          <w:p w14:paraId="6236C437"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3,22</w:t>
            </w:r>
          </w:p>
        </w:tc>
        <w:tc>
          <w:tcPr>
            <w:tcW w:w="1530" w:type="dxa"/>
            <w:tcBorders>
              <w:top w:val="nil"/>
              <w:left w:val="nil"/>
              <w:bottom w:val="single" w:sz="4" w:space="0" w:color="auto"/>
              <w:right w:val="single" w:sz="4" w:space="0" w:color="auto"/>
            </w:tcBorders>
            <w:shd w:val="clear" w:color="000000" w:fill="D9D9D9"/>
            <w:vAlign w:val="center"/>
          </w:tcPr>
          <w:p w14:paraId="6A125183" w14:textId="77777777" w:rsidR="004E6327" w:rsidRPr="00E9744C" w:rsidRDefault="004E6327" w:rsidP="0032758E">
            <w:pPr>
              <w:ind w:left="75"/>
              <w:jc w:val="center"/>
              <w:rPr>
                <w:rFonts w:ascii="Arial" w:hAnsi="Arial" w:cs="Arial"/>
                <w:b/>
                <w:spacing w:val="0"/>
                <w:sz w:val="20"/>
                <w:lang w:val="es-US"/>
              </w:rPr>
            </w:pPr>
            <w:r w:rsidRPr="00E9744C">
              <w:rPr>
                <w:rFonts w:ascii="Arial" w:hAnsi="Arial" w:cs="Arial"/>
                <w:b/>
                <w:spacing w:val="0"/>
                <w:sz w:val="20"/>
                <w:lang w:val="es-US"/>
              </w:rPr>
              <w:t>2,72</w:t>
            </w:r>
          </w:p>
        </w:tc>
      </w:tr>
      <w:tr w:rsidR="004E6327" w:rsidRPr="00E9744C" w14:paraId="067D89CB" w14:textId="77777777" w:rsidTr="0032758E">
        <w:trPr>
          <w:trHeight w:val="225"/>
        </w:trPr>
        <w:tc>
          <w:tcPr>
            <w:tcW w:w="2515" w:type="dxa"/>
            <w:tcBorders>
              <w:top w:val="nil"/>
              <w:left w:val="nil"/>
              <w:bottom w:val="nil"/>
              <w:right w:val="nil"/>
            </w:tcBorders>
            <w:shd w:val="clear" w:color="auto" w:fill="auto"/>
            <w:vAlign w:val="center"/>
            <w:hideMark/>
          </w:tcPr>
          <w:p w14:paraId="08C18E73" w14:textId="77777777" w:rsidR="004E6327" w:rsidRPr="00E9744C" w:rsidRDefault="004E6327" w:rsidP="0032758E">
            <w:pPr>
              <w:ind w:left="75"/>
              <w:jc w:val="center"/>
              <w:rPr>
                <w:rFonts w:ascii="Arial" w:hAnsi="Arial" w:cs="Arial"/>
                <w:color w:val="000000"/>
                <w:spacing w:val="0"/>
                <w:sz w:val="20"/>
                <w:lang w:val="es-US"/>
              </w:rPr>
            </w:pPr>
          </w:p>
        </w:tc>
        <w:tc>
          <w:tcPr>
            <w:tcW w:w="1440" w:type="dxa"/>
            <w:tcBorders>
              <w:top w:val="nil"/>
              <w:left w:val="nil"/>
              <w:bottom w:val="nil"/>
              <w:right w:val="nil"/>
            </w:tcBorders>
            <w:shd w:val="clear" w:color="auto" w:fill="auto"/>
            <w:vAlign w:val="center"/>
          </w:tcPr>
          <w:p w14:paraId="0482961E" w14:textId="77777777" w:rsidR="004E6327" w:rsidRPr="00E9744C" w:rsidRDefault="004E6327" w:rsidP="0032758E">
            <w:pPr>
              <w:ind w:left="75"/>
              <w:jc w:val="center"/>
              <w:rPr>
                <w:rFonts w:ascii="Arial" w:hAnsi="Arial" w:cs="Arial"/>
                <w:color w:val="000000"/>
                <w:spacing w:val="0"/>
                <w:sz w:val="20"/>
                <w:lang w:val="es-US"/>
              </w:rPr>
            </w:pPr>
          </w:p>
        </w:tc>
        <w:tc>
          <w:tcPr>
            <w:tcW w:w="1260" w:type="dxa"/>
            <w:tcBorders>
              <w:top w:val="nil"/>
              <w:left w:val="nil"/>
              <w:bottom w:val="nil"/>
              <w:right w:val="nil"/>
            </w:tcBorders>
            <w:shd w:val="clear" w:color="auto" w:fill="auto"/>
            <w:vAlign w:val="center"/>
          </w:tcPr>
          <w:p w14:paraId="20C5A330" w14:textId="77777777" w:rsidR="004E6327" w:rsidRPr="00E9744C" w:rsidRDefault="004E6327" w:rsidP="0032758E">
            <w:pPr>
              <w:ind w:left="75"/>
              <w:jc w:val="center"/>
              <w:rPr>
                <w:rFonts w:ascii="Arial" w:hAnsi="Arial" w:cs="Arial"/>
                <w:color w:val="000000"/>
                <w:spacing w:val="0"/>
                <w:sz w:val="20"/>
                <w:lang w:val="es-US"/>
              </w:rPr>
            </w:pPr>
          </w:p>
        </w:tc>
        <w:tc>
          <w:tcPr>
            <w:tcW w:w="1530" w:type="dxa"/>
            <w:tcBorders>
              <w:top w:val="nil"/>
              <w:left w:val="nil"/>
              <w:bottom w:val="nil"/>
              <w:right w:val="nil"/>
            </w:tcBorders>
            <w:shd w:val="clear" w:color="auto" w:fill="auto"/>
            <w:vAlign w:val="center"/>
          </w:tcPr>
          <w:p w14:paraId="59123B4F" w14:textId="77777777" w:rsidR="004E6327" w:rsidRPr="00E9744C" w:rsidRDefault="004E6327" w:rsidP="0032758E">
            <w:pPr>
              <w:ind w:left="75"/>
              <w:jc w:val="center"/>
              <w:rPr>
                <w:rFonts w:ascii="Arial" w:hAnsi="Arial" w:cs="Arial"/>
                <w:color w:val="000000"/>
                <w:spacing w:val="0"/>
                <w:sz w:val="20"/>
                <w:lang w:val="es-US"/>
              </w:rPr>
            </w:pPr>
          </w:p>
        </w:tc>
        <w:tc>
          <w:tcPr>
            <w:tcW w:w="1530" w:type="dxa"/>
            <w:tcBorders>
              <w:top w:val="nil"/>
              <w:left w:val="nil"/>
              <w:bottom w:val="nil"/>
              <w:right w:val="nil"/>
            </w:tcBorders>
            <w:shd w:val="clear" w:color="auto" w:fill="auto"/>
            <w:vAlign w:val="center"/>
          </w:tcPr>
          <w:p w14:paraId="2B7A1B7E" w14:textId="77777777" w:rsidR="004E6327" w:rsidRPr="00E9744C" w:rsidRDefault="004E6327" w:rsidP="0032758E">
            <w:pPr>
              <w:ind w:left="75"/>
              <w:jc w:val="center"/>
              <w:rPr>
                <w:rFonts w:ascii="Arial" w:hAnsi="Arial" w:cs="Arial"/>
                <w:b/>
                <w:color w:val="000000"/>
                <w:spacing w:val="0"/>
                <w:sz w:val="20"/>
                <w:lang w:val="es-US"/>
              </w:rPr>
            </w:pPr>
          </w:p>
        </w:tc>
      </w:tr>
      <w:tr w:rsidR="004E6327" w:rsidRPr="00E9744C" w14:paraId="2461F6E1" w14:textId="77777777" w:rsidTr="0032758E">
        <w:trPr>
          <w:trHeight w:val="510"/>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BDC22"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VP Beneficio Financiero MUS$</w:t>
            </w:r>
          </w:p>
        </w:tc>
        <w:tc>
          <w:tcPr>
            <w:tcW w:w="1440" w:type="dxa"/>
            <w:tcBorders>
              <w:top w:val="single" w:sz="4" w:space="0" w:color="auto"/>
              <w:left w:val="nil"/>
              <w:bottom w:val="single" w:sz="4" w:space="0" w:color="auto"/>
              <w:right w:val="single" w:sz="4" w:space="0" w:color="auto"/>
            </w:tcBorders>
            <w:shd w:val="clear" w:color="auto" w:fill="auto"/>
            <w:vAlign w:val="center"/>
          </w:tcPr>
          <w:p w14:paraId="5CD8BE58"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421,7</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0B2671"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520,4</w:t>
            </w:r>
          </w:p>
        </w:tc>
        <w:tc>
          <w:tcPr>
            <w:tcW w:w="1530" w:type="dxa"/>
            <w:tcBorders>
              <w:top w:val="single" w:sz="4" w:space="0" w:color="auto"/>
              <w:left w:val="nil"/>
              <w:bottom w:val="single" w:sz="4" w:space="0" w:color="auto"/>
              <w:right w:val="single" w:sz="4" w:space="0" w:color="auto"/>
            </w:tcBorders>
            <w:shd w:val="clear" w:color="auto" w:fill="auto"/>
            <w:vAlign w:val="center"/>
          </w:tcPr>
          <w:p w14:paraId="00CE62D2"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925,9</w:t>
            </w:r>
          </w:p>
        </w:tc>
        <w:tc>
          <w:tcPr>
            <w:tcW w:w="1530" w:type="dxa"/>
            <w:tcBorders>
              <w:top w:val="single" w:sz="4" w:space="0" w:color="auto"/>
              <w:left w:val="nil"/>
              <w:bottom w:val="single" w:sz="4" w:space="0" w:color="auto"/>
              <w:right w:val="single" w:sz="4" w:space="0" w:color="auto"/>
            </w:tcBorders>
            <w:shd w:val="clear" w:color="000000" w:fill="D9D9D9"/>
            <w:vAlign w:val="center"/>
          </w:tcPr>
          <w:p w14:paraId="08B1B463" w14:textId="77777777" w:rsidR="004E6327" w:rsidRPr="00E9744C" w:rsidRDefault="004E6327" w:rsidP="0032758E">
            <w:pPr>
              <w:ind w:left="75"/>
              <w:jc w:val="center"/>
              <w:rPr>
                <w:rFonts w:ascii="Arial" w:hAnsi="Arial" w:cs="Arial"/>
                <w:b/>
                <w:color w:val="000000"/>
                <w:spacing w:val="0"/>
                <w:sz w:val="20"/>
                <w:lang w:val="es-US"/>
              </w:rPr>
            </w:pPr>
            <w:r w:rsidRPr="00E9744C">
              <w:rPr>
                <w:rFonts w:ascii="Arial" w:hAnsi="Arial" w:cs="Arial"/>
                <w:b/>
                <w:spacing w:val="0"/>
                <w:sz w:val="20"/>
                <w:lang w:val="es-US"/>
              </w:rPr>
              <w:t>1.868,0</w:t>
            </w:r>
          </w:p>
        </w:tc>
      </w:tr>
      <w:tr w:rsidR="004E6327" w:rsidRPr="00E9744C" w14:paraId="4B66CB9E" w14:textId="77777777" w:rsidTr="0032758E">
        <w:trPr>
          <w:trHeight w:val="510"/>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CFF0"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Tasa Interna de Retorno Financiero (TIRF) %</w:t>
            </w:r>
          </w:p>
        </w:tc>
        <w:tc>
          <w:tcPr>
            <w:tcW w:w="1440" w:type="dxa"/>
            <w:tcBorders>
              <w:top w:val="single" w:sz="4" w:space="0" w:color="auto"/>
              <w:left w:val="nil"/>
              <w:bottom w:val="single" w:sz="4" w:space="0" w:color="auto"/>
              <w:right w:val="single" w:sz="4" w:space="0" w:color="auto"/>
            </w:tcBorders>
            <w:shd w:val="clear" w:color="auto" w:fill="auto"/>
            <w:vAlign w:val="center"/>
          </w:tcPr>
          <w:p w14:paraId="4D5E1110"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68,6</w:t>
            </w:r>
          </w:p>
        </w:tc>
        <w:tc>
          <w:tcPr>
            <w:tcW w:w="1260" w:type="dxa"/>
            <w:tcBorders>
              <w:top w:val="single" w:sz="4" w:space="0" w:color="auto"/>
              <w:left w:val="nil"/>
              <w:bottom w:val="single" w:sz="4" w:space="0" w:color="auto"/>
              <w:right w:val="single" w:sz="4" w:space="0" w:color="auto"/>
            </w:tcBorders>
            <w:shd w:val="clear" w:color="auto" w:fill="auto"/>
            <w:vAlign w:val="center"/>
          </w:tcPr>
          <w:p w14:paraId="2CC17BB7"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71,2</w:t>
            </w:r>
          </w:p>
        </w:tc>
        <w:tc>
          <w:tcPr>
            <w:tcW w:w="1530" w:type="dxa"/>
            <w:tcBorders>
              <w:top w:val="single" w:sz="4" w:space="0" w:color="auto"/>
              <w:left w:val="nil"/>
              <w:bottom w:val="single" w:sz="4" w:space="0" w:color="auto"/>
              <w:right w:val="single" w:sz="4" w:space="0" w:color="auto"/>
            </w:tcBorders>
            <w:shd w:val="clear" w:color="auto" w:fill="auto"/>
            <w:vAlign w:val="center"/>
          </w:tcPr>
          <w:p w14:paraId="15B3DA59"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181,5</w:t>
            </w:r>
          </w:p>
        </w:tc>
        <w:tc>
          <w:tcPr>
            <w:tcW w:w="1530" w:type="dxa"/>
            <w:tcBorders>
              <w:top w:val="single" w:sz="4" w:space="0" w:color="auto"/>
              <w:left w:val="nil"/>
              <w:bottom w:val="single" w:sz="4" w:space="0" w:color="auto"/>
              <w:right w:val="single" w:sz="4" w:space="0" w:color="auto"/>
            </w:tcBorders>
            <w:shd w:val="clear" w:color="000000" w:fill="D9D9D9"/>
            <w:vAlign w:val="center"/>
          </w:tcPr>
          <w:p w14:paraId="2FCC4B05" w14:textId="77777777" w:rsidR="004E6327" w:rsidRPr="00E9744C" w:rsidRDefault="004E6327" w:rsidP="0032758E">
            <w:pPr>
              <w:ind w:left="75"/>
              <w:jc w:val="center"/>
              <w:rPr>
                <w:rFonts w:ascii="Arial" w:hAnsi="Arial" w:cs="Arial"/>
                <w:b/>
                <w:color w:val="000000"/>
                <w:spacing w:val="0"/>
                <w:sz w:val="20"/>
                <w:lang w:val="es-US"/>
              </w:rPr>
            </w:pPr>
            <w:r w:rsidRPr="00E9744C">
              <w:rPr>
                <w:rFonts w:ascii="Arial" w:hAnsi="Arial" w:cs="Arial"/>
                <w:b/>
                <w:color w:val="000000"/>
                <w:spacing w:val="0"/>
                <w:sz w:val="20"/>
                <w:lang w:val="es-US"/>
              </w:rPr>
              <w:t>93,1</w:t>
            </w:r>
          </w:p>
        </w:tc>
      </w:tr>
      <w:tr w:rsidR="004E6327" w:rsidRPr="00E9744C" w14:paraId="3CA0E98F" w14:textId="77777777" w:rsidTr="0032758E">
        <w:trPr>
          <w:trHeight w:val="383"/>
        </w:trPr>
        <w:tc>
          <w:tcPr>
            <w:tcW w:w="2515" w:type="dxa"/>
            <w:tcBorders>
              <w:top w:val="nil"/>
              <w:left w:val="single" w:sz="4" w:space="0" w:color="auto"/>
              <w:bottom w:val="single" w:sz="4" w:space="0" w:color="auto"/>
              <w:right w:val="single" w:sz="4" w:space="0" w:color="auto"/>
            </w:tcBorders>
            <w:shd w:val="clear" w:color="auto" w:fill="auto"/>
            <w:vAlign w:val="center"/>
          </w:tcPr>
          <w:p w14:paraId="419E4D35" w14:textId="77777777" w:rsidR="004E6327" w:rsidRPr="00E9744C" w:rsidRDefault="004E6327" w:rsidP="0032758E">
            <w:pPr>
              <w:ind w:left="75"/>
              <w:jc w:val="center"/>
              <w:rPr>
                <w:rFonts w:ascii="Arial" w:hAnsi="Arial" w:cs="Arial"/>
                <w:color w:val="000000"/>
                <w:spacing w:val="0"/>
                <w:sz w:val="20"/>
                <w:lang w:val="es-US"/>
              </w:rPr>
            </w:pPr>
            <w:r w:rsidRPr="00BB2D56">
              <w:rPr>
                <w:rFonts w:ascii="Arial" w:hAnsi="Arial" w:cs="Arial"/>
                <w:color w:val="000000"/>
                <w:spacing w:val="0"/>
                <w:sz w:val="20"/>
                <w:lang w:val="es-US"/>
              </w:rPr>
              <w:t xml:space="preserve">Relación B/C </w:t>
            </w:r>
            <w:r w:rsidRPr="00E9744C">
              <w:rPr>
                <w:rFonts w:ascii="Arial" w:hAnsi="Arial" w:cs="Arial"/>
                <w:color w:val="000000"/>
                <w:spacing w:val="0"/>
                <w:sz w:val="20"/>
                <w:lang w:val="es-US"/>
              </w:rPr>
              <w:t xml:space="preserve">Financiero </w:t>
            </w:r>
          </w:p>
        </w:tc>
        <w:tc>
          <w:tcPr>
            <w:tcW w:w="1440" w:type="dxa"/>
            <w:tcBorders>
              <w:top w:val="nil"/>
              <w:left w:val="nil"/>
              <w:bottom w:val="single" w:sz="4" w:space="0" w:color="auto"/>
              <w:right w:val="single" w:sz="4" w:space="0" w:color="auto"/>
            </w:tcBorders>
            <w:shd w:val="clear" w:color="auto" w:fill="auto"/>
            <w:vAlign w:val="center"/>
          </w:tcPr>
          <w:p w14:paraId="7104B7CD"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4,49</w:t>
            </w:r>
          </w:p>
        </w:tc>
        <w:tc>
          <w:tcPr>
            <w:tcW w:w="1260" w:type="dxa"/>
            <w:tcBorders>
              <w:top w:val="nil"/>
              <w:left w:val="nil"/>
              <w:bottom w:val="single" w:sz="4" w:space="0" w:color="auto"/>
              <w:right w:val="single" w:sz="4" w:space="0" w:color="auto"/>
            </w:tcBorders>
            <w:shd w:val="clear" w:color="auto" w:fill="auto"/>
            <w:vAlign w:val="center"/>
          </w:tcPr>
          <w:p w14:paraId="5D0C3399"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3,93</w:t>
            </w:r>
          </w:p>
        </w:tc>
        <w:tc>
          <w:tcPr>
            <w:tcW w:w="1530" w:type="dxa"/>
            <w:tcBorders>
              <w:top w:val="nil"/>
              <w:left w:val="nil"/>
              <w:bottom w:val="single" w:sz="4" w:space="0" w:color="auto"/>
              <w:right w:val="single" w:sz="4" w:space="0" w:color="auto"/>
            </w:tcBorders>
            <w:shd w:val="clear" w:color="auto" w:fill="auto"/>
            <w:vAlign w:val="center"/>
          </w:tcPr>
          <w:p w14:paraId="382465CD" w14:textId="77777777" w:rsidR="004E6327" w:rsidRPr="00E9744C" w:rsidRDefault="004E6327" w:rsidP="0032758E">
            <w:pPr>
              <w:ind w:left="75"/>
              <w:jc w:val="center"/>
              <w:rPr>
                <w:rFonts w:ascii="Arial" w:hAnsi="Arial" w:cs="Arial"/>
                <w:color w:val="000000"/>
                <w:spacing w:val="0"/>
                <w:sz w:val="20"/>
                <w:lang w:val="es-US"/>
              </w:rPr>
            </w:pPr>
            <w:r w:rsidRPr="00E9744C">
              <w:rPr>
                <w:rFonts w:ascii="Arial" w:hAnsi="Arial" w:cs="Arial"/>
                <w:color w:val="000000"/>
                <w:spacing w:val="0"/>
                <w:sz w:val="20"/>
                <w:lang w:val="es-US"/>
              </w:rPr>
              <w:t>4,67</w:t>
            </w:r>
          </w:p>
        </w:tc>
        <w:tc>
          <w:tcPr>
            <w:tcW w:w="1530" w:type="dxa"/>
            <w:tcBorders>
              <w:top w:val="nil"/>
              <w:left w:val="nil"/>
              <w:bottom w:val="single" w:sz="4" w:space="0" w:color="auto"/>
              <w:right w:val="single" w:sz="4" w:space="0" w:color="auto"/>
            </w:tcBorders>
            <w:shd w:val="clear" w:color="000000" w:fill="D9D9D9"/>
            <w:vAlign w:val="center"/>
          </w:tcPr>
          <w:p w14:paraId="67622E8E" w14:textId="77777777" w:rsidR="004E6327" w:rsidRPr="00E9744C" w:rsidRDefault="004E6327" w:rsidP="0032758E">
            <w:pPr>
              <w:ind w:left="75"/>
              <w:jc w:val="center"/>
              <w:rPr>
                <w:rFonts w:ascii="Arial" w:hAnsi="Arial" w:cs="Arial"/>
                <w:b/>
                <w:color w:val="000000"/>
                <w:spacing w:val="0"/>
                <w:sz w:val="20"/>
                <w:lang w:val="es-US"/>
              </w:rPr>
            </w:pPr>
            <w:r w:rsidRPr="00E9744C">
              <w:rPr>
                <w:rFonts w:ascii="Arial" w:hAnsi="Arial" w:cs="Arial"/>
                <w:b/>
                <w:spacing w:val="0"/>
                <w:sz w:val="20"/>
                <w:lang w:val="es-US"/>
              </w:rPr>
              <w:t>4,24</w:t>
            </w:r>
          </w:p>
        </w:tc>
      </w:tr>
    </w:tbl>
    <w:p w14:paraId="00C53C58" w14:textId="29A899CB" w:rsidR="004E6327" w:rsidRDefault="004E6327" w:rsidP="00F456FC">
      <w:pPr>
        <w:pStyle w:val="BodyText2"/>
        <w:tabs>
          <w:tab w:val="left" w:pos="720"/>
        </w:tabs>
        <w:spacing w:before="120" w:line="240" w:lineRule="auto"/>
        <w:jc w:val="both"/>
        <w:rPr>
          <w:rFonts w:ascii="Arial" w:eastAsia="Calibri" w:hAnsi="Arial" w:cs="Arial"/>
          <w:spacing w:val="0"/>
          <w:sz w:val="22"/>
          <w:szCs w:val="22"/>
          <w:lang w:val="es-ES" w:eastAsia="x-none"/>
        </w:rPr>
      </w:pPr>
    </w:p>
    <w:p w14:paraId="320AA3EA" w14:textId="77777777" w:rsidR="00652582" w:rsidRPr="00652582" w:rsidRDefault="00652582" w:rsidP="00652582">
      <w:pPr>
        <w:pStyle w:val="BodyText2"/>
        <w:numPr>
          <w:ilvl w:val="1"/>
          <w:numId w:val="7"/>
        </w:numPr>
        <w:tabs>
          <w:tab w:val="left" w:pos="720"/>
        </w:tabs>
        <w:spacing w:before="120" w:line="240" w:lineRule="auto"/>
        <w:ind w:left="720" w:hanging="720"/>
        <w:jc w:val="both"/>
        <w:rPr>
          <w:rFonts w:ascii="Arial" w:eastAsia="Calibri" w:hAnsi="Arial" w:cs="Arial"/>
          <w:sz w:val="22"/>
          <w:szCs w:val="22"/>
          <w:lang w:val="es-CL"/>
        </w:rPr>
      </w:pPr>
      <w:r w:rsidRPr="00E9744C">
        <w:rPr>
          <w:rFonts w:ascii="Arial" w:hAnsi="Arial" w:cs="Arial"/>
          <w:sz w:val="22"/>
          <w:szCs w:val="22"/>
          <w:lang w:val="es-US"/>
        </w:rPr>
        <w:t>Los resultados del análisis</w:t>
      </w:r>
      <w:r w:rsidRPr="007621F0">
        <w:rPr>
          <w:rFonts w:ascii="Arial" w:hAnsi="Arial" w:cs="Arial"/>
          <w:sz w:val="22"/>
          <w:szCs w:val="22"/>
          <w:lang w:val="es-ES"/>
        </w:rPr>
        <w:t xml:space="preserve"> financiero</w:t>
      </w:r>
      <w:r>
        <w:rPr>
          <w:rFonts w:ascii="Arial" w:hAnsi="Arial" w:cs="Arial"/>
          <w:sz w:val="22"/>
          <w:szCs w:val="22"/>
          <w:lang w:val="es-ES"/>
        </w:rPr>
        <w:t xml:space="preserve"> de reducción de pérdidas son </w:t>
      </w:r>
      <w:r w:rsidRPr="007621F0">
        <w:rPr>
          <w:rFonts w:ascii="Arial" w:hAnsi="Arial" w:cs="Arial"/>
          <w:sz w:val="22"/>
          <w:szCs w:val="22"/>
          <w:lang w:val="es-ES"/>
        </w:rPr>
        <w:t xml:space="preserve">más </w:t>
      </w:r>
      <w:r>
        <w:rPr>
          <w:rFonts w:ascii="Arial" w:hAnsi="Arial" w:cs="Arial"/>
          <w:sz w:val="22"/>
          <w:szCs w:val="22"/>
          <w:lang w:val="es-ES"/>
        </w:rPr>
        <w:t>favorables que los económicos. La diferencia se debe a que el</w:t>
      </w:r>
      <w:r w:rsidRPr="00067AF1">
        <w:rPr>
          <w:rFonts w:ascii="Arial" w:hAnsi="Arial" w:cs="Arial"/>
          <w:sz w:val="22"/>
          <w:szCs w:val="22"/>
          <w:lang w:val="es-ES"/>
        </w:rPr>
        <w:t xml:space="preserve"> beneficio financiero </w:t>
      </w:r>
      <w:r>
        <w:rPr>
          <w:rFonts w:ascii="Arial" w:hAnsi="Arial" w:cs="Arial"/>
          <w:sz w:val="22"/>
          <w:szCs w:val="22"/>
          <w:lang w:val="es-ES"/>
        </w:rPr>
        <w:t>por</w:t>
      </w:r>
      <w:r w:rsidRPr="00067AF1">
        <w:rPr>
          <w:rFonts w:ascii="Arial" w:hAnsi="Arial" w:cs="Arial"/>
          <w:sz w:val="22"/>
          <w:szCs w:val="22"/>
          <w:lang w:val="es-ES"/>
        </w:rPr>
        <w:t xml:space="preserve"> reducción de pérdidas proviene del incremento de los ingresos asociados al aumento de la energía facturada por la recuperación de </w:t>
      </w:r>
      <w:r w:rsidRPr="00AA5647">
        <w:rPr>
          <w:rFonts w:ascii="Arial" w:eastAsia="Calibri" w:hAnsi="Arial" w:cs="Arial"/>
          <w:sz w:val="22"/>
          <w:szCs w:val="22"/>
          <w:lang w:val="es-ES"/>
        </w:rPr>
        <w:t xml:space="preserve">pérdidas no técnicas o comerciales y a la reducción de los costos de compras de </w:t>
      </w:r>
      <w:r w:rsidRPr="00652582">
        <w:rPr>
          <w:rFonts w:ascii="Arial" w:eastAsia="Calibri" w:hAnsi="Arial" w:cs="Arial"/>
          <w:sz w:val="22"/>
          <w:szCs w:val="22"/>
          <w:lang w:val="es-CL"/>
        </w:rPr>
        <w:t xml:space="preserve">energía en el mercado mayorista para abastecer la demanda, resultante de la reducción de las pérdidas totales. Para la valoración de este beneficio se utiliza el pecio de venta para calcular los ingresos y el costo medio de compra de energía para calcular los costos de cada EDE. </w:t>
      </w:r>
    </w:p>
    <w:p w14:paraId="5D3F0FF0" w14:textId="09E2BC12" w:rsidR="00652582" w:rsidRDefault="00652582" w:rsidP="00652582">
      <w:pPr>
        <w:pStyle w:val="BodyText2"/>
        <w:numPr>
          <w:ilvl w:val="1"/>
          <w:numId w:val="7"/>
        </w:numPr>
        <w:tabs>
          <w:tab w:val="left" w:pos="720"/>
        </w:tabs>
        <w:spacing w:before="120" w:line="240" w:lineRule="auto"/>
        <w:ind w:left="720" w:hanging="720"/>
        <w:jc w:val="both"/>
        <w:rPr>
          <w:rFonts w:ascii="Arial" w:eastAsia="Calibri" w:hAnsi="Arial" w:cs="Arial"/>
          <w:sz w:val="22"/>
          <w:szCs w:val="22"/>
          <w:lang w:val="es-CL"/>
        </w:rPr>
      </w:pPr>
      <w:r w:rsidRPr="00652582">
        <w:rPr>
          <w:rFonts w:ascii="Arial" w:eastAsia="Calibri" w:hAnsi="Arial" w:cs="Arial"/>
          <w:sz w:val="22"/>
          <w:szCs w:val="22"/>
          <w:lang w:val="es-CL"/>
        </w:rPr>
        <w:t xml:space="preserve">La reducción de pérdidas, sin embargo, no representa mayores beneficios económicos debido a que estos usuarios siguen obteniendo el beneficio del acceso al servicio, independiente de quién paga por él. Una vez la instalación de un cliente es normalizada y el servicio es facturado correctamente, se espera que el cliente reduzca su consumo frente a lo que solía consumir cuando no pagaba por el servicio, dependiendo de su nivel de respuesta a cambios en los precios (elasticidad). </w:t>
      </w:r>
    </w:p>
    <w:p w14:paraId="5A55B1CA" w14:textId="0A0C963F" w:rsidR="00652582" w:rsidRPr="00652582" w:rsidRDefault="00652582" w:rsidP="00652582">
      <w:pPr>
        <w:pStyle w:val="BodyText2"/>
        <w:numPr>
          <w:ilvl w:val="1"/>
          <w:numId w:val="7"/>
        </w:numPr>
        <w:tabs>
          <w:tab w:val="left" w:pos="720"/>
        </w:tabs>
        <w:spacing w:before="120" w:line="240" w:lineRule="auto"/>
        <w:ind w:left="720" w:hanging="720"/>
        <w:jc w:val="both"/>
        <w:rPr>
          <w:rFonts w:ascii="Arial" w:eastAsia="Calibri" w:hAnsi="Arial" w:cs="Arial"/>
          <w:sz w:val="22"/>
          <w:szCs w:val="22"/>
          <w:lang w:val="es-CL"/>
        </w:rPr>
      </w:pPr>
      <w:r w:rsidRPr="00652582">
        <w:rPr>
          <w:rFonts w:ascii="Arial" w:eastAsia="Calibri" w:hAnsi="Arial" w:cs="Arial"/>
          <w:sz w:val="22"/>
          <w:szCs w:val="22"/>
          <w:lang w:val="es-CL"/>
        </w:rPr>
        <w:t>Análisis de sensibilidad. Para verificar la robustez de los resultados del análisis de reducción de pérdidas se hace una valoración de sensibilidades a los principales parámetros y metas alcanzables con la implementación del proyecto.  Se simula: (i) un aumento de 20% en el costo de la intervención; (ii) reducción de</w:t>
      </w:r>
      <w:r>
        <w:rPr>
          <w:rFonts w:ascii="Arial" w:hAnsi="Arial" w:cs="Arial"/>
          <w:sz w:val="22"/>
          <w:szCs w:val="22"/>
          <w:lang w:val="es-ES"/>
        </w:rPr>
        <w:t xml:space="preserve"> 0,5 a 0,1 en el valor de la elasticidad precio; y (iii) reducción del logro de la meta de pérdidas de 15% a 19%.  Se presentan los resultados en el Cuadro </w:t>
      </w:r>
      <w:r w:rsidR="0032758E">
        <w:rPr>
          <w:rFonts w:ascii="Arial" w:hAnsi="Arial" w:cs="Arial"/>
          <w:sz w:val="22"/>
          <w:szCs w:val="22"/>
          <w:lang w:val="es-ES"/>
        </w:rPr>
        <w:t>6.</w:t>
      </w:r>
    </w:p>
    <w:tbl>
      <w:tblPr>
        <w:tblStyle w:val="TableGrid"/>
        <w:tblW w:w="8928" w:type="dxa"/>
        <w:tblInd w:w="540" w:type="dxa"/>
        <w:tblLook w:val="04A0" w:firstRow="1" w:lastRow="0" w:firstColumn="1" w:lastColumn="0" w:noHBand="0" w:noVBand="1"/>
      </w:tblPr>
      <w:tblGrid>
        <w:gridCol w:w="2970"/>
        <w:gridCol w:w="1368"/>
        <w:gridCol w:w="1710"/>
        <w:gridCol w:w="1350"/>
        <w:gridCol w:w="1530"/>
      </w:tblGrid>
      <w:tr w:rsidR="00652582" w14:paraId="68597ABC" w14:textId="77777777" w:rsidTr="00652582">
        <w:tc>
          <w:tcPr>
            <w:tcW w:w="8928" w:type="dxa"/>
            <w:gridSpan w:val="5"/>
            <w:tcBorders>
              <w:top w:val="nil"/>
              <w:left w:val="nil"/>
              <w:bottom w:val="single" w:sz="4" w:space="0" w:color="auto"/>
              <w:right w:val="nil"/>
            </w:tcBorders>
            <w:shd w:val="clear" w:color="auto" w:fill="auto"/>
          </w:tcPr>
          <w:p w14:paraId="17B07A88" w14:textId="1AE33D71" w:rsidR="00652582" w:rsidRPr="007517F1" w:rsidRDefault="00652582" w:rsidP="0032758E">
            <w:pPr>
              <w:spacing w:before="120"/>
              <w:jc w:val="center"/>
              <w:rPr>
                <w:rFonts w:ascii="Arial" w:hAnsi="Arial" w:cs="Arial"/>
                <w:b/>
                <w:sz w:val="20"/>
                <w:lang w:val="es-ES"/>
              </w:rPr>
            </w:pPr>
            <w:r>
              <w:rPr>
                <w:rFonts w:ascii="Arial" w:hAnsi="Arial" w:cs="Arial"/>
                <w:b/>
                <w:sz w:val="20"/>
                <w:lang w:val="es-ES"/>
              </w:rPr>
              <w:t xml:space="preserve">Cuadro </w:t>
            </w:r>
            <w:r w:rsidR="0032758E">
              <w:rPr>
                <w:rFonts w:ascii="Arial" w:hAnsi="Arial" w:cs="Arial"/>
                <w:b/>
                <w:sz w:val="20"/>
                <w:lang w:val="es-ES"/>
              </w:rPr>
              <w:t>6</w:t>
            </w:r>
            <w:r>
              <w:rPr>
                <w:rFonts w:ascii="Arial" w:hAnsi="Arial" w:cs="Arial"/>
                <w:b/>
                <w:sz w:val="20"/>
                <w:lang w:val="es-ES"/>
              </w:rPr>
              <w:t xml:space="preserve"> – Reducción de pérdidas. Análisis de sensibilidad</w:t>
            </w:r>
          </w:p>
        </w:tc>
      </w:tr>
      <w:tr w:rsidR="00652582" w14:paraId="740A9D3F" w14:textId="77777777" w:rsidTr="00652582">
        <w:trPr>
          <w:trHeight w:val="692"/>
        </w:trPr>
        <w:tc>
          <w:tcPr>
            <w:tcW w:w="2970" w:type="dxa"/>
            <w:tcBorders>
              <w:top w:val="single" w:sz="4" w:space="0" w:color="auto"/>
            </w:tcBorders>
            <w:shd w:val="clear" w:color="auto" w:fill="DBE5F1" w:themeFill="accent1" w:themeFillTint="33"/>
          </w:tcPr>
          <w:p w14:paraId="4BC67B80" w14:textId="77777777" w:rsidR="00652582" w:rsidRPr="007517F1" w:rsidRDefault="00652582" w:rsidP="0032758E">
            <w:pPr>
              <w:spacing w:before="120"/>
              <w:jc w:val="center"/>
              <w:rPr>
                <w:rFonts w:ascii="Arial" w:hAnsi="Arial" w:cs="Arial"/>
                <w:b/>
                <w:sz w:val="20"/>
                <w:lang w:val="es-ES"/>
              </w:rPr>
            </w:pPr>
          </w:p>
        </w:tc>
        <w:tc>
          <w:tcPr>
            <w:tcW w:w="1368" w:type="dxa"/>
            <w:tcBorders>
              <w:top w:val="single" w:sz="4" w:space="0" w:color="auto"/>
            </w:tcBorders>
            <w:shd w:val="clear" w:color="auto" w:fill="DBE5F1" w:themeFill="accent1" w:themeFillTint="33"/>
            <w:vAlign w:val="center"/>
          </w:tcPr>
          <w:p w14:paraId="187CCB59" w14:textId="77777777" w:rsidR="00652582" w:rsidRPr="007517F1" w:rsidRDefault="00652582" w:rsidP="0032758E">
            <w:pPr>
              <w:spacing w:before="120"/>
              <w:jc w:val="center"/>
              <w:rPr>
                <w:rFonts w:ascii="Arial" w:hAnsi="Arial" w:cs="Arial"/>
                <w:b/>
                <w:sz w:val="20"/>
                <w:lang w:val="es-ES"/>
              </w:rPr>
            </w:pPr>
            <w:r w:rsidRPr="007517F1">
              <w:rPr>
                <w:rFonts w:ascii="Arial" w:hAnsi="Arial" w:cs="Arial"/>
                <w:b/>
                <w:sz w:val="20"/>
                <w:lang w:val="es-ES"/>
              </w:rPr>
              <w:t>Caso base</w:t>
            </w:r>
          </w:p>
        </w:tc>
        <w:tc>
          <w:tcPr>
            <w:tcW w:w="1710" w:type="dxa"/>
            <w:tcBorders>
              <w:top w:val="single" w:sz="4" w:space="0" w:color="auto"/>
            </w:tcBorders>
            <w:shd w:val="clear" w:color="auto" w:fill="DBE5F1" w:themeFill="accent1" w:themeFillTint="33"/>
            <w:vAlign w:val="center"/>
          </w:tcPr>
          <w:p w14:paraId="0691D3C0" w14:textId="77777777" w:rsidR="00652582" w:rsidRPr="007517F1" w:rsidRDefault="00652582" w:rsidP="0032758E">
            <w:pPr>
              <w:spacing w:before="120"/>
              <w:jc w:val="center"/>
              <w:rPr>
                <w:rFonts w:ascii="Arial" w:hAnsi="Arial" w:cs="Arial"/>
                <w:b/>
                <w:sz w:val="20"/>
                <w:lang w:val="es-ES"/>
              </w:rPr>
            </w:pPr>
            <w:r w:rsidRPr="00652582">
              <w:rPr>
                <w:rFonts w:ascii="Arial" w:hAnsi="Arial" w:cs="Arial"/>
                <w:b/>
                <w:szCs w:val="24"/>
                <w:lang w:val="es-ES"/>
              </w:rPr>
              <w:t>↑</w:t>
            </w:r>
            <w:r w:rsidRPr="00652582">
              <w:rPr>
                <w:rFonts w:ascii="Arial" w:hAnsi="Arial" w:cs="Arial"/>
                <w:b/>
                <w:sz w:val="20"/>
                <w:lang w:val="es-ES"/>
              </w:rPr>
              <w:t xml:space="preserve"> </w:t>
            </w:r>
            <w:r w:rsidRPr="007517F1">
              <w:rPr>
                <w:rFonts w:ascii="Arial" w:hAnsi="Arial" w:cs="Arial"/>
                <w:b/>
                <w:sz w:val="20"/>
                <w:lang w:val="es-ES"/>
              </w:rPr>
              <w:t>20% Costo de las medidas</w:t>
            </w:r>
          </w:p>
        </w:tc>
        <w:tc>
          <w:tcPr>
            <w:tcW w:w="1350" w:type="dxa"/>
            <w:tcBorders>
              <w:top w:val="single" w:sz="4" w:space="0" w:color="auto"/>
            </w:tcBorders>
            <w:shd w:val="clear" w:color="auto" w:fill="DBE5F1" w:themeFill="accent1" w:themeFillTint="33"/>
            <w:vAlign w:val="center"/>
          </w:tcPr>
          <w:p w14:paraId="23752BFE" w14:textId="77777777" w:rsidR="00652582" w:rsidRPr="007517F1" w:rsidRDefault="00652582" w:rsidP="0032758E">
            <w:pPr>
              <w:spacing w:before="120"/>
              <w:jc w:val="center"/>
              <w:rPr>
                <w:rFonts w:ascii="Arial" w:hAnsi="Arial" w:cs="Arial"/>
                <w:b/>
                <w:sz w:val="20"/>
                <w:lang w:val="es-ES"/>
              </w:rPr>
            </w:pPr>
            <w:r w:rsidRPr="00652582">
              <w:rPr>
                <w:rFonts w:ascii="Arial" w:hAnsi="Arial" w:cs="Arial"/>
                <w:b/>
                <w:szCs w:val="24"/>
                <w:lang w:val="es-ES"/>
              </w:rPr>
              <w:t>↓</w:t>
            </w:r>
            <w:r w:rsidRPr="007517F1">
              <w:rPr>
                <w:rFonts w:ascii="Arial" w:hAnsi="Arial" w:cs="Arial"/>
                <w:b/>
                <w:sz w:val="20"/>
                <w:lang w:val="es-ES"/>
              </w:rPr>
              <w:t xml:space="preserve"> Elasticidad</w:t>
            </w:r>
          </w:p>
        </w:tc>
        <w:tc>
          <w:tcPr>
            <w:tcW w:w="1530" w:type="dxa"/>
            <w:tcBorders>
              <w:top w:val="single" w:sz="4" w:space="0" w:color="auto"/>
            </w:tcBorders>
            <w:shd w:val="clear" w:color="auto" w:fill="DBE5F1" w:themeFill="accent1" w:themeFillTint="33"/>
            <w:vAlign w:val="center"/>
          </w:tcPr>
          <w:p w14:paraId="61256E70" w14:textId="77777777" w:rsidR="00652582" w:rsidRPr="007517F1" w:rsidRDefault="00652582" w:rsidP="0032758E">
            <w:pPr>
              <w:spacing w:before="120"/>
              <w:jc w:val="center"/>
              <w:rPr>
                <w:rFonts w:ascii="Arial" w:hAnsi="Arial" w:cs="Arial"/>
                <w:b/>
                <w:sz w:val="20"/>
                <w:lang w:val="es-ES"/>
              </w:rPr>
            </w:pPr>
            <w:r w:rsidRPr="00BA3E0C">
              <w:rPr>
                <w:rFonts w:ascii="Arial" w:hAnsi="Arial" w:cs="Arial"/>
                <w:szCs w:val="24"/>
                <w:lang w:val="es-ES"/>
              </w:rPr>
              <w:t>↓</w:t>
            </w:r>
            <w:r>
              <w:rPr>
                <w:rFonts w:ascii="Arial" w:hAnsi="Arial" w:cs="Arial"/>
                <w:b/>
                <w:sz w:val="20"/>
                <w:lang w:val="es-ES"/>
              </w:rPr>
              <w:t xml:space="preserve"> Meta pérdidas</w:t>
            </w:r>
          </w:p>
        </w:tc>
      </w:tr>
      <w:tr w:rsidR="00652582" w14:paraId="3FA8BE87" w14:textId="77777777" w:rsidTr="00652582">
        <w:tc>
          <w:tcPr>
            <w:tcW w:w="2970" w:type="dxa"/>
          </w:tcPr>
          <w:p w14:paraId="563F5C91" w14:textId="77777777" w:rsidR="00652582" w:rsidRPr="00754B77" w:rsidRDefault="00652582" w:rsidP="0032758E">
            <w:pPr>
              <w:spacing w:before="120"/>
              <w:rPr>
                <w:rFonts w:ascii="Arial" w:hAnsi="Arial" w:cs="Arial"/>
                <w:sz w:val="20"/>
                <w:lang w:val="es-ES"/>
              </w:rPr>
            </w:pPr>
            <w:r w:rsidRPr="00754B77">
              <w:rPr>
                <w:rFonts w:ascii="Arial" w:hAnsi="Arial" w:cs="Arial"/>
                <w:sz w:val="20"/>
                <w:lang w:val="es-ES"/>
              </w:rPr>
              <w:t>VP Costos</w:t>
            </w:r>
            <w:r>
              <w:rPr>
                <w:rFonts w:ascii="Arial" w:hAnsi="Arial" w:cs="Arial"/>
                <w:sz w:val="20"/>
                <w:lang w:val="es-ES"/>
              </w:rPr>
              <w:t xml:space="preserve"> MUS$</w:t>
            </w:r>
          </w:p>
        </w:tc>
        <w:tc>
          <w:tcPr>
            <w:tcW w:w="1368" w:type="dxa"/>
          </w:tcPr>
          <w:p w14:paraId="57CF090E" w14:textId="77777777" w:rsidR="00652582" w:rsidRPr="007517F1" w:rsidRDefault="00652582" w:rsidP="0032758E">
            <w:pPr>
              <w:spacing w:before="120"/>
              <w:jc w:val="center"/>
              <w:rPr>
                <w:rFonts w:ascii="Arial" w:hAnsi="Arial" w:cs="Arial"/>
                <w:sz w:val="20"/>
                <w:lang w:val="es-ES"/>
              </w:rPr>
            </w:pPr>
            <w:r w:rsidRPr="0094780B">
              <w:rPr>
                <w:rFonts w:ascii="Arial" w:hAnsi="Arial" w:cs="Arial"/>
                <w:sz w:val="20"/>
                <w:lang w:val="es-ES"/>
              </w:rPr>
              <w:t>440,9</w:t>
            </w:r>
          </w:p>
        </w:tc>
        <w:tc>
          <w:tcPr>
            <w:tcW w:w="1710" w:type="dxa"/>
          </w:tcPr>
          <w:p w14:paraId="3C9B4AE2" w14:textId="77777777" w:rsidR="00652582" w:rsidRPr="007517F1" w:rsidRDefault="00652582" w:rsidP="00652582">
            <w:pPr>
              <w:spacing w:before="120"/>
              <w:jc w:val="center"/>
              <w:rPr>
                <w:rFonts w:ascii="Arial" w:hAnsi="Arial" w:cs="Arial"/>
                <w:sz w:val="20"/>
                <w:lang w:val="es-ES"/>
              </w:rPr>
            </w:pPr>
            <w:r w:rsidRPr="007517F1">
              <w:rPr>
                <w:rFonts w:ascii="Arial" w:hAnsi="Arial" w:cs="Arial"/>
                <w:sz w:val="20"/>
                <w:lang w:val="es-ES"/>
              </w:rPr>
              <w:t>529,1</w:t>
            </w:r>
          </w:p>
        </w:tc>
        <w:tc>
          <w:tcPr>
            <w:tcW w:w="1350" w:type="dxa"/>
          </w:tcPr>
          <w:p w14:paraId="2C94900D" w14:textId="77777777" w:rsidR="00652582" w:rsidRPr="007517F1" w:rsidRDefault="00652582" w:rsidP="0032758E">
            <w:pPr>
              <w:spacing w:before="120"/>
              <w:jc w:val="center"/>
              <w:rPr>
                <w:rFonts w:ascii="Arial" w:hAnsi="Arial" w:cs="Arial"/>
                <w:sz w:val="20"/>
                <w:lang w:val="es-ES"/>
              </w:rPr>
            </w:pPr>
            <w:r w:rsidRPr="007517F1">
              <w:rPr>
                <w:rFonts w:ascii="Arial" w:hAnsi="Arial" w:cs="Arial"/>
                <w:sz w:val="20"/>
                <w:lang w:val="es-ES"/>
              </w:rPr>
              <w:t>440,9</w:t>
            </w:r>
          </w:p>
        </w:tc>
        <w:tc>
          <w:tcPr>
            <w:tcW w:w="1530" w:type="dxa"/>
          </w:tcPr>
          <w:p w14:paraId="5A67154B" w14:textId="77777777" w:rsidR="00652582" w:rsidRPr="00754B77" w:rsidRDefault="00652582" w:rsidP="0032758E">
            <w:pPr>
              <w:spacing w:before="120"/>
              <w:jc w:val="center"/>
              <w:rPr>
                <w:rFonts w:ascii="Arial" w:hAnsi="Arial" w:cs="Arial"/>
                <w:sz w:val="20"/>
                <w:lang w:val="es-ES"/>
              </w:rPr>
            </w:pPr>
            <w:r w:rsidRPr="00191E3C">
              <w:rPr>
                <w:rFonts w:ascii="Arial" w:hAnsi="Arial" w:cs="Arial"/>
                <w:sz w:val="20"/>
                <w:lang w:val="es-ES"/>
              </w:rPr>
              <w:t>440,9</w:t>
            </w:r>
          </w:p>
        </w:tc>
      </w:tr>
      <w:tr w:rsidR="00652582" w14:paraId="7D456FAD" w14:textId="77777777" w:rsidTr="00652582">
        <w:tc>
          <w:tcPr>
            <w:tcW w:w="2970" w:type="dxa"/>
          </w:tcPr>
          <w:p w14:paraId="47A22A8B" w14:textId="77777777" w:rsidR="00652582" w:rsidRPr="00754B77" w:rsidRDefault="00652582" w:rsidP="0032758E">
            <w:pPr>
              <w:spacing w:before="120"/>
              <w:rPr>
                <w:rFonts w:ascii="Arial" w:hAnsi="Arial" w:cs="Arial"/>
                <w:sz w:val="20"/>
                <w:lang w:val="es-ES"/>
              </w:rPr>
            </w:pPr>
            <w:r w:rsidRPr="00754B77">
              <w:rPr>
                <w:rFonts w:ascii="Arial" w:hAnsi="Arial" w:cs="Arial"/>
                <w:sz w:val="20"/>
                <w:lang w:val="es-ES"/>
              </w:rPr>
              <w:t>VP Beneficio Económico MUS$</w:t>
            </w:r>
          </w:p>
        </w:tc>
        <w:tc>
          <w:tcPr>
            <w:tcW w:w="1368" w:type="dxa"/>
          </w:tcPr>
          <w:p w14:paraId="3346E6BF" w14:textId="77777777" w:rsidR="00652582" w:rsidRPr="007517F1" w:rsidRDefault="00652582" w:rsidP="0032758E">
            <w:pPr>
              <w:spacing w:before="120"/>
              <w:jc w:val="center"/>
              <w:rPr>
                <w:rFonts w:ascii="Arial" w:hAnsi="Arial" w:cs="Arial"/>
                <w:sz w:val="20"/>
                <w:lang w:val="es-ES"/>
              </w:rPr>
            </w:pPr>
            <w:r w:rsidRPr="0094780B">
              <w:rPr>
                <w:rFonts w:ascii="Arial" w:hAnsi="Arial" w:cs="Arial"/>
                <w:sz w:val="20"/>
                <w:lang w:val="es-ES"/>
              </w:rPr>
              <w:t>1</w:t>
            </w:r>
            <w:r>
              <w:rPr>
                <w:rFonts w:ascii="Arial" w:hAnsi="Arial" w:cs="Arial"/>
                <w:sz w:val="20"/>
                <w:lang w:val="es-ES"/>
              </w:rPr>
              <w:t>.</w:t>
            </w:r>
            <w:r w:rsidRPr="0094780B">
              <w:rPr>
                <w:rFonts w:ascii="Arial" w:hAnsi="Arial" w:cs="Arial"/>
                <w:sz w:val="20"/>
                <w:lang w:val="es-ES"/>
              </w:rPr>
              <w:t>199,1</w:t>
            </w:r>
          </w:p>
        </w:tc>
        <w:tc>
          <w:tcPr>
            <w:tcW w:w="1710" w:type="dxa"/>
          </w:tcPr>
          <w:p w14:paraId="420EF578" w14:textId="77777777" w:rsidR="00652582" w:rsidRPr="007517F1" w:rsidRDefault="00652582" w:rsidP="0032758E">
            <w:pPr>
              <w:spacing w:before="120"/>
              <w:jc w:val="center"/>
              <w:rPr>
                <w:rFonts w:ascii="Arial" w:hAnsi="Arial" w:cs="Arial"/>
                <w:sz w:val="20"/>
                <w:lang w:val="es-ES"/>
              </w:rPr>
            </w:pPr>
            <w:r w:rsidRPr="007517F1">
              <w:rPr>
                <w:rFonts w:ascii="Arial" w:hAnsi="Arial" w:cs="Arial"/>
                <w:sz w:val="20"/>
                <w:lang w:val="es-ES"/>
              </w:rPr>
              <w:t>1.199,1</w:t>
            </w:r>
          </w:p>
        </w:tc>
        <w:tc>
          <w:tcPr>
            <w:tcW w:w="1350" w:type="dxa"/>
          </w:tcPr>
          <w:p w14:paraId="52EBCC64" w14:textId="77777777" w:rsidR="00652582" w:rsidRPr="007517F1" w:rsidRDefault="00652582" w:rsidP="0032758E">
            <w:pPr>
              <w:spacing w:before="120"/>
              <w:jc w:val="center"/>
              <w:rPr>
                <w:rFonts w:ascii="Arial" w:hAnsi="Arial" w:cs="Arial"/>
                <w:sz w:val="20"/>
                <w:lang w:val="es-ES"/>
              </w:rPr>
            </w:pPr>
            <w:r>
              <w:rPr>
                <w:rFonts w:ascii="Arial" w:hAnsi="Arial" w:cs="Arial"/>
                <w:sz w:val="20"/>
                <w:lang w:val="es-ES"/>
              </w:rPr>
              <w:t>903,2</w:t>
            </w:r>
          </w:p>
        </w:tc>
        <w:tc>
          <w:tcPr>
            <w:tcW w:w="1530" w:type="dxa"/>
          </w:tcPr>
          <w:p w14:paraId="3B0D0354"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1.093,9</w:t>
            </w:r>
          </w:p>
        </w:tc>
      </w:tr>
      <w:tr w:rsidR="00652582" w14:paraId="5ECEFE43" w14:textId="77777777" w:rsidTr="00652582">
        <w:tc>
          <w:tcPr>
            <w:tcW w:w="2970" w:type="dxa"/>
          </w:tcPr>
          <w:p w14:paraId="6BDA2898" w14:textId="77777777" w:rsidR="00652582" w:rsidRPr="00754B77" w:rsidRDefault="00652582" w:rsidP="0032758E">
            <w:pPr>
              <w:spacing w:before="120"/>
              <w:rPr>
                <w:rFonts w:ascii="Arial" w:hAnsi="Arial" w:cs="Arial"/>
                <w:sz w:val="20"/>
                <w:lang w:val="es-ES"/>
              </w:rPr>
            </w:pPr>
            <w:r>
              <w:rPr>
                <w:rFonts w:ascii="Arial" w:hAnsi="Arial" w:cs="Arial"/>
                <w:sz w:val="20"/>
                <w:lang w:val="es-ES"/>
              </w:rPr>
              <w:t>Relación B/C Económico</w:t>
            </w:r>
          </w:p>
        </w:tc>
        <w:tc>
          <w:tcPr>
            <w:tcW w:w="1368" w:type="dxa"/>
          </w:tcPr>
          <w:p w14:paraId="2B544D06" w14:textId="77777777" w:rsidR="00652582" w:rsidRPr="007517F1" w:rsidRDefault="00652582" w:rsidP="0032758E">
            <w:pPr>
              <w:spacing w:before="120"/>
              <w:jc w:val="center"/>
              <w:rPr>
                <w:rFonts w:ascii="Arial" w:hAnsi="Arial" w:cs="Arial"/>
                <w:sz w:val="20"/>
                <w:lang w:val="es-ES"/>
              </w:rPr>
            </w:pPr>
            <w:r w:rsidRPr="0094780B">
              <w:rPr>
                <w:rFonts w:ascii="Arial" w:hAnsi="Arial" w:cs="Arial"/>
                <w:sz w:val="20"/>
                <w:lang w:val="es-ES"/>
              </w:rPr>
              <w:t>2,72</w:t>
            </w:r>
          </w:p>
        </w:tc>
        <w:tc>
          <w:tcPr>
            <w:tcW w:w="1710" w:type="dxa"/>
          </w:tcPr>
          <w:p w14:paraId="5C1BB81E" w14:textId="77777777" w:rsidR="00652582" w:rsidRPr="007517F1" w:rsidRDefault="00652582" w:rsidP="0032758E">
            <w:pPr>
              <w:spacing w:before="120"/>
              <w:jc w:val="center"/>
              <w:rPr>
                <w:rFonts w:ascii="Arial" w:hAnsi="Arial" w:cs="Arial"/>
                <w:sz w:val="20"/>
                <w:lang w:val="es-ES"/>
              </w:rPr>
            </w:pPr>
            <w:r w:rsidRPr="007517F1">
              <w:rPr>
                <w:rFonts w:ascii="Arial" w:hAnsi="Arial" w:cs="Arial"/>
                <w:sz w:val="20"/>
                <w:lang w:val="es-ES"/>
              </w:rPr>
              <w:t>2,27</w:t>
            </w:r>
          </w:p>
        </w:tc>
        <w:tc>
          <w:tcPr>
            <w:tcW w:w="1350" w:type="dxa"/>
          </w:tcPr>
          <w:p w14:paraId="2E73480B" w14:textId="77777777" w:rsidR="00652582" w:rsidRPr="007517F1" w:rsidRDefault="00652582" w:rsidP="0032758E">
            <w:pPr>
              <w:spacing w:before="120"/>
              <w:jc w:val="center"/>
              <w:rPr>
                <w:rFonts w:ascii="Arial" w:hAnsi="Arial" w:cs="Arial"/>
                <w:sz w:val="20"/>
                <w:lang w:val="es-ES"/>
              </w:rPr>
            </w:pPr>
            <w:r>
              <w:rPr>
                <w:rFonts w:ascii="Arial" w:hAnsi="Arial" w:cs="Arial"/>
                <w:sz w:val="20"/>
                <w:lang w:val="es-ES"/>
              </w:rPr>
              <w:t>2,05</w:t>
            </w:r>
          </w:p>
        </w:tc>
        <w:tc>
          <w:tcPr>
            <w:tcW w:w="1530" w:type="dxa"/>
          </w:tcPr>
          <w:p w14:paraId="179F8C1D"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2,48</w:t>
            </w:r>
          </w:p>
        </w:tc>
      </w:tr>
      <w:tr w:rsidR="00652582" w14:paraId="432C0E6A" w14:textId="77777777" w:rsidTr="00652582">
        <w:tc>
          <w:tcPr>
            <w:tcW w:w="2970" w:type="dxa"/>
          </w:tcPr>
          <w:p w14:paraId="45FD465A" w14:textId="77777777" w:rsidR="00652582" w:rsidRPr="00754B77" w:rsidRDefault="00652582" w:rsidP="0032758E">
            <w:pPr>
              <w:spacing w:before="120"/>
              <w:rPr>
                <w:rFonts w:ascii="Arial" w:hAnsi="Arial" w:cs="Arial"/>
                <w:sz w:val="20"/>
                <w:lang w:val="es-ES"/>
              </w:rPr>
            </w:pPr>
            <w:r w:rsidRPr="00754B77">
              <w:rPr>
                <w:rFonts w:ascii="Arial" w:hAnsi="Arial" w:cs="Arial"/>
                <w:sz w:val="20"/>
                <w:lang w:val="es-ES"/>
              </w:rPr>
              <w:t>TIRE</w:t>
            </w:r>
            <w:r>
              <w:rPr>
                <w:rFonts w:ascii="Arial" w:hAnsi="Arial" w:cs="Arial"/>
                <w:sz w:val="20"/>
                <w:lang w:val="es-ES"/>
              </w:rPr>
              <w:t xml:space="preserve"> (%)</w:t>
            </w:r>
          </w:p>
        </w:tc>
        <w:tc>
          <w:tcPr>
            <w:tcW w:w="1368" w:type="dxa"/>
          </w:tcPr>
          <w:p w14:paraId="2080C7C2" w14:textId="77777777" w:rsidR="00652582" w:rsidRDefault="00652582" w:rsidP="0032758E">
            <w:pPr>
              <w:spacing w:before="120"/>
              <w:jc w:val="center"/>
              <w:rPr>
                <w:rFonts w:ascii="Arial" w:hAnsi="Arial" w:cs="Arial"/>
                <w:sz w:val="20"/>
                <w:lang w:val="es-ES"/>
              </w:rPr>
            </w:pPr>
            <w:r w:rsidRPr="0094780B">
              <w:rPr>
                <w:rFonts w:ascii="Arial" w:hAnsi="Arial" w:cs="Arial"/>
                <w:sz w:val="20"/>
                <w:lang w:val="es-ES"/>
              </w:rPr>
              <w:t>65,4</w:t>
            </w:r>
          </w:p>
        </w:tc>
        <w:tc>
          <w:tcPr>
            <w:tcW w:w="1710" w:type="dxa"/>
          </w:tcPr>
          <w:p w14:paraId="077C27E2"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46,2</w:t>
            </w:r>
          </w:p>
        </w:tc>
        <w:tc>
          <w:tcPr>
            <w:tcW w:w="1350" w:type="dxa"/>
          </w:tcPr>
          <w:p w14:paraId="4112CABD"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42,8</w:t>
            </w:r>
          </w:p>
        </w:tc>
        <w:tc>
          <w:tcPr>
            <w:tcW w:w="1530" w:type="dxa"/>
          </w:tcPr>
          <w:p w14:paraId="08F89300"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61,9</w:t>
            </w:r>
          </w:p>
        </w:tc>
      </w:tr>
      <w:tr w:rsidR="00652582" w14:paraId="10404F30" w14:textId="77777777" w:rsidTr="00652582">
        <w:tc>
          <w:tcPr>
            <w:tcW w:w="2970" w:type="dxa"/>
          </w:tcPr>
          <w:p w14:paraId="0C31C0D1" w14:textId="77777777" w:rsidR="00652582" w:rsidRPr="00754B77" w:rsidRDefault="00652582" w:rsidP="0032758E">
            <w:pPr>
              <w:spacing w:before="120"/>
              <w:rPr>
                <w:rFonts w:ascii="Arial" w:hAnsi="Arial" w:cs="Arial"/>
                <w:sz w:val="20"/>
                <w:lang w:val="es-ES"/>
              </w:rPr>
            </w:pPr>
            <w:r w:rsidRPr="00754B77">
              <w:rPr>
                <w:rFonts w:ascii="Arial" w:hAnsi="Arial" w:cs="Arial"/>
                <w:sz w:val="20"/>
                <w:lang w:val="es-ES"/>
              </w:rPr>
              <w:t>VP Beneficio Financiero MUS$</w:t>
            </w:r>
          </w:p>
        </w:tc>
        <w:tc>
          <w:tcPr>
            <w:tcW w:w="1368" w:type="dxa"/>
          </w:tcPr>
          <w:p w14:paraId="6BBED044" w14:textId="77777777" w:rsidR="00652582" w:rsidRPr="008E3D77" w:rsidRDefault="00652582" w:rsidP="0032758E">
            <w:pPr>
              <w:spacing w:before="120"/>
              <w:jc w:val="center"/>
              <w:rPr>
                <w:rFonts w:ascii="Arial" w:hAnsi="Arial" w:cs="Arial"/>
                <w:sz w:val="20"/>
                <w:lang w:val="es-ES"/>
              </w:rPr>
            </w:pPr>
            <w:r w:rsidRPr="0094780B">
              <w:rPr>
                <w:rFonts w:ascii="Arial" w:hAnsi="Arial" w:cs="Arial"/>
                <w:sz w:val="20"/>
                <w:lang w:val="es-ES"/>
              </w:rPr>
              <w:t>1.868,0</w:t>
            </w:r>
          </w:p>
        </w:tc>
        <w:tc>
          <w:tcPr>
            <w:tcW w:w="1710" w:type="dxa"/>
          </w:tcPr>
          <w:p w14:paraId="12489F57" w14:textId="77777777" w:rsidR="00652582" w:rsidRPr="00754B77" w:rsidRDefault="00652582" w:rsidP="0032758E">
            <w:pPr>
              <w:spacing w:before="120"/>
              <w:jc w:val="center"/>
              <w:rPr>
                <w:rFonts w:ascii="Arial" w:hAnsi="Arial" w:cs="Arial"/>
                <w:sz w:val="20"/>
                <w:lang w:val="es-ES"/>
              </w:rPr>
            </w:pPr>
            <w:r w:rsidRPr="008E3D77">
              <w:rPr>
                <w:rFonts w:ascii="Arial" w:hAnsi="Arial" w:cs="Arial"/>
                <w:sz w:val="20"/>
                <w:lang w:val="es-ES"/>
              </w:rPr>
              <w:t>1.868,0</w:t>
            </w:r>
          </w:p>
        </w:tc>
        <w:tc>
          <w:tcPr>
            <w:tcW w:w="1350" w:type="dxa"/>
          </w:tcPr>
          <w:p w14:paraId="07158FF8"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1.933,8</w:t>
            </w:r>
          </w:p>
        </w:tc>
        <w:tc>
          <w:tcPr>
            <w:tcW w:w="1530" w:type="dxa"/>
          </w:tcPr>
          <w:p w14:paraId="6140DBE2"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1,519,6</w:t>
            </w:r>
          </w:p>
        </w:tc>
      </w:tr>
      <w:tr w:rsidR="00652582" w14:paraId="45DD56C5" w14:textId="77777777" w:rsidTr="00652582">
        <w:tc>
          <w:tcPr>
            <w:tcW w:w="2970" w:type="dxa"/>
          </w:tcPr>
          <w:p w14:paraId="0E2A8F00" w14:textId="77777777" w:rsidR="00652582" w:rsidRPr="00754B77" w:rsidRDefault="00652582" w:rsidP="0032758E">
            <w:pPr>
              <w:spacing w:before="120"/>
              <w:rPr>
                <w:rFonts w:ascii="Arial" w:hAnsi="Arial" w:cs="Arial"/>
                <w:sz w:val="20"/>
                <w:lang w:val="es-ES"/>
              </w:rPr>
            </w:pPr>
            <w:r>
              <w:rPr>
                <w:rFonts w:ascii="Arial" w:hAnsi="Arial" w:cs="Arial"/>
                <w:sz w:val="20"/>
                <w:lang w:val="es-ES"/>
              </w:rPr>
              <w:t>TIRF (%)</w:t>
            </w:r>
          </w:p>
        </w:tc>
        <w:tc>
          <w:tcPr>
            <w:tcW w:w="1368" w:type="dxa"/>
          </w:tcPr>
          <w:p w14:paraId="11BCAD13" w14:textId="77777777" w:rsidR="00652582" w:rsidRDefault="00652582" w:rsidP="0032758E">
            <w:pPr>
              <w:spacing w:before="120"/>
              <w:jc w:val="center"/>
              <w:rPr>
                <w:rFonts w:ascii="Arial" w:hAnsi="Arial" w:cs="Arial"/>
                <w:sz w:val="20"/>
                <w:lang w:val="es-ES"/>
              </w:rPr>
            </w:pPr>
            <w:r w:rsidRPr="0094780B">
              <w:rPr>
                <w:rFonts w:ascii="Arial" w:hAnsi="Arial" w:cs="Arial"/>
                <w:sz w:val="20"/>
                <w:lang w:val="es-ES"/>
              </w:rPr>
              <w:t>93,1</w:t>
            </w:r>
          </w:p>
        </w:tc>
        <w:tc>
          <w:tcPr>
            <w:tcW w:w="1710" w:type="dxa"/>
          </w:tcPr>
          <w:p w14:paraId="0E485C9D"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68,7</w:t>
            </w:r>
          </w:p>
        </w:tc>
        <w:tc>
          <w:tcPr>
            <w:tcW w:w="1350" w:type="dxa"/>
          </w:tcPr>
          <w:p w14:paraId="0915BB0C"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96,3</w:t>
            </w:r>
          </w:p>
        </w:tc>
        <w:tc>
          <w:tcPr>
            <w:tcW w:w="1530" w:type="dxa"/>
          </w:tcPr>
          <w:p w14:paraId="21B55DD4"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85,8</w:t>
            </w:r>
          </w:p>
        </w:tc>
      </w:tr>
      <w:tr w:rsidR="00652582" w14:paraId="3D1FF96B" w14:textId="77777777" w:rsidTr="00652582">
        <w:trPr>
          <w:trHeight w:val="70"/>
        </w:trPr>
        <w:tc>
          <w:tcPr>
            <w:tcW w:w="2970" w:type="dxa"/>
          </w:tcPr>
          <w:p w14:paraId="5756ABB7" w14:textId="77777777" w:rsidR="00652582" w:rsidRDefault="00652582" w:rsidP="0032758E">
            <w:pPr>
              <w:spacing w:before="120"/>
              <w:rPr>
                <w:rFonts w:ascii="Arial" w:hAnsi="Arial" w:cs="Arial"/>
                <w:sz w:val="20"/>
                <w:lang w:val="es-ES"/>
              </w:rPr>
            </w:pPr>
            <w:r w:rsidRPr="007517F1">
              <w:rPr>
                <w:rFonts w:ascii="Arial" w:hAnsi="Arial" w:cs="Arial"/>
                <w:sz w:val="20"/>
                <w:lang w:val="es-ES"/>
              </w:rPr>
              <w:t>Relación B/C</w:t>
            </w:r>
            <w:r>
              <w:rPr>
                <w:rFonts w:ascii="Arial" w:hAnsi="Arial" w:cs="Arial"/>
                <w:sz w:val="20"/>
                <w:lang w:val="es-ES"/>
              </w:rPr>
              <w:t xml:space="preserve"> Financiero</w:t>
            </w:r>
          </w:p>
        </w:tc>
        <w:tc>
          <w:tcPr>
            <w:tcW w:w="1368" w:type="dxa"/>
          </w:tcPr>
          <w:p w14:paraId="330677C1" w14:textId="77777777" w:rsidR="00652582" w:rsidRDefault="00652582" w:rsidP="0032758E">
            <w:pPr>
              <w:spacing w:before="120"/>
              <w:jc w:val="center"/>
              <w:rPr>
                <w:rFonts w:ascii="Arial" w:hAnsi="Arial" w:cs="Arial"/>
                <w:sz w:val="20"/>
                <w:lang w:val="es-ES"/>
              </w:rPr>
            </w:pPr>
            <w:r>
              <w:rPr>
                <w:rFonts w:ascii="Arial" w:hAnsi="Arial" w:cs="Arial"/>
                <w:sz w:val="20"/>
                <w:lang w:val="es-ES"/>
              </w:rPr>
              <w:t>4,24</w:t>
            </w:r>
          </w:p>
        </w:tc>
        <w:tc>
          <w:tcPr>
            <w:tcW w:w="1710" w:type="dxa"/>
          </w:tcPr>
          <w:p w14:paraId="1A2CECA6" w14:textId="77777777" w:rsidR="00652582" w:rsidRDefault="00652582" w:rsidP="0032758E">
            <w:pPr>
              <w:spacing w:before="120"/>
              <w:jc w:val="center"/>
              <w:rPr>
                <w:rFonts w:ascii="Arial" w:hAnsi="Arial" w:cs="Arial"/>
                <w:sz w:val="20"/>
                <w:lang w:val="es-ES"/>
              </w:rPr>
            </w:pPr>
            <w:r>
              <w:rPr>
                <w:rFonts w:ascii="Arial" w:hAnsi="Arial" w:cs="Arial"/>
                <w:sz w:val="20"/>
                <w:lang w:val="es-ES"/>
              </w:rPr>
              <w:t>3,53</w:t>
            </w:r>
          </w:p>
        </w:tc>
        <w:tc>
          <w:tcPr>
            <w:tcW w:w="1350" w:type="dxa"/>
          </w:tcPr>
          <w:p w14:paraId="487F655C"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4,39</w:t>
            </w:r>
          </w:p>
        </w:tc>
        <w:tc>
          <w:tcPr>
            <w:tcW w:w="1530" w:type="dxa"/>
          </w:tcPr>
          <w:p w14:paraId="5A605815" w14:textId="77777777" w:rsidR="00652582" w:rsidRPr="00754B77" w:rsidRDefault="00652582" w:rsidP="0032758E">
            <w:pPr>
              <w:spacing w:before="120"/>
              <w:jc w:val="center"/>
              <w:rPr>
                <w:rFonts w:ascii="Arial" w:hAnsi="Arial" w:cs="Arial"/>
                <w:sz w:val="20"/>
                <w:lang w:val="es-ES"/>
              </w:rPr>
            </w:pPr>
            <w:r>
              <w:rPr>
                <w:rFonts w:ascii="Arial" w:hAnsi="Arial" w:cs="Arial"/>
                <w:sz w:val="20"/>
                <w:lang w:val="es-ES"/>
              </w:rPr>
              <w:t>3,45</w:t>
            </w:r>
          </w:p>
        </w:tc>
      </w:tr>
    </w:tbl>
    <w:p w14:paraId="1BE62D58" w14:textId="0EB044E8" w:rsidR="00652582" w:rsidRPr="00652582" w:rsidRDefault="00652582" w:rsidP="007A4E86">
      <w:pPr>
        <w:pStyle w:val="BodyText2"/>
        <w:numPr>
          <w:ilvl w:val="1"/>
          <w:numId w:val="7"/>
        </w:numPr>
        <w:tabs>
          <w:tab w:val="left" w:pos="720"/>
        </w:tabs>
        <w:spacing w:before="120" w:line="240" w:lineRule="auto"/>
        <w:ind w:left="720" w:hanging="720"/>
        <w:jc w:val="both"/>
        <w:rPr>
          <w:rFonts w:ascii="Arial" w:hAnsi="Arial" w:cs="Arial"/>
          <w:sz w:val="22"/>
          <w:szCs w:val="22"/>
          <w:lang w:val="es-ES"/>
        </w:rPr>
      </w:pPr>
      <w:r>
        <w:rPr>
          <w:rFonts w:ascii="Arial" w:hAnsi="Arial" w:cs="Arial"/>
          <w:sz w:val="22"/>
          <w:szCs w:val="22"/>
          <w:lang w:val="es-ES"/>
        </w:rPr>
        <w:t xml:space="preserve">Los resultados tanto financieros como económicos presentan cierta vulnerabilidad al aumento en los costos de las medidas, aunque debido a la relativa baja magnitud de estos costos, los resultados siguen siendo sólidos.  La </w:t>
      </w:r>
      <w:r w:rsidRPr="007517F1">
        <w:rPr>
          <w:rFonts w:ascii="Arial" w:hAnsi="Arial" w:cs="Arial"/>
          <w:sz w:val="22"/>
          <w:szCs w:val="22"/>
          <w:lang w:val="es-ES"/>
        </w:rPr>
        <w:t>sensibilidad a la elasticidad precio de la demanda</w:t>
      </w:r>
      <w:r>
        <w:rPr>
          <w:rFonts w:ascii="Arial" w:hAnsi="Arial" w:cs="Arial"/>
          <w:sz w:val="22"/>
          <w:szCs w:val="22"/>
          <w:lang w:val="es-ES"/>
        </w:rPr>
        <w:t xml:space="preserve"> es más notoria en los resultados económicos que en los resultados financieros. U</w:t>
      </w:r>
      <w:r w:rsidRPr="007517F1">
        <w:rPr>
          <w:rFonts w:ascii="Arial" w:hAnsi="Arial" w:cs="Arial"/>
          <w:sz w:val="22"/>
          <w:szCs w:val="22"/>
          <w:lang w:val="es-ES"/>
        </w:rPr>
        <w:t xml:space="preserve">na </w:t>
      </w:r>
      <w:r>
        <w:rPr>
          <w:rFonts w:ascii="Arial" w:hAnsi="Arial" w:cs="Arial"/>
          <w:sz w:val="22"/>
          <w:szCs w:val="22"/>
          <w:lang w:val="es-ES"/>
        </w:rPr>
        <w:t>menor</w:t>
      </w:r>
      <w:r w:rsidRPr="007517F1">
        <w:rPr>
          <w:rFonts w:ascii="Arial" w:hAnsi="Arial" w:cs="Arial"/>
          <w:sz w:val="22"/>
          <w:szCs w:val="22"/>
          <w:lang w:val="es-ES"/>
        </w:rPr>
        <w:t xml:space="preserve"> elasticidad </w:t>
      </w:r>
      <w:r>
        <w:rPr>
          <w:rFonts w:ascii="Arial" w:hAnsi="Arial" w:cs="Arial"/>
          <w:sz w:val="22"/>
          <w:szCs w:val="22"/>
          <w:lang w:val="es-ES"/>
        </w:rPr>
        <w:t>reduce</w:t>
      </w:r>
      <w:r w:rsidRPr="007517F1">
        <w:rPr>
          <w:rFonts w:ascii="Arial" w:hAnsi="Arial" w:cs="Arial"/>
          <w:sz w:val="22"/>
          <w:szCs w:val="22"/>
          <w:lang w:val="es-ES"/>
        </w:rPr>
        <w:t xml:space="preserve"> los beneficios económicos al producir menores cambios en el consumo</w:t>
      </w:r>
      <w:r>
        <w:rPr>
          <w:rFonts w:ascii="Arial" w:hAnsi="Arial" w:cs="Arial"/>
          <w:sz w:val="22"/>
          <w:szCs w:val="22"/>
          <w:lang w:val="es-ES"/>
        </w:rPr>
        <w:t>,</w:t>
      </w:r>
      <w:r w:rsidRPr="007517F1">
        <w:rPr>
          <w:rFonts w:ascii="Arial" w:hAnsi="Arial" w:cs="Arial"/>
          <w:sz w:val="22"/>
          <w:szCs w:val="22"/>
          <w:lang w:val="es-ES"/>
        </w:rPr>
        <w:t xml:space="preserve"> como resultado de cambios en el precio.</w:t>
      </w:r>
    </w:p>
    <w:p w14:paraId="3D388BC0" w14:textId="77777777" w:rsidR="007A4E86" w:rsidRDefault="007A4E86" w:rsidP="007A4E86">
      <w:pPr>
        <w:pStyle w:val="BodyText2"/>
        <w:numPr>
          <w:ilvl w:val="1"/>
          <w:numId w:val="7"/>
        </w:numPr>
        <w:tabs>
          <w:tab w:val="left" w:pos="720"/>
        </w:tabs>
        <w:spacing w:before="120" w:line="240" w:lineRule="auto"/>
        <w:ind w:left="720" w:hanging="720"/>
        <w:jc w:val="both"/>
        <w:rPr>
          <w:rFonts w:ascii="Arial" w:hAnsi="Arial" w:cs="Arial"/>
          <w:sz w:val="22"/>
          <w:szCs w:val="22"/>
          <w:lang w:val="es-CO"/>
        </w:rPr>
      </w:pPr>
      <w:r w:rsidRPr="00AC2783">
        <w:rPr>
          <w:rFonts w:ascii="Arial" w:hAnsi="Arial" w:cs="Arial"/>
          <w:b/>
          <w:sz w:val="22"/>
          <w:szCs w:val="22"/>
          <w:lang w:val="es-ES"/>
        </w:rPr>
        <w:t>Mejoras en el índice de recuperación de efectivo (CRI)</w:t>
      </w:r>
      <w:r w:rsidRPr="00AC2783">
        <w:rPr>
          <w:rFonts w:ascii="Arial" w:hAnsi="Arial" w:cs="Arial"/>
          <w:sz w:val="22"/>
          <w:szCs w:val="22"/>
          <w:lang w:val="es-ES"/>
        </w:rPr>
        <w:t xml:space="preserve">. </w:t>
      </w:r>
      <w:r w:rsidRPr="00AC2783">
        <w:rPr>
          <w:rFonts w:ascii="Arial" w:hAnsi="Arial" w:cs="Arial"/>
          <w:b/>
          <w:sz w:val="22"/>
          <w:szCs w:val="22"/>
          <w:lang w:val="es-ES"/>
        </w:rPr>
        <w:t xml:space="preserve"> </w:t>
      </w:r>
      <w:r w:rsidRPr="004F7284">
        <w:rPr>
          <w:rFonts w:ascii="Arial" w:hAnsi="Arial" w:cs="Arial"/>
          <w:sz w:val="22"/>
          <w:szCs w:val="22"/>
          <w:lang w:val="es-ES"/>
        </w:rPr>
        <w:t xml:space="preserve">Se realizó la estimación del flujo de beneficios por mejoras en el nivel de cobranzas, en forma agregada para las tres </w:t>
      </w:r>
      <w:proofErr w:type="spellStart"/>
      <w:r w:rsidRPr="004F7284">
        <w:rPr>
          <w:rFonts w:ascii="Arial" w:hAnsi="Arial" w:cs="Arial"/>
          <w:sz w:val="22"/>
          <w:szCs w:val="22"/>
          <w:lang w:val="es-ES"/>
        </w:rPr>
        <w:t>EDEs</w:t>
      </w:r>
      <w:proofErr w:type="spellEnd"/>
      <w:r w:rsidRPr="004F7284">
        <w:rPr>
          <w:rFonts w:ascii="Arial" w:hAnsi="Arial" w:cs="Arial"/>
          <w:sz w:val="22"/>
          <w:szCs w:val="22"/>
          <w:lang w:val="es-ES"/>
        </w:rPr>
        <w:t xml:space="preserve">. Una mejora en el esfuerzo de cobranza repercute significativamente en </w:t>
      </w:r>
      <w:r>
        <w:rPr>
          <w:rFonts w:ascii="Arial" w:hAnsi="Arial" w:cs="Arial"/>
          <w:sz w:val="22"/>
          <w:szCs w:val="22"/>
          <w:lang w:val="es-ES"/>
        </w:rPr>
        <w:t xml:space="preserve">las finanzas de las </w:t>
      </w:r>
      <w:proofErr w:type="spellStart"/>
      <w:r>
        <w:rPr>
          <w:rFonts w:ascii="Arial" w:hAnsi="Arial" w:cs="Arial"/>
          <w:sz w:val="22"/>
          <w:szCs w:val="22"/>
          <w:lang w:val="es-ES"/>
        </w:rPr>
        <w:t>EDEs</w:t>
      </w:r>
      <w:proofErr w:type="spellEnd"/>
      <w:r>
        <w:rPr>
          <w:rFonts w:ascii="Arial" w:hAnsi="Arial" w:cs="Arial"/>
          <w:sz w:val="22"/>
          <w:szCs w:val="22"/>
          <w:lang w:val="es-ES"/>
        </w:rPr>
        <w:t xml:space="preserve">. Se calcula el impacto que tendría cada incremento de 2% en los recaudos de la facturación, mostrando el efecto positivo del esfuerzo, en la salud financiera de las empresas. </w:t>
      </w:r>
      <w:r w:rsidRPr="00FB62E1">
        <w:rPr>
          <w:rFonts w:ascii="Arial" w:hAnsi="Arial" w:cs="Arial"/>
          <w:sz w:val="22"/>
          <w:szCs w:val="22"/>
          <w:lang w:val="es-ES"/>
        </w:rPr>
        <w:t>Los beneficios asociados con una mejor cobranza exceden ampliamente los costos, incluso manteniéndose en el 97% de la meta propuesta. El ingreso proveniente del mayor recaudo se traduce en un ahorro fiscal por la reducción del subsidio a la operación del sector.</w:t>
      </w:r>
      <w:r>
        <w:rPr>
          <w:rFonts w:ascii="Arial" w:hAnsi="Arial" w:cs="Arial"/>
          <w:sz w:val="22"/>
          <w:szCs w:val="22"/>
          <w:lang w:val="es-ES"/>
        </w:rPr>
        <w:t xml:space="preserve"> </w:t>
      </w:r>
      <w:r w:rsidRPr="004F7284">
        <w:rPr>
          <w:rFonts w:ascii="Arial" w:hAnsi="Arial" w:cs="Arial"/>
          <w:sz w:val="22"/>
          <w:szCs w:val="22"/>
          <w:lang w:val="es-CO"/>
        </w:rPr>
        <w:t xml:space="preserve">Las </w:t>
      </w:r>
      <w:r w:rsidRPr="004F7284">
        <w:rPr>
          <w:rFonts w:ascii="Arial" w:hAnsi="Arial" w:cs="Arial"/>
          <w:sz w:val="22"/>
          <w:szCs w:val="22"/>
          <w:lang w:val="es-ES"/>
        </w:rPr>
        <w:t>e</w:t>
      </w:r>
      <w:r w:rsidRPr="00DA0E03">
        <w:rPr>
          <w:rFonts w:ascii="Arial" w:hAnsi="Arial" w:cs="Arial"/>
          <w:sz w:val="22"/>
          <w:szCs w:val="22"/>
          <w:lang w:val="es-ES"/>
        </w:rPr>
        <w:t>stimaciones</w:t>
      </w:r>
      <w:r w:rsidRPr="001F1EAC">
        <w:rPr>
          <w:rFonts w:ascii="Arial" w:hAnsi="Arial" w:cs="Arial"/>
          <w:sz w:val="22"/>
          <w:szCs w:val="22"/>
          <w:lang w:val="es-CO"/>
        </w:rPr>
        <w:t xml:space="preserve"> de beneficios financieros asociados con la </w:t>
      </w:r>
      <w:r w:rsidRPr="00FB62E1">
        <w:rPr>
          <w:rFonts w:ascii="Arial" w:hAnsi="Arial" w:cs="Arial"/>
          <w:sz w:val="22"/>
          <w:szCs w:val="22"/>
          <w:lang w:val="es-ES"/>
        </w:rPr>
        <w:t>mejora</w:t>
      </w:r>
      <w:r w:rsidRPr="001F1EAC">
        <w:rPr>
          <w:rFonts w:ascii="Arial" w:hAnsi="Arial" w:cs="Arial"/>
          <w:sz w:val="22"/>
          <w:szCs w:val="22"/>
          <w:lang w:val="es-CO"/>
        </w:rPr>
        <w:t xml:space="preserve"> de la cobranza se resumen en el </w:t>
      </w:r>
      <w:r>
        <w:rPr>
          <w:rFonts w:ascii="Arial" w:hAnsi="Arial" w:cs="Arial"/>
          <w:sz w:val="22"/>
          <w:szCs w:val="22"/>
          <w:lang w:val="es-CO"/>
        </w:rPr>
        <w:t>C</w:t>
      </w:r>
      <w:r w:rsidRPr="001F1EAC">
        <w:rPr>
          <w:rFonts w:ascii="Arial" w:hAnsi="Arial" w:cs="Arial"/>
          <w:sz w:val="22"/>
          <w:szCs w:val="22"/>
          <w:lang w:val="es-CO"/>
        </w:rPr>
        <w:t>uadro</w:t>
      </w:r>
      <w:r>
        <w:rPr>
          <w:rFonts w:ascii="Arial" w:hAnsi="Arial" w:cs="Arial"/>
          <w:sz w:val="22"/>
          <w:szCs w:val="22"/>
          <w:lang w:val="es-CO"/>
        </w:rPr>
        <w:t xml:space="preserve"> 12. </w:t>
      </w:r>
    </w:p>
    <w:tbl>
      <w:tblPr>
        <w:tblStyle w:val="TableGrid"/>
        <w:tblW w:w="8910" w:type="dxa"/>
        <w:tblInd w:w="720" w:type="dxa"/>
        <w:tblLook w:val="04A0" w:firstRow="1" w:lastRow="0" w:firstColumn="1" w:lastColumn="0" w:noHBand="0" w:noVBand="1"/>
      </w:tblPr>
      <w:tblGrid>
        <w:gridCol w:w="222"/>
        <w:gridCol w:w="8688"/>
      </w:tblGrid>
      <w:tr w:rsidR="007A4E86" w14:paraId="6A013DBD" w14:textId="77777777" w:rsidTr="00E87594">
        <w:tc>
          <w:tcPr>
            <w:tcW w:w="222" w:type="dxa"/>
            <w:tcBorders>
              <w:top w:val="nil"/>
              <w:left w:val="nil"/>
              <w:bottom w:val="nil"/>
              <w:right w:val="nil"/>
            </w:tcBorders>
            <w:shd w:val="clear" w:color="auto" w:fill="FFFFFF" w:themeFill="background1"/>
          </w:tcPr>
          <w:p w14:paraId="3D56246F" w14:textId="77777777" w:rsidR="007A4E86" w:rsidRDefault="007A4E86" w:rsidP="00E87594">
            <w:pPr>
              <w:pStyle w:val="ListParagraph"/>
              <w:spacing w:before="120"/>
              <w:ind w:left="0"/>
              <w:jc w:val="center"/>
              <w:rPr>
                <w:rFonts w:ascii="Arial" w:hAnsi="Arial" w:cs="Arial"/>
                <w:b/>
                <w:sz w:val="22"/>
                <w:szCs w:val="22"/>
                <w:lang w:val="es-CO"/>
              </w:rPr>
            </w:pPr>
          </w:p>
        </w:tc>
        <w:tc>
          <w:tcPr>
            <w:tcW w:w="8688" w:type="dxa"/>
            <w:tcBorders>
              <w:top w:val="nil"/>
              <w:left w:val="nil"/>
              <w:bottom w:val="nil"/>
              <w:right w:val="nil"/>
            </w:tcBorders>
            <w:shd w:val="clear" w:color="auto" w:fill="FFFFFF" w:themeFill="background1"/>
          </w:tcPr>
          <w:p w14:paraId="2CC08E71" w14:textId="77777777" w:rsidR="007A4E86" w:rsidRPr="009D75B7" w:rsidRDefault="007A4E86" w:rsidP="00E87594">
            <w:pPr>
              <w:pStyle w:val="ListParagraph"/>
              <w:spacing w:before="120"/>
              <w:ind w:left="-180"/>
              <w:jc w:val="center"/>
              <w:rPr>
                <w:rFonts w:ascii="Arial" w:hAnsi="Arial" w:cs="Arial"/>
                <w:b/>
                <w:sz w:val="20"/>
                <w:lang w:val="es-CO"/>
              </w:rPr>
            </w:pPr>
            <w:r w:rsidRPr="009D75B7">
              <w:rPr>
                <w:rFonts w:ascii="Arial" w:hAnsi="Arial" w:cs="Arial"/>
                <w:b/>
                <w:sz w:val="20"/>
                <w:lang w:val="es-CO"/>
              </w:rPr>
              <w:t>Cuadro 1</w:t>
            </w:r>
            <w:r>
              <w:rPr>
                <w:rFonts w:ascii="Arial" w:hAnsi="Arial" w:cs="Arial"/>
                <w:b/>
                <w:sz w:val="20"/>
                <w:lang w:val="es-CO"/>
              </w:rPr>
              <w:t>2</w:t>
            </w:r>
            <w:r w:rsidRPr="009D75B7">
              <w:rPr>
                <w:rFonts w:ascii="Arial" w:hAnsi="Arial" w:cs="Arial"/>
                <w:b/>
                <w:sz w:val="20"/>
                <w:lang w:val="es-CO"/>
              </w:rPr>
              <w:t xml:space="preserve"> - Beneficios por mejora en cobranza </w:t>
            </w:r>
            <w:proofErr w:type="spellStart"/>
            <w:r w:rsidRPr="009D75B7">
              <w:rPr>
                <w:rFonts w:ascii="Arial" w:hAnsi="Arial" w:cs="Arial"/>
                <w:b/>
                <w:sz w:val="20"/>
                <w:lang w:val="es-CO"/>
              </w:rPr>
              <w:t>EDEs</w:t>
            </w:r>
            <w:proofErr w:type="spellEnd"/>
            <w:r w:rsidRPr="009D75B7">
              <w:rPr>
                <w:rFonts w:ascii="Arial" w:hAnsi="Arial" w:cs="Arial"/>
                <w:b/>
                <w:sz w:val="20"/>
                <w:lang w:val="es-CO"/>
              </w:rPr>
              <w:t xml:space="preserve"> (US$ millones)</w:t>
            </w:r>
          </w:p>
          <w:tbl>
            <w:tblPr>
              <w:tblW w:w="8462" w:type="dxa"/>
              <w:tblLook w:val="04A0" w:firstRow="1" w:lastRow="0" w:firstColumn="1" w:lastColumn="0" w:noHBand="0" w:noVBand="1"/>
            </w:tblPr>
            <w:tblGrid>
              <w:gridCol w:w="4077"/>
              <w:gridCol w:w="828"/>
              <w:gridCol w:w="871"/>
              <w:gridCol w:w="944"/>
              <w:gridCol w:w="871"/>
              <w:gridCol w:w="871"/>
            </w:tblGrid>
            <w:tr w:rsidR="007A4E86" w:rsidRPr="009D75B7" w14:paraId="10121C5C"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72254FE7" w14:textId="77777777" w:rsidR="007A4E86" w:rsidRPr="009D75B7" w:rsidRDefault="007A4E86" w:rsidP="00E87594">
                  <w:pPr>
                    <w:rPr>
                      <w:rFonts w:ascii="Arial" w:hAnsi="Arial" w:cs="Arial"/>
                      <w:b/>
                      <w:bCs/>
                      <w:color w:val="000000"/>
                      <w:spacing w:val="0"/>
                      <w:sz w:val="20"/>
                      <w:lang w:val="es-US"/>
                    </w:rPr>
                  </w:pPr>
                  <w:r w:rsidRPr="009D75B7">
                    <w:rPr>
                      <w:rFonts w:ascii="Arial" w:hAnsi="Arial" w:cs="Arial"/>
                      <w:b/>
                      <w:bCs/>
                      <w:color w:val="000000"/>
                      <w:spacing w:val="0"/>
                      <w:sz w:val="20"/>
                      <w:lang w:val="es-US"/>
                    </w:rPr>
                    <w:t> </w:t>
                  </w:r>
                </w:p>
              </w:tc>
              <w:tc>
                <w:tcPr>
                  <w:tcW w:w="828" w:type="dxa"/>
                  <w:tcBorders>
                    <w:top w:val="single" w:sz="4" w:space="0" w:color="auto"/>
                    <w:left w:val="single" w:sz="4" w:space="0" w:color="auto"/>
                    <w:bottom w:val="single" w:sz="4" w:space="0" w:color="auto"/>
                    <w:right w:val="nil"/>
                  </w:tcBorders>
                  <w:shd w:val="clear" w:color="auto" w:fill="DBE5F1" w:themeFill="accent1" w:themeFillTint="33"/>
                  <w:noWrap/>
                  <w:vAlign w:val="bottom"/>
                  <w:hideMark/>
                </w:tcPr>
                <w:p w14:paraId="1C773C5E" w14:textId="77777777" w:rsidR="007A4E86" w:rsidRPr="009D75B7" w:rsidRDefault="007A4E86" w:rsidP="00E87594">
                  <w:pPr>
                    <w:jc w:val="right"/>
                    <w:rPr>
                      <w:rFonts w:ascii="Arial" w:hAnsi="Arial" w:cs="Arial"/>
                      <w:b/>
                      <w:bCs/>
                      <w:color w:val="000000"/>
                      <w:spacing w:val="0"/>
                      <w:sz w:val="20"/>
                      <w:lang w:val="en-US"/>
                    </w:rPr>
                  </w:pPr>
                  <w:r w:rsidRPr="009D75B7">
                    <w:rPr>
                      <w:rFonts w:ascii="Arial" w:hAnsi="Arial" w:cs="Arial"/>
                      <w:b/>
                      <w:bCs/>
                      <w:color w:val="000000"/>
                      <w:spacing w:val="0"/>
                      <w:sz w:val="20"/>
                      <w:lang w:val="en-US"/>
                    </w:rPr>
                    <w:t>2018</w:t>
                  </w:r>
                </w:p>
              </w:tc>
              <w:tc>
                <w:tcPr>
                  <w:tcW w:w="871" w:type="dxa"/>
                  <w:tcBorders>
                    <w:top w:val="single" w:sz="4" w:space="0" w:color="auto"/>
                    <w:left w:val="nil"/>
                    <w:bottom w:val="single" w:sz="4" w:space="0" w:color="auto"/>
                    <w:right w:val="nil"/>
                  </w:tcBorders>
                  <w:shd w:val="clear" w:color="auto" w:fill="DBE5F1" w:themeFill="accent1" w:themeFillTint="33"/>
                  <w:noWrap/>
                  <w:vAlign w:val="bottom"/>
                  <w:hideMark/>
                </w:tcPr>
                <w:p w14:paraId="2553A7E9" w14:textId="77777777" w:rsidR="007A4E86" w:rsidRPr="009D75B7" w:rsidRDefault="007A4E86" w:rsidP="00E87594">
                  <w:pPr>
                    <w:jc w:val="right"/>
                    <w:rPr>
                      <w:rFonts w:ascii="Arial" w:hAnsi="Arial" w:cs="Arial"/>
                      <w:b/>
                      <w:bCs/>
                      <w:color w:val="000000"/>
                      <w:spacing w:val="0"/>
                      <w:sz w:val="20"/>
                      <w:lang w:val="en-US"/>
                    </w:rPr>
                  </w:pPr>
                  <w:r w:rsidRPr="009D75B7">
                    <w:rPr>
                      <w:rFonts w:ascii="Arial" w:hAnsi="Arial" w:cs="Arial"/>
                      <w:b/>
                      <w:bCs/>
                      <w:color w:val="000000"/>
                      <w:spacing w:val="0"/>
                      <w:sz w:val="20"/>
                      <w:lang w:val="en-US"/>
                    </w:rPr>
                    <w:t>2019</w:t>
                  </w:r>
                </w:p>
              </w:tc>
              <w:tc>
                <w:tcPr>
                  <w:tcW w:w="944" w:type="dxa"/>
                  <w:tcBorders>
                    <w:top w:val="single" w:sz="4" w:space="0" w:color="auto"/>
                    <w:left w:val="nil"/>
                    <w:bottom w:val="single" w:sz="4" w:space="0" w:color="auto"/>
                    <w:right w:val="nil"/>
                  </w:tcBorders>
                  <w:shd w:val="clear" w:color="auto" w:fill="DBE5F1" w:themeFill="accent1" w:themeFillTint="33"/>
                  <w:noWrap/>
                  <w:vAlign w:val="bottom"/>
                  <w:hideMark/>
                </w:tcPr>
                <w:p w14:paraId="155D4D3F" w14:textId="77777777" w:rsidR="007A4E86" w:rsidRPr="009D75B7" w:rsidRDefault="007A4E86" w:rsidP="00E87594">
                  <w:pPr>
                    <w:jc w:val="right"/>
                    <w:rPr>
                      <w:rFonts w:ascii="Arial" w:hAnsi="Arial" w:cs="Arial"/>
                      <w:b/>
                      <w:bCs/>
                      <w:color w:val="000000"/>
                      <w:spacing w:val="0"/>
                      <w:sz w:val="20"/>
                      <w:lang w:val="en-US"/>
                    </w:rPr>
                  </w:pPr>
                  <w:r w:rsidRPr="009D75B7">
                    <w:rPr>
                      <w:rFonts w:ascii="Arial" w:hAnsi="Arial" w:cs="Arial"/>
                      <w:b/>
                      <w:bCs/>
                      <w:color w:val="000000"/>
                      <w:spacing w:val="0"/>
                      <w:sz w:val="20"/>
                      <w:lang w:val="en-US"/>
                    </w:rPr>
                    <w:t>2020</w:t>
                  </w:r>
                </w:p>
              </w:tc>
              <w:tc>
                <w:tcPr>
                  <w:tcW w:w="871" w:type="dxa"/>
                  <w:tcBorders>
                    <w:top w:val="single" w:sz="4" w:space="0" w:color="auto"/>
                    <w:left w:val="nil"/>
                    <w:bottom w:val="single" w:sz="4" w:space="0" w:color="auto"/>
                    <w:right w:val="nil"/>
                  </w:tcBorders>
                  <w:shd w:val="clear" w:color="auto" w:fill="DBE5F1" w:themeFill="accent1" w:themeFillTint="33"/>
                  <w:noWrap/>
                  <w:vAlign w:val="bottom"/>
                  <w:hideMark/>
                </w:tcPr>
                <w:p w14:paraId="376914D2" w14:textId="77777777" w:rsidR="007A4E86" w:rsidRPr="009D75B7" w:rsidRDefault="007A4E86" w:rsidP="00E87594">
                  <w:pPr>
                    <w:jc w:val="right"/>
                    <w:rPr>
                      <w:rFonts w:ascii="Arial" w:hAnsi="Arial" w:cs="Arial"/>
                      <w:b/>
                      <w:bCs/>
                      <w:color w:val="000000"/>
                      <w:spacing w:val="0"/>
                      <w:sz w:val="20"/>
                      <w:lang w:val="en-US"/>
                    </w:rPr>
                  </w:pPr>
                  <w:r w:rsidRPr="009D75B7">
                    <w:rPr>
                      <w:rFonts w:ascii="Arial" w:hAnsi="Arial" w:cs="Arial"/>
                      <w:b/>
                      <w:bCs/>
                      <w:color w:val="000000"/>
                      <w:spacing w:val="0"/>
                      <w:sz w:val="20"/>
                      <w:lang w:val="en-US"/>
                    </w:rPr>
                    <w:t>2021</w:t>
                  </w:r>
                </w:p>
              </w:tc>
              <w:tc>
                <w:tcPr>
                  <w:tcW w:w="871"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55509933" w14:textId="77777777" w:rsidR="007A4E86" w:rsidRPr="009D75B7" w:rsidRDefault="007A4E86" w:rsidP="00E87594">
                  <w:pPr>
                    <w:jc w:val="right"/>
                    <w:rPr>
                      <w:rFonts w:ascii="Arial" w:hAnsi="Arial" w:cs="Arial"/>
                      <w:b/>
                      <w:bCs/>
                      <w:color w:val="000000"/>
                      <w:spacing w:val="0"/>
                      <w:sz w:val="20"/>
                      <w:lang w:val="en-US"/>
                    </w:rPr>
                  </w:pPr>
                  <w:r w:rsidRPr="009D75B7">
                    <w:rPr>
                      <w:rFonts w:ascii="Arial" w:hAnsi="Arial" w:cs="Arial"/>
                      <w:b/>
                      <w:bCs/>
                      <w:color w:val="000000"/>
                      <w:spacing w:val="0"/>
                      <w:sz w:val="20"/>
                      <w:lang w:val="en-US"/>
                    </w:rPr>
                    <w:t>2022</w:t>
                  </w:r>
                </w:p>
              </w:tc>
            </w:tr>
            <w:tr w:rsidR="007A4E86" w:rsidRPr="009D75B7" w14:paraId="2BBED4F7"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6BF4E"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 xml:space="preserve">Cobranza sin </w:t>
                  </w:r>
                  <w:r w:rsidRPr="00E72BAD">
                    <w:rPr>
                      <w:rFonts w:ascii="Arial" w:hAnsi="Arial" w:cs="Arial"/>
                      <w:color w:val="000000"/>
                      <w:spacing w:val="0"/>
                      <w:sz w:val="20"/>
                      <w:lang w:val="es-US"/>
                    </w:rPr>
                    <w:t>m</w:t>
                  </w:r>
                  <w:r w:rsidRPr="009D75B7">
                    <w:rPr>
                      <w:rFonts w:ascii="Arial" w:hAnsi="Arial" w:cs="Arial"/>
                      <w:color w:val="000000"/>
                      <w:spacing w:val="0"/>
                      <w:sz w:val="20"/>
                      <w:lang w:val="es-US"/>
                    </w:rPr>
                    <w:t>ejora %</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5CA8F"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95.4%</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8A4C5"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95.4%</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5E4B9"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95.4%</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447CC"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95.4%</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35EF7"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95.4%</w:t>
                  </w:r>
                </w:p>
              </w:tc>
            </w:tr>
            <w:tr w:rsidR="007A4E86" w:rsidRPr="009D75B7" w14:paraId="2D9F7737"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CDA27"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 xml:space="preserve">Cobranza </w:t>
                  </w:r>
                  <w:r w:rsidRPr="00E72BAD">
                    <w:rPr>
                      <w:rFonts w:ascii="Arial" w:hAnsi="Arial" w:cs="Arial"/>
                      <w:color w:val="000000"/>
                      <w:spacing w:val="0"/>
                      <w:sz w:val="20"/>
                      <w:lang w:val="es-US"/>
                    </w:rPr>
                    <w:t>m</w:t>
                  </w:r>
                  <w:r w:rsidRPr="009D75B7">
                    <w:rPr>
                      <w:rFonts w:ascii="Arial" w:hAnsi="Arial" w:cs="Arial"/>
                      <w:color w:val="000000"/>
                      <w:spacing w:val="0"/>
                      <w:sz w:val="20"/>
                      <w:lang w:val="es-US"/>
                    </w:rPr>
                    <w:t>ejorada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9DC84"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rPr>
                    <w:t>96.7%</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D7F55"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rPr>
                    <w:t>96.</w:t>
                  </w:r>
                  <w:r>
                    <w:rPr>
                      <w:rFonts w:ascii="Arial" w:hAnsi="Arial" w:cs="Arial"/>
                      <w:color w:val="000000"/>
                      <w:spacing w:val="0"/>
                      <w:sz w:val="20"/>
                    </w:rPr>
                    <w:t>8</w:t>
                  </w:r>
                  <w:r w:rsidRPr="009D75B7">
                    <w:rPr>
                      <w:rFonts w:ascii="Arial" w:hAnsi="Arial" w:cs="Arial"/>
                      <w:color w:val="000000"/>
                      <w:spacing w:val="0"/>
                      <w:sz w:val="20"/>
                    </w:rPr>
                    <w:t>%</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AAF62"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rPr>
                    <w:t>96.</w:t>
                  </w:r>
                  <w:r>
                    <w:rPr>
                      <w:rFonts w:ascii="Arial" w:hAnsi="Arial" w:cs="Arial"/>
                      <w:color w:val="000000"/>
                      <w:spacing w:val="0"/>
                      <w:sz w:val="20"/>
                    </w:rPr>
                    <w:t>9</w:t>
                  </w:r>
                  <w:r w:rsidRPr="009D75B7">
                    <w:rPr>
                      <w:rFonts w:ascii="Arial" w:hAnsi="Arial" w:cs="Arial"/>
                      <w:color w:val="000000"/>
                      <w:spacing w:val="0"/>
                      <w:sz w:val="20"/>
                    </w:rPr>
                    <w:t>%</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6EB5D"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rPr>
                    <w:t>96.9%</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0216F"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rPr>
                    <w:t>97.0%</w:t>
                  </w:r>
                </w:p>
              </w:tc>
            </w:tr>
            <w:tr w:rsidR="007A4E86" w:rsidRPr="009D75B7" w14:paraId="7DD183D9" w14:textId="77777777" w:rsidTr="00E87594">
              <w:trPr>
                <w:trHeight w:val="242"/>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D554A"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 xml:space="preserve">Cobranza </w:t>
                  </w:r>
                  <w:r w:rsidRPr="00E72BAD">
                    <w:rPr>
                      <w:rFonts w:ascii="Arial" w:hAnsi="Arial" w:cs="Arial"/>
                      <w:color w:val="000000"/>
                      <w:spacing w:val="0"/>
                      <w:sz w:val="20"/>
                      <w:lang w:val="es-US"/>
                    </w:rPr>
                    <w:t>m</w:t>
                  </w:r>
                  <w:r w:rsidRPr="009D75B7">
                    <w:rPr>
                      <w:rFonts w:ascii="Arial" w:hAnsi="Arial" w:cs="Arial"/>
                      <w:color w:val="000000"/>
                      <w:spacing w:val="0"/>
                      <w:sz w:val="20"/>
                      <w:lang w:val="es-US"/>
                    </w:rPr>
                    <w:t xml:space="preserve">ejorada </w:t>
                  </w:r>
                  <w:r w:rsidRPr="00E72BAD">
                    <w:rPr>
                      <w:rFonts w:ascii="Arial" w:hAnsi="Arial" w:cs="Arial"/>
                      <w:color w:val="000000"/>
                      <w:spacing w:val="0"/>
                      <w:sz w:val="20"/>
                      <w:lang w:val="es-US"/>
                    </w:rPr>
                    <w:t>- incremento 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DEFB1"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97.3%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14426"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97.3%</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04066"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97.3%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32D51"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97.3%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E7955"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97.3%</w:t>
                  </w:r>
                </w:p>
              </w:tc>
            </w:tr>
            <w:tr w:rsidR="007A4E86" w:rsidRPr="009D75B7" w14:paraId="17800B3F"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118"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Compra Energía GWh</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8A9E5"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13,218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AB0C6"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13,457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C7C0F"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13,502</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04D73"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13,704</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8144F"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13,874</w:t>
                  </w:r>
                </w:p>
              </w:tc>
            </w:tr>
            <w:tr w:rsidR="007A4E86" w:rsidRPr="009D75B7" w14:paraId="73E94EEF" w14:textId="77777777" w:rsidTr="00E87594">
              <w:trPr>
                <w:trHeight w:val="323"/>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C1CC5"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Factura Energía GWh</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883D6"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10,001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69385"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10,456</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602A5"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10,896</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07007"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11,402</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56683B"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11,793</w:t>
                  </w:r>
                </w:p>
              </w:tc>
            </w:tr>
            <w:tr w:rsidR="007A4E86" w:rsidRPr="009D75B7" w14:paraId="4E97C164"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62D2B"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Precio Medio Venta US$/</w:t>
                  </w:r>
                  <w:proofErr w:type="spellStart"/>
                  <w:r w:rsidRPr="009D75B7">
                    <w:rPr>
                      <w:rFonts w:ascii="Arial" w:hAnsi="Arial" w:cs="Arial"/>
                      <w:color w:val="000000"/>
                      <w:spacing w:val="0"/>
                      <w:sz w:val="20"/>
                      <w:lang w:val="es-US"/>
                    </w:rPr>
                    <w:t>MWh</w:t>
                  </w:r>
                  <w:proofErr w:type="spellEnd"/>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FBEB0"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165.8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32746"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165.8</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69141"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165.8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F48F4"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165.7</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E600D" w14:textId="77777777" w:rsidR="007A4E86" w:rsidRPr="009D75B7" w:rsidRDefault="007A4E86" w:rsidP="00E87594">
                  <w:pPr>
                    <w:jc w:val="center"/>
                    <w:rPr>
                      <w:rFonts w:ascii="Arial" w:hAnsi="Arial" w:cs="Arial"/>
                      <w:color w:val="000000"/>
                      <w:spacing w:val="0"/>
                      <w:sz w:val="20"/>
                      <w:lang w:val="en-US"/>
                    </w:rPr>
                  </w:pPr>
                  <w:r w:rsidRPr="009D75B7">
                    <w:rPr>
                      <w:rFonts w:ascii="Arial" w:hAnsi="Arial" w:cs="Arial"/>
                      <w:color w:val="000000"/>
                      <w:spacing w:val="0"/>
                      <w:sz w:val="20"/>
                      <w:lang w:val="en-US"/>
                    </w:rPr>
                    <w:t>165.8</w:t>
                  </w:r>
                </w:p>
              </w:tc>
            </w:tr>
            <w:tr w:rsidR="007A4E86" w:rsidRPr="009D75B7" w14:paraId="63EDF7BB"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2FE08"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 xml:space="preserve">Cobranza sin </w:t>
                  </w:r>
                  <w:r w:rsidRPr="00E72BAD">
                    <w:rPr>
                      <w:rFonts w:ascii="Arial" w:hAnsi="Arial" w:cs="Arial"/>
                      <w:color w:val="000000"/>
                      <w:spacing w:val="0"/>
                      <w:sz w:val="20"/>
                      <w:lang w:val="es-US"/>
                    </w:rPr>
                    <w:t>m</w:t>
                  </w:r>
                  <w:r w:rsidRPr="009D75B7">
                    <w:rPr>
                      <w:rFonts w:ascii="Arial" w:hAnsi="Arial" w:cs="Arial"/>
                      <w:color w:val="000000"/>
                      <w:spacing w:val="0"/>
                      <w:sz w:val="20"/>
                      <w:lang w:val="es-US"/>
                    </w:rPr>
                    <w:t>ejora MUS$</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8578A"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1581.9</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332C7"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1653.7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000D7"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1723.0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D1E61"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1802.7</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36D1F"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1864.8</w:t>
                  </w:r>
                </w:p>
              </w:tc>
            </w:tr>
            <w:tr w:rsidR="007A4E86" w:rsidRPr="009D75B7" w14:paraId="12745EC3"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5A6FD"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 xml:space="preserve">Cobranza </w:t>
                  </w:r>
                  <w:r w:rsidRPr="00E72BAD">
                    <w:rPr>
                      <w:rFonts w:ascii="Arial" w:hAnsi="Arial" w:cs="Arial"/>
                      <w:color w:val="000000"/>
                      <w:spacing w:val="0"/>
                      <w:sz w:val="20"/>
                      <w:lang w:val="es-US"/>
                    </w:rPr>
                    <w:t>m</w:t>
                  </w:r>
                  <w:r w:rsidRPr="009D75B7">
                    <w:rPr>
                      <w:rFonts w:ascii="Arial" w:hAnsi="Arial" w:cs="Arial"/>
                      <w:color w:val="000000"/>
                      <w:spacing w:val="0"/>
                      <w:sz w:val="20"/>
                      <w:lang w:val="es-US"/>
                    </w:rPr>
                    <w:t>ejorada MUS$</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3FA85"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1603.8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EAC83"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1677.8</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D0284"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1749.4</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6757F"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1831.6</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6400F"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1896.1</w:t>
                  </w:r>
                </w:p>
              </w:tc>
            </w:tr>
            <w:tr w:rsidR="007A4E86" w:rsidRPr="009D75B7" w14:paraId="2B81A5DD"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4141E"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Cobranza</w:t>
                  </w:r>
                  <w:r w:rsidRPr="00E72BAD">
                    <w:rPr>
                      <w:rFonts w:ascii="Arial" w:hAnsi="Arial" w:cs="Arial"/>
                      <w:color w:val="000000"/>
                      <w:spacing w:val="0"/>
                      <w:sz w:val="20"/>
                      <w:lang w:val="es-US"/>
                    </w:rPr>
                    <w:t xml:space="preserve"> m</w:t>
                  </w:r>
                  <w:r w:rsidRPr="009D75B7">
                    <w:rPr>
                      <w:rFonts w:ascii="Arial" w:hAnsi="Arial" w:cs="Arial"/>
                      <w:color w:val="000000"/>
                      <w:spacing w:val="0"/>
                      <w:sz w:val="20"/>
                      <w:lang w:val="es-US"/>
                    </w:rPr>
                    <w:t>ejorada</w:t>
                  </w:r>
                  <w:r>
                    <w:rPr>
                      <w:rFonts w:ascii="Arial" w:hAnsi="Arial" w:cs="Arial"/>
                      <w:color w:val="000000"/>
                      <w:spacing w:val="0"/>
                      <w:sz w:val="20"/>
                      <w:lang w:val="es-US"/>
                    </w:rPr>
                    <w:t xml:space="preserve"> con</w:t>
                  </w:r>
                  <w:r w:rsidRPr="009D75B7">
                    <w:rPr>
                      <w:rFonts w:ascii="Arial" w:hAnsi="Arial" w:cs="Arial"/>
                      <w:color w:val="000000"/>
                      <w:spacing w:val="0"/>
                      <w:sz w:val="20"/>
                      <w:lang w:val="es-US"/>
                    </w:rPr>
                    <w:t xml:space="preserve"> </w:t>
                  </w:r>
                  <w:r>
                    <w:rPr>
                      <w:rFonts w:ascii="Arial" w:hAnsi="Arial" w:cs="Arial"/>
                      <w:color w:val="000000"/>
                      <w:spacing w:val="0"/>
                      <w:sz w:val="20"/>
                      <w:lang w:val="es-US"/>
                    </w:rPr>
                    <w:t>i</w:t>
                  </w:r>
                  <w:r w:rsidRPr="00E72BAD">
                    <w:rPr>
                      <w:rFonts w:ascii="Arial" w:hAnsi="Arial" w:cs="Arial"/>
                      <w:color w:val="000000"/>
                      <w:spacing w:val="0"/>
                      <w:sz w:val="20"/>
                      <w:lang w:val="es-US"/>
                    </w:rPr>
                    <w:t>ncremento</w:t>
                  </w:r>
                  <w:r>
                    <w:rPr>
                      <w:rFonts w:ascii="Arial" w:hAnsi="Arial" w:cs="Arial"/>
                      <w:color w:val="000000"/>
                      <w:spacing w:val="0"/>
                      <w:sz w:val="20"/>
                      <w:lang w:val="es-US"/>
                    </w:rPr>
                    <w:t xml:space="preserve"> adicional de</w:t>
                  </w:r>
                  <w:r w:rsidRPr="00E72BAD">
                    <w:rPr>
                      <w:rFonts w:ascii="Arial" w:hAnsi="Arial" w:cs="Arial"/>
                      <w:color w:val="000000"/>
                      <w:spacing w:val="0"/>
                      <w:sz w:val="20"/>
                      <w:lang w:val="es-US"/>
                    </w:rPr>
                    <w:t xml:space="preserve"> </w:t>
                  </w:r>
                  <w:r w:rsidRPr="009D75B7">
                    <w:rPr>
                      <w:rFonts w:ascii="Arial" w:hAnsi="Arial" w:cs="Arial"/>
                      <w:color w:val="000000"/>
                      <w:spacing w:val="0"/>
                      <w:sz w:val="20"/>
                      <w:lang w:val="es-US"/>
                    </w:rPr>
                    <w:t>2%</w:t>
                  </w:r>
                  <w:r>
                    <w:rPr>
                      <w:rFonts w:ascii="Arial" w:hAnsi="Arial" w:cs="Arial"/>
                      <w:color w:val="000000"/>
                      <w:spacing w:val="0"/>
                      <w:sz w:val="20"/>
                      <w:lang w:val="es-US"/>
                    </w:rPr>
                    <w:t xml:space="preserve"> - </w:t>
                  </w:r>
                  <w:r w:rsidRPr="00E72BAD">
                    <w:rPr>
                      <w:rFonts w:ascii="Arial" w:hAnsi="Arial" w:cs="Arial"/>
                      <w:color w:val="000000"/>
                      <w:spacing w:val="0"/>
                      <w:sz w:val="20"/>
                      <w:lang w:val="es-US"/>
                    </w:rPr>
                    <w:t xml:space="preserve"> </w:t>
                  </w:r>
                  <w:r w:rsidRPr="009D75B7">
                    <w:rPr>
                      <w:rFonts w:ascii="Arial" w:hAnsi="Arial" w:cs="Arial"/>
                      <w:color w:val="000000"/>
                      <w:spacing w:val="0"/>
                      <w:sz w:val="20"/>
                      <w:lang w:val="es-US"/>
                    </w:rPr>
                    <w:t>MUS$</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47BFF"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1613.6</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5A8DA"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1686.7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640D"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1757.5</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A0AB0"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1838.8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8ABBF"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1902.1</w:t>
                  </w:r>
                </w:p>
              </w:tc>
            </w:tr>
            <w:tr w:rsidR="007A4E86" w:rsidRPr="009D75B7" w14:paraId="28C54053"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4E348"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Beneficio Financiero MUS$</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00C62"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21.9</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7F386"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24.1</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6596A"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26.4</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0E30C"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28.9</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E4ED"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31.3</w:t>
                  </w:r>
                </w:p>
              </w:tc>
            </w:tr>
            <w:tr w:rsidR="007A4E86" w:rsidRPr="009D75B7" w14:paraId="4FAEDEF6"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1887E"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 xml:space="preserve">Beneficio Financiero </w:t>
                  </w:r>
                  <w:r w:rsidRPr="00E72BAD">
                    <w:rPr>
                      <w:rFonts w:ascii="Arial" w:hAnsi="Arial" w:cs="Arial"/>
                      <w:color w:val="000000"/>
                      <w:spacing w:val="0"/>
                      <w:sz w:val="20"/>
                      <w:lang w:val="es-US"/>
                    </w:rPr>
                    <w:t>incremento</w:t>
                  </w:r>
                  <w:r w:rsidRPr="009D75B7">
                    <w:rPr>
                      <w:rFonts w:ascii="Arial" w:hAnsi="Arial" w:cs="Arial"/>
                      <w:color w:val="000000"/>
                      <w:spacing w:val="0"/>
                      <w:sz w:val="20"/>
                      <w:lang w:val="es-US"/>
                    </w:rPr>
                    <w:t xml:space="preserve"> </w:t>
                  </w:r>
                  <w:r w:rsidRPr="00E72BAD">
                    <w:rPr>
                      <w:rFonts w:ascii="Arial" w:hAnsi="Arial" w:cs="Arial"/>
                      <w:color w:val="000000"/>
                      <w:spacing w:val="0"/>
                      <w:sz w:val="20"/>
                      <w:lang w:val="es-US"/>
                    </w:rPr>
                    <w:t xml:space="preserve">2% </w:t>
                  </w:r>
                  <w:r w:rsidRPr="009D75B7">
                    <w:rPr>
                      <w:rFonts w:ascii="Arial" w:hAnsi="Arial" w:cs="Arial"/>
                      <w:color w:val="000000"/>
                      <w:spacing w:val="0"/>
                      <w:sz w:val="20"/>
                      <w:lang w:val="es-US"/>
                    </w:rPr>
                    <w:t>MUS$</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E2989"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C257D"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9.0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71981"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8.1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A55B0"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7.1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60307"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6.0</w:t>
                  </w:r>
                </w:p>
              </w:tc>
            </w:tr>
            <w:tr w:rsidR="007A4E86" w:rsidRPr="009D75B7" w14:paraId="30242411" w14:textId="77777777" w:rsidTr="00E87594">
              <w:trPr>
                <w:trHeight w:val="315"/>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C5EC9" w14:textId="77777777" w:rsidR="007A4E86" w:rsidRPr="009D75B7" w:rsidRDefault="007A4E86" w:rsidP="00E87594">
                  <w:pPr>
                    <w:rPr>
                      <w:rFonts w:ascii="Arial" w:hAnsi="Arial" w:cs="Arial"/>
                      <w:color w:val="000000"/>
                      <w:spacing w:val="0"/>
                      <w:sz w:val="20"/>
                      <w:lang w:val="es-US"/>
                    </w:rPr>
                  </w:pPr>
                  <w:r w:rsidRPr="009D75B7">
                    <w:rPr>
                      <w:rFonts w:ascii="Arial" w:hAnsi="Arial" w:cs="Arial"/>
                      <w:color w:val="000000"/>
                      <w:spacing w:val="0"/>
                      <w:sz w:val="20"/>
                      <w:lang w:val="es-US"/>
                    </w:rPr>
                    <w:t>Costo MUS$</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CE936"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B8C31"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E20E6"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0DD03"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BA48A" w14:textId="77777777" w:rsidR="007A4E86" w:rsidRPr="009D75B7" w:rsidRDefault="007A4E86" w:rsidP="00E87594">
                  <w:pPr>
                    <w:jc w:val="right"/>
                    <w:rPr>
                      <w:rFonts w:ascii="Arial" w:hAnsi="Arial" w:cs="Arial"/>
                      <w:color w:val="000000"/>
                      <w:spacing w:val="0"/>
                      <w:sz w:val="20"/>
                      <w:lang w:val="en-US"/>
                    </w:rPr>
                  </w:pPr>
                  <w:r w:rsidRPr="009D75B7">
                    <w:rPr>
                      <w:rFonts w:ascii="Arial" w:hAnsi="Arial" w:cs="Arial"/>
                      <w:color w:val="000000"/>
                      <w:spacing w:val="0"/>
                      <w:sz w:val="20"/>
                      <w:lang w:val="en-US"/>
                    </w:rPr>
                    <w:t>2.0</w:t>
                  </w:r>
                </w:p>
              </w:tc>
            </w:tr>
            <w:tr w:rsidR="007A4E86" w:rsidRPr="009D75B7" w14:paraId="1B292571" w14:textId="77777777" w:rsidTr="00E87594">
              <w:trPr>
                <w:trHeight w:val="315"/>
              </w:trPr>
              <w:tc>
                <w:tcPr>
                  <w:tcW w:w="4077" w:type="dxa"/>
                  <w:tcBorders>
                    <w:top w:val="single" w:sz="4" w:space="0" w:color="auto"/>
                  </w:tcBorders>
                  <w:shd w:val="clear" w:color="auto" w:fill="auto"/>
                  <w:noWrap/>
                  <w:vAlign w:val="bottom"/>
                </w:tcPr>
                <w:p w14:paraId="75886329" w14:textId="77777777" w:rsidR="007A4E86" w:rsidRPr="009D75B7" w:rsidRDefault="007A4E86" w:rsidP="00E87594">
                  <w:pPr>
                    <w:jc w:val="right"/>
                    <w:rPr>
                      <w:rFonts w:ascii="Arial" w:hAnsi="Arial" w:cs="Arial"/>
                      <w:color w:val="000000"/>
                      <w:spacing w:val="0"/>
                      <w:sz w:val="20"/>
                      <w:lang w:val="es-US"/>
                    </w:rPr>
                  </w:pPr>
                  <w:bookmarkStart w:id="23" w:name="_Hlk510991720"/>
                  <w:r w:rsidRPr="00E72BAD">
                    <w:rPr>
                      <w:rFonts w:ascii="Arial" w:hAnsi="Arial" w:cs="Arial"/>
                      <w:color w:val="000000"/>
                      <w:spacing w:val="0"/>
                      <w:sz w:val="20"/>
                      <w:lang w:val="es-US"/>
                    </w:rPr>
                    <w:t>VPN Beneficios MUS$</w:t>
                  </w:r>
                </w:p>
              </w:tc>
              <w:tc>
                <w:tcPr>
                  <w:tcW w:w="4385" w:type="dxa"/>
                  <w:gridSpan w:val="5"/>
                  <w:tcBorders>
                    <w:top w:val="single" w:sz="4" w:space="0" w:color="auto"/>
                  </w:tcBorders>
                  <w:shd w:val="clear" w:color="auto" w:fill="auto"/>
                  <w:noWrap/>
                  <w:vAlign w:val="bottom"/>
                </w:tcPr>
                <w:p w14:paraId="0C510493" w14:textId="77777777" w:rsidR="007A4E86" w:rsidRPr="009D75B7" w:rsidRDefault="007A4E86" w:rsidP="00E87594">
                  <w:pPr>
                    <w:rPr>
                      <w:rFonts w:ascii="Arial" w:hAnsi="Arial" w:cs="Arial"/>
                      <w:color w:val="000000"/>
                      <w:spacing w:val="0"/>
                      <w:sz w:val="20"/>
                      <w:lang w:val="en-US"/>
                    </w:rPr>
                  </w:pPr>
                  <w:r>
                    <w:rPr>
                      <w:rFonts w:ascii="Arial" w:hAnsi="Arial" w:cs="Arial"/>
                      <w:color w:val="000000"/>
                      <w:spacing w:val="0"/>
                      <w:sz w:val="20"/>
                      <w:lang w:val="en-US"/>
                    </w:rPr>
                    <w:t>93,6</w:t>
                  </w:r>
                </w:p>
              </w:tc>
            </w:tr>
            <w:tr w:rsidR="007A4E86" w:rsidRPr="009D75B7" w14:paraId="1A7E7473" w14:textId="77777777" w:rsidTr="00E87594">
              <w:trPr>
                <w:trHeight w:val="315"/>
              </w:trPr>
              <w:tc>
                <w:tcPr>
                  <w:tcW w:w="4077" w:type="dxa"/>
                  <w:shd w:val="clear" w:color="auto" w:fill="auto"/>
                  <w:noWrap/>
                  <w:vAlign w:val="bottom"/>
                </w:tcPr>
                <w:p w14:paraId="148E0FB5" w14:textId="77777777" w:rsidR="007A4E86" w:rsidRPr="009D75B7" w:rsidRDefault="007A4E86" w:rsidP="00E87594">
                  <w:pPr>
                    <w:jc w:val="right"/>
                    <w:rPr>
                      <w:rFonts w:ascii="Arial" w:hAnsi="Arial" w:cs="Arial"/>
                      <w:color w:val="000000"/>
                      <w:spacing w:val="0"/>
                      <w:sz w:val="20"/>
                      <w:lang w:val="es-US"/>
                    </w:rPr>
                  </w:pPr>
                  <w:r w:rsidRPr="00E72BAD">
                    <w:rPr>
                      <w:rFonts w:ascii="Arial" w:hAnsi="Arial" w:cs="Arial"/>
                      <w:color w:val="000000"/>
                      <w:spacing w:val="0"/>
                      <w:sz w:val="20"/>
                      <w:lang w:val="es-US"/>
                    </w:rPr>
                    <w:t>VPN Beneficios 2% Adicional MUS$</w:t>
                  </w:r>
                </w:p>
              </w:tc>
              <w:tc>
                <w:tcPr>
                  <w:tcW w:w="4385" w:type="dxa"/>
                  <w:gridSpan w:val="5"/>
                  <w:shd w:val="clear" w:color="auto" w:fill="auto"/>
                  <w:noWrap/>
                  <w:vAlign w:val="bottom"/>
                </w:tcPr>
                <w:p w14:paraId="28FD5A50" w14:textId="77777777" w:rsidR="007A4E86" w:rsidRPr="009D75B7" w:rsidRDefault="007A4E86" w:rsidP="00E87594">
                  <w:pPr>
                    <w:rPr>
                      <w:rFonts w:ascii="Arial" w:hAnsi="Arial" w:cs="Arial"/>
                      <w:color w:val="000000"/>
                      <w:spacing w:val="0"/>
                      <w:sz w:val="20"/>
                      <w:lang w:val="en-US"/>
                    </w:rPr>
                  </w:pPr>
                  <w:r>
                    <w:rPr>
                      <w:rFonts w:ascii="Arial" w:hAnsi="Arial" w:cs="Arial"/>
                      <w:color w:val="000000"/>
                      <w:spacing w:val="0"/>
                      <w:sz w:val="20"/>
                      <w:lang w:val="en-US"/>
                    </w:rPr>
                    <w:t>29,6</w:t>
                  </w:r>
                </w:p>
              </w:tc>
            </w:tr>
            <w:tr w:rsidR="007A4E86" w:rsidRPr="009D75B7" w14:paraId="5B9DD8C2" w14:textId="77777777" w:rsidTr="00E87594">
              <w:trPr>
                <w:trHeight w:val="315"/>
              </w:trPr>
              <w:tc>
                <w:tcPr>
                  <w:tcW w:w="4077" w:type="dxa"/>
                  <w:shd w:val="clear" w:color="auto" w:fill="auto"/>
                  <w:noWrap/>
                  <w:vAlign w:val="bottom"/>
                </w:tcPr>
                <w:p w14:paraId="00461AE6" w14:textId="77777777" w:rsidR="007A4E86" w:rsidRPr="009D75B7" w:rsidRDefault="007A4E86" w:rsidP="00E87594">
                  <w:pPr>
                    <w:jc w:val="right"/>
                    <w:rPr>
                      <w:rFonts w:ascii="Arial" w:hAnsi="Arial" w:cs="Arial"/>
                      <w:color w:val="000000"/>
                      <w:spacing w:val="0"/>
                      <w:sz w:val="20"/>
                      <w:lang w:val="es-US"/>
                    </w:rPr>
                  </w:pPr>
                  <w:r w:rsidRPr="00E72BAD">
                    <w:rPr>
                      <w:rFonts w:ascii="Arial" w:hAnsi="Arial" w:cs="Arial"/>
                      <w:color w:val="000000"/>
                      <w:spacing w:val="0"/>
                      <w:sz w:val="20"/>
                      <w:lang w:val="es-US"/>
                    </w:rPr>
                    <w:t>VPN Costos 2% adicional MUS$</w:t>
                  </w:r>
                </w:p>
              </w:tc>
              <w:tc>
                <w:tcPr>
                  <w:tcW w:w="4385" w:type="dxa"/>
                  <w:gridSpan w:val="5"/>
                  <w:shd w:val="clear" w:color="auto" w:fill="auto"/>
                  <w:noWrap/>
                  <w:vAlign w:val="bottom"/>
                </w:tcPr>
                <w:p w14:paraId="1C82A919" w14:textId="77777777" w:rsidR="007A4E86" w:rsidRPr="009D75B7" w:rsidRDefault="007A4E86" w:rsidP="00E87594">
                  <w:pPr>
                    <w:rPr>
                      <w:rFonts w:ascii="Arial" w:hAnsi="Arial" w:cs="Arial"/>
                      <w:color w:val="000000"/>
                      <w:spacing w:val="0"/>
                      <w:sz w:val="20"/>
                      <w:lang w:val="en-US"/>
                    </w:rPr>
                  </w:pPr>
                  <w:r>
                    <w:rPr>
                      <w:rFonts w:ascii="Arial" w:hAnsi="Arial" w:cs="Arial"/>
                      <w:color w:val="000000"/>
                      <w:spacing w:val="0"/>
                      <w:sz w:val="20"/>
                      <w:lang w:val="en-US"/>
                    </w:rPr>
                    <w:t>7,2</w:t>
                  </w:r>
                </w:p>
              </w:tc>
            </w:tr>
            <w:tr w:rsidR="007A4E86" w:rsidRPr="009D75B7" w14:paraId="391B97A5" w14:textId="77777777" w:rsidTr="00E87594">
              <w:trPr>
                <w:trHeight w:val="315"/>
              </w:trPr>
              <w:tc>
                <w:tcPr>
                  <w:tcW w:w="4077" w:type="dxa"/>
                  <w:shd w:val="clear" w:color="auto" w:fill="auto"/>
                  <w:noWrap/>
                  <w:vAlign w:val="bottom"/>
                </w:tcPr>
                <w:p w14:paraId="519166F0" w14:textId="77777777" w:rsidR="007A4E86" w:rsidRPr="009D75B7" w:rsidRDefault="007A4E86" w:rsidP="00E87594">
                  <w:pPr>
                    <w:jc w:val="right"/>
                    <w:rPr>
                      <w:rFonts w:ascii="Arial" w:hAnsi="Arial" w:cs="Arial"/>
                      <w:color w:val="000000"/>
                      <w:spacing w:val="0"/>
                      <w:sz w:val="20"/>
                      <w:lang w:val="es-US"/>
                    </w:rPr>
                  </w:pPr>
                  <w:r w:rsidRPr="00E72BAD">
                    <w:rPr>
                      <w:rFonts w:ascii="Arial" w:hAnsi="Arial" w:cs="Arial"/>
                      <w:color w:val="000000"/>
                      <w:spacing w:val="0"/>
                      <w:sz w:val="20"/>
                      <w:lang w:val="es-US"/>
                    </w:rPr>
                    <w:t>Relación B/C</w:t>
                  </w:r>
                </w:p>
              </w:tc>
              <w:tc>
                <w:tcPr>
                  <w:tcW w:w="4385" w:type="dxa"/>
                  <w:gridSpan w:val="5"/>
                  <w:shd w:val="clear" w:color="auto" w:fill="auto"/>
                  <w:noWrap/>
                  <w:vAlign w:val="bottom"/>
                </w:tcPr>
                <w:p w14:paraId="5226E492" w14:textId="77777777" w:rsidR="007A4E86" w:rsidRPr="009D75B7" w:rsidRDefault="007A4E86" w:rsidP="00E87594">
                  <w:pPr>
                    <w:rPr>
                      <w:rFonts w:ascii="Arial" w:hAnsi="Arial" w:cs="Arial"/>
                      <w:color w:val="000000"/>
                      <w:spacing w:val="0"/>
                      <w:sz w:val="20"/>
                      <w:lang w:val="en-US"/>
                    </w:rPr>
                  </w:pPr>
                  <w:r>
                    <w:rPr>
                      <w:rFonts w:ascii="Arial" w:hAnsi="Arial" w:cs="Arial"/>
                      <w:color w:val="000000"/>
                      <w:spacing w:val="0"/>
                      <w:sz w:val="20"/>
                      <w:lang w:val="en-US"/>
                    </w:rPr>
                    <w:t>4,1</w:t>
                  </w:r>
                </w:p>
              </w:tc>
            </w:tr>
            <w:bookmarkEnd w:id="23"/>
          </w:tbl>
          <w:p w14:paraId="72957047" w14:textId="77777777" w:rsidR="007A4E86" w:rsidRPr="009D75B7" w:rsidRDefault="007A4E86" w:rsidP="00E87594">
            <w:pPr>
              <w:pStyle w:val="ListParagraph"/>
              <w:spacing w:before="120"/>
              <w:ind w:left="-180"/>
              <w:jc w:val="center"/>
              <w:rPr>
                <w:rFonts w:ascii="Arial" w:hAnsi="Arial" w:cs="Arial"/>
                <w:b/>
                <w:sz w:val="20"/>
                <w:lang w:val="es-CO"/>
              </w:rPr>
            </w:pPr>
          </w:p>
        </w:tc>
      </w:tr>
    </w:tbl>
    <w:p w14:paraId="4CAA75DE" w14:textId="21118264" w:rsidR="007A4E86" w:rsidRDefault="007A4E86" w:rsidP="007A4E86">
      <w:pPr>
        <w:pStyle w:val="ListParagraph"/>
        <w:numPr>
          <w:ilvl w:val="1"/>
          <w:numId w:val="7"/>
        </w:numPr>
        <w:spacing w:before="120" w:after="120"/>
        <w:ind w:left="720" w:right="-144" w:hanging="720"/>
        <w:jc w:val="both"/>
        <w:rPr>
          <w:rFonts w:ascii="Arial" w:hAnsi="Arial" w:cs="Arial"/>
          <w:sz w:val="22"/>
          <w:szCs w:val="22"/>
          <w:lang w:val="es-CO"/>
        </w:rPr>
      </w:pPr>
      <w:r w:rsidRPr="00FC2A69">
        <w:rPr>
          <w:rFonts w:ascii="Arial" w:hAnsi="Arial" w:cs="Arial"/>
          <w:sz w:val="22"/>
          <w:szCs w:val="22"/>
          <w:u w:val="single"/>
          <w:lang w:val="es-ES"/>
        </w:rPr>
        <w:t>Análisis de Sensibilidad</w:t>
      </w:r>
      <w:r w:rsidRPr="00FC2A69">
        <w:rPr>
          <w:rFonts w:ascii="Arial" w:hAnsi="Arial" w:cs="Arial"/>
          <w:sz w:val="22"/>
          <w:szCs w:val="22"/>
          <w:lang w:val="es-ES"/>
        </w:rPr>
        <w:t xml:space="preserve">.  </w:t>
      </w:r>
      <w:r w:rsidRPr="00FC2A69">
        <w:rPr>
          <w:rFonts w:ascii="Arial" w:hAnsi="Arial" w:cs="Arial"/>
          <w:sz w:val="22"/>
          <w:szCs w:val="22"/>
          <w:lang w:val="es-CO"/>
        </w:rPr>
        <w:t xml:space="preserve">Se revisan la sensibilidad de los resultados asumiendo que la meta de cobranza no se logra, llegando solo a </w:t>
      </w:r>
      <w:r>
        <w:rPr>
          <w:rFonts w:ascii="Arial" w:hAnsi="Arial" w:cs="Arial"/>
          <w:sz w:val="22"/>
          <w:szCs w:val="22"/>
          <w:lang w:val="es-CO"/>
        </w:rPr>
        <w:t>96</w:t>
      </w:r>
      <w:r w:rsidRPr="00FC2A69">
        <w:rPr>
          <w:rFonts w:ascii="Arial" w:hAnsi="Arial" w:cs="Arial"/>
          <w:sz w:val="22"/>
          <w:szCs w:val="22"/>
          <w:lang w:val="es-CO"/>
        </w:rPr>
        <w:t xml:space="preserve">%.  </w:t>
      </w:r>
      <w:r>
        <w:rPr>
          <w:rFonts w:ascii="Arial" w:hAnsi="Arial" w:cs="Arial"/>
          <w:sz w:val="22"/>
          <w:szCs w:val="22"/>
          <w:lang w:val="es-CO"/>
        </w:rPr>
        <w:t xml:space="preserve">En este caso el beneficio financiero se reduce significativamente, al tiempo que el potencial beneficio de incrementar el nivel de cobranza en 2%, representa una contribución marginal mayor. </w:t>
      </w:r>
      <w:r w:rsidRPr="00FC2A69">
        <w:rPr>
          <w:rFonts w:ascii="Arial" w:hAnsi="Arial" w:cs="Arial"/>
          <w:sz w:val="22"/>
          <w:szCs w:val="22"/>
          <w:lang w:val="es-CO"/>
        </w:rPr>
        <w:t>Se obtiene el siguiente resultado</w:t>
      </w:r>
      <w:r>
        <w:rPr>
          <w:rFonts w:ascii="Arial" w:hAnsi="Arial" w:cs="Arial"/>
          <w:sz w:val="22"/>
          <w:szCs w:val="22"/>
          <w:lang w:val="es-CO"/>
        </w:rPr>
        <w:t>:</w:t>
      </w:r>
    </w:p>
    <w:p w14:paraId="37C40215" w14:textId="77777777" w:rsidR="007A4E86" w:rsidRDefault="007A4E86" w:rsidP="007A4E86">
      <w:pPr>
        <w:pStyle w:val="ListParagraph"/>
        <w:spacing w:before="120" w:after="120"/>
        <w:ind w:right="-144"/>
        <w:jc w:val="both"/>
        <w:rPr>
          <w:rFonts w:ascii="Arial" w:hAnsi="Arial" w:cs="Arial"/>
          <w:sz w:val="22"/>
          <w:szCs w:val="22"/>
          <w:lang w:val="es-CO"/>
        </w:rPr>
      </w:pPr>
    </w:p>
    <w:tbl>
      <w:tblPr>
        <w:tblW w:w="8462" w:type="dxa"/>
        <w:tblInd w:w="900" w:type="dxa"/>
        <w:tblLook w:val="04A0" w:firstRow="1" w:lastRow="0" w:firstColumn="1" w:lastColumn="0" w:noHBand="0" w:noVBand="1"/>
      </w:tblPr>
      <w:tblGrid>
        <w:gridCol w:w="4077"/>
        <w:gridCol w:w="4385"/>
      </w:tblGrid>
      <w:tr w:rsidR="007A4E86" w:rsidRPr="00FC2A69" w14:paraId="71943EB1" w14:textId="77777777" w:rsidTr="00E87594">
        <w:trPr>
          <w:trHeight w:val="315"/>
        </w:trPr>
        <w:tc>
          <w:tcPr>
            <w:tcW w:w="4077" w:type="dxa"/>
            <w:shd w:val="clear" w:color="auto" w:fill="auto"/>
            <w:noWrap/>
            <w:vAlign w:val="bottom"/>
          </w:tcPr>
          <w:p w14:paraId="4278A94E" w14:textId="77777777" w:rsidR="007A4E86" w:rsidRPr="00FC2A69" w:rsidRDefault="007A4E86" w:rsidP="00E87594">
            <w:pPr>
              <w:ind w:left="525"/>
              <w:jc w:val="right"/>
              <w:rPr>
                <w:rFonts w:ascii="Arial" w:hAnsi="Arial" w:cs="Arial"/>
                <w:color w:val="000000"/>
                <w:spacing w:val="0"/>
                <w:sz w:val="20"/>
                <w:lang w:val="es-US"/>
              </w:rPr>
            </w:pPr>
            <w:r w:rsidRPr="00FC2A69">
              <w:rPr>
                <w:rFonts w:ascii="Arial" w:hAnsi="Arial" w:cs="Arial"/>
                <w:color w:val="000000"/>
                <w:spacing w:val="0"/>
                <w:sz w:val="20"/>
                <w:lang w:val="es-US"/>
              </w:rPr>
              <w:t>VPN Beneficios MUS$</w:t>
            </w:r>
          </w:p>
        </w:tc>
        <w:tc>
          <w:tcPr>
            <w:tcW w:w="4385" w:type="dxa"/>
            <w:shd w:val="clear" w:color="auto" w:fill="auto"/>
            <w:noWrap/>
            <w:vAlign w:val="bottom"/>
          </w:tcPr>
          <w:p w14:paraId="2A03DF24" w14:textId="77777777" w:rsidR="007A4E86" w:rsidRPr="00FC2A69" w:rsidRDefault="007A4E86" w:rsidP="00E87594">
            <w:pPr>
              <w:rPr>
                <w:rFonts w:ascii="Arial" w:hAnsi="Arial" w:cs="Arial"/>
                <w:color w:val="000000"/>
                <w:spacing w:val="0"/>
                <w:sz w:val="20"/>
                <w:lang w:val="en-US"/>
              </w:rPr>
            </w:pPr>
            <w:r>
              <w:rPr>
                <w:rFonts w:ascii="Arial" w:hAnsi="Arial" w:cs="Arial"/>
                <w:color w:val="000000"/>
                <w:spacing w:val="0"/>
                <w:sz w:val="20"/>
                <w:lang w:val="en-US"/>
              </w:rPr>
              <w:t>38,7</w:t>
            </w:r>
          </w:p>
        </w:tc>
      </w:tr>
      <w:tr w:rsidR="007A4E86" w:rsidRPr="00FC2A69" w14:paraId="2C748458" w14:textId="77777777" w:rsidTr="00E87594">
        <w:trPr>
          <w:trHeight w:val="315"/>
        </w:trPr>
        <w:tc>
          <w:tcPr>
            <w:tcW w:w="4077" w:type="dxa"/>
            <w:shd w:val="clear" w:color="auto" w:fill="auto"/>
            <w:noWrap/>
            <w:vAlign w:val="bottom"/>
          </w:tcPr>
          <w:p w14:paraId="5F360B9A" w14:textId="77777777" w:rsidR="007A4E86" w:rsidRPr="00FC2A69" w:rsidRDefault="007A4E86" w:rsidP="00E87594">
            <w:pPr>
              <w:ind w:left="525"/>
              <w:jc w:val="right"/>
              <w:rPr>
                <w:rFonts w:ascii="Arial" w:hAnsi="Arial" w:cs="Arial"/>
                <w:color w:val="000000"/>
                <w:spacing w:val="0"/>
                <w:sz w:val="20"/>
                <w:lang w:val="es-US"/>
              </w:rPr>
            </w:pPr>
            <w:r w:rsidRPr="00FC2A69">
              <w:rPr>
                <w:rFonts w:ascii="Arial" w:hAnsi="Arial" w:cs="Arial"/>
                <w:color w:val="000000"/>
                <w:spacing w:val="0"/>
                <w:sz w:val="20"/>
                <w:lang w:val="es-US"/>
              </w:rPr>
              <w:t>VPN Beneficios 2% Adicional MUS$</w:t>
            </w:r>
          </w:p>
        </w:tc>
        <w:tc>
          <w:tcPr>
            <w:tcW w:w="4385" w:type="dxa"/>
            <w:shd w:val="clear" w:color="auto" w:fill="auto"/>
            <w:noWrap/>
            <w:vAlign w:val="bottom"/>
          </w:tcPr>
          <w:p w14:paraId="3768042A" w14:textId="77777777" w:rsidR="007A4E86" w:rsidRPr="00FC2A69" w:rsidRDefault="007A4E86" w:rsidP="00E87594">
            <w:pPr>
              <w:rPr>
                <w:rFonts w:ascii="Arial" w:hAnsi="Arial" w:cs="Arial"/>
                <w:color w:val="000000"/>
                <w:spacing w:val="0"/>
                <w:sz w:val="20"/>
                <w:lang w:val="en-US"/>
              </w:rPr>
            </w:pPr>
            <w:r>
              <w:rPr>
                <w:rFonts w:ascii="Arial" w:hAnsi="Arial" w:cs="Arial"/>
                <w:color w:val="000000"/>
                <w:spacing w:val="0"/>
                <w:sz w:val="20"/>
                <w:lang w:val="en-US"/>
              </w:rPr>
              <w:t>84</w:t>
            </w:r>
            <w:r w:rsidRPr="00FC2A69">
              <w:rPr>
                <w:rFonts w:ascii="Arial" w:hAnsi="Arial" w:cs="Arial"/>
                <w:color w:val="000000"/>
                <w:spacing w:val="0"/>
                <w:sz w:val="20"/>
                <w:lang w:val="en-US"/>
              </w:rPr>
              <w:t>,</w:t>
            </w:r>
            <w:r>
              <w:rPr>
                <w:rFonts w:ascii="Arial" w:hAnsi="Arial" w:cs="Arial"/>
                <w:color w:val="000000"/>
                <w:spacing w:val="0"/>
                <w:sz w:val="20"/>
                <w:lang w:val="en-US"/>
              </w:rPr>
              <w:t>5</w:t>
            </w:r>
          </w:p>
        </w:tc>
      </w:tr>
      <w:tr w:rsidR="007A4E86" w:rsidRPr="00FC2A69" w14:paraId="1617F8ED" w14:textId="77777777" w:rsidTr="00E87594">
        <w:trPr>
          <w:trHeight w:val="315"/>
        </w:trPr>
        <w:tc>
          <w:tcPr>
            <w:tcW w:w="4077" w:type="dxa"/>
            <w:shd w:val="clear" w:color="auto" w:fill="auto"/>
            <w:noWrap/>
            <w:vAlign w:val="bottom"/>
          </w:tcPr>
          <w:p w14:paraId="0D05E995" w14:textId="77777777" w:rsidR="007A4E86" w:rsidRPr="00FC2A69" w:rsidRDefault="007A4E86" w:rsidP="00E87594">
            <w:pPr>
              <w:ind w:left="525"/>
              <w:jc w:val="right"/>
              <w:rPr>
                <w:rFonts w:ascii="Arial" w:hAnsi="Arial" w:cs="Arial"/>
                <w:color w:val="000000"/>
                <w:spacing w:val="0"/>
                <w:sz w:val="20"/>
                <w:lang w:val="es-US"/>
              </w:rPr>
            </w:pPr>
            <w:r w:rsidRPr="00FC2A69">
              <w:rPr>
                <w:rFonts w:ascii="Arial" w:hAnsi="Arial" w:cs="Arial"/>
                <w:color w:val="000000"/>
                <w:spacing w:val="0"/>
                <w:sz w:val="20"/>
                <w:lang w:val="es-US"/>
              </w:rPr>
              <w:t>VPN Costos 2% adicional MUS$</w:t>
            </w:r>
          </w:p>
        </w:tc>
        <w:tc>
          <w:tcPr>
            <w:tcW w:w="4385" w:type="dxa"/>
            <w:shd w:val="clear" w:color="auto" w:fill="auto"/>
            <w:noWrap/>
            <w:vAlign w:val="bottom"/>
          </w:tcPr>
          <w:p w14:paraId="36DEA2CA" w14:textId="77777777" w:rsidR="007A4E86" w:rsidRPr="00FC2A69" w:rsidRDefault="007A4E86" w:rsidP="00E87594">
            <w:pPr>
              <w:rPr>
                <w:rFonts w:ascii="Arial" w:hAnsi="Arial" w:cs="Arial"/>
                <w:color w:val="000000"/>
                <w:spacing w:val="0"/>
                <w:sz w:val="20"/>
                <w:lang w:val="en-US"/>
              </w:rPr>
            </w:pPr>
            <w:r w:rsidRPr="00FC2A69">
              <w:rPr>
                <w:rFonts w:ascii="Arial" w:hAnsi="Arial" w:cs="Arial"/>
                <w:color w:val="000000"/>
                <w:spacing w:val="0"/>
                <w:sz w:val="20"/>
                <w:lang w:val="en-US"/>
              </w:rPr>
              <w:t>7,2</w:t>
            </w:r>
          </w:p>
        </w:tc>
      </w:tr>
      <w:tr w:rsidR="007A4E86" w:rsidRPr="00FC2A69" w14:paraId="082360E8" w14:textId="77777777" w:rsidTr="00E87594">
        <w:trPr>
          <w:trHeight w:val="315"/>
        </w:trPr>
        <w:tc>
          <w:tcPr>
            <w:tcW w:w="4077" w:type="dxa"/>
            <w:shd w:val="clear" w:color="auto" w:fill="auto"/>
            <w:noWrap/>
            <w:vAlign w:val="bottom"/>
          </w:tcPr>
          <w:p w14:paraId="30B551E6" w14:textId="77777777" w:rsidR="007A4E86" w:rsidRPr="00FC2A69" w:rsidRDefault="007A4E86" w:rsidP="00E87594">
            <w:pPr>
              <w:ind w:left="525"/>
              <w:jc w:val="right"/>
              <w:rPr>
                <w:rFonts w:ascii="Arial" w:hAnsi="Arial" w:cs="Arial"/>
                <w:color w:val="000000"/>
                <w:spacing w:val="0"/>
                <w:sz w:val="20"/>
                <w:lang w:val="es-US"/>
              </w:rPr>
            </w:pPr>
            <w:r w:rsidRPr="00FC2A69">
              <w:rPr>
                <w:rFonts w:ascii="Arial" w:hAnsi="Arial" w:cs="Arial"/>
                <w:color w:val="000000"/>
                <w:spacing w:val="0"/>
                <w:sz w:val="20"/>
                <w:lang w:val="es-US"/>
              </w:rPr>
              <w:t>Relación B/C</w:t>
            </w:r>
          </w:p>
        </w:tc>
        <w:tc>
          <w:tcPr>
            <w:tcW w:w="4385" w:type="dxa"/>
            <w:shd w:val="clear" w:color="auto" w:fill="auto"/>
            <w:noWrap/>
            <w:vAlign w:val="bottom"/>
          </w:tcPr>
          <w:p w14:paraId="3713A811" w14:textId="77777777" w:rsidR="007A4E86" w:rsidRPr="00FC2A69" w:rsidRDefault="007A4E86" w:rsidP="00E87594">
            <w:pPr>
              <w:rPr>
                <w:rFonts w:ascii="Arial" w:hAnsi="Arial" w:cs="Arial"/>
                <w:color w:val="000000"/>
                <w:spacing w:val="0"/>
                <w:sz w:val="20"/>
                <w:lang w:val="en-US"/>
              </w:rPr>
            </w:pPr>
            <w:r w:rsidRPr="00FC2A69">
              <w:rPr>
                <w:rFonts w:ascii="Arial" w:hAnsi="Arial" w:cs="Arial"/>
                <w:color w:val="000000"/>
                <w:spacing w:val="0"/>
                <w:sz w:val="20"/>
                <w:lang w:val="en-US"/>
              </w:rPr>
              <w:t>4,1</w:t>
            </w:r>
          </w:p>
        </w:tc>
      </w:tr>
    </w:tbl>
    <w:p w14:paraId="5364A3F9" w14:textId="0802F49E" w:rsidR="007A4E86" w:rsidRPr="007A4E86" w:rsidRDefault="00EE04AE" w:rsidP="007A4E86">
      <w:pPr>
        <w:pStyle w:val="Subtitle"/>
        <w:numPr>
          <w:ilvl w:val="0"/>
          <w:numId w:val="15"/>
        </w:numPr>
        <w:tabs>
          <w:tab w:val="left" w:pos="1260"/>
        </w:tabs>
        <w:spacing w:before="240" w:after="0"/>
        <w:jc w:val="left"/>
        <w:rPr>
          <w:rFonts w:ascii="Arial" w:hAnsi="Arial" w:cs="Arial"/>
          <w:sz w:val="22"/>
          <w:szCs w:val="22"/>
          <w:lang w:val="es-ES"/>
        </w:rPr>
      </w:pPr>
      <w:bookmarkStart w:id="24" w:name="_Hlk511824743"/>
      <w:bookmarkStart w:id="25" w:name="_Toc511826642"/>
      <w:r w:rsidRPr="00EF01D9">
        <w:rPr>
          <w:rFonts w:ascii="Arial" w:hAnsi="Arial" w:cs="Arial"/>
          <w:b/>
          <w:sz w:val="22"/>
          <w:szCs w:val="22"/>
          <w:lang w:val="es-ES"/>
        </w:rPr>
        <w:t xml:space="preserve">Evaluación de </w:t>
      </w:r>
      <w:r w:rsidR="00F71498" w:rsidRPr="00EF01D9">
        <w:rPr>
          <w:rFonts w:ascii="Arial" w:hAnsi="Arial" w:cs="Arial"/>
          <w:b/>
          <w:sz w:val="22"/>
          <w:szCs w:val="22"/>
          <w:lang w:val="es-ES"/>
        </w:rPr>
        <w:t xml:space="preserve">indicadores de </w:t>
      </w:r>
      <w:r w:rsidRPr="00EF01D9">
        <w:rPr>
          <w:rFonts w:ascii="Arial" w:hAnsi="Arial" w:cs="Arial"/>
          <w:b/>
          <w:sz w:val="22"/>
          <w:szCs w:val="22"/>
          <w:lang w:val="es-ES"/>
        </w:rPr>
        <w:t>resultado</w:t>
      </w:r>
      <w:r w:rsidR="00F71498" w:rsidRPr="00EF01D9">
        <w:rPr>
          <w:rFonts w:ascii="Arial" w:hAnsi="Arial" w:cs="Arial"/>
          <w:b/>
          <w:sz w:val="22"/>
          <w:szCs w:val="22"/>
          <w:lang w:val="es-ES"/>
        </w:rPr>
        <w:t>s e impact</w:t>
      </w:r>
      <w:bookmarkEnd w:id="24"/>
      <w:r w:rsidR="005A6987">
        <w:rPr>
          <w:rFonts w:ascii="Arial" w:hAnsi="Arial" w:cs="Arial"/>
          <w:b/>
          <w:sz w:val="22"/>
          <w:szCs w:val="22"/>
          <w:lang w:val="es-ES"/>
        </w:rPr>
        <w:t>o</w:t>
      </w:r>
      <w:bookmarkEnd w:id="25"/>
    </w:p>
    <w:p w14:paraId="06AEE9FE" w14:textId="6017E0BE" w:rsidR="0055130E" w:rsidRDefault="00544DAF" w:rsidP="007A4E86">
      <w:pPr>
        <w:pStyle w:val="ListParagraph"/>
        <w:numPr>
          <w:ilvl w:val="1"/>
          <w:numId w:val="7"/>
        </w:numPr>
        <w:spacing w:before="120" w:after="120"/>
        <w:ind w:left="720" w:right="-144" w:hanging="720"/>
        <w:jc w:val="both"/>
        <w:rPr>
          <w:rFonts w:ascii="Arial" w:hAnsi="Arial" w:cs="Arial"/>
          <w:sz w:val="22"/>
          <w:szCs w:val="22"/>
          <w:lang w:val="es-ES"/>
        </w:rPr>
      </w:pPr>
      <w:r>
        <w:rPr>
          <w:rFonts w:ascii="Arial" w:hAnsi="Arial" w:cs="Arial"/>
          <w:sz w:val="22"/>
          <w:szCs w:val="22"/>
        </w:rPr>
        <w:t xml:space="preserve">El </w:t>
      </w:r>
      <w:r w:rsidRPr="00E271C1">
        <w:rPr>
          <w:rFonts w:ascii="Arial" w:hAnsi="Arial" w:cs="Arial"/>
          <w:sz w:val="22"/>
          <w:szCs w:val="22"/>
        </w:rPr>
        <w:t>Banco producirá un informe de progreso revisando la evolución del programa, los avances en las reformas y los mecanismos activadores e identificará modificaciones y ajustes que pudiesen requerirse para alcanzar las metas del programa</w:t>
      </w:r>
      <w:r>
        <w:rPr>
          <w:rFonts w:ascii="Arial" w:hAnsi="Arial" w:cs="Arial"/>
          <w:sz w:val="22"/>
          <w:szCs w:val="22"/>
        </w:rPr>
        <w:t xml:space="preserve">. </w:t>
      </w:r>
      <w:r w:rsidR="00EE04AE" w:rsidRPr="00EF01D9">
        <w:rPr>
          <w:rFonts w:ascii="Arial" w:hAnsi="Arial" w:cs="Arial"/>
          <w:sz w:val="22"/>
          <w:szCs w:val="22"/>
          <w:lang w:val="es-ES"/>
        </w:rPr>
        <w:t xml:space="preserve">Se </w:t>
      </w:r>
      <w:r>
        <w:rPr>
          <w:rFonts w:ascii="Arial" w:hAnsi="Arial" w:cs="Arial"/>
          <w:sz w:val="22"/>
          <w:szCs w:val="22"/>
          <w:lang w:val="es-ES"/>
        </w:rPr>
        <w:t>incluirá</w:t>
      </w:r>
      <w:r w:rsidR="00EE04AE" w:rsidRPr="00EF01D9">
        <w:rPr>
          <w:rFonts w:ascii="Arial" w:hAnsi="Arial" w:cs="Arial"/>
          <w:sz w:val="22"/>
          <w:szCs w:val="22"/>
          <w:lang w:val="es-ES"/>
        </w:rPr>
        <w:t xml:space="preserve"> una evaluación</w:t>
      </w:r>
      <w:r w:rsidR="007A4E86">
        <w:rPr>
          <w:rFonts w:ascii="Arial" w:hAnsi="Arial" w:cs="Arial"/>
          <w:sz w:val="22"/>
          <w:szCs w:val="22"/>
          <w:lang w:val="es-ES"/>
        </w:rPr>
        <w:t xml:space="preserve"> </w:t>
      </w:r>
      <w:r w:rsidR="00EE04AE" w:rsidRPr="00EF01D9">
        <w:rPr>
          <w:rFonts w:ascii="Arial" w:hAnsi="Arial" w:cs="Arial"/>
          <w:sz w:val="22"/>
          <w:szCs w:val="22"/>
          <w:lang w:val="es-ES"/>
        </w:rPr>
        <w:t>de los indicadores de resultado e impacto</w:t>
      </w:r>
      <w:r>
        <w:rPr>
          <w:rFonts w:ascii="Arial" w:hAnsi="Arial" w:cs="Arial"/>
          <w:sz w:val="22"/>
          <w:szCs w:val="22"/>
          <w:lang w:val="es-ES"/>
        </w:rPr>
        <w:t>,</w:t>
      </w:r>
      <w:r w:rsidR="00EE04AE" w:rsidRPr="00EF01D9">
        <w:rPr>
          <w:rFonts w:ascii="Arial" w:hAnsi="Arial" w:cs="Arial"/>
          <w:sz w:val="22"/>
          <w:szCs w:val="22"/>
          <w:lang w:val="es-ES"/>
        </w:rPr>
        <w:t xml:space="preserve"> comparado </w:t>
      </w:r>
      <w:r w:rsidR="007A4E86">
        <w:rPr>
          <w:rFonts w:ascii="Arial" w:hAnsi="Arial" w:cs="Arial"/>
          <w:sz w:val="22"/>
          <w:szCs w:val="22"/>
          <w:lang w:val="es-ES"/>
        </w:rPr>
        <w:t xml:space="preserve">y </w:t>
      </w:r>
      <w:r w:rsidR="00EE04AE" w:rsidRPr="00EF01D9">
        <w:rPr>
          <w:rFonts w:ascii="Arial" w:hAnsi="Arial" w:cs="Arial"/>
          <w:sz w:val="22"/>
          <w:szCs w:val="22"/>
          <w:lang w:val="es-ES"/>
        </w:rPr>
        <w:t>los valores obtenidos después de las intervenciones</w:t>
      </w:r>
      <w:r w:rsidR="007A4E86">
        <w:rPr>
          <w:rFonts w:ascii="Arial" w:hAnsi="Arial" w:cs="Arial"/>
          <w:sz w:val="22"/>
          <w:szCs w:val="22"/>
          <w:lang w:val="es-ES"/>
        </w:rPr>
        <w:t>,</w:t>
      </w:r>
      <w:r w:rsidR="00EE04AE" w:rsidRPr="00EF01D9">
        <w:rPr>
          <w:rFonts w:ascii="Arial" w:hAnsi="Arial" w:cs="Arial"/>
          <w:sz w:val="22"/>
          <w:szCs w:val="22"/>
          <w:lang w:val="es-ES"/>
        </w:rPr>
        <w:t xml:space="preserve"> </w:t>
      </w:r>
      <w:r w:rsidR="007A4E86">
        <w:rPr>
          <w:rFonts w:ascii="Arial" w:hAnsi="Arial" w:cs="Arial"/>
          <w:sz w:val="22"/>
          <w:szCs w:val="22"/>
          <w:lang w:val="es-ES"/>
        </w:rPr>
        <w:t>con</w:t>
      </w:r>
      <w:r w:rsidR="00EE04AE" w:rsidRPr="00EF01D9">
        <w:rPr>
          <w:rFonts w:ascii="Arial" w:hAnsi="Arial" w:cs="Arial"/>
          <w:sz w:val="22"/>
          <w:szCs w:val="22"/>
          <w:lang w:val="es-ES"/>
        </w:rPr>
        <w:t xml:space="preserve"> los inicialmente establecidos en la </w:t>
      </w:r>
      <w:r w:rsidR="007A4E86">
        <w:rPr>
          <w:rFonts w:ascii="Arial" w:hAnsi="Arial" w:cs="Arial"/>
          <w:sz w:val="22"/>
          <w:szCs w:val="22"/>
          <w:lang w:val="es-ES"/>
        </w:rPr>
        <w:t>M</w:t>
      </w:r>
      <w:r w:rsidR="00EE04AE" w:rsidRPr="00EF01D9">
        <w:rPr>
          <w:rFonts w:ascii="Arial" w:hAnsi="Arial" w:cs="Arial"/>
          <w:sz w:val="22"/>
          <w:szCs w:val="22"/>
          <w:lang w:val="es-ES"/>
        </w:rPr>
        <w:t xml:space="preserve">atriz de </w:t>
      </w:r>
      <w:r w:rsidR="007A4E86">
        <w:rPr>
          <w:rFonts w:ascii="Arial" w:hAnsi="Arial" w:cs="Arial"/>
          <w:sz w:val="22"/>
          <w:szCs w:val="22"/>
          <w:lang w:val="es-ES"/>
        </w:rPr>
        <w:t>R</w:t>
      </w:r>
      <w:r w:rsidR="00EE04AE" w:rsidRPr="00EF01D9">
        <w:rPr>
          <w:rFonts w:ascii="Arial" w:hAnsi="Arial" w:cs="Arial"/>
          <w:sz w:val="22"/>
          <w:szCs w:val="22"/>
          <w:lang w:val="es-ES"/>
        </w:rPr>
        <w:t>esultado</w:t>
      </w:r>
      <w:r w:rsidR="007A4E86">
        <w:rPr>
          <w:rFonts w:ascii="Arial" w:hAnsi="Arial" w:cs="Arial"/>
          <w:sz w:val="22"/>
          <w:szCs w:val="22"/>
          <w:lang w:val="es-ES"/>
        </w:rPr>
        <w:t>s</w:t>
      </w:r>
      <w:r w:rsidR="00EE04AE" w:rsidRPr="00EF01D9">
        <w:rPr>
          <w:rFonts w:ascii="Arial" w:hAnsi="Arial" w:cs="Arial"/>
          <w:sz w:val="22"/>
          <w:szCs w:val="22"/>
          <w:lang w:val="es-ES"/>
        </w:rPr>
        <w:t>. En el diseño de la</w:t>
      </w:r>
      <w:r w:rsidR="000279A7">
        <w:rPr>
          <w:rFonts w:ascii="Arial" w:hAnsi="Arial" w:cs="Arial"/>
          <w:sz w:val="22"/>
          <w:szCs w:val="22"/>
          <w:lang w:val="es-ES"/>
        </w:rPr>
        <w:t xml:space="preserve"> tercera operación</w:t>
      </w:r>
      <w:r w:rsidR="00EE04AE" w:rsidRPr="00EF01D9">
        <w:rPr>
          <w:rFonts w:ascii="Arial" w:hAnsi="Arial" w:cs="Arial"/>
          <w:sz w:val="22"/>
          <w:szCs w:val="22"/>
          <w:lang w:val="es-ES"/>
        </w:rPr>
        <w:t xml:space="preserve"> se considerará esta evaluación en la definición de </w:t>
      </w:r>
      <w:r w:rsidR="007A4E86">
        <w:rPr>
          <w:rFonts w:ascii="Arial" w:hAnsi="Arial" w:cs="Arial"/>
          <w:sz w:val="22"/>
          <w:szCs w:val="22"/>
          <w:lang w:val="es-ES"/>
        </w:rPr>
        <w:t xml:space="preserve">los indicadores y sus valores </w:t>
      </w:r>
      <w:r w:rsidR="007A4E86" w:rsidRPr="00EF01D9">
        <w:rPr>
          <w:rFonts w:ascii="Arial" w:hAnsi="Arial" w:cs="Arial"/>
          <w:sz w:val="22"/>
          <w:szCs w:val="22"/>
          <w:lang w:val="es-ES"/>
        </w:rPr>
        <w:t>de la matriz de resultados</w:t>
      </w:r>
      <w:r w:rsidR="007A4E86">
        <w:rPr>
          <w:rFonts w:ascii="Arial" w:hAnsi="Arial" w:cs="Arial"/>
          <w:sz w:val="22"/>
          <w:szCs w:val="22"/>
          <w:lang w:val="es-ES"/>
        </w:rPr>
        <w:t xml:space="preserve"> y en </w:t>
      </w:r>
      <w:r w:rsidR="00EE04AE" w:rsidRPr="00EF01D9">
        <w:rPr>
          <w:rFonts w:ascii="Arial" w:hAnsi="Arial" w:cs="Arial"/>
          <w:sz w:val="22"/>
          <w:szCs w:val="22"/>
          <w:lang w:val="es-ES"/>
        </w:rPr>
        <w:t>sus planes de seguimiento y evaluación</w:t>
      </w:r>
      <w:r w:rsidR="007A4E86">
        <w:rPr>
          <w:rFonts w:ascii="Arial" w:hAnsi="Arial" w:cs="Arial"/>
          <w:sz w:val="22"/>
          <w:szCs w:val="22"/>
          <w:lang w:val="es-ES"/>
        </w:rPr>
        <w:t>.</w:t>
      </w:r>
      <w:r>
        <w:rPr>
          <w:rFonts w:ascii="Arial" w:hAnsi="Arial" w:cs="Arial"/>
          <w:sz w:val="22"/>
          <w:szCs w:val="22"/>
          <w:lang w:val="es-ES"/>
        </w:rPr>
        <w:t xml:space="preserve"> </w:t>
      </w:r>
    </w:p>
    <w:p w14:paraId="0F15D136" w14:textId="77777777" w:rsidR="007428BF" w:rsidRPr="000279A7" w:rsidRDefault="007428BF" w:rsidP="007428BF">
      <w:pPr>
        <w:pStyle w:val="ListParagraph"/>
        <w:spacing w:before="120" w:after="120"/>
        <w:ind w:right="-144"/>
        <w:jc w:val="both"/>
        <w:rPr>
          <w:rFonts w:ascii="Arial" w:hAnsi="Arial" w:cs="Arial"/>
          <w:sz w:val="22"/>
          <w:szCs w:val="22"/>
          <w:lang w:val="es-ES"/>
        </w:rPr>
      </w:pPr>
    </w:p>
    <w:p w14:paraId="7F53734F" w14:textId="77777777" w:rsidR="00C82682" w:rsidRPr="00EF01D9" w:rsidRDefault="00C82682" w:rsidP="00D91C47">
      <w:pPr>
        <w:pStyle w:val="Subtitle"/>
        <w:numPr>
          <w:ilvl w:val="0"/>
          <w:numId w:val="15"/>
        </w:numPr>
        <w:ind w:hanging="450"/>
        <w:jc w:val="left"/>
        <w:rPr>
          <w:rFonts w:ascii="Arial" w:hAnsi="Arial" w:cs="Arial"/>
          <w:b/>
          <w:sz w:val="22"/>
          <w:szCs w:val="22"/>
          <w:lang w:val="es-ES"/>
        </w:rPr>
      </w:pPr>
      <w:bookmarkStart w:id="26" w:name="_Toc511826643"/>
      <w:r w:rsidRPr="00EF01D9">
        <w:rPr>
          <w:rFonts w:ascii="Arial" w:hAnsi="Arial" w:cs="Arial"/>
          <w:b/>
          <w:sz w:val="22"/>
          <w:szCs w:val="22"/>
          <w:lang w:val="es-ES"/>
        </w:rPr>
        <w:t>Aspectos técnicos de la metodología seleccionada</w:t>
      </w:r>
      <w:bookmarkEnd w:id="26"/>
    </w:p>
    <w:p w14:paraId="3F7BAD30" w14:textId="646C3D52" w:rsidR="00F0119E" w:rsidRPr="00EF01D9" w:rsidRDefault="00C82682" w:rsidP="00894C65">
      <w:pPr>
        <w:pStyle w:val="ListParagraph"/>
        <w:numPr>
          <w:ilvl w:val="1"/>
          <w:numId w:val="7"/>
        </w:numPr>
        <w:spacing w:before="120" w:after="120"/>
        <w:ind w:left="720" w:right="-144" w:hanging="720"/>
        <w:jc w:val="both"/>
        <w:rPr>
          <w:rFonts w:ascii="Arial" w:hAnsi="Arial" w:cs="Arial"/>
          <w:sz w:val="22"/>
          <w:szCs w:val="22"/>
          <w:lang w:val="es-ES"/>
        </w:rPr>
      </w:pPr>
      <w:r w:rsidRPr="00EF01D9">
        <w:rPr>
          <w:rFonts w:ascii="Arial" w:hAnsi="Arial" w:cs="Arial"/>
          <w:sz w:val="22"/>
          <w:szCs w:val="22"/>
          <w:lang w:val="es-ES"/>
        </w:rPr>
        <w:t xml:space="preserve">La evaluación requerirá la recopilación de la información asociada a los indicadores de resultados e </w:t>
      </w:r>
      <w:r w:rsidRPr="00EF01D9">
        <w:rPr>
          <w:rFonts w:ascii="Arial" w:hAnsi="Arial" w:cs="Arial"/>
          <w:bCs/>
          <w:sz w:val="22"/>
          <w:szCs w:val="22"/>
          <w:lang w:val="es-ES"/>
        </w:rPr>
        <w:t>impacto</w:t>
      </w:r>
      <w:r w:rsidRPr="00EF01D9">
        <w:rPr>
          <w:rFonts w:ascii="Arial" w:hAnsi="Arial" w:cs="Arial"/>
          <w:sz w:val="22"/>
          <w:szCs w:val="22"/>
          <w:lang w:val="es-ES"/>
        </w:rPr>
        <w:t>. Será respon</w:t>
      </w:r>
      <w:r w:rsidR="00F0119E" w:rsidRPr="00EF01D9">
        <w:rPr>
          <w:rFonts w:ascii="Arial" w:hAnsi="Arial" w:cs="Arial"/>
          <w:sz w:val="22"/>
          <w:szCs w:val="22"/>
          <w:lang w:val="es-ES"/>
        </w:rPr>
        <w:t>sabilidad de la</w:t>
      </w:r>
      <w:r w:rsidR="00643550">
        <w:rPr>
          <w:rFonts w:ascii="Arial" w:hAnsi="Arial" w:cs="Arial"/>
          <w:sz w:val="22"/>
          <w:szCs w:val="22"/>
          <w:lang w:val="es-ES"/>
        </w:rPr>
        <w:t xml:space="preserve">s </w:t>
      </w:r>
      <w:proofErr w:type="spellStart"/>
      <w:r w:rsidR="00643550">
        <w:rPr>
          <w:rFonts w:ascii="Arial" w:hAnsi="Arial" w:cs="Arial"/>
          <w:sz w:val="22"/>
          <w:szCs w:val="22"/>
          <w:lang w:val="es-ES"/>
        </w:rPr>
        <w:t>EDEs</w:t>
      </w:r>
      <w:proofErr w:type="spellEnd"/>
      <w:r w:rsidR="00F0119E" w:rsidRPr="00EF01D9">
        <w:rPr>
          <w:rFonts w:ascii="Arial" w:hAnsi="Arial" w:cs="Arial"/>
          <w:sz w:val="22"/>
          <w:szCs w:val="22"/>
          <w:lang w:val="es-ES"/>
        </w:rPr>
        <w:t xml:space="preserve"> y la </w:t>
      </w:r>
      <w:r w:rsidR="00643550">
        <w:rPr>
          <w:rFonts w:ascii="Arial" w:hAnsi="Arial" w:cs="Arial"/>
          <w:sz w:val="22"/>
          <w:szCs w:val="22"/>
          <w:lang w:val="es-ES"/>
        </w:rPr>
        <w:t>CDEEE</w:t>
      </w:r>
      <w:r w:rsidR="00643550" w:rsidRPr="00EF01D9">
        <w:rPr>
          <w:rFonts w:ascii="Arial" w:hAnsi="Arial" w:cs="Arial"/>
          <w:sz w:val="22"/>
          <w:szCs w:val="22"/>
          <w:lang w:val="es-ES"/>
        </w:rPr>
        <w:t xml:space="preserve"> </w:t>
      </w:r>
      <w:r w:rsidR="00F0119E" w:rsidRPr="00EF01D9">
        <w:rPr>
          <w:rFonts w:ascii="Arial" w:hAnsi="Arial" w:cs="Arial"/>
          <w:sz w:val="22"/>
          <w:szCs w:val="22"/>
          <w:lang w:val="es-ES"/>
        </w:rPr>
        <w:t>proveer al equipo de proyecto del BID la información necesaria ya sea a través de sus informes de desempeño o mediante el suministro de copia</w:t>
      </w:r>
      <w:r w:rsidR="004B4C35" w:rsidRPr="00EF01D9">
        <w:rPr>
          <w:rFonts w:ascii="Arial" w:hAnsi="Arial" w:cs="Arial"/>
          <w:sz w:val="22"/>
          <w:szCs w:val="22"/>
          <w:lang w:val="es-ES"/>
        </w:rPr>
        <w:t>s</w:t>
      </w:r>
      <w:r w:rsidR="00F0119E" w:rsidRPr="00EF01D9">
        <w:rPr>
          <w:rFonts w:ascii="Arial" w:hAnsi="Arial" w:cs="Arial"/>
          <w:sz w:val="22"/>
          <w:szCs w:val="22"/>
          <w:lang w:val="es-ES"/>
        </w:rPr>
        <w:t xml:space="preserve"> de los documentos definidos como medios de verificación.</w:t>
      </w:r>
      <w:r w:rsidR="004B4C35" w:rsidRPr="00EF01D9">
        <w:rPr>
          <w:rFonts w:ascii="Arial" w:hAnsi="Arial" w:cs="Arial"/>
          <w:sz w:val="22"/>
          <w:szCs w:val="22"/>
          <w:lang w:val="es-ES"/>
        </w:rPr>
        <w:t xml:space="preserve"> </w:t>
      </w:r>
      <w:r w:rsidR="00F71498" w:rsidRPr="00EF01D9">
        <w:rPr>
          <w:rFonts w:ascii="Arial" w:hAnsi="Arial" w:cs="Arial"/>
          <w:sz w:val="22"/>
          <w:szCs w:val="22"/>
          <w:lang w:val="es-ES"/>
        </w:rPr>
        <w:t xml:space="preserve">La información de estos indicadores será suministrada por lo menos </w:t>
      </w:r>
      <w:r w:rsidR="00CA37B2" w:rsidRPr="00EF01D9">
        <w:rPr>
          <w:rFonts w:ascii="Arial" w:hAnsi="Arial" w:cs="Arial"/>
          <w:sz w:val="22"/>
          <w:szCs w:val="22"/>
          <w:lang w:val="es-ES"/>
        </w:rPr>
        <w:t>en la última reunión</w:t>
      </w:r>
      <w:r w:rsidR="00F71498" w:rsidRPr="00EF01D9">
        <w:rPr>
          <w:rFonts w:ascii="Arial" w:hAnsi="Arial" w:cs="Arial"/>
          <w:sz w:val="22"/>
          <w:szCs w:val="22"/>
          <w:lang w:val="es-ES"/>
        </w:rPr>
        <w:t xml:space="preserve"> de seguimiento trimestral</w:t>
      </w:r>
      <w:r w:rsidR="00CA37B2" w:rsidRPr="00EF01D9">
        <w:rPr>
          <w:rFonts w:ascii="Arial" w:hAnsi="Arial" w:cs="Arial"/>
          <w:sz w:val="22"/>
          <w:szCs w:val="22"/>
          <w:lang w:val="es-ES"/>
        </w:rPr>
        <w:t xml:space="preserve"> de cada año</w:t>
      </w:r>
      <w:r w:rsidR="00F71498" w:rsidRPr="00EF01D9">
        <w:rPr>
          <w:rFonts w:ascii="Arial" w:hAnsi="Arial" w:cs="Arial"/>
          <w:sz w:val="22"/>
          <w:szCs w:val="22"/>
          <w:lang w:val="es-ES"/>
        </w:rPr>
        <w:t xml:space="preserve">, al igual que al momento de la preparación de </w:t>
      </w:r>
      <w:r w:rsidR="00643550">
        <w:rPr>
          <w:rFonts w:ascii="Arial" w:hAnsi="Arial" w:cs="Arial"/>
          <w:sz w:val="22"/>
          <w:szCs w:val="22"/>
          <w:lang w:val="es-ES"/>
        </w:rPr>
        <w:t>la tercera</w:t>
      </w:r>
      <w:r w:rsidR="00B727D6">
        <w:rPr>
          <w:rFonts w:ascii="Arial" w:hAnsi="Arial" w:cs="Arial"/>
          <w:sz w:val="22"/>
          <w:szCs w:val="22"/>
          <w:lang w:val="es-ES"/>
        </w:rPr>
        <w:t xml:space="preserve"> y</w:t>
      </w:r>
      <w:r w:rsidR="00643550">
        <w:rPr>
          <w:rFonts w:ascii="Arial" w:hAnsi="Arial" w:cs="Arial"/>
          <w:sz w:val="22"/>
          <w:szCs w:val="22"/>
          <w:lang w:val="es-ES"/>
        </w:rPr>
        <w:t xml:space="preserve"> </w:t>
      </w:r>
      <w:r w:rsidR="00B727D6">
        <w:rPr>
          <w:rFonts w:ascii="Arial" w:hAnsi="Arial" w:cs="Arial"/>
          <w:sz w:val="22"/>
          <w:szCs w:val="22"/>
          <w:lang w:val="es-ES"/>
        </w:rPr>
        <w:t>última operación</w:t>
      </w:r>
      <w:r w:rsidR="00B727D6" w:rsidRPr="00EF01D9">
        <w:rPr>
          <w:rFonts w:ascii="Arial" w:hAnsi="Arial" w:cs="Arial"/>
          <w:sz w:val="22"/>
          <w:szCs w:val="22"/>
          <w:lang w:val="es-ES"/>
        </w:rPr>
        <w:t>.</w:t>
      </w:r>
      <w:r w:rsidR="00AF480B" w:rsidRPr="00EF01D9">
        <w:rPr>
          <w:rFonts w:ascii="Arial" w:hAnsi="Arial" w:cs="Arial"/>
          <w:sz w:val="22"/>
          <w:szCs w:val="22"/>
          <w:lang w:val="es-ES"/>
        </w:rPr>
        <w:t xml:space="preserve"> </w:t>
      </w:r>
    </w:p>
    <w:p w14:paraId="06AFDE49" w14:textId="77777777" w:rsidR="004B4C35" w:rsidRPr="00EF01D9" w:rsidRDefault="004B4C35" w:rsidP="00EE04AE">
      <w:pPr>
        <w:pStyle w:val="Subtitle"/>
        <w:numPr>
          <w:ilvl w:val="0"/>
          <w:numId w:val="15"/>
        </w:numPr>
        <w:ind w:hanging="450"/>
        <w:jc w:val="left"/>
        <w:rPr>
          <w:rFonts w:ascii="Arial" w:hAnsi="Arial" w:cs="Arial"/>
          <w:b/>
          <w:sz w:val="22"/>
          <w:szCs w:val="22"/>
          <w:lang w:val="es-ES"/>
        </w:rPr>
      </w:pPr>
      <w:bookmarkStart w:id="27" w:name="_Toc511826644"/>
      <w:r w:rsidRPr="00EF01D9">
        <w:rPr>
          <w:rFonts w:ascii="Arial" w:hAnsi="Arial" w:cs="Arial"/>
          <w:b/>
          <w:sz w:val="22"/>
          <w:szCs w:val="22"/>
          <w:lang w:val="es-ES"/>
        </w:rPr>
        <w:t>Información de los resultados</w:t>
      </w:r>
      <w:bookmarkEnd w:id="27"/>
    </w:p>
    <w:p w14:paraId="11346265" w14:textId="24DC2474" w:rsidR="00894C65" w:rsidRDefault="00FE0B90" w:rsidP="00450A1D">
      <w:pPr>
        <w:pStyle w:val="ListParagraph"/>
        <w:numPr>
          <w:ilvl w:val="1"/>
          <w:numId w:val="7"/>
        </w:numPr>
        <w:spacing w:before="120" w:after="120"/>
        <w:ind w:left="720" w:right="-144" w:hanging="720"/>
        <w:jc w:val="both"/>
        <w:rPr>
          <w:rFonts w:ascii="Arial" w:hAnsi="Arial" w:cs="Arial"/>
          <w:sz w:val="22"/>
          <w:szCs w:val="22"/>
          <w:lang w:val="es-ES"/>
        </w:rPr>
      </w:pPr>
      <w:r w:rsidRPr="00EF01D9">
        <w:rPr>
          <w:rFonts w:ascii="Arial" w:hAnsi="Arial" w:cs="Arial"/>
          <w:sz w:val="22"/>
          <w:szCs w:val="22"/>
          <w:lang w:val="es-ES"/>
        </w:rPr>
        <w:t>S</w:t>
      </w:r>
      <w:r w:rsidR="004B4C35" w:rsidRPr="00EF01D9">
        <w:rPr>
          <w:rFonts w:ascii="Arial" w:hAnsi="Arial" w:cs="Arial"/>
          <w:sz w:val="22"/>
          <w:szCs w:val="22"/>
          <w:lang w:val="es-ES"/>
        </w:rPr>
        <w:t xml:space="preserve">e llevará a cabo una evaluación </w:t>
      </w:r>
      <w:r w:rsidR="00894C65">
        <w:rPr>
          <w:rFonts w:ascii="Arial" w:hAnsi="Arial" w:cs="Arial"/>
          <w:sz w:val="22"/>
          <w:szCs w:val="22"/>
          <w:lang w:val="es-ES"/>
        </w:rPr>
        <w:t xml:space="preserve">económica </w:t>
      </w:r>
      <w:r w:rsidR="004B4C35" w:rsidRPr="00EF01D9">
        <w:rPr>
          <w:rFonts w:ascii="Arial" w:hAnsi="Arial" w:cs="Arial"/>
          <w:sz w:val="22"/>
          <w:szCs w:val="22"/>
          <w:lang w:val="es-ES"/>
        </w:rPr>
        <w:t>ex</w:t>
      </w:r>
      <w:r w:rsidR="00F041FA">
        <w:rPr>
          <w:rFonts w:ascii="Arial" w:hAnsi="Arial" w:cs="Arial"/>
          <w:sz w:val="22"/>
          <w:szCs w:val="22"/>
          <w:lang w:val="es-ES"/>
        </w:rPr>
        <w:t xml:space="preserve"> </w:t>
      </w:r>
      <w:r w:rsidR="004B4C35" w:rsidRPr="00EF01D9">
        <w:rPr>
          <w:rFonts w:ascii="Arial" w:hAnsi="Arial" w:cs="Arial"/>
          <w:sz w:val="22"/>
          <w:szCs w:val="22"/>
          <w:lang w:val="es-ES"/>
        </w:rPr>
        <w:t xml:space="preserve">post </w:t>
      </w:r>
      <w:r w:rsidR="00876637" w:rsidRPr="00EF01D9">
        <w:rPr>
          <w:rFonts w:ascii="Arial" w:hAnsi="Arial" w:cs="Arial"/>
          <w:sz w:val="22"/>
          <w:szCs w:val="22"/>
          <w:lang w:val="es-ES"/>
        </w:rPr>
        <w:t xml:space="preserve">de los resultados del </w:t>
      </w:r>
      <w:r w:rsidR="00B41C15" w:rsidRPr="00EF01D9">
        <w:rPr>
          <w:rFonts w:ascii="Arial" w:hAnsi="Arial" w:cs="Arial"/>
          <w:sz w:val="22"/>
          <w:szCs w:val="22"/>
          <w:lang w:val="es-ES"/>
        </w:rPr>
        <w:t>programa</w:t>
      </w:r>
      <w:r w:rsidR="00876637" w:rsidRPr="00EF01D9">
        <w:rPr>
          <w:rFonts w:ascii="Arial" w:hAnsi="Arial" w:cs="Arial"/>
          <w:sz w:val="22"/>
          <w:szCs w:val="22"/>
          <w:lang w:val="es-ES"/>
        </w:rPr>
        <w:t>, una vez se ejecute la tercera operación</w:t>
      </w:r>
      <w:r w:rsidR="00894C65">
        <w:rPr>
          <w:rFonts w:ascii="Arial" w:hAnsi="Arial" w:cs="Arial"/>
          <w:sz w:val="22"/>
          <w:szCs w:val="22"/>
          <w:lang w:val="es-ES"/>
        </w:rPr>
        <w:t>.</w:t>
      </w:r>
      <w:r w:rsidR="00894C65" w:rsidRPr="00894C65">
        <w:rPr>
          <w:rFonts w:ascii="Arial" w:hAnsi="Arial" w:cs="Arial"/>
          <w:sz w:val="22"/>
          <w:szCs w:val="22"/>
        </w:rPr>
        <w:t xml:space="preserve"> </w:t>
      </w:r>
      <w:proofErr w:type="gramStart"/>
      <w:r w:rsidR="00894C65" w:rsidRPr="0075027F">
        <w:rPr>
          <w:rFonts w:ascii="Arial" w:hAnsi="Arial" w:cs="Arial"/>
          <w:sz w:val="22"/>
          <w:szCs w:val="22"/>
        </w:rPr>
        <w:t>La metodología a desarrollar</w:t>
      </w:r>
      <w:proofErr w:type="gramEnd"/>
      <w:r w:rsidR="00894C65" w:rsidRPr="0075027F">
        <w:rPr>
          <w:rFonts w:ascii="Arial" w:hAnsi="Arial" w:cs="Arial"/>
          <w:sz w:val="22"/>
          <w:szCs w:val="22"/>
        </w:rPr>
        <w:t xml:space="preserve"> será similar a la </w:t>
      </w:r>
      <w:r w:rsidR="00894C65">
        <w:rPr>
          <w:rFonts w:ascii="Arial" w:hAnsi="Arial" w:cs="Arial"/>
          <w:sz w:val="22"/>
          <w:szCs w:val="22"/>
        </w:rPr>
        <w:t xml:space="preserve">aplicada en la </w:t>
      </w:r>
      <w:r w:rsidR="00894C65" w:rsidRPr="0075027F">
        <w:rPr>
          <w:rFonts w:ascii="Arial" w:hAnsi="Arial" w:cs="Arial"/>
          <w:sz w:val="22"/>
          <w:szCs w:val="22"/>
        </w:rPr>
        <w:t xml:space="preserve">evaluación </w:t>
      </w:r>
      <w:r w:rsidR="00C23A6B">
        <w:rPr>
          <w:rFonts w:ascii="Arial" w:hAnsi="Arial" w:cs="Arial"/>
          <w:sz w:val="22"/>
          <w:szCs w:val="22"/>
        </w:rPr>
        <w:t>de beneficios cuantificables detallada bajo el segundo</w:t>
      </w:r>
      <w:r w:rsidR="00894C65" w:rsidRPr="0075027F">
        <w:rPr>
          <w:rFonts w:ascii="Arial" w:hAnsi="Arial" w:cs="Arial"/>
          <w:sz w:val="22"/>
          <w:szCs w:val="22"/>
        </w:rPr>
        <w:t xml:space="preserve"> préstamo de la serie.</w:t>
      </w:r>
      <w:r w:rsidR="004B4C35" w:rsidRPr="00EF01D9">
        <w:rPr>
          <w:rFonts w:ascii="Arial" w:hAnsi="Arial" w:cs="Arial"/>
          <w:sz w:val="22"/>
          <w:szCs w:val="22"/>
          <w:lang w:val="es-ES"/>
        </w:rPr>
        <w:t xml:space="preserve"> </w:t>
      </w:r>
      <w:r w:rsidR="00876637" w:rsidRPr="00EF01D9">
        <w:rPr>
          <w:rFonts w:ascii="Arial" w:hAnsi="Arial" w:cs="Arial"/>
          <w:sz w:val="22"/>
          <w:szCs w:val="22"/>
          <w:lang w:val="es-ES"/>
        </w:rPr>
        <w:t xml:space="preserve">La evaluación será realizada por un consultor externo bajo la supervisión del equipo del proyecto y el resultado será </w:t>
      </w:r>
      <w:r w:rsidR="00876637" w:rsidRPr="00EF01D9">
        <w:rPr>
          <w:rFonts w:ascii="Arial" w:hAnsi="Arial" w:cs="Arial"/>
          <w:bCs/>
          <w:sz w:val="22"/>
          <w:szCs w:val="22"/>
          <w:lang w:val="es-ES"/>
        </w:rPr>
        <w:t>publicado</w:t>
      </w:r>
      <w:r w:rsidR="00876637" w:rsidRPr="00EF01D9">
        <w:rPr>
          <w:rFonts w:ascii="Arial" w:hAnsi="Arial" w:cs="Arial"/>
          <w:sz w:val="22"/>
          <w:szCs w:val="22"/>
          <w:lang w:val="es-ES"/>
        </w:rPr>
        <w:t xml:space="preserve"> en la página de web de la</w:t>
      </w:r>
      <w:r w:rsidR="00F041FA">
        <w:rPr>
          <w:rFonts w:ascii="Arial" w:hAnsi="Arial" w:cs="Arial"/>
          <w:sz w:val="22"/>
          <w:szCs w:val="22"/>
          <w:lang w:val="es-ES"/>
        </w:rPr>
        <w:t>s</w:t>
      </w:r>
      <w:r w:rsidR="00876637" w:rsidRPr="00EF01D9">
        <w:rPr>
          <w:rFonts w:ascii="Arial" w:hAnsi="Arial" w:cs="Arial"/>
          <w:sz w:val="22"/>
          <w:szCs w:val="22"/>
          <w:lang w:val="es-ES"/>
        </w:rPr>
        <w:t xml:space="preserve"> </w:t>
      </w:r>
      <w:proofErr w:type="spellStart"/>
      <w:r w:rsidR="00F041FA">
        <w:rPr>
          <w:rFonts w:ascii="Arial" w:hAnsi="Arial" w:cs="Arial"/>
          <w:sz w:val="22"/>
          <w:szCs w:val="22"/>
          <w:lang w:val="es-ES"/>
        </w:rPr>
        <w:t>EDEs</w:t>
      </w:r>
      <w:proofErr w:type="spellEnd"/>
      <w:r w:rsidR="00F041FA" w:rsidRPr="00EF01D9">
        <w:rPr>
          <w:rFonts w:ascii="Arial" w:hAnsi="Arial" w:cs="Arial"/>
          <w:sz w:val="22"/>
          <w:szCs w:val="22"/>
          <w:lang w:val="es-ES"/>
        </w:rPr>
        <w:t xml:space="preserve"> </w:t>
      </w:r>
      <w:r w:rsidR="00876637" w:rsidRPr="00EF01D9">
        <w:rPr>
          <w:rFonts w:ascii="Arial" w:hAnsi="Arial" w:cs="Arial"/>
          <w:sz w:val="22"/>
          <w:szCs w:val="22"/>
          <w:lang w:val="es-ES"/>
        </w:rPr>
        <w:t>y del Banco</w:t>
      </w:r>
      <w:r w:rsidR="004B4C35" w:rsidRPr="00EF01D9">
        <w:rPr>
          <w:rFonts w:ascii="Arial" w:hAnsi="Arial" w:cs="Arial"/>
          <w:sz w:val="22"/>
          <w:szCs w:val="22"/>
          <w:lang w:val="es-ES"/>
        </w:rPr>
        <w:t xml:space="preserve">. </w:t>
      </w:r>
    </w:p>
    <w:p w14:paraId="23EF53D0" w14:textId="48033678" w:rsidR="004B4C35" w:rsidRPr="00EF01D9" w:rsidRDefault="004B4C35" w:rsidP="00450A1D">
      <w:pPr>
        <w:pStyle w:val="ListParagraph"/>
        <w:numPr>
          <w:ilvl w:val="1"/>
          <w:numId w:val="7"/>
        </w:numPr>
        <w:spacing w:before="120" w:after="120"/>
        <w:ind w:left="720" w:right="-144" w:hanging="720"/>
        <w:jc w:val="both"/>
        <w:rPr>
          <w:rFonts w:ascii="Arial" w:hAnsi="Arial" w:cs="Arial"/>
          <w:sz w:val="22"/>
          <w:szCs w:val="22"/>
          <w:lang w:val="es-ES"/>
        </w:rPr>
      </w:pPr>
      <w:r w:rsidRPr="00EF01D9">
        <w:rPr>
          <w:rFonts w:ascii="Arial" w:hAnsi="Arial" w:cs="Arial"/>
          <w:sz w:val="22"/>
          <w:szCs w:val="22"/>
          <w:lang w:val="es-ES"/>
        </w:rPr>
        <w:t xml:space="preserve">De acuerdo con los procedimientos del BID, un informe de </w:t>
      </w:r>
      <w:r w:rsidR="00015A30" w:rsidRPr="00EF01D9">
        <w:rPr>
          <w:rFonts w:ascii="Arial" w:hAnsi="Arial" w:cs="Arial"/>
          <w:sz w:val="22"/>
          <w:szCs w:val="22"/>
          <w:lang w:val="es-ES"/>
        </w:rPr>
        <w:t xml:space="preserve">terminación del proyecto (PCR, </w:t>
      </w:r>
      <w:r w:rsidR="00015A30" w:rsidRPr="00EF01D9">
        <w:rPr>
          <w:rFonts w:ascii="Arial" w:hAnsi="Arial" w:cs="Arial"/>
          <w:i/>
          <w:sz w:val="22"/>
          <w:szCs w:val="22"/>
          <w:lang w:val="es-ES"/>
        </w:rPr>
        <w:t>P</w:t>
      </w:r>
      <w:r w:rsidRPr="00EF01D9">
        <w:rPr>
          <w:rFonts w:ascii="Arial" w:hAnsi="Arial" w:cs="Arial"/>
          <w:i/>
          <w:sz w:val="22"/>
          <w:szCs w:val="22"/>
          <w:lang w:val="es-ES"/>
        </w:rPr>
        <w:t xml:space="preserve">roject </w:t>
      </w:r>
      <w:proofErr w:type="spellStart"/>
      <w:r w:rsidR="00015A30" w:rsidRPr="00EF01D9">
        <w:rPr>
          <w:rFonts w:ascii="Arial" w:hAnsi="Arial" w:cs="Arial"/>
          <w:i/>
          <w:sz w:val="22"/>
          <w:szCs w:val="22"/>
          <w:lang w:val="es-ES"/>
        </w:rPr>
        <w:t>Completion</w:t>
      </w:r>
      <w:proofErr w:type="spellEnd"/>
      <w:r w:rsidR="00015A30" w:rsidRPr="00EF01D9">
        <w:rPr>
          <w:rFonts w:ascii="Arial" w:hAnsi="Arial" w:cs="Arial"/>
          <w:i/>
          <w:sz w:val="22"/>
          <w:szCs w:val="22"/>
          <w:lang w:val="es-ES"/>
        </w:rPr>
        <w:t xml:space="preserve"> </w:t>
      </w:r>
      <w:proofErr w:type="spellStart"/>
      <w:r w:rsidR="00015A30" w:rsidRPr="00EF01D9">
        <w:rPr>
          <w:rFonts w:ascii="Arial" w:hAnsi="Arial" w:cs="Arial"/>
          <w:i/>
          <w:sz w:val="22"/>
          <w:szCs w:val="22"/>
          <w:lang w:val="es-ES"/>
        </w:rPr>
        <w:t>R</w:t>
      </w:r>
      <w:r w:rsidRPr="00EF01D9">
        <w:rPr>
          <w:rFonts w:ascii="Arial" w:hAnsi="Arial" w:cs="Arial"/>
          <w:i/>
          <w:sz w:val="22"/>
          <w:szCs w:val="22"/>
          <w:lang w:val="es-ES"/>
        </w:rPr>
        <w:t>eport</w:t>
      </w:r>
      <w:proofErr w:type="spellEnd"/>
      <w:r w:rsidRPr="00EF01D9">
        <w:rPr>
          <w:rFonts w:ascii="Arial" w:hAnsi="Arial" w:cs="Arial"/>
          <w:sz w:val="22"/>
          <w:szCs w:val="22"/>
          <w:lang w:val="es-ES"/>
        </w:rPr>
        <w:t>) será preparado por el equipo de proyecto (Personal del BID y Consultores BID),</w:t>
      </w:r>
      <w:r w:rsidR="009877BD">
        <w:rPr>
          <w:rFonts w:ascii="Arial" w:hAnsi="Arial" w:cs="Arial"/>
          <w:sz w:val="22"/>
          <w:szCs w:val="22"/>
          <w:lang w:val="es-ES"/>
        </w:rPr>
        <w:t xml:space="preserve"> aplicando las guías vigentes para la preparación de </w:t>
      </w:r>
      <w:proofErr w:type="spellStart"/>
      <w:r w:rsidR="009877BD">
        <w:rPr>
          <w:rFonts w:ascii="Arial" w:hAnsi="Arial" w:cs="Arial"/>
          <w:sz w:val="22"/>
          <w:szCs w:val="22"/>
          <w:lang w:val="es-ES"/>
        </w:rPr>
        <w:t>PCRs</w:t>
      </w:r>
      <w:proofErr w:type="spellEnd"/>
      <w:r w:rsidR="009877BD">
        <w:rPr>
          <w:rFonts w:ascii="Arial" w:hAnsi="Arial" w:cs="Arial"/>
          <w:sz w:val="22"/>
          <w:szCs w:val="22"/>
          <w:lang w:val="es-ES"/>
        </w:rPr>
        <w:t xml:space="preserve"> del BID,</w:t>
      </w:r>
      <w:r w:rsidRPr="00EF01D9">
        <w:rPr>
          <w:rFonts w:ascii="Arial" w:hAnsi="Arial" w:cs="Arial"/>
          <w:sz w:val="22"/>
          <w:szCs w:val="22"/>
          <w:lang w:val="es-ES"/>
        </w:rPr>
        <w:t xml:space="preserve"> no más de se</w:t>
      </w:r>
      <w:r w:rsidR="00876637" w:rsidRPr="00EF01D9">
        <w:rPr>
          <w:rFonts w:ascii="Arial" w:hAnsi="Arial" w:cs="Arial"/>
          <w:sz w:val="22"/>
          <w:szCs w:val="22"/>
          <w:lang w:val="es-ES"/>
        </w:rPr>
        <w:t xml:space="preserve">is meses después de realizado el </w:t>
      </w:r>
      <w:r w:rsidRPr="00EF01D9">
        <w:rPr>
          <w:rFonts w:ascii="Arial" w:hAnsi="Arial" w:cs="Arial"/>
          <w:sz w:val="22"/>
          <w:szCs w:val="22"/>
          <w:lang w:val="es-ES"/>
        </w:rPr>
        <w:t>desembolso</w:t>
      </w:r>
      <w:r w:rsidR="00876637" w:rsidRPr="00EF01D9">
        <w:rPr>
          <w:rFonts w:ascii="Arial" w:hAnsi="Arial" w:cs="Arial"/>
          <w:sz w:val="22"/>
          <w:szCs w:val="22"/>
          <w:lang w:val="es-ES"/>
        </w:rPr>
        <w:t xml:space="preserve"> de la última operación</w:t>
      </w:r>
      <w:r w:rsidRPr="00EF01D9">
        <w:rPr>
          <w:rFonts w:ascii="Arial" w:hAnsi="Arial" w:cs="Arial"/>
          <w:sz w:val="22"/>
          <w:szCs w:val="22"/>
          <w:lang w:val="es-ES"/>
        </w:rPr>
        <w:t xml:space="preserve">. El PCR evaluará los </w:t>
      </w:r>
      <w:r w:rsidR="00894C65">
        <w:rPr>
          <w:rFonts w:ascii="Arial" w:hAnsi="Arial" w:cs="Arial"/>
          <w:sz w:val="22"/>
          <w:szCs w:val="22"/>
          <w:lang w:val="es-ES"/>
        </w:rPr>
        <w:t xml:space="preserve">resultados e </w:t>
      </w:r>
      <w:r w:rsidRPr="00EF01D9">
        <w:rPr>
          <w:rFonts w:ascii="Arial" w:hAnsi="Arial" w:cs="Arial"/>
          <w:sz w:val="22"/>
          <w:szCs w:val="22"/>
          <w:lang w:val="es-ES"/>
        </w:rPr>
        <w:t>impactos obtenidos y utilizará como</w:t>
      </w:r>
      <w:r w:rsidR="00B85CA7">
        <w:rPr>
          <w:rFonts w:ascii="Arial" w:hAnsi="Arial" w:cs="Arial"/>
          <w:sz w:val="22"/>
          <w:szCs w:val="22"/>
          <w:lang w:val="es-ES"/>
        </w:rPr>
        <w:t xml:space="preserve"> uno de sus</w:t>
      </w:r>
      <w:r w:rsidRPr="00EF01D9">
        <w:rPr>
          <w:rFonts w:ascii="Arial" w:hAnsi="Arial" w:cs="Arial"/>
          <w:sz w:val="22"/>
          <w:szCs w:val="22"/>
          <w:lang w:val="es-ES"/>
        </w:rPr>
        <w:t xml:space="preserve"> insumo</w:t>
      </w:r>
      <w:r w:rsidR="00B85CA7">
        <w:rPr>
          <w:rFonts w:ascii="Arial" w:hAnsi="Arial" w:cs="Arial"/>
          <w:sz w:val="22"/>
          <w:szCs w:val="22"/>
          <w:lang w:val="es-ES"/>
        </w:rPr>
        <w:t>s</w:t>
      </w:r>
      <w:r w:rsidR="00C23A6B">
        <w:rPr>
          <w:rFonts w:ascii="Arial" w:hAnsi="Arial" w:cs="Arial"/>
          <w:sz w:val="22"/>
          <w:szCs w:val="22"/>
          <w:lang w:val="es-ES"/>
        </w:rPr>
        <w:t xml:space="preserve"> la </w:t>
      </w:r>
      <w:proofErr w:type="spellStart"/>
      <w:r w:rsidR="00C23A6B">
        <w:rPr>
          <w:rFonts w:ascii="Arial" w:hAnsi="Arial" w:cs="Arial"/>
          <w:sz w:val="22"/>
          <w:szCs w:val="22"/>
          <w:lang w:val="es-ES"/>
        </w:rPr>
        <w:t>evaluacion</w:t>
      </w:r>
      <w:proofErr w:type="spellEnd"/>
      <w:r w:rsidR="00C23A6B">
        <w:rPr>
          <w:rFonts w:ascii="Arial" w:hAnsi="Arial" w:cs="Arial"/>
          <w:sz w:val="22"/>
          <w:szCs w:val="22"/>
          <w:lang w:val="es-ES"/>
        </w:rPr>
        <w:t xml:space="preserve"> de beneficios cuantificables</w:t>
      </w:r>
      <w:r w:rsidRPr="00EF01D9">
        <w:rPr>
          <w:rFonts w:ascii="Arial" w:hAnsi="Arial" w:cs="Arial"/>
          <w:sz w:val="22"/>
          <w:szCs w:val="22"/>
          <w:lang w:val="es-ES"/>
        </w:rPr>
        <w:t>.</w:t>
      </w:r>
      <w:r w:rsidR="00894C65">
        <w:rPr>
          <w:rFonts w:ascii="Arial" w:hAnsi="Arial" w:cs="Arial"/>
          <w:sz w:val="22"/>
          <w:szCs w:val="22"/>
          <w:lang w:val="es-ES"/>
        </w:rPr>
        <w:t xml:space="preserve"> </w:t>
      </w:r>
    </w:p>
    <w:p w14:paraId="35492759" w14:textId="4418D58D" w:rsidR="00F01EAD" w:rsidRPr="00EF01D9" w:rsidRDefault="00F01EAD" w:rsidP="00F01EAD">
      <w:pPr>
        <w:keepNext/>
        <w:keepLines/>
        <w:numPr>
          <w:ilvl w:val="0"/>
          <w:numId w:val="7"/>
        </w:numPr>
        <w:spacing w:before="480"/>
        <w:ind w:left="0" w:firstLine="0"/>
        <w:jc w:val="center"/>
        <w:outlineLvl w:val="0"/>
        <w:rPr>
          <w:rFonts w:ascii="Arial" w:hAnsi="Arial" w:cs="Arial"/>
          <w:b/>
          <w:sz w:val="22"/>
          <w:szCs w:val="22"/>
          <w:lang w:val="es-ES"/>
        </w:rPr>
      </w:pPr>
      <w:bookmarkStart w:id="28" w:name="_Toc402794298"/>
      <w:bookmarkStart w:id="29" w:name="_Toc511826645"/>
      <w:r w:rsidRPr="00F01EAD">
        <w:rPr>
          <w:rFonts w:ascii="Arial" w:eastAsiaTheme="majorEastAsia" w:hAnsi="Arial" w:cs="Arial"/>
          <w:b/>
          <w:bCs/>
          <w:noProof/>
          <w:color w:val="000000" w:themeColor="text1"/>
          <w:sz w:val="22"/>
          <w:szCs w:val="22"/>
          <w:lang w:val="es-ES"/>
        </w:rPr>
        <w:t>Presupuesto</w:t>
      </w:r>
      <w:bookmarkEnd w:id="28"/>
      <w:r>
        <w:rPr>
          <w:rFonts w:ascii="Arial" w:eastAsiaTheme="majorEastAsia" w:hAnsi="Arial" w:cs="Arial"/>
          <w:b/>
          <w:bCs/>
          <w:noProof/>
          <w:color w:val="000000" w:themeColor="text1"/>
          <w:sz w:val="22"/>
          <w:szCs w:val="22"/>
          <w:lang w:val="es-ES"/>
        </w:rPr>
        <w:t xml:space="preserve"> del PSE</w:t>
      </w:r>
      <w:bookmarkEnd w:id="29"/>
    </w:p>
    <w:p w14:paraId="527761EA" w14:textId="1D60B256" w:rsidR="00F01EAD" w:rsidRDefault="53E00067" w:rsidP="53E00067">
      <w:pPr>
        <w:pStyle w:val="BodyText2"/>
        <w:numPr>
          <w:ilvl w:val="1"/>
          <w:numId w:val="7"/>
        </w:numPr>
        <w:tabs>
          <w:tab w:val="left" w:pos="720"/>
        </w:tabs>
        <w:spacing w:before="120" w:line="240" w:lineRule="auto"/>
        <w:ind w:left="720" w:hanging="720"/>
        <w:jc w:val="both"/>
        <w:rPr>
          <w:rFonts w:ascii="Arial,Arial Unicode MS" w:eastAsia="Arial,Arial Unicode MS" w:hAnsi="Arial,Arial Unicode MS" w:cs="Arial,Arial Unicode MS"/>
          <w:sz w:val="22"/>
          <w:szCs w:val="22"/>
          <w:lang w:val="es-ES"/>
        </w:rPr>
      </w:pPr>
      <w:r w:rsidRPr="53E00067">
        <w:rPr>
          <w:rFonts w:ascii="Arial" w:eastAsia="Arial" w:hAnsi="Arial" w:cs="Arial"/>
          <w:sz w:val="22"/>
          <w:szCs w:val="22"/>
          <w:lang w:val="es-ES"/>
        </w:rPr>
        <w:t>El presupuesto asociado a la preparación del proyecto, financiado por el Banco, incluyó la ejecución de trabajo técnico especializado (evaluación económica ex ante; actualización del Plan de Obras) y realización de misiones necesarias para definir los compromisos establecidos y recolectar la información asociada a la verificación de cumplimiento, por un valor de US$80,000</w:t>
      </w:r>
      <w:r w:rsidRPr="53E00067">
        <w:rPr>
          <w:rFonts w:ascii="Arial,Arial Unicode MS" w:eastAsia="Arial,Arial Unicode MS" w:hAnsi="Arial,Arial Unicode MS" w:cs="Arial,Arial Unicode MS"/>
          <w:sz w:val="22"/>
          <w:szCs w:val="22"/>
          <w:lang w:val="es-ES"/>
        </w:rPr>
        <w:t xml:space="preserve">. </w:t>
      </w:r>
      <w:r w:rsidRPr="53E00067">
        <w:rPr>
          <w:rFonts w:ascii="Arial" w:eastAsia="Arial" w:hAnsi="Arial" w:cs="Arial"/>
          <w:sz w:val="22"/>
          <w:szCs w:val="22"/>
          <w:lang w:val="es-ES"/>
        </w:rPr>
        <w:t>La tercera</w:t>
      </w:r>
      <w:r w:rsidRPr="53E00067">
        <w:rPr>
          <w:rFonts w:ascii="Arial,Arial Unicode MS" w:eastAsia="Arial,Arial Unicode MS" w:hAnsi="Arial,Arial Unicode MS" w:cs="Arial,Arial Unicode MS"/>
          <w:sz w:val="22"/>
          <w:szCs w:val="22"/>
          <w:lang w:val="es-ES"/>
        </w:rPr>
        <w:t xml:space="preserve"> </w:t>
      </w:r>
      <w:r w:rsidRPr="53E00067">
        <w:rPr>
          <w:rFonts w:ascii="Arial" w:eastAsia="Arial" w:hAnsi="Arial" w:cs="Arial"/>
          <w:sz w:val="22"/>
          <w:szCs w:val="22"/>
          <w:lang w:val="es-ES"/>
        </w:rPr>
        <w:t>operación tendrá asociado su propio presupuesto de preparación donde se incluirá el presupuesto para la recolección de datos y seguimiento de los productos respectivos (Compromisos Programáticos</w:t>
      </w:r>
      <w:r w:rsidRPr="53E00067">
        <w:rPr>
          <w:rFonts w:ascii="Arial,Arial Unicode MS" w:eastAsia="Arial,Arial Unicode MS" w:hAnsi="Arial,Arial Unicode MS" w:cs="Arial,Arial Unicode MS"/>
          <w:sz w:val="22"/>
          <w:szCs w:val="22"/>
          <w:lang w:val="es-ES"/>
        </w:rPr>
        <w:t xml:space="preserve"> </w:t>
      </w:r>
      <w:r w:rsidRPr="53E00067">
        <w:rPr>
          <w:rFonts w:ascii="Arial" w:eastAsia="Arial" w:hAnsi="Arial" w:cs="Arial"/>
          <w:sz w:val="22"/>
          <w:szCs w:val="22"/>
          <w:lang w:val="es-ES"/>
        </w:rPr>
        <w:t>III de la Matriz de Política)</w:t>
      </w:r>
      <w:r w:rsidRPr="53E00067">
        <w:rPr>
          <w:rFonts w:ascii="Arial,Arial Unicode MS" w:eastAsia="Arial,Arial Unicode MS" w:hAnsi="Arial,Arial Unicode MS" w:cs="Arial,Arial Unicode MS"/>
          <w:sz w:val="22"/>
          <w:szCs w:val="22"/>
          <w:lang w:val="es-ES"/>
        </w:rPr>
        <w:t>.</w:t>
      </w:r>
      <w:r w:rsidRPr="53E00067">
        <w:rPr>
          <w:rFonts w:ascii="Arial" w:eastAsia="Arial" w:hAnsi="Arial" w:cs="Arial"/>
          <w:sz w:val="22"/>
          <w:szCs w:val="22"/>
          <w:lang w:val="es-ES"/>
        </w:rPr>
        <w:t xml:space="preserve"> La evaluación ex post se realizará al final de la tercera operación, su costo será incluido en el presupuesto de preparación de ese préstamo.</w:t>
      </w:r>
    </w:p>
    <w:p w14:paraId="2BE13687" w14:textId="77777777" w:rsidR="005A6987" w:rsidRPr="005A6987" w:rsidRDefault="005A6987" w:rsidP="005A6987">
      <w:pPr>
        <w:pStyle w:val="BodyText2"/>
        <w:numPr>
          <w:ilvl w:val="1"/>
          <w:numId w:val="7"/>
        </w:numPr>
        <w:tabs>
          <w:tab w:val="left" w:pos="720"/>
        </w:tabs>
        <w:spacing w:before="120" w:line="240" w:lineRule="auto"/>
        <w:ind w:left="720" w:hanging="720"/>
        <w:jc w:val="both"/>
        <w:rPr>
          <w:rFonts w:ascii="Arial" w:eastAsia="Arial Unicode MS" w:hAnsi="Arial" w:cs="Arial"/>
          <w:bCs/>
          <w:sz w:val="22"/>
          <w:szCs w:val="22"/>
          <w:lang w:val="es-ES"/>
        </w:rPr>
      </w:pPr>
      <w:r w:rsidRPr="005A6987">
        <w:rPr>
          <w:rFonts w:ascii="Arial" w:eastAsia="Arial Unicode MS" w:hAnsi="Arial" w:cs="Arial"/>
          <w:bCs/>
          <w:sz w:val="22"/>
          <w:szCs w:val="22"/>
          <w:lang w:val="es-ES"/>
        </w:rPr>
        <w:t xml:space="preserve">El GRD es responsable de la recopilación de todos los datos necesarios para el seguimiento y la evaluación del Programa. Las </w:t>
      </w:r>
      <w:proofErr w:type="spellStart"/>
      <w:r w:rsidRPr="005A6987">
        <w:rPr>
          <w:rFonts w:ascii="Arial" w:eastAsia="Arial Unicode MS" w:hAnsi="Arial" w:cs="Arial"/>
          <w:bCs/>
          <w:sz w:val="22"/>
          <w:szCs w:val="22"/>
          <w:lang w:val="es-ES"/>
        </w:rPr>
        <w:t>EDEs</w:t>
      </w:r>
      <w:proofErr w:type="spellEnd"/>
      <w:r w:rsidRPr="005A6987">
        <w:rPr>
          <w:rFonts w:ascii="Arial" w:eastAsia="Arial Unicode MS" w:hAnsi="Arial" w:cs="Arial"/>
          <w:bCs/>
          <w:sz w:val="22"/>
          <w:szCs w:val="22"/>
          <w:lang w:val="es-ES"/>
        </w:rPr>
        <w:t xml:space="preserve"> y la CDEEE asumirán con recursos propios los costos de recolectar la información. </w:t>
      </w:r>
    </w:p>
    <w:p w14:paraId="7180B751" w14:textId="77777777" w:rsidR="005A6987" w:rsidRPr="00EF01D9" w:rsidRDefault="005A6987" w:rsidP="005A6987">
      <w:pPr>
        <w:pStyle w:val="BodyText2"/>
        <w:tabs>
          <w:tab w:val="left" w:pos="720"/>
        </w:tabs>
        <w:spacing w:before="120" w:line="240" w:lineRule="auto"/>
        <w:ind w:left="720"/>
        <w:jc w:val="both"/>
        <w:rPr>
          <w:rFonts w:ascii="Arial" w:eastAsia="Arial Unicode MS" w:hAnsi="Arial" w:cs="Arial"/>
          <w:bCs/>
          <w:sz w:val="22"/>
          <w:szCs w:val="22"/>
          <w:lang w:val="es-ES"/>
        </w:rPr>
      </w:pPr>
    </w:p>
    <w:p w14:paraId="41FF77B3" w14:textId="77777777" w:rsidR="00F01EAD" w:rsidRPr="00450A1D" w:rsidRDefault="00F01EAD" w:rsidP="00F01EAD">
      <w:pPr>
        <w:pStyle w:val="ListParagraph"/>
        <w:spacing w:before="120" w:after="120"/>
        <w:ind w:right="-144"/>
        <w:jc w:val="both"/>
        <w:rPr>
          <w:rFonts w:ascii="Arial" w:hAnsi="Arial" w:cs="Arial"/>
          <w:sz w:val="22"/>
          <w:szCs w:val="22"/>
          <w:lang w:val="es-ES"/>
        </w:rPr>
      </w:pPr>
    </w:p>
    <w:sectPr w:rsidR="00F01EAD" w:rsidRPr="00450A1D" w:rsidSect="008E0541">
      <w:footerReference w:type="even" r:id="rId20"/>
      <w:footerReference w:type="default" r:id="rId21"/>
      <w:pgSz w:w="12240" w:h="15840"/>
      <w:pgMar w:top="1530" w:right="1800" w:bottom="1440" w:left="1800" w:header="720" w:footer="1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1B2A8" w14:textId="77777777" w:rsidR="00F55253" w:rsidRDefault="00F55253" w:rsidP="00C67CCA">
      <w:r>
        <w:separator/>
      </w:r>
    </w:p>
  </w:endnote>
  <w:endnote w:type="continuationSeparator" w:id="0">
    <w:p w14:paraId="6821DAB9" w14:textId="77777777" w:rsidR="00F55253" w:rsidRDefault="00F55253" w:rsidP="00C6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Arial Unicode M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9E0DD" w14:textId="77777777" w:rsidR="008E54DB" w:rsidRDefault="008E54DB" w:rsidP="001728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544159" w14:textId="77777777" w:rsidR="008E54DB" w:rsidRDefault="008E54DB" w:rsidP="004E3E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F9F3E" w14:textId="77777777" w:rsidR="008E54DB" w:rsidRPr="00E90CEA" w:rsidRDefault="008E54DB" w:rsidP="00E90CEA">
    <w:pPr>
      <w:pStyle w:val="Footer"/>
      <w:framePr w:h="720" w:hRule="exact" w:wrap="around" w:vAnchor="text" w:hAnchor="page" w:x="10681" w:y="-248"/>
      <w:rPr>
        <w:rStyle w:val="PageNumber"/>
        <w:rFonts w:ascii="Arial" w:hAnsi="Arial" w:cs="Arial"/>
        <w:sz w:val="22"/>
        <w:szCs w:val="22"/>
      </w:rPr>
    </w:pPr>
    <w:r w:rsidRPr="00E90CEA">
      <w:rPr>
        <w:rStyle w:val="PageNumber"/>
        <w:rFonts w:ascii="Arial" w:hAnsi="Arial" w:cs="Arial"/>
        <w:sz w:val="22"/>
        <w:szCs w:val="22"/>
      </w:rPr>
      <w:fldChar w:fldCharType="begin"/>
    </w:r>
    <w:r w:rsidRPr="00E90CEA">
      <w:rPr>
        <w:rStyle w:val="PageNumber"/>
        <w:rFonts w:ascii="Arial" w:hAnsi="Arial" w:cs="Arial"/>
        <w:sz w:val="22"/>
        <w:szCs w:val="22"/>
      </w:rPr>
      <w:instrText xml:space="preserve">PAGE  </w:instrText>
    </w:r>
    <w:r w:rsidRPr="00E90CEA">
      <w:rPr>
        <w:rStyle w:val="PageNumber"/>
        <w:rFonts w:ascii="Arial" w:hAnsi="Arial" w:cs="Arial"/>
        <w:sz w:val="22"/>
        <w:szCs w:val="22"/>
      </w:rPr>
      <w:fldChar w:fldCharType="separate"/>
    </w:r>
    <w:r w:rsidRPr="00E90CEA">
      <w:rPr>
        <w:rStyle w:val="PageNumber"/>
        <w:rFonts w:ascii="Arial" w:hAnsi="Arial" w:cs="Arial"/>
        <w:noProof/>
        <w:sz w:val="22"/>
        <w:szCs w:val="22"/>
      </w:rPr>
      <w:t>16</w:t>
    </w:r>
    <w:r w:rsidRPr="00E90CEA">
      <w:rPr>
        <w:rStyle w:val="PageNumber"/>
        <w:rFonts w:ascii="Arial" w:hAnsi="Arial" w:cs="Arial"/>
        <w:sz w:val="22"/>
        <w:szCs w:val="22"/>
      </w:rPr>
      <w:fldChar w:fldCharType="end"/>
    </w:r>
  </w:p>
  <w:p w14:paraId="6E6CB695" w14:textId="77777777" w:rsidR="008E54DB" w:rsidRDefault="008E54DB" w:rsidP="004E3E3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47A80" w14:textId="77777777" w:rsidR="00F55253" w:rsidRDefault="00F55253" w:rsidP="00C67CCA">
      <w:r>
        <w:separator/>
      </w:r>
    </w:p>
  </w:footnote>
  <w:footnote w:type="continuationSeparator" w:id="0">
    <w:p w14:paraId="2D0A0EC6" w14:textId="77777777" w:rsidR="00F55253" w:rsidRDefault="00F55253" w:rsidP="00C67CCA">
      <w:r>
        <w:continuationSeparator/>
      </w:r>
    </w:p>
  </w:footnote>
  <w:footnote w:id="1">
    <w:p w14:paraId="7410D7FE" w14:textId="20B78E3A" w:rsidR="008E54DB" w:rsidRPr="00E314F6" w:rsidRDefault="008E54DB">
      <w:pPr>
        <w:pStyle w:val="FootnoteText"/>
        <w:rPr>
          <w:lang w:val="es-ES"/>
        </w:rPr>
      </w:pPr>
      <w:r>
        <w:rPr>
          <w:rStyle w:val="FootnoteReference"/>
        </w:rPr>
        <w:footnoteRef/>
      </w:r>
      <w:r w:rsidRPr="00E314F6">
        <w:rPr>
          <w:lang w:val="es-ES"/>
        </w:rPr>
        <w:t xml:space="preserve"> </w:t>
      </w:r>
      <w:r w:rsidRPr="00E314F6">
        <w:rPr>
          <w:sz w:val="20"/>
          <w:szCs w:val="20"/>
          <w:lang w:val="es-ES"/>
        </w:rPr>
        <w:t>Por el tipo de operación (PBL) los productos son entregados de manera ex ante</w:t>
      </w:r>
    </w:p>
  </w:footnote>
  <w:footnote w:id="2">
    <w:p w14:paraId="0DEB2AF1" w14:textId="77777777" w:rsidR="008E54DB" w:rsidRPr="00A628FD" w:rsidRDefault="008E54DB" w:rsidP="000279A7">
      <w:pPr>
        <w:pStyle w:val="FootnoteText"/>
        <w:ind w:left="547" w:hanging="547"/>
        <w:jc w:val="both"/>
        <w:rPr>
          <w:rFonts w:ascii="Arial" w:hAnsi="Arial" w:cs="Arial"/>
          <w:sz w:val="18"/>
          <w:szCs w:val="18"/>
          <w:lang w:val="es-CO"/>
        </w:rPr>
      </w:pPr>
      <w:r w:rsidRPr="00A628FD">
        <w:rPr>
          <w:rStyle w:val="FootnoteReference"/>
          <w:rFonts w:ascii="Arial" w:hAnsi="Arial" w:cs="Arial"/>
          <w:sz w:val="18"/>
          <w:szCs w:val="18"/>
        </w:rPr>
        <w:footnoteRef/>
      </w:r>
      <w:r w:rsidRPr="00A628FD">
        <w:rPr>
          <w:rFonts w:ascii="Arial" w:hAnsi="Arial" w:cs="Arial"/>
          <w:sz w:val="18"/>
          <w:szCs w:val="18"/>
          <w:lang w:val="es-CO"/>
        </w:rPr>
        <w:t xml:space="preserve"> </w:t>
      </w:r>
      <w:r w:rsidRPr="00A628FD">
        <w:rPr>
          <w:rFonts w:ascii="Arial" w:hAnsi="Arial" w:cs="Arial"/>
          <w:sz w:val="18"/>
          <w:szCs w:val="18"/>
          <w:lang w:val="es-CO"/>
        </w:rPr>
        <w:tab/>
      </w:r>
      <w:bookmarkStart w:id="20" w:name="_Hlk493010271"/>
      <w:bookmarkStart w:id="21" w:name="_Hlk510964267"/>
      <w:r w:rsidRPr="00A628FD">
        <w:rPr>
          <w:rFonts w:ascii="Arial" w:hAnsi="Arial" w:cs="Arial"/>
          <w:sz w:val="18"/>
          <w:szCs w:val="18"/>
          <w:lang w:val="es-CO"/>
        </w:rPr>
        <w:t>Cabello R. &amp; I. Alarcón</w:t>
      </w:r>
      <w:bookmarkEnd w:id="20"/>
      <w:r w:rsidRPr="00A628FD">
        <w:rPr>
          <w:rFonts w:ascii="Arial" w:hAnsi="Arial" w:cs="Arial"/>
          <w:sz w:val="18"/>
          <w:szCs w:val="18"/>
          <w:lang w:val="es-CO"/>
        </w:rPr>
        <w:t xml:space="preserve">. </w:t>
      </w:r>
      <w:r w:rsidRPr="00A628FD">
        <w:rPr>
          <w:rFonts w:ascii="Arial" w:hAnsi="Arial" w:cs="Arial"/>
          <w:bCs/>
          <w:sz w:val="18"/>
          <w:szCs w:val="18"/>
          <w:lang w:val="es-ES"/>
        </w:rPr>
        <w:t xml:space="preserve">Actualización del Estudio de Plan de Obras para la Generación y Transmisión del SENI, 2018-2030. </w:t>
      </w:r>
      <w:r w:rsidRPr="00A628FD">
        <w:rPr>
          <w:rFonts w:ascii="Arial" w:hAnsi="Arial" w:cs="Arial"/>
          <w:sz w:val="18"/>
          <w:szCs w:val="18"/>
          <w:lang w:val="es-ES"/>
        </w:rPr>
        <w:t xml:space="preserve">República Dominicana.  Consultoría para el BID. </w:t>
      </w:r>
      <w:r>
        <w:rPr>
          <w:rFonts w:ascii="Arial" w:hAnsi="Arial" w:cs="Arial"/>
          <w:sz w:val="18"/>
          <w:szCs w:val="18"/>
          <w:lang w:val="es-ES"/>
        </w:rPr>
        <w:t>Octubre</w:t>
      </w:r>
      <w:r w:rsidRPr="00A628FD">
        <w:rPr>
          <w:rFonts w:ascii="Arial" w:hAnsi="Arial" w:cs="Arial"/>
          <w:sz w:val="18"/>
          <w:szCs w:val="18"/>
          <w:lang w:val="es-ES"/>
        </w:rPr>
        <w:t xml:space="preserve"> 2017</w:t>
      </w:r>
      <w:bookmarkEnd w:id="21"/>
      <w:r w:rsidRPr="00A628FD">
        <w:rPr>
          <w:rFonts w:ascii="Arial" w:hAnsi="Arial" w:cs="Arial"/>
          <w:sz w:val="18"/>
          <w:szCs w:val="18"/>
          <w:lang w:val="es-ES"/>
        </w:rPr>
        <w:t>.</w:t>
      </w:r>
    </w:p>
  </w:footnote>
  <w:footnote w:id="3">
    <w:p w14:paraId="5AB2D06D" w14:textId="75F9B581" w:rsidR="008E54DB" w:rsidRPr="002964DE" w:rsidRDefault="008E54DB" w:rsidP="00B32F63">
      <w:pPr>
        <w:pStyle w:val="FootnoteText"/>
        <w:ind w:left="547" w:hanging="547"/>
        <w:jc w:val="both"/>
        <w:rPr>
          <w:lang w:val="es-ES"/>
        </w:rPr>
      </w:pPr>
      <w:r>
        <w:rPr>
          <w:rStyle w:val="FootnoteReference"/>
        </w:rPr>
        <w:footnoteRef/>
      </w:r>
      <w:r w:rsidRPr="002964DE">
        <w:rPr>
          <w:lang w:val="es-ES"/>
        </w:rPr>
        <w:t xml:space="preserve"> </w:t>
      </w:r>
      <w:r w:rsidRPr="002964DE">
        <w:rPr>
          <w:lang w:val="es-ES"/>
        </w:rPr>
        <w:tab/>
      </w:r>
      <w:proofErr w:type="spellStart"/>
      <w:r w:rsidRPr="00B32F63">
        <w:rPr>
          <w:rFonts w:ascii="Arial" w:hAnsi="Arial" w:cs="Arial"/>
          <w:sz w:val="18"/>
          <w:szCs w:val="18"/>
          <w:lang w:val="es-CO"/>
        </w:rPr>
        <w:t>Power</w:t>
      </w:r>
      <w:proofErr w:type="spellEnd"/>
      <w:r w:rsidRPr="00B32F63">
        <w:rPr>
          <w:rFonts w:ascii="Arial" w:hAnsi="Arial" w:cs="Arial"/>
          <w:bCs/>
          <w:sz w:val="18"/>
          <w:szCs w:val="18"/>
          <w:lang w:val="es-ES"/>
        </w:rPr>
        <w:t xml:space="preserve"> </w:t>
      </w:r>
      <w:proofErr w:type="spellStart"/>
      <w:r w:rsidRPr="00B32F63">
        <w:rPr>
          <w:rFonts w:ascii="Arial" w:hAnsi="Arial" w:cs="Arial"/>
          <w:bCs/>
          <w:sz w:val="18"/>
          <w:szCs w:val="18"/>
          <w:lang w:val="es-ES"/>
        </w:rPr>
        <w:t>Electricity</w:t>
      </w:r>
      <w:proofErr w:type="spellEnd"/>
      <w:r w:rsidRPr="00B32F63">
        <w:rPr>
          <w:rFonts w:ascii="Arial" w:hAnsi="Arial" w:cs="Arial"/>
          <w:bCs/>
          <w:sz w:val="18"/>
          <w:szCs w:val="18"/>
          <w:lang w:val="es-ES"/>
        </w:rPr>
        <w:t xml:space="preserve"> </w:t>
      </w:r>
      <w:proofErr w:type="spellStart"/>
      <w:r w:rsidRPr="00B32F63">
        <w:rPr>
          <w:rFonts w:ascii="Arial" w:hAnsi="Arial" w:cs="Arial"/>
          <w:bCs/>
          <w:sz w:val="18"/>
          <w:szCs w:val="18"/>
          <w:lang w:val="es-ES"/>
        </w:rPr>
        <w:t>Timetable</w:t>
      </w:r>
      <w:proofErr w:type="spellEnd"/>
      <w:r w:rsidRPr="00B32F63">
        <w:rPr>
          <w:rFonts w:ascii="Arial" w:hAnsi="Arial" w:cs="Arial"/>
          <w:bCs/>
          <w:sz w:val="18"/>
          <w:szCs w:val="18"/>
          <w:lang w:val="es-ES"/>
        </w:rPr>
        <w:t xml:space="preserve"> (PET)</w:t>
      </w:r>
      <w:r>
        <w:rPr>
          <w:rFonts w:ascii="Arial" w:hAnsi="Arial" w:cs="Arial"/>
          <w:bCs/>
          <w:sz w:val="18"/>
          <w:szCs w:val="18"/>
          <w:lang w:val="es-ES"/>
        </w:rPr>
        <w:t>.</w:t>
      </w:r>
    </w:p>
  </w:footnote>
  <w:footnote w:id="4">
    <w:p w14:paraId="4495B4DD" w14:textId="77777777" w:rsidR="008E54DB" w:rsidRPr="00F0242C" w:rsidRDefault="008E54DB" w:rsidP="00CE685D">
      <w:pPr>
        <w:pStyle w:val="FootnoteText"/>
        <w:ind w:left="900"/>
        <w:rPr>
          <w:rFonts w:ascii="Arial" w:hAnsi="Arial" w:cs="Arial"/>
          <w:sz w:val="18"/>
          <w:szCs w:val="18"/>
          <w:lang w:val="es-US"/>
        </w:rPr>
      </w:pPr>
      <w:r w:rsidRPr="00F0242C">
        <w:rPr>
          <w:rStyle w:val="FootnoteReference"/>
          <w:rFonts w:ascii="Arial" w:hAnsi="Arial" w:cs="Arial"/>
          <w:sz w:val="18"/>
          <w:szCs w:val="18"/>
          <w:vertAlign w:val="baseline"/>
        </w:rPr>
        <w:footnoteRef/>
      </w:r>
      <w:r w:rsidRPr="00F0242C">
        <w:rPr>
          <w:rFonts w:ascii="Arial" w:hAnsi="Arial" w:cs="Arial"/>
          <w:sz w:val="18"/>
          <w:szCs w:val="18"/>
          <w:lang w:val="es-US"/>
        </w:rPr>
        <w:t xml:space="preserve"> </w:t>
      </w:r>
      <w:r w:rsidRPr="00F0242C">
        <w:rPr>
          <w:rFonts w:ascii="Arial" w:hAnsi="Arial" w:cs="Arial"/>
          <w:sz w:val="18"/>
          <w:szCs w:val="18"/>
          <w:lang w:val="es-US"/>
        </w:rPr>
        <w:tab/>
        <w:t>Por ejemplo, en las áreas con compromisos con las Metas de Desarrollo Sostenible.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C75AD"/>
    <w:multiLevelType w:val="hybridMultilevel"/>
    <w:tmpl w:val="C382F0C0"/>
    <w:lvl w:ilvl="0" w:tplc="55B2F3E2">
      <w:start w:val="1"/>
      <w:numFmt w:val="lowerLetter"/>
      <w:lvlText w:val="%1)"/>
      <w:lvlJc w:val="left"/>
      <w:pPr>
        <w:ind w:left="2070" w:hanging="360"/>
      </w:pPr>
      <w:rPr>
        <w:rFonts w:ascii="Arial" w:eastAsia="Times New Roman" w:hAnsi="Arial" w:cs="Arial" w:hint="default"/>
        <w:color w:val="0000FF" w:themeColor="hyperlink"/>
        <w:sz w:val="22"/>
        <w:u w:val="single"/>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 w15:restartNumberingAfterBreak="0">
    <w:nsid w:val="0DAB7FC9"/>
    <w:multiLevelType w:val="multilevel"/>
    <w:tmpl w:val="83D8661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826"/>
        </w:tabs>
        <w:ind w:left="282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E0B6CF3"/>
    <w:multiLevelType w:val="hybridMultilevel"/>
    <w:tmpl w:val="7F2077CE"/>
    <w:lvl w:ilvl="0" w:tplc="8FF89194">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C96817"/>
    <w:multiLevelType w:val="multilevel"/>
    <w:tmpl w:val="6CE60F8A"/>
    <w:lvl w:ilvl="0">
      <w:start w:val="1"/>
      <w:numFmt w:val="decimal"/>
      <w:lvlText w:val="%1."/>
      <w:lvlJc w:val="left"/>
      <w:pPr>
        <w:ind w:left="490" w:hanging="360"/>
      </w:pPr>
      <w:rPr>
        <w:rFonts w:hint="default"/>
      </w:rPr>
    </w:lvl>
    <w:lvl w:ilvl="1">
      <w:start w:val="1"/>
      <w:numFmt w:val="lowerRoman"/>
      <w:lvlText w:val="(%2)"/>
      <w:lvlJc w:val="left"/>
      <w:pPr>
        <w:ind w:left="1570" w:hanging="720"/>
      </w:pPr>
      <w:rPr>
        <w:rFonts w:hint="default"/>
      </w:rPr>
    </w:lvl>
    <w:lvl w:ilvl="2">
      <w:start w:val="1"/>
      <w:numFmt w:val="lowerRoman"/>
      <w:lvlText w:val="%3."/>
      <w:lvlJc w:val="right"/>
      <w:pPr>
        <w:ind w:left="1930" w:hanging="180"/>
      </w:pPr>
    </w:lvl>
    <w:lvl w:ilvl="3">
      <w:start w:val="1"/>
      <w:numFmt w:val="decimal"/>
      <w:lvlText w:val="%4."/>
      <w:lvlJc w:val="left"/>
      <w:pPr>
        <w:ind w:left="2650" w:hanging="360"/>
      </w:pPr>
    </w:lvl>
    <w:lvl w:ilvl="4" w:tentative="1">
      <w:start w:val="1"/>
      <w:numFmt w:val="lowerLetter"/>
      <w:lvlText w:val="%5."/>
      <w:lvlJc w:val="left"/>
      <w:pPr>
        <w:ind w:left="3370" w:hanging="360"/>
      </w:pPr>
    </w:lvl>
    <w:lvl w:ilvl="5" w:tentative="1">
      <w:start w:val="1"/>
      <w:numFmt w:val="lowerRoman"/>
      <w:lvlText w:val="%6."/>
      <w:lvlJc w:val="right"/>
      <w:pPr>
        <w:ind w:left="4090" w:hanging="180"/>
      </w:pPr>
    </w:lvl>
    <w:lvl w:ilvl="6" w:tentative="1">
      <w:start w:val="1"/>
      <w:numFmt w:val="decimal"/>
      <w:lvlText w:val="%7."/>
      <w:lvlJc w:val="left"/>
      <w:pPr>
        <w:ind w:left="4810" w:hanging="360"/>
      </w:pPr>
    </w:lvl>
    <w:lvl w:ilvl="7" w:tentative="1">
      <w:start w:val="1"/>
      <w:numFmt w:val="lowerLetter"/>
      <w:lvlText w:val="%8."/>
      <w:lvlJc w:val="left"/>
      <w:pPr>
        <w:ind w:left="5530" w:hanging="360"/>
      </w:pPr>
    </w:lvl>
    <w:lvl w:ilvl="8" w:tentative="1">
      <w:start w:val="1"/>
      <w:numFmt w:val="lowerRoman"/>
      <w:lvlText w:val="%9."/>
      <w:lvlJc w:val="right"/>
      <w:pPr>
        <w:ind w:left="6250" w:hanging="180"/>
      </w:pPr>
    </w:lvl>
  </w:abstractNum>
  <w:abstractNum w:abstractNumId="4" w15:restartNumberingAfterBreak="0">
    <w:nsid w:val="199D499D"/>
    <w:multiLevelType w:val="multilevel"/>
    <w:tmpl w:val="00A6402E"/>
    <w:lvl w:ilvl="0">
      <w:start w:val="1"/>
      <w:numFmt w:val="upperRoman"/>
      <w:lvlText w:val="%1."/>
      <w:lvlJc w:val="left"/>
      <w:pPr>
        <w:ind w:left="3150" w:hanging="720"/>
      </w:pPr>
      <w:rPr>
        <w:rFonts w:hint="default"/>
        <w:b/>
      </w:rPr>
    </w:lvl>
    <w:lvl w:ilvl="1">
      <w:start w:val="1"/>
      <w:numFmt w:val="decimal"/>
      <w:isLgl/>
      <w:lvlText w:val="%1.%2"/>
      <w:lvlJc w:val="left"/>
      <w:pPr>
        <w:ind w:left="1110"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5" w15:restartNumberingAfterBreak="0">
    <w:nsid w:val="200E6256"/>
    <w:multiLevelType w:val="hybridMultilevel"/>
    <w:tmpl w:val="7F648CD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15:restartNumberingAfterBreak="0">
    <w:nsid w:val="20D13899"/>
    <w:multiLevelType w:val="hybridMultilevel"/>
    <w:tmpl w:val="F93AEF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344D1B"/>
    <w:multiLevelType w:val="hybridMultilevel"/>
    <w:tmpl w:val="A0D8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D02B9"/>
    <w:multiLevelType w:val="hybridMultilevel"/>
    <w:tmpl w:val="3814D434"/>
    <w:lvl w:ilvl="0" w:tplc="8AD0D09A">
      <w:start w:val="1"/>
      <w:numFmt w:val="lowerLetter"/>
      <w:lvlText w:val="%1)"/>
      <w:lvlJc w:val="left"/>
      <w:pPr>
        <w:ind w:left="1170" w:hanging="360"/>
      </w:pPr>
      <w:rPr>
        <w:rFonts w:hint="default"/>
        <w:b/>
      </w:rPr>
    </w:lvl>
    <w:lvl w:ilvl="1" w:tplc="240A0019" w:tentative="1">
      <w:start w:val="1"/>
      <w:numFmt w:val="lowerLetter"/>
      <w:lvlText w:val="%2."/>
      <w:lvlJc w:val="left"/>
      <w:pPr>
        <w:ind w:left="1890" w:hanging="360"/>
      </w:pPr>
    </w:lvl>
    <w:lvl w:ilvl="2" w:tplc="240A001B" w:tentative="1">
      <w:start w:val="1"/>
      <w:numFmt w:val="lowerRoman"/>
      <w:lvlText w:val="%3."/>
      <w:lvlJc w:val="right"/>
      <w:pPr>
        <w:ind w:left="2610" w:hanging="180"/>
      </w:pPr>
    </w:lvl>
    <w:lvl w:ilvl="3" w:tplc="240A000F" w:tentative="1">
      <w:start w:val="1"/>
      <w:numFmt w:val="decimal"/>
      <w:lvlText w:val="%4."/>
      <w:lvlJc w:val="left"/>
      <w:pPr>
        <w:ind w:left="3330" w:hanging="360"/>
      </w:pPr>
    </w:lvl>
    <w:lvl w:ilvl="4" w:tplc="240A0019" w:tentative="1">
      <w:start w:val="1"/>
      <w:numFmt w:val="lowerLetter"/>
      <w:lvlText w:val="%5."/>
      <w:lvlJc w:val="left"/>
      <w:pPr>
        <w:ind w:left="4050" w:hanging="360"/>
      </w:pPr>
    </w:lvl>
    <w:lvl w:ilvl="5" w:tplc="240A001B" w:tentative="1">
      <w:start w:val="1"/>
      <w:numFmt w:val="lowerRoman"/>
      <w:lvlText w:val="%6."/>
      <w:lvlJc w:val="right"/>
      <w:pPr>
        <w:ind w:left="4770" w:hanging="180"/>
      </w:pPr>
    </w:lvl>
    <w:lvl w:ilvl="6" w:tplc="240A000F" w:tentative="1">
      <w:start w:val="1"/>
      <w:numFmt w:val="decimal"/>
      <w:lvlText w:val="%7."/>
      <w:lvlJc w:val="left"/>
      <w:pPr>
        <w:ind w:left="5490" w:hanging="360"/>
      </w:pPr>
    </w:lvl>
    <w:lvl w:ilvl="7" w:tplc="240A0019" w:tentative="1">
      <w:start w:val="1"/>
      <w:numFmt w:val="lowerLetter"/>
      <w:lvlText w:val="%8."/>
      <w:lvlJc w:val="left"/>
      <w:pPr>
        <w:ind w:left="6210" w:hanging="360"/>
      </w:pPr>
    </w:lvl>
    <w:lvl w:ilvl="8" w:tplc="240A001B" w:tentative="1">
      <w:start w:val="1"/>
      <w:numFmt w:val="lowerRoman"/>
      <w:lvlText w:val="%9."/>
      <w:lvlJc w:val="right"/>
      <w:pPr>
        <w:ind w:left="6930" w:hanging="180"/>
      </w:pPr>
    </w:lvl>
  </w:abstractNum>
  <w:abstractNum w:abstractNumId="9" w15:restartNumberingAfterBreak="0">
    <w:nsid w:val="2A6E0A9B"/>
    <w:multiLevelType w:val="multilevel"/>
    <w:tmpl w:val="00A6402E"/>
    <w:lvl w:ilvl="0">
      <w:start w:val="1"/>
      <w:numFmt w:val="upperRoman"/>
      <w:lvlText w:val="%1."/>
      <w:lvlJc w:val="left"/>
      <w:pPr>
        <w:ind w:left="3150" w:hanging="720"/>
      </w:pPr>
      <w:rPr>
        <w:rFonts w:hint="default"/>
        <w:b/>
      </w:rPr>
    </w:lvl>
    <w:lvl w:ilvl="1">
      <w:start w:val="1"/>
      <w:numFmt w:val="decimal"/>
      <w:isLgl/>
      <w:lvlText w:val="%1.%2"/>
      <w:lvlJc w:val="left"/>
      <w:pPr>
        <w:ind w:left="1110"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0" w15:restartNumberingAfterBreak="0">
    <w:nsid w:val="2CC4232B"/>
    <w:multiLevelType w:val="hybridMultilevel"/>
    <w:tmpl w:val="7F602660"/>
    <w:lvl w:ilvl="0" w:tplc="9378DE40">
      <w:start w:val="1"/>
      <w:numFmt w:val="decimal"/>
      <w:pStyle w:val="Banknumbered"/>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9F7118"/>
    <w:multiLevelType w:val="hybridMultilevel"/>
    <w:tmpl w:val="E2E63E0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12" w15:restartNumberingAfterBreak="0">
    <w:nsid w:val="2DE72B8D"/>
    <w:multiLevelType w:val="multilevel"/>
    <w:tmpl w:val="00A6402E"/>
    <w:lvl w:ilvl="0">
      <w:start w:val="1"/>
      <w:numFmt w:val="upperRoman"/>
      <w:lvlText w:val="%1."/>
      <w:lvlJc w:val="left"/>
      <w:pPr>
        <w:ind w:left="3150" w:hanging="720"/>
      </w:pPr>
      <w:rPr>
        <w:rFonts w:hint="default"/>
        <w:b/>
      </w:rPr>
    </w:lvl>
    <w:lvl w:ilvl="1">
      <w:start w:val="1"/>
      <w:numFmt w:val="decimal"/>
      <w:isLgl/>
      <w:lvlText w:val="%1.%2"/>
      <w:lvlJc w:val="left"/>
      <w:pPr>
        <w:ind w:left="1110"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3" w15:restartNumberingAfterBreak="0">
    <w:nsid w:val="32937366"/>
    <w:multiLevelType w:val="hybridMultilevel"/>
    <w:tmpl w:val="2AA2D456"/>
    <w:lvl w:ilvl="0" w:tplc="B2D88AB8">
      <w:start w:val="1"/>
      <w:numFmt w:val="lowerLetter"/>
      <w:lvlText w:val="%1)"/>
      <w:lvlJc w:val="left"/>
      <w:pPr>
        <w:ind w:left="1080" w:hanging="360"/>
      </w:pPr>
      <w:rPr>
        <w:rFonts w:ascii="Cambria" w:hAnsi="Cambria"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6B57AC3"/>
    <w:multiLevelType w:val="hybridMultilevel"/>
    <w:tmpl w:val="D7BE2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3D21E7"/>
    <w:multiLevelType w:val="hybridMultilevel"/>
    <w:tmpl w:val="09009EDE"/>
    <w:lvl w:ilvl="0" w:tplc="F5E4CA5E">
      <w:start w:val="2"/>
      <w:numFmt w:val="upperLetter"/>
      <w:lvlText w:val="%1."/>
      <w:lvlJc w:val="left"/>
      <w:pPr>
        <w:ind w:left="1080" w:hanging="360"/>
      </w:pPr>
      <w:rPr>
        <w:rFonts w:eastAsiaTheme="minorHAns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E47791B"/>
    <w:multiLevelType w:val="multilevel"/>
    <w:tmpl w:val="00A6402E"/>
    <w:lvl w:ilvl="0">
      <w:start w:val="1"/>
      <w:numFmt w:val="upperRoman"/>
      <w:lvlText w:val="%1."/>
      <w:lvlJc w:val="left"/>
      <w:pPr>
        <w:ind w:left="3150" w:hanging="720"/>
      </w:pPr>
      <w:rPr>
        <w:rFonts w:hint="default"/>
        <w:b/>
      </w:rPr>
    </w:lvl>
    <w:lvl w:ilvl="1">
      <w:start w:val="1"/>
      <w:numFmt w:val="decimal"/>
      <w:isLgl/>
      <w:lvlText w:val="%1.%2"/>
      <w:lvlJc w:val="left"/>
      <w:pPr>
        <w:ind w:left="1110"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8" w15:restartNumberingAfterBreak="0">
    <w:nsid w:val="441341B9"/>
    <w:multiLevelType w:val="hybridMultilevel"/>
    <w:tmpl w:val="A9A82C46"/>
    <w:lvl w:ilvl="0" w:tplc="A7260F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7132C"/>
    <w:multiLevelType w:val="multilevel"/>
    <w:tmpl w:val="9D4AACEE"/>
    <w:lvl w:ilvl="0">
      <w:start w:val="1"/>
      <w:numFmt w:val="upperRoman"/>
      <w:lvlText w:val="%1."/>
      <w:lvlJc w:val="left"/>
      <w:pPr>
        <w:ind w:left="1008" w:hanging="720"/>
      </w:pPr>
      <w:rPr>
        <w:rFonts w:hint="default"/>
      </w:rPr>
    </w:lvl>
    <w:lvl w:ilvl="1">
      <w:start w:val="1"/>
      <w:numFmt w:val="decimal"/>
      <w:isLgl/>
      <w:lvlText w:val="%1.%2"/>
      <w:lvlJc w:val="left"/>
      <w:pPr>
        <w:ind w:left="1008" w:hanging="720"/>
      </w:pPr>
      <w:rPr>
        <w:rFonts w:hint="default"/>
        <w:b w:val="0"/>
      </w:rPr>
    </w:lvl>
    <w:lvl w:ilvl="2">
      <w:start w:val="1"/>
      <w:numFmt w:val="decimal"/>
      <w:isLgl/>
      <w:lvlText w:val="%1.%2.%3"/>
      <w:lvlJc w:val="left"/>
      <w:pPr>
        <w:ind w:left="990"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20" w15:restartNumberingAfterBreak="0">
    <w:nsid w:val="4C3149E9"/>
    <w:multiLevelType w:val="multilevel"/>
    <w:tmpl w:val="00A6402E"/>
    <w:lvl w:ilvl="0">
      <w:start w:val="1"/>
      <w:numFmt w:val="upperRoman"/>
      <w:lvlText w:val="%1."/>
      <w:lvlJc w:val="left"/>
      <w:pPr>
        <w:ind w:left="3150" w:hanging="720"/>
      </w:pPr>
      <w:rPr>
        <w:rFonts w:hint="default"/>
        <w:b/>
      </w:rPr>
    </w:lvl>
    <w:lvl w:ilvl="1">
      <w:start w:val="1"/>
      <w:numFmt w:val="decimal"/>
      <w:isLgl/>
      <w:lvlText w:val="%1.%2"/>
      <w:lvlJc w:val="left"/>
      <w:pPr>
        <w:ind w:left="1110"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1" w15:restartNumberingAfterBreak="0">
    <w:nsid w:val="5D3C17D9"/>
    <w:multiLevelType w:val="hybridMultilevel"/>
    <w:tmpl w:val="468E0E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2" w15:restartNumberingAfterBreak="0">
    <w:nsid w:val="5EFA5509"/>
    <w:multiLevelType w:val="multilevel"/>
    <w:tmpl w:val="E8C8C7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C85320"/>
    <w:multiLevelType w:val="hybridMultilevel"/>
    <w:tmpl w:val="712C313E"/>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24" w15:restartNumberingAfterBreak="0">
    <w:nsid w:val="63127D63"/>
    <w:multiLevelType w:val="hybridMultilevel"/>
    <w:tmpl w:val="287A5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40A2685"/>
    <w:multiLevelType w:val="multilevel"/>
    <w:tmpl w:val="9D4AACEE"/>
    <w:lvl w:ilvl="0">
      <w:start w:val="1"/>
      <w:numFmt w:val="upperRoman"/>
      <w:lvlText w:val="%1."/>
      <w:lvlJc w:val="left"/>
      <w:pPr>
        <w:ind w:left="1008" w:hanging="720"/>
      </w:pPr>
      <w:rPr>
        <w:rFonts w:hint="default"/>
      </w:rPr>
    </w:lvl>
    <w:lvl w:ilvl="1">
      <w:start w:val="1"/>
      <w:numFmt w:val="decimal"/>
      <w:isLgl/>
      <w:lvlText w:val="%1.%2"/>
      <w:lvlJc w:val="left"/>
      <w:pPr>
        <w:ind w:left="1008" w:hanging="72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26"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7" w15:restartNumberingAfterBreak="0">
    <w:nsid w:val="6EC551C0"/>
    <w:multiLevelType w:val="hybridMultilevel"/>
    <w:tmpl w:val="6B90DFD4"/>
    <w:lvl w:ilvl="0" w:tplc="B3B0E2E0">
      <w:start w:val="1"/>
      <w:numFmt w:val="decimal"/>
      <w:lvlText w:val="%1."/>
      <w:lvlJc w:val="left"/>
      <w:pPr>
        <w:ind w:left="63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8" w15:restartNumberingAfterBreak="0">
    <w:nsid w:val="729F1026"/>
    <w:multiLevelType w:val="hybridMultilevel"/>
    <w:tmpl w:val="B6E6096C"/>
    <w:lvl w:ilvl="0" w:tplc="81EA6338">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C8203B"/>
    <w:multiLevelType w:val="multilevel"/>
    <w:tmpl w:val="9D4AACEE"/>
    <w:lvl w:ilvl="0">
      <w:start w:val="1"/>
      <w:numFmt w:val="upperRoman"/>
      <w:lvlText w:val="%1."/>
      <w:lvlJc w:val="left"/>
      <w:pPr>
        <w:ind w:left="1008" w:hanging="720"/>
      </w:pPr>
      <w:rPr>
        <w:rFonts w:hint="default"/>
      </w:rPr>
    </w:lvl>
    <w:lvl w:ilvl="1">
      <w:start w:val="1"/>
      <w:numFmt w:val="decimal"/>
      <w:isLgl/>
      <w:lvlText w:val="%1.%2"/>
      <w:lvlJc w:val="left"/>
      <w:pPr>
        <w:ind w:left="1008" w:hanging="72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30" w15:restartNumberingAfterBreak="0">
    <w:nsid w:val="79003460"/>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1" w15:restartNumberingAfterBreak="0">
    <w:nsid w:val="7FCD1F2A"/>
    <w:multiLevelType w:val="hybridMultilevel"/>
    <w:tmpl w:val="660E8D1C"/>
    <w:lvl w:ilvl="0" w:tplc="823CDE9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10"/>
  </w:num>
  <w:num w:numId="3">
    <w:abstractNumId w:val="5"/>
  </w:num>
  <w:num w:numId="4">
    <w:abstractNumId w:val="28"/>
  </w:num>
  <w:num w:numId="5">
    <w:abstractNumId w:val="18"/>
  </w:num>
  <w:num w:numId="6">
    <w:abstractNumId w:val="21"/>
  </w:num>
  <w:num w:numId="7">
    <w:abstractNumId w:val="12"/>
  </w:num>
  <w:num w:numId="8">
    <w:abstractNumId w:val="11"/>
  </w:num>
  <w:num w:numId="9">
    <w:abstractNumId w:val="2"/>
  </w:num>
  <w:num w:numId="10">
    <w:abstractNumId w:val="27"/>
  </w:num>
  <w:num w:numId="11">
    <w:abstractNumId w:val="6"/>
  </w:num>
  <w:num w:numId="12">
    <w:abstractNumId w:val="15"/>
  </w:num>
  <w:num w:numId="13">
    <w:abstractNumId w:val="13"/>
  </w:num>
  <w:num w:numId="14">
    <w:abstractNumId w:val="1"/>
  </w:num>
  <w:num w:numId="15">
    <w:abstractNumId w:val="8"/>
  </w:num>
  <w:num w:numId="16">
    <w:abstractNumId w:val="24"/>
  </w:num>
  <w:num w:numId="17">
    <w:abstractNumId w:val="0"/>
  </w:num>
  <w:num w:numId="18">
    <w:abstractNumId w:val="14"/>
  </w:num>
  <w:num w:numId="19">
    <w:abstractNumId w:val="19"/>
  </w:num>
  <w:num w:numId="20">
    <w:abstractNumId w:val="3"/>
  </w:num>
  <w:num w:numId="21">
    <w:abstractNumId w:val="25"/>
  </w:num>
  <w:num w:numId="22">
    <w:abstractNumId w:val="22"/>
  </w:num>
  <w:num w:numId="23">
    <w:abstractNumId w:val="7"/>
  </w:num>
  <w:num w:numId="24">
    <w:abstractNumId w:val="29"/>
  </w:num>
  <w:num w:numId="25">
    <w:abstractNumId w:val="20"/>
  </w:num>
  <w:num w:numId="26">
    <w:abstractNumId w:val="4"/>
  </w:num>
  <w:num w:numId="27">
    <w:abstractNumId w:val="17"/>
  </w:num>
  <w:num w:numId="28">
    <w:abstractNumId w:val="9"/>
  </w:num>
  <w:num w:numId="29">
    <w:abstractNumId w:val="16"/>
  </w:num>
  <w:num w:numId="30">
    <w:abstractNumId w:val="30"/>
  </w:num>
  <w:num w:numId="31">
    <w:abstractNumId w:val="31"/>
  </w:num>
  <w:num w:numId="32">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CCA"/>
    <w:rsid w:val="00003565"/>
    <w:rsid w:val="00007EFC"/>
    <w:rsid w:val="0001212A"/>
    <w:rsid w:val="00015A30"/>
    <w:rsid w:val="00021B45"/>
    <w:rsid w:val="000279A7"/>
    <w:rsid w:val="00067B26"/>
    <w:rsid w:val="000767AB"/>
    <w:rsid w:val="00080787"/>
    <w:rsid w:val="000816AE"/>
    <w:rsid w:val="000851C0"/>
    <w:rsid w:val="00085292"/>
    <w:rsid w:val="00086366"/>
    <w:rsid w:val="00093E96"/>
    <w:rsid w:val="00094626"/>
    <w:rsid w:val="000A6DAB"/>
    <w:rsid w:val="000B2B8C"/>
    <w:rsid w:val="000C6D09"/>
    <w:rsid w:val="000D5307"/>
    <w:rsid w:val="000D72DE"/>
    <w:rsid w:val="000E06D1"/>
    <w:rsid w:val="000E6516"/>
    <w:rsid w:val="000E7B30"/>
    <w:rsid w:val="000E7DBA"/>
    <w:rsid w:val="001012A3"/>
    <w:rsid w:val="0010449B"/>
    <w:rsid w:val="00106452"/>
    <w:rsid w:val="001232B2"/>
    <w:rsid w:val="00130EDD"/>
    <w:rsid w:val="00133449"/>
    <w:rsid w:val="00134076"/>
    <w:rsid w:val="0013778F"/>
    <w:rsid w:val="00150550"/>
    <w:rsid w:val="00151A36"/>
    <w:rsid w:val="001561BF"/>
    <w:rsid w:val="00172832"/>
    <w:rsid w:val="00173475"/>
    <w:rsid w:val="0017599E"/>
    <w:rsid w:val="00177133"/>
    <w:rsid w:val="00180051"/>
    <w:rsid w:val="00180211"/>
    <w:rsid w:val="00193C15"/>
    <w:rsid w:val="001A6236"/>
    <w:rsid w:val="001B5F38"/>
    <w:rsid w:val="001C27A0"/>
    <w:rsid w:val="001D340A"/>
    <w:rsid w:val="001E3BE1"/>
    <w:rsid w:val="002046DB"/>
    <w:rsid w:val="00212504"/>
    <w:rsid w:val="00217764"/>
    <w:rsid w:val="00232F8D"/>
    <w:rsid w:val="00247AAB"/>
    <w:rsid w:val="0025732D"/>
    <w:rsid w:val="00262C34"/>
    <w:rsid w:val="00265C60"/>
    <w:rsid w:val="002674A8"/>
    <w:rsid w:val="00272D99"/>
    <w:rsid w:val="00280074"/>
    <w:rsid w:val="00283DBD"/>
    <w:rsid w:val="002964DE"/>
    <w:rsid w:val="00297CCD"/>
    <w:rsid w:val="002A00DB"/>
    <w:rsid w:val="002A4BE1"/>
    <w:rsid w:val="002B1711"/>
    <w:rsid w:val="002C7879"/>
    <w:rsid w:val="002D57D2"/>
    <w:rsid w:val="002E1E6E"/>
    <w:rsid w:val="002E7ED8"/>
    <w:rsid w:val="002F04A2"/>
    <w:rsid w:val="002F2127"/>
    <w:rsid w:val="002F449A"/>
    <w:rsid w:val="00302267"/>
    <w:rsid w:val="00310D0E"/>
    <w:rsid w:val="00315C70"/>
    <w:rsid w:val="00317452"/>
    <w:rsid w:val="0032758E"/>
    <w:rsid w:val="003342DD"/>
    <w:rsid w:val="00336865"/>
    <w:rsid w:val="003371F8"/>
    <w:rsid w:val="0034176C"/>
    <w:rsid w:val="003524DE"/>
    <w:rsid w:val="00353BD7"/>
    <w:rsid w:val="003603C9"/>
    <w:rsid w:val="00373C3A"/>
    <w:rsid w:val="00375341"/>
    <w:rsid w:val="00380D60"/>
    <w:rsid w:val="00381339"/>
    <w:rsid w:val="00387B90"/>
    <w:rsid w:val="003A11E5"/>
    <w:rsid w:val="003B7AC1"/>
    <w:rsid w:val="003C0759"/>
    <w:rsid w:val="003C223C"/>
    <w:rsid w:val="003D2F44"/>
    <w:rsid w:val="003F45B5"/>
    <w:rsid w:val="003F5FED"/>
    <w:rsid w:val="0040000D"/>
    <w:rsid w:val="00416FAA"/>
    <w:rsid w:val="00425CB4"/>
    <w:rsid w:val="00437F09"/>
    <w:rsid w:val="004414EB"/>
    <w:rsid w:val="00444EF4"/>
    <w:rsid w:val="004467CD"/>
    <w:rsid w:val="00446B5A"/>
    <w:rsid w:val="00450A1D"/>
    <w:rsid w:val="00456A11"/>
    <w:rsid w:val="00466735"/>
    <w:rsid w:val="00475825"/>
    <w:rsid w:val="00483C9A"/>
    <w:rsid w:val="004875A9"/>
    <w:rsid w:val="004920DE"/>
    <w:rsid w:val="00493871"/>
    <w:rsid w:val="004947B7"/>
    <w:rsid w:val="00495F5B"/>
    <w:rsid w:val="004A32C5"/>
    <w:rsid w:val="004A600E"/>
    <w:rsid w:val="004B4C35"/>
    <w:rsid w:val="004B7A7C"/>
    <w:rsid w:val="004D648B"/>
    <w:rsid w:val="004E3E37"/>
    <w:rsid w:val="004E6002"/>
    <w:rsid w:val="004E6327"/>
    <w:rsid w:val="004F15D5"/>
    <w:rsid w:val="004F1D44"/>
    <w:rsid w:val="00502EA3"/>
    <w:rsid w:val="00510FA0"/>
    <w:rsid w:val="0051556C"/>
    <w:rsid w:val="00544DAF"/>
    <w:rsid w:val="0055130E"/>
    <w:rsid w:val="00554332"/>
    <w:rsid w:val="00556180"/>
    <w:rsid w:val="005654C3"/>
    <w:rsid w:val="00571C50"/>
    <w:rsid w:val="005904DA"/>
    <w:rsid w:val="00592366"/>
    <w:rsid w:val="005938B5"/>
    <w:rsid w:val="0059501A"/>
    <w:rsid w:val="005A1E12"/>
    <w:rsid w:val="005A6987"/>
    <w:rsid w:val="005B1523"/>
    <w:rsid w:val="005B4C61"/>
    <w:rsid w:val="005B72F7"/>
    <w:rsid w:val="005C2174"/>
    <w:rsid w:val="00604511"/>
    <w:rsid w:val="00605BB9"/>
    <w:rsid w:val="00612ADA"/>
    <w:rsid w:val="006135A7"/>
    <w:rsid w:val="006342DD"/>
    <w:rsid w:val="006349F5"/>
    <w:rsid w:val="006424F0"/>
    <w:rsid w:val="00643525"/>
    <w:rsid w:val="00643550"/>
    <w:rsid w:val="00652582"/>
    <w:rsid w:val="00652AD4"/>
    <w:rsid w:val="00653EAE"/>
    <w:rsid w:val="00666FBA"/>
    <w:rsid w:val="00677C2F"/>
    <w:rsid w:val="00685774"/>
    <w:rsid w:val="006A1014"/>
    <w:rsid w:val="006A13A1"/>
    <w:rsid w:val="006A624A"/>
    <w:rsid w:val="006C102A"/>
    <w:rsid w:val="006D0BE0"/>
    <w:rsid w:val="006D323A"/>
    <w:rsid w:val="006F1F39"/>
    <w:rsid w:val="006F266E"/>
    <w:rsid w:val="006F276B"/>
    <w:rsid w:val="006F594C"/>
    <w:rsid w:val="006F7944"/>
    <w:rsid w:val="00713023"/>
    <w:rsid w:val="00726CC0"/>
    <w:rsid w:val="007314CA"/>
    <w:rsid w:val="00734B17"/>
    <w:rsid w:val="00737286"/>
    <w:rsid w:val="007428BF"/>
    <w:rsid w:val="00750A10"/>
    <w:rsid w:val="00761495"/>
    <w:rsid w:val="007673EA"/>
    <w:rsid w:val="00776B44"/>
    <w:rsid w:val="00784A33"/>
    <w:rsid w:val="00791B8F"/>
    <w:rsid w:val="007A3797"/>
    <w:rsid w:val="007A4E86"/>
    <w:rsid w:val="007B4116"/>
    <w:rsid w:val="007B7655"/>
    <w:rsid w:val="007C7B2E"/>
    <w:rsid w:val="007E3475"/>
    <w:rsid w:val="007F4739"/>
    <w:rsid w:val="007F70D4"/>
    <w:rsid w:val="008135FE"/>
    <w:rsid w:val="008143D0"/>
    <w:rsid w:val="008201F6"/>
    <w:rsid w:val="00826EFE"/>
    <w:rsid w:val="0085459B"/>
    <w:rsid w:val="0086649C"/>
    <w:rsid w:val="00874513"/>
    <w:rsid w:val="00876637"/>
    <w:rsid w:val="00894C65"/>
    <w:rsid w:val="008A3E04"/>
    <w:rsid w:val="008E0541"/>
    <w:rsid w:val="008E54DB"/>
    <w:rsid w:val="008F2F61"/>
    <w:rsid w:val="009004B9"/>
    <w:rsid w:val="009041D4"/>
    <w:rsid w:val="00930B10"/>
    <w:rsid w:val="00933497"/>
    <w:rsid w:val="00936C05"/>
    <w:rsid w:val="00941031"/>
    <w:rsid w:val="00951748"/>
    <w:rsid w:val="0095305F"/>
    <w:rsid w:val="00955AD6"/>
    <w:rsid w:val="00961D49"/>
    <w:rsid w:val="00965F2B"/>
    <w:rsid w:val="009713A0"/>
    <w:rsid w:val="0097728B"/>
    <w:rsid w:val="00985491"/>
    <w:rsid w:val="0098751B"/>
    <w:rsid w:val="009877BD"/>
    <w:rsid w:val="00987F7A"/>
    <w:rsid w:val="00992EA6"/>
    <w:rsid w:val="00996E43"/>
    <w:rsid w:val="009A33DB"/>
    <w:rsid w:val="009A4445"/>
    <w:rsid w:val="009A70E4"/>
    <w:rsid w:val="009A7286"/>
    <w:rsid w:val="009A7E33"/>
    <w:rsid w:val="009D7694"/>
    <w:rsid w:val="009F3764"/>
    <w:rsid w:val="00A052D1"/>
    <w:rsid w:val="00A13A5D"/>
    <w:rsid w:val="00A16631"/>
    <w:rsid w:val="00A33992"/>
    <w:rsid w:val="00A356D4"/>
    <w:rsid w:val="00A36695"/>
    <w:rsid w:val="00A4124B"/>
    <w:rsid w:val="00A45157"/>
    <w:rsid w:val="00A475E8"/>
    <w:rsid w:val="00A71A66"/>
    <w:rsid w:val="00A821D3"/>
    <w:rsid w:val="00A846EA"/>
    <w:rsid w:val="00AB13F6"/>
    <w:rsid w:val="00AC3C25"/>
    <w:rsid w:val="00AC6C51"/>
    <w:rsid w:val="00AE0EB0"/>
    <w:rsid w:val="00AE2707"/>
    <w:rsid w:val="00AF480B"/>
    <w:rsid w:val="00B12BA7"/>
    <w:rsid w:val="00B17661"/>
    <w:rsid w:val="00B212C1"/>
    <w:rsid w:val="00B24727"/>
    <w:rsid w:val="00B24D18"/>
    <w:rsid w:val="00B32F63"/>
    <w:rsid w:val="00B334B3"/>
    <w:rsid w:val="00B41C15"/>
    <w:rsid w:val="00B5083F"/>
    <w:rsid w:val="00B511A3"/>
    <w:rsid w:val="00B552ED"/>
    <w:rsid w:val="00B56DFB"/>
    <w:rsid w:val="00B624F0"/>
    <w:rsid w:val="00B644A7"/>
    <w:rsid w:val="00B727D6"/>
    <w:rsid w:val="00B85CA7"/>
    <w:rsid w:val="00B86F30"/>
    <w:rsid w:val="00BB1F41"/>
    <w:rsid w:val="00BC1CB6"/>
    <w:rsid w:val="00BD4227"/>
    <w:rsid w:val="00BD6CCE"/>
    <w:rsid w:val="00C01B28"/>
    <w:rsid w:val="00C049E7"/>
    <w:rsid w:val="00C10B81"/>
    <w:rsid w:val="00C23A6B"/>
    <w:rsid w:val="00C3216A"/>
    <w:rsid w:val="00C42088"/>
    <w:rsid w:val="00C42924"/>
    <w:rsid w:val="00C456E2"/>
    <w:rsid w:val="00C47219"/>
    <w:rsid w:val="00C67CCA"/>
    <w:rsid w:val="00C7347E"/>
    <w:rsid w:val="00C736B6"/>
    <w:rsid w:val="00C812AF"/>
    <w:rsid w:val="00C82682"/>
    <w:rsid w:val="00C85FC1"/>
    <w:rsid w:val="00CA37B2"/>
    <w:rsid w:val="00CC0306"/>
    <w:rsid w:val="00CD2BD6"/>
    <w:rsid w:val="00CE685D"/>
    <w:rsid w:val="00CF513A"/>
    <w:rsid w:val="00CF6615"/>
    <w:rsid w:val="00D020BC"/>
    <w:rsid w:val="00D1469F"/>
    <w:rsid w:val="00D160A0"/>
    <w:rsid w:val="00D2248C"/>
    <w:rsid w:val="00D33576"/>
    <w:rsid w:val="00D34F20"/>
    <w:rsid w:val="00D402D4"/>
    <w:rsid w:val="00D46E99"/>
    <w:rsid w:val="00D5114A"/>
    <w:rsid w:val="00D52123"/>
    <w:rsid w:val="00D53B92"/>
    <w:rsid w:val="00D558DC"/>
    <w:rsid w:val="00D56189"/>
    <w:rsid w:val="00D56772"/>
    <w:rsid w:val="00D65312"/>
    <w:rsid w:val="00D85B3C"/>
    <w:rsid w:val="00D9110A"/>
    <w:rsid w:val="00D91C47"/>
    <w:rsid w:val="00D961E3"/>
    <w:rsid w:val="00DA16BE"/>
    <w:rsid w:val="00DA1F98"/>
    <w:rsid w:val="00DA37FD"/>
    <w:rsid w:val="00DC1D08"/>
    <w:rsid w:val="00DC711D"/>
    <w:rsid w:val="00DC77F6"/>
    <w:rsid w:val="00DD0804"/>
    <w:rsid w:val="00DD2EDC"/>
    <w:rsid w:val="00DD5D25"/>
    <w:rsid w:val="00DF35C2"/>
    <w:rsid w:val="00E121C1"/>
    <w:rsid w:val="00E14907"/>
    <w:rsid w:val="00E14EFB"/>
    <w:rsid w:val="00E23973"/>
    <w:rsid w:val="00E246FE"/>
    <w:rsid w:val="00E314F6"/>
    <w:rsid w:val="00E34F0A"/>
    <w:rsid w:val="00E42A27"/>
    <w:rsid w:val="00E42CAA"/>
    <w:rsid w:val="00E51388"/>
    <w:rsid w:val="00E52EB4"/>
    <w:rsid w:val="00E60424"/>
    <w:rsid w:val="00E640E4"/>
    <w:rsid w:val="00E65D83"/>
    <w:rsid w:val="00E673F6"/>
    <w:rsid w:val="00E71800"/>
    <w:rsid w:val="00E73389"/>
    <w:rsid w:val="00E87594"/>
    <w:rsid w:val="00E90CEA"/>
    <w:rsid w:val="00E9227F"/>
    <w:rsid w:val="00EC24D2"/>
    <w:rsid w:val="00EC48D4"/>
    <w:rsid w:val="00EC53F0"/>
    <w:rsid w:val="00EE04AE"/>
    <w:rsid w:val="00EE3542"/>
    <w:rsid w:val="00EF01D9"/>
    <w:rsid w:val="00EF2147"/>
    <w:rsid w:val="00EF3B9C"/>
    <w:rsid w:val="00EF3F43"/>
    <w:rsid w:val="00F0119E"/>
    <w:rsid w:val="00F01EAD"/>
    <w:rsid w:val="00F04002"/>
    <w:rsid w:val="00F041FA"/>
    <w:rsid w:val="00F135C7"/>
    <w:rsid w:val="00F14CA5"/>
    <w:rsid w:val="00F456FC"/>
    <w:rsid w:val="00F52B3B"/>
    <w:rsid w:val="00F55253"/>
    <w:rsid w:val="00F6150F"/>
    <w:rsid w:val="00F71498"/>
    <w:rsid w:val="00F727B1"/>
    <w:rsid w:val="00F80867"/>
    <w:rsid w:val="00F865C7"/>
    <w:rsid w:val="00FB15BA"/>
    <w:rsid w:val="00FC339F"/>
    <w:rsid w:val="00FD3291"/>
    <w:rsid w:val="00FE0B90"/>
    <w:rsid w:val="00FF2EE0"/>
    <w:rsid w:val="00FF3EFB"/>
    <w:rsid w:val="00FF7273"/>
    <w:rsid w:val="53E00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0BBC7B"/>
  <w15:docId w15:val="{643D285A-05F8-4DB4-A1D8-D7F49803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32C5"/>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basedOn w:val="Normal"/>
    <w:next w:val="Normal"/>
    <w:link w:val="Heading1Char"/>
    <w:uiPriority w:val="9"/>
    <w:qFormat/>
    <w:rsid w:val="00C10B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C67CCA"/>
    <w:pPr>
      <w:numPr>
        <w:ilvl w:val="6"/>
        <w:numId w:val="1"/>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C67CCA"/>
    <w:pPr>
      <w:numPr>
        <w:ilvl w:val="7"/>
        <w:numId w:val="1"/>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C67CCA"/>
    <w:pPr>
      <w:numPr>
        <w:ilvl w:val="8"/>
        <w:numId w:val="1"/>
      </w:numPr>
      <w:spacing w:before="240" w:after="60"/>
      <w:outlineLvl w:val="8"/>
    </w:pPr>
    <w:rPr>
      <w:rFonts w:ascii="Cambria" w:hAnsi="Cambria"/>
      <w:spacing w:val="0"/>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67CCA"/>
    <w:pPr>
      <w:tabs>
        <w:tab w:val="left" w:pos="3060"/>
      </w:tabs>
      <w:jc w:val="center"/>
    </w:pPr>
    <w:rPr>
      <w:spacing w:val="0"/>
      <w:lang w:val="x-none" w:eastAsia="x-none"/>
    </w:rPr>
  </w:style>
  <w:style w:type="character" w:customStyle="1" w:styleId="BodyTextChar">
    <w:name w:val="Body Text Char"/>
    <w:basedOn w:val="DefaultParagraphFont"/>
    <w:link w:val="BodyText"/>
    <w:rsid w:val="00C67CCA"/>
    <w:rPr>
      <w:rFonts w:ascii="Times New Roman" w:eastAsia="Times New Roman" w:hAnsi="Times New Roman" w:cs="Times New Roman"/>
      <w:sz w:val="24"/>
      <w:szCs w:val="20"/>
      <w:lang w:val="x-none" w:eastAsia="x-none"/>
    </w:rPr>
  </w:style>
  <w:style w:type="paragraph" w:styleId="ListParagraph">
    <w:name w:val="List Paragraph"/>
    <w:basedOn w:val="Normal"/>
    <w:link w:val="ListParagraphChar"/>
    <w:uiPriority w:val="34"/>
    <w:qFormat/>
    <w:rsid w:val="00C67CCA"/>
    <w:pPr>
      <w:ind w:left="720"/>
    </w:pPr>
  </w:style>
  <w:style w:type="paragraph" w:customStyle="1" w:styleId="Default">
    <w:name w:val="Default"/>
    <w:rsid w:val="00C67CCA"/>
    <w:pPr>
      <w:autoSpaceDE w:val="0"/>
      <w:autoSpaceDN w:val="0"/>
      <w:adjustRightInd w:val="0"/>
      <w:spacing w:after="0" w:line="240" w:lineRule="auto"/>
    </w:pPr>
    <w:rPr>
      <w:rFonts w:ascii="Times New Roman" w:eastAsia="Times New Roman" w:hAnsi="Times New Roman" w:cs="Times New Roman"/>
      <w:color w:val="000000"/>
      <w:sz w:val="24"/>
      <w:szCs w:val="24"/>
      <w:lang w:val="es-PY" w:eastAsia="es-PY"/>
    </w:rPr>
  </w:style>
  <w:style w:type="paragraph" w:styleId="FootnoteText">
    <w:name w:val="footnote text"/>
    <w:aliases w:val="fn,Texto de rodapé,nota_rodapé,nota de rodapé,Texto nota pie IIRSA,footnote,FOOTNOTES,single space,ALTS FOOTNOTE,Footnote Text Char1,Footnote Text Char Char,Note de bas de page Car,footnote text,Fodnotetekst Tegn,Fodnotetekst Tegn Char"/>
    <w:basedOn w:val="Normal"/>
    <w:link w:val="FootnoteTextChar"/>
    <w:uiPriority w:val="99"/>
    <w:unhideWhenUsed/>
    <w:rsid w:val="00C67CCA"/>
    <w:rPr>
      <w:rFonts w:asciiTheme="minorHAnsi" w:eastAsiaTheme="minorHAnsi" w:hAnsiTheme="minorHAnsi" w:cstheme="minorBidi"/>
      <w:spacing w:val="0"/>
      <w:szCs w:val="24"/>
      <w:lang w:val="en-US"/>
    </w:rPr>
  </w:style>
  <w:style w:type="character" w:customStyle="1" w:styleId="FootnoteTextChar">
    <w:name w:val="Footnote Text Char"/>
    <w:aliases w:val="fn Char,Texto de rodapé Char,nota_rodapé Char,nota de rodapé Char,Texto nota pie IIRSA Char,footnote Char,FOOTNOTES Char,single space Char,ALTS FOOTNOTE Char,Footnote Text Char1 Char,Footnote Text Char Char Char,footnote text Char"/>
    <w:basedOn w:val="DefaultParagraphFont"/>
    <w:link w:val="FootnoteText"/>
    <w:uiPriority w:val="99"/>
    <w:rsid w:val="00C67CCA"/>
    <w:rPr>
      <w:sz w:val="24"/>
      <w:szCs w:val="24"/>
    </w:rPr>
  </w:style>
  <w:style w:type="character" w:styleId="FootnoteReference">
    <w:name w:val="footnote reference"/>
    <w:aliases w:val="referencia nota al pie,ftref,Footnote Referencefra,FC,titulo 2,Style 24,pie pddes,Fußnotenzeichen DISS,16 Point,Superscript 6 Point"/>
    <w:basedOn w:val="DefaultParagraphFont"/>
    <w:uiPriority w:val="99"/>
    <w:unhideWhenUsed/>
    <w:rsid w:val="00C67CCA"/>
    <w:rPr>
      <w:vertAlign w:val="superscript"/>
    </w:rPr>
  </w:style>
  <w:style w:type="character" w:customStyle="1" w:styleId="Heading7Char">
    <w:name w:val="Heading 7 Char"/>
    <w:basedOn w:val="DefaultParagraphFont"/>
    <w:link w:val="Heading7"/>
    <w:rsid w:val="00C67CCA"/>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C67CCA"/>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rsid w:val="00C67CCA"/>
    <w:rPr>
      <w:rFonts w:ascii="Cambria" w:eastAsia="Times New Roman" w:hAnsi="Cambria" w:cs="Times New Roman"/>
      <w:lang w:val="x-none" w:eastAsia="x-none"/>
    </w:rPr>
  </w:style>
  <w:style w:type="paragraph" w:styleId="Title">
    <w:name w:val="Title"/>
    <w:basedOn w:val="Normal"/>
    <w:link w:val="TitleChar"/>
    <w:qFormat/>
    <w:rsid w:val="00C67CCA"/>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C67CCA"/>
    <w:rPr>
      <w:rFonts w:ascii="Times New Roman" w:eastAsia="Times New Roman" w:hAnsi="Times New Roman" w:cs="Times New Roman"/>
      <w:sz w:val="24"/>
      <w:szCs w:val="20"/>
      <w:lang w:val="x-none" w:eastAsia="x-none"/>
    </w:rPr>
  </w:style>
  <w:style w:type="paragraph" w:customStyle="1" w:styleId="Newpage">
    <w:name w:val="Newpage"/>
    <w:basedOn w:val="Normal"/>
    <w:rsid w:val="00C67CCA"/>
    <w:pPr>
      <w:tabs>
        <w:tab w:val="left" w:pos="1440"/>
        <w:tab w:val="left" w:pos="3060"/>
      </w:tabs>
      <w:jc w:val="center"/>
    </w:pPr>
    <w:rPr>
      <w:rFonts w:cs="Arial"/>
      <w:b/>
      <w:smallCaps/>
    </w:rPr>
  </w:style>
  <w:style w:type="paragraph" w:customStyle="1" w:styleId="Chapter">
    <w:name w:val="Chapter"/>
    <w:basedOn w:val="Normal"/>
    <w:next w:val="Normal"/>
    <w:link w:val="ChapterChar"/>
    <w:rsid w:val="00C67CCA"/>
    <w:pPr>
      <w:keepNext/>
      <w:numPr>
        <w:numId w:val="1"/>
      </w:numPr>
      <w:tabs>
        <w:tab w:val="left" w:pos="1440"/>
      </w:tabs>
      <w:spacing w:before="240" w:after="240"/>
      <w:jc w:val="center"/>
    </w:pPr>
    <w:rPr>
      <w:rFonts w:eastAsia="Calibri"/>
      <w:b/>
      <w:smallCaps/>
      <w:spacing w:val="0"/>
      <w:szCs w:val="22"/>
      <w:lang w:val="x-none" w:eastAsia="x-none"/>
    </w:rPr>
  </w:style>
  <w:style w:type="character" w:customStyle="1" w:styleId="ChapterChar">
    <w:name w:val="Chapter Char"/>
    <w:link w:val="Chapter"/>
    <w:rsid w:val="00C67CCA"/>
    <w:rPr>
      <w:rFonts w:ascii="Times New Roman" w:eastAsia="Calibri" w:hAnsi="Times New Roman" w:cs="Times New Roman"/>
      <w:b/>
      <w:smallCaps/>
      <w:sz w:val="24"/>
      <w:lang w:val="x-none" w:eastAsia="x-none"/>
    </w:rPr>
  </w:style>
  <w:style w:type="paragraph" w:customStyle="1" w:styleId="Paragraph">
    <w:name w:val="Paragraph"/>
    <w:aliases w:val="paragraph,p,PARAGRAPH,PG,pa,at"/>
    <w:basedOn w:val="BodyTextIndent"/>
    <w:link w:val="ParagraphChar"/>
    <w:qFormat/>
    <w:rsid w:val="00C67CCA"/>
    <w:pPr>
      <w:tabs>
        <w:tab w:val="num" w:pos="720"/>
      </w:tabs>
      <w:spacing w:before="120"/>
      <w:ind w:hanging="720"/>
      <w:jc w:val="both"/>
      <w:outlineLvl w:val="1"/>
    </w:pPr>
    <w:rPr>
      <w:rFonts w:eastAsia="Calibri"/>
      <w:spacing w:val="0"/>
      <w:szCs w:val="22"/>
      <w:lang w:val="x-none" w:eastAsia="x-none"/>
    </w:rPr>
  </w:style>
  <w:style w:type="character" w:customStyle="1" w:styleId="ParagraphChar">
    <w:name w:val="Paragraph Char"/>
    <w:aliases w:val="paragraph Char,p Char,PARAGRAPH Char,PG Char,pa Char,at Char"/>
    <w:link w:val="Paragraph"/>
    <w:rsid w:val="00C67CCA"/>
    <w:rPr>
      <w:rFonts w:ascii="Times New Roman" w:eastAsia="Calibri" w:hAnsi="Times New Roman" w:cs="Times New Roman"/>
      <w:sz w:val="24"/>
      <w:lang w:val="x-none" w:eastAsia="x-none"/>
    </w:rPr>
  </w:style>
  <w:style w:type="paragraph" w:customStyle="1" w:styleId="TableTitle">
    <w:name w:val="TableTitle"/>
    <w:basedOn w:val="Normal"/>
    <w:link w:val="TableTitleChar"/>
    <w:rsid w:val="00C67CCA"/>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C67CCA"/>
    <w:rPr>
      <w:rFonts w:ascii="Times New Roman Bold" w:eastAsia="Times New Roman" w:hAnsi="Times New Roman Bold" w:cs="Times New Roman"/>
      <w:b/>
      <w:spacing w:val="-3"/>
      <w:sz w:val="20"/>
      <w:szCs w:val="20"/>
      <w:lang w:val="es-ES" w:eastAsia="x-none"/>
    </w:rPr>
  </w:style>
  <w:style w:type="paragraph" w:styleId="TOC3">
    <w:name w:val="toc 3"/>
    <w:basedOn w:val="Normal"/>
    <w:next w:val="Normal"/>
    <w:autoRedefine/>
    <w:uiPriority w:val="39"/>
    <w:qFormat/>
    <w:rsid w:val="00C67CCA"/>
    <w:pPr>
      <w:tabs>
        <w:tab w:val="left" w:pos="1728"/>
        <w:tab w:val="right" w:leader="dot" w:pos="8741"/>
      </w:tabs>
      <w:ind w:left="1714" w:hanging="562"/>
    </w:pPr>
    <w:rPr>
      <w:noProof/>
    </w:rPr>
  </w:style>
  <w:style w:type="paragraph" w:styleId="BodyText2">
    <w:name w:val="Body Text 2"/>
    <w:basedOn w:val="Normal"/>
    <w:link w:val="BodyText2Char"/>
    <w:rsid w:val="00C67CCA"/>
    <w:pPr>
      <w:spacing w:after="120" w:line="480" w:lineRule="auto"/>
    </w:pPr>
  </w:style>
  <w:style w:type="character" w:customStyle="1" w:styleId="BodyText2Char">
    <w:name w:val="Body Text 2 Char"/>
    <w:basedOn w:val="DefaultParagraphFont"/>
    <w:link w:val="BodyText2"/>
    <w:rsid w:val="00C67CCA"/>
    <w:rPr>
      <w:rFonts w:ascii="Times New Roman" w:eastAsia="Times New Roman" w:hAnsi="Times New Roman" w:cs="Times New Roman"/>
      <w:spacing w:val="-3"/>
      <w:sz w:val="24"/>
      <w:szCs w:val="20"/>
      <w:lang w:val="es-ES_tradnl"/>
    </w:rPr>
  </w:style>
  <w:style w:type="paragraph" w:styleId="BodyTextIndent">
    <w:name w:val="Body Text Indent"/>
    <w:basedOn w:val="Normal"/>
    <w:link w:val="BodyTextIndentChar"/>
    <w:uiPriority w:val="99"/>
    <w:semiHidden/>
    <w:unhideWhenUsed/>
    <w:rsid w:val="00C67CCA"/>
    <w:pPr>
      <w:spacing w:after="120"/>
      <w:ind w:left="360"/>
    </w:pPr>
  </w:style>
  <w:style w:type="character" w:customStyle="1" w:styleId="BodyTextIndentChar">
    <w:name w:val="Body Text Indent Char"/>
    <w:basedOn w:val="DefaultParagraphFont"/>
    <w:link w:val="BodyTextIndent"/>
    <w:uiPriority w:val="99"/>
    <w:semiHidden/>
    <w:rsid w:val="00C67CCA"/>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4E3E37"/>
    <w:pPr>
      <w:tabs>
        <w:tab w:val="center" w:pos="4252"/>
        <w:tab w:val="right" w:pos="8504"/>
      </w:tabs>
    </w:pPr>
  </w:style>
  <w:style w:type="character" w:customStyle="1" w:styleId="FooterChar">
    <w:name w:val="Footer Char"/>
    <w:basedOn w:val="DefaultParagraphFont"/>
    <w:link w:val="Footer"/>
    <w:uiPriority w:val="99"/>
    <w:rsid w:val="004E3E37"/>
    <w:rPr>
      <w:rFonts w:ascii="Times New Roman" w:eastAsia="Times New Roman" w:hAnsi="Times New Roman" w:cs="Times New Roman"/>
      <w:spacing w:val="-3"/>
      <w:sz w:val="24"/>
      <w:szCs w:val="20"/>
      <w:lang w:val="es-ES_tradnl"/>
    </w:rPr>
  </w:style>
  <w:style w:type="character" w:styleId="PageNumber">
    <w:name w:val="page number"/>
    <w:basedOn w:val="DefaultParagraphFont"/>
    <w:unhideWhenUsed/>
    <w:rsid w:val="004E3E37"/>
  </w:style>
  <w:style w:type="paragraph" w:styleId="Header">
    <w:name w:val="header"/>
    <w:basedOn w:val="Normal"/>
    <w:link w:val="HeaderChar"/>
    <w:unhideWhenUsed/>
    <w:rsid w:val="004E3E37"/>
    <w:pPr>
      <w:tabs>
        <w:tab w:val="center" w:pos="4252"/>
        <w:tab w:val="right" w:pos="8504"/>
      </w:tabs>
    </w:pPr>
  </w:style>
  <w:style w:type="character" w:customStyle="1" w:styleId="HeaderChar">
    <w:name w:val="Header Char"/>
    <w:basedOn w:val="DefaultParagraphFont"/>
    <w:link w:val="Header"/>
    <w:rsid w:val="004E3E37"/>
    <w:rPr>
      <w:rFonts w:ascii="Times New Roman" w:eastAsia="Times New Roman" w:hAnsi="Times New Roman" w:cs="Times New Roman"/>
      <w:spacing w:val="-3"/>
      <w:sz w:val="24"/>
      <w:szCs w:val="20"/>
      <w:lang w:val="es-ES_tradnl"/>
    </w:rPr>
  </w:style>
  <w:style w:type="character" w:styleId="CommentReference">
    <w:name w:val="annotation reference"/>
    <w:basedOn w:val="DefaultParagraphFont"/>
    <w:unhideWhenUsed/>
    <w:rsid w:val="00D5114A"/>
    <w:rPr>
      <w:sz w:val="16"/>
      <w:szCs w:val="16"/>
    </w:rPr>
  </w:style>
  <w:style w:type="paragraph" w:styleId="CommentText">
    <w:name w:val="annotation text"/>
    <w:basedOn w:val="Normal"/>
    <w:link w:val="CommentTextChar"/>
    <w:unhideWhenUsed/>
    <w:rsid w:val="00D5114A"/>
    <w:rPr>
      <w:sz w:val="20"/>
    </w:rPr>
  </w:style>
  <w:style w:type="character" w:customStyle="1" w:styleId="CommentTextChar">
    <w:name w:val="Comment Text Char"/>
    <w:basedOn w:val="DefaultParagraphFont"/>
    <w:link w:val="CommentText"/>
    <w:rsid w:val="00D5114A"/>
    <w:rPr>
      <w:rFonts w:ascii="Times New Roman" w:eastAsia="Times New Roman" w:hAnsi="Times New Roman" w:cs="Times New Roman"/>
      <w:spacing w:val="-3"/>
      <w:sz w:val="20"/>
      <w:szCs w:val="20"/>
      <w:lang w:val="es-ES_tradnl"/>
    </w:rPr>
  </w:style>
  <w:style w:type="paragraph" w:styleId="CommentSubject">
    <w:name w:val="annotation subject"/>
    <w:basedOn w:val="CommentText"/>
    <w:next w:val="CommentText"/>
    <w:link w:val="CommentSubjectChar"/>
    <w:uiPriority w:val="99"/>
    <w:semiHidden/>
    <w:unhideWhenUsed/>
    <w:rsid w:val="00D5114A"/>
    <w:rPr>
      <w:b/>
      <w:bCs/>
    </w:rPr>
  </w:style>
  <w:style w:type="character" w:customStyle="1" w:styleId="CommentSubjectChar">
    <w:name w:val="Comment Subject Char"/>
    <w:basedOn w:val="CommentTextChar"/>
    <w:link w:val="CommentSubject"/>
    <w:uiPriority w:val="99"/>
    <w:semiHidden/>
    <w:rsid w:val="00D5114A"/>
    <w:rPr>
      <w:rFonts w:ascii="Times New Roman" w:eastAsia="Times New Roman" w:hAnsi="Times New Roman" w:cs="Times New Roman"/>
      <w:b/>
      <w:bCs/>
      <w:spacing w:val="-3"/>
      <w:sz w:val="20"/>
      <w:szCs w:val="20"/>
      <w:lang w:val="es-ES_tradnl"/>
    </w:rPr>
  </w:style>
  <w:style w:type="paragraph" w:styleId="BalloonText">
    <w:name w:val="Balloon Text"/>
    <w:basedOn w:val="Normal"/>
    <w:link w:val="BalloonTextChar"/>
    <w:uiPriority w:val="99"/>
    <w:semiHidden/>
    <w:unhideWhenUsed/>
    <w:rsid w:val="00D5114A"/>
    <w:rPr>
      <w:rFonts w:ascii="Tahoma" w:hAnsi="Tahoma" w:cs="Tahoma"/>
      <w:sz w:val="16"/>
      <w:szCs w:val="16"/>
    </w:rPr>
  </w:style>
  <w:style w:type="character" w:customStyle="1" w:styleId="BalloonTextChar">
    <w:name w:val="Balloon Text Char"/>
    <w:basedOn w:val="DefaultParagraphFont"/>
    <w:link w:val="BalloonText"/>
    <w:uiPriority w:val="99"/>
    <w:semiHidden/>
    <w:rsid w:val="00D5114A"/>
    <w:rPr>
      <w:rFonts w:ascii="Tahoma" w:eastAsia="Times New Roman" w:hAnsi="Tahoma" w:cs="Tahoma"/>
      <w:spacing w:val="-3"/>
      <w:sz w:val="16"/>
      <w:szCs w:val="16"/>
      <w:lang w:val="es-ES_tradnl"/>
    </w:rPr>
  </w:style>
  <w:style w:type="paragraph" w:styleId="Subtitle">
    <w:name w:val="Subtitle"/>
    <w:basedOn w:val="Normal"/>
    <w:next w:val="Normal"/>
    <w:link w:val="SubtitleChar"/>
    <w:uiPriority w:val="11"/>
    <w:qFormat/>
    <w:rsid w:val="00D5114A"/>
    <w:pPr>
      <w:spacing w:after="60"/>
      <w:jc w:val="center"/>
      <w:outlineLvl w:val="1"/>
    </w:pPr>
    <w:rPr>
      <w:rFonts w:ascii="Cambria" w:hAnsi="Cambria"/>
      <w:spacing w:val="0"/>
      <w:szCs w:val="24"/>
      <w:lang w:val="en-US"/>
    </w:rPr>
  </w:style>
  <w:style w:type="character" w:customStyle="1" w:styleId="SubtitleChar">
    <w:name w:val="Subtitle Char"/>
    <w:basedOn w:val="DefaultParagraphFont"/>
    <w:link w:val="Subtitle"/>
    <w:uiPriority w:val="11"/>
    <w:rsid w:val="00D5114A"/>
    <w:rPr>
      <w:rFonts w:ascii="Cambria" w:eastAsia="Times New Roman" w:hAnsi="Cambria" w:cs="Times New Roman"/>
      <w:sz w:val="24"/>
      <w:szCs w:val="24"/>
    </w:rPr>
  </w:style>
  <w:style w:type="table" w:styleId="TableGrid">
    <w:name w:val="Table Grid"/>
    <w:basedOn w:val="TableNormal"/>
    <w:uiPriority w:val="59"/>
    <w:rsid w:val="00134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rsid w:val="00992EA6"/>
    <w:pPr>
      <w:spacing w:before="240"/>
    </w:pPr>
    <w:rPr>
      <w:spacing w:val="0"/>
      <w:lang w:val="en-US"/>
    </w:rPr>
  </w:style>
  <w:style w:type="paragraph" w:customStyle="1" w:styleId="Banknumbered">
    <w:name w:val="Bank numbered"/>
    <w:link w:val="BanknumberedChar"/>
    <w:qFormat/>
    <w:rsid w:val="00992EA6"/>
    <w:pPr>
      <w:numPr>
        <w:numId w:val="2"/>
      </w:numPr>
      <w:spacing w:before="120" w:after="0" w:line="240" w:lineRule="auto"/>
    </w:pPr>
    <w:rPr>
      <w:rFonts w:ascii="Times New Roman" w:hAnsi="Times New Roman"/>
      <w:sz w:val="24"/>
      <w:szCs w:val="24"/>
      <w:lang w:val="es-ES"/>
    </w:rPr>
  </w:style>
  <w:style w:type="character" w:customStyle="1" w:styleId="BanknumberedChar">
    <w:name w:val="Bank numbered Char"/>
    <w:basedOn w:val="DefaultParagraphFont"/>
    <w:link w:val="Banknumbered"/>
    <w:rsid w:val="00992EA6"/>
    <w:rPr>
      <w:rFonts w:ascii="Times New Roman" w:hAnsi="Times New Roman"/>
      <w:sz w:val="24"/>
      <w:szCs w:val="24"/>
      <w:lang w:val="es-ES"/>
    </w:rPr>
  </w:style>
  <w:style w:type="paragraph" w:customStyle="1" w:styleId="FirstHeading">
    <w:name w:val="FirstHeading"/>
    <w:basedOn w:val="Normal"/>
    <w:next w:val="Normal"/>
    <w:uiPriority w:val="99"/>
    <w:rsid w:val="00685774"/>
    <w:pPr>
      <w:keepNext/>
      <w:tabs>
        <w:tab w:val="left" w:pos="0"/>
        <w:tab w:val="left" w:pos="86"/>
      </w:tabs>
      <w:spacing w:before="120" w:after="120"/>
      <w:ind w:left="720" w:hanging="720"/>
    </w:pPr>
    <w:rPr>
      <w:rFonts w:eastAsia="ヒラギノ角ゴ Pro W3"/>
      <w:b/>
      <w:spacing w:val="0"/>
      <w:szCs w:val="24"/>
      <w:lang w:val="en-US"/>
    </w:rPr>
  </w:style>
  <w:style w:type="paragraph" w:customStyle="1" w:styleId="Body">
    <w:name w:val="Body"/>
    <w:rsid w:val="00685774"/>
    <w:pPr>
      <w:spacing w:after="0" w:line="240" w:lineRule="auto"/>
    </w:pPr>
    <w:rPr>
      <w:rFonts w:ascii="Helvetica" w:eastAsia="ヒラギノ角ゴ Pro W3" w:hAnsi="Helvetica" w:cs="Times New Roman"/>
      <w:color w:val="000000"/>
      <w:sz w:val="24"/>
      <w:szCs w:val="20"/>
    </w:rPr>
  </w:style>
  <w:style w:type="paragraph" w:customStyle="1" w:styleId="subpar">
    <w:name w:val="subpar"/>
    <w:basedOn w:val="BodyTextIndent3"/>
    <w:rsid w:val="00685774"/>
    <w:pPr>
      <w:tabs>
        <w:tab w:val="num" w:pos="360"/>
      </w:tabs>
      <w:spacing w:before="120"/>
      <w:jc w:val="both"/>
      <w:outlineLvl w:val="2"/>
    </w:pPr>
    <w:rPr>
      <w:spacing w:val="0"/>
      <w:sz w:val="24"/>
      <w:szCs w:val="20"/>
    </w:rPr>
  </w:style>
  <w:style w:type="paragraph" w:customStyle="1" w:styleId="SubSubPar">
    <w:name w:val="SubSubPar"/>
    <w:basedOn w:val="subpar"/>
    <w:rsid w:val="00685774"/>
    <w:pPr>
      <w:tabs>
        <w:tab w:val="clear" w:pos="360"/>
        <w:tab w:val="left" w:pos="0"/>
      </w:tabs>
      <w:ind w:left="0"/>
    </w:pPr>
  </w:style>
  <w:style w:type="paragraph" w:styleId="BodyTextIndent3">
    <w:name w:val="Body Text Indent 3"/>
    <w:basedOn w:val="Normal"/>
    <w:link w:val="BodyTextIndent3Char"/>
    <w:uiPriority w:val="99"/>
    <w:semiHidden/>
    <w:unhideWhenUsed/>
    <w:rsid w:val="0068577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85774"/>
    <w:rPr>
      <w:rFonts w:ascii="Times New Roman" w:eastAsia="Times New Roman" w:hAnsi="Times New Roman" w:cs="Times New Roman"/>
      <w:spacing w:val="-3"/>
      <w:sz w:val="16"/>
      <w:szCs w:val="16"/>
      <w:lang w:val="es-ES_tradnl"/>
    </w:rPr>
  </w:style>
  <w:style w:type="character" w:customStyle="1" w:styleId="ListParagraphChar">
    <w:name w:val="List Paragraph Char"/>
    <w:basedOn w:val="DefaultParagraphFont"/>
    <w:link w:val="ListParagraph"/>
    <w:uiPriority w:val="34"/>
    <w:rsid w:val="00AB13F6"/>
    <w:rPr>
      <w:rFonts w:ascii="Times New Roman" w:eastAsia="Times New Roman" w:hAnsi="Times New Roman" w:cs="Times New Roman"/>
      <w:spacing w:val="-3"/>
      <w:sz w:val="24"/>
      <w:szCs w:val="20"/>
      <w:lang w:val="es-ES_tradnl"/>
    </w:rPr>
  </w:style>
  <w:style w:type="character" w:customStyle="1" w:styleId="Heading1Char">
    <w:name w:val="Heading 1 Char"/>
    <w:basedOn w:val="DefaultParagraphFont"/>
    <w:link w:val="Heading1"/>
    <w:uiPriority w:val="9"/>
    <w:rsid w:val="00C10B81"/>
    <w:rPr>
      <w:rFonts w:asciiTheme="majorHAnsi" w:eastAsiaTheme="majorEastAsia" w:hAnsiTheme="majorHAnsi" w:cstheme="majorBidi"/>
      <w:b/>
      <w:bCs/>
      <w:color w:val="365F91" w:themeColor="accent1" w:themeShade="BF"/>
      <w:spacing w:val="-3"/>
      <w:sz w:val="28"/>
      <w:szCs w:val="28"/>
      <w:lang w:val="es-ES_tradnl"/>
    </w:rPr>
  </w:style>
  <w:style w:type="paragraph" w:styleId="TOCHeading">
    <w:name w:val="TOC Heading"/>
    <w:basedOn w:val="Heading1"/>
    <w:next w:val="Normal"/>
    <w:uiPriority w:val="39"/>
    <w:unhideWhenUsed/>
    <w:qFormat/>
    <w:rsid w:val="00FE0B90"/>
    <w:pPr>
      <w:spacing w:line="276" w:lineRule="auto"/>
      <w:outlineLvl w:val="9"/>
    </w:pPr>
    <w:rPr>
      <w:spacing w:val="0"/>
      <w:lang w:val="es-CO" w:eastAsia="es-CO"/>
    </w:rPr>
  </w:style>
  <w:style w:type="paragraph" w:styleId="TOC1">
    <w:name w:val="toc 1"/>
    <w:basedOn w:val="Normal"/>
    <w:next w:val="Normal"/>
    <w:autoRedefine/>
    <w:uiPriority w:val="39"/>
    <w:unhideWhenUsed/>
    <w:rsid w:val="003C0759"/>
    <w:pPr>
      <w:tabs>
        <w:tab w:val="left" w:pos="1710"/>
        <w:tab w:val="right" w:leader="dot" w:pos="8630"/>
      </w:tabs>
      <w:spacing w:after="100"/>
      <w:ind w:left="540" w:hanging="540"/>
    </w:pPr>
    <w:rPr>
      <w:rFonts w:ascii="Arial" w:hAnsi="Arial"/>
      <w:b/>
      <w:noProof/>
      <w:sz w:val="22"/>
      <w:lang w:val="es-ES"/>
    </w:rPr>
  </w:style>
  <w:style w:type="paragraph" w:styleId="TOC2">
    <w:name w:val="toc 2"/>
    <w:basedOn w:val="Normal"/>
    <w:next w:val="Normal"/>
    <w:autoRedefine/>
    <w:uiPriority w:val="39"/>
    <w:unhideWhenUsed/>
    <w:rsid w:val="005904DA"/>
    <w:pPr>
      <w:tabs>
        <w:tab w:val="left" w:pos="1714"/>
        <w:tab w:val="right" w:leader="dot" w:pos="8630"/>
      </w:tabs>
      <w:spacing w:after="100"/>
      <w:ind w:left="1710"/>
    </w:pPr>
  </w:style>
  <w:style w:type="character" w:styleId="Hyperlink">
    <w:name w:val="Hyperlink"/>
    <w:basedOn w:val="DefaultParagraphFont"/>
    <w:uiPriority w:val="99"/>
    <w:unhideWhenUsed/>
    <w:rsid w:val="00FE0B90"/>
    <w:rPr>
      <w:color w:val="0000FF" w:themeColor="hyperlink"/>
      <w:u w:val="single"/>
    </w:rPr>
  </w:style>
  <w:style w:type="paragraph" w:customStyle="1" w:styleId="Bullet">
    <w:name w:val="Bullet"/>
    <w:basedOn w:val="ListParagraph"/>
    <w:link w:val="BulletChar"/>
    <w:qFormat/>
    <w:rsid w:val="00554332"/>
    <w:pPr>
      <w:numPr>
        <w:numId w:val="9"/>
      </w:numPr>
      <w:spacing w:before="120"/>
    </w:pPr>
    <w:rPr>
      <w:rFonts w:eastAsiaTheme="minorHAnsi" w:cstheme="minorBidi"/>
      <w:spacing w:val="0"/>
      <w:szCs w:val="22"/>
      <w:lang w:val="en-US"/>
    </w:rPr>
  </w:style>
  <w:style w:type="character" w:customStyle="1" w:styleId="BulletChar">
    <w:name w:val="Bullet Char"/>
    <w:basedOn w:val="DefaultParagraphFont"/>
    <w:link w:val="Bullet"/>
    <w:rsid w:val="00554332"/>
    <w:rPr>
      <w:rFonts w:ascii="Times New Roman" w:hAnsi="Times New Roman"/>
      <w:sz w:val="24"/>
    </w:rPr>
  </w:style>
  <w:style w:type="character" w:styleId="FollowedHyperlink">
    <w:name w:val="FollowedHyperlink"/>
    <w:basedOn w:val="DefaultParagraphFont"/>
    <w:uiPriority w:val="99"/>
    <w:semiHidden/>
    <w:unhideWhenUsed/>
    <w:rsid w:val="006349F5"/>
    <w:rPr>
      <w:color w:val="800080" w:themeColor="followedHyperlink"/>
      <w:u w:val="single"/>
    </w:rPr>
  </w:style>
  <w:style w:type="character" w:styleId="UnresolvedMention">
    <w:name w:val="Unresolved Mention"/>
    <w:basedOn w:val="DefaultParagraphFont"/>
    <w:uiPriority w:val="99"/>
    <w:semiHidden/>
    <w:unhideWhenUsed/>
    <w:rsid w:val="009A33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78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bg.sharepoint.com/teams/EZ-DR-LON/DR-L1058/_layouts/15/DocIdRedir.aspx?ID=EZSHARE-2128231034-25" TargetMode="External"/><Relationship Id="rId13" Type="http://schemas.openxmlformats.org/officeDocument/2006/relationships/hyperlink" Target="https://idbg.sharepoint.com/teams/EZ-DR-LON/DR-L1058/_layouts/15/DocIdRedir.aspx?ID=EZSHARE-2128231034-25" TargetMode="External"/><Relationship Id="rId18" Type="http://schemas.openxmlformats.org/officeDocument/2006/relationships/hyperlink" Target="https://idbg.sharepoint.com/teams/EZ-DR-LON/DR-L1058/_layouts/15/DocIdRedir.aspx?ID=EZSHARE-2128231034-20"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idbg.sharepoint.com/teams/EZ-DR-LON/DR-L1058/_layouts/15/DocIdRedir.aspx?ID=EZSHARE-2128231034-20"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idbg.sharepoint.com/teams/EZ-DR-LON/DR-L1058/_layouts/15/DocIdRedir.aspx?ID=EZSHARE-2128231034-1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36356163" TargetMode="External"/><Relationship Id="rId5" Type="http://schemas.openxmlformats.org/officeDocument/2006/relationships/webSettings" Target="webSettings.xml"/><Relationship Id="rId15" Type="http://schemas.openxmlformats.org/officeDocument/2006/relationships/hyperlink" Target="https://idbg.sharepoint.com/teams/EZ-DR-LON/DR-L1058/_layouts/15/DocIdRedir.aspx?ID=EZSHARE-2128231034-25" TargetMode="External"/><Relationship Id="rId23" Type="http://schemas.openxmlformats.org/officeDocument/2006/relationships/theme" Target="theme/theme1.xml"/><Relationship Id="rId10" Type="http://schemas.openxmlformats.org/officeDocument/2006/relationships/hyperlink" Target="https://idbg.sharepoint.com/teams/EZ-DR-LON/DR-L1058/_layouts/15/DocIdRedir.aspx?ID=EZSHARE-2128231034-20"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idbg.sharepoint.com/teams/EZ-DR-LON/DR-L1058/_layouts/15/DocIdRedir.aspx?ID=EZSHARE-2128231034-12" TargetMode="External"/><Relationship Id="rId14" Type="http://schemas.openxmlformats.org/officeDocument/2006/relationships/hyperlink" Target="https://idbg.sharepoint.com/teams/EZ-DR-LON/DR-L1058/_layouts/15/DocIdRedir.aspx?ID=EZSHARE-2128231034-1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C7E1B-B5ED-49DA-84E0-C885FA08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6173</Words>
  <Characters>35189</Characters>
  <Application>Microsoft Office Word</Application>
  <DocSecurity>0</DocSecurity>
  <Lines>293</Lines>
  <Paragraphs>82</Paragraphs>
  <ScaleCrop>false</ScaleCrop>
  <Company>Inter-American Development Bank</Company>
  <LinksUpToDate>false</LinksUpToDate>
  <CharactersWithSpaces>41280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Johnson Naveo, Odile Ivette</cp:lastModifiedBy>
  <cp:revision>16</cp:revision>
  <dcterms:created xsi:type="dcterms:W3CDTF">2018-07-02T17:28:00Z</dcterms:created>
  <dcterms:modified xsi:type="dcterms:W3CDTF">2018-07-03T19:58:00Z</dcterms:modified>
</cp:coreProperties>
</file>