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3097F" w14:textId="77777777" w:rsidR="00473B92" w:rsidRDefault="00A029C8">
      <w:pPr>
        <w:spacing w:before="200" w:after="200"/>
        <w:jc w:val="center"/>
      </w:pPr>
      <w:r>
        <w:rPr>
          <w:rFonts w:ascii="Arial" w:hAnsi="Arial" w:cs="Arial"/>
          <w:b/>
        </w:rPr>
        <w:t>TC ABSTRACT</w:t>
      </w:r>
    </w:p>
    <w:p w14:paraId="0B201898" w14:textId="77777777" w:rsidR="00473B92" w:rsidRDefault="00A029C8">
      <w:pPr>
        <w:spacing w:before="120" w:after="120"/>
        <w:ind w:left="579" w:hanging="579"/>
      </w:pPr>
      <w:r>
        <w:rPr>
          <w:rFonts w:ascii="Arial" w:hAnsi="Arial" w:cs="Arial"/>
          <w:b/>
        </w:rPr>
        <w:t>I.</w:t>
      </w:r>
      <w:r>
        <w:rPr>
          <w:rFonts w:ascii="Arial" w:hAnsi="Arial" w:cs="Arial"/>
          <w:b/>
        </w:rPr>
        <w:tab/>
        <w:t>Basic Project Data</w:t>
      </w:r>
    </w:p>
    <w:tbl>
      <w:tblPr>
        <w:tblStyle w:val="TableGrid"/>
        <w:tblW w:w="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020"/>
        <w:gridCol w:w="5000"/>
      </w:tblGrid>
      <w:tr w:rsidR="00473B92" w14:paraId="0B13278E" w14:textId="77777777" w:rsidTr="002070C0">
        <w:trPr>
          <w:jc w:val="center"/>
        </w:trPr>
        <w:tc>
          <w:tcPr>
            <w:tcW w:w="4109" w:type="dxa"/>
          </w:tcPr>
          <w:p w14:paraId="695C2F52" w14:textId="77777777" w:rsidR="00473B92" w:rsidRDefault="00A029C8">
            <w:pPr>
              <w:spacing w:before="40" w:after="40"/>
              <w:ind w:left="115" w:hanging="115"/>
            </w:pPr>
            <w:r>
              <w:rPr>
                <w:rFonts w:ascii="Arial" w:hAnsi="Arial" w:cs="Arial"/>
                <w:sz w:val="18"/>
                <w:szCs w:val="18"/>
              </w:rPr>
              <w:t>▪</w:t>
            </w:r>
            <w:r>
              <w:rPr>
                <w:rFonts w:ascii="Arial" w:hAnsi="Arial" w:cs="Arial"/>
                <w:sz w:val="18"/>
                <w:szCs w:val="18"/>
              </w:rPr>
              <w:t xml:space="preserve"> Country/Region:</w:t>
            </w:r>
          </w:p>
        </w:tc>
        <w:tc>
          <w:tcPr>
            <w:tcW w:w="5133" w:type="dxa"/>
          </w:tcPr>
          <w:p w14:paraId="10904E29" w14:textId="77777777" w:rsidR="00473B92" w:rsidRDefault="00A029C8">
            <w:pPr>
              <w:spacing w:before="40" w:after="40"/>
            </w:pPr>
            <w:r>
              <w:rPr>
                <w:rFonts w:ascii="Arial" w:hAnsi="Arial" w:cs="Arial"/>
                <w:sz w:val="18"/>
                <w:szCs w:val="18"/>
              </w:rPr>
              <w:t>REGIONAL/IDB</w:t>
            </w:r>
          </w:p>
        </w:tc>
      </w:tr>
      <w:tr w:rsidR="00473B92" w14:paraId="09F3D928" w14:textId="77777777" w:rsidTr="002070C0">
        <w:trPr>
          <w:jc w:val="center"/>
        </w:trPr>
        <w:tc>
          <w:tcPr>
            <w:tcW w:w="4109" w:type="dxa"/>
          </w:tcPr>
          <w:p w14:paraId="78E12FF3" w14:textId="77777777" w:rsidR="00473B92" w:rsidRDefault="00A029C8">
            <w:pPr>
              <w:spacing w:before="40" w:after="40"/>
              <w:ind w:left="115" w:hanging="115"/>
            </w:pPr>
            <w:r>
              <w:rPr>
                <w:rFonts w:ascii="Arial" w:hAnsi="Arial" w:cs="Arial"/>
                <w:sz w:val="18"/>
                <w:szCs w:val="18"/>
              </w:rPr>
              <w:t>▪</w:t>
            </w:r>
            <w:r>
              <w:rPr>
                <w:rFonts w:ascii="Arial" w:hAnsi="Arial" w:cs="Arial"/>
                <w:sz w:val="18"/>
                <w:szCs w:val="18"/>
              </w:rPr>
              <w:t xml:space="preserve"> TC Name:</w:t>
            </w:r>
          </w:p>
        </w:tc>
        <w:tc>
          <w:tcPr>
            <w:tcW w:w="5133" w:type="dxa"/>
          </w:tcPr>
          <w:p w14:paraId="71F97469" w14:textId="77777777" w:rsidR="00473B92" w:rsidRDefault="00A029C8">
            <w:pPr>
              <w:spacing w:before="40" w:after="40"/>
            </w:pPr>
            <w:r>
              <w:rPr>
                <w:rFonts w:ascii="Arial" w:hAnsi="Arial" w:cs="Arial"/>
                <w:sz w:val="18"/>
                <w:szCs w:val="18"/>
              </w:rPr>
              <w:t>Regional Hydropower Modernization Program</w:t>
            </w:r>
          </w:p>
        </w:tc>
      </w:tr>
      <w:tr w:rsidR="00473B92" w14:paraId="56397BEA" w14:textId="77777777" w:rsidTr="002070C0">
        <w:trPr>
          <w:jc w:val="center"/>
        </w:trPr>
        <w:tc>
          <w:tcPr>
            <w:tcW w:w="4109" w:type="dxa"/>
          </w:tcPr>
          <w:p w14:paraId="6ADE947E" w14:textId="77777777" w:rsidR="00473B92" w:rsidRDefault="00A029C8">
            <w:pPr>
              <w:spacing w:before="40" w:after="40"/>
              <w:ind w:left="115" w:hanging="115"/>
            </w:pPr>
            <w:r>
              <w:rPr>
                <w:rFonts w:ascii="Arial" w:hAnsi="Arial" w:cs="Arial"/>
                <w:sz w:val="18"/>
                <w:szCs w:val="18"/>
              </w:rPr>
              <w:t>▪</w:t>
            </w:r>
            <w:r>
              <w:rPr>
                <w:rFonts w:ascii="Arial" w:hAnsi="Arial" w:cs="Arial"/>
                <w:sz w:val="18"/>
                <w:szCs w:val="18"/>
              </w:rPr>
              <w:t xml:space="preserve"> TC Number:</w:t>
            </w:r>
          </w:p>
        </w:tc>
        <w:tc>
          <w:tcPr>
            <w:tcW w:w="5133" w:type="dxa"/>
          </w:tcPr>
          <w:p w14:paraId="77F3921E" w14:textId="77777777" w:rsidR="00473B92" w:rsidRDefault="00A029C8">
            <w:pPr>
              <w:spacing w:before="40" w:after="40"/>
            </w:pPr>
            <w:r>
              <w:rPr>
                <w:rFonts w:ascii="Arial" w:hAnsi="Arial" w:cs="Arial"/>
                <w:sz w:val="18"/>
                <w:szCs w:val="18"/>
              </w:rPr>
              <w:t>RG-T4006</w:t>
            </w:r>
          </w:p>
        </w:tc>
      </w:tr>
      <w:tr w:rsidR="00473B92" w14:paraId="5AA67F76" w14:textId="77777777" w:rsidTr="002070C0">
        <w:trPr>
          <w:jc w:val="center"/>
        </w:trPr>
        <w:tc>
          <w:tcPr>
            <w:tcW w:w="4109" w:type="dxa"/>
          </w:tcPr>
          <w:p w14:paraId="765392F3" w14:textId="77777777" w:rsidR="00473B92" w:rsidRDefault="00A029C8">
            <w:pPr>
              <w:spacing w:before="40" w:after="40"/>
              <w:ind w:left="115" w:hanging="115"/>
            </w:pPr>
            <w:r>
              <w:rPr>
                <w:rFonts w:ascii="Arial" w:hAnsi="Arial" w:cs="Arial"/>
                <w:sz w:val="18"/>
                <w:szCs w:val="18"/>
              </w:rPr>
              <w:t>▪</w:t>
            </w:r>
            <w:r>
              <w:rPr>
                <w:rFonts w:ascii="Arial" w:hAnsi="Arial" w:cs="Arial"/>
                <w:sz w:val="18"/>
                <w:szCs w:val="18"/>
              </w:rPr>
              <w:t xml:space="preserve"> Team Leader/Members:</w:t>
            </w:r>
          </w:p>
        </w:tc>
        <w:tc>
          <w:tcPr>
            <w:tcW w:w="5133" w:type="dxa"/>
          </w:tcPr>
          <w:p w14:paraId="7F397766" w14:textId="05B0C226" w:rsidR="00473B92" w:rsidRDefault="00A029C8" w:rsidP="002070C0">
            <w:pPr>
              <w:spacing w:before="40" w:after="40"/>
              <w:jc w:val="both"/>
            </w:pPr>
            <w:r>
              <w:rPr>
                <w:rFonts w:ascii="Arial" w:hAnsi="Arial" w:cs="Arial"/>
                <w:sz w:val="18"/>
                <w:szCs w:val="18"/>
              </w:rPr>
              <w:t>A</w:t>
            </w:r>
            <w:r w:rsidR="002070C0">
              <w:rPr>
                <w:rFonts w:ascii="Arial" w:hAnsi="Arial" w:cs="Arial"/>
                <w:sz w:val="18"/>
                <w:szCs w:val="18"/>
              </w:rPr>
              <w:t xml:space="preserve">rturo </w:t>
            </w:r>
            <w:proofErr w:type="spellStart"/>
            <w:r w:rsidR="002070C0">
              <w:rPr>
                <w:rFonts w:ascii="Arial" w:hAnsi="Arial" w:cs="Arial"/>
                <w:sz w:val="18"/>
                <w:szCs w:val="18"/>
              </w:rPr>
              <w:t>Alarcón</w:t>
            </w:r>
            <w:proofErr w:type="spellEnd"/>
            <w:r>
              <w:rPr>
                <w:rFonts w:ascii="Arial" w:hAnsi="Arial" w:cs="Arial"/>
                <w:sz w:val="18"/>
                <w:szCs w:val="18"/>
              </w:rPr>
              <w:t xml:space="preserve"> (INE/ENE)</w:t>
            </w:r>
            <w:r w:rsidR="002070C0">
              <w:rPr>
                <w:rFonts w:ascii="Arial" w:hAnsi="Arial" w:cs="Arial"/>
                <w:sz w:val="18"/>
                <w:szCs w:val="18"/>
              </w:rPr>
              <w:t>,</w:t>
            </w:r>
            <w:r>
              <w:rPr>
                <w:rFonts w:ascii="Arial" w:hAnsi="Arial" w:cs="Arial"/>
                <w:sz w:val="18"/>
                <w:szCs w:val="18"/>
              </w:rPr>
              <w:t xml:space="preserve"> Team Leader;</w:t>
            </w:r>
            <w:r w:rsidR="002070C0">
              <w:rPr>
                <w:rFonts w:ascii="Arial" w:hAnsi="Arial" w:cs="Arial"/>
                <w:sz w:val="18"/>
                <w:szCs w:val="18"/>
              </w:rPr>
              <w:t xml:space="preserve"> Héctor</w:t>
            </w:r>
            <w:r>
              <w:rPr>
                <w:rFonts w:ascii="Arial" w:hAnsi="Arial" w:cs="Arial"/>
                <w:sz w:val="18"/>
                <w:szCs w:val="18"/>
              </w:rPr>
              <w:t xml:space="preserve"> B</w:t>
            </w:r>
            <w:r w:rsidR="002070C0">
              <w:rPr>
                <w:rFonts w:ascii="Arial" w:hAnsi="Arial" w:cs="Arial"/>
                <w:sz w:val="18"/>
                <w:szCs w:val="18"/>
              </w:rPr>
              <w:t>aldivieso</w:t>
            </w:r>
            <w:r>
              <w:rPr>
                <w:rFonts w:ascii="Arial" w:hAnsi="Arial" w:cs="Arial"/>
                <w:sz w:val="18"/>
                <w:szCs w:val="18"/>
              </w:rPr>
              <w:t xml:space="preserve"> </w:t>
            </w:r>
            <w:r>
              <w:rPr>
                <w:rFonts w:ascii="Arial" w:hAnsi="Arial" w:cs="Arial"/>
                <w:sz w:val="18"/>
                <w:szCs w:val="18"/>
              </w:rPr>
              <w:t>(INE/ENE)</w:t>
            </w:r>
            <w:r w:rsidR="002070C0">
              <w:rPr>
                <w:rFonts w:ascii="Arial" w:hAnsi="Arial" w:cs="Arial"/>
                <w:sz w:val="18"/>
                <w:szCs w:val="18"/>
              </w:rPr>
              <w:t>,</w:t>
            </w:r>
            <w:r>
              <w:rPr>
                <w:rFonts w:ascii="Arial" w:hAnsi="Arial" w:cs="Arial"/>
                <w:sz w:val="18"/>
                <w:szCs w:val="18"/>
              </w:rPr>
              <w:t xml:space="preserve"> Alternate Team </w:t>
            </w:r>
            <w:r>
              <w:rPr>
                <w:rFonts w:ascii="Arial" w:hAnsi="Arial" w:cs="Arial"/>
                <w:sz w:val="18"/>
                <w:szCs w:val="18"/>
              </w:rPr>
              <w:t>Leader;</w:t>
            </w:r>
            <w:r w:rsidR="002070C0">
              <w:rPr>
                <w:rFonts w:ascii="Arial" w:hAnsi="Arial" w:cs="Arial"/>
                <w:sz w:val="18"/>
                <w:szCs w:val="18"/>
              </w:rPr>
              <w:t xml:space="preserve"> Virginia</w:t>
            </w:r>
            <w:r>
              <w:rPr>
                <w:rFonts w:ascii="Arial" w:hAnsi="Arial" w:cs="Arial"/>
                <w:sz w:val="18"/>
                <w:szCs w:val="18"/>
              </w:rPr>
              <w:t xml:space="preserve"> S</w:t>
            </w:r>
            <w:r w:rsidR="002070C0">
              <w:rPr>
                <w:rFonts w:ascii="Arial" w:hAnsi="Arial" w:cs="Arial"/>
                <w:sz w:val="18"/>
                <w:szCs w:val="18"/>
              </w:rPr>
              <w:t>nyder</w:t>
            </w:r>
            <w:r>
              <w:rPr>
                <w:rFonts w:ascii="Arial" w:hAnsi="Arial" w:cs="Arial"/>
                <w:sz w:val="18"/>
                <w:szCs w:val="18"/>
              </w:rPr>
              <w:t>;</w:t>
            </w:r>
            <w:r w:rsidR="002070C0">
              <w:rPr>
                <w:rFonts w:ascii="Arial" w:hAnsi="Arial" w:cs="Arial"/>
                <w:sz w:val="18"/>
                <w:szCs w:val="18"/>
              </w:rPr>
              <w:t xml:space="preserve"> Sergio </w:t>
            </w:r>
            <w:proofErr w:type="spellStart"/>
            <w:r w:rsidR="002070C0">
              <w:rPr>
                <w:rFonts w:ascii="Arial" w:hAnsi="Arial" w:cs="Arial"/>
                <w:sz w:val="18"/>
                <w:szCs w:val="18"/>
              </w:rPr>
              <w:t>Ballón</w:t>
            </w:r>
            <w:proofErr w:type="spellEnd"/>
            <w:r>
              <w:rPr>
                <w:rFonts w:ascii="Arial" w:hAnsi="Arial" w:cs="Arial"/>
                <w:sz w:val="18"/>
                <w:szCs w:val="18"/>
              </w:rPr>
              <w:t xml:space="preserve">; </w:t>
            </w:r>
            <w:r w:rsidR="002070C0">
              <w:rPr>
                <w:rFonts w:ascii="Arial" w:hAnsi="Arial" w:cs="Arial"/>
                <w:sz w:val="18"/>
                <w:szCs w:val="18"/>
              </w:rPr>
              <w:t xml:space="preserve">José Antonio </w:t>
            </w:r>
            <w:r>
              <w:rPr>
                <w:rFonts w:ascii="Arial" w:hAnsi="Arial" w:cs="Arial"/>
                <w:sz w:val="18"/>
                <w:szCs w:val="18"/>
              </w:rPr>
              <w:t>U</w:t>
            </w:r>
            <w:r w:rsidR="002070C0">
              <w:rPr>
                <w:rFonts w:ascii="Arial" w:hAnsi="Arial" w:cs="Arial"/>
                <w:sz w:val="18"/>
                <w:szCs w:val="18"/>
              </w:rPr>
              <w:t>rteaga</w:t>
            </w:r>
            <w:r>
              <w:rPr>
                <w:rFonts w:ascii="Arial" w:hAnsi="Arial" w:cs="Arial"/>
                <w:sz w:val="18"/>
                <w:szCs w:val="18"/>
              </w:rPr>
              <w:t xml:space="preserve">; </w:t>
            </w:r>
            <w:r w:rsidR="002070C0">
              <w:rPr>
                <w:rFonts w:ascii="Arial" w:hAnsi="Arial" w:cs="Arial"/>
                <w:sz w:val="18"/>
                <w:szCs w:val="18"/>
              </w:rPr>
              <w:t>Jordi Abadal; Yumi Nakagawa and Fidel Márquez</w:t>
            </w:r>
            <w:r>
              <w:rPr>
                <w:rFonts w:ascii="Arial" w:hAnsi="Arial" w:cs="Arial"/>
                <w:sz w:val="18"/>
                <w:szCs w:val="18"/>
              </w:rPr>
              <w:t xml:space="preserve"> (INE/ENE); </w:t>
            </w:r>
            <w:r w:rsidR="002070C0">
              <w:rPr>
                <w:rFonts w:ascii="Arial" w:hAnsi="Arial" w:cs="Arial"/>
                <w:sz w:val="18"/>
                <w:szCs w:val="18"/>
              </w:rPr>
              <w:t>Daniela Acevedo</w:t>
            </w:r>
            <w:r>
              <w:rPr>
                <w:rFonts w:ascii="Arial" w:hAnsi="Arial" w:cs="Arial"/>
                <w:sz w:val="18"/>
                <w:szCs w:val="18"/>
              </w:rPr>
              <w:t xml:space="preserve"> (LEG/SGO)</w:t>
            </w:r>
            <w:r>
              <w:rPr>
                <w:rFonts w:ascii="Arial" w:hAnsi="Arial" w:cs="Arial"/>
                <w:sz w:val="18"/>
                <w:szCs w:val="18"/>
              </w:rPr>
              <w:t>;</w:t>
            </w:r>
            <w:r w:rsidR="002070C0">
              <w:rPr>
                <w:rFonts w:ascii="Arial" w:hAnsi="Arial" w:cs="Arial"/>
                <w:sz w:val="18"/>
                <w:szCs w:val="18"/>
              </w:rPr>
              <w:t xml:space="preserve"> </w:t>
            </w:r>
            <w:r>
              <w:rPr>
                <w:rFonts w:ascii="Arial" w:hAnsi="Arial" w:cs="Arial"/>
                <w:sz w:val="18"/>
                <w:szCs w:val="18"/>
              </w:rPr>
              <w:t>R</w:t>
            </w:r>
            <w:r w:rsidR="002070C0">
              <w:rPr>
                <w:rFonts w:ascii="Arial" w:hAnsi="Arial" w:cs="Arial"/>
                <w:sz w:val="18"/>
                <w:szCs w:val="18"/>
              </w:rPr>
              <w:t>obert</w:t>
            </w:r>
            <w:r>
              <w:rPr>
                <w:rFonts w:ascii="Arial" w:hAnsi="Arial" w:cs="Arial"/>
                <w:sz w:val="18"/>
                <w:szCs w:val="18"/>
              </w:rPr>
              <w:t xml:space="preserve"> </w:t>
            </w:r>
            <w:proofErr w:type="spellStart"/>
            <w:r w:rsidR="002070C0">
              <w:rPr>
                <w:rFonts w:ascii="Arial" w:hAnsi="Arial" w:cs="Arial"/>
                <w:sz w:val="18"/>
                <w:szCs w:val="18"/>
              </w:rPr>
              <w:t>L</w:t>
            </w:r>
            <w:r w:rsidR="002070C0">
              <w:rPr>
                <w:rFonts w:ascii="Arial" w:hAnsi="Arial" w:cs="Arial"/>
                <w:sz w:val="18"/>
                <w:szCs w:val="18"/>
              </w:rPr>
              <w:t>angsroth</w:t>
            </w:r>
            <w:proofErr w:type="spellEnd"/>
            <w:r w:rsidR="002070C0">
              <w:rPr>
                <w:rFonts w:ascii="Arial" w:hAnsi="Arial" w:cs="Arial"/>
                <w:sz w:val="18"/>
                <w:szCs w:val="18"/>
              </w:rPr>
              <w:t xml:space="preserve"> </w:t>
            </w:r>
            <w:r>
              <w:rPr>
                <w:rFonts w:ascii="Arial" w:hAnsi="Arial" w:cs="Arial"/>
                <w:sz w:val="18"/>
                <w:szCs w:val="18"/>
              </w:rPr>
              <w:t>(VPS/ESG); PORTA GARCIA, RAIMON (VPS/ESG)</w:t>
            </w:r>
          </w:p>
        </w:tc>
      </w:tr>
      <w:tr w:rsidR="00473B92" w14:paraId="6859BDCD" w14:textId="77777777" w:rsidTr="002070C0">
        <w:trPr>
          <w:jc w:val="center"/>
        </w:trPr>
        <w:tc>
          <w:tcPr>
            <w:tcW w:w="4109" w:type="dxa"/>
          </w:tcPr>
          <w:p w14:paraId="4074B200" w14:textId="77777777" w:rsidR="00473B92" w:rsidRDefault="00A029C8">
            <w:pPr>
              <w:spacing w:before="40" w:after="40"/>
              <w:ind w:left="115" w:hanging="115"/>
            </w:pPr>
            <w:r>
              <w:rPr>
                <w:rFonts w:ascii="Arial" w:hAnsi="Arial" w:cs="Arial"/>
                <w:sz w:val="18"/>
                <w:szCs w:val="18"/>
              </w:rPr>
              <w:t>▪</w:t>
            </w:r>
            <w:r>
              <w:rPr>
                <w:rFonts w:ascii="Arial" w:hAnsi="Arial" w:cs="Arial"/>
                <w:sz w:val="18"/>
                <w:szCs w:val="18"/>
              </w:rPr>
              <w:t xml:space="preserve"> Taxonomy:</w:t>
            </w:r>
          </w:p>
        </w:tc>
        <w:tc>
          <w:tcPr>
            <w:tcW w:w="5133" w:type="dxa"/>
          </w:tcPr>
          <w:p w14:paraId="57DD8590" w14:textId="77777777" w:rsidR="00473B92" w:rsidRDefault="00A029C8">
            <w:pPr>
              <w:spacing w:before="40" w:after="40"/>
            </w:pPr>
            <w:r>
              <w:rPr>
                <w:rFonts w:ascii="Arial" w:hAnsi="Arial" w:cs="Arial"/>
                <w:sz w:val="18"/>
                <w:szCs w:val="18"/>
              </w:rPr>
              <w:t>Client Support</w:t>
            </w:r>
          </w:p>
        </w:tc>
      </w:tr>
      <w:tr w:rsidR="00473B92" w14:paraId="230BCBB7" w14:textId="77777777" w:rsidTr="002070C0">
        <w:trPr>
          <w:jc w:val="center"/>
        </w:trPr>
        <w:tc>
          <w:tcPr>
            <w:tcW w:w="4109" w:type="dxa"/>
          </w:tcPr>
          <w:p w14:paraId="55D34F2B" w14:textId="77777777" w:rsidR="00473B92" w:rsidRDefault="00A029C8">
            <w:pPr>
              <w:spacing w:before="40" w:after="40"/>
              <w:ind w:left="115" w:hanging="115"/>
            </w:pPr>
            <w:r>
              <w:rPr>
                <w:rFonts w:ascii="Arial" w:hAnsi="Arial" w:cs="Arial"/>
                <w:sz w:val="18"/>
                <w:szCs w:val="18"/>
              </w:rPr>
              <w:t>▪</w:t>
            </w:r>
            <w:r>
              <w:rPr>
                <w:rFonts w:ascii="Arial" w:hAnsi="Arial" w:cs="Arial"/>
                <w:sz w:val="18"/>
                <w:szCs w:val="18"/>
              </w:rPr>
              <w:t xml:space="preserve"> Number and name of operation supported by the TC:</w:t>
            </w:r>
          </w:p>
        </w:tc>
        <w:tc>
          <w:tcPr>
            <w:tcW w:w="5133" w:type="dxa"/>
          </w:tcPr>
          <w:p w14:paraId="2690FB77" w14:textId="77777777" w:rsidR="00473B92" w:rsidRDefault="00A029C8">
            <w:pPr>
              <w:spacing w:before="40" w:after="40"/>
            </w:pPr>
            <w:r>
              <w:rPr>
                <w:rFonts w:ascii="Arial" w:hAnsi="Arial" w:cs="Arial"/>
                <w:sz w:val="18"/>
                <w:szCs w:val="18"/>
              </w:rPr>
              <w:t>N/A</w:t>
            </w:r>
          </w:p>
        </w:tc>
      </w:tr>
      <w:tr w:rsidR="00473B92" w14:paraId="03B3E047" w14:textId="77777777" w:rsidTr="002070C0">
        <w:trPr>
          <w:jc w:val="center"/>
        </w:trPr>
        <w:tc>
          <w:tcPr>
            <w:tcW w:w="4109" w:type="dxa"/>
          </w:tcPr>
          <w:p w14:paraId="1692E9E6" w14:textId="77777777" w:rsidR="00473B92" w:rsidRDefault="00A029C8">
            <w:pPr>
              <w:spacing w:before="40" w:after="40"/>
              <w:ind w:left="115" w:hanging="115"/>
            </w:pPr>
            <w:r>
              <w:rPr>
                <w:rFonts w:ascii="Arial" w:hAnsi="Arial" w:cs="Arial"/>
                <w:sz w:val="18"/>
                <w:szCs w:val="18"/>
              </w:rPr>
              <w:t>▪</w:t>
            </w:r>
            <w:r>
              <w:rPr>
                <w:rFonts w:ascii="Arial" w:hAnsi="Arial" w:cs="Arial"/>
                <w:sz w:val="18"/>
                <w:szCs w:val="18"/>
              </w:rPr>
              <w:t xml:space="preserve"> Date of TC Abstract:</w:t>
            </w:r>
          </w:p>
        </w:tc>
        <w:tc>
          <w:tcPr>
            <w:tcW w:w="5133" w:type="dxa"/>
          </w:tcPr>
          <w:p w14:paraId="1D23DBCC" w14:textId="77777777" w:rsidR="00473B92" w:rsidRDefault="00A029C8">
            <w:pPr>
              <w:spacing w:before="40" w:after="40"/>
            </w:pPr>
            <w:r>
              <w:rPr>
                <w:rFonts w:ascii="Arial" w:hAnsi="Arial" w:cs="Arial"/>
                <w:sz w:val="18"/>
                <w:szCs w:val="18"/>
              </w:rPr>
              <w:t>27 Sep 2021</w:t>
            </w:r>
          </w:p>
        </w:tc>
      </w:tr>
      <w:tr w:rsidR="00473B92" w:rsidRPr="002070C0" w14:paraId="28E8722A" w14:textId="77777777" w:rsidTr="002070C0">
        <w:trPr>
          <w:jc w:val="center"/>
        </w:trPr>
        <w:tc>
          <w:tcPr>
            <w:tcW w:w="4109" w:type="dxa"/>
          </w:tcPr>
          <w:p w14:paraId="26AFBBFE" w14:textId="77777777" w:rsidR="00473B92" w:rsidRDefault="00A029C8">
            <w:pPr>
              <w:spacing w:before="40" w:after="40"/>
              <w:ind w:left="115" w:hanging="115"/>
            </w:pPr>
            <w:r>
              <w:rPr>
                <w:rFonts w:ascii="Arial" w:hAnsi="Arial" w:cs="Arial"/>
                <w:sz w:val="18"/>
                <w:szCs w:val="18"/>
              </w:rPr>
              <w:t>▪</w:t>
            </w:r>
            <w:r>
              <w:rPr>
                <w:rFonts w:ascii="Arial" w:hAnsi="Arial" w:cs="Arial"/>
                <w:sz w:val="18"/>
                <w:szCs w:val="18"/>
              </w:rPr>
              <w:t xml:space="preserve"> Beneficiary:</w:t>
            </w:r>
          </w:p>
        </w:tc>
        <w:tc>
          <w:tcPr>
            <w:tcW w:w="5133" w:type="dxa"/>
          </w:tcPr>
          <w:p w14:paraId="3ECBBB97" w14:textId="4D6E9CC9" w:rsidR="00473B92" w:rsidRPr="002070C0" w:rsidRDefault="002070C0">
            <w:pPr>
              <w:spacing w:before="40" w:after="40"/>
              <w:rPr>
                <w:lang w:val="es-419"/>
              </w:rPr>
            </w:pPr>
            <w:r w:rsidRPr="002070C0">
              <w:rPr>
                <w:rFonts w:ascii="Arial" w:hAnsi="Arial" w:cs="Arial"/>
                <w:sz w:val="18"/>
                <w:szCs w:val="18"/>
                <w:lang w:val="es-419"/>
              </w:rPr>
              <w:t>Bolivia</w:t>
            </w:r>
            <w:r>
              <w:rPr>
                <w:rFonts w:ascii="Arial" w:hAnsi="Arial" w:cs="Arial"/>
                <w:sz w:val="18"/>
                <w:szCs w:val="18"/>
                <w:lang w:val="es-419"/>
              </w:rPr>
              <w:t>,</w:t>
            </w:r>
            <w:r w:rsidR="00A029C8" w:rsidRPr="002070C0">
              <w:rPr>
                <w:rFonts w:ascii="Arial" w:hAnsi="Arial" w:cs="Arial"/>
                <w:sz w:val="18"/>
                <w:szCs w:val="18"/>
                <w:lang w:val="es-419"/>
              </w:rPr>
              <w:t xml:space="preserve"> El Salvador</w:t>
            </w:r>
            <w:r>
              <w:rPr>
                <w:rFonts w:ascii="Arial" w:hAnsi="Arial" w:cs="Arial"/>
                <w:sz w:val="18"/>
                <w:szCs w:val="18"/>
                <w:lang w:val="es-419"/>
              </w:rPr>
              <w:t>,</w:t>
            </w:r>
            <w:r w:rsidRPr="002070C0">
              <w:rPr>
                <w:rFonts w:ascii="Arial" w:hAnsi="Arial" w:cs="Arial"/>
                <w:sz w:val="18"/>
                <w:szCs w:val="18"/>
                <w:lang w:val="es-419"/>
              </w:rPr>
              <w:t xml:space="preserve"> </w:t>
            </w:r>
            <w:r w:rsidRPr="002070C0">
              <w:rPr>
                <w:rFonts w:ascii="Arial" w:hAnsi="Arial" w:cs="Arial"/>
                <w:sz w:val="18"/>
                <w:szCs w:val="18"/>
                <w:lang w:val="es-419"/>
              </w:rPr>
              <w:t>M</w:t>
            </w:r>
            <w:r>
              <w:rPr>
                <w:rFonts w:ascii="Arial" w:hAnsi="Arial" w:cs="Arial"/>
                <w:sz w:val="18"/>
                <w:szCs w:val="18"/>
                <w:lang w:val="es-419"/>
              </w:rPr>
              <w:t>é</w:t>
            </w:r>
            <w:r w:rsidRPr="002070C0">
              <w:rPr>
                <w:rFonts w:ascii="Arial" w:hAnsi="Arial" w:cs="Arial"/>
                <w:sz w:val="18"/>
                <w:szCs w:val="18"/>
                <w:lang w:val="es-419"/>
              </w:rPr>
              <w:t>xico</w:t>
            </w:r>
            <w:r w:rsidR="00A029C8" w:rsidRPr="002070C0">
              <w:rPr>
                <w:rFonts w:ascii="Arial" w:hAnsi="Arial" w:cs="Arial"/>
                <w:sz w:val="18"/>
                <w:szCs w:val="18"/>
                <w:lang w:val="es-419"/>
              </w:rPr>
              <w:t xml:space="preserve">, </w:t>
            </w:r>
            <w:proofErr w:type="spellStart"/>
            <w:r w:rsidR="00A029C8" w:rsidRPr="002070C0">
              <w:rPr>
                <w:rFonts w:ascii="Arial" w:hAnsi="Arial" w:cs="Arial"/>
                <w:sz w:val="18"/>
                <w:szCs w:val="18"/>
                <w:lang w:val="es-419"/>
              </w:rPr>
              <w:t>Suriname</w:t>
            </w:r>
            <w:proofErr w:type="spellEnd"/>
          </w:p>
        </w:tc>
      </w:tr>
      <w:tr w:rsidR="00473B92" w14:paraId="1FAFC324" w14:textId="77777777" w:rsidTr="002070C0">
        <w:trPr>
          <w:jc w:val="center"/>
        </w:trPr>
        <w:tc>
          <w:tcPr>
            <w:tcW w:w="4109" w:type="dxa"/>
          </w:tcPr>
          <w:p w14:paraId="787074B8" w14:textId="77777777" w:rsidR="00473B92" w:rsidRDefault="00A029C8">
            <w:pPr>
              <w:spacing w:before="40" w:after="40"/>
              <w:ind w:left="115" w:hanging="115"/>
            </w:pPr>
            <w:r>
              <w:rPr>
                <w:rFonts w:ascii="Arial" w:hAnsi="Arial" w:cs="Arial"/>
                <w:sz w:val="18"/>
                <w:szCs w:val="18"/>
              </w:rPr>
              <w:t>▪</w:t>
            </w:r>
            <w:r>
              <w:rPr>
                <w:rFonts w:ascii="Arial" w:hAnsi="Arial" w:cs="Arial"/>
                <w:sz w:val="18"/>
                <w:szCs w:val="18"/>
              </w:rPr>
              <w:t xml:space="preserve"> </w:t>
            </w:r>
            <w:r>
              <w:rPr>
                <w:rFonts w:ascii="Arial" w:hAnsi="Arial" w:cs="Arial"/>
                <w:sz w:val="18"/>
                <w:szCs w:val="18"/>
              </w:rPr>
              <w:t>Executing Agency:</w:t>
            </w:r>
          </w:p>
        </w:tc>
        <w:tc>
          <w:tcPr>
            <w:tcW w:w="5133" w:type="dxa"/>
          </w:tcPr>
          <w:p w14:paraId="0D3AB148" w14:textId="1690D601" w:rsidR="00473B92" w:rsidRDefault="002070C0">
            <w:pPr>
              <w:spacing w:before="40" w:after="40"/>
            </w:pPr>
            <w:r>
              <w:rPr>
                <w:rFonts w:ascii="Arial" w:hAnsi="Arial" w:cs="Arial"/>
                <w:sz w:val="18"/>
                <w:szCs w:val="18"/>
              </w:rPr>
              <w:t>Inter-American Development Bank</w:t>
            </w:r>
          </w:p>
        </w:tc>
      </w:tr>
      <w:tr w:rsidR="00473B92" w14:paraId="1CA16C7D" w14:textId="77777777" w:rsidTr="002070C0">
        <w:trPr>
          <w:jc w:val="center"/>
        </w:trPr>
        <w:tc>
          <w:tcPr>
            <w:tcW w:w="4109" w:type="dxa"/>
          </w:tcPr>
          <w:p w14:paraId="34DE0775" w14:textId="77777777" w:rsidR="00473B92" w:rsidRDefault="00A029C8">
            <w:pPr>
              <w:spacing w:before="40" w:after="40"/>
              <w:ind w:left="115" w:hanging="115"/>
            </w:pPr>
            <w:r>
              <w:rPr>
                <w:rFonts w:ascii="Arial" w:hAnsi="Arial" w:cs="Arial"/>
                <w:sz w:val="18"/>
                <w:szCs w:val="18"/>
              </w:rPr>
              <w:t>▪</w:t>
            </w:r>
            <w:r>
              <w:rPr>
                <w:rFonts w:ascii="Arial" w:hAnsi="Arial" w:cs="Arial"/>
                <w:sz w:val="18"/>
                <w:szCs w:val="18"/>
              </w:rPr>
              <w:t xml:space="preserve"> IDB funding requested:</w:t>
            </w:r>
          </w:p>
        </w:tc>
        <w:tc>
          <w:tcPr>
            <w:tcW w:w="5133" w:type="dxa"/>
          </w:tcPr>
          <w:p w14:paraId="44D0E301" w14:textId="77777777" w:rsidR="00473B92" w:rsidRDefault="00A029C8" w:rsidP="002070C0">
            <w:pPr>
              <w:bidi/>
              <w:spacing w:before="40" w:after="40"/>
              <w:jc w:val="right"/>
            </w:pPr>
            <w:r>
              <w:rPr>
                <w:rFonts w:ascii="Arial" w:hAnsi="Arial" w:cs="Arial"/>
                <w:sz w:val="18"/>
                <w:szCs w:val="18"/>
              </w:rPr>
              <w:t>US$1,500,000.00</w:t>
            </w:r>
          </w:p>
        </w:tc>
      </w:tr>
      <w:tr w:rsidR="00473B92" w14:paraId="62B062C5" w14:textId="77777777" w:rsidTr="002070C0">
        <w:trPr>
          <w:jc w:val="center"/>
        </w:trPr>
        <w:tc>
          <w:tcPr>
            <w:tcW w:w="4109" w:type="dxa"/>
          </w:tcPr>
          <w:p w14:paraId="77CBCA0E" w14:textId="77777777" w:rsidR="00473B92" w:rsidRDefault="00A029C8">
            <w:pPr>
              <w:spacing w:before="40" w:after="40"/>
              <w:ind w:left="115" w:hanging="115"/>
            </w:pPr>
            <w:r>
              <w:rPr>
                <w:rFonts w:ascii="Arial" w:hAnsi="Arial" w:cs="Arial"/>
                <w:sz w:val="18"/>
                <w:szCs w:val="18"/>
              </w:rPr>
              <w:t>▪</w:t>
            </w:r>
            <w:r>
              <w:rPr>
                <w:rFonts w:ascii="Arial" w:hAnsi="Arial" w:cs="Arial"/>
                <w:sz w:val="18"/>
                <w:szCs w:val="18"/>
              </w:rPr>
              <w:t xml:space="preserve"> Local counterpart funding:</w:t>
            </w:r>
          </w:p>
        </w:tc>
        <w:tc>
          <w:tcPr>
            <w:tcW w:w="5133" w:type="dxa"/>
          </w:tcPr>
          <w:p w14:paraId="60136256" w14:textId="77777777" w:rsidR="00473B92" w:rsidRDefault="00A029C8" w:rsidP="002070C0">
            <w:pPr>
              <w:bidi/>
              <w:spacing w:before="40" w:after="40"/>
              <w:jc w:val="right"/>
            </w:pPr>
            <w:r>
              <w:rPr>
                <w:rFonts w:ascii="Arial" w:hAnsi="Arial" w:cs="Arial"/>
                <w:sz w:val="18"/>
                <w:szCs w:val="18"/>
              </w:rPr>
              <w:t>US$0.00</w:t>
            </w:r>
          </w:p>
        </w:tc>
      </w:tr>
      <w:tr w:rsidR="00473B92" w14:paraId="4C7736A4" w14:textId="77777777" w:rsidTr="002070C0">
        <w:trPr>
          <w:jc w:val="center"/>
        </w:trPr>
        <w:tc>
          <w:tcPr>
            <w:tcW w:w="4109" w:type="dxa"/>
          </w:tcPr>
          <w:p w14:paraId="23C9FE21" w14:textId="77777777" w:rsidR="00473B92" w:rsidRDefault="00A029C8">
            <w:pPr>
              <w:spacing w:before="40" w:after="40"/>
              <w:ind w:left="115" w:hanging="115"/>
            </w:pPr>
            <w:r>
              <w:rPr>
                <w:rFonts w:ascii="Arial" w:hAnsi="Arial" w:cs="Arial"/>
                <w:sz w:val="18"/>
                <w:szCs w:val="18"/>
              </w:rPr>
              <w:t>▪</w:t>
            </w:r>
            <w:r>
              <w:rPr>
                <w:rFonts w:ascii="Arial" w:hAnsi="Arial" w:cs="Arial"/>
                <w:sz w:val="18"/>
                <w:szCs w:val="18"/>
              </w:rPr>
              <w:t xml:space="preserve"> Disbursement period:</w:t>
            </w:r>
          </w:p>
        </w:tc>
        <w:tc>
          <w:tcPr>
            <w:tcW w:w="5133" w:type="dxa"/>
          </w:tcPr>
          <w:p w14:paraId="1726F44F" w14:textId="77777777" w:rsidR="00473B92" w:rsidRDefault="00A029C8" w:rsidP="002070C0">
            <w:pPr>
              <w:bidi/>
              <w:spacing w:before="40" w:after="40"/>
              <w:jc w:val="right"/>
            </w:pPr>
            <w:r>
              <w:rPr>
                <w:rFonts w:ascii="Arial" w:hAnsi="Arial" w:cs="Arial"/>
                <w:sz w:val="18"/>
                <w:szCs w:val="18"/>
              </w:rPr>
              <w:t>36 months</w:t>
            </w:r>
          </w:p>
        </w:tc>
      </w:tr>
      <w:tr w:rsidR="00473B92" w14:paraId="105AB165" w14:textId="77777777" w:rsidTr="002070C0">
        <w:trPr>
          <w:jc w:val="center"/>
        </w:trPr>
        <w:tc>
          <w:tcPr>
            <w:tcW w:w="4109" w:type="dxa"/>
          </w:tcPr>
          <w:p w14:paraId="14781769" w14:textId="77777777" w:rsidR="00473B92" w:rsidRDefault="00A029C8">
            <w:pPr>
              <w:spacing w:before="40" w:after="40"/>
              <w:ind w:left="115" w:hanging="115"/>
            </w:pPr>
            <w:r>
              <w:rPr>
                <w:rFonts w:ascii="Arial" w:hAnsi="Arial" w:cs="Arial"/>
                <w:sz w:val="18"/>
                <w:szCs w:val="18"/>
              </w:rPr>
              <w:t>▪</w:t>
            </w:r>
            <w:r>
              <w:rPr>
                <w:rFonts w:ascii="Arial" w:hAnsi="Arial" w:cs="Arial"/>
                <w:sz w:val="18"/>
                <w:szCs w:val="18"/>
              </w:rPr>
              <w:t xml:space="preserve"> Types of consultants:</w:t>
            </w:r>
          </w:p>
        </w:tc>
        <w:tc>
          <w:tcPr>
            <w:tcW w:w="5133" w:type="dxa"/>
          </w:tcPr>
          <w:p w14:paraId="5E26C4D9" w14:textId="77777777" w:rsidR="00473B92" w:rsidRDefault="00A029C8">
            <w:pPr>
              <w:spacing w:before="40" w:after="40"/>
            </w:pPr>
            <w:r>
              <w:rPr>
                <w:rFonts w:ascii="Arial" w:hAnsi="Arial" w:cs="Arial"/>
                <w:sz w:val="18"/>
                <w:szCs w:val="18"/>
              </w:rPr>
              <w:t>Individuals; Firms</w:t>
            </w:r>
          </w:p>
        </w:tc>
      </w:tr>
      <w:tr w:rsidR="00473B92" w14:paraId="2684EC19" w14:textId="77777777" w:rsidTr="002070C0">
        <w:trPr>
          <w:jc w:val="center"/>
        </w:trPr>
        <w:tc>
          <w:tcPr>
            <w:tcW w:w="4109" w:type="dxa"/>
          </w:tcPr>
          <w:p w14:paraId="02542D23" w14:textId="77777777" w:rsidR="00473B92" w:rsidRDefault="00A029C8">
            <w:pPr>
              <w:spacing w:before="40" w:after="40"/>
              <w:ind w:left="115" w:hanging="115"/>
            </w:pPr>
            <w:r>
              <w:rPr>
                <w:rFonts w:ascii="Arial" w:hAnsi="Arial" w:cs="Arial"/>
                <w:sz w:val="18"/>
                <w:szCs w:val="18"/>
              </w:rPr>
              <w:t>▪</w:t>
            </w:r>
            <w:r>
              <w:rPr>
                <w:rFonts w:ascii="Arial" w:hAnsi="Arial" w:cs="Arial"/>
                <w:sz w:val="18"/>
                <w:szCs w:val="18"/>
              </w:rPr>
              <w:t xml:space="preserve"> Prepared by Unit:</w:t>
            </w:r>
          </w:p>
        </w:tc>
        <w:tc>
          <w:tcPr>
            <w:tcW w:w="5133" w:type="dxa"/>
          </w:tcPr>
          <w:p w14:paraId="72544917" w14:textId="77777777" w:rsidR="00473B92" w:rsidRDefault="00A029C8">
            <w:pPr>
              <w:spacing w:before="40" w:after="40"/>
            </w:pPr>
            <w:r>
              <w:rPr>
                <w:rFonts w:ascii="Arial" w:hAnsi="Arial" w:cs="Arial"/>
                <w:sz w:val="18"/>
                <w:szCs w:val="18"/>
              </w:rPr>
              <w:t>INE/ENE - Energy</w:t>
            </w:r>
          </w:p>
        </w:tc>
      </w:tr>
      <w:tr w:rsidR="00473B92" w14:paraId="6B2640B1" w14:textId="77777777" w:rsidTr="002070C0">
        <w:trPr>
          <w:jc w:val="center"/>
        </w:trPr>
        <w:tc>
          <w:tcPr>
            <w:tcW w:w="4109" w:type="dxa"/>
          </w:tcPr>
          <w:p w14:paraId="5462457C" w14:textId="77777777" w:rsidR="00473B92" w:rsidRDefault="00A029C8">
            <w:pPr>
              <w:spacing w:before="40" w:after="40"/>
              <w:ind w:left="115" w:hanging="115"/>
            </w:pPr>
            <w:r>
              <w:rPr>
                <w:rFonts w:ascii="Arial" w:hAnsi="Arial" w:cs="Arial"/>
                <w:sz w:val="18"/>
                <w:szCs w:val="18"/>
              </w:rPr>
              <w:t>▪</w:t>
            </w:r>
            <w:r>
              <w:rPr>
                <w:rFonts w:ascii="Arial" w:hAnsi="Arial" w:cs="Arial"/>
                <w:sz w:val="18"/>
                <w:szCs w:val="18"/>
              </w:rPr>
              <w:t xml:space="preserve"> </w:t>
            </w:r>
            <w:r>
              <w:rPr>
                <w:rFonts w:ascii="Arial" w:hAnsi="Arial" w:cs="Arial"/>
                <w:sz w:val="18"/>
                <w:szCs w:val="18"/>
              </w:rPr>
              <w:t>Unit of Disbursement Responsibility:</w:t>
            </w:r>
          </w:p>
        </w:tc>
        <w:tc>
          <w:tcPr>
            <w:tcW w:w="5133" w:type="dxa"/>
          </w:tcPr>
          <w:p w14:paraId="59108E0C" w14:textId="77777777" w:rsidR="00473B92" w:rsidRDefault="00A029C8">
            <w:pPr>
              <w:spacing w:before="40" w:after="40"/>
            </w:pPr>
            <w:r>
              <w:rPr>
                <w:rFonts w:ascii="Arial" w:hAnsi="Arial" w:cs="Arial"/>
                <w:sz w:val="18"/>
                <w:szCs w:val="18"/>
              </w:rPr>
              <w:t>INE/ENE - Energy</w:t>
            </w:r>
          </w:p>
        </w:tc>
      </w:tr>
      <w:tr w:rsidR="00473B92" w14:paraId="14E5CC82" w14:textId="77777777" w:rsidTr="002070C0">
        <w:trPr>
          <w:jc w:val="center"/>
        </w:trPr>
        <w:tc>
          <w:tcPr>
            <w:tcW w:w="4109" w:type="dxa"/>
          </w:tcPr>
          <w:p w14:paraId="358CBA71" w14:textId="27819C3E" w:rsidR="00473B92" w:rsidRDefault="00A029C8">
            <w:pPr>
              <w:spacing w:before="40" w:after="40"/>
            </w:pPr>
            <w:r>
              <w:rPr>
                <w:rFonts w:ascii="Arial" w:hAnsi="Arial" w:cs="Arial"/>
                <w:sz w:val="18"/>
                <w:szCs w:val="18"/>
              </w:rPr>
              <w:t>▪</w:t>
            </w:r>
            <w:r>
              <w:rPr>
                <w:rFonts w:ascii="Arial" w:hAnsi="Arial" w:cs="Arial"/>
                <w:sz w:val="18"/>
                <w:szCs w:val="18"/>
              </w:rPr>
              <w:t xml:space="preserve"> TC included in Country Strategy (y/n):</w:t>
            </w:r>
            <w:r>
              <w:rPr>
                <w:rFonts w:ascii="Arial" w:hAnsi="Arial" w:cs="Arial"/>
                <w:sz w:val="18"/>
                <w:szCs w:val="18"/>
              </w:rPr>
              <w:br/>
              <w:t>▪ TC included in CPD (y/n):</w:t>
            </w:r>
          </w:p>
        </w:tc>
        <w:tc>
          <w:tcPr>
            <w:tcW w:w="5133" w:type="dxa"/>
          </w:tcPr>
          <w:p w14:paraId="72D94981" w14:textId="3253CC78" w:rsidR="00473B92" w:rsidRDefault="00A029C8">
            <w:pPr>
              <w:spacing w:before="40" w:after="40"/>
            </w:pPr>
            <w:r>
              <w:rPr>
                <w:rFonts w:ascii="Arial" w:hAnsi="Arial" w:cs="Arial"/>
                <w:sz w:val="18"/>
                <w:szCs w:val="18"/>
              </w:rPr>
              <w:t>No</w:t>
            </w:r>
            <w:r>
              <w:rPr>
                <w:rFonts w:ascii="Arial" w:hAnsi="Arial" w:cs="Arial"/>
                <w:sz w:val="18"/>
                <w:szCs w:val="18"/>
              </w:rPr>
              <w:br/>
            </w:r>
            <w:proofErr w:type="spellStart"/>
            <w:r>
              <w:rPr>
                <w:rFonts w:ascii="Arial" w:hAnsi="Arial" w:cs="Arial"/>
                <w:sz w:val="18"/>
                <w:szCs w:val="18"/>
              </w:rPr>
              <w:t>No</w:t>
            </w:r>
            <w:proofErr w:type="spellEnd"/>
          </w:p>
        </w:tc>
      </w:tr>
      <w:tr w:rsidR="00473B92" w14:paraId="60A2E503" w14:textId="77777777" w:rsidTr="002070C0">
        <w:trPr>
          <w:jc w:val="center"/>
        </w:trPr>
        <w:tc>
          <w:tcPr>
            <w:tcW w:w="4109" w:type="dxa"/>
          </w:tcPr>
          <w:p w14:paraId="4EE34768" w14:textId="77777777" w:rsidR="00473B92" w:rsidRDefault="00A029C8">
            <w:pPr>
              <w:spacing w:before="40" w:after="40"/>
              <w:ind w:left="115" w:hanging="115"/>
            </w:pPr>
            <w:r>
              <w:rPr>
                <w:rFonts w:ascii="Arial" w:hAnsi="Arial" w:cs="Arial"/>
                <w:sz w:val="18"/>
                <w:szCs w:val="18"/>
              </w:rPr>
              <w:t>▪</w:t>
            </w:r>
            <w:r>
              <w:rPr>
                <w:rFonts w:ascii="Arial" w:hAnsi="Arial" w:cs="Arial"/>
                <w:sz w:val="18"/>
                <w:szCs w:val="18"/>
              </w:rPr>
              <w:t xml:space="preserve"> Alignment to the Update to the Institutional Strategy 2010-2020:</w:t>
            </w:r>
          </w:p>
        </w:tc>
        <w:tc>
          <w:tcPr>
            <w:tcW w:w="5133" w:type="dxa"/>
          </w:tcPr>
          <w:p w14:paraId="003732C2" w14:textId="53D7D82E" w:rsidR="00473B92" w:rsidRDefault="00A029C8">
            <w:pPr>
              <w:spacing w:before="40" w:after="40"/>
            </w:pPr>
            <w:r>
              <w:rPr>
                <w:rFonts w:ascii="Arial" w:hAnsi="Arial" w:cs="Arial"/>
                <w:sz w:val="18"/>
                <w:szCs w:val="18"/>
              </w:rPr>
              <w:t>Productivity and innovation</w:t>
            </w:r>
            <w:r>
              <w:rPr>
                <w:rFonts w:ascii="Arial" w:hAnsi="Arial" w:cs="Arial"/>
                <w:sz w:val="18"/>
                <w:szCs w:val="18"/>
              </w:rPr>
              <w:t xml:space="preserve">; Environmental </w:t>
            </w:r>
            <w:r>
              <w:rPr>
                <w:rFonts w:ascii="Arial" w:hAnsi="Arial" w:cs="Arial"/>
                <w:sz w:val="18"/>
                <w:szCs w:val="18"/>
              </w:rPr>
              <w:t>sustainability</w:t>
            </w:r>
          </w:p>
        </w:tc>
      </w:tr>
    </w:tbl>
    <w:p w14:paraId="5979F809" w14:textId="77777777" w:rsidR="00473B92" w:rsidRDefault="00A029C8" w:rsidP="002070C0">
      <w:pPr>
        <w:spacing w:before="240" w:after="120"/>
        <w:ind w:left="576" w:hanging="576"/>
      </w:pPr>
      <w:r>
        <w:rPr>
          <w:rFonts w:ascii="Arial" w:hAnsi="Arial" w:cs="Arial"/>
          <w:b/>
        </w:rPr>
        <w:t>II.</w:t>
      </w:r>
      <w:r>
        <w:rPr>
          <w:rFonts w:ascii="Arial" w:hAnsi="Arial" w:cs="Arial"/>
          <w:b/>
        </w:rPr>
        <w:tab/>
        <w:t>Objective and Justification</w:t>
      </w:r>
    </w:p>
    <w:p w14:paraId="372D487D" w14:textId="4D24A260" w:rsidR="00473B92" w:rsidRDefault="00A029C8">
      <w:pPr>
        <w:spacing w:before="120" w:after="120"/>
        <w:ind w:left="579" w:hanging="579"/>
        <w:jc w:val="both"/>
      </w:pPr>
      <w:r>
        <w:rPr>
          <w:rFonts w:ascii="Arial" w:hAnsi="Arial" w:cs="Arial"/>
        </w:rPr>
        <w:t>2.1</w:t>
      </w:r>
      <w:r>
        <w:rPr>
          <w:rFonts w:ascii="Arial" w:hAnsi="Arial" w:cs="Arial"/>
        </w:rPr>
        <w:tab/>
        <w:t>The main objective of this TC is to support the modernization of hydropower plants in Latin American</w:t>
      </w:r>
      <w:r w:rsidR="00AF14CB">
        <w:rPr>
          <w:rFonts w:ascii="Arial" w:hAnsi="Arial" w:cs="Arial"/>
        </w:rPr>
        <w:t xml:space="preserve"> and Caribbean</w:t>
      </w:r>
      <w:r>
        <w:rPr>
          <w:rFonts w:ascii="Arial" w:hAnsi="Arial" w:cs="Arial"/>
        </w:rPr>
        <w:t xml:space="preserve"> countries. </w:t>
      </w:r>
      <w:r w:rsidR="00AF14CB">
        <w:rPr>
          <w:rFonts w:ascii="Arial" w:hAnsi="Arial" w:cs="Arial"/>
        </w:rPr>
        <w:t>Its</w:t>
      </w:r>
      <w:r>
        <w:rPr>
          <w:rFonts w:ascii="Arial" w:hAnsi="Arial" w:cs="Arial"/>
        </w:rPr>
        <w:t xml:space="preserve"> specific objectives are</w:t>
      </w:r>
      <w:r w:rsidR="00AF14CB">
        <w:rPr>
          <w:rFonts w:ascii="Arial" w:hAnsi="Arial" w:cs="Arial"/>
        </w:rPr>
        <w:t xml:space="preserve"> to</w:t>
      </w:r>
      <w:r>
        <w:rPr>
          <w:rFonts w:ascii="Arial" w:hAnsi="Arial" w:cs="Arial"/>
        </w:rPr>
        <w:t xml:space="preserve">: (i) </w:t>
      </w:r>
      <w:r>
        <w:rPr>
          <w:rFonts w:ascii="Arial" w:hAnsi="Arial" w:cs="Arial"/>
        </w:rPr>
        <w:t>support studies to develop</w:t>
      </w:r>
      <w:r w:rsidR="00AF14CB">
        <w:rPr>
          <w:rFonts w:ascii="Arial" w:hAnsi="Arial" w:cs="Arial"/>
        </w:rPr>
        <w:t>,</w:t>
      </w:r>
      <w:r>
        <w:rPr>
          <w:rFonts w:ascii="Arial" w:hAnsi="Arial" w:cs="Arial"/>
        </w:rPr>
        <w:t xml:space="preserve"> at least</w:t>
      </w:r>
      <w:r w:rsidR="00AF14CB">
        <w:rPr>
          <w:rFonts w:ascii="Arial" w:hAnsi="Arial" w:cs="Arial"/>
        </w:rPr>
        <w:t>,</w:t>
      </w:r>
      <w:r>
        <w:rPr>
          <w:rFonts w:ascii="Arial" w:hAnsi="Arial" w:cs="Arial"/>
        </w:rPr>
        <w:t xml:space="preserve"> four </w:t>
      </w:r>
      <w:r>
        <w:rPr>
          <w:rFonts w:ascii="Arial" w:hAnsi="Arial" w:cs="Arial"/>
        </w:rPr>
        <w:t>hydropower modernization projects; (ii) support the development of regulations to support hydropower modernization;</w:t>
      </w:r>
      <w:r w:rsidR="00AF14CB">
        <w:rPr>
          <w:rFonts w:ascii="Arial" w:hAnsi="Arial" w:cs="Arial"/>
        </w:rPr>
        <w:t xml:space="preserve"> and</w:t>
      </w:r>
      <w:r>
        <w:rPr>
          <w:rFonts w:ascii="Arial" w:hAnsi="Arial" w:cs="Arial"/>
        </w:rPr>
        <w:t xml:space="preserve"> (iii) conduct at least one capacity building seminar for hydropower modernization in the region.</w:t>
      </w:r>
    </w:p>
    <w:p w14:paraId="438F4BE9" w14:textId="2EA513DA" w:rsidR="00F436EA" w:rsidRDefault="00A029C8">
      <w:pPr>
        <w:spacing w:before="120" w:after="120"/>
        <w:ind w:left="579" w:hanging="579"/>
        <w:jc w:val="both"/>
        <w:rPr>
          <w:rFonts w:ascii="Arial" w:hAnsi="Arial" w:cs="Arial"/>
        </w:rPr>
      </w:pPr>
      <w:r>
        <w:rPr>
          <w:rFonts w:ascii="Arial" w:hAnsi="Arial" w:cs="Arial"/>
        </w:rPr>
        <w:t>2.2</w:t>
      </w:r>
      <w:r>
        <w:rPr>
          <w:rFonts w:ascii="Arial" w:hAnsi="Arial" w:cs="Arial"/>
        </w:rPr>
        <w:tab/>
        <w:t>Nearly half of electricity in Latin Ame</w:t>
      </w:r>
      <w:r>
        <w:rPr>
          <w:rFonts w:ascii="Arial" w:hAnsi="Arial" w:cs="Arial"/>
        </w:rPr>
        <w:t>rica and the Caribbean (LAC) depends on hydroelectricity, which continues to be the largest source of renewable energy</w:t>
      </w:r>
      <w:r w:rsidR="00AF14CB">
        <w:rPr>
          <w:rFonts w:ascii="Arial" w:hAnsi="Arial" w:cs="Arial"/>
        </w:rPr>
        <w:t xml:space="preserve"> (RE)</w:t>
      </w:r>
      <w:r>
        <w:rPr>
          <w:rFonts w:ascii="Arial" w:hAnsi="Arial" w:cs="Arial"/>
        </w:rPr>
        <w:t xml:space="preserve"> in the region, with more than 200 GW installed. This hydro-energy capacity has allowed LAC to be the region with the cleanest electricity</w:t>
      </w:r>
      <w:r>
        <w:rPr>
          <w:rFonts w:ascii="Arial" w:hAnsi="Arial" w:cs="Arial"/>
        </w:rPr>
        <w:t xml:space="preserve"> matrix in the world, to have low-cost </w:t>
      </w:r>
      <w:r w:rsidR="00AF14CB">
        <w:rPr>
          <w:rFonts w:ascii="Arial" w:hAnsi="Arial" w:cs="Arial"/>
        </w:rPr>
        <w:t>RE</w:t>
      </w:r>
      <w:r>
        <w:rPr>
          <w:rFonts w:ascii="Arial" w:hAnsi="Arial" w:cs="Arial"/>
        </w:rPr>
        <w:t xml:space="preserve">, and to be in </w:t>
      </w:r>
      <w:r w:rsidR="00AF14CB">
        <w:rPr>
          <w:rFonts w:ascii="Arial" w:hAnsi="Arial" w:cs="Arial"/>
        </w:rPr>
        <w:t xml:space="preserve">an </w:t>
      </w:r>
      <w:r>
        <w:rPr>
          <w:rFonts w:ascii="Arial" w:hAnsi="Arial" w:cs="Arial"/>
        </w:rPr>
        <w:t xml:space="preserve">excellent position to accelerate the penetration of variable renewable energies sources, such as wind and solar energy. </w:t>
      </w:r>
      <w:r>
        <w:rPr>
          <w:rFonts w:ascii="Arial" w:hAnsi="Arial" w:cs="Arial"/>
        </w:rPr>
        <w:t>Countries in the region are beginning to plan a transition toward</w:t>
      </w:r>
      <w:r>
        <w:rPr>
          <w:rFonts w:ascii="Arial" w:hAnsi="Arial" w:cs="Arial"/>
        </w:rPr>
        <w:t xml:space="preserve">s a low carbon economy, which is based on the increased participation of </w:t>
      </w:r>
      <w:r w:rsidR="00AF14CB">
        <w:rPr>
          <w:rFonts w:ascii="Arial" w:hAnsi="Arial" w:cs="Arial"/>
        </w:rPr>
        <w:t>RE</w:t>
      </w:r>
      <w:r>
        <w:rPr>
          <w:rFonts w:ascii="Arial" w:hAnsi="Arial" w:cs="Arial"/>
        </w:rPr>
        <w:t xml:space="preserve"> sources and a higher electrification of other sectors of the economy (such as transport and industry). Electricity demand is expected to continue growing in the next </w:t>
      </w:r>
      <w:r>
        <w:rPr>
          <w:rFonts w:ascii="Arial" w:hAnsi="Arial" w:cs="Arial"/>
        </w:rPr>
        <w:t>decades (2</w:t>
      </w:r>
      <w:r w:rsidR="00AF14CB">
        <w:rPr>
          <w:rFonts w:ascii="Arial" w:hAnsi="Arial" w:cs="Arial"/>
        </w:rPr>
        <w:t>.</w:t>
      </w:r>
      <w:r>
        <w:rPr>
          <w:rFonts w:ascii="Arial" w:hAnsi="Arial" w:cs="Arial"/>
        </w:rPr>
        <w:t>8 to 3</w:t>
      </w:r>
      <w:r w:rsidR="00AF14CB">
        <w:rPr>
          <w:rFonts w:ascii="Arial" w:hAnsi="Arial" w:cs="Arial"/>
        </w:rPr>
        <w:t>.</w:t>
      </w:r>
      <w:r>
        <w:rPr>
          <w:rFonts w:ascii="Arial" w:hAnsi="Arial" w:cs="Arial"/>
        </w:rPr>
        <w:t xml:space="preserve">5% per year), doubling by 2040. In this context, hydropower is essential as the largest source of </w:t>
      </w:r>
      <w:r w:rsidR="00AF14CB">
        <w:rPr>
          <w:rFonts w:ascii="Arial" w:hAnsi="Arial" w:cs="Arial"/>
        </w:rPr>
        <w:t>RE</w:t>
      </w:r>
      <w:r>
        <w:rPr>
          <w:rFonts w:ascii="Arial" w:hAnsi="Arial" w:cs="Arial"/>
        </w:rPr>
        <w:t xml:space="preserve">, also capable of providing storage and flexibility to the system. </w:t>
      </w:r>
      <w:r>
        <w:rPr>
          <w:rFonts w:ascii="Arial" w:hAnsi="Arial" w:cs="Arial"/>
        </w:rPr>
        <w:t>The storage and grid services provided by hydropower are</w:t>
      </w:r>
      <w:r>
        <w:rPr>
          <w:rFonts w:ascii="Arial" w:hAnsi="Arial" w:cs="Arial"/>
        </w:rPr>
        <w:t xml:space="preserve"> critical to guarantee energy security and to support further penetration of variable renewable sources without increasing emissions. Digitalization of hydropower infrastructure will become essential in the coming years, to improve its efficiency, maintena</w:t>
      </w:r>
      <w:r>
        <w:rPr>
          <w:rFonts w:ascii="Arial" w:hAnsi="Arial" w:cs="Arial"/>
        </w:rPr>
        <w:t>nce, and security, as well as to coordinate its operation with other energy sources and other water uses (irrigation, flood control, etc.).</w:t>
      </w:r>
    </w:p>
    <w:p w14:paraId="485E3189" w14:textId="0BA7580E" w:rsidR="00F436EA" w:rsidRDefault="00F436EA" w:rsidP="00F436EA">
      <w:pPr>
        <w:spacing w:before="120" w:after="120"/>
        <w:ind w:left="579" w:hanging="579"/>
        <w:jc w:val="both"/>
        <w:rPr>
          <w:rFonts w:ascii="Arial" w:hAnsi="Arial" w:cs="Arial"/>
        </w:rPr>
      </w:pPr>
      <w:r>
        <w:rPr>
          <w:rFonts w:ascii="Arial" w:hAnsi="Arial" w:cs="Arial"/>
        </w:rPr>
        <w:lastRenderedPageBreak/>
        <w:t>2.3</w:t>
      </w:r>
      <w:r>
        <w:rPr>
          <w:rFonts w:ascii="Arial" w:hAnsi="Arial" w:cs="Arial"/>
        </w:rPr>
        <w:tab/>
      </w:r>
      <w:r w:rsidR="00A029C8">
        <w:rPr>
          <w:rFonts w:ascii="Arial" w:hAnsi="Arial" w:cs="Arial"/>
        </w:rPr>
        <w:t>More than half of the hydroelectric capacity in LAC has reached a stage of its useful life that requires some level</w:t>
      </w:r>
      <w:r w:rsidR="00A029C8">
        <w:rPr>
          <w:rFonts w:ascii="Arial" w:hAnsi="Arial" w:cs="Arial"/>
        </w:rPr>
        <w:t xml:space="preserve"> of modernization. So, assessing the state the assets and implementing improvements in the existing hydropower infrastructure is one of the fundamental issues to enable LAC’s energy transition. According to the conclusions of the studies and analysis carri</w:t>
      </w:r>
      <w:r w:rsidR="00A029C8">
        <w:rPr>
          <w:rFonts w:ascii="Arial" w:hAnsi="Arial" w:cs="Arial"/>
        </w:rPr>
        <w:t xml:space="preserve">ed out by the Energy Division of the </w:t>
      </w:r>
      <w:r>
        <w:rPr>
          <w:rFonts w:ascii="Arial" w:hAnsi="Arial" w:cs="Arial"/>
        </w:rPr>
        <w:t>Inter-American Development Bank (</w:t>
      </w:r>
      <w:r w:rsidR="00A029C8">
        <w:rPr>
          <w:rFonts w:ascii="Arial" w:hAnsi="Arial" w:cs="Arial"/>
        </w:rPr>
        <w:t>IDB</w:t>
      </w:r>
      <w:r>
        <w:rPr>
          <w:rFonts w:ascii="Arial" w:hAnsi="Arial" w:cs="Arial"/>
        </w:rPr>
        <w:t>)</w:t>
      </w:r>
      <w:r w:rsidR="00A029C8">
        <w:rPr>
          <w:rFonts w:ascii="Arial" w:hAnsi="Arial" w:cs="Arial"/>
        </w:rPr>
        <w:t>, the region needs to mobilize at least of US$5 billion of investments in the short-term, and US$30 billion in the medium-term, for the modernization of hydropower plants. These investments are estimated to allow the</w:t>
      </w:r>
      <w:r w:rsidR="00A029C8">
        <w:rPr>
          <w:rFonts w:ascii="Arial" w:hAnsi="Arial" w:cs="Arial"/>
        </w:rPr>
        <w:t xml:space="preserve"> modernization and rehabilitation of around 127</w:t>
      </w:r>
      <w:r>
        <w:rPr>
          <w:rFonts w:ascii="Arial" w:hAnsi="Arial" w:cs="Arial"/>
        </w:rPr>
        <w:t> </w:t>
      </w:r>
      <w:r w:rsidR="00A029C8">
        <w:rPr>
          <w:rFonts w:ascii="Arial" w:hAnsi="Arial" w:cs="Arial"/>
        </w:rPr>
        <w:t>GW of hydropower capacity.</w:t>
      </w:r>
    </w:p>
    <w:p w14:paraId="5F42A75E" w14:textId="28D221CD" w:rsidR="00473B92" w:rsidRDefault="00F436EA" w:rsidP="00F436EA">
      <w:pPr>
        <w:spacing w:before="120" w:after="120"/>
        <w:ind w:left="579" w:hanging="579"/>
        <w:jc w:val="both"/>
      </w:pPr>
      <w:r>
        <w:rPr>
          <w:rFonts w:ascii="Arial" w:hAnsi="Arial" w:cs="Arial"/>
        </w:rPr>
        <w:t>2.4</w:t>
      </w:r>
      <w:r>
        <w:rPr>
          <w:rFonts w:ascii="Arial" w:hAnsi="Arial" w:cs="Arial"/>
        </w:rPr>
        <w:tab/>
      </w:r>
      <w:r w:rsidR="00A029C8">
        <w:rPr>
          <w:rFonts w:ascii="Arial" w:hAnsi="Arial" w:cs="Arial"/>
        </w:rPr>
        <w:t>The modernization of hydropower in LAC is essential to reach net zero emissions by 2050. This task requires a multidimensional approach, including the development of technical, eco</w:t>
      </w:r>
      <w:r w:rsidR="00A029C8">
        <w:rPr>
          <w:rFonts w:ascii="Arial" w:hAnsi="Arial" w:cs="Arial"/>
        </w:rPr>
        <w:t xml:space="preserve">nomic, and environmental assessments, the financial structuring of projects, and the development of regulatory incentives that promote these investments. There are no local or regional facilities that provide financial support and technical assistance for </w:t>
      </w:r>
      <w:r w:rsidR="00A029C8">
        <w:rPr>
          <w:rFonts w:ascii="Arial" w:hAnsi="Arial" w:cs="Arial"/>
        </w:rPr>
        <w:t xml:space="preserve">hydropower modernization in the region, with a comprehensive vision, so there is an opportunity for the IDB. </w:t>
      </w:r>
      <w:r w:rsidR="00A029C8">
        <w:rPr>
          <w:rFonts w:ascii="Arial" w:hAnsi="Arial" w:cs="Arial"/>
        </w:rPr>
        <w:t xml:space="preserve">In the last </w:t>
      </w:r>
      <w:r w:rsidR="00640C50">
        <w:rPr>
          <w:rFonts w:ascii="Arial" w:hAnsi="Arial" w:cs="Arial"/>
        </w:rPr>
        <w:t>ten</w:t>
      </w:r>
      <w:r w:rsidR="00A029C8">
        <w:rPr>
          <w:rFonts w:ascii="Arial" w:hAnsi="Arial" w:cs="Arial"/>
        </w:rPr>
        <w:t xml:space="preserve"> years, the IDB has financed the modernization of close to 5 GW in the region and has extensive experience supporting the implementa</w:t>
      </w:r>
      <w:r w:rsidR="00A029C8">
        <w:rPr>
          <w:rFonts w:ascii="Arial" w:hAnsi="Arial" w:cs="Arial"/>
        </w:rPr>
        <w:t>tion of this type of projects. Additionally, the Energy Division, through its Hydropower Group, has also developed regional diagnostic studies and training for hydropower modernization and digitalization. This experience positions the IDB as a natural lead</w:t>
      </w:r>
      <w:r w:rsidR="00A029C8">
        <w:rPr>
          <w:rFonts w:ascii="Arial" w:hAnsi="Arial" w:cs="Arial"/>
        </w:rPr>
        <w:t>er in this area in the region. Currently, the Bank is implementing three loans for hydropower modernization (US$262 million</w:t>
      </w:r>
      <w:proofErr w:type="gramStart"/>
      <w:r w:rsidR="00A029C8">
        <w:rPr>
          <w:rFonts w:ascii="Arial" w:hAnsi="Arial" w:cs="Arial"/>
        </w:rPr>
        <w:t>)</w:t>
      </w:r>
      <w:proofErr w:type="gramEnd"/>
      <w:r w:rsidR="00A029C8">
        <w:rPr>
          <w:rFonts w:ascii="Arial" w:hAnsi="Arial" w:cs="Arial"/>
        </w:rPr>
        <w:t xml:space="preserve"> and it is involved in dialogue for four potential projects across the region.</w:t>
      </w:r>
    </w:p>
    <w:p w14:paraId="1B1BB7B0" w14:textId="77777777" w:rsidR="00473B92" w:rsidRDefault="00A029C8" w:rsidP="00640C50">
      <w:pPr>
        <w:spacing w:before="240" w:after="120"/>
        <w:ind w:left="576" w:hanging="576"/>
      </w:pPr>
      <w:r>
        <w:rPr>
          <w:rFonts w:ascii="Arial" w:hAnsi="Arial" w:cs="Arial"/>
          <w:b/>
        </w:rPr>
        <w:t>III.</w:t>
      </w:r>
      <w:r>
        <w:rPr>
          <w:rFonts w:ascii="Arial" w:hAnsi="Arial" w:cs="Arial"/>
          <w:b/>
        </w:rPr>
        <w:tab/>
        <w:t>Description of Activities and Outputs</w:t>
      </w:r>
    </w:p>
    <w:p w14:paraId="11629C0E" w14:textId="77777777" w:rsidR="00473B92" w:rsidRDefault="00A029C8">
      <w:pPr>
        <w:spacing w:before="120" w:after="120"/>
        <w:ind w:left="579" w:hanging="579"/>
        <w:jc w:val="both"/>
      </w:pPr>
      <w:r>
        <w:rPr>
          <w:rFonts w:ascii="Arial" w:hAnsi="Arial" w:cs="Arial"/>
        </w:rPr>
        <w:t>3.1</w:t>
      </w:r>
      <w:r>
        <w:rPr>
          <w:rFonts w:ascii="Arial" w:hAnsi="Arial" w:cs="Arial"/>
        </w:rPr>
        <w:tab/>
      </w:r>
      <w:r>
        <w:rPr>
          <w:rFonts w:ascii="Arial" w:hAnsi="Arial" w:cs="Arial"/>
          <w:b/>
        </w:rPr>
        <w:t>Compon</w:t>
      </w:r>
      <w:r>
        <w:rPr>
          <w:rFonts w:ascii="Arial" w:hAnsi="Arial" w:cs="Arial"/>
          <w:b/>
        </w:rPr>
        <w:t xml:space="preserve">ent I: Pre-feasibility and feasibility studies. </w:t>
      </w:r>
      <w:r>
        <w:rPr>
          <w:rFonts w:ascii="Arial" w:hAnsi="Arial" w:cs="Arial"/>
        </w:rPr>
        <w:t>Resources will support development of pre-feasibility and feasibility studies with a comprehensive approach (technical, economic, financial, and socio-environmental aspects) for specific hydropower modernizat</w:t>
      </w:r>
      <w:r>
        <w:rPr>
          <w:rFonts w:ascii="Arial" w:hAnsi="Arial" w:cs="Arial"/>
        </w:rPr>
        <w:t>ion projects. Initially, target countries that have been identified are Mexico, El Salvador, Suriname, and Bolivia. It aims to create a pipeline of at least four investment projects to be implemented in the coming decade, that could eventually be co-financ</w:t>
      </w:r>
      <w:r>
        <w:rPr>
          <w:rFonts w:ascii="Arial" w:hAnsi="Arial" w:cs="Arial"/>
        </w:rPr>
        <w:t>ed through the IBD-JICA CORE.</w:t>
      </w:r>
    </w:p>
    <w:p w14:paraId="0F0972A5" w14:textId="77777777" w:rsidR="00473B92" w:rsidRDefault="00A029C8">
      <w:pPr>
        <w:spacing w:before="120" w:after="120"/>
        <w:ind w:left="579" w:hanging="579"/>
        <w:jc w:val="both"/>
      </w:pPr>
      <w:r>
        <w:rPr>
          <w:rFonts w:ascii="Arial" w:hAnsi="Arial" w:cs="Arial"/>
        </w:rPr>
        <w:t>3.2</w:t>
      </w:r>
      <w:r>
        <w:rPr>
          <w:rFonts w:ascii="Arial" w:hAnsi="Arial" w:cs="Arial"/>
        </w:rPr>
        <w:tab/>
      </w:r>
      <w:r>
        <w:rPr>
          <w:rFonts w:ascii="Arial" w:hAnsi="Arial" w:cs="Arial"/>
          <w:b/>
        </w:rPr>
        <w:t xml:space="preserve">Component II: Coordination and capacity building. </w:t>
      </w:r>
      <w:r>
        <w:rPr>
          <w:rFonts w:ascii="Arial" w:hAnsi="Arial" w:cs="Arial"/>
        </w:rPr>
        <w:t>Will facilitate the coordination at a regional level. Also, a regional seminar of hydropower modernization will be financed.</w:t>
      </w:r>
    </w:p>
    <w:p w14:paraId="787FE833" w14:textId="77777777" w:rsidR="00473B92" w:rsidRDefault="00A029C8" w:rsidP="00640C50">
      <w:pPr>
        <w:spacing w:before="240" w:after="120"/>
        <w:ind w:left="576" w:hanging="576"/>
      </w:pPr>
      <w:r>
        <w:rPr>
          <w:rFonts w:ascii="Arial" w:hAnsi="Arial" w:cs="Arial"/>
          <w:b/>
        </w:rPr>
        <w:t>IV.</w:t>
      </w:r>
      <w:r>
        <w:rPr>
          <w:rFonts w:ascii="Arial" w:hAnsi="Arial" w:cs="Arial"/>
          <w:b/>
        </w:rPr>
        <w:tab/>
        <w:t>Budget</w:t>
      </w:r>
    </w:p>
    <w:p w14:paraId="5DFBD893" w14:textId="77777777" w:rsidR="00473B92" w:rsidRDefault="00A029C8">
      <w:pPr>
        <w:spacing w:before="240" w:after="120"/>
        <w:jc w:val="center"/>
      </w:pPr>
      <w:r>
        <w:rPr>
          <w:rFonts w:ascii="Arial" w:hAnsi="Arial" w:cs="Arial"/>
          <w:b/>
          <w:sz w:val="18"/>
          <w:szCs w:val="18"/>
        </w:rPr>
        <w:t>Indicative Budget</w:t>
      </w:r>
    </w:p>
    <w:tbl>
      <w:tblPr>
        <w:tblStyle w:val="TableGrid"/>
        <w:tblW w:w="5000" w:type="auto"/>
        <w:tblLook w:val="04A0" w:firstRow="1" w:lastRow="0" w:firstColumn="1" w:lastColumn="0" w:noHBand="0" w:noVBand="1"/>
      </w:tblPr>
      <w:tblGrid>
        <w:gridCol w:w="2280"/>
        <w:gridCol w:w="2255"/>
        <w:gridCol w:w="2226"/>
        <w:gridCol w:w="2255"/>
      </w:tblGrid>
      <w:tr w:rsidR="00473B92" w14:paraId="3D56D308" w14:textId="77777777">
        <w:tc>
          <w:tcPr>
            <w:tcW w:w="2310" w:type="dxa"/>
            <w:vAlign w:val="center"/>
          </w:tcPr>
          <w:p w14:paraId="21B0568C" w14:textId="77777777" w:rsidR="00473B92" w:rsidRDefault="00A029C8">
            <w:pPr>
              <w:spacing w:before="40" w:after="40"/>
              <w:jc w:val="center"/>
            </w:pPr>
            <w:r>
              <w:rPr>
                <w:rFonts w:ascii="Arial" w:hAnsi="Arial" w:cs="Arial"/>
                <w:b/>
                <w:sz w:val="18"/>
                <w:szCs w:val="18"/>
              </w:rPr>
              <w:t>Activity/Component</w:t>
            </w:r>
          </w:p>
        </w:tc>
        <w:tc>
          <w:tcPr>
            <w:tcW w:w="2310" w:type="dxa"/>
          </w:tcPr>
          <w:p w14:paraId="04F4F5DB" w14:textId="77777777" w:rsidR="00473B92" w:rsidRDefault="00A029C8">
            <w:pPr>
              <w:spacing w:before="40" w:after="40"/>
              <w:jc w:val="center"/>
            </w:pPr>
            <w:r>
              <w:rPr>
                <w:rFonts w:ascii="Arial" w:hAnsi="Arial" w:cs="Arial"/>
                <w:b/>
                <w:sz w:val="18"/>
                <w:szCs w:val="18"/>
              </w:rPr>
              <w:t>IDB/Fund Funding</w:t>
            </w:r>
          </w:p>
        </w:tc>
        <w:tc>
          <w:tcPr>
            <w:tcW w:w="2310" w:type="dxa"/>
          </w:tcPr>
          <w:p w14:paraId="4488807D" w14:textId="77777777" w:rsidR="00473B92" w:rsidRDefault="00A029C8">
            <w:pPr>
              <w:spacing w:before="40" w:after="40"/>
              <w:jc w:val="center"/>
            </w:pPr>
            <w:r>
              <w:rPr>
                <w:rFonts w:ascii="Arial" w:hAnsi="Arial" w:cs="Arial"/>
                <w:b/>
                <w:sz w:val="18"/>
                <w:szCs w:val="18"/>
              </w:rPr>
              <w:t>Counterpart Funding</w:t>
            </w:r>
          </w:p>
        </w:tc>
        <w:tc>
          <w:tcPr>
            <w:tcW w:w="2310" w:type="dxa"/>
          </w:tcPr>
          <w:p w14:paraId="43B62283" w14:textId="77777777" w:rsidR="00473B92" w:rsidRDefault="00A029C8">
            <w:pPr>
              <w:spacing w:before="40" w:after="40"/>
              <w:jc w:val="center"/>
            </w:pPr>
            <w:r>
              <w:rPr>
                <w:rFonts w:ascii="Arial" w:hAnsi="Arial" w:cs="Arial"/>
                <w:b/>
                <w:sz w:val="18"/>
                <w:szCs w:val="18"/>
              </w:rPr>
              <w:t>Total Funding</w:t>
            </w:r>
          </w:p>
        </w:tc>
      </w:tr>
      <w:tr w:rsidR="00473B92" w14:paraId="5D77F6D5" w14:textId="77777777">
        <w:tc>
          <w:tcPr>
            <w:tcW w:w="2310" w:type="dxa"/>
            <w:vAlign w:val="center"/>
          </w:tcPr>
          <w:p w14:paraId="46EAB2C5" w14:textId="77777777" w:rsidR="00473B92" w:rsidRDefault="00A029C8">
            <w:pPr>
              <w:spacing w:before="40" w:after="40"/>
            </w:pPr>
            <w:r>
              <w:rPr>
                <w:rFonts w:ascii="Arial" w:hAnsi="Arial" w:cs="Arial"/>
                <w:sz w:val="18"/>
                <w:szCs w:val="18"/>
              </w:rPr>
              <w:t>Pre-feasibility and feasibility studies</w:t>
            </w:r>
          </w:p>
        </w:tc>
        <w:tc>
          <w:tcPr>
            <w:tcW w:w="2310" w:type="dxa"/>
            <w:vAlign w:val="center"/>
          </w:tcPr>
          <w:p w14:paraId="34D919BE" w14:textId="77777777" w:rsidR="00473B92" w:rsidRDefault="00A029C8">
            <w:pPr>
              <w:spacing w:before="40" w:after="40"/>
              <w:jc w:val="right"/>
            </w:pPr>
            <w:r>
              <w:rPr>
                <w:rFonts w:ascii="Arial" w:hAnsi="Arial" w:cs="Arial"/>
                <w:sz w:val="18"/>
                <w:szCs w:val="18"/>
              </w:rPr>
              <w:t>US$1,350,000.00</w:t>
            </w:r>
          </w:p>
        </w:tc>
        <w:tc>
          <w:tcPr>
            <w:tcW w:w="2310" w:type="dxa"/>
            <w:vAlign w:val="center"/>
          </w:tcPr>
          <w:p w14:paraId="07BD5044" w14:textId="77777777" w:rsidR="00473B92" w:rsidRDefault="00A029C8">
            <w:pPr>
              <w:spacing w:before="40" w:after="40"/>
              <w:jc w:val="right"/>
            </w:pPr>
            <w:r>
              <w:rPr>
                <w:rFonts w:ascii="Arial" w:hAnsi="Arial" w:cs="Arial"/>
                <w:sz w:val="18"/>
                <w:szCs w:val="18"/>
              </w:rPr>
              <w:t>US$0.00</w:t>
            </w:r>
          </w:p>
        </w:tc>
        <w:tc>
          <w:tcPr>
            <w:tcW w:w="2310" w:type="dxa"/>
            <w:vAlign w:val="center"/>
          </w:tcPr>
          <w:p w14:paraId="04BCE3B3" w14:textId="77777777" w:rsidR="00473B92" w:rsidRDefault="00A029C8">
            <w:pPr>
              <w:spacing w:before="40" w:after="40"/>
              <w:jc w:val="right"/>
            </w:pPr>
            <w:r>
              <w:rPr>
                <w:rFonts w:ascii="Arial" w:hAnsi="Arial" w:cs="Arial"/>
                <w:sz w:val="18"/>
                <w:szCs w:val="18"/>
              </w:rPr>
              <w:t>US$1,350,000.00</w:t>
            </w:r>
          </w:p>
        </w:tc>
      </w:tr>
      <w:tr w:rsidR="00473B92" w14:paraId="66BD1EC1" w14:textId="77777777">
        <w:tc>
          <w:tcPr>
            <w:tcW w:w="2310" w:type="dxa"/>
            <w:vAlign w:val="center"/>
          </w:tcPr>
          <w:p w14:paraId="5E453B0B" w14:textId="77777777" w:rsidR="00473B92" w:rsidRDefault="00A029C8">
            <w:pPr>
              <w:spacing w:before="40" w:after="40"/>
            </w:pPr>
            <w:r>
              <w:rPr>
                <w:rFonts w:ascii="Arial" w:hAnsi="Arial" w:cs="Arial"/>
                <w:sz w:val="18"/>
                <w:szCs w:val="18"/>
              </w:rPr>
              <w:t>Coordination and capacity building</w:t>
            </w:r>
          </w:p>
        </w:tc>
        <w:tc>
          <w:tcPr>
            <w:tcW w:w="2310" w:type="dxa"/>
            <w:vAlign w:val="center"/>
          </w:tcPr>
          <w:p w14:paraId="20F703E4" w14:textId="77777777" w:rsidR="00473B92" w:rsidRDefault="00A029C8">
            <w:pPr>
              <w:spacing w:before="40" w:after="40"/>
              <w:jc w:val="right"/>
            </w:pPr>
            <w:r>
              <w:rPr>
                <w:rFonts w:ascii="Arial" w:hAnsi="Arial" w:cs="Arial"/>
                <w:sz w:val="18"/>
                <w:szCs w:val="18"/>
              </w:rPr>
              <w:t>US$150,000.00</w:t>
            </w:r>
          </w:p>
        </w:tc>
        <w:tc>
          <w:tcPr>
            <w:tcW w:w="2310" w:type="dxa"/>
            <w:vAlign w:val="center"/>
          </w:tcPr>
          <w:p w14:paraId="3F5D1513" w14:textId="77777777" w:rsidR="00473B92" w:rsidRDefault="00A029C8">
            <w:pPr>
              <w:spacing w:before="40" w:after="40"/>
              <w:jc w:val="right"/>
            </w:pPr>
            <w:r>
              <w:rPr>
                <w:rFonts w:ascii="Arial" w:hAnsi="Arial" w:cs="Arial"/>
                <w:sz w:val="18"/>
                <w:szCs w:val="18"/>
              </w:rPr>
              <w:t>US$0.00</w:t>
            </w:r>
          </w:p>
        </w:tc>
        <w:tc>
          <w:tcPr>
            <w:tcW w:w="2310" w:type="dxa"/>
            <w:vAlign w:val="center"/>
          </w:tcPr>
          <w:p w14:paraId="70FE4C2C" w14:textId="77777777" w:rsidR="00473B92" w:rsidRDefault="00A029C8">
            <w:pPr>
              <w:spacing w:before="40" w:after="40"/>
              <w:jc w:val="right"/>
            </w:pPr>
            <w:r>
              <w:rPr>
                <w:rFonts w:ascii="Arial" w:hAnsi="Arial" w:cs="Arial"/>
                <w:sz w:val="18"/>
                <w:szCs w:val="18"/>
              </w:rPr>
              <w:t>US$150,000.00</w:t>
            </w:r>
          </w:p>
        </w:tc>
      </w:tr>
      <w:tr w:rsidR="00473B92" w14:paraId="3C0284BD" w14:textId="77777777">
        <w:tc>
          <w:tcPr>
            <w:tcW w:w="2310" w:type="dxa"/>
            <w:vAlign w:val="center"/>
          </w:tcPr>
          <w:p w14:paraId="0051CC2D" w14:textId="77777777" w:rsidR="00473B92" w:rsidRDefault="00A029C8">
            <w:pPr>
              <w:spacing w:before="40" w:after="40"/>
            </w:pPr>
            <w:r>
              <w:rPr>
                <w:rFonts w:ascii="Arial" w:hAnsi="Arial" w:cs="Arial"/>
                <w:b/>
                <w:sz w:val="18"/>
                <w:szCs w:val="18"/>
              </w:rPr>
              <w:t>Total</w:t>
            </w:r>
          </w:p>
        </w:tc>
        <w:tc>
          <w:tcPr>
            <w:tcW w:w="2310" w:type="dxa"/>
            <w:vAlign w:val="center"/>
          </w:tcPr>
          <w:p w14:paraId="5D1289B3" w14:textId="77777777" w:rsidR="00473B92" w:rsidRDefault="00A029C8">
            <w:pPr>
              <w:spacing w:before="40" w:after="40"/>
              <w:jc w:val="right"/>
            </w:pPr>
            <w:r>
              <w:rPr>
                <w:rFonts w:ascii="Arial" w:hAnsi="Arial" w:cs="Arial"/>
                <w:b/>
                <w:sz w:val="18"/>
                <w:szCs w:val="18"/>
              </w:rPr>
              <w:t>US$1,500,000.00</w:t>
            </w:r>
          </w:p>
        </w:tc>
        <w:tc>
          <w:tcPr>
            <w:tcW w:w="2310" w:type="dxa"/>
            <w:vAlign w:val="center"/>
          </w:tcPr>
          <w:p w14:paraId="2B399071" w14:textId="77777777" w:rsidR="00473B92" w:rsidRDefault="00A029C8">
            <w:pPr>
              <w:spacing w:before="40" w:after="40"/>
              <w:jc w:val="right"/>
            </w:pPr>
            <w:r>
              <w:rPr>
                <w:rFonts w:ascii="Arial" w:hAnsi="Arial" w:cs="Arial"/>
                <w:b/>
                <w:sz w:val="18"/>
                <w:szCs w:val="18"/>
              </w:rPr>
              <w:t>US$0.00</w:t>
            </w:r>
          </w:p>
        </w:tc>
        <w:tc>
          <w:tcPr>
            <w:tcW w:w="2310" w:type="dxa"/>
            <w:vAlign w:val="center"/>
          </w:tcPr>
          <w:p w14:paraId="5A66FCF1" w14:textId="77777777" w:rsidR="00473B92" w:rsidRDefault="00A029C8">
            <w:pPr>
              <w:spacing w:before="40" w:after="40"/>
              <w:jc w:val="right"/>
            </w:pPr>
            <w:r>
              <w:rPr>
                <w:rFonts w:ascii="Arial" w:hAnsi="Arial" w:cs="Arial"/>
                <w:b/>
                <w:sz w:val="18"/>
                <w:szCs w:val="18"/>
              </w:rPr>
              <w:t>US$1,500,000.00</w:t>
            </w:r>
          </w:p>
        </w:tc>
      </w:tr>
    </w:tbl>
    <w:p w14:paraId="47AB22AC" w14:textId="77777777" w:rsidR="00473B92" w:rsidRDefault="00A029C8" w:rsidP="00640C50">
      <w:pPr>
        <w:spacing w:before="240" w:after="120"/>
        <w:ind w:left="576" w:hanging="576"/>
      </w:pPr>
      <w:r>
        <w:rPr>
          <w:rFonts w:ascii="Arial" w:hAnsi="Arial" w:cs="Arial"/>
          <w:b/>
        </w:rPr>
        <w:t>V.</w:t>
      </w:r>
      <w:r>
        <w:rPr>
          <w:rFonts w:ascii="Arial" w:hAnsi="Arial" w:cs="Arial"/>
          <w:b/>
        </w:rPr>
        <w:tab/>
        <w:t>Executing Agency and Execution Structure</w:t>
      </w:r>
    </w:p>
    <w:p w14:paraId="0B5DFC6D" w14:textId="77777777" w:rsidR="00473B92" w:rsidRDefault="00A029C8">
      <w:pPr>
        <w:spacing w:before="200" w:after="200"/>
        <w:ind w:left="579" w:hanging="579"/>
        <w:jc w:val="both"/>
      </w:pPr>
      <w:r>
        <w:rPr>
          <w:rFonts w:ascii="Arial" w:hAnsi="Arial" w:cs="Arial"/>
        </w:rPr>
        <w:t>5.1</w:t>
      </w:r>
      <w:r>
        <w:rPr>
          <w:rFonts w:ascii="Arial" w:hAnsi="Arial" w:cs="Arial"/>
        </w:rPr>
        <w:tab/>
        <w:t>At the request of the beneficiaries, and in line with the Operational Guidelines for Technical Cooperation Products (GN-2629-2), the Bank will act as the executing age</w:t>
      </w:r>
      <w:r>
        <w:rPr>
          <w:rFonts w:ascii="Arial" w:hAnsi="Arial" w:cs="Arial"/>
        </w:rPr>
        <w:t xml:space="preserve">ncy for this TC. Given the nature of the TC, which is regional, it will be executed by the Energy Division (INE/ENE) </w:t>
      </w:r>
      <w:proofErr w:type="gramStart"/>
      <w:r>
        <w:rPr>
          <w:rFonts w:ascii="Arial" w:hAnsi="Arial" w:cs="Arial"/>
        </w:rPr>
        <w:t>in order to</w:t>
      </w:r>
      <w:proofErr w:type="gramEnd"/>
      <w:r>
        <w:rPr>
          <w:rFonts w:ascii="Arial" w:hAnsi="Arial" w:cs="Arial"/>
        </w:rPr>
        <w:t xml:space="preserve"> facilitate the coordination among different stakeholders. The Bank will contribute with the harmonization of the activities at </w:t>
      </w:r>
      <w:r>
        <w:rPr>
          <w:rFonts w:ascii="Arial" w:hAnsi="Arial" w:cs="Arial"/>
        </w:rPr>
        <w:t xml:space="preserve">a </w:t>
      </w:r>
      <w:r>
        <w:rPr>
          <w:rFonts w:ascii="Arial" w:hAnsi="Arial" w:cs="Arial"/>
        </w:rPr>
        <w:lastRenderedPageBreak/>
        <w:t>regional level by providing a linkage between all hydropower plants studied, guaranteeing that all countries benefit from the experience of the others. Prior to the execution of the project activities in any of the selected beneficiary countries, the Ban</w:t>
      </w:r>
      <w:r>
        <w:rPr>
          <w:rFonts w:ascii="Arial" w:hAnsi="Arial" w:cs="Arial"/>
        </w:rPr>
        <w:t>k shall obtain the corresponding no-objection in the form of a letter from the liaison entity of that country. The project will be implemented in close coordination with the CSD department, particularly with RND and CCS divisions, and ESG, who have been ac</w:t>
      </w:r>
      <w:r>
        <w:rPr>
          <w:rFonts w:ascii="Arial" w:hAnsi="Arial" w:cs="Arial"/>
        </w:rPr>
        <w:t>tively working in the areas of dam safety and sediment management.</w:t>
      </w:r>
    </w:p>
    <w:p w14:paraId="2FA99034" w14:textId="77777777" w:rsidR="00473B92" w:rsidRDefault="00A029C8">
      <w:pPr>
        <w:spacing w:before="200" w:after="200"/>
        <w:ind w:left="579" w:hanging="579"/>
        <w:jc w:val="both"/>
      </w:pPr>
      <w:r>
        <w:rPr>
          <w:rFonts w:ascii="Arial" w:hAnsi="Arial" w:cs="Arial"/>
        </w:rPr>
        <w:t>5.2</w:t>
      </w:r>
      <w:r>
        <w:rPr>
          <w:rFonts w:ascii="Arial" w:hAnsi="Arial" w:cs="Arial"/>
        </w:rPr>
        <w:tab/>
        <w:t>The Bank is expected to serve as a catalyzer of knowledge, innovation, and impact policy on multiple scales within the region, making the regional coordination of the IDB a necessary co</w:t>
      </w:r>
      <w:r>
        <w:rPr>
          <w:rFonts w:ascii="Arial" w:hAnsi="Arial" w:cs="Arial"/>
        </w:rPr>
        <w:t>ndition of this TC. The Bank will lead implementation, programmatic oversight of the different activities. Active engagement with and awareness of the work of other organizations operating in the field will also help avoid any potential overlaps with ongoi</w:t>
      </w:r>
      <w:r>
        <w:rPr>
          <w:rFonts w:ascii="Arial" w:hAnsi="Arial" w:cs="Arial"/>
        </w:rPr>
        <w:t>ng efforts. Prior to the initiation of specific in-country activities in the beneficiary countries, the Bank will obtain the letter of non-objection from the corresponding liaison office.</w:t>
      </w:r>
    </w:p>
    <w:p w14:paraId="170DF3FC" w14:textId="77777777" w:rsidR="00473B92" w:rsidRDefault="00A029C8">
      <w:pPr>
        <w:spacing w:before="200" w:after="200"/>
        <w:ind w:left="579" w:hanging="579"/>
        <w:jc w:val="both"/>
      </w:pPr>
      <w:r>
        <w:rPr>
          <w:rFonts w:ascii="Arial" w:hAnsi="Arial" w:cs="Arial"/>
        </w:rPr>
        <w:t>5.3</w:t>
      </w:r>
      <w:r>
        <w:rPr>
          <w:rFonts w:ascii="Arial" w:hAnsi="Arial" w:cs="Arial"/>
        </w:rPr>
        <w:tab/>
        <w:t>The main objective of this TC is to create a pipeline of at leas</w:t>
      </w:r>
      <w:r>
        <w:rPr>
          <w:rFonts w:ascii="Arial" w:hAnsi="Arial" w:cs="Arial"/>
        </w:rPr>
        <w:t>t four (4) investment projects that could eventually be co-financed through CORE scheme of the IDB and JICA. In this context, through the implementation of this TC, the Bank will coordinate closely with JICA and receive its operational and technical inputs</w:t>
      </w:r>
      <w:r>
        <w:rPr>
          <w:rFonts w:ascii="Arial" w:hAnsi="Arial" w:cs="Arial"/>
        </w:rPr>
        <w:t xml:space="preserve"> to this TC activities and outputs based on their operational experience in each country and their knowledge. JICA will join key meetings including progress meetings of this TC at least twice a year for an overall assessment of the program's progress and r</w:t>
      </w:r>
      <w:r>
        <w:rPr>
          <w:rFonts w:ascii="Arial" w:hAnsi="Arial" w:cs="Arial"/>
        </w:rPr>
        <w:t>esults and for necessary inputs to this program.</w:t>
      </w:r>
    </w:p>
    <w:p w14:paraId="0D55BCE7" w14:textId="77777777" w:rsidR="00473B92" w:rsidRDefault="00A029C8">
      <w:pPr>
        <w:spacing w:before="200" w:after="200"/>
        <w:ind w:left="579" w:hanging="579"/>
        <w:jc w:val="both"/>
      </w:pPr>
      <w:r>
        <w:rPr>
          <w:rFonts w:ascii="Arial" w:hAnsi="Arial" w:cs="Arial"/>
        </w:rPr>
        <w:t>5.4</w:t>
      </w:r>
      <w:r>
        <w:rPr>
          <w:rFonts w:ascii="Arial" w:hAnsi="Arial" w:cs="Arial"/>
        </w:rPr>
        <w:tab/>
        <w:t>The Bank will be responsible for the selection and contracting of consulting firms and individual consultants, which will be carried out in accordance with the policies for the selection of consultants (</w:t>
      </w:r>
      <w:r>
        <w:rPr>
          <w:rFonts w:ascii="Arial" w:hAnsi="Arial" w:cs="Arial"/>
        </w:rPr>
        <w:t>GN-2765-1) and the operational guidelines (OP-1155-4) for the contracting of consulting firms, and the human resources standards (AM-650) for the hiring of individual consultants. In compliance with the Operational Guidelines for Technical Cooperation Prod</w:t>
      </w:r>
      <w:r>
        <w:rPr>
          <w:rFonts w:ascii="Arial" w:hAnsi="Arial" w:cs="Arial"/>
        </w:rPr>
        <w:t>ucts (GN-2629-1), this TC is classified as Client Support.</w:t>
      </w:r>
    </w:p>
    <w:p w14:paraId="2D3C9FCB" w14:textId="77777777" w:rsidR="00473B92" w:rsidRDefault="00A029C8" w:rsidP="00640C50">
      <w:pPr>
        <w:spacing w:before="240" w:after="120"/>
        <w:ind w:left="576" w:hanging="576"/>
      </w:pPr>
      <w:r>
        <w:rPr>
          <w:rFonts w:ascii="Arial" w:hAnsi="Arial" w:cs="Arial"/>
          <w:b/>
        </w:rPr>
        <w:t>VI.</w:t>
      </w:r>
      <w:r>
        <w:rPr>
          <w:rFonts w:ascii="Arial" w:hAnsi="Arial" w:cs="Arial"/>
          <w:b/>
        </w:rPr>
        <w:tab/>
        <w:t>Project Risks and Issues</w:t>
      </w:r>
    </w:p>
    <w:p w14:paraId="09CAF93A" w14:textId="77777777" w:rsidR="00473B92" w:rsidRDefault="00A029C8">
      <w:pPr>
        <w:spacing w:before="200" w:after="200"/>
        <w:ind w:left="579" w:hanging="579"/>
        <w:jc w:val="both"/>
      </w:pPr>
      <w:r>
        <w:rPr>
          <w:rFonts w:ascii="Arial" w:hAnsi="Arial" w:cs="Arial"/>
        </w:rPr>
        <w:t>6.1</w:t>
      </w:r>
      <w:r>
        <w:rPr>
          <w:rFonts w:ascii="Arial" w:hAnsi="Arial" w:cs="Arial"/>
        </w:rPr>
        <w:tab/>
        <w:t xml:space="preserve">One of the main risks associated to this TC is the coordination with different stakeholders related to the studies. As such it is contemplated to hire a </w:t>
      </w:r>
      <w:r>
        <w:rPr>
          <w:rFonts w:ascii="Arial" w:hAnsi="Arial" w:cs="Arial"/>
        </w:rPr>
        <w:t xml:space="preserve">project manager, who will be supported by the Hydropower Group in the energy division.  A second risk is to get all the information required to produce the studies on a timeline manner. the </w:t>
      </w:r>
      <w:proofErr w:type="gramStart"/>
      <w:r>
        <w:rPr>
          <w:rFonts w:ascii="Arial" w:hAnsi="Arial" w:cs="Arial"/>
        </w:rPr>
        <w:t>To</w:t>
      </w:r>
      <w:proofErr w:type="gramEnd"/>
      <w:r>
        <w:rPr>
          <w:rFonts w:ascii="Arial" w:hAnsi="Arial" w:cs="Arial"/>
        </w:rPr>
        <w:t xml:space="preserve"> mitigate this risk, the studies will be conducted in countries </w:t>
      </w:r>
      <w:r>
        <w:rPr>
          <w:rFonts w:ascii="Arial" w:hAnsi="Arial" w:cs="Arial"/>
        </w:rPr>
        <w:t>which expressed interest to be part of this TC, and where the Bank has been already supporting the development of capacities regarding hydropower modernization.</w:t>
      </w:r>
    </w:p>
    <w:p w14:paraId="4AC7EEAD" w14:textId="77777777" w:rsidR="00473B92" w:rsidRDefault="00A029C8" w:rsidP="00640C50">
      <w:pPr>
        <w:spacing w:before="240" w:after="120"/>
        <w:ind w:left="576" w:hanging="576"/>
      </w:pPr>
      <w:r>
        <w:rPr>
          <w:rFonts w:ascii="Arial" w:hAnsi="Arial" w:cs="Arial"/>
          <w:b/>
        </w:rPr>
        <w:t>VII.</w:t>
      </w:r>
      <w:r>
        <w:rPr>
          <w:rFonts w:ascii="Arial" w:hAnsi="Arial" w:cs="Arial"/>
          <w:b/>
        </w:rPr>
        <w:tab/>
        <w:t>Environmental and Social Classification</w:t>
      </w:r>
    </w:p>
    <w:p w14:paraId="731C3D0F" w14:textId="77777777" w:rsidR="00473B92" w:rsidRDefault="00A029C8">
      <w:pPr>
        <w:spacing w:before="240" w:after="120"/>
        <w:ind w:left="579" w:hanging="579"/>
        <w:jc w:val="both"/>
      </w:pPr>
      <w:r>
        <w:rPr>
          <w:rFonts w:ascii="Arial" w:hAnsi="Arial" w:cs="Arial"/>
        </w:rPr>
        <w:t>7.1</w:t>
      </w:r>
      <w:r>
        <w:rPr>
          <w:rFonts w:ascii="Arial" w:hAnsi="Arial" w:cs="Arial"/>
        </w:rPr>
        <w:tab/>
        <w:t>The ESG classification for this operation is "</w:t>
      </w:r>
      <w:r>
        <w:rPr>
          <w:rFonts w:ascii="Arial" w:hAnsi="Arial" w:cs="Arial"/>
        </w:rPr>
        <w:t>undefined".</w:t>
      </w:r>
    </w:p>
    <w:sectPr w:rsidR="00473B92" w:rsidSect="00FC3028">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41A13" w14:textId="77777777" w:rsidR="00A029C8" w:rsidRDefault="00A029C8">
      <w:r>
        <w:separator/>
      </w:r>
    </w:p>
  </w:endnote>
  <w:endnote w:type="continuationSeparator" w:id="0">
    <w:p w14:paraId="54D66A13" w14:textId="77777777" w:rsidR="00A029C8" w:rsidRDefault="00A02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8F0B" w14:textId="77777777" w:rsidR="00473B92" w:rsidRDefault="00A029C8">
    <w:pPr>
      <w:pStyle w:val="FooterStyle"/>
      <w:jc w:val="center"/>
    </w:pPr>
    <w:r>
      <w:t xml:space="preserve"> - </w:t>
    </w:r>
    <w:r>
      <w:fldChar w:fldCharType="begin"/>
    </w:r>
    <w:r>
      <w:instrText xml:space="preserve"> PAGE </w:instrText>
    </w:r>
    <w:r>
      <w:fldChar w:fldCharType="separate"/>
    </w:r>
    <w:r w:rsidR="002070C0">
      <w:rPr>
        <w:noProof/>
      </w:rPr>
      <w:t>1</w:t>
    </w:r>
    <w:r>
      <w:fldChar w:fldCharType="end"/>
    </w:r>
    <w: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06E42" w14:textId="77777777" w:rsidR="00A029C8" w:rsidRDefault="00A029C8">
      <w:r>
        <w:separator/>
      </w:r>
    </w:p>
  </w:footnote>
  <w:footnote w:type="continuationSeparator" w:id="0">
    <w:p w14:paraId="1C00C70D" w14:textId="77777777" w:rsidR="00A029C8" w:rsidRDefault="00A029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1915A3"/>
    <w:rsid w:val="002070C0"/>
    <w:rsid w:val="00217F62"/>
    <w:rsid w:val="00473B92"/>
    <w:rsid w:val="00640C50"/>
    <w:rsid w:val="00A029C8"/>
    <w:rsid w:val="00A906D8"/>
    <w:rsid w:val="00AB5A74"/>
    <w:rsid w:val="00AF14CB"/>
    <w:rsid w:val="00F071AE"/>
    <w:rsid w:val="00F436EA"/>
    <w:rsid w:val="00FA6D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6E889"/>
  <w15:docId w15:val="{34E14943-2170-46F9-BE9B-74E915425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erStyle">
    <w:name w:val="FooterStyle"/>
    <w:rPr>
      <w:rFonts w:ascii="Arial" w:eastAsia="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F8592EE4DB85304FB865304D6FE11F47" ma:contentTypeVersion="8195" ma:contentTypeDescription="The base project type from which other project content types inherit their information." ma:contentTypeScope="" ma:versionID="8016ae5428dfd9073e131cf503355ce0">
  <xsd:schema xmlns:xsd="http://www.w3.org/2001/XMLSchema" xmlns:xs="http://www.w3.org/2001/XMLSchema" xmlns:p="http://schemas.microsoft.com/office/2006/metadata/properties" xmlns:ns2="cdc7663a-08f0-4737-9e8c-148ce897a09c" xmlns:ns3="2be5c8a9-bc14-482a-b1a8-a3e6a2a5065d" targetNamespace="http://schemas.microsoft.com/office/2006/metadata/properties" ma:root="true" ma:fieldsID="583fc8ae45b94a3592bd421f09ffff65" ns2:_="" ns3:_="">
    <xsd:import namespace="cdc7663a-08f0-4737-9e8c-148ce897a09c"/>
    <xsd:import namespace="2be5c8a9-bc14-482a-b1a8-a3e6a2a5065d"/>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element ref="ns3:ATI_x0020_Disclose_x0020_Document_x0020_Workflow_x0020_v6" minOccurs="0"/>
                <xsd:element ref="ns3:ATI_x0020_Undisclose_x0020_Document_x0020_Workflow"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e5c8a9-bc14-482a-b1a8-a3e6a2a5065d" elementFormDefault="qualified">
    <xsd:import namespace="http://schemas.microsoft.com/office/2006/documentManagement/types"/>
    <xsd:import namespace="http://schemas.microsoft.com/office/infopath/2007/PartnerControls"/>
    <xsd:element name="ATI_x0020_Disclose_x0020_Document_x0020_Workflow_x0020_v6" ma:index="51" nillable="true" ma:displayName="ATI Disclose Document Workflow v6" ma:internalName="ATI_x0020_Disclose_x0020_Document_x0020_Workflow_x0020_v6">
      <xsd:complexType>
        <xsd:complexContent>
          <xsd:extension base="dms:URL">
            <xsd:sequence>
              <xsd:element name="Url" type="dms:ValidUrl" minOccurs="0" nillable="true"/>
              <xsd:element name="Description" type="xsd:string" nillable="true"/>
            </xsd:sequence>
          </xsd:extension>
        </xsd:complexContent>
      </xsd:complexType>
    </xsd:element>
    <xsd:element name="ATI_x0020_Undisclose_x0020_Document_x0020_Workflow" ma:index="52" nillable="true" ma:displayName="ATI Undisclose Document Workflow" ma:internalName="ATI_x0020_Undisclose_x0020_Document_x0020_Workflow">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53" nillable="true" ma:displayName="MediaServiceMetadata" ma:hidden="true" ma:internalName="MediaServiceMetadata" ma:readOnly="true">
      <xsd:simpleType>
        <xsd:restriction base="dms:Note"/>
      </xsd:simpleType>
    </xsd:element>
    <xsd:element name="MediaServiceFastMetadata" ma:index="54"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CB9D747315EE9D42915E0DB2468E0A9E" ma:contentTypeVersion="2941" ma:contentTypeDescription="A content type to manage public (operations) IDB documents" ma:contentTypeScope="" ma:versionID="9268de02f4328f4704560f8dcd5afd39">
  <xsd:schema xmlns:xsd="http://www.w3.org/2001/XMLSchema" xmlns:xs="http://www.w3.org/2001/XMLSchema" xmlns:p="http://schemas.microsoft.com/office/2006/metadata/properties" xmlns:ns2="cdc7663a-08f0-4737-9e8c-148ce897a09c" targetNamespace="http://schemas.microsoft.com/office/2006/metadata/properties" ma:root="true" ma:fieldsID="e1656ca6f8d29bfdcb8b95f3d987541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PHASE_PREPARATION</Phase>
    <Document_x0020_Author xmlns="cdc7663a-08f0-4737-9e8c-148ce897a09c">Marquez Barroeta Fidel</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SECTOR REHABILITATION AND EFFICIENCY</TermName>
          <TermId xmlns="http://schemas.microsoft.com/office/infopath/2007/PartnerControls">bc14044a-5020-4002-b61d-5f3750c96619</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JSF</TermName>
          <TermId xmlns="http://schemas.microsoft.com/office/infopath/2007/PartnerControls">42e89227-ec0a-483f-91bb-7a753aa184bd</TermId>
        </TermInfo>
      </Terms>
    </g511464f9e53401d84b16fa9b379a574>
    <Related_x0020_SisCor_x0020_Number xmlns="cdc7663a-08f0-4737-9e8c-148ce897a09c" xsi:nil="true"/>
    <TaxCatchAll xmlns="cdc7663a-08f0-4737-9e8c-148ce897a09c">
      <Value>557</Value>
      <Value>45</Value>
      <Value>44</Value>
      <Value>1</Value>
      <Value>532</Value>
    </TaxCatchAll>
    <Operation_x0020_Type xmlns="cdc7663a-08f0-4737-9e8c-148ce897a09c">TCP</Operation_x0020_Type>
    <Package_x0020_Code xmlns="cdc7663a-08f0-4737-9e8c-148ce897a09c" xsi:nil="true"/>
    <Identifier xmlns="cdc7663a-08f0-4737-9e8c-148ce897a09c" xsi:nil="true"/>
    <Project_x0020_Number xmlns="cdc7663a-08f0-4737-9e8c-148ce897a09c">RG-T4006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 xsi:nil="true"/>
    <Extracted_x0020_Keywords xmlns="cdc7663a-08f0-4737-9e8c-148ce897a09c" xsi:nil="true"/>
    <_dlc_DocId xmlns="cdc7663a-08f0-4737-9e8c-148ce897a09c">EZSHARE-2128411320-6</_dlc_DocId>
    <_dlc_DocIdUrl xmlns="cdc7663a-08f0-4737-9e8c-148ce897a09c">
      <Url>https://idbg.sharepoint.com/teams/EZ-RG-TCP/RG-T4006/_layouts/15/DocIdRedir.aspx?ID=EZSHARE-2128411320-6</Url>
      <Description>EZSHARE-2128411320-6</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F840C122-5E33-483E-9563-3ED5374864EA}"/>
</file>

<file path=customXml/itemProps2.xml><?xml version="1.0" encoding="utf-8"?>
<ds:datastoreItem xmlns:ds="http://schemas.openxmlformats.org/officeDocument/2006/customXml" ds:itemID="{4B872348-3135-41C5-84B5-0F5E8F8287A0}"/>
</file>

<file path=customXml/itemProps3.xml><?xml version="1.0" encoding="utf-8"?>
<ds:datastoreItem xmlns:ds="http://schemas.openxmlformats.org/officeDocument/2006/customXml" ds:itemID="{6883A67F-D03D-45F0-85B5-47800347FF0B}"/>
</file>

<file path=customXml/itemProps4.xml><?xml version="1.0" encoding="utf-8"?>
<ds:datastoreItem xmlns:ds="http://schemas.openxmlformats.org/officeDocument/2006/customXml" ds:itemID="{D1ACC220-6DAD-4D0E-B642-1D3651F3F603}"/>
</file>

<file path=customXml/itemProps5.xml><?xml version="1.0" encoding="utf-8"?>
<ds:datastoreItem xmlns:ds="http://schemas.openxmlformats.org/officeDocument/2006/customXml" ds:itemID="{51FB9FCB-8E0D-4A4E-B020-D1DC85A67D02}"/>
</file>

<file path=customXml/itemProps6.xml><?xml version="1.0" encoding="utf-8"?>
<ds:datastoreItem xmlns:ds="http://schemas.openxmlformats.org/officeDocument/2006/customXml" ds:itemID="{4E53853F-89C3-4277-82F7-43615961DB64}"/>
</file>

<file path=docProps/app.xml><?xml version="1.0" encoding="utf-8"?>
<Properties xmlns="http://schemas.openxmlformats.org/officeDocument/2006/extended-properties" xmlns:vt="http://schemas.openxmlformats.org/officeDocument/2006/docPropsVTypes">
  <Template>Normal</Template>
  <TotalTime>1</TotalTime>
  <Pages>3</Pages>
  <Words>1423</Words>
  <Characters>8114</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Marquez Barroeta, Fidel</dc:creator>
  <cp:keywords/>
  <cp:lastModifiedBy>Marquez Barroeta, Fidel</cp:lastModifiedBy>
  <cp:revision>2</cp:revision>
  <dcterms:created xsi:type="dcterms:W3CDTF">2022-01-28T23:11:00Z</dcterms:created>
  <dcterms:modified xsi:type="dcterms:W3CDTF">2022-01-28T23:11:00Z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44;#Regional|2537a5b7-6d8e-482c-94dc-32c3cc44ff65</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1;#Project Preparation Planning and Design|29ca0c72-1fc4-435f-a09c-28585cb5eac9</vt:lpwstr>
  </property>
  <property fmtid="{D5CDD505-2E9C-101B-9397-08002B2CF9AE}" pid="10" name="Sector_x0020_IDB">
    <vt:lpwstr/>
  </property>
  <property fmtid="{D5CDD505-2E9C-101B-9397-08002B2CF9AE}" pid="11" name="Sub-Sector">
    <vt:lpwstr>532;#ENERGY SECTOR REHABILITATION AND EFFICIENCY|bc14044a-5020-4002-b61d-5f3750c96619</vt:lpwstr>
  </property>
  <property fmtid="{D5CDD505-2E9C-101B-9397-08002B2CF9AE}" pid="13" name="Fund IDB">
    <vt:lpwstr>557;#JSF|42e89227-ec0a-483f-91bb-7a753aa184bd</vt:lpwstr>
  </property>
  <property fmtid="{D5CDD505-2E9C-101B-9397-08002B2CF9AE}" pid="14" name="Sector IDB">
    <vt:lpwstr>45;#ENERGY|4fed196a-cd0b-4970-87de-42da17f9b203</vt:lpwstr>
  </property>
  <property fmtid="{D5CDD505-2E9C-101B-9397-08002B2CF9AE}" pid="15" name="_dlc_DocIdItemGuid">
    <vt:lpwstr>5858247f-72af-4104-b867-357297b99326</vt:lpwstr>
  </property>
  <property fmtid="{D5CDD505-2E9C-101B-9397-08002B2CF9AE}" pid="16" name="Disclosure Activity">
    <vt:lpwstr>TC Abstract</vt:lpwstr>
  </property>
  <property fmtid="{D5CDD505-2E9C-101B-9397-08002B2CF9AE}" pid="18" name="ContentTypeId">
    <vt:lpwstr>0x0101001A458A224826124E8B45B1D613300CFC00CB9D747315EE9D42915E0DB2468E0A9E</vt:lpwstr>
  </property>
  <property fmtid="{D5CDD505-2E9C-101B-9397-08002B2CF9AE}" pid="21" name="ATI Disclose Document Workflow v6">
    <vt:lpwstr>, </vt:lpwstr>
  </property>
  <property fmtid="{D5CDD505-2E9C-101B-9397-08002B2CF9AE}" pid="24" name="ATI Undisclose Document Workflow">
    <vt:lpwstr>, </vt:lpwstr>
  </property>
  <property fmtid="{D5CDD505-2E9C-101B-9397-08002B2CF9AE}" pid="25" name="Series Operations IDB">
    <vt:lpwstr/>
  </property>
</Properties>
</file>