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chart3.xml" ContentType="application/vnd.openxmlformats-officedocument.drawingml.chart+xml"/>
  <Override PartName="/word/theme/theme1.xml" ContentType="application/vnd.openxmlformats-officedocument.theme+xml"/>
  <Override PartName="/word/charts/colors2.xml" ContentType="application/vnd.ms-office.chartcolorstyle+xml"/>
  <Override PartName="/word/charts/colors3.xml" ContentType="application/vnd.ms-office.chartcolorstyle+xml"/>
  <Override PartName="/word/charts/style3.xml" ContentType="application/vnd.ms-office.chartstyle+xml"/>
  <Override PartName="/word/charts/style2.xml" ContentType="application/vnd.ms-office.chartstyl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48C0A" w14:textId="77777777" w:rsidR="002A0C09" w:rsidRPr="00FD05C9" w:rsidRDefault="002A0C09" w:rsidP="002A0C09">
      <w:pPr>
        <w:tabs>
          <w:tab w:val="left" w:pos="1440"/>
          <w:tab w:val="left" w:pos="3060"/>
        </w:tabs>
        <w:jc w:val="center"/>
        <w:rPr>
          <w:lang w:val="es-ES_tradnl"/>
        </w:rPr>
      </w:pPr>
      <w:bookmarkStart w:id="0" w:name="_GoBack"/>
      <w:bookmarkEnd w:id="0"/>
      <w:r w:rsidRPr="00FD05C9">
        <w:rPr>
          <w:smallCaps/>
          <w:lang w:val="es-ES_tradnl"/>
        </w:rPr>
        <w:t>Documento del Banco Interamericano de Desarrollo</w:t>
      </w:r>
    </w:p>
    <w:p w14:paraId="20BD2860" w14:textId="77777777" w:rsidR="002A0C09" w:rsidRPr="00FD05C9" w:rsidRDefault="002A0C09" w:rsidP="002A0C09">
      <w:pPr>
        <w:tabs>
          <w:tab w:val="left" w:pos="1440"/>
          <w:tab w:val="left" w:pos="3060"/>
        </w:tabs>
        <w:jc w:val="center"/>
        <w:rPr>
          <w:lang w:val="es-ES_tradnl"/>
        </w:rPr>
      </w:pPr>
      <w:bookmarkStart w:id="1" w:name="h.gjdgxs" w:colFirst="0" w:colLast="0"/>
      <w:bookmarkEnd w:id="1"/>
    </w:p>
    <w:p w14:paraId="13C2BB80" w14:textId="77777777" w:rsidR="002A0C09" w:rsidRPr="00FD05C9" w:rsidRDefault="002A0C09" w:rsidP="002A0C09">
      <w:pPr>
        <w:tabs>
          <w:tab w:val="left" w:pos="1440"/>
          <w:tab w:val="left" w:pos="3060"/>
        </w:tabs>
        <w:jc w:val="center"/>
        <w:rPr>
          <w:lang w:val="es-ES_tradnl"/>
        </w:rPr>
      </w:pPr>
    </w:p>
    <w:p w14:paraId="309FE210" w14:textId="77777777" w:rsidR="002A0C09" w:rsidRPr="002242AA" w:rsidRDefault="002A0C09" w:rsidP="002A0C09">
      <w:pPr>
        <w:tabs>
          <w:tab w:val="left" w:pos="1440"/>
          <w:tab w:val="left" w:pos="3060"/>
        </w:tabs>
        <w:jc w:val="center"/>
        <w:rPr>
          <w:b/>
          <w:smallCaps/>
          <w:sz w:val="28"/>
          <w:lang w:val="es-ES_tradnl"/>
        </w:rPr>
      </w:pPr>
      <w:r w:rsidRPr="002242AA">
        <w:rPr>
          <w:b/>
          <w:smallCaps/>
          <w:sz w:val="28"/>
          <w:lang w:val="es-ES_tradnl"/>
        </w:rPr>
        <w:t>Regional</w:t>
      </w:r>
    </w:p>
    <w:p w14:paraId="00B03B03" w14:textId="2CF80A00" w:rsidR="002A0C09" w:rsidRPr="002242AA" w:rsidRDefault="002A0C09" w:rsidP="002A0C09">
      <w:pPr>
        <w:tabs>
          <w:tab w:val="left" w:pos="1440"/>
          <w:tab w:val="left" w:pos="3060"/>
        </w:tabs>
        <w:jc w:val="center"/>
        <w:rPr>
          <w:b/>
          <w:smallCaps/>
          <w:sz w:val="28"/>
          <w:lang w:val="es-ES_tradnl"/>
        </w:rPr>
      </w:pPr>
      <w:r w:rsidRPr="002242AA">
        <w:rPr>
          <w:b/>
          <w:smallCaps/>
          <w:sz w:val="28"/>
          <w:lang w:val="es-ES_tradnl"/>
        </w:rPr>
        <w:t>Argentina, Urug</w:t>
      </w:r>
      <w:r w:rsidR="00E4003A">
        <w:rPr>
          <w:b/>
          <w:smallCaps/>
          <w:sz w:val="28"/>
          <w:lang w:val="es-ES_tradnl"/>
        </w:rPr>
        <w:t>u</w:t>
      </w:r>
      <w:r w:rsidRPr="002242AA">
        <w:rPr>
          <w:b/>
          <w:smallCaps/>
          <w:sz w:val="28"/>
          <w:lang w:val="es-ES_tradnl"/>
        </w:rPr>
        <w:t>ay</w:t>
      </w:r>
    </w:p>
    <w:p w14:paraId="03D4823D" w14:textId="77777777" w:rsidR="002A0C09" w:rsidRPr="00FD05C9" w:rsidRDefault="002A0C09" w:rsidP="002A0C09">
      <w:pPr>
        <w:tabs>
          <w:tab w:val="left" w:pos="1440"/>
          <w:tab w:val="left" w:pos="3060"/>
        </w:tabs>
        <w:jc w:val="center"/>
        <w:rPr>
          <w:lang w:val="es-ES_tradnl"/>
        </w:rPr>
      </w:pPr>
    </w:p>
    <w:p w14:paraId="0A950EB8" w14:textId="77777777" w:rsidR="002A0C09" w:rsidRPr="00FD05C9" w:rsidRDefault="002A0C09" w:rsidP="002A0C09">
      <w:pPr>
        <w:tabs>
          <w:tab w:val="left" w:pos="1440"/>
          <w:tab w:val="left" w:pos="3060"/>
        </w:tabs>
        <w:jc w:val="center"/>
        <w:rPr>
          <w:lang w:val="es-ES_tradnl"/>
        </w:rPr>
      </w:pPr>
    </w:p>
    <w:p w14:paraId="13625C6E" w14:textId="77777777" w:rsidR="002A0C09" w:rsidRPr="00FD05C9" w:rsidRDefault="002A0C09" w:rsidP="002A0C09">
      <w:pPr>
        <w:tabs>
          <w:tab w:val="left" w:pos="1440"/>
          <w:tab w:val="left" w:pos="3060"/>
        </w:tabs>
        <w:jc w:val="center"/>
        <w:rPr>
          <w:lang w:val="es-ES_tradnl"/>
        </w:rPr>
      </w:pPr>
    </w:p>
    <w:p w14:paraId="3F80A948" w14:textId="77777777" w:rsidR="002A0C09" w:rsidRPr="00FD05C9" w:rsidRDefault="002A0C09" w:rsidP="002A0C09">
      <w:pPr>
        <w:tabs>
          <w:tab w:val="left" w:pos="1440"/>
          <w:tab w:val="left" w:pos="3060"/>
        </w:tabs>
        <w:jc w:val="center"/>
        <w:rPr>
          <w:lang w:val="es-ES_tradnl"/>
        </w:rPr>
      </w:pPr>
    </w:p>
    <w:p w14:paraId="45EAF977" w14:textId="77777777" w:rsidR="002A0C09" w:rsidRPr="00046E14" w:rsidRDefault="002A0C09" w:rsidP="002A0C09">
      <w:pPr>
        <w:pStyle w:val="Newpage"/>
        <w:rPr>
          <w:rFonts w:ascii="Arial" w:hAnsi="Arial" w:cs="Arial"/>
          <w:b w:val="0"/>
          <w:caps/>
          <w:smallCaps w:val="0"/>
          <w:sz w:val="22"/>
          <w:szCs w:val="22"/>
        </w:rPr>
      </w:pPr>
      <w:r w:rsidRPr="00994CAB">
        <w:rPr>
          <w:rFonts w:ascii="Arial" w:hAnsi="Arial" w:cs="Arial"/>
          <w:sz w:val="28"/>
          <w:szCs w:val="28"/>
        </w:rPr>
        <w:t>Modernización del Complejo Hidroeléctrico Binacional Salto Grande</w:t>
      </w:r>
    </w:p>
    <w:p w14:paraId="62713321" w14:textId="77777777" w:rsidR="002A0C09" w:rsidRPr="00046E14" w:rsidRDefault="002A0C09" w:rsidP="002A0C09">
      <w:pPr>
        <w:pStyle w:val="Newpage"/>
        <w:rPr>
          <w:rFonts w:ascii="Arial" w:hAnsi="Arial" w:cs="Arial"/>
          <w:b w:val="0"/>
          <w:caps/>
          <w:smallCaps w:val="0"/>
          <w:sz w:val="22"/>
          <w:szCs w:val="22"/>
        </w:rPr>
      </w:pPr>
    </w:p>
    <w:p w14:paraId="2BC35E38" w14:textId="77777777" w:rsidR="002A0C09" w:rsidRPr="00046E14" w:rsidRDefault="002A0C09" w:rsidP="002A0C09">
      <w:pPr>
        <w:tabs>
          <w:tab w:val="left" w:pos="1440"/>
          <w:tab w:val="left" w:pos="3060"/>
        </w:tabs>
        <w:jc w:val="center"/>
        <w:rPr>
          <w:b/>
          <w:smallCaps/>
          <w:lang w:val="es-ES"/>
        </w:rPr>
      </w:pPr>
      <w:r w:rsidRPr="00046E14">
        <w:rPr>
          <w:b/>
          <w:smallCaps/>
          <w:lang w:val="es-ES"/>
        </w:rPr>
        <w:t>(</w:t>
      </w:r>
      <w:r>
        <w:rPr>
          <w:b/>
          <w:smallCaps/>
          <w:lang w:val="es-ES"/>
        </w:rPr>
        <w:t>RG-L1124</w:t>
      </w:r>
      <w:r w:rsidRPr="00046E14">
        <w:rPr>
          <w:b/>
          <w:smallCaps/>
          <w:lang w:val="es-ES"/>
        </w:rPr>
        <w:t>)</w:t>
      </w:r>
    </w:p>
    <w:p w14:paraId="01024D09" w14:textId="77777777" w:rsidR="002A0C09" w:rsidRPr="00FD05C9" w:rsidRDefault="002A0C09" w:rsidP="002A0C09">
      <w:pPr>
        <w:tabs>
          <w:tab w:val="left" w:pos="1440"/>
          <w:tab w:val="left" w:pos="3060"/>
        </w:tabs>
        <w:jc w:val="center"/>
        <w:rPr>
          <w:lang w:val="es-ES_tradnl"/>
        </w:rPr>
      </w:pPr>
    </w:p>
    <w:p w14:paraId="051E2555" w14:textId="77777777" w:rsidR="002A0C09" w:rsidRPr="00FD05C9" w:rsidRDefault="002A0C09" w:rsidP="002A0C09">
      <w:pPr>
        <w:tabs>
          <w:tab w:val="left" w:pos="1440"/>
          <w:tab w:val="left" w:pos="3060"/>
        </w:tabs>
        <w:jc w:val="center"/>
        <w:rPr>
          <w:lang w:val="es-ES_tradnl"/>
        </w:rPr>
      </w:pPr>
    </w:p>
    <w:p w14:paraId="708AD942" w14:textId="77777777" w:rsidR="002A0C09" w:rsidRPr="00FD05C9" w:rsidRDefault="002A0C09" w:rsidP="002A0C09">
      <w:pPr>
        <w:tabs>
          <w:tab w:val="left" w:pos="1440"/>
          <w:tab w:val="left" w:pos="3060"/>
        </w:tabs>
        <w:jc w:val="center"/>
        <w:rPr>
          <w:lang w:val="es-ES_tradnl"/>
        </w:rPr>
      </w:pPr>
    </w:p>
    <w:p w14:paraId="19BDBFB3" w14:textId="552356BD" w:rsidR="002A0C09" w:rsidRPr="00FD05C9" w:rsidRDefault="00E5039C" w:rsidP="002A0C09">
      <w:pPr>
        <w:tabs>
          <w:tab w:val="left" w:pos="1440"/>
          <w:tab w:val="left" w:pos="3060"/>
        </w:tabs>
        <w:jc w:val="center"/>
        <w:rPr>
          <w:b/>
          <w:smallCaps/>
          <w:lang w:val="es-ES_tradnl"/>
        </w:rPr>
      </w:pPr>
      <w:r>
        <w:rPr>
          <w:b/>
          <w:smallCaps/>
          <w:lang w:val="es-ES_tradnl"/>
        </w:rPr>
        <w:t>Anexo Técnico: Integración Regional</w:t>
      </w:r>
    </w:p>
    <w:p w14:paraId="1F700049" w14:textId="77777777" w:rsidR="002A0C09" w:rsidRPr="00FD05C9" w:rsidRDefault="002A0C09" w:rsidP="002A0C09">
      <w:pPr>
        <w:tabs>
          <w:tab w:val="left" w:pos="1440"/>
          <w:tab w:val="left" w:pos="3060"/>
        </w:tabs>
        <w:jc w:val="center"/>
        <w:rPr>
          <w:b/>
          <w:smallCaps/>
          <w:lang w:val="es-ES_tradnl"/>
        </w:rPr>
      </w:pPr>
    </w:p>
    <w:p w14:paraId="26C7A439" w14:textId="77777777" w:rsidR="002A0C09" w:rsidRPr="00FD05C9" w:rsidRDefault="002A0C09" w:rsidP="002A0C09">
      <w:pPr>
        <w:tabs>
          <w:tab w:val="left" w:pos="1440"/>
          <w:tab w:val="left" w:pos="3060"/>
        </w:tabs>
        <w:jc w:val="center"/>
        <w:rPr>
          <w:b/>
          <w:smallCaps/>
          <w:lang w:val="es-ES_tradnl"/>
        </w:rPr>
      </w:pPr>
    </w:p>
    <w:p w14:paraId="4DBBD0C3" w14:textId="77777777" w:rsidR="002A0C09" w:rsidRPr="00FD05C9" w:rsidRDefault="002A0C09" w:rsidP="002A0C09">
      <w:pPr>
        <w:pStyle w:val="ColorfulList-Accent11"/>
        <w:ind w:left="1080"/>
        <w:jc w:val="center"/>
        <w:rPr>
          <w:rFonts w:ascii="Arial" w:hAnsi="Arial" w:cs="Arial"/>
          <w:smallCaps/>
        </w:rPr>
      </w:pPr>
    </w:p>
    <w:p w14:paraId="39449831" w14:textId="77777777" w:rsidR="002A0C09" w:rsidRPr="00FD05C9" w:rsidRDefault="002A0C09" w:rsidP="002A0C09">
      <w:pPr>
        <w:autoSpaceDE w:val="0"/>
        <w:adjustRightInd w:val="0"/>
        <w:rPr>
          <w:lang w:val="es-ES_tradnl"/>
        </w:rPr>
      </w:pPr>
    </w:p>
    <w:p w14:paraId="178F50FE" w14:textId="77777777" w:rsidR="002A0C09" w:rsidRPr="002A0C09" w:rsidRDefault="002A0C09" w:rsidP="002A0C09">
      <w:pPr>
        <w:pStyle w:val="BodyText"/>
        <w:pBdr>
          <w:top w:val="single" w:sz="4" w:space="1" w:color="auto"/>
          <w:left w:val="single" w:sz="4" w:space="4" w:color="auto"/>
          <w:bottom w:val="single" w:sz="4" w:space="0" w:color="auto"/>
          <w:right w:val="single" w:sz="4" w:space="4" w:color="auto"/>
        </w:pBdr>
        <w:tabs>
          <w:tab w:val="left" w:pos="1440"/>
        </w:tabs>
        <w:rPr>
          <w:rFonts w:cs="Arial"/>
          <w:lang w:val="es-UY"/>
        </w:rPr>
      </w:pPr>
      <w:r w:rsidRPr="002A0C09">
        <w:rPr>
          <w:rFonts w:cs="Arial"/>
          <w:color w:val="000000"/>
          <w:lang w:val="es-UY"/>
        </w:rPr>
        <w:t>El presente documento contiene información confidencial comprendida en una o más de las diez excepciones de la Política de Acceso a Información y, por lo tanto, no se puede divulgar fuera del Banco.</w:t>
      </w:r>
    </w:p>
    <w:p w14:paraId="49597909" w14:textId="47C3724B" w:rsidR="002D1C81" w:rsidRDefault="002D1C81">
      <w:pPr>
        <w:rPr>
          <w:b/>
          <w:u w:val="single"/>
          <w:lang w:val="es-UY"/>
        </w:rPr>
      </w:pPr>
    </w:p>
    <w:p w14:paraId="300474B9" w14:textId="35FEB001" w:rsidR="00E5039C" w:rsidRDefault="00E5039C">
      <w:pPr>
        <w:rPr>
          <w:b/>
          <w:u w:val="single"/>
          <w:lang w:val="es-UY"/>
        </w:rPr>
      </w:pPr>
    </w:p>
    <w:p w14:paraId="06B2E531" w14:textId="180F3F93" w:rsidR="00E5039C" w:rsidRDefault="00E5039C">
      <w:pPr>
        <w:rPr>
          <w:b/>
          <w:u w:val="single"/>
          <w:lang w:val="es-UY"/>
        </w:rPr>
      </w:pPr>
    </w:p>
    <w:p w14:paraId="1C06BBC7" w14:textId="495E7ECF" w:rsidR="00E5039C" w:rsidRDefault="00E5039C">
      <w:pPr>
        <w:rPr>
          <w:b/>
          <w:u w:val="single"/>
          <w:lang w:val="es-UY"/>
        </w:rPr>
      </w:pPr>
    </w:p>
    <w:p w14:paraId="4933A9E9" w14:textId="5E0A19E6" w:rsidR="00E5039C" w:rsidRDefault="00E5039C">
      <w:pPr>
        <w:rPr>
          <w:b/>
          <w:u w:val="single"/>
          <w:lang w:val="es-UY"/>
        </w:rPr>
      </w:pPr>
    </w:p>
    <w:p w14:paraId="35FEDBE0" w14:textId="77777777" w:rsidR="00AF3034" w:rsidRDefault="00E4003A">
      <w:pPr>
        <w:rPr>
          <w:b/>
          <w:u w:val="single"/>
          <w:lang w:val="es-UY"/>
        </w:rPr>
      </w:pPr>
      <w:r>
        <w:rPr>
          <w:b/>
          <w:u w:val="single"/>
          <w:lang w:val="es-UY"/>
        </w:rPr>
        <w:br w:type="page"/>
      </w:r>
    </w:p>
    <w:p w14:paraId="5199D645" w14:textId="77777777" w:rsidR="00AF3034" w:rsidRDefault="00AF3034">
      <w:pPr>
        <w:rPr>
          <w:b/>
          <w:u w:val="single"/>
          <w:lang w:val="es-UY"/>
        </w:rPr>
      </w:pPr>
    </w:p>
    <w:p w14:paraId="4B627FD4" w14:textId="0584F235" w:rsidR="00AF3034" w:rsidRDefault="00AF3034" w:rsidP="00AF3034">
      <w:pPr>
        <w:jc w:val="center"/>
        <w:rPr>
          <w:noProof/>
        </w:rPr>
      </w:pPr>
      <w:r>
        <w:rPr>
          <w:b/>
          <w:u w:val="single"/>
          <w:lang w:val="es-UY"/>
        </w:rPr>
        <w:t>Índice</w:t>
      </w:r>
      <w:r>
        <w:rPr>
          <w:b/>
          <w:u w:val="single"/>
          <w:lang w:val="es-UY"/>
        </w:rPr>
        <w:fldChar w:fldCharType="begin"/>
      </w:r>
      <w:r>
        <w:rPr>
          <w:b/>
          <w:u w:val="single"/>
          <w:lang w:val="es-UY"/>
        </w:rPr>
        <w:instrText xml:space="preserve"> TOC \o "1-1" \h \z \u </w:instrText>
      </w:r>
      <w:r>
        <w:rPr>
          <w:b/>
          <w:u w:val="single"/>
          <w:lang w:val="es-UY"/>
        </w:rPr>
        <w:fldChar w:fldCharType="separate"/>
      </w:r>
    </w:p>
    <w:p w14:paraId="1CCEB2B9" w14:textId="22B989BF" w:rsidR="00AF3034" w:rsidRDefault="00796544" w:rsidP="00AF3034">
      <w:pPr>
        <w:pStyle w:val="TOC1"/>
        <w:tabs>
          <w:tab w:val="left" w:pos="440"/>
          <w:tab w:val="right" w:leader="dot" w:pos="9350"/>
        </w:tabs>
        <w:spacing w:line="480" w:lineRule="auto"/>
        <w:rPr>
          <w:rFonts w:asciiTheme="minorHAnsi" w:eastAsiaTheme="minorEastAsia" w:hAnsiTheme="minorHAnsi"/>
          <w:noProof/>
        </w:rPr>
      </w:pPr>
      <w:hyperlink w:anchor="_Toc519707952" w:history="1">
        <w:r w:rsidR="00AF3034" w:rsidRPr="0090429C">
          <w:rPr>
            <w:rStyle w:val="Hyperlink"/>
            <w:rFonts w:eastAsia="Times New Roman"/>
            <w:noProof/>
          </w:rPr>
          <w:t>A.</w:t>
        </w:r>
        <w:r w:rsidR="00AF3034">
          <w:rPr>
            <w:rFonts w:asciiTheme="minorHAnsi" w:eastAsiaTheme="minorEastAsia" w:hAnsiTheme="minorHAnsi"/>
            <w:noProof/>
          </w:rPr>
          <w:tab/>
        </w:r>
        <w:r w:rsidR="00AF3034" w:rsidRPr="0090429C">
          <w:rPr>
            <w:rStyle w:val="Hyperlink"/>
            <w:rFonts w:eastAsia="Times New Roman"/>
            <w:noProof/>
          </w:rPr>
          <w:t>Introducción</w:t>
        </w:r>
        <w:r w:rsidR="00AF3034">
          <w:rPr>
            <w:noProof/>
            <w:webHidden/>
          </w:rPr>
          <w:tab/>
        </w:r>
        <w:r w:rsidR="00AF3034">
          <w:rPr>
            <w:noProof/>
            <w:webHidden/>
          </w:rPr>
          <w:fldChar w:fldCharType="begin"/>
        </w:r>
        <w:r w:rsidR="00AF3034">
          <w:rPr>
            <w:noProof/>
            <w:webHidden/>
          </w:rPr>
          <w:instrText xml:space="preserve"> PAGEREF _Toc519707952 \h </w:instrText>
        </w:r>
        <w:r w:rsidR="00AF3034">
          <w:rPr>
            <w:noProof/>
            <w:webHidden/>
          </w:rPr>
        </w:r>
        <w:r w:rsidR="00AF3034">
          <w:rPr>
            <w:noProof/>
            <w:webHidden/>
          </w:rPr>
          <w:fldChar w:fldCharType="separate"/>
        </w:r>
        <w:r w:rsidR="00A51B30">
          <w:rPr>
            <w:noProof/>
            <w:webHidden/>
          </w:rPr>
          <w:t>3</w:t>
        </w:r>
        <w:r w:rsidR="00AF3034">
          <w:rPr>
            <w:noProof/>
            <w:webHidden/>
          </w:rPr>
          <w:fldChar w:fldCharType="end"/>
        </w:r>
      </w:hyperlink>
    </w:p>
    <w:p w14:paraId="40AB1A5B" w14:textId="136745D8" w:rsidR="00AF3034" w:rsidRDefault="00796544" w:rsidP="00AF3034">
      <w:pPr>
        <w:pStyle w:val="TOC1"/>
        <w:tabs>
          <w:tab w:val="left" w:pos="440"/>
          <w:tab w:val="right" w:leader="dot" w:pos="9350"/>
        </w:tabs>
        <w:spacing w:line="480" w:lineRule="auto"/>
        <w:rPr>
          <w:rFonts w:asciiTheme="minorHAnsi" w:eastAsiaTheme="minorEastAsia" w:hAnsiTheme="minorHAnsi"/>
          <w:noProof/>
        </w:rPr>
      </w:pPr>
      <w:hyperlink w:anchor="_Toc519707953" w:history="1">
        <w:r w:rsidR="00AF3034" w:rsidRPr="0090429C">
          <w:rPr>
            <w:rStyle w:val="Hyperlink"/>
            <w:rFonts w:eastAsia="Times New Roman"/>
            <w:noProof/>
          </w:rPr>
          <w:t>B.</w:t>
        </w:r>
        <w:r w:rsidR="00AF3034">
          <w:rPr>
            <w:rFonts w:asciiTheme="minorHAnsi" w:eastAsiaTheme="minorEastAsia" w:hAnsiTheme="minorHAnsi"/>
            <w:noProof/>
          </w:rPr>
          <w:tab/>
        </w:r>
        <w:r w:rsidR="00AF3034" w:rsidRPr="0090429C">
          <w:rPr>
            <w:rStyle w:val="Hyperlink"/>
            <w:rFonts w:eastAsia="Times New Roman"/>
            <w:noProof/>
          </w:rPr>
          <w:t>Sistema Eléctrico Uruguayo.</w:t>
        </w:r>
        <w:r w:rsidR="00AF3034">
          <w:rPr>
            <w:noProof/>
            <w:webHidden/>
          </w:rPr>
          <w:tab/>
        </w:r>
        <w:r w:rsidR="00AF3034">
          <w:rPr>
            <w:noProof/>
            <w:webHidden/>
          </w:rPr>
          <w:fldChar w:fldCharType="begin"/>
        </w:r>
        <w:r w:rsidR="00AF3034">
          <w:rPr>
            <w:noProof/>
            <w:webHidden/>
          </w:rPr>
          <w:instrText xml:space="preserve"> PAGEREF _Toc519707953 \h </w:instrText>
        </w:r>
        <w:r w:rsidR="00AF3034">
          <w:rPr>
            <w:noProof/>
            <w:webHidden/>
          </w:rPr>
        </w:r>
        <w:r w:rsidR="00AF3034">
          <w:rPr>
            <w:noProof/>
            <w:webHidden/>
          </w:rPr>
          <w:fldChar w:fldCharType="separate"/>
        </w:r>
        <w:r w:rsidR="00A51B30">
          <w:rPr>
            <w:noProof/>
            <w:webHidden/>
          </w:rPr>
          <w:t>4</w:t>
        </w:r>
        <w:r w:rsidR="00AF3034">
          <w:rPr>
            <w:noProof/>
            <w:webHidden/>
          </w:rPr>
          <w:fldChar w:fldCharType="end"/>
        </w:r>
      </w:hyperlink>
    </w:p>
    <w:p w14:paraId="7F1EE2E8" w14:textId="2105451D" w:rsidR="00AF3034" w:rsidRDefault="00796544" w:rsidP="00AF3034">
      <w:pPr>
        <w:pStyle w:val="TOC1"/>
        <w:tabs>
          <w:tab w:val="left" w:pos="660"/>
          <w:tab w:val="right" w:leader="dot" w:pos="9350"/>
        </w:tabs>
        <w:spacing w:line="480" w:lineRule="auto"/>
        <w:rPr>
          <w:rFonts w:asciiTheme="minorHAnsi" w:eastAsiaTheme="minorEastAsia" w:hAnsiTheme="minorHAnsi"/>
          <w:noProof/>
        </w:rPr>
      </w:pPr>
      <w:hyperlink w:anchor="_Toc519707954" w:history="1">
        <w:r w:rsidR="00AF3034" w:rsidRPr="0090429C">
          <w:rPr>
            <w:rStyle w:val="Hyperlink"/>
            <w:rFonts w:cs="Arial"/>
            <w:noProof/>
          </w:rPr>
          <w:t>C.</w:t>
        </w:r>
        <w:r w:rsidR="00AF3034">
          <w:rPr>
            <w:rFonts w:asciiTheme="minorHAnsi" w:eastAsiaTheme="minorEastAsia" w:hAnsiTheme="minorHAnsi"/>
            <w:noProof/>
          </w:rPr>
          <w:tab/>
        </w:r>
        <w:r w:rsidR="00AF3034" w:rsidRPr="0090429C">
          <w:rPr>
            <w:rStyle w:val="Hyperlink"/>
            <w:noProof/>
          </w:rPr>
          <w:t>Sector Eléctrico Argentino.</w:t>
        </w:r>
        <w:r w:rsidR="00AF3034">
          <w:rPr>
            <w:noProof/>
            <w:webHidden/>
          </w:rPr>
          <w:tab/>
        </w:r>
        <w:r w:rsidR="00AF3034">
          <w:rPr>
            <w:noProof/>
            <w:webHidden/>
          </w:rPr>
          <w:fldChar w:fldCharType="begin"/>
        </w:r>
        <w:r w:rsidR="00AF3034">
          <w:rPr>
            <w:noProof/>
            <w:webHidden/>
          </w:rPr>
          <w:instrText xml:space="preserve"> PAGEREF _Toc519707954 \h </w:instrText>
        </w:r>
        <w:r w:rsidR="00AF3034">
          <w:rPr>
            <w:noProof/>
            <w:webHidden/>
          </w:rPr>
        </w:r>
        <w:r w:rsidR="00AF3034">
          <w:rPr>
            <w:noProof/>
            <w:webHidden/>
          </w:rPr>
          <w:fldChar w:fldCharType="separate"/>
        </w:r>
        <w:r w:rsidR="00A51B30">
          <w:rPr>
            <w:noProof/>
            <w:webHidden/>
          </w:rPr>
          <w:t>6</w:t>
        </w:r>
        <w:r w:rsidR="00AF3034">
          <w:rPr>
            <w:noProof/>
            <w:webHidden/>
          </w:rPr>
          <w:fldChar w:fldCharType="end"/>
        </w:r>
      </w:hyperlink>
    </w:p>
    <w:p w14:paraId="5EF3D3EB" w14:textId="45C43A9F" w:rsidR="00AF3034" w:rsidRDefault="00796544" w:rsidP="00AF3034">
      <w:pPr>
        <w:pStyle w:val="TOC1"/>
        <w:tabs>
          <w:tab w:val="left" w:pos="660"/>
          <w:tab w:val="right" w:leader="dot" w:pos="9350"/>
        </w:tabs>
        <w:spacing w:line="480" w:lineRule="auto"/>
        <w:rPr>
          <w:rFonts w:asciiTheme="minorHAnsi" w:eastAsiaTheme="minorEastAsia" w:hAnsiTheme="minorHAnsi"/>
          <w:noProof/>
        </w:rPr>
      </w:pPr>
      <w:hyperlink w:anchor="_Toc519707955" w:history="1">
        <w:r w:rsidR="00AF3034" w:rsidRPr="0090429C">
          <w:rPr>
            <w:rStyle w:val="Hyperlink"/>
            <w:noProof/>
          </w:rPr>
          <w:t>D.</w:t>
        </w:r>
        <w:r w:rsidR="00AF3034">
          <w:rPr>
            <w:rFonts w:asciiTheme="minorHAnsi" w:eastAsiaTheme="minorEastAsia" w:hAnsiTheme="minorHAnsi"/>
            <w:noProof/>
          </w:rPr>
          <w:tab/>
        </w:r>
        <w:r w:rsidR="00AF3034" w:rsidRPr="0090429C">
          <w:rPr>
            <w:rStyle w:val="Hyperlink"/>
            <w:noProof/>
          </w:rPr>
          <w:t>Complejo Hidroeléctrico Salto Grande</w:t>
        </w:r>
        <w:r w:rsidR="00AF3034">
          <w:rPr>
            <w:noProof/>
            <w:webHidden/>
          </w:rPr>
          <w:tab/>
        </w:r>
        <w:r w:rsidR="00AF3034">
          <w:rPr>
            <w:noProof/>
            <w:webHidden/>
          </w:rPr>
          <w:fldChar w:fldCharType="begin"/>
        </w:r>
        <w:r w:rsidR="00AF3034">
          <w:rPr>
            <w:noProof/>
            <w:webHidden/>
          </w:rPr>
          <w:instrText xml:space="preserve"> PAGEREF _Toc519707955 \h </w:instrText>
        </w:r>
        <w:r w:rsidR="00AF3034">
          <w:rPr>
            <w:noProof/>
            <w:webHidden/>
          </w:rPr>
        </w:r>
        <w:r w:rsidR="00AF3034">
          <w:rPr>
            <w:noProof/>
            <w:webHidden/>
          </w:rPr>
          <w:fldChar w:fldCharType="separate"/>
        </w:r>
        <w:r w:rsidR="00A51B30">
          <w:rPr>
            <w:noProof/>
            <w:webHidden/>
          </w:rPr>
          <w:t>7</w:t>
        </w:r>
        <w:r w:rsidR="00AF3034">
          <w:rPr>
            <w:noProof/>
            <w:webHidden/>
          </w:rPr>
          <w:fldChar w:fldCharType="end"/>
        </w:r>
      </w:hyperlink>
    </w:p>
    <w:p w14:paraId="4B15BF1A" w14:textId="558C82AB" w:rsidR="00AF3034" w:rsidRDefault="00796544" w:rsidP="00AF3034">
      <w:pPr>
        <w:pStyle w:val="TOC1"/>
        <w:tabs>
          <w:tab w:val="left" w:pos="440"/>
          <w:tab w:val="right" w:leader="dot" w:pos="9350"/>
        </w:tabs>
        <w:spacing w:line="480" w:lineRule="auto"/>
        <w:rPr>
          <w:rFonts w:asciiTheme="minorHAnsi" w:eastAsiaTheme="minorEastAsia" w:hAnsiTheme="minorHAnsi"/>
          <w:noProof/>
        </w:rPr>
      </w:pPr>
      <w:hyperlink w:anchor="_Toc519707956" w:history="1">
        <w:r w:rsidR="00AF3034" w:rsidRPr="0090429C">
          <w:rPr>
            <w:rStyle w:val="Hyperlink"/>
            <w:noProof/>
            <w:lang w:val="es-ES_tradnl"/>
          </w:rPr>
          <w:t>E.</w:t>
        </w:r>
        <w:r w:rsidR="00AF3034">
          <w:rPr>
            <w:rFonts w:asciiTheme="minorHAnsi" w:eastAsiaTheme="minorEastAsia" w:hAnsiTheme="minorHAnsi"/>
            <w:noProof/>
          </w:rPr>
          <w:tab/>
        </w:r>
        <w:r w:rsidR="00AF3034" w:rsidRPr="0090429C">
          <w:rPr>
            <w:rStyle w:val="Hyperlink"/>
            <w:noProof/>
          </w:rPr>
          <w:t>Cuadrilátero de Salto Grande.</w:t>
        </w:r>
        <w:r w:rsidR="00AF3034">
          <w:rPr>
            <w:noProof/>
            <w:webHidden/>
          </w:rPr>
          <w:tab/>
        </w:r>
        <w:r w:rsidR="00AF3034">
          <w:rPr>
            <w:noProof/>
            <w:webHidden/>
          </w:rPr>
          <w:fldChar w:fldCharType="begin"/>
        </w:r>
        <w:r w:rsidR="00AF3034">
          <w:rPr>
            <w:noProof/>
            <w:webHidden/>
          </w:rPr>
          <w:instrText xml:space="preserve"> PAGEREF _Toc519707956 \h </w:instrText>
        </w:r>
        <w:r w:rsidR="00AF3034">
          <w:rPr>
            <w:noProof/>
            <w:webHidden/>
          </w:rPr>
        </w:r>
        <w:r w:rsidR="00AF3034">
          <w:rPr>
            <w:noProof/>
            <w:webHidden/>
          </w:rPr>
          <w:fldChar w:fldCharType="separate"/>
        </w:r>
        <w:r w:rsidR="00A51B30">
          <w:rPr>
            <w:noProof/>
            <w:webHidden/>
          </w:rPr>
          <w:t>8</w:t>
        </w:r>
        <w:r w:rsidR="00AF3034">
          <w:rPr>
            <w:noProof/>
            <w:webHidden/>
          </w:rPr>
          <w:fldChar w:fldCharType="end"/>
        </w:r>
      </w:hyperlink>
    </w:p>
    <w:p w14:paraId="1C513565" w14:textId="13B2B2F0" w:rsidR="00AF3034" w:rsidRDefault="00796544" w:rsidP="00AF3034">
      <w:pPr>
        <w:pStyle w:val="TOC1"/>
        <w:tabs>
          <w:tab w:val="left" w:pos="440"/>
          <w:tab w:val="right" w:leader="dot" w:pos="9350"/>
        </w:tabs>
        <w:spacing w:line="480" w:lineRule="auto"/>
        <w:rPr>
          <w:rFonts w:asciiTheme="minorHAnsi" w:eastAsiaTheme="minorEastAsia" w:hAnsiTheme="minorHAnsi"/>
          <w:noProof/>
        </w:rPr>
      </w:pPr>
      <w:hyperlink w:anchor="_Toc519707957" w:history="1">
        <w:r w:rsidR="00AF3034" w:rsidRPr="0090429C">
          <w:rPr>
            <w:rStyle w:val="Hyperlink"/>
            <w:noProof/>
          </w:rPr>
          <w:t>F.</w:t>
        </w:r>
        <w:r w:rsidR="00AF3034">
          <w:rPr>
            <w:rFonts w:asciiTheme="minorHAnsi" w:eastAsiaTheme="minorEastAsia" w:hAnsiTheme="minorHAnsi"/>
            <w:noProof/>
          </w:rPr>
          <w:tab/>
        </w:r>
        <w:r w:rsidR="00AF3034" w:rsidRPr="0090429C">
          <w:rPr>
            <w:rStyle w:val="Hyperlink"/>
            <w:noProof/>
          </w:rPr>
          <w:t>La importancia del Cuadrilátero de Salto Grande para la integración eléctrica de ambos sistemas.</w:t>
        </w:r>
        <w:r w:rsidR="00AF3034">
          <w:rPr>
            <w:noProof/>
            <w:webHidden/>
          </w:rPr>
          <w:tab/>
        </w:r>
        <w:r w:rsidR="00AF3034">
          <w:rPr>
            <w:noProof/>
            <w:webHidden/>
          </w:rPr>
          <w:fldChar w:fldCharType="begin"/>
        </w:r>
        <w:r w:rsidR="00AF3034">
          <w:rPr>
            <w:noProof/>
            <w:webHidden/>
          </w:rPr>
          <w:instrText xml:space="preserve"> PAGEREF _Toc519707957 \h </w:instrText>
        </w:r>
        <w:r w:rsidR="00AF3034">
          <w:rPr>
            <w:noProof/>
            <w:webHidden/>
          </w:rPr>
        </w:r>
        <w:r w:rsidR="00AF3034">
          <w:rPr>
            <w:noProof/>
            <w:webHidden/>
          </w:rPr>
          <w:fldChar w:fldCharType="separate"/>
        </w:r>
        <w:r w:rsidR="00A51B30">
          <w:rPr>
            <w:noProof/>
            <w:webHidden/>
          </w:rPr>
          <w:t>10</w:t>
        </w:r>
        <w:r w:rsidR="00AF3034">
          <w:rPr>
            <w:noProof/>
            <w:webHidden/>
          </w:rPr>
          <w:fldChar w:fldCharType="end"/>
        </w:r>
      </w:hyperlink>
    </w:p>
    <w:p w14:paraId="727A1B36" w14:textId="6A237445" w:rsidR="00AF3034" w:rsidRDefault="00796544" w:rsidP="00AF3034">
      <w:pPr>
        <w:pStyle w:val="TOC1"/>
        <w:tabs>
          <w:tab w:val="left" w:pos="660"/>
          <w:tab w:val="right" w:leader="dot" w:pos="9350"/>
        </w:tabs>
        <w:spacing w:line="480" w:lineRule="auto"/>
        <w:rPr>
          <w:rFonts w:asciiTheme="minorHAnsi" w:eastAsiaTheme="minorEastAsia" w:hAnsiTheme="minorHAnsi"/>
          <w:noProof/>
        </w:rPr>
      </w:pPr>
      <w:hyperlink w:anchor="_Toc519707958" w:history="1">
        <w:r w:rsidR="00AF3034" w:rsidRPr="0090429C">
          <w:rPr>
            <w:rStyle w:val="Hyperlink"/>
            <w:rFonts w:eastAsia="Times New Roman"/>
            <w:noProof/>
            <w:lang w:val="es-ES_tradnl"/>
          </w:rPr>
          <w:t>G.</w:t>
        </w:r>
        <w:r w:rsidR="00AF3034">
          <w:rPr>
            <w:rFonts w:asciiTheme="minorHAnsi" w:eastAsiaTheme="minorEastAsia" w:hAnsiTheme="minorHAnsi"/>
            <w:noProof/>
          </w:rPr>
          <w:tab/>
        </w:r>
        <w:r w:rsidR="00AF3034" w:rsidRPr="0090429C">
          <w:rPr>
            <w:rStyle w:val="Hyperlink"/>
            <w:rFonts w:eastAsia="Times New Roman"/>
            <w:noProof/>
            <w:lang w:val="es-ES_tradnl"/>
          </w:rPr>
          <w:t>Principales aspectos considerados para la clasificación de RG-L1124, como operación de integración regional</w:t>
        </w:r>
        <w:r w:rsidR="00AF3034">
          <w:rPr>
            <w:noProof/>
            <w:webHidden/>
          </w:rPr>
          <w:tab/>
        </w:r>
        <w:r w:rsidR="00AF3034">
          <w:rPr>
            <w:noProof/>
            <w:webHidden/>
          </w:rPr>
          <w:fldChar w:fldCharType="begin"/>
        </w:r>
        <w:r w:rsidR="00AF3034">
          <w:rPr>
            <w:noProof/>
            <w:webHidden/>
          </w:rPr>
          <w:instrText xml:space="preserve"> PAGEREF _Toc519707958 \h </w:instrText>
        </w:r>
        <w:r w:rsidR="00AF3034">
          <w:rPr>
            <w:noProof/>
            <w:webHidden/>
          </w:rPr>
        </w:r>
        <w:r w:rsidR="00AF3034">
          <w:rPr>
            <w:noProof/>
            <w:webHidden/>
          </w:rPr>
          <w:fldChar w:fldCharType="separate"/>
        </w:r>
        <w:r w:rsidR="00A51B30">
          <w:rPr>
            <w:noProof/>
            <w:webHidden/>
          </w:rPr>
          <w:t>15</w:t>
        </w:r>
        <w:r w:rsidR="00AF3034">
          <w:rPr>
            <w:noProof/>
            <w:webHidden/>
          </w:rPr>
          <w:fldChar w:fldCharType="end"/>
        </w:r>
      </w:hyperlink>
    </w:p>
    <w:p w14:paraId="5172D74F" w14:textId="74AE7D80" w:rsidR="00AF3034" w:rsidRDefault="00796544" w:rsidP="00AF3034">
      <w:pPr>
        <w:pStyle w:val="TOC1"/>
        <w:tabs>
          <w:tab w:val="left" w:pos="660"/>
          <w:tab w:val="right" w:leader="dot" w:pos="9350"/>
        </w:tabs>
        <w:spacing w:line="480" w:lineRule="auto"/>
        <w:rPr>
          <w:rFonts w:asciiTheme="minorHAnsi" w:eastAsiaTheme="minorEastAsia" w:hAnsiTheme="minorHAnsi"/>
          <w:noProof/>
        </w:rPr>
      </w:pPr>
      <w:hyperlink w:anchor="_Toc519707959" w:history="1">
        <w:r w:rsidR="00AF3034" w:rsidRPr="0090429C">
          <w:rPr>
            <w:rStyle w:val="Hyperlink"/>
            <w:noProof/>
          </w:rPr>
          <w:t>H.</w:t>
        </w:r>
        <w:r w:rsidR="00AF3034">
          <w:rPr>
            <w:rFonts w:asciiTheme="minorHAnsi" w:eastAsiaTheme="minorEastAsia" w:hAnsiTheme="minorHAnsi"/>
            <w:noProof/>
          </w:rPr>
          <w:tab/>
        </w:r>
        <w:r w:rsidR="00AF3034" w:rsidRPr="0090429C">
          <w:rPr>
            <w:rStyle w:val="Hyperlink"/>
            <w:noProof/>
          </w:rPr>
          <w:t>Validación de Criterios en el Marco de la Estrategia de Integración</w:t>
        </w:r>
        <w:r w:rsidR="00AF3034">
          <w:rPr>
            <w:noProof/>
            <w:webHidden/>
          </w:rPr>
          <w:tab/>
        </w:r>
        <w:r w:rsidR="00AF3034">
          <w:rPr>
            <w:noProof/>
            <w:webHidden/>
          </w:rPr>
          <w:fldChar w:fldCharType="begin"/>
        </w:r>
        <w:r w:rsidR="00AF3034">
          <w:rPr>
            <w:noProof/>
            <w:webHidden/>
          </w:rPr>
          <w:instrText xml:space="preserve"> PAGEREF _Toc519707959 \h </w:instrText>
        </w:r>
        <w:r w:rsidR="00AF3034">
          <w:rPr>
            <w:noProof/>
            <w:webHidden/>
          </w:rPr>
        </w:r>
        <w:r w:rsidR="00AF3034">
          <w:rPr>
            <w:noProof/>
            <w:webHidden/>
          </w:rPr>
          <w:fldChar w:fldCharType="separate"/>
        </w:r>
        <w:r w:rsidR="00A51B30">
          <w:rPr>
            <w:noProof/>
            <w:webHidden/>
          </w:rPr>
          <w:t>16</w:t>
        </w:r>
        <w:r w:rsidR="00AF3034">
          <w:rPr>
            <w:noProof/>
            <w:webHidden/>
          </w:rPr>
          <w:fldChar w:fldCharType="end"/>
        </w:r>
      </w:hyperlink>
    </w:p>
    <w:p w14:paraId="4490669E" w14:textId="5663BD50" w:rsidR="00E4003A" w:rsidRDefault="00AF3034">
      <w:pPr>
        <w:rPr>
          <w:b/>
          <w:u w:val="single"/>
          <w:lang w:val="es-UY"/>
        </w:rPr>
      </w:pPr>
      <w:r>
        <w:rPr>
          <w:b/>
          <w:u w:val="single"/>
          <w:lang w:val="es-UY"/>
        </w:rPr>
        <w:fldChar w:fldCharType="end"/>
      </w:r>
    </w:p>
    <w:p w14:paraId="3B4F575B" w14:textId="77777777" w:rsidR="00E5039C" w:rsidRDefault="00E5039C">
      <w:pPr>
        <w:rPr>
          <w:b/>
          <w:u w:val="single"/>
          <w:lang w:val="es-UY"/>
        </w:rPr>
      </w:pPr>
    </w:p>
    <w:p w14:paraId="42EE47D9" w14:textId="77777777" w:rsidR="00AF3034" w:rsidRDefault="00AF3034">
      <w:pPr>
        <w:jc w:val="left"/>
        <w:rPr>
          <w:rFonts w:eastAsia="Times New Roman" w:cstheme="majorBidi"/>
          <w:b/>
          <w:szCs w:val="32"/>
        </w:rPr>
      </w:pPr>
      <w:bookmarkStart w:id="2" w:name="_Toc519707952"/>
      <w:r>
        <w:rPr>
          <w:rFonts w:eastAsia="Times New Roman"/>
        </w:rPr>
        <w:br w:type="page"/>
      </w:r>
    </w:p>
    <w:p w14:paraId="785AB798" w14:textId="456B5D7C" w:rsidR="002D1C81" w:rsidRPr="007C33AD" w:rsidRDefault="00F25F06" w:rsidP="007C33AD">
      <w:pPr>
        <w:pStyle w:val="Heading1"/>
        <w:rPr>
          <w:rFonts w:eastAsia="Times New Roman"/>
        </w:rPr>
      </w:pPr>
      <w:proofErr w:type="spellStart"/>
      <w:r w:rsidRPr="007C33AD">
        <w:rPr>
          <w:rFonts w:eastAsia="Times New Roman"/>
        </w:rPr>
        <w:lastRenderedPageBreak/>
        <w:t>Introducción</w:t>
      </w:r>
      <w:bookmarkEnd w:id="2"/>
      <w:proofErr w:type="spellEnd"/>
    </w:p>
    <w:p w14:paraId="35A5670C" w14:textId="15B2DC72" w:rsidR="006C3787" w:rsidRDefault="1AE7B4AB" w:rsidP="1AE7B4AB">
      <w:pPr>
        <w:pStyle w:val="Paragraph"/>
        <w:rPr>
          <w:rFonts w:eastAsia="MS Mincho"/>
        </w:rPr>
      </w:pPr>
      <w:r w:rsidRPr="1AE7B4AB">
        <w:rPr>
          <w:rFonts w:eastAsia="MS Mincho"/>
        </w:rPr>
        <w:t xml:space="preserve">El Complejo Hidroeléctrico Salto Grande (CHSG), fue la primera central hidroeléctrica binacional construida en Latinoamérica y es actualmente un ejemplo de integración y gestión binacional. La primera unidad de generación fue puesta en marcha en el año 1979 y la última en 1983, posteriormente concluyeron su construcción y entraron en servicio otros grandes aprovechamientos hidroeléctricos binacionales en la región tales como Itaipú (Brasil y Paraguay) y </w:t>
      </w:r>
      <w:proofErr w:type="spellStart"/>
      <w:r w:rsidRPr="1AE7B4AB">
        <w:rPr>
          <w:rFonts w:eastAsia="MS Mincho"/>
        </w:rPr>
        <w:t>Yacyretá</w:t>
      </w:r>
      <w:proofErr w:type="spellEnd"/>
      <w:r w:rsidRPr="1AE7B4AB">
        <w:rPr>
          <w:rFonts w:eastAsia="MS Mincho"/>
        </w:rPr>
        <w:t xml:space="preserve"> (Argentina y Paraguay). El CHSG tiene una capacidad de generación de 1890MW y dispone además de un sistema de transmisión (el Cuadrilátero de interconexión) en 500kV que tiene la capacidad de intercambiar 1890 MW de energía entre ambos países. El Cuadrilátero le ha permitido desarrollar intercambios con importantes beneficios tanto a Argentina como a Uruguay. La conexión permite la comercialización de excedentes energéticos, complementariedad y uso más eficiente de los recursos e infraestructura eléctrica, aporta confiabilidad a los sistemas, apoyo en situaciones de emergencia o crisis y mejora la calidad del servicio de energía eléctrica en general.</w:t>
      </w:r>
    </w:p>
    <w:p w14:paraId="4EC2E4FF" w14:textId="4898AEFC" w:rsidR="00B95F45" w:rsidRPr="00AF3034" w:rsidRDefault="1AE7B4AB" w:rsidP="00B95F45">
      <w:pPr>
        <w:pStyle w:val="Paragraph"/>
        <w:rPr>
          <w:rFonts w:eastAsia="MS Mincho"/>
        </w:rPr>
      </w:pPr>
      <w:r>
        <w:t xml:space="preserve">La Comisión Técnica Mixta de Salto Grande (CTM) es un organismo binacional constituido el 30 de diciembre de 1946 por medio de un Convenio firmado entre la República Argentina y la República Oriental del Uruguay cuya misión </w:t>
      </w:r>
      <w:r w:rsidRPr="1AE7B4AB">
        <w:rPr>
          <w:rFonts w:cs="Arial"/>
        </w:rPr>
        <w:t xml:space="preserve">es producir y suministrar energía eléctrica a través del aprovechamiento del rio Uruguay y de una efectiva administración del CHSG, preservando el medio ambiente, contribuyendo al desarrollo </w:t>
      </w:r>
      <w:r w:rsidR="006B282C" w:rsidRPr="1AE7B4AB">
        <w:rPr>
          <w:rFonts w:cs="Arial"/>
        </w:rPr>
        <w:t>socioeconómico</w:t>
      </w:r>
      <w:r w:rsidRPr="1AE7B4AB">
        <w:rPr>
          <w:rFonts w:cs="Arial"/>
        </w:rPr>
        <w:t xml:space="preserve"> y a la integración de Argentina y Uruguay</w:t>
      </w:r>
      <w:r>
        <w:t xml:space="preserve">. Las prioridades constitutivas de CTM son </w:t>
      </w:r>
      <w:r w:rsidRPr="1AE7B4AB">
        <w:rPr>
          <w:rFonts w:cs="Arial"/>
        </w:rPr>
        <w:t xml:space="preserve">mejorar la navegabilidad, facilitar la vinculación de las comunicaciones terrestres entre ambos países y aprovechar sus aguas para riego y generación de energía. </w:t>
      </w:r>
      <w:bookmarkStart w:id="3" w:name="_Hlk521486610"/>
      <w:bookmarkEnd w:id="3"/>
    </w:p>
    <w:p w14:paraId="63D654E5" w14:textId="6C2DB615" w:rsidR="006C3787" w:rsidRPr="00AF3034" w:rsidRDefault="1AE7B4AB" w:rsidP="1AE7B4AB">
      <w:pPr>
        <w:pStyle w:val="Paragraph"/>
        <w:rPr>
          <w:rFonts w:eastAsia="MS Mincho"/>
        </w:rPr>
      </w:pPr>
      <w:r w:rsidRPr="1AE7B4AB">
        <w:rPr>
          <w:rFonts w:eastAsia="MS Mincho"/>
        </w:rPr>
        <w:t xml:space="preserve">Uno de los </w:t>
      </w:r>
      <w:r w:rsidRPr="1AE7B4AB">
        <w:rPr>
          <w:rFonts w:cs="Arial"/>
        </w:rPr>
        <w:t>principales</w:t>
      </w:r>
      <w:r w:rsidRPr="1AE7B4AB">
        <w:rPr>
          <w:rFonts w:eastAsia="MS Mincho"/>
        </w:rPr>
        <w:t xml:space="preserve"> obstáculos para la integración regional es la necesidad de contar con infraestructura física y adecuada. El sector energético, por sus características estratégicas y geopolíticas, puede ser considerado uno de los vectores principales para fomentar el proceso de desarrollo transfronterizo. El mantener el estado de las interconexiones eléctricas existentes demuestra un gran compromisos e interés por conservar y hacer más sólido el proceso orientado a una mayor integración de los países de la región. </w:t>
      </w:r>
    </w:p>
    <w:p w14:paraId="69947FBA" w14:textId="6EE3A31E" w:rsidR="001C392D" w:rsidRDefault="1AE7B4AB" w:rsidP="00AF3034">
      <w:pPr>
        <w:pStyle w:val="Paragraph"/>
        <w:rPr>
          <w:rFonts w:eastAsia="MS Mincho"/>
        </w:rPr>
      </w:pPr>
      <w:r w:rsidRPr="1AE7B4AB">
        <w:rPr>
          <w:rFonts w:eastAsia="MS Mincho"/>
        </w:rPr>
        <w:t xml:space="preserve">En el presente documento se analiza la alineación y contribución del préstamo </w:t>
      </w:r>
      <w:r w:rsidRPr="1AE7B4AB">
        <w:rPr>
          <w:rFonts w:eastAsia="MS Mincho"/>
          <w:i/>
          <w:iCs/>
        </w:rPr>
        <w:t xml:space="preserve">RG-L1124: Modernización del Complejo Hidroeléctrico Binacional Salto Grande </w:t>
      </w:r>
      <w:r w:rsidRPr="1AE7B4AB">
        <w:rPr>
          <w:rFonts w:eastAsia="MS Mincho"/>
        </w:rPr>
        <w:t xml:space="preserve">exponiendo los argumentos que explican cómo dicha operación contribuye a la integración regional, validando por lo tanto su alineación con el desafío regional de Integración Económica planteado en la Estrategia Institucional del Banco (EIB) 2010-2020 (GN-2788-5). </w:t>
      </w:r>
    </w:p>
    <w:p w14:paraId="2DF5A58B" w14:textId="73D00A47" w:rsidR="005C2DC7" w:rsidRPr="00AF3034" w:rsidRDefault="1AE7B4AB" w:rsidP="00AF3034">
      <w:pPr>
        <w:pStyle w:val="Paragraph"/>
        <w:rPr>
          <w:rFonts w:eastAsia="MS Mincho"/>
        </w:rPr>
      </w:pPr>
      <w:r w:rsidRPr="1AE7B4AB">
        <w:rPr>
          <w:rFonts w:eastAsia="MS Mincho"/>
        </w:rPr>
        <w:t xml:space="preserve">Este anexo técnico comienza con una descripción de los sistemas eléctricos uruguayo y argentino seguido por la descripción del CHSG y el Cuadrilátero de interconexión. Posteriormente se detalla la importancia del CHSG y el cuadrilátero para la interconexión de ambos sistemas y finalmente se procede a establecer las razones para considerar la operación como de Integración Regional y la alineación con la Estrategia Institucional del Banco.  </w:t>
      </w:r>
    </w:p>
    <w:p w14:paraId="1EA2E88B" w14:textId="77777777" w:rsidR="00BF5084" w:rsidRDefault="00BF5084" w:rsidP="002D1C81">
      <w:pPr>
        <w:autoSpaceDE w:val="0"/>
        <w:autoSpaceDN w:val="0"/>
        <w:adjustRightInd w:val="0"/>
        <w:spacing w:after="0" w:line="240" w:lineRule="auto"/>
        <w:rPr>
          <w:rFonts w:ascii="Times New Roman" w:hAnsi="Times New Roman" w:cs="Times New Roman"/>
          <w:sz w:val="21"/>
          <w:szCs w:val="21"/>
          <w:lang w:val="es-UY"/>
        </w:rPr>
      </w:pPr>
    </w:p>
    <w:p w14:paraId="28B84A7F" w14:textId="77777777" w:rsidR="00707D6E" w:rsidRPr="007C33AD" w:rsidRDefault="00A67342" w:rsidP="007C33AD">
      <w:pPr>
        <w:pStyle w:val="Heading1"/>
        <w:rPr>
          <w:rFonts w:eastAsia="Times New Roman"/>
        </w:rPr>
      </w:pPr>
      <w:bookmarkStart w:id="4" w:name="_Toc519707953"/>
      <w:bookmarkStart w:id="5" w:name="_Ref519007665"/>
      <w:r w:rsidRPr="007C33AD">
        <w:rPr>
          <w:rFonts w:eastAsia="Times New Roman"/>
        </w:rPr>
        <w:t xml:space="preserve">Sistema </w:t>
      </w:r>
      <w:proofErr w:type="spellStart"/>
      <w:r w:rsidRPr="007C33AD">
        <w:rPr>
          <w:rFonts w:eastAsia="Times New Roman"/>
        </w:rPr>
        <w:t>Eléctrico</w:t>
      </w:r>
      <w:proofErr w:type="spellEnd"/>
      <w:r w:rsidRPr="007C33AD">
        <w:rPr>
          <w:rFonts w:eastAsia="Times New Roman"/>
        </w:rPr>
        <w:t xml:space="preserve"> </w:t>
      </w:r>
      <w:proofErr w:type="spellStart"/>
      <w:r w:rsidRPr="007C33AD">
        <w:rPr>
          <w:rFonts w:eastAsia="Times New Roman"/>
        </w:rPr>
        <w:t>Uruguayo</w:t>
      </w:r>
      <w:proofErr w:type="spellEnd"/>
      <w:r w:rsidRPr="007C33AD">
        <w:rPr>
          <w:rFonts w:eastAsia="Times New Roman"/>
        </w:rPr>
        <w:t>.</w:t>
      </w:r>
      <w:bookmarkEnd w:id="4"/>
      <w:r w:rsidRPr="007C33AD">
        <w:rPr>
          <w:rFonts w:eastAsia="Times New Roman"/>
        </w:rPr>
        <w:t xml:space="preserve"> </w:t>
      </w:r>
    </w:p>
    <w:p w14:paraId="5FFDED0C" w14:textId="2CF6B573" w:rsidR="00F6644D" w:rsidRPr="00AF3034" w:rsidRDefault="00707D6E" w:rsidP="00AF3034">
      <w:pPr>
        <w:pStyle w:val="Paragraph"/>
      </w:pPr>
      <w:r w:rsidRPr="00AF3034">
        <w:t xml:space="preserve">El Sistema Interconectado Nacional (SIN) uruguayo cuenta con una capacidad instalada de generación de </w:t>
      </w:r>
      <w:r w:rsidR="00A67342" w:rsidRPr="00AF3034">
        <w:t>4.244</w:t>
      </w:r>
      <w:r w:rsidR="00A51B30">
        <w:t xml:space="preserve"> </w:t>
      </w:r>
      <w:r w:rsidR="00A67342" w:rsidRPr="00AF3034">
        <w:t>MW</w:t>
      </w:r>
      <w:r w:rsidR="009C0E93" w:rsidRPr="00AF3034">
        <w:t xml:space="preserve"> al año 2017</w:t>
      </w:r>
      <w:r w:rsidR="00A67342" w:rsidRPr="00AF3034">
        <w:t>.</w:t>
      </w:r>
      <w:r w:rsidR="00A51B30">
        <w:rPr>
          <w:rStyle w:val="FootnoteReference"/>
        </w:rPr>
        <w:footnoteReference w:id="1"/>
      </w:r>
      <w:r w:rsidR="00A67342" w:rsidRPr="00AF3034">
        <w:t xml:space="preserve"> </w:t>
      </w:r>
      <w:r w:rsidRPr="00AF3034">
        <w:t>El 36% de esta capacidad corresponde a potencia hidráulica, 34% eólica, 15% térmica, 5% Fotovoltaica (FV) y 10% a biomasa.</w:t>
      </w:r>
      <w:r w:rsidR="00087713">
        <w:rPr>
          <w:rStyle w:val="FootnoteReference"/>
        </w:rPr>
        <w:footnoteReference w:id="2"/>
      </w:r>
      <w:r w:rsidRPr="00AF3034">
        <w:t xml:space="preserve"> </w:t>
      </w:r>
      <w:r w:rsidR="005B76FC" w:rsidRPr="00AF3034">
        <w:t xml:space="preserve">La red de transmisión del país cuenta con aproximadamente 5.000km de líneas y se encuentra interconectado con los sistemas de Argentina </w:t>
      </w:r>
      <w:r w:rsidR="00A211E7" w:rsidRPr="00AF3034">
        <w:t xml:space="preserve">y Brasil. La interconexión del SIN con el Sistema Argentino de Interconexión (SADI) se realiza mediante dos líneas de 500kV con una capacidad de </w:t>
      </w:r>
      <w:r w:rsidR="00D45C2C" w:rsidRPr="00AF3034">
        <w:t>1</w:t>
      </w:r>
      <w:r w:rsidR="00A211E7" w:rsidRPr="00AF3034">
        <w:t>.</w:t>
      </w:r>
      <w:r w:rsidR="00D45C2C" w:rsidRPr="00AF3034">
        <w:t>890M</w:t>
      </w:r>
      <w:r w:rsidR="00A211E7" w:rsidRPr="00AF3034">
        <w:t xml:space="preserve">W que componen </w:t>
      </w:r>
      <w:r w:rsidR="009251A4" w:rsidRPr="00AF3034">
        <w:t>El C</w:t>
      </w:r>
      <w:r w:rsidR="00A211E7" w:rsidRPr="00AF3034">
        <w:t>uadrilátero de Salto Grande</w:t>
      </w:r>
      <w:r w:rsidR="00D45C2C" w:rsidRPr="00AF3034">
        <w:t xml:space="preserve"> (Salto Grande: 1890MW y Colonia Elía-San Javier: 1386MW)</w:t>
      </w:r>
      <w:r w:rsidR="00A211E7" w:rsidRPr="00AF3034">
        <w:t>.</w:t>
      </w:r>
      <w:r w:rsidR="00D45C2C" w:rsidRPr="00AF3034">
        <w:t xml:space="preserve"> Adicionalmente se encuentra en operación la línea Concepción-Paysandú (132/150kV) de 100MW.</w:t>
      </w:r>
      <w:r w:rsidR="008F6332">
        <w:rPr>
          <w:rStyle w:val="FootnoteReference"/>
        </w:rPr>
        <w:footnoteReference w:id="3"/>
      </w:r>
      <w:r w:rsidR="00D45C2C" w:rsidRPr="00AF3034">
        <w:t xml:space="preserve"> </w:t>
      </w:r>
      <w:r w:rsidR="00A211E7" w:rsidRPr="00AF3034">
        <w:t>El intercambio de energía entre el sistema uruguayo y el brasilero se realiza mediante dos conversoras de frecuencia</w:t>
      </w:r>
      <w:r w:rsidR="009251A4" w:rsidRPr="00AF3034">
        <w:t>, requeridas debido a las diferencias de frecuencias de ambos sistemas, siendo la de Brasil 60Hz y la de Uruguay 50Hz. L</w:t>
      </w:r>
      <w:r w:rsidR="00A211E7" w:rsidRPr="00AF3034">
        <w:t xml:space="preserve">a conversora situada en Santa Ana de Livramento </w:t>
      </w:r>
      <w:r w:rsidR="009251A4" w:rsidRPr="00AF3034">
        <w:t xml:space="preserve">cuenta con una capacidad de </w:t>
      </w:r>
      <w:r w:rsidR="00A211E7" w:rsidRPr="00AF3034">
        <w:t>70MW y la conversora de Melo</w:t>
      </w:r>
      <w:r w:rsidR="009251A4" w:rsidRPr="00AF3034">
        <w:t>, inaugurada en el año 2017, cuenta con una capacidad</w:t>
      </w:r>
      <w:r w:rsidR="00A211E7" w:rsidRPr="00AF3034">
        <w:t xml:space="preserve"> de 500MW. </w:t>
      </w:r>
      <w:r w:rsidR="00A51B30">
        <w:rPr>
          <w:rStyle w:val="FootnoteReference"/>
        </w:rPr>
        <w:footnoteReference w:id="4"/>
      </w:r>
      <w:r w:rsidR="002C62D5" w:rsidRPr="00AF3034">
        <w:t xml:space="preserve">La reciente puesta en marcha de la conversora Melo, ha permitido aumentar considerablemente el flujo de energía con Brasil. </w:t>
      </w:r>
      <w:r w:rsidR="008C1AB3">
        <w:t>(Ver</w:t>
      </w:r>
      <w:r w:rsidR="002B40FD">
        <w:t xml:space="preserve"> </w:t>
      </w:r>
      <w:r w:rsidR="002B40FD">
        <w:fldChar w:fldCharType="begin"/>
      </w:r>
      <w:r w:rsidR="002B40FD">
        <w:instrText xml:space="preserve"> REF _Ref521937171 \r \h </w:instrText>
      </w:r>
      <w:r w:rsidR="002B40FD">
        <w:fldChar w:fldCharType="separate"/>
      </w:r>
      <w:r w:rsidR="002B40FD">
        <w:t>Figura 1</w:t>
      </w:r>
      <w:r w:rsidR="002B40FD">
        <w:fldChar w:fldCharType="end"/>
      </w:r>
      <w:r w:rsidR="008C1AB3">
        <w:t>)</w:t>
      </w:r>
    </w:p>
    <w:p w14:paraId="528A70C0" w14:textId="78D3C5D1" w:rsidR="00640AD1" w:rsidRDefault="1AE7B4AB" w:rsidP="00E00CC1">
      <w:pPr>
        <w:pStyle w:val="Paragraph"/>
        <w:tabs>
          <w:tab w:val="num" w:pos="720"/>
        </w:tabs>
        <w:rPr>
          <w:rFonts w:cs="Arial"/>
        </w:rPr>
      </w:pPr>
      <w:r w:rsidRPr="1AE7B4AB">
        <w:rPr>
          <w:rFonts w:cs="Arial"/>
        </w:rPr>
        <w:t>Durante el periodo 2013-2017 la demanda de electricidad creció 1,3% en promedio anual alcanzando 10.784 GWh en 2017, con un máximo de potencia de 1.916 MW en dicho año. La generación de electricidad en 2017 ascendió a 13.803-GWh, correspondiente principalmente a Energía Renovable (ER) (58% hidráulica; 31% eólica; 2% solar; 7% biomasa) y el restante a energía térmica.</w:t>
      </w:r>
      <w:r w:rsidR="008F6332">
        <w:rPr>
          <w:rStyle w:val="FootnoteReference"/>
          <w:rFonts w:cs="Arial"/>
        </w:rPr>
        <w:footnoteReference w:id="5"/>
      </w:r>
    </w:p>
    <w:p w14:paraId="43E9DB08" w14:textId="77777777" w:rsidR="005D7870" w:rsidRPr="00F37F3D" w:rsidRDefault="005D7870" w:rsidP="00E00CC1">
      <w:pPr>
        <w:pStyle w:val="Paragraph"/>
        <w:tabs>
          <w:tab w:val="num" w:pos="720"/>
        </w:tabs>
        <w:rPr>
          <w:rFonts w:cs="Arial"/>
        </w:rPr>
      </w:pPr>
    </w:p>
    <w:p w14:paraId="2339C7F0" w14:textId="6CC325F4" w:rsidR="00640AD1" w:rsidRPr="00F37F3D" w:rsidRDefault="005D7870" w:rsidP="00640AD1">
      <w:pPr>
        <w:pStyle w:val="Paragraph"/>
        <w:numPr>
          <w:ilvl w:val="0"/>
          <w:numId w:val="0"/>
        </w:numPr>
        <w:ind w:left="720"/>
        <w:rPr>
          <w:rFonts w:cs="Arial"/>
          <w:szCs w:val="22"/>
        </w:rPr>
      </w:pPr>
      <w:r>
        <w:rPr>
          <w:rFonts w:cs="Arial"/>
          <w:noProof/>
          <w:szCs w:val="22"/>
        </w:rPr>
        <w:drawing>
          <wp:inline distT="0" distB="0" distL="0" distR="0" wp14:anchorId="1EB1BE74" wp14:editId="09A08D60">
            <wp:extent cx="6172200" cy="3798277"/>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76221" cy="3800751"/>
                    </a:xfrm>
                    <a:prstGeom prst="rect">
                      <a:avLst/>
                    </a:prstGeom>
                    <a:noFill/>
                    <a:ln>
                      <a:noFill/>
                    </a:ln>
                  </pic:spPr>
                </pic:pic>
              </a:graphicData>
            </a:graphic>
          </wp:inline>
        </w:drawing>
      </w:r>
    </w:p>
    <w:p w14:paraId="7D615EC1" w14:textId="3F2FE5F6" w:rsidR="00640AD1" w:rsidRPr="00F37F3D" w:rsidRDefault="005D7870" w:rsidP="008C1AB3">
      <w:pPr>
        <w:pStyle w:val="Figure"/>
      </w:pPr>
      <w:bookmarkStart w:id="6" w:name="_Ref521937171"/>
      <w:r>
        <w:t xml:space="preserve">Esquema gráfico </w:t>
      </w:r>
      <w:r w:rsidR="008C1AB3">
        <w:t xml:space="preserve">Sistema Interconectado Nacional Uruguayo. </w:t>
      </w:r>
      <w:r w:rsidR="00640AD1" w:rsidRPr="00F37F3D">
        <w:t xml:space="preserve">Fuente: </w:t>
      </w:r>
      <w:r w:rsidR="008C1AB3">
        <w:t>CAMMESA.</w:t>
      </w:r>
      <w:bookmarkEnd w:id="6"/>
    </w:p>
    <w:p w14:paraId="6F54A95A" w14:textId="77777777" w:rsidR="008C1AB3" w:rsidRDefault="008C1AB3" w:rsidP="008C1AB3">
      <w:pPr>
        <w:pStyle w:val="Paragraph"/>
        <w:numPr>
          <w:ilvl w:val="0"/>
          <w:numId w:val="0"/>
        </w:numPr>
        <w:tabs>
          <w:tab w:val="num" w:pos="1800"/>
        </w:tabs>
        <w:ind w:left="720"/>
        <w:rPr>
          <w:rFonts w:cs="Arial"/>
          <w:szCs w:val="22"/>
        </w:rPr>
      </w:pPr>
    </w:p>
    <w:p w14:paraId="7AD97CF7" w14:textId="434572BB" w:rsidR="009C0E93" w:rsidRPr="009C0E93" w:rsidRDefault="00D05CCC" w:rsidP="00E00CC1">
      <w:pPr>
        <w:pStyle w:val="Paragraph"/>
        <w:tabs>
          <w:tab w:val="num" w:pos="720"/>
        </w:tabs>
        <w:rPr>
          <w:rFonts w:cs="Arial"/>
        </w:rPr>
      </w:pPr>
      <w:r w:rsidRPr="1AE7B4AB">
        <w:rPr>
          <w:rFonts w:cs="Arial"/>
        </w:rPr>
        <w:t>La matriz energética del país ha cambiado considerablemente en l</w:t>
      </w:r>
      <w:r w:rsidR="00137E54" w:rsidRPr="1AE7B4AB">
        <w:rPr>
          <w:rFonts w:cs="Arial"/>
        </w:rPr>
        <w:t xml:space="preserve">a última década. </w:t>
      </w:r>
      <w:r w:rsidR="00773964" w:rsidRPr="1AE7B4AB">
        <w:rPr>
          <w:rFonts w:cs="Arial"/>
        </w:rPr>
        <w:t xml:space="preserve">Hasta el 2007 </w:t>
      </w:r>
      <w:r w:rsidR="00B800B9" w:rsidRPr="1AE7B4AB">
        <w:rPr>
          <w:rFonts w:cs="Arial"/>
        </w:rPr>
        <w:t>la matriz estaba compuesta principalmente por centrales hidroeléctricas y centrales térmicas a base de combustibles fósiles</w:t>
      </w:r>
      <w:r w:rsidR="00317AC5" w:rsidRPr="1AE7B4AB">
        <w:rPr>
          <w:rFonts w:cs="Arial"/>
        </w:rPr>
        <w:t xml:space="preserve">, lo que generaba </w:t>
      </w:r>
      <w:r w:rsidR="00B800B9" w:rsidRPr="1AE7B4AB">
        <w:rPr>
          <w:rFonts w:cs="Arial"/>
        </w:rPr>
        <w:t xml:space="preserve">alta dependencia de la </w:t>
      </w:r>
      <w:proofErr w:type="spellStart"/>
      <w:r w:rsidR="00B800B9" w:rsidRPr="1AE7B4AB">
        <w:rPr>
          <w:rFonts w:cs="Arial"/>
        </w:rPr>
        <w:t>hidraulicidad</w:t>
      </w:r>
      <w:proofErr w:type="spellEnd"/>
      <w:r w:rsidR="0014453B" w:rsidRPr="1AE7B4AB">
        <w:rPr>
          <w:rFonts w:cs="Arial"/>
        </w:rPr>
        <w:t xml:space="preserve">, de los intercambios de electricidad con los países vecinos </w:t>
      </w:r>
      <w:r w:rsidR="008C0602" w:rsidRPr="1AE7B4AB">
        <w:rPr>
          <w:rFonts w:cs="Arial"/>
        </w:rPr>
        <w:t xml:space="preserve">y de la importación de </w:t>
      </w:r>
      <w:r w:rsidR="00317AC5" w:rsidRPr="1AE7B4AB">
        <w:rPr>
          <w:rFonts w:cs="Arial"/>
        </w:rPr>
        <w:t>combustibles</w:t>
      </w:r>
      <w:r w:rsidR="00A928D4" w:rsidRPr="1AE7B4AB">
        <w:rPr>
          <w:rFonts w:cs="Arial"/>
        </w:rPr>
        <w:t xml:space="preserve"> derivados del petróleo</w:t>
      </w:r>
      <w:r w:rsidR="00317AC5" w:rsidRPr="1AE7B4AB">
        <w:rPr>
          <w:rFonts w:cs="Arial"/>
        </w:rPr>
        <w:t xml:space="preserve">. </w:t>
      </w:r>
      <w:r w:rsidR="00A928D4" w:rsidRPr="1AE7B4AB">
        <w:rPr>
          <w:rFonts w:cs="Arial"/>
        </w:rPr>
        <w:t xml:space="preserve">Las restricciones de importación de energía eléctrica desde Argentina como consecuencia de la crisis energética de dicho país en 2004 afectaron fuertemente al sector energético </w:t>
      </w:r>
      <w:r w:rsidR="005D7195" w:rsidRPr="1AE7B4AB">
        <w:rPr>
          <w:rFonts w:cs="Arial"/>
        </w:rPr>
        <w:t>uruguayo</w:t>
      </w:r>
      <w:r w:rsidR="00A928D4" w:rsidRPr="1AE7B4AB">
        <w:rPr>
          <w:rFonts w:cs="Arial"/>
        </w:rPr>
        <w:t>. Esta situación impulsó la búsqueda de alternativas de generación. C</w:t>
      </w:r>
      <w:r w:rsidR="0014453B" w:rsidRPr="1AE7B4AB">
        <w:rPr>
          <w:rFonts w:cs="Arial"/>
        </w:rPr>
        <w:t>omo se puede apreciar en la</w:t>
      </w:r>
      <w:r w:rsidR="002B40FD" w:rsidRPr="1AE7B4AB">
        <w:rPr>
          <w:rFonts w:cs="Arial"/>
        </w:rPr>
        <w:t xml:space="preserve"> </w:t>
      </w:r>
      <w:r w:rsidR="002B40FD" w:rsidRPr="1AE7B4AB">
        <w:fldChar w:fldCharType="begin"/>
      </w:r>
      <w:r w:rsidR="002B40FD">
        <w:rPr>
          <w:rFonts w:cs="Arial"/>
          <w:szCs w:val="22"/>
        </w:rPr>
        <w:instrText xml:space="preserve"> REF _Ref521937160 \r \h </w:instrText>
      </w:r>
      <w:r w:rsidR="002B40FD" w:rsidRPr="1AE7B4AB">
        <w:rPr>
          <w:rFonts w:cs="Arial"/>
          <w:szCs w:val="22"/>
        </w:rPr>
        <w:fldChar w:fldCharType="separate"/>
      </w:r>
      <w:r w:rsidR="002B40FD" w:rsidRPr="1AE7B4AB">
        <w:rPr>
          <w:rFonts w:cs="Arial"/>
        </w:rPr>
        <w:t>Figura 2</w:t>
      </w:r>
      <w:r w:rsidR="002B40FD" w:rsidRPr="1AE7B4AB">
        <w:fldChar w:fldCharType="end"/>
      </w:r>
      <w:r w:rsidR="0014453B" w:rsidRPr="1AE7B4AB">
        <w:rPr>
          <w:rFonts w:cs="Arial"/>
        </w:rPr>
        <w:t>, a</w:t>
      </w:r>
      <w:r w:rsidR="00B800B9" w:rsidRPr="1AE7B4AB">
        <w:rPr>
          <w:rFonts w:cs="Arial"/>
        </w:rPr>
        <w:t xml:space="preserve"> partir del </w:t>
      </w:r>
      <w:r w:rsidR="0014453B" w:rsidRPr="1AE7B4AB">
        <w:rPr>
          <w:rFonts w:cs="Arial"/>
        </w:rPr>
        <w:t xml:space="preserve">año </w:t>
      </w:r>
      <w:r w:rsidR="00B800B9" w:rsidRPr="1AE7B4AB">
        <w:rPr>
          <w:rFonts w:cs="Arial"/>
        </w:rPr>
        <w:t xml:space="preserve">2007 se comienza a incorporar una mayor proporción de biomasa a la matriz y </w:t>
      </w:r>
      <w:r w:rsidR="0014453B" w:rsidRPr="1AE7B4AB">
        <w:rPr>
          <w:rFonts w:cs="Arial"/>
        </w:rPr>
        <w:t>en</w:t>
      </w:r>
      <w:r w:rsidR="00B800B9" w:rsidRPr="1AE7B4AB">
        <w:rPr>
          <w:rFonts w:cs="Arial"/>
        </w:rPr>
        <w:t xml:space="preserve"> 200</w:t>
      </w:r>
      <w:r w:rsidR="0014453B" w:rsidRPr="1AE7B4AB">
        <w:rPr>
          <w:rFonts w:cs="Arial"/>
        </w:rPr>
        <w:t>9</w:t>
      </w:r>
      <w:r w:rsidR="00B800B9" w:rsidRPr="1AE7B4AB">
        <w:rPr>
          <w:rFonts w:cs="Arial"/>
        </w:rPr>
        <w:t xml:space="preserve"> </w:t>
      </w:r>
      <w:r w:rsidR="0014453B" w:rsidRPr="1AE7B4AB">
        <w:rPr>
          <w:rFonts w:cs="Arial"/>
        </w:rPr>
        <w:t xml:space="preserve">comienza a operar el primer </w:t>
      </w:r>
      <w:r w:rsidR="00B800B9" w:rsidRPr="1AE7B4AB">
        <w:rPr>
          <w:rFonts w:cs="Arial"/>
        </w:rPr>
        <w:t>parque eólico</w:t>
      </w:r>
      <w:r w:rsidR="0014453B" w:rsidRPr="1AE7B4AB">
        <w:rPr>
          <w:rFonts w:cs="Arial"/>
        </w:rPr>
        <w:t xml:space="preserve"> del país</w:t>
      </w:r>
      <w:r w:rsidR="00B800B9" w:rsidRPr="1AE7B4AB">
        <w:rPr>
          <w:rFonts w:cs="Arial"/>
        </w:rPr>
        <w:t>.</w:t>
      </w:r>
      <w:r w:rsidR="0014453B" w:rsidRPr="1AE7B4AB">
        <w:rPr>
          <w:rFonts w:cs="Arial"/>
        </w:rPr>
        <w:t xml:space="preserve"> </w:t>
      </w:r>
      <w:r w:rsidR="00A928D4" w:rsidRPr="1AE7B4AB">
        <w:rPr>
          <w:rFonts w:cs="Arial"/>
        </w:rPr>
        <w:t xml:space="preserve">Para 2014 la diversificación de la matriz energética </w:t>
      </w:r>
      <w:r w:rsidR="004617BC" w:rsidRPr="1AE7B4AB">
        <w:rPr>
          <w:rFonts w:cs="Arial"/>
        </w:rPr>
        <w:t>u</w:t>
      </w:r>
      <w:r w:rsidR="00A928D4" w:rsidRPr="1AE7B4AB">
        <w:rPr>
          <w:rFonts w:cs="Arial"/>
        </w:rPr>
        <w:t>ruguaya había tenido un avance</w:t>
      </w:r>
      <w:r w:rsidR="005E1837" w:rsidRPr="1AE7B4AB">
        <w:rPr>
          <w:rFonts w:cs="Arial"/>
        </w:rPr>
        <w:t xml:space="preserve"> considerable</w:t>
      </w:r>
      <w:r w:rsidR="00A928D4" w:rsidRPr="1AE7B4AB">
        <w:rPr>
          <w:rFonts w:cs="Arial"/>
        </w:rPr>
        <w:t xml:space="preserve">, </w:t>
      </w:r>
      <w:r w:rsidR="005E1837" w:rsidRPr="1AE7B4AB">
        <w:rPr>
          <w:rFonts w:cs="Arial"/>
        </w:rPr>
        <w:t xml:space="preserve">con la incorporación de más de 400MW </w:t>
      </w:r>
      <w:r w:rsidR="00592831" w:rsidRPr="1AE7B4AB">
        <w:rPr>
          <w:rFonts w:cs="Arial"/>
        </w:rPr>
        <w:t xml:space="preserve">de eólica </w:t>
      </w:r>
      <w:r w:rsidR="005E1837" w:rsidRPr="1AE7B4AB">
        <w:rPr>
          <w:rFonts w:cs="Arial"/>
        </w:rPr>
        <w:t xml:space="preserve">y de 240MW de plantas térmicas </w:t>
      </w:r>
      <w:r w:rsidR="00592831" w:rsidRPr="1AE7B4AB">
        <w:rPr>
          <w:rFonts w:cs="Arial"/>
        </w:rPr>
        <w:t>a biomasa</w:t>
      </w:r>
      <w:r w:rsidR="005E1837" w:rsidRPr="1AE7B4AB">
        <w:rPr>
          <w:rFonts w:cs="Arial"/>
        </w:rPr>
        <w:t>.</w:t>
      </w:r>
      <w:r w:rsidR="0014453B" w:rsidRPr="1AE7B4AB">
        <w:rPr>
          <w:rFonts w:cs="Arial"/>
        </w:rPr>
        <w:t xml:space="preserve"> </w:t>
      </w:r>
      <w:r w:rsidR="009C0E93" w:rsidRPr="1AE7B4AB">
        <w:rPr>
          <w:rFonts w:cs="Arial"/>
        </w:rPr>
        <w:t xml:space="preserve">En el año 2017 la potencia total de energías renovables ascendió al 85% del total instalado, siendo 39% de características intermitentes. </w:t>
      </w:r>
    </w:p>
    <w:p w14:paraId="3B915644" w14:textId="6CF170E3" w:rsidR="00640AD1" w:rsidRDefault="00087713" w:rsidP="00087713">
      <w:pPr>
        <w:pStyle w:val="Paragraph"/>
        <w:numPr>
          <w:ilvl w:val="0"/>
          <w:numId w:val="0"/>
        </w:numPr>
        <w:tabs>
          <w:tab w:val="num" w:pos="720"/>
        </w:tabs>
        <w:ind w:left="720"/>
        <w:jc w:val="center"/>
        <w:rPr>
          <w:rFonts w:cs="Arial"/>
          <w:szCs w:val="22"/>
        </w:rPr>
      </w:pPr>
      <w:r>
        <w:rPr>
          <w:noProof/>
        </w:rPr>
        <w:drawing>
          <wp:inline distT="0" distB="0" distL="0" distR="0" wp14:anchorId="0584A682" wp14:editId="38EBD2A1">
            <wp:extent cx="4653170" cy="2945461"/>
            <wp:effectExtent l="0" t="0" r="14605" b="7620"/>
            <wp:docPr id="3" name="Chart 3">
              <a:extLst xmlns:a="http://schemas.openxmlformats.org/drawingml/2006/main">
                <a:ext uri="{FF2B5EF4-FFF2-40B4-BE49-F238E27FC236}">
                  <a16:creationId xmlns:a16="http://schemas.microsoft.com/office/drawing/2014/main" id="{9FD20C35-9D63-4110-9F1A-97D9108027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60B5960" w14:textId="5CA3186F" w:rsidR="0014453B" w:rsidRPr="00F37F3D" w:rsidRDefault="008C1AB3" w:rsidP="008C1AB3">
      <w:pPr>
        <w:pStyle w:val="Figure"/>
        <w:jc w:val="both"/>
      </w:pPr>
      <w:bookmarkStart w:id="7" w:name="_Ref521937160"/>
      <w:r>
        <w:t>Histórico de</w:t>
      </w:r>
      <w:r w:rsidR="009C0E93">
        <w:t xml:space="preserve"> </w:t>
      </w:r>
      <w:r>
        <w:t>g</w:t>
      </w:r>
      <w:r w:rsidR="009C0E93">
        <w:t xml:space="preserve">eneración </w:t>
      </w:r>
      <w:r>
        <w:t xml:space="preserve">total de energía eléctrica en Uruguay </w:t>
      </w:r>
      <w:r w:rsidR="009C0E93">
        <w:t xml:space="preserve">por </w:t>
      </w:r>
      <w:r>
        <w:t>f</w:t>
      </w:r>
      <w:r w:rsidR="009C0E93">
        <w:t>uente</w:t>
      </w:r>
      <w:bookmarkEnd w:id="7"/>
      <w:r w:rsidR="00087713">
        <w:t>. Elaborado en base a información del Balance Energético Nacional, Ministerio de Industria, Energía y Minería, Uruguay.</w:t>
      </w:r>
    </w:p>
    <w:bookmarkEnd w:id="5"/>
    <w:p w14:paraId="6088946D" w14:textId="37BB3B6F" w:rsidR="00A67342" w:rsidRDefault="00A67342" w:rsidP="00A67342">
      <w:pPr>
        <w:pStyle w:val="Chapter"/>
        <w:numPr>
          <w:ilvl w:val="0"/>
          <w:numId w:val="0"/>
        </w:numPr>
        <w:jc w:val="left"/>
      </w:pPr>
    </w:p>
    <w:p w14:paraId="1537FE4B" w14:textId="77777777" w:rsidR="007C33AD" w:rsidRDefault="00F37F3D" w:rsidP="007C33AD">
      <w:pPr>
        <w:pStyle w:val="Heading1"/>
        <w:rPr>
          <w:rFonts w:cs="Arial"/>
          <w:szCs w:val="22"/>
        </w:rPr>
      </w:pPr>
      <w:bookmarkStart w:id="8" w:name="_Toc519707954"/>
      <w:r w:rsidRPr="007C33AD">
        <w:t xml:space="preserve">Sector </w:t>
      </w:r>
      <w:proofErr w:type="spellStart"/>
      <w:r w:rsidRPr="007C33AD">
        <w:t>Eléctrico</w:t>
      </w:r>
      <w:proofErr w:type="spellEnd"/>
      <w:r w:rsidRPr="007C33AD">
        <w:t xml:space="preserve"> </w:t>
      </w:r>
      <w:proofErr w:type="spellStart"/>
      <w:r w:rsidRPr="007C33AD">
        <w:t>Argentino</w:t>
      </w:r>
      <w:proofErr w:type="spellEnd"/>
      <w:r w:rsidRPr="007C33AD">
        <w:t>.</w:t>
      </w:r>
      <w:bookmarkEnd w:id="8"/>
      <w:r w:rsidRPr="00D45C2C">
        <w:rPr>
          <w:rFonts w:cs="Arial"/>
          <w:szCs w:val="22"/>
        </w:rPr>
        <w:t xml:space="preserve"> </w:t>
      </w:r>
    </w:p>
    <w:p w14:paraId="40D4BBA1" w14:textId="69E0BD2F" w:rsidR="00267375" w:rsidRPr="00D45C2C" w:rsidRDefault="00267375" w:rsidP="008F6332">
      <w:pPr>
        <w:pStyle w:val="Paragraph"/>
      </w:pPr>
      <w:r w:rsidRPr="1AE7B4AB">
        <w:t>El Sistema Argentino de Interconexión (SADI) cuenta con una capacidad instalada de generación de 36.150</w:t>
      </w:r>
      <w:r w:rsidR="008C1AB3" w:rsidRPr="1AE7B4AB">
        <w:t xml:space="preserve"> </w:t>
      </w:r>
      <w:r w:rsidRPr="1AE7B4AB">
        <w:t>MW. El 30% de esta capacidad corresponde a potencia hidráulica, 29% a ciclos combinados, 17% a turbinas de gas, 12% turbinas de vapor, 5% nuclear, y el 2% restante a Energías Renovables No Convencionales.</w:t>
      </w:r>
      <w:r w:rsidR="008F6332">
        <w:rPr>
          <w:rStyle w:val="FootnoteReference"/>
          <w:rFonts w:cs="Arial"/>
        </w:rPr>
        <w:footnoteReference w:id="6"/>
      </w:r>
      <w:r w:rsidRPr="1AE7B4AB">
        <w:t xml:space="preserve"> </w:t>
      </w:r>
      <w:r w:rsidR="0002335E" w:rsidRPr="1AE7B4AB">
        <w:t xml:space="preserve">El </w:t>
      </w:r>
      <w:r w:rsidR="008C1AB3" w:rsidRPr="1AE7B4AB">
        <w:t>SADI</w:t>
      </w:r>
      <w:r w:rsidR="0002335E" w:rsidRPr="1AE7B4AB">
        <w:t xml:space="preserve"> se caracteriza por abarcar extensas superficies y requerir transmisión en largas distancias. </w:t>
      </w:r>
      <w:r w:rsidRPr="1AE7B4AB">
        <w:t xml:space="preserve">La red de transmisión del país cuenta con más de </w:t>
      </w:r>
      <w:r w:rsidR="008F6332" w:rsidRPr="008F6332">
        <w:rPr>
          <w:rFonts w:cs="Arial"/>
        </w:rPr>
        <w:t>34.313</w:t>
      </w:r>
      <w:r w:rsidRPr="1AE7B4AB">
        <w:t>km de líneas y se encuentra interconectado con los sistemas de Uruguay, Brasil</w:t>
      </w:r>
      <w:r w:rsidR="0002335E" w:rsidRPr="1AE7B4AB">
        <w:t>, Chile y Paraguay.</w:t>
      </w:r>
      <w:r w:rsidR="008F6332">
        <w:rPr>
          <w:rStyle w:val="FootnoteReference"/>
        </w:rPr>
        <w:footnoteReference w:id="7"/>
      </w:r>
      <w:r w:rsidR="0002335E" w:rsidRPr="1AE7B4AB">
        <w:t xml:space="preserve"> Argentina se conecta con </w:t>
      </w:r>
      <w:r w:rsidR="00D45C2C" w:rsidRPr="1AE7B4AB">
        <w:t>Uruguay por medio del Cuadrilátero de Salto</w:t>
      </w:r>
      <w:r w:rsidR="004617BC" w:rsidRPr="1AE7B4AB">
        <w:t xml:space="preserve"> Grande</w:t>
      </w:r>
      <w:r w:rsidR="00D45C2C" w:rsidRPr="1AE7B4AB">
        <w:t xml:space="preserve"> y la línea Concepción-Paysandú tal como se mencionó anteriormente. La conexión con </w:t>
      </w:r>
      <w:r w:rsidR="0002335E" w:rsidRPr="1AE7B4AB">
        <w:t xml:space="preserve">Paraguay </w:t>
      </w:r>
      <w:r w:rsidR="00D45C2C" w:rsidRPr="1AE7B4AB">
        <w:t>se realiza a</w:t>
      </w:r>
      <w:r w:rsidR="0002335E" w:rsidRPr="1AE7B4AB">
        <w:t xml:space="preserve"> través de la central </w:t>
      </w:r>
      <w:r w:rsidR="00D45C2C" w:rsidRPr="1AE7B4AB">
        <w:t>Hidr</w:t>
      </w:r>
      <w:r w:rsidR="0002335E" w:rsidRPr="1AE7B4AB">
        <w:t xml:space="preserve">oeléctrica </w:t>
      </w:r>
      <w:proofErr w:type="spellStart"/>
      <w:r w:rsidR="0002335E" w:rsidRPr="1AE7B4AB">
        <w:t>Yacyretá</w:t>
      </w:r>
      <w:proofErr w:type="spellEnd"/>
      <w:r w:rsidR="0002335E" w:rsidRPr="1AE7B4AB">
        <w:t xml:space="preserve"> </w:t>
      </w:r>
      <w:r w:rsidR="00AF4582" w:rsidRPr="1AE7B4AB">
        <w:t>(</w:t>
      </w:r>
      <w:r w:rsidR="00D45C2C" w:rsidRPr="1AE7B4AB">
        <w:t>500kV, 3000MW), Colorida-Guarambaré (220/132kV, 80MW) y El Dorado (220/132kV, 30MW). Con Brasil la interconexión a través de conversoras de frecuencia se realiza en Paso de los Libres-</w:t>
      </w:r>
      <w:proofErr w:type="spellStart"/>
      <w:r w:rsidR="00D45C2C" w:rsidRPr="1AE7B4AB">
        <w:t>Uruguayana</w:t>
      </w:r>
      <w:proofErr w:type="spellEnd"/>
      <w:r w:rsidR="00D45C2C" w:rsidRPr="1AE7B4AB">
        <w:t xml:space="preserve"> (132/230kV, 50MW) y Rincón de Santa María-</w:t>
      </w:r>
      <w:proofErr w:type="spellStart"/>
      <w:r w:rsidR="00D45C2C" w:rsidRPr="1AE7B4AB">
        <w:t>Garabí</w:t>
      </w:r>
      <w:proofErr w:type="spellEnd"/>
      <w:r w:rsidR="00D45C2C" w:rsidRPr="1AE7B4AB">
        <w:t xml:space="preserve"> (500kV,2100MW).</w:t>
      </w:r>
      <w:r w:rsidR="008C1AB3" w:rsidRPr="1AE7B4AB">
        <w:t xml:space="preserve"> La </w:t>
      </w:r>
      <w:r w:rsidR="002B40FD" w:rsidRPr="1AE7B4AB">
        <w:fldChar w:fldCharType="begin"/>
      </w:r>
      <w:r w:rsidR="002B40FD">
        <w:rPr>
          <w:szCs w:val="22"/>
        </w:rPr>
        <w:instrText xml:space="preserve"> REF _Ref521937141 \r \h </w:instrText>
      </w:r>
      <w:r w:rsidR="002B40FD" w:rsidRPr="1AE7B4AB">
        <w:rPr>
          <w:szCs w:val="22"/>
        </w:rPr>
        <w:fldChar w:fldCharType="separate"/>
      </w:r>
      <w:r w:rsidR="002B40FD" w:rsidRPr="1AE7B4AB">
        <w:t>Figura 3</w:t>
      </w:r>
      <w:r w:rsidR="002B40FD" w:rsidRPr="1AE7B4AB">
        <w:fldChar w:fldCharType="end"/>
      </w:r>
      <w:r w:rsidR="002B40FD" w:rsidRPr="1AE7B4AB">
        <w:t xml:space="preserve"> </w:t>
      </w:r>
      <w:r w:rsidR="008C1AB3" w:rsidRPr="1AE7B4AB">
        <w:t xml:space="preserve">muestra los flujos de energía intercambiada por año y por país. </w:t>
      </w:r>
    </w:p>
    <w:p w14:paraId="4545B982" w14:textId="2B4BB083" w:rsidR="00083450" w:rsidRPr="00083450" w:rsidRDefault="00F37F3D" w:rsidP="002A63EC">
      <w:pPr>
        <w:pStyle w:val="Paragraph"/>
        <w:tabs>
          <w:tab w:val="num" w:pos="720"/>
        </w:tabs>
        <w:rPr>
          <w:rFonts w:cs="Arial"/>
        </w:rPr>
      </w:pPr>
      <w:r w:rsidRPr="1AE7B4AB">
        <w:rPr>
          <w:rFonts w:cs="Arial"/>
        </w:rPr>
        <w:t xml:space="preserve">Durante el periodo 2013-2017 la demanda de energía </w:t>
      </w:r>
      <w:r w:rsidR="005D7195" w:rsidRPr="1AE7B4AB">
        <w:rPr>
          <w:rFonts w:cs="Arial"/>
        </w:rPr>
        <w:t xml:space="preserve">eléctrica </w:t>
      </w:r>
      <w:r w:rsidRPr="1AE7B4AB">
        <w:rPr>
          <w:rFonts w:cs="Arial"/>
        </w:rPr>
        <w:t>creció en promedio 1,8% anual, alcanzando 132.426 Gigavatios-hora (GWh) y una potencia máxima de 25.628 MW en 2017.</w:t>
      </w:r>
      <w:r w:rsidR="00EA3E89">
        <w:rPr>
          <w:rStyle w:val="FootnoteReference"/>
          <w:rFonts w:cs="Arial"/>
        </w:rPr>
        <w:footnoteReference w:id="8"/>
      </w:r>
      <w:r w:rsidRPr="1AE7B4AB">
        <w:rPr>
          <w:rFonts w:cs="Arial"/>
        </w:rPr>
        <w:t xml:space="preserve"> La generación eléctrica en 2017 ascendió a 136.466</w:t>
      </w:r>
      <w:r w:rsidR="00EF4CC1">
        <w:rPr>
          <w:rFonts w:cs="Arial"/>
        </w:rPr>
        <w:t xml:space="preserve"> </w:t>
      </w:r>
      <w:r w:rsidRPr="1AE7B4AB">
        <w:rPr>
          <w:rFonts w:cs="Arial"/>
        </w:rPr>
        <w:t>GWh, correspondiente a 65% de energía térmica (principalmente gas natural 55%), 29% hidráulica, 4% nuclear y 2% de Energía Renovable No Convencional (ERNC)</w:t>
      </w:r>
      <w:r w:rsidRPr="1AE7B4AB">
        <w:rPr>
          <w:rFonts w:cs="Arial"/>
          <w:vertAlign w:val="superscript"/>
        </w:rPr>
        <w:footnoteReference w:id="9"/>
      </w:r>
      <w:r w:rsidRPr="1AE7B4AB">
        <w:rPr>
          <w:rFonts w:cs="Arial"/>
        </w:rPr>
        <w:t xml:space="preserve">. </w:t>
      </w:r>
      <w:r w:rsidR="00083450" w:rsidRPr="1AE7B4AB">
        <w:rPr>
          <w:rFonts w:cs="Arial"/>
        </w:rPr>
        <w:t xml:space="preserve">En el marco de sus Contribuciones Determinadas a Nivel Nacional (NDC, por sus siglas en inglés), Argentina ha propuesto metas de reducción de emisiones de Gases de Efecto Invernadero (GEI) que incluyen un Plan Nacional de Energía y Cambio Climático con medidas específicas en materia de eficiencia energética (EE) y ER. Como parte de los objetivos de desarrollo sostenible la Presidencia de la Nación ha establecido las metas de incrementar el porcentaje de energías renovables en el consumo total de energía al 10,9% y 16,35% para los años 2019 y 2030 respectivamente tomando como línea de base el año 2016, donde un 10,3% de la energía consumida en el país provenía de fuentes renovables. En el año 2015 se promulgó la Ley </w:t>
      </w:r>
      <w:proofErr w:type="spellStart"/>
      <w:r w:rsidR="00083450" w:rsidRPr="1AE7B4AB">
        <w:rPr>
          <w:rFonts w:cs="Arial"/>
        </w:rPr>
        <w:t>Nº</w:t>
      </w:r>
      <w:proofErr w:type="spellEnd"/>
      <w:r w:rsidR="00083450" w:rsidRPr="1AE7B4AB">
        <w:rPr>
          <w:rFonts w:cs="Arial"/>
        </w:rPr>
        <w:t xml:space="preserve"> 27.191 que establece el “Régimen de Fomento Nacional para el uso de Fuentes Renovables de Energía destinada a la Producción de Energía Eléctrica”. Esta ley, establece metas para la participación de las ER a corto, mediano y largo plazo en la matriz energética. El objetivo es alcanzar el 20% de participación de las energías renovables en la demanda de energía eléctrica para 2025. Como primer paso para dar cumplimiento a la ley de energías renovables, en mayo de 2016 se lanzó el Programa “</w:t>
      </w:r>
      <w:proofErr w:type="spellStart"/>
      <w:r w:rsidR="00083450" w:rsidRPr="1AE7B4AB">
        <w:rPr>
          <w:rFonts w:cs="Arial"/>
        </w:rPr>
        <w:t>RenovAr</w:t>
      </w:r>
      <w:proofErr w:type="spellEnd"/>
      <w:r w:rsidR="00083450" w:rsidRPr="1AE7B4AB">
        <w:rPr>
          <w:rFonts w:cs="Arial"/>
        </w:rPr>
        <w:t xml:space="preserve">” con una convocatoria abierta para la celebración de contratos de abastecimiento de energía eléctrica a partir de fuentes renovables conectadas a la red. En el 2016, como resultado de las rondas </w:t>
      </w:r>
      <w:proofErr w:type="spellStart"/>
      <w:r w:rsidR="00083450" w:rsidRPr="1AE7B4AB">
        <w:rPr>
          <w:rFonts w:cs="Arial"/>
        </w:rPr>
        <w:t>RenovAr</w:t>
      </w:r>
      <w:proofErr w:type="spellEnd"/>
      <w:r w:rsidR="00083450" w:rsidRPr="1AE7B4AB">
        <w:rPr>
          <w:rFonts w:cs="Arial"/>
        </w:rPr>
        <w:t xml:space="preserve"> 1.0 y 1.5 se adjudicaron 2.4 GW a proyectos de ER y en el año 2017 2 GW como resultado de la ronda </w:t>
      </w:r>
      <w:proofErr w:type="spellStart"/>
      <w:r w:rsidR="00083450" w:rsidRPr="1AE7B4AB">
        <w:rPr>
          <w:rFonts w:cs="Arial"/>
        </w:rPr>
        <w:t>RenovAr</w:t>
      </w:r>
      <w:proofErr w:type="spellEnd"/>
      <w:r w:rsidR="00083450" w:rsidRPr="1AE7B4AB">
        <w:rPr>
          <w:rFonts w:cs="Arial"/>
        </w:rPr>
        <w:t xml:space="preserve"> 2.0. Del total de la potencia adjudicada 55% corresponde a parques eólicos y 39% a granjas eólicas, lo que representa la introducción de 4,2 GW de fuentes intermitentes. </w:t>
      </w:r>
      <w:r w:rsidR="00A86235">
        <w:rPr>
          <w:rStyle w:val="FootnoteReference"/>
          <w:rFonts w:cs="Arial"/>
        </w:rPr>
        <w:footnoteReference w:id="10"/>
      </w:r>
    </w:p>
    <w:p w14:paraId="663157BC" w14:textId="3D2450EA" w:rsidR="00D805A7" w:rsidRPr="00E77EF1" w:rsidRDefault="00D805A7" w:rsidP="00D805A7">
      <w:pPr>
        <w:pStyle w:val="Paragraph"/>
        <w:numPr>
          <w:ilvl w:val="0"/>
          <w:numId w:val="0"/>
        </w:numPr>
        <w:ind w:left="450"/>
      </w:pPr>
      <w:r>
        <w:rPr>
          <w:noProof/>
        </w:rPr>
        <w:drawing>
          <wp:inline distT="0" distB="0" distL="0" distR="0" wp14:anchorId="35410650" wp14:editId="620036AF">
            <wp:extent cx="5943600" cy="3434715"/>
            <wp:effectExtent l="0" t="0" r="0" b="13335"/>
            <wp:docPr id="7" name="Chart 7">
              <a:extLst xmlns:a="http://schemas.openxmlformats.org/drawingml/2006/main">
                <a:ext uri="{FF2B5EF4-FFF2-40B4-BE49-F238E27FC236}">
                  <a16:creationId xmlns:a16="http://schemas.microsoft.com/office/drawing/2014/main" id="{D5AFD1A2-AD40-4D55-8AAD-5DF7A267C4B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15F2259" w14:textId="09A0BAF5" w:rsidR="00326EA4" w:rsidRPr="00326EA4" w:rsidRDefault="00D8055B" w:rsidP="00D8055B">
      <w:pPr>
        <w:pStyle w:val="Figure"/>
      </w:pPr>
      <w:bookmarkStart w:id="9" w:name="_Ref521937141"/>
      <w:r>
        <w:t>Flujo de importaciones y exportaciones SADI</w:t>
      </w:r>
      <w:bookmarkEnd w:id="9"/>
      <w:r w:rsidR="00EA3E89">
        <w:t>. Elaborado en base al Informe Mensual del MEM y MESP Diciembre 2017, CAMMESA.</w:t>
      </w:r>
    </w:p>
    <w:p w14:paraId="0188BB4B" w14:textId="1FFF7456" w:rsidR="00BA49FD" w:rsidRDefault="00E00CC1" w:rsidP="00BA49FD">
      <w:pPr>
        <w:pStyle w:val="Heading1"/>
      </w:pPr>
      <w:bookmarkStart w:id="10" w:name="_Toc519707955"/>
      <w:bookmarkStart w:id="11" w:name="_Ref519008122"/>
      <w:proofErr w:type="spellStart"/>
      <w:r w:rsidRPr="00C853C4">
        <w:t>Complejo</w:t>
      </w:r>
      <w:proofErr w:type="spellEnd"/>
      <w:r w:rsidRPr="00C853C4">
        <w:t xml:space="preserve"> </w:t>
      </w:r>
      <w:proofErr w:type="spellStart"/>
      <w:r w:rsidRPr="00C853C4">
        <w:t>Hidroeléctrico</w:t>
      </w:r>
      <w:proofErr w:type="spellEnd"/>
      <w:r w:rsidRPr="00C853C4">
        <w:t xml:space="preserve"> Salto Grande</w:t>
      </w:r>
      <w:bookmarkEnd w:id="10"/>
      <w:r w:rsidRPr="00C853C4">
        <w:t xml:space="preserve"> </w:t>
      </w:r>
    </w:p>
    <w:p w14:paraId="70CD72D4" w14:textId="77777777" w:rsidR="00BA49FD" w:rsidRDefault="00E00CC1" w:rsidP="00BA49FD">
      <w:pPr>
        <w:pStyle w:val="Paragraph"/>
        <w:tabs>
          <w:tab w:val="num" w:pos="720"/>
        </w:tabs>
        <w:rPr>
          <w:rFonts w:cs="Arial"/>
        </w:rPr>
      </w:pPr>
      <w:r w:rsidRPr="1AE7B4AB">
        <w:rPr>
          <w:rFonts w:cs="Arial"/>
        </w:rPr>
        <w:t xml:space="preserve">El CHSG </w:t>
      </w:r>
      <w:r w:rsidR="004617BC" w:rsidRPr="1AE7B4AB">
        <w:rPr>
          <w:rFonts w:cs="Arial"/>
        </w:rPr>
        <w:t xml:space="preserve">se encuentra </w:t>
      </w:r>
      <w:r w:rsidRPr="1AE7B4AB">
        <w:rPr>
          <w:rFonts w:cs="Arial"/>
        </w:rPr>
        <w:t>en la frontera entre Argentina y Uruguay sobre el Río Uruguay, a 470 Kilómetros (km) de Buenos Aires y 520 km de Montevideo. La capacidad instalada es 1.890 Megavatios (MW) con generación media anual de 8.730 Gigavatios-hora (GWh)</w:t>
      </w:r>
      <w:r w:rsidRPr="1AE7B4AB">
        <w:rPr>
          <w:rFonts w:cs="Arial"/>
          <w:vertAlign w:val="superscript"/>
        </w:rPr>
        <w:footnoteReference w:id="11"/>
      </w:r>
      <w:r w:rsidRPr="1AE7B4AB">
        <w:rPr>
          <w:rFonts w:cs="Arial"/>
        </w:rPr>
        <w:t>. Tiene 14 unidades de 135 MW cada una con turbinas tipo Kaplan; la primera entró en servicio en 1979 y la última en 1983. El embalse tiene un volumen de 5.000 hectómetros cúbicos y un área de 783</w:t>
      </w:r>
      <w:r w:rsidRPr="1AE7B4AB">
        <w:rPr>
          <w:rFonts w:cs="Arial"/>
          <w:color w:val="FFFFFF"/>
        </w:rPr>
        <w:t>-</w:t>
      </w:r>
      <w:r w:rsidRPr="1AE7B4AB">
        <w:rPr>
          <w:rFonts w:cs="Arial"/>
        </w:rPr>
        <w:t>km</w:t>
      </w:r>
      <w:r w:rsidRPr="1AE7B4AB">
        <w:rPr>
          <w:rFonts w:cs="Arial"/>
          <w:vertAlign w:val="superscript"/>
        </w:rPr>
        <w:t>2</w:t>
      </w:r>
      <w:r w:rsidRPr="1AE7B4AB">
        <w:rPr>
          <w:rFonts w:cs="Arial"/>
        </w:rPr>
        <w:t>. La infraestructura civil tiene una presa central de hormigón, dos presas laterales de tierra, un vertedero con 19 compuertas, las cuales, junto con un descargador de fondo, pueden evacuar hasta 65.000 metros cúbicos por segundo. Asimismo, cuenta con una red de 60 estaciones hidrometeorológicas propias que permiten obtener información para el planeamiento energético y la operación de la central.</w:t>
      </w:r>
      <w:bookmarkEnd w:id="11"/>
      <w:r w:rsidRPr="1AE7B4AB">
        <w:rPr>
          <w:rFonts w:cs="Arial"/>
        </w:rPr>
        <w:t xml:space="preserve"> </w:t>
      </w:r>
    </w:p>
    <w:p w14:paraId="3312261E" w14:textId="23D656D2" w:rsidR="00BA49FD" w:rsidRPr="00BA49FD" w:rsidRDefault="00BC6423" w:rsidP="00BA49FD">
      <w:pPr>
        <w:pStyle w:val="Heading1"/>
        <w:rPr>
          <w:lang w:val="es-ES_tradnl"/>
        </w:rPr>
      </w:pPr>
      <w:bookmarkStart w:id="12" w:name="_Toc519707956"/>
      <w:proofErr w:type="spellStart"/>
      <w:r w:rsidRPr="00BA49FD">
        <w:t>Cuadrilátero</w:t>
      </w:r>
      <w:proofErr w:type="spellEnd"/>
      <w:r w:rsidRPr="00BA49FD">
        <w:t xml:space="preserve"> de Salto Grande.</w:t>
      </w:r>
      <w:bookmarkEnd w:id="12"/>
      <w:r w:rsidRPr="00BA49FD">
        <w:t xml:space="preserve"> </w:t>
      </w:r>
    </w:p>
    <w:p w14:paraId="641246E1" w14:textId="4FA0919E" w:rsidR="00D8055B" w:rsidRPr="00D8055B" w:rsidRDefault="00BC6423" w:rsidP="00BF2D72">
      <w:pPr>
        <w:pStyle w:val="Paragraph"/>
        <w:rPr>
          <w:rFonts w:ascii="HelveticaNeue" w:hAnsi="HelveticaNeue" w:cs="HelveticaNeue"/>
          <w:sz w:val="20"/>
          <w:lang w:val="es-UY"/>
        </w:rPr>
      </w:pPr>
      <w:r w:rsidRPr="00D8055B">
        <w:t xml:space="preserve"> El CHSG</w:t>
      </w:r>
      <w:r w:rsidR="00E00CC1" w:rsidRPr="00D8055B">
        <w:t xml:space="preserve"> </w:t>
      </w:r>
      <w:r w:rsidRPr="00D8055B">
        <w:t>cuenta con</w:t>
      </w:r>
      <w:r w:rsidR="00E00CC1" w:rsidRPr="00D8055B">
        <w:t xml:space="preserve"> un sistema de transmisión de 500 Kilo</w:t>
      </w:r>
      <w:r w:rsidR="00E00CC1" w:rsidRPr="00D8055B">
        <w:noBreakHyphen/>
        <w:t>Voltios (kV), con 345</w:t>
      </w:r>
      <w:r w:rsidR="00E00CC1" w:rsidRPr="00D8055B">
        <w:rPr>
          <w:color w:val="FFFFFF"/>
        </w:rPr>
        <w:t>-</w:t>
      </w:r>
      <w:r w:rsidR="00E00CC1" w:rsidRPr="00D8055B">
        <w:t xml:space="preserve">km de líneas, dos estaciones transformadoras en cada país y capacidad de 2.000 </w:t>
      </w:r>
      <w:proofErr w:type="spellStart"/>
      <w:r w:rsidR="00E00CC1" w:rsidRPr="00D8055B">
        <w:t>mega-voltio-amperios</w:t>
      </w:r>
      <w:proofErr w:type="spellEnd"/>
      <w:r w:rsidR="00E00CC1" w:rsidRPr="00D8055B">
        <w:t>, que permite el intercambio de energía entre ambos países.</w:t>
      </w:r>
      <w:r w:rsidR="00D8055B" w:rsidRPr="00D8055B">
        <w:t xml:space="preserve"> </w:t>
      </w:r>
      <w:r w:rsidR="00505185" w:rsidRPr="1AE7B4AB">
        <w:rPr>
          <w:rFonts w:cs="Arial"/>
        </w:rPr>
        <w:t>Los cuatro vértices de este sistema de transmisión binacional son las Subestaciones, que se encuentran ubicadas dos en el predio de la Central Hidroeléctrica que conforman los vértices superiores, una en Colonia Elía (Argentina) que concuerda con el vértice inferior izquierdo y una en San Javier (Uruguay) que concuerda con el vértice inferior derecho.</w:t>
      </w:r>
      <w:r w:rsidR="00BF2D72" w:rsidRPr="00BF2D72">
        <w:t xml:space="preserve"> </w:t>
      </w:r>
      <w:r w:rsidR="00BF2D72" w:rsidRPr="1AE7B4AB">
        <w:rPr>
          <w:rFonts w:cs="Arial"/>
        </w:rPr>
        <w:t xml:space="preserve">Las salidas del anillo hacia las redes de Argentina y Uruguay, ya sea en 500, 150 o 132 kV, constituyen las fronteras físicas entre Salto Grande y sus clientes de Argentina y Uruguay. Allí se realiza el registro de energía para la facturación mediante el Sistema de Medición Comercial (SMEC). La selección de la tensión en 500kV para la construcción de la línea se realizó teniendo en cuenta la posibilidad de unir Argentina y Uruguay en un mismo nivel de alta tensión. De esta manera se conformó el sistema binacional que optimiza el aprovechamiento de la Central y de la administración de las reservas de generación del conjunto. </w:t>
      </w:r>
      <w:r w:rsidR="00D8055B" w:rsidRPr="00D8055B">
        <w:t xml:space="preserve">El cuadrilátero se visualiza como un nodo en el sistema interconectado cuya </w:t>
      </w:r>
      <w:r w:rsidR="00D8055B">
        <w:t xml:space="preserve">modalidad de </w:t>
      </w:r>
      <w:r w:rsidR="00D8055B" w:rsidRPr="00D8055B">
        <w:t>conexión en anillo brinda mayor seguridad y redundancia al sistema</w:t>
      </w:r>
      <w:r w:rsidR="00D8055B">
        <w:t xml:space="preserve"> (Ver</w:t>
      </w:r>
      <w:r w:rsidR="002B40FD">
        <w:t xml:space="preserve"> </w:t>
      </w:r>
      <w:r w:rsidR="002B40FD">
        <w:fldChar w:fldCharType="begin"/>
      </w:r>
      <w:r w:rsidR="002B40FD">
        <w:instrText xml:space="preserve"> REF _Ref521937109 \r \h </w:instrText>
      </w:r>
      <w:r w:rsidR="002B40FD">
        <w:fldChar w:fldCharType="separate"/>
      </w:r>
      <w:r w:rsidR="002B40FD">
        <w:t>Figura 4</w:t>
      </w:r>
      <w:r w:rsidR="002B40FD">
        <w:fldChar w:fldCharType="end"/>
      </w:r>
      <w:r w:rsidR="00D8055B" w:rsidRPr="00217E33">
        <w:t>).</w:t>
      </w:r>
      <w:r w:rsidR="00D8055B" w:rsidRPr="00D8055B">
        <w:t xml:space="preserve"> </w:t>
      </w:r>
    </w:p>
    <w:p w14:paraId="31804113" w14:textId="0694899D" w:rsidR="00D8055B" w:rsidRDefault="00D8055B" w:rsidP="008C1AB3">
      <w:pPr>
        <w:pStyle w:val="Paragraph"/>
        <w:numPr>
          <w:ilvl w:val="0"/>
          <w:numId w:val="0"/>
        </w:numPr>
        <w:tabs>
          <w:tab w:val="num" w:pos="1800"/>
        </w:tabs>
        <w:autoSpaceDE w:val="0"/>
        <w:autoSpaceDN w:val="0"/>
        <w:adjustRightInd w:val="0"/>
        <w:spacing w:after="0"/>
        <w:ind w:left="720"/>
        <w:jc w:val="center"/>
        <w:rPr>
          <w:rFonts w:ascii="HelveticaNeue" w:hAnsi="HelveticaNeue" w:cs="HelveticaNeue"/>
          <w:sz w:val="20"/>
          <w:lang w:val="es-UY"/>
        </w:rPr>
      </w:pPr>
      <w:r>
        <w:rPr>
          <w:noProof/>
        </w:rPr>
        <mc:AlternateContent>
          <mc:Choice Requires="wps">
            <w:drawing>
              <wp:anchor distT="0" distB="0" distL="114300" distR="114300" simplePos="0" relativeHeight="251659264" behindDoc="0" locked="0" layoutInCell="1" allowOverlap="1" wp14:anchorId="0B701279" wp14:editId="2ED23BA5">
                <wp:simplePos x="0" y="0"/>
                <wp:positionH relativeFrom="column">
                  <wp:posOffset>1978429</wp:posOffset>
                </wp:positionH>
                <wp:positionV relativeFrom="paragraph">
                  <wp:posOffset>4285904</wp:posOffset>
                </wp:positionV>
                <wp:extent cx="1158240" cy="1630680"/>
                <wp:effectExtent l="38100" t="38100" r="41910" b="45720"/>
                <wp:wrapNone/>
                <wp:docPr id="8" name="Oval 8"/>
                <wp:cNvGraphicFramePr/>
                <a:graphic xmlns:a="http://schemas.openxmlformats.org/drawingml/2006/main">
                  <a:graphicData uri="http://schemas.microsoft.com/office/word/2010/wordprocessingShape">
                    <wps:wsp>
                      <wps:cNvSpPr/>
                      <wps:spPr>
                        <a:xfrm>
                          <a:off x="0" y="0"/>
                          <a:ext cx="1158240" cy="1630680"/>
                        </a:xfrm>
                        <a:prstGeom prst="ellipse">
                          <a:avLst/>
                        </a:prstGeom>
                        <a:noFill/>
                        <a:ln w="76200">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c="http://schemas.openxmlformats.org/drawingml/2006/chart" xmlns:a16="http://schemas.microsoft.com/office/drawing/2014/main" xmlns:a14="http://schemas.microsoft.com/office/drawing/2010/main" xmlns:pic="http://schemas.openxmlformats.org/drawingml/2006/picture" xmlns:a="http://schemas.openxmlformats.org/drawingml/2006/main">
            <w:pict>
              <v:oval id="Oval 8" style="position:absolute;margin-left:155.8pt;margin-top:337.45pt;width:91.2pt;height:128.4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ed="f" strokecolor="#c00000" strokeweight="6pt" w14:anchorId="008319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1pLmAIAAI4FAAAOAAAAZHJzL2Uyb0RvYy54bWysVEtvGyEQvlfqf0Dcm/W6ieNaWUeWo1SV&#10;oiRqUuWMWfAiAUMBe+3++g7sI1YT9VDVhzXDzHzDN6+r64PRZC98UGArWp5NKBGWQ63stqI/nm8/&#10;zSkJkdmaabCiokcR6PXy44er1i3EFBrQtfAEQWxYtK6iTYxuURSBN8KwcAZOWFRK8IZFFP22qD1r&#10;Ed3oYjqZzIoWfO08cBEC3t50SrrM+FIKHh+kDCISXVF8W8xfn7+b9C2WV2yx9cw1ivfPYP/wCsOU&#10;xaAj1A2LjOy8egNlFPcQQMYzDqYAKRUXmQOyKSd/sHlqmBOZCyYnuDFN4f/B8vv9oyeqrigWyjKD&#10;JXrYM03mKTOtCws0eHKPvpcCHhPNg/Qm/SMBcsjZPI7ZFIdIOF6W5cV8eo5J56grZ58ns3nOd/Hq&#10;7nyIXwUYkg4VFVorFxJjtmD7uxAxKloPVunawq3SOldNW9JW9HKGbZA9AmhVJ22yC367WWtPkEtF&#10;15P0S4wQ7cQMJW3xMvHsmOVTPGqRMLT9LiTmBrlMuwipK8UIyzgXNpadqmG16KJdnAYbPHLoDJiQ&#10;Jb5yxO4BBssOZMDu3tzbJ1eRm3p07qn/zXn0yJHBxtHZKAv+PWYaWfWRO/shSV1qUpY2UB+xczx0&#10;IxUcv1VYxDsW4iPzOENYeNwL8QE/UgNWCvoTJQ34X+/dJ3tsbdRS0uJMVjT83DEvKNHfLDb9l/I8&#10;9VPMwvnF5RQFf6rZnGrszqwBq1/iBnI8H5N91MNRejAvuD5WKSqqmOUYu6I8+kFYx25X4ALiYrXK&#10;Zji4jsU7++R4Ak9ZTR36fHhh3vWdHHEI7mGY3zfd3NkmTwurXQSpcqu/5rXPNw59bpx+QaWtcipn&#10;q9c1uvwNAAD//wMAUEsDBBQABgAIAAAAIQBJw9+Y4wAAAAsBAAAPAAAAZHJzL2Rvd25yZXYueG1s&#10;TI9dS8MwFIbvBf9DOIJ3Lokr3VqbjiF+MQXZJoJ3WXPWFpukNNlW//2OV3p5OA/v+7zFYrQdO+IQ&#10;Wu8UyIkAhq7ypnW1go/t480cWIjaGd15hwp+MMCivLwodG78ya3xuIk1oxAXcq2gibHPOQ9Vg1aH&#10;ie/R0W/vB6sjnUPNzaBPFG47fitEyq1uHTU0usf7BqvvzcEqeMKvZ7HtP1dh9b5/S5dSvFSvD0pd&#10;X43LO2ARx/gHw68+qUNJTjt/cCawTsFUypRQBeksyYARkWQJrdspyKZyBrws+P8N5RkAAP//AwBQ&#10;SwECLQAUAAYACAAAACEAtoM4kv4AAADhAQAAEwAAAAAAAAAAAAAAAAAAAAAAW0NvbnRlbnRfVHlw&#10;ZXNdLnhtbFBLAQItABQABgAIAAAAIQA4/SH/1gAAAJQBAAALAAAAAAAAAAAAAAAAAC8BAABfcmVs&#10;cy8ucmVsc1BLAQItABQABgAIAAAAIQA6E1pLmAIAAI4FAAAOAAAAAAAAAAAAAAAAAC4CAABkcnMv&#10;ZTJvRG9jLnhtbFBLAQItABQABgAIAAAAIQBJw9+Y4wAAAAsBAAAPAAAAAAAAAAAAAAAAAPIEAABk&#10;cnMvZG93bnJldi54bWxQSwUGAAAAAAQABADzAAAAAgYAAAAA&#10;">
                <v:stroke joinstyle="miter"/>
              </v:oval>
            </w:pict>
          </mc:Fallback>
        </mc:AlternateContent>
      </w:r>
      <w:r>
        <w:rPr>
          <w:noProof/>
        </w:rPr>
        <w:drawing>
          <wp:inline distT="0" distB="0" distL="0" distR="0" wp14:anchorId="19C0672E" wp14:editId="154D67AB">
            <wp:extent cx="4448936" cy="76485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49292" cy="7649187"/>
                    </a:xfrm>
                    <a:prstGeom prst="rect">
                      <a:avLst/>
                    </a:prstGeom>
                  </pic:spPr>
                </pic:pic>
              </a:graphicData>
            </a:graphic>
          </wp:inline>
        </w:drawing>
      </w:r>
    </w:p>
    <w:p w14:paraId="312E39FC" w14:textId="454FE556" w:rsidR="00D8055B" w:rsidRDefault="00D8055B" w:rsidP="00D8055B">
      <w:pPr>
        <w:pStyle w:val="Figure"/>
      </w:pPr>
      <w:bookmarkStart w:id="13" w:name="_Ref521937109"/>
      <w:r>
        <w:t>Mapa de interconexiones eléctricas. Cuadrilátero Salto Grande</w:t>
      </w:r>
      <w:bookmarkEnd w:id="13"/>
      <w:r w:rsidR="007367FF">
        <w:t xml:space="preserve">. </w:t>
      </w:r>
      <w:r w:rsidR="007367FF" w:rsidRPr="00F37F3D">
        <w:t xml:space="preserve">Fuente: </w:t>
      </w:r>
      <w:r w:rsidR="007367FF">
        <w:t>CAMMESA.</w:t>
      </w:r>
    </w:p>
    <w:p w14:paraId="5CB98BD6" w14:textId="77777777" w:rsidR="00DF198F" w:rsidRPr="00DF198F" w:rsidRDefault="00DF198F" w:rsidP="00DF198F">
      <w:pPr>
        <w:pStyle w:val="Heading1"/>
        <w:rPr>
          <w:lang w:val="es-UY"/>
        </w:rPr>
      </w:pPr>
      <w:r w:rsidRPr="00DF198F">
        <w:rPr>
          <w:lang w:val="es-UY"/>
        </w:rPr>
        <w:t>Acuerdo de Interconexión Energética.</w:t>
      </w:r>
    </w:p>
    <w:p w14:paraId="10825C4C" w14:textId="59852280" w:rsidR="00BC6423" w:rsidRPr="004D50B6" w:rsidRDefault="00BC6423" w:rsidP="004D50B6">
      <w:pPr>
        <w:pStyle w:val="Paragraph"/>
        <w:tabs>
          <w:tab w:val="num" w:pos="720"/>
        </w:tabs>
        <w:autoSpaceDE w:val="0"/>
        <w:autoSpaceDN w:val="0"/>
        <w:adjustRightInd w:val="0"/>
        <w:spacing w:after="0"/>
        <w:rPr>
          <w:rFonts w:cs="Arial"/>
        </w:rPr>
      </w:pPr>
      <w:r w:rsidRPr="1AE7B4AB">
        <w:rPr>
          <w:rFonts w:cs="Arial"/>
        </w:rPr>
        <w:t xml:space="preserve">La interconexión </w:t>
      </w:r>
      <w:r w:rsidR="008B6D5A">
        <w:rPr>
          <w:rFonts w:cs="Arial"/>
        </w:rPr>
        <w:t>entre Argentina y U</w:t>
      </w:r>
      <w:r w:rsidR="00104710">
        <w:rPr>
          <w:rFonts w:cs="Arial"/>
        </w:rPr>
        <w:t xml:space="preserve">ruguay </w:t>
      </w:r>
      <w:r w:rsidRPr="1AE7B4AB">
        <w:rPr>
          <w:rFonts w:cs="Arial"/>
        </w:rPr>
        <w:t xml:space="preserve">fue </w:t>
      </w:r>
      <w:r w:rsidR="00CB37A5" w:rsidRPr="1AE7B4AB">
        <w:rPr>
          <w:rFonts w:cs="Arial"/>
        </w:rPr>
        <w:t xml:space="preserve">reglamentada </w:t>
      </w:r>
      <w:r w:rsidRPr="1AE7B4AB">
        <w:rPr>
          <w:rFonts w:cs="Arial"/>
        </w:rPr>
        <w:t>en el Acuerdo de Interconexión Energética,</w:t>
      </w:r>
      <w:r w:rsidR="004D50B6" w:rsidRPr="1AE7B4AB">
        <w:rPr>
          <w:rFonts w:cs="Arial"/>
        </w:rPr>
        <w:t xml:space="preserve"> con el objetivo de intensificar la cooperación entre ambos países en </w:t>
      </w:r>
      <w:r w:rsidR="008C1AB3" w:rsidRPr="1AE7B4AB">
        <w:rPr>
          <w:rFonts w:cs="Arial"/>
        </w:rPr>
        <w:t>lo que respecta al intercambio de energía eléctrica.</w:t>
      </w:r>
      <w:r w:rsidR="004D50B6" w:rsidRPr="1AE7B4AB">
        <w:rPr>
          <w:rFonts w:cs="Arial"/>
        </w:rPr>
        <w:t xml:space="preserve"> El acuerdo entre </w:t>
      </w:r>
      <w:r w:rsidRPr="1AE7B4AB">
        <w:rPr>
          <w:rFonts w:cs="Arial"/>
        </w:rPr>
        <w:t>los gobiernos de Argentina y Uruguay</w:t>
      </w:r>
      <w:r w:rsidR="004D50B6" w:rsidRPr="1AE7B4AB">
        <w:rPr>
          <w:rFonts w:cs="Arial"/>
        </w:rPr>
        <w:t xml:space="preserve"> se establece</w:t>
      </w:r>
      <w:r w:rsidRPr="1AE7B4AB">
        <w:rPr>
          <w:rFonts w:cs="Arial"/>
        </w:rPr>
        <w:t xml:space="preserve"> el 12 de febrero de 1974 y</w:t>
      </w:r>
      <w:r w:rsidR="004D50B6" w:rsidRPr="1AE7B4AB">
        <w:rPr>
          <w:rFonts w:cs="Arial"/>
        </w:rPr>
        <w:t xml:space="preserve"> es suscrito por </w:t>
      </w:r>
      <w:r w:rsidRPr="1AE7B4AB">
        <w:rPr>
          <w:rFonts w:cs="Arial"/>
        </w:rPr>
        <w:t>ambos gobiernos</w:t>
      </w:r>
      <w:r w:rsidR="004D50B6" w:rsidRPr="1AE7B4AB">
        <w:rPr>
          <w:rFonts w:cs="Arial"/>
        </w:rPr>
        <w:t xml:space="preserve"> </w:t>
      </w:r>
      <w:r w:rsidRPr="1AE7B4AB">
        <w:rPr>
          <w:rFonts w:cs="Arial"/>
        </w:rPr>
        <w:t>el 27 de mayo de 1983</w:t>
      </w:r>
      <w:r w:rsidR="004D50B6" w:rsidRPr="1AE7B4AB">
        <w:rPr>
          <w:rFonts w:cs="Arial"/>
        </w:rPr>
        <w:t xml:space="preserve"> y finalmente</w:t>
      </w:r>
      <w:r w:rsidR="00CB37A5" w:rsidRPr="1AE7B4AB">
        <w:rPr>
          <w:rFonts w:cs="Arial"/>
        </w:rPr>
        <w:t xml:space="preserve"> aprobado por el gobierno uruguayo por la Ley 15.509 de 1983 y por el gobierno argentino por la Ley 23.390 en 1986.</w:t>
      </w:r>
      <w:r w:rsidR="004D50B6" w:rsidRPr="1AE7B4AB">
        <w:rPr>
          <w:rFonts w:cs="Arial"/>
        </w:rPr>
        <w:t xml:space="preserve"> </w:t>
      </w:r>
      <w:r w:rsidRPr="1AE7B4AB">
        <w:rPr>
          <w:rFonts w:cs="Arial"/>
        </w:rPr>
        <w:t xml:space="preserve">El acuerdo </w:t>
      </w:r>
      <w:r w:rsidR="004D50B6" w:rsidRPr="1AE7B4AB">
        <w:rPr>
          <w:rFonts w:cs="Arial"/>
        </w:rPr>
        <w:t xml:space="preserve">establece </w:t>
      </w:r>
      <w:r w:rsidRPr="1AE7B4AB">
        <w:rPr>
          <w:rFonts w:cs="Arial"/>
        </w:rPr>
        <w:t xml:space="preserve">los </w:t>
      </w:r>
      <w:r w:rsidR="004D50B6" w:rsidRPr="1AE7B4AB">
        <w:rPr>
          <w:rFonts w:cs="Arial"/>
        </w:rPr>
        <w:t xml:space="preserve">siguientes </w:t>
      </w:r>
      <w:r w:rsidRPr="1AE7B4AB">
        <w:rPr>
          <w:rFonts w:cs="Arial"/>
        </w:rPr>
        <w:t>objetivos: intercambio mutuo de energía de apoyo y</w:t>
      </w:r>
      <w:r w:rsidR="004D50B6" w:rsidRPr="1AE7B4AB">
        <w:rPr>
          <w:rFonts w:cs="Arial"/>
        </w:rPr>
        <w:t xml:space="preserve"> </w:t>
      </w:r>
      <w:r w:rsidRPr="1AE7B4AB">
        <w:rPr>
          <w:rFonts w:cs="Arial"/>
        </w:rPr>
        <w:t>sustitución; asistencia en caso de emergencia; absorción por el sistema argentino de los excedentes del</w:t>
      </w:r>
      <w:r w:rsidR="004D50B6" w:rsidRPr="1AE7B4AB">
        <w:rPr>
          <w:rFonts w:cs="Arial"/>
        </w:rPr>
        <w:t xml:space="preserve"> </w:t>
      </w:r>
      <w:r w:rsidRPr="1AE7B4AB">
        <w:rPr>
          <w:rFonts w:cs="Arial"/>
        </w:rPr>
        <w:t>sistema Río Negro-Montevideo, en correspondencia con la mutua conveniencia de ambos países;</w:t>
      </w:r>
      <w:r w:rsidR="004D50B6" w:rsidRPr="1AE7B4AB">
        <w:rPr>
          <w:rFonts w:cs="Arial"/>
        </w:rPr>
        <w:t xml:space="preserve"> </w:t>
      </w:r>
      <w:r w:rsidRPr="1AE7B4AB">
        <w:rPr>
          <w:rFonts w:cs="Arial"/>
        </w:rPr>
        <w:t>suministro de potencia desde el sistema argentino hacia Uruguay destinado a integrar la base térmica</w:t>
      </w:r>
      <w:r w:rsidR="004D50B6" w:rsidRPr="1AE7B4AB">
        <w:rPr>
          <w:rFonts w:cs="Arial"/>
        </w:rPr>
        <w:t xml:space="preserve"> </w:t>
      </w:r>
      <w:r w:rsidRPr="1AE7B4AB">
        <w:rPr>
          <w:rFonts w:cs="Arial"/>
        </w:rPr>
        <w:t>uruguaya, durante estiajes en el embalse de Río Negro; transporte entre Paysandú y Salto, de energía</w:t>
      </w:r>
      <w:r w:rsidR="004D50B6" w:rsidRPr="1AE7B4AB">
        <w:rPr>
          <w:rFonts w:cs="Arial"/>
        </w:rPr>
        <w:t xml:space="preserve"> </w:t>
      </w:r>
      <w:r w:rsidRPr="1AE7B4AB">
        <w:rPr>
          <w:rFonts w:cs="Arial"/>
        </w:rPr>
        <w:t xml:space="preserve">suministrada por Argentina en Concepción, destinada a Concordia (Argentina). </w:t>
      </w:r>
      <w:r w:rsidR="004D50B6" w:rsidRPr="1AE7B4AB">
        <w:rPr>
          <w:rStyle w:val="FootnoteReference"/>
          <w:rFonts w:cs="Arial"/>
        </w:rPr>
        <w:footnoteReference w:id="12"/>
      </w:r>
      <w:r w:rsidR="004D50B6" w:rsidRPr="1AE7B4AB">
        <w:rPr>
          <w:rFonts w:cs="Arial"/>
        </w:rPr>
        <w:t xml:space="preserve"> </w:t>
      </w:r>
      <w:r w:rsidRPr="1AE7B4AB">
        <w:rPr>
          <w:rFonts w:cs="Arial"/>
        </w:rPr>
        <w:t>Adicionalmente, se</w:t>
      </w:r>
      <w:r w:rsidR="004D50B6" w:rsidRPr="1AE7B4AB">
        <w:rPr>
          <w:rFonts w:cs="Arial"/>
        </w:rPr>
        <w:t xml:space="preserve"> </w:t>
      </w:r>
      <w:r w:rsidRPr="1AE7B4AB">
        <w:rPr>
          <w:rFonts w:cs="Arial"/>
        </w:rPr>
        <w:t>establece celebrar un convenio detallado de ejecución del Acuerdo y crear una comisión de</w:t>
      </w:r>
      <w:r w:rsidR="004D50B6" w:rsidRPr="1AE7B4AB">
        <w:rPr>
          <w:rFonts w:cs="Arial"/>
        </w:rPr>
        <w:t xml:space="preserve"> </w:t>
      </w:r>
      <w:r w:rsidRPr="1AE7B4AB">
        <w:rPr>
          <w:rFonts w:cs="Arial"/>
        </w:rPr>
        <w:t>interconexión que tendrá por cometido dar cumplimiento a lo establecido en el Acuerdo</w:t>
      </w:r>
      <w:r w:rsidR="004D50B6" w:rsidRPr="1AE7B4AB">
        <w:rPr>
          <w:rFonts w:cs="Arial"/>
        </w:rPr>
        <w:t xml:space="preserve"> y que coordinará con la CTM.</w:t>
      </w:r>
    </w:p>
    <w:p w14:paraId="19DACCF9" w14:textId="2ECC66BE" w:rsidR="003B4BCA" w:rsidRPr="007E0C57" w:rsidRDefault="003B4BCA" w:rsidP="00BA49FD">
      <w:pPr>
        <w:pStyle w:val="Heading1"/>
        <w:rPr>
          <w:lang w:val="es-UY"/>
        </w:rPr>
      </w:pPr>
      <w:bookmarkStart w:id="14" w:name="_Toc519707957"/>
      <w:r w:rsidRPr="007E0C57">
        <w:rPr>
          <w:lang w:val="es-UY"/>
        </w:rPr>
        <w:t xml:space="preserve">La importancia del </w:t>
      </w:r>
      <w:r w:rsidR="007E0C57" w:rsidRPr="007E0C57">
        <w:rPr>
          <w:lang w:val="es-UY"/>
        </w:rPr>
        <w:t>C</w:t>
      </w:r>
      <w:r w:rsidR="007E0C57">
        <w:rPr>
          <w:lang w:val="es-UY"/>
        </w:rPr>
        <w:t xml:space="preserve">HSG y del Cuadrilátero </w:t>
      </w:r>
      <w:r w:rsidRPr="007E0C57">
        <w:rPr>
          <w:lang w:val="es-UY"/>
        </w:rPr>
        <w:t>para la integración eléctrica de ambos sistemas.</w:t>
      </w:r>
      <w:bookmarkEnd w:id="14"/>
    </w:p>
    <w:p w14:paraId="31B92996" w14:textId="167C1FB2" w:rsidR="00244711" w:rsidRDefault="1AE7B4AB" w:rsidP="00AE7A83">
      <w:pPr>
        <w:pStyle w:val="Paragraph"/>
        <w:tabs>
          <w:tab w:val="num" w:pos="720"/>
        </w:tabs>
        <w:rPr>
          <w:rFonts w:cs="Arial"/>
        </w:rPr>
      </w:pPr>
      <w:r w:rsidRPr="1AE7B4AB">
        <w:rPr>
          <w:rFonts w:cs="Arial"/>
        </w:rPr>
        <w:t xml:space="preserve">Las interconexiones de los sistemas eléctricos aportan considerables beneficios. Particularmente, la interconexión entre Argentina y Uruguay a través del Cuadrilátero Salto Grande le ha suministrado estabilidad al sistema, colaborando con la seguridad energética y posibilitado el intercambio recíproco de energía alineado con el uso racional de los recursos. La interconexión física de 1.890MW ha permitido que ambos sistemas se comporten como una unidad desde el punto de vista eléctrico, brindando gran robustez principalmente al sistema uruguayo al ser parte de un sistema de aproximadamente 10 veces su potencia instalada. </w:t>
      </w:r>
    </w:p>
    <w:p w14:paraId="29525D8A" w14:textId="5F74E283" w:rsidR="00922E3F" w:rsidRPr="00FE57A2" w:rsidRDefault="1AE7B4AB" w:rsidP="00314F57">
      <w:pPr>
        <w:pStyle w:val="Paragraph"/>
        <w:tabs>
          <w:tab w:val="num" w:pos="720"/>
        </w:tabs>
        <w:rPr>
          <w:rFonts w:cs="Arial"/>
          <w:lang w:val="es-UY"/>
        </w:rPr>
      </w:pPr>
      <w:r w:rsidRPr="1AE7B4AB">
        <w:rPr>
          <w:rFonts w:cs="Arial"/>
        </w:rPr>
        <w:t xml:space="preserve">Considerando el comportamiento conjunto de ambos sistemas, el SADI tiene un rol fundamental en la regulación de frecuencia primaria y secundaria a través de las grandes plantas hidroeléctricas. Salto Grande participa activamente en la regulación de frecuencia del sistema mediante el restablecimiento del desvío de la frecuencia producida por un desbalance entre la carga y la generación. Las 14 unidades del CHSG están habilitadas para la Regulación de Frecuencia Primaria (RFP) y cumple con dicha actividad tal como se establece por normativa. Adicionalmente, el CHSG brinda servicios como regulador de frecuencia secundario. Actualmente solo cinco centrales regulan frecuencia secundaria en el sistema interconectado siendo Salto Grande la que mayor participación tiene en el proceso. En el año 2017 Salto Grande reguló frecuencia secundaria el 49,9% de las horas, seguido por la central Piedra del Águila con 31,9% de las horas. </w:t>
      </w:r>
      <w:r w:rsidR="00CC2ADD">
        <w:rPr>
          <w:rFonts w:cs="Arial"/>
        </w:rPr>
        <w:t xml:space="preserve">En el </w:t>
      </w:r>
      <w:r w:rsidR="00A50800">
        <w:rPr>
          <w:rFonts w:cs="Arial"/>
        </w:rPr>
        <w:t>año</w:t>
      </w:r>
      <w:r w:rsidR="00CC2ADD">
        <w:rPr>
          <w:rFonts w:cs="Arial"/>
        </w:rPr>
        <w:t xml:space="preserve"> 2016 </w:t>
      </w:r>
      <w:r w:rsidR="00A50800">
        <w:rPr>
          <w:rFonts w:cs="Arial"/>
        </w:rPr>
        <w:t>este porcentaje alca</w:t>
      </w:r>
      <w:r w:rsidR="00A50800" w:rsidRPr="00631D8C">
        <w:rPr>
          <w:rFonts w:cs="Arial"/>
        </w:rPr>
        <w:t>nzó 64% (</w:t>
      </w:r>
      <w:r w:rsidR="00631D8C" w:rsidRPr="00631D8C">
        <w:rPr>
          <w:rFonts w:cs="Arial"/>
        </w:rPr>
        <w:fldChar w:fldCharType="begin"/>
      </w:r>
      <w:r w:rsidR="00631D8C" w:rsidRPr="00631D8C">
        <w:rPr>
          <w:rFonts w:cs="Arial"/>
        </w:rPr>
        <w:instrText xml:space="preserve"> REF _Ref524452389 \r \h </w:instrText>
      </w:r>
      <w:r w:rsidR="00631D8C">
        <w:rPr>
          <w:rFonts w:cs="Arial"/>
        </w:rPr>
        <w:instrText xml:space="preserve"> \* MERGEFORMAT </w:instrText>
      </w:r>
      <w:r w:rsidR="00631D8C" w:rsidRPr="00631D8C">
        <w:rPr>
          <w:rFonts w:cs="Arial"/>
        </w:rPr>
      </w:r>
      <w:r w:rsidR="00631D8C" w:rsidRPr="00631D8C">
        <w:rPr>
          <w:rFonts w:cs="Arial"/>
        </w:rPr>
        <w:fldChar w:fldCharType="separate"/>
      </w:r>
      <w:r w:rsidR="00631D8C" w:rsidRPr="00631D8C">
        <w:rPr>
          <w:rFonts w:cs="Arial"/>
        </w:rPr>
        <w:t>Figura 5</w:t>
      </w:r>
      <w:r w:rsidR="00631D8C" w:rsidRPr="00631D8C">
        <w:rPr>
          <w:rFonts w:cs="Arial"/>
        </w:rPr>
        <w:fldChar w:fldCharType="end"/>
      </w:r>
      <w:r w:rsidR="00A50800" w:rsidRPr="00631D8C">
        <w:rPr>
          <w:rFonts w:cs="Arial"/>
        </w:rPr>
        <w:t xml:space="preserve">). </w:t>
      </w:r>
      <w:r w:rsidRPr="00631D8C">
        <w:rPr>
          <w:rFonts w:cs="Arial"/>
        </w:rPr>
        <w:t>Tal</w:t>
      </w:r>
      <w:r w:rsidRPr="1AE7B4AB">
        <w:rPr>
          <w:rFonts w:cs="Arial"/>
        </w:rPr>
        <w:t xml:space="preserve"> como se comentó previamente, la matriz energética uruguaya ha incorporado grandes cantidades de energía eólica generada por máquinas asíncronas y con generación intermitente. Esta situación ha aumentado la necesidad de regulación de frecuencia y reserva operativa del CHSG y ha resaltado la necesidad de contar con la interconexión internacional ya que la RFP del sistema uruguayo se realiza principalmente desde las centrales generadoras argentinas. Adicionalmente, considerando la previsión de aumento de ERNC en Argentina como resultado del impulso a la diversificación de la matriz energética establecido en el Plan de Acción Nacional de Energía y Cambio Climático, la participación del CHSG en la regulación de frecuencia del sistema y las ventajas de la interconexión con respecto a estos servicios auxiliares se prevén seguirán incrementando. </w:t>
      </w:r>
    </w:p>
    <w:p w14:paraId="7F73183D" w14:textId="77777777" w:rsidR="00FE57A2" w:rsidRPr="00FE57A2" w:rsidRDefault="00FE57A2" w:rsidP="00314F57">
      <w:pPr>
        <w:pStyle w:val="Paragraph"/>
        <w:tabs>
          <w:tab w:val="num" w:pos="720"/>
        </w:tabs>
        <w:rPr>
          <w:rFonts w:cs="Arial"/>
          <w:lang w:val="es-UY"/>
        </w:rPr>
      </w:pPr>
    </w:p>
    <w:p w14:paraId="3C7EFE85" w14:textId="49B7C324" w:rsidR="00FE57A2" w:rsidRDefault="00FE57A2" w:rsidP="00E9170C">
      <w:pPr>
        <w:pStyle w:val="Paragraph"/>
        <w:tabs>
          <w:tab w:val="num" w:pos="720"/>
        </w:tabs>
        <w:jc w:val="center"/>
        <w:rPr>
          <w:rFonts w:cs="Arial"/>
          <w:lang w:val="es-UY"/>
        </w:rPr>
      </w:pPr>
      <w:r w:rsidRPr="00FE57A2">
        <w:rPr>
          <w:rFonts w:cs="Arial"/>
          <w:noProof/>
          <w:lang w:val="en-US"/>
        </w:rPr>
        <w:drawing>
          <wp:inline distT="0" distB="0" distL="0" distR="0" wp14:anchorId="79D5FDA8" wp14:editId="472054D5">
            <wp:extent cx="4705350" cy="2371275"/>
            <wp:effectExtent l="0" t="0" r="0" b="0"/>
            <wp:docPr id="20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pic:cNvPicPr>
                      <a:picLocks noChangeAspect="1" noChangeArrowheads="1"/>
                    </pic:cNvPicPr>
                  </pic:nvPicPr>
                  <pic:blipFill>
                    <a:blip r:embed="rId17"/>
                    <a:srcRect/>
                    <a:stretch>
                      <a:fillRect/>
                    </a:stretch>
                  </pic:blipFill>
                  <pic:spPr bwMode="auto">
                    <a:xfrm>
                      <a:off x="0" y="0"/>
                      <a:ext cx="4706378" cy="2371793"/>
                    </a:xfrm>
                    <a:prstGeom prst="rect">
                      <a:avLst/>
                    </a:prstGeom>
                    <a:noFill/>
                    <a:ln w="9525">
                      <a:noFill/>
                      <a:miter lim="800000"/>
                      <a:headEnd/>
                      <a:tailEnd/>
                    </a:ln>
                    <a:effectLst/>
                  </pic:spPr>
                </pic:pic>
              </a:graphicData>
            </a:graphic>
          </wp:inline>
        </w:drawing>
      </w:r>
    </w:p>
    <w:p w14:paraId="29C611B9" w14:textId="77C628DD" w:rsidR="00D20054" w:rsidRPr="00631D8C" w:rsidRDefault="00D20054" w:rsidP="00631D8C">
      <w:pPr>
        <w:pStyle w:val="Figure"/>
      </w:pPr>
      <w:bookmarkStart w:id="15" w:name="_Ref524452389"/>
      <w:r w:rsidRPr="00631D8C">
        <w:t xml:space="preserve">Porcentaje del </w:t>
      </w:r>
      <w:r w:rsidR="00E9170C" w:rsidRPr="00631D8C">
        <w:t xml:space="preserve">tiempo al </w:t>
      </w:r>
      <w:r w:rsidR="00A50800" w:rsidRPr="00631D8C">
        <w:t>año</w:t>
      </w:r>
      <w:r w:rsidR="00E9170C" w:rsidRPr="00631D8C">
        <w:t xml:space="preserve"> que Salto Grande realiza el control de frecuencia secundaria.</w:t>
      </w:r>
      <w:bookmarkEnd w:id="15"/>
    </w:p>
    <w:p w14:paraId="726133CF" w14:textId="251DEC82" w:rsidR="001655D0" w:rsidRPr="00083450" w:rsidRDefault="1AE7B4AB" w:rsidP="00B519F9">
      <w:pPr>
        <w:pStyle w:val="Paragraph"/>
        <w:tabs>
          <w:tab w:val="num" w:pos="720"/>
        </w:tabs>
        <w:autoSpaceDE w:val="0"/>
        <w:autoSpaceDN w:val="0"/>
        <w:adjustRightInd w:val="0"/>
        <w:spacing w:after="0"/>
        <w:rPr>
          <w:rFonts w:cs="Arial"/>
        </w:rPr>
      </w:pPr>
      <w:bookmarkStart w:id="16" w:name="_Hlk521945150"/>
      <w:r w:rsidRPr="1AE7B4AB">
        <w:rPr>
          <w:rFonts w:cs="Arial"/>
        </w:rPr>
        <w:t xml:space="preserve">El Cuadrilátero de Salto Grande tiene un rol destacado en el comercio entre ambos países y se considera un activo estratégico. Argentina y Uruguay históricamente han intercambiado de forma cooperativa los excedentes de generación. Tanto las etapas que ha experimentado el comercio energético entre ambos países como los fines han sido </w:t>
      </w:r>
      <w:r w:rsidRPr="1AE7B4AB">
        <w:rPr>
          <w:rFonts w:cs="Arial"/>
          <w:lang w:val="es-UY"/>
        </w:rPr>
        <w:t>variados. El intercambio mutuo de energía entre Argentina y Uruguay desde 2006 al 2016 a través del Cuadrilátero ascendió a 11.000 GWh, lo que equivale aproximadamente a la demanda eléctrica anual uruguaya.</w:t>
      </w:r>
      <w:r w:rsidR="007367FF">
        <w:rPr>
          <w:rStyle w:val="FootnoteReference"/>
          <w:rFonts w:cs="Arial"/>
          <w:lang w:val="es-UY"/>
        </w:rPr>
        <w:footnoteReference w:id="13"/>
      </w:r>
      <w:r w:rsidRPr="1AE7B4AB">
        <w:rPr>
          <w:rFonts w:cs="Arial"/>
          <w:lang w:val="es-UY"/>
        </w:rPr>
        <w:t xml:space="preserve"> Adicionalmente, en 1996, se suma a esta interconexión la República Federativa de Brasil mediante dos líneas de 500 kV entre </w:t>
      </w:r>
      <w:proofErr w:type="spellStart"/>
      <w:r w:rsidRPr="1AE7B4AB">
        <w:rPr>
          <w:rFonts w:cs="Arial"/>
          <w:lang w:val="es-UY"/>
        </w:rPr>
        <w:t>Yacyretá</w:t>
      </w:r>
      <w:proofErr w:type="spellEnd"/>
      <w:r w:rsidRPr="1AE7B4AB">
        <w:rPr>
          <w:rFonts w:cs="Arial"/>
          <w:lang w:val="es-UY"/>
        </w:rPr>
        <w:t xml:space="preserve"> (Argentina) y </w:t>
      </w:r>
      <w:proofErr w:type="spellStart"/>
      <w:r w:rsidRPr="1AE7B4AB">
        <w:rPr>
          <w:rFonts w:cs="Arial"/>
          <w:lang w:val="es-UY"/>
        </w:rPr>
        <w:t>Garabí</w:t>
      </w:r>
      <w:proofErr w:type="spellEnd"/>
      <w:r w:rsidRPr="1AE7B4AB">
        <w:rPr>
          <w:rFonts w:cs="Arial"/>
          <w:lang w:val="es-UY"/>
        </w:rPr>
        <w:t xml:space="preserve"> (Brasil), que permite las transacciones de compra y venta entre los tres países.</w:t>
      </w:r>
    </w:p>
    <w:p w14:paraId="005E129B" w14:textId="31F51CF6" w:rsidR="00386B04" w:rsidRDefault="00083450" w:rsidP="00386B04">
      <w:pPr>
        <w:pStyle w:val="Paragraph"/>
        <w:tabs>
          <w:tab w:val="num" w:pos="720"/>
        </w:tabs>
        <w:autoSpaceDE w:val="0"/>
        <w:autoSpaceDN w:val="0"/>
        <w:adjustRightInd w:val="0"/>
        <w:spacing w:after="0"/>
        <w:rPr>
          <w:rFonts w:cs="Arial"/>
        </w:rPr>
      </w:pPr>
      <w:r w:rsidRPr="1AE7B4AB">
        <w:rPr>
          <w:rFonts w:cs="Arial"/>
        </w:rPr>
        <w:t xml:space="preserve">Adicionalmente, el cuadrilátero </w:t>
      </w:r>
      <w:r w:rsidR="00473074" w:rsidRPr="1AE7B4AB">
        <w:rPr>
          <w:rFonts w:cs="Arial"/>
        </w:rPr>
        <w:t xml:space="preserve">brinda seguridad a los sistemas </w:t>
      </w:r>
      <w:r w:rsidR="00A93A3A" w:rsidRPr="1AE7B4AB">
        <w:rPr>
          <w:rFonts w:cs="Arial"/>
        </w:rPr>
        <w:t xml:space="preserve">en caso de falla de alguna de las líneas </w:t>
      </w:r>
      <w:r w:rsidR="00473074" w:rsidRPr="1AE7B4AB">
        <w:rPr>
          <w:rFonts w:cs="Arial"/>
        </w:rPr>
        <w:t xml:space="preserve">ya que agrega un grado de redundancia </w:t>
      </w:r>
      <w:r w:rsidR="00F91086" w:rsidRPr="1AE7B4AB">
        <w:rPr>
          <w:rFonts w:cs="Arial"/>
        </w:rPr>
        <w:t>al nodo</w:t>
      </w:r>
      <w:r w:rsidR="002B40FD" w:rsidRPr="1AE7B4AB">
        <w:rPr>
          <w:rFonts w:cs="Arial"/>
        </w:rPr>
        <w:t xml:space="preserve"> (Ver</w:t>
      </w:r>
      <w:r w:rsidR="00514EF5">
        <w:t xml:space="preserve"> </w:t>
      </w:r>
      <w:r w:rsidR="00514EF5">
        <w:fldChar w:fldCharType="begin"/>
      </w:r>
      <w:r w:rsidR="00514EF5">
        <w:instrText xml:space="preserve"> REF _Ref521937034 \r \h </w:instrText>
      </w:r>
      <w:r w:rsidR="00514EF5">
        <w:fldChar w:fldCharType="separate"/>
      </w:r>
      <w:r w:rsidR="00514EF5">
        <w:t>Figura 6</w:t>
      </w:r>
      <w:r w:rsidR="00514EF5">
        <w:fldChar w:fldCharType="end"/>
      </w:r>
      <w:r w:rsidR="002B40FD" w:rsidRPr="1AE7B4AB">
        <w:rPr>
          <w:rFonts w:cs="Arial"/>
        </w:rPr>
        <w:t>)</w:t>
      </w:r>
      <w:r w:rsidR="000A33E9" w:rsidRPr="1AE7B4AB">
        <w:rPr>
          <w:rFonts w:cs="Arial"/>
        </w:rPr>
        <w:t xml:space="preserve">. </w:t>
      </w:r>
      <w:r w:rsidR="00F4786F" w:rsidRPr="1AE7B4AB">
        <w:rPr>
          <w:rFonts w:cs="Arial"/>
        </w:rPr>
        <w:t>La conexión en forma de anillo</w:t>
      </w:r>
      <w:r w:rsidR="00A93A3A" w:rsidRPr="1AE7B4AB">
        <w:rPr>
          <w:rFonts w:cs="Arial"/>
        </w:rPr>
        <w:t xml:space="preserve"> también</w:t>
      </w:r>
      <w:r w:rsidR="00F4786F" w:rsidRPr="1AE7B4AB">
        <w:rPr>
          <w:rFonts w:cs="Arial"/>
        </w:rPr>
        <w:t xml:space="preserve"> permite manejar los flujos de energía maximizando los beneficios</w:t>
      </w:r>
      <w:r w:rsidR="00A93A3A" w:rsidRPr="1AE7B4AB">
        <w:rPr>
          <w:rFonts w:cs="Arial"/>
        </w:rPr>
        <w:t xml:space="preserve"> </w:t>
      </w:r>
      <w:r w:rsidR="00386B04" w:rsidRPr="1AE7B4AB">
        <w:rPr>
          <w:rFonts w:cs="Arial"/>
        </w:rPr>
        <w:t>teniendo en cuenta</w:t>
      </w:r>
      <w:r w:rsidR="00A93A3A" w:rsidRPr="1AE7B4AB">
        <w:rPr>
          <w:rFonts w:cs="Arial"/>
        </w:rPr>
        <w:t xml:space="preserve"> las restricciones del sistema. Existen momentos en que el flujo que por ejemplo ingresa a Salto Grande Argentina, cruza a Salto Grande Uruguay y luego a San Javier-Colonia Elía para seguir hacia el sur de Argentina. </w:t>
      </w:r>
      <w:r w:rsidR="00A029BD" w:rsidRPr="1AE7B4AB">
        <w:rPr>
          <w:rFonts w:cs="Arial"/>
        </w:rPr>
        <w:t xml:space="preserve">La energía que circuló en el cuadrilátero en el año </w:t>
      </w:r>
      <w:r w:rsidR="00386B04" w:rsidRPr="1AE7B4AB">
        <w:rPr>
          <w:rFonts w:cs="Arial"/>
        </w:rPr>
        <w:t xml:space="preserve">2017 ascendió a 18.26 TWh, lo que es un 70% </w:t>
      </w:r>
      <w:r w:rsidR="002A54C6" w:rsidRPr="1AE7B4AB">
        <w:rPr>
          <w:rFonts w:cs="Arial"/>
        </w:rPr>
        <w:t>mayor que</w:t>
      </w:r>
      <w:r w:rsidR="00386B04" w:rsidRPr="1AE7B4AB">
        <w:rPr>
          <w:rFonts w:cs="Arial"/>
        </w:rPr>
        <w:t xml:space="preserve"> la</w:t>
      </w:r>
      <w:r w:rsidR="002A54C6" w:rsidRPr="1AE7B4AB">
        <w:rPr>
          <w:rFonts w:cs="Arial"/>
        </w:rPr>
        <w:t xml:space="preserve"> suma de la</w:t>
      </w:r>
      <w:r w:rsidR="00386B04" w:rsidRPr="1AE7B4AB">
        <w:rPr>
          <w:rFonts w:cs="Arial"/>
        </w:rPr>
        <w:t xml:space="preserve"> energía generada en el CHSG más el flujo de intercambio (importaciones y exportaciones) entre Argentina y Uruguay.  </w:t>
      </w:r>
      <w:r w:rsidR="00FE6118" w:rsidRPr="00631D8C">
        <w:rPr>
          <w:rFonts w:cs="Arial"/>
        </w:rPr>
        <w:t xml:space="preserve">La </w:t>
      </w:r>
      <w:r w:rsidR="00514EF5">
        <w:rPr>
          <w:rFonts w:cs="Arial"/>
        </w:rPr>
        <w:fldChar w:fldCharType="begin"/>
      </w:r>
      <w:r w:rsidR="00514EF5">
        <w:rPr>
          <w:rFonts w:cs="Arial"/>
        </w:rPr>
        <w:instrText xml:space="preserve"> REF _Ref524452444 \r \h </w:instrText>
      </w:r>
      <w:r w:rsidR="00514EF5">
        <w:rPr>
          <w:rFonts w:cs="Arial"/>
        </w:rPr>
      </w:r>
      <w:r w:rsidR="00514EF5">
        <w:rPr>
          <w:rFonts w:cs="Arial"/>
        </w:rPr>
        <w:fldChar w:fldCharType="separate"/>
      </w:r>
      <w:r w:rsidR="00514EF5">
        <w:rPr>
          <w:rFonts w:cs="Arial"/>
        </w:rPr>
        <w:t>Figura 7</w:t>
      </w:r>
      <w:r w:rsidR="00514EF5">
        <w:rPr>
          <w:rFonts w:cs="Arial"/>
        </w:rPr>
        <w:fldChar w:fldCharType="end"/>
      </w:r>
      <w:r w:rsidR="00514EF5">
        <w:rPr>
          <w:rFonts w:cs="Arial"/>
        </w:rPr>
        <w:t xml:space="preserve"> </w:t>
      </w:r>
      <w:r w:rsidR="00F32A33">
        <w:rPr>
          <w:rFonts w:cs="Arial"/>
        </w:rPr>
        <w:t xml:space="preserve">muestra como el 55.6% de la energía que circula por el </w:t>
      </w:r>
      <w:r w:rsidR="0095784C">
        <w:rPr>
          <w:rFonts w:cs="Arial"/>
        </w:rPr>
        <w:t>cuadrilátero</w:t>
      </w:r>
      <w:r w:rsidR="00F32A33">
        <w:rPr>
          <w:rFonts w:cs="Arial"/>
        </w:rPr>
        <w:t xml:space="preserve"> </w:t>
      </w:r>
      <w:r w:rsidR="0095784C">
        <w:rPr>
          <w:rFonts w:cs="Arial"/>
        </w:rPr>
        <w:t xml:space="preserve">de transmisión corresponde </w:t>
      </w:r>
      <w:proofErr w:type="spellStart"/>
      <w:r w:rsidR="0095784C">
        <w:rPr>
          <w:rFonts w:cs="Arial"/>
        </w:rPr>
        <w:t>al</w:t>
      </w:r>
      <w:proofErr w:type="spellEnd"/>
      <w:r w:rsidR="0095784C">
        <w:rPr>
          <w:rFonts w:cs="Arial"/>
        </w:rPr>
        <w:t xml:space="preserve"> la generada por las dos casas de máquinas, la cual se reparte en partes iguales a los dos sistemas. </w:t>
      </w:r>
      <w:r w:rsidR="00C84107">
        <w:rPr>
          <w:rFonts w:cs="Arial"/>
        </w:rPr>
        <w:t xml:space="preserve">El </w:t>
      </w:r>
      <w:r w:rsidR="00967999">
        <w:rPr>
          <w:rFonts w:cs="Arial"/>
        </w:rPr>
        <w:t>44.4% restante corresponde a energía proveniente de otr</w:t>
      </w:r>
      <w:r w:rsidR="00F60ED4">
        <w:rPr>
          <w:rFonts w:cs="Arial"/>
        </w:rPr>
        <w:t xml:space="preserve">as centrales de generación de los dos sistemas, </w:t>
      </w:r>
      <w:r w:rsidR="006C3A00">
        <w:rPr>
          <w:rFonts w:cs="Arial"/>
        </w:rPr>
        <w:t>que se inyecta a través de las cuatro</w:t>
      </w:r>
      <w:r w:rsidR="005B744D">
        <w:rPr>
          <w:rFonts w:cs="Arial"/>
        </w:rPr>
        <w:t xml:space="preserve"> estaciones transformadoras</w:t>
      </w:r>
      <w:r w:rsidR="00AD4A46">
        <w:rPr>
          <w:rFonts w:cs="Arial"/>
        </w:rPr>
        <w:t xml:space="preserve"> </w:t>
      </w:r>
      <w:r w:rsidR="008335C2">
        <w:rPr>
          <w:rFonts w:cs="Arial"/>
        </w:rPr>
        <w:t>y de líneas de trasmisión en 500kV</w:t>
      </w:r>
      <w:r w:rsidR="00E67133">
        <w:rPr>
          <w:rFonts w:cs="Arial"/>
        </w:rPr>
        <w:t xml:space="preserve"> y 132 kV en Argentina y 150kV en Uruguay, </w:t>
      </w:r>
      <w:r w:rsidR="00AD4A46">
        <w:rPr>
          <w:rFonts w:cs="Arial"/>
        </w:rPr>
        <w:t xml:space="preserve">y </w:t>
      </w:r>
      <w:r w:rsidR="003A2FB7">
        <w:rPr>
          <w:rFonts w:cs="Arial"/>
        </w:rPr>
        <w:t xml:space="preserve">que tiene como destino </w:t>
      </w:r>
      <w:r w:rsidR="00095F4D">
        <w:rPr>
          <w:rFonts w:cs="Arial"/>
        </w:rPr>
        <w:t xml:space="preserve">otros nodos </w:t>
      </w:r>
      <w:r w:rsidR="00631D8C">
        <w:rPr>
          <w:rFonts w:cs="Arial"/>
        </w:rPr>
        <w:t>de los sistemas interconectados</w:t>
      </w:r>
      <w:r w:rsidR="00BA3533">
        <w:rPr>
          <w:rFonts w:cs="Arial"/>
        </w:rPr>
        <w:t>.</w:t>
      </w:r>
    </w:p>
    <w:p w14:paraId="718AC0EB" w14:textId="77777777" w:rsidR="00514EF5" w:rsidRDefault="00514EF5" w:rsidP="00514EF5">
      <w:pPr>
        <w:pStyle w:val="Paragraph"/>
        <w:numPr>
          <w:ilvl w:val="0"/>
          <w:numId w:val="0"/>
        </w:numPr>
        <w:tabs>
          <w:tab w:val="num" w:pos="1800"/>
        </w:tabs>
        <w:autoSpaceDE w:val="0"/>
        <w:autoSpaceDN w:val="0"/>
        <w:adjustRightInd w:val="0"/>
        <w:spacing w:after="0"/>
        <w:ind w:left="720"/>
        <w:rPr>
          <w:rFonts w:cs="Arial"/>
          <w:szCs w:val="22"/>
        </w:rPr>
      </w:pPr>
      <w:r w:rsidRPr="002B40FD">
        <w:rPr>
          <w:rFonts w:cs="Arial"/>
          <w:noProof/>
          <w:szCs w:val="22"/>
          <w:lang w:val="en-US"/>
        </w:rPr>
        <w:drawing>
          <wp:inline distT="0" distB="0" distL="0" distR="0" wp14:anchorId="752C0611" wp14:editId="34F1AC71">
            <wp:extent cx="5943600" cy="4457700"/>
            <wp:effectExtent l="0" t="0" r="0" b="0"/>
            <wp:docPr id="5" name="4 Imagen" descr="SMEC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 Imagen" descr="SMEC 2018.jpg"/>
                    <pic:cNvPicPr>
                      <a:picLocks noChangeAspect="1"/>
                    </pic:cNvPicPr>
                  </pic:nvPicPr>
                  <pic:blipFill>
                    <a:blip r:embed="rId18"/>
                    <a:stretch>
                      <a:fillRect/>
                    </a:stretch>
                  </pic:blipFill>
                  <pic:spPr>
                    <a:xfrm>
                      <a:off x="0" y="0"/>
                      <a:ext cx="5943600" cy="4457700"/>
                    </a:xfrm>
                    <a:prstGeom prst="rect">
                      <a:avLst/>
                    </a:prstGeom>
                  </pic:spPr>
                </pic:pic>
              </a:graphicData>
            </a:graphic>
          </wp:inline>
        </w:drawing>
      </w:r>
    </w:p>
    <w:p w14:paraId="7317DAA6" w14:textId="5C9C15A1" w:rsidR="00514EF5" w:rsidRDefault="00514EF5" w:rsidP="00514EF5">
      <w:pPr>
        <w:pStyle w:val="Figure"/>
      </w:pPr>
      <w:bookmarkStart w:id="17" w:name="_Ref521937034"/>
      <w:r>
        <w:t>Unifilar Sistema de Medición Comercial Salto Grande</w:t>
      </w:r>
      <w:bookmarkEnd w:id="17"/>
      <w:r w:rsidR="007367FF">
        <w:t>. Fuente: Presentación Gerencia de Operación de Salto Grande, junio 2018.</w:t>
      </w:r>
    </w:p>
    <w:p w14:paraId="3B29DD93" w14:textId="77777777" w:rsidR="00514EF5" w:rsidRDefault="00514EF5" w:rsidP="00514EF5">
      <w:pPr>
        <w:pStyle w:val="Paragraph"/>
        <w:numPr>
          <w:ilvl w:val="0"/>
          <w:numId w:val="0"/>
        </w:numPr>
        <w:tabs>
          <w:tab w:val="num" w:pos="1800"/>
        </w:tabs>
        <w:autoSpaceDE w:val="0"/>
        <w:autoSpaceDN w:val="0"/>
        <w:adjustRightInd w:val="0"/>
        <w:spacing w:after="0"/>
        <w:ind w:left="720"/>
        <w:rPr>
          <w:rFonts w:cs="Arial"/>
        </w:rPr>
      </w:pPr>
    </w:p>
    <w:bookmarkEnd w:id="16"/>
    <w:p w14:paraId="14FA5271" w14:textId="3F13318D" w:rsidR="00386B04" w:rsidRDefault="005C1564" w:rsidP="00720611">
      <w:pPr>
        <w:pStyle w:val="Paragraph"/>
        <w:numPr>
          <w:ilvl w:val="0"/>
          <w:numId w:val="0"/>
        </w:numPr>
        <w:autoSpaceDE w:val="0"/>
        <w:autoSpaceDN w:val="0"/>
        <w:adjustRightInd w:val="0"/>
        <w:spacing w:after="0"/>
        <w:ind w:left="720"/>
        <w:jc w:val="center"/>
        <w:rPr>
          <w:rFonts w:cs="Arial"/>
          <w:szCs w:val="22"/>
        </w:rPr>
      </w:pPr>
      <w:r>
        <w:rPr>
          <w:noProof/>
        </w:rPr>
        <w:drawing>
          <wp:inline distT="0" distB="0" distL="0" distR="0" wp14:anchorId="1C1FADD7" wp14:editId="60E5626B">
            <wp:extent cx="3986087" cy="503936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t="2338"/>
                    <a:stretch/>
                  </pic:blipFill>
                  <pic:spPr bwMode="auto">
                    <a:xfrm>
                      <a:off x="0" y="0"/>
                      <a:ext cx="3987827" cy="5041559"/>
                    </a:xfrm>
                    <a:prstGeom prst="rect">
                      <a:avLst/>
                    </a:prstGeom>
                    <a:noFill/>
                    <a:ln>
                      <a:noFill/>
                    </a:ln>
                    <a:extLst>
                      <a:ext uri="{53640926-AAD7-44D8-BBD7-CCE9431645EC}">
                        <a14:shadowObscured xmlns:a14="http://schemas.microsoft.com/office/drawing/2010/main"/>
                      </a:ext>
                    </a:extLst>
                  </pic:spPr>
                </pic:pic>
              </a:graphicData>
            </a:graphic>
          </wp:inline>
        </w:drawing>
      </w:r>
    </w:p>
    <w:p w14:paraId="5E60C763" w14:textId="3A27447D" w:rsidR="00C34921" w:rsidRPr="00386B04" w:rsidRDefault="00C34921" w:rsidP="00631D8C">
      <w:pPr>
        <w:pStyle w:val="Figure"/>
      </w:pPr>
      <w:bookmarkStart w:id="18" w:name="_Ref524452444"/>
      <w:r w:rsidRPr="00631D8C">
        <w:t>Flujos de</w:t>
      </w:r>
      <w:r>
        <w:t xml:space="preserve"> energía a través del cuadrilátero de transmisión de 500 kV de Salto Grande en 2017</w:t>
      </w:r>
      <w:bookmarkEnd w:id="18"/>
      <w:r w:rsidR="007367FF">
        <w:t>. Fuente: Presentación Gerencia General, Salto Grande, junio 2018.</w:t>
      </w:r>
    </w:p>
    <w:p w14:paraId="577BD3FB" w14:textId="77777777" w:rsidR="002B40FD" w:rsidRPr="001655D0" w:rsidRDefault="002B40FD" w:rsidP="002B40FD">
      <w:pPr>
        <w:pStyle w:val="Paragraph"/>
        <w:numPr>
          <w:ilvl w:val="0"/>
          <w:numId w:val="0"/>
        </w:numPr>
        <w:tabs>
          <w:tab w:val="num" w:pos="1800"/>
        </w:tabs>
        <w:autoSpaceDE w:val="0"/>
        <w:autoSpaceDN w:val="0"/>
        <w:adjustRightInd w:val="0"/>
        <w:spacing w:after="0"/>
        <w:ind w:left="720"/>
        <w:rPr>
          <w:rFonts w:cs="Arial"/>
          <w:szCs w:val="22"/>
        </w:rPr>
      </w:pPr>
    </w:p>
    <w:p w14:paraId="547C6289" w14:textId="0F7B3300" w:rsidR="00D408F7" w:rsidRDefault="00821F77" w:rsidP="001655D0">
      <w:pPr>
        <w:pStyle w:val="Paragraph"/>
        <w:tabs>
          <w:tab w:val="num" w:pos="720"/>
        </w:tabs>
        <w:autoSpaceDE w:val="0"/>
        <w:autoSpaceDN w:val="0"/>
        <w:adjustRightInd w:val="0"/>
        <w:spacing w:after="0"/>
        <w:rPr>
          <w:rFonts w:cs="Arial"/>
        </w:rPr>
      </w:pPr>
      <w:r w:rsidRPr="1AE7B4AB">
        <w:rPr>
          <w:rFonts w:cs="Arial"/>
        </w:rPr>
        <w:t>Otra</w:t>
      </w:r>
      <w:r w:rsidR="004F0B47" w:rsidRPr="1AE7B4AB">
        <w:rPr>
          <w:rFonts w:cs="Arial"/>
        </w:rPr>
        <w:t xml:space="preserve"> de las ventajas</w:t>
      </w:r>
      <w:r w:rsidR="00D408F7" w:rsidRPr="1AE7B4AB">
        <w:rPr>
          <w:rFonts w:cs="Arial"/>
        </w:rPr>
        <w:t xml:space="preserve"> de la interconexión ha sido el intercambio de energía para cubrir la demanda en épocas de crisis energéticas</w:t>
      </w:r>
      <w:r w:rsidR="004F0B47" w:rsidRPr="1AE7B4AB">
        <w:rPr>
          <w:rFonts w:cs="Arial"/>
        </w:rPr>
        <w:t xml:space="preserve"> y la posibilidad de contar con el parque generador del país vecino como potencia de respaldo</w:t>
      </w:r>
      <w:r w:rsidR="00D408F7" w:rsidRPr="1AE7B4AB">
        <w:rPr>
          <w:rFonts w:cs="Arial"/>
        </w:rPr>
        <w:t>. Para Uruguay, las importaciones de energía han sido una fuente fundamental de abastecimiento de la demanda en los años de escasez energética previos al comienzo de la diversificación de la matriz de generación tal como se puede observar en la</w:t>
      </w:r>
      <w:r w:rsidR="002B40FD" w:rsidRPr="1AE7B4AB">
        <w:rPr>
          <w:rFonts w:cs="Arial"/>
        </w:rPr>
        <w:t xml:space="preserve"> </w:t>
      </w:r>
      <w:r w:rsidR="00514EF5">
        <w:rPr>
          <w:rFonts w:cs="Arial"/>
        </w:rPr>
        <w:fldChar w:fldCharType="begin"/>
      </w:r>
      <w:r w:rsidR="00514EF5">
        <w:rPr>
          <w:rFonts w:cs="Arial"/>
        </w:rPr>
        <w:instrText xml:space="preserve"> REF _Ref521937066 \r \h </w:instrText>
      </w:r>
      <w:r w:rsidR="00514EF5">
        <w:rPr>
          <w:rFonts w:cs="Arial"/>
        </w:rPr>
      </w:r>
      <w:r w:rsidR="00514EF5">
        <w:rPr>
          <w:rFonts w:cs="Arial"/>
        </w:rPr>
        <w:fldChar w:fldCharType="separate"/>
      </w:r>
      <w:r w:rsidR="00514EF5">
        <w:rPr>
          <w:rFonts w:cs="Arial"/>
        </w:rPr>
        <w:t>Figura 8</w:t>
      </w:r>
      <w:r w:rsidR="00514EF5">
        <w:rPr>
          <w:rFonts w:cs="Arial"/>
        </w:rPr>
        <w:fldChar w:fldCharType="end"/>
      </w:r>
      <w:r w:rsidR="00514EF5">
        <w:rPr>
          <w:rFonts w:cs="Arial"/>
        </w:rPr>
        <w:t xml:space="preserve">. </w:t>
      </w:r>
      <w:r w:rsidR="00D408F7" w:rsidRPr="1AE7B4AB">
        <w:rPr>
          <w:rFonts w:cs="Arial"/>
        </w:rPr>
        <w:t xml:space="preserve">La importación máxima de energía en los últimos 15 años se dio en el año 2006, donde debido a una baja </w:t>
      </w:r>
      <w:proofErr w:type="spellStart"/>
      <w:r w:rsidR="00D408F7" w:rsidRPr="1AE7B4AB">
        <w:rPr>
          <w:rFonts w:cs="Arial"/>
        </w:rPr>
        <w:t>hidraulicidad</w:t>
      </w:r>
      <w:proofErr w:type="spellEnd"/>
      <w:r w:rsidR="00D408F7" w:rsidRPr="1AE7B4AB">
        <w:rPr>
          <w:rFonts w:cs="Arial"/>
        </w:rPr>
        <w:t>, las importaciones cubrieron el 34% de la demanda anual.</w:t>
      </w:r>
      <w:r w:rsidR="007367FF">
        <w:rPr>
          <w:rStyle w:val="FootnoteReference"/>
          <w:rFonts w:cs="Arial"/>
        </w:rPr>
        <w:footnoteReference w:id="14"/>
      </w:r>
      <w:r w:rsidR="00D408F7" w:rsidRPr="1AE7B4AB">
        <w:rPr>
          <w:rFonts w:cs="Arial"/>
        </w:rPr>
        <w:t xml:space="preserve"> Adicionalmente el SIN brinda un apoyo considerable al SADI mediante el suministro de energía a partir de generación térmica para cubrir los picos de demanda en Argentina, tal como fue el caso en el invierno de 2016 donde se solicitó a Uruguay encender las plantas térmicas para solventar la situación de emergencia en Argentina. </w:t>
      </w:r>
    </w:p>
    <w:p w14:paraId="6FC0C1AF" w14:textId="77777777" w:rsidR="00514EF5" w:rsidRPr="00D408F7" w:rsidRDefault="00514EF5" w:rsidP="00514EF5">
      <w:pPr>
        <w:pStyle w:val="Paragraph"/>
        <w:numPr>
          <w:ilvl w:val="0"/>
          <w:numId w:val="0"/>
        </w:numPr>
        <w:tabs>
          <w:tab w:val="num" w:pos="1800"/>
        </w:tabs>
        <w:autoSpaceDE w:val="0"/>
        <w:autoSpaceDN w:val="0"/>
        <w:adjustRightInd w:val="0"/>
        <w:spacing w:after="0"/>
        <w:ind w:left="720"/>
        <w:rPr>
          <w:rFonts w:cs="Arial"/>
        </w:rPr>
      </w:pPr>
    </w:p>
    <w:p w14:paraId="48DA04AE" w14:textId="472905EA" w:rsidR="00D408F7" w:rsidRDefault="1AE7B4AB" w:rsidP="002C62D5">
      <w:pPr>
        <w:pStyle w:val="Paragraph"/>
        <w:tabs>
          <w:tab w:val="num" w:pos="720"/>
        </w:tabs>
        <w:rPr>
          <w:rFonts w:cs="Arial"/>
        </w:rPr>
      </w:pPr>
      <w:r w:rsidRPr="1AE7B4AB">
        <w:rPr>
          <w:rFonts w:cs="Arial"/>
        </w:rPr>
        <w:t xml:space="preserve">Otro de los fines de la interconexión eléctrica entre ambos países ha consistido en la exportación de excedentes de energía. En los últimos 5 años, Uruguay se ha transformado en un exportador neto de energía favorecido por la incorporación de energías renovables no convencionales a la matriz y condiciones hidráulicas relativamente positivas. Los volúmenes de exportación de energía a Argentina superaron el 10% del total de la generación uruguaya en 2015 y 2016. En 2016, las exportaciones de energía eléctrica realizadas por UTE alcanzaron los US$ 65 millones, lo que significó un </w:t>
      </w:r>
      <w:proofErr w:type="spellStart"/>
      <w:r w:rsidRPr="1AE7B4AB">
        <w:rPr>
          <w:rFonts w:cs="Arial"/>
        </w:rPr>
        <w:t>record</w:t>
      </w:r>
      <w:proofErr w:type="spellEnd"/>
      <w:r w:rsidRPr="1AE7B4AB">
        <w:rPr>
          <w:rFonts w:cs="Arial"/>
        </w:rPr>
        <w:t xml:space="preserve"> histórico para el país.</w:t>
      </w:r>
      <w:r w:rsidR="007367FF">
        <w:rPr>
          <w:rStyle w:val="FootnoteReference"/>
          <w:rFonts w:cs="Arial"/>
        </w:rPr>
        <w:footnoteReference w:id="15"/>
      </w:r>
      <w:r w:rsidRPr="1AE7B4AB">
        <w:rPr>
          <w:rFonts w:cs="Arial"/>
        </w:rPr>
        <w:t xml:space="preserve"> </w:t>
      </w:r>
    </w:p>
    <w:p w14:paraId="0A067483" w14:textId="57E878B5" w:rsidR="003A4FCA" w:rsidRDefault="1AE7B4AB" w:rsidP="002C62D5">
      <w:pPr>
        <w:pStyle w:val="Paragraph"/>
        <w:tabs>
          <w:tab w:val="num" w:pos="720"/>
        </w:tabs>
        <w:rPr>
          <w:rFonts w:cs="Arial"/>
        </w:rPr>
      </w:pPr>
      <w:r w:rsidRPr="1AE7B4AB">
        <w:rPr>
          <w:rFonts w:cs="Arial"/>
        </w:rPr>
        <w:t>Finalmente, cabe destacar los beneficios que ambos países pueden obtener al poder contar, a través de la interconexión por El Cuadrilátero, con el parque de generación del país vecino para la optimización de costos de generación. Tal fue el caso en marzo de 2018 cuando Uruguay decidió importar electricidad desde Argentina por resultar más económico. La escasez hídrica sumada a condiciones de poco viento resultó en condiciones favorables para la importación electricidad durante 18 horas desde Argentina.</w:t>
      </w:r>
      <w:r w:rsidR="007367FF">
        <w:rPr>
          <w:rStyle w:val="FootnoteReference"/>
          <w:rFonts w:cs="Arial"/>
        </w:rPr>
        <w:footnoteReference w:id="16"/>
      </w:r>
      <w:r w:rsidRPr="1AE7B4AB">
        <w:rPr>
          <w:rFonts w:cs="Arial"/>
        </w:rPr>
        <w:t xml:space="preserve"> Si bien Uruguay disponía de centrales térmicas para cubrir la demanda eléctrica, el encendido de estas hubieran sido una opción más costosa comparado con el intercambio con el vecino país. De esta forma la interconexión eléctrica colabora a la reducción de costos de producción y favorece la competitividad de los países. </w:t>
      </w:r>
    </w:p>
    <w:p w14:paraId="2F20719B" w14:textId="77777777" w:rsidR="002C62D5" w:rsidRDefault="002C62D5" w:rsidP="002C62D5">
      <w:pPr>
        <w:pStyle w:val="Chapter"/>
        <w:numPr>
          <w:ilvl w:val="0"/>
          <w:numId w:val="0"/>
        </w:numPr>
        <w:jc w:val="left"/>
      </w:pPr>
      <w:r>
        <w:t xml:space="preserve">  </w:t>
      </w:r>
      <w:r>
        <w:rPr>
          <w:noProof/>
        </w:rPr>
        <w:drawing>
          <wp:inline distT="0" distB="0" distL="0" distR="0" wp14:anchorId="15227F72" wp14:editId="677FF0D5">
            <wp:extent cx="5838825" cy="3219450"/>
            <wp:effectExtent l="0" t="0" r="9525" b="0"/>
            <wp:docPr id="4" name="Chart 4">
              <a:extLst xmlns:a="http://schemas.openxmlformats.org/drawingml/2006/main">
                <a:ext uri="{FF2B5EF4-FFF2-40B4-BE49-F238E27FC236}">
                  <a16:creationId xmlns:a16="http://schemas.microsoft.com/office/drawing/2014/main" id="{83061A25-8C9B-433C-BE53-809099F9BBE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AB321C0" w14:textId="56BC6028" w:rsidR="002C62D5" w:rsidRDefault="002C62D5" w:rsidP="00A51B30">
      <w:pPr>
        <w:pStyle w:val="Figure"/>
        <w:numPr>
          <w:ilvl w:val="0"/>
          <w:numId w:val="37"/>
        </w:numPr>
        <w:jc w:val="both"/>
      </w:pPr>
      <w:bookmarkStart w:id="19" w:name="_Ref521937066"/>
      <w:r>
        <w:t>Flujo de importaciones y exportaciones de energía.</w:t>
      </w:r>
      <w:bookmarkEnd w:id="19"/>
      <w:r w:rsidR="00A51B30">
        <w:t xml:space="preserve"> Elaborado en base a información del Balance Energético Nacional, Ministerio de Industria, Energía y Minería, Uruguay.</w:t>
      </w:r>
    </w:p>
    <w:p w14:paraId="13C1B5AD" w14:textId="77777777" w:rsidR="00A51B30" w:rsidRDefault="00A51B30" w:rsidP="00A51B30">
      <w:pPr>
        <w:pStyle w:val="Figure"/>
        <w:numPr>
          <w:ilvl w:val="0"/>
          <w:numId w:val="0"/>
        </w:numPr>
        <w:ind w:left="1440"/>
        <w:jc w:val="both"/>
      </w:pPr>
    </w:p>
    <w:p w14:paraId="6C652357" w14:textId="42D0B4DF" w:rsidR="002C62D5" w:rsidRPr="00EB76C2" w:rsidRDefault="00EB76C2" w:rsidP="00BA49FD">
      <w:pPr>
        <w:pStyle w:val="Heading1"/>
        <w:rPr>
          <w:rFonts w:eastAsia="Times New Roman"/>
          <w:lang w:val="es-ES_tradnl"/>
        </w:rPr>
      </w:pPr>
      <w:bookmarkStart w:id="20" w:name="_Toc519707958"/>
      <w:r w:rsidRPr="00EB76C2">
        <w:rPr>
          <w:rFonts w:eastAsia="Times New Roman"/>
          <w:lang w:val="es-ES_tradnl"/>
        </w:rPr>
        <w:t xml:space="preserve">Principales aspectos considerados para la clasificación de </w:t>
      </w:r>
      <w:r>
        <w:rPr>
          <w:rFonts w:eastAsia="Times New Roman"/>
          <w:lang w:val="es-ES_tradnl"/>
        </w:rPr>
        <w:t>RG</w:t>
      </w:r>
      <w:r w:rsidRPr="00EB76C2">
        <w:rPr>
          <w:rFonts w:eastAsia="Times New Roman"/>
          <w:lang w:val="es-ES_tradnl"/>
        </w:rPr>
        <w:t>-L1</w:t>
      </w:r>
      <w:r>
        <w:rPr>
          <w:rFonts w:eastAsia="Times New Roman"/>
          <w:lang w:val="es-ES_tradnl"/>
        </w:rPr>
        <w:t>124</w:t>
      </w:r>
      <w:r w:rsidRPr="00EB76C2">
        <w:rPr>
          <w:rFonts w:eastAsia="Times New Roman"/>
          <w:lang w:val="es-ES_tradnl"/>
        </w:rPr>
        <w:t>, como operación de integración regional</w:t>
      </w:r>
      <w:bookmarkEnd w:id="20"/>
    </w:p>
    <w:p w14:paraId="54416602" w14:textId="67BF3EEE" w:rsidR="000134F8" w:rsidRPr="00964AC4" w:rsidRDefault="1AE7B4AB" w:rsidP="00964AC4">
      <w:pPr>
        <w:pStyle w:val="Paragraph"/>
        <w:tabs>
          <w:tab w:val="num" w:pos="720"/>
        </w:tabs>
        <w:rPr>
          <w:rFonts w:cs="Arial"/>
        </w:rPr>
      </w:pPr>
      <w:r w:rsidRPr="1AE7B4AB">
        <w:rPr>
          <w:rFonts w:cs="Arial"/>
        </w:rPr>
        <w:t xml:space="preserve">La operación </w:t>
      </w:r>
      <w:r w:rsidRPr="00952384">
        <w:rPr>
          <w:rFonts w:cs="Arial"/>
        </w:rPr>
        <w:t>RG-L1124</w:t>
      </w:r>
      <w:r w:rsidR="00993CEE">
        <w:rPr>
          <w:rFonts w:cs="Arial"/>
        </w:rPr>
        <w:t>,</w:t>
      </w:r>
      <w:r w:rsidRPr="00952384">
        <w:rPr>
          <w:rFonts w:cs="Arial"/>
        </w:rPr>
        <w:t xml:space="preserve"> Modernización del Complejo Hidroeléctrico Binacional Salto Grande</w:t>
      </w:r>
      <w:r w:rsidR="00993CEE">
        <w:rPr>
          <w:rFonts w:cs="Arial"/>
        </w:rPr>
        <w:t>,</w:t>
      </w:r>
      <w:r w:rsidRPr="00952384">
        <w:rPr>
          <w:rFonts w:cs="Arial"/>
        </w:rPr>
        <w:t xml:space="preserve"> </w:t>
      </w:r>
      <w:r w:rsidRPr="1AE7B4AB">
        <w:rPr>
          <w:rFonts w:cs="Arial"/>
        </w:rPr>
        <w:t>tiene como objetivo general</w:t>
      </w:r>
      <w:bookmarkStart w:id="21" w:name="_Hlk520881032"/>
      <w:r w:rsidR="00952384" w:rsidRPr="00952384">
        <w:rPr>
          <w:rFonts w:cs="Arial"/>
        </w:rPr>
        <w:t xml:space="preserve"> contribuir a garantizar la disponibilidad del Complejo Hidroeléctrico de Salto Grande (CHSG), aportando confiabilidad y eficiencia a la interconexión entre Argentina y Uruguay. El objetivo específico es contribuir a extender la vida útil del CHSG, </w:t>
      </w:r>
      <w:bookmarkEnd w:id="21"/>
      <w:r w:rsidRPr="1AE7B4AB">
        <w:rPr>
          <w:rFonts w:cs="Arial"/>
        </w:rPr>
        <w:t>incluyendo la central hidroeléctrica y el Cuadrilátero de interconexión, manteniendo una operación confiable y eficiente, mediante la modernización de su infraestructura y equipamiento. El proyecto contribuye a la integración regional mediante la contribución en tres aspectos fundamentales: (i) apoyo al ente binacional CTM, (</w:t>
      </w:r>
      <w:proofErr w:type="spellStart"/>
      <w:r w:rsidRPr="1AE7B4AB">
        <w:rPr>
          <w:rFonts w:cs="Arial"/>
        </w:rPr>
        <w:t>ii</w:t>
      </w:r>
      <w:proofErr w:type="spellEnd"/>
      <w:r w:rsidRPr="1AE7B4AB">
        <w:rPr>
          <w:rFonts w:cs="Arial"/>
        </w:rPr>
        <w:t>) modernización de activos de la central generadora, y (</w:t>
      </w:r>
      <w:proofErr w:type="spellStart"/>
      <w:r w:rsidRPr="1AE7B4AB">
        <w:rPr>
          <w:rFonts w:cs="Arial"/>
        </w:rPr>
        <w:t>iii</w:t>
      </w:r>
      <w:proofErr w:type="spellEnd"/>
      <w:r w:rsidRPr="1AE7B4AB">
        <w:rPr>
          <w:rFonts w:cs="Arial"/>
        </w:rPr>
        <w:t>) modernización de activos del Cuadrilátero de interconexión.</w:t>
      </w:r>
    </w:p>
    <w:p w14:paraId="4D049927" w14:textId="11844433" w:rsidR="009C1AB0" w:rsidRPr="00964AC4" w:rsidRDefault="1AE7B4AB" w:rsidP="00964AC4">
      <w:pPr>
        <w:pStyle w:val="Paragraph"/>
        <w:tabs>
          <w:tab w:val="num" w:pos="720"/>
        </w:tabs>
        <w:rPr>
          <w:rFonts w:cs="Arial"/>
        </w:rPr>
      </w:pPr>
      <w:r w:rsidRPr="1AE7B4AB">
        <w:rPr>
          <w:rFonts w:cs="Arial"/>
        </w:rPr>
        <w:t xml:space="preserve">El 30 de diciembre de 1946 se crea la Comisión Técnica Mixta (CTM), la cual está compuesta de igual número de Delegados de cada país, quien tiene a su cargo todos los asuntos referentes a la utilización, represamiento y derivación de las aguas del río Uruguay. La CTM tiene capacidad jurídica para actuar pública y privadamente, gestiona la operación del CHSG y la integran delegados de ambos países de quienes dependen los equipos técnicos y administrativos del organismo. Adicionalmente la fuerza de trabajo del CHSG está formada por 520 trabajadores de ambas nacionalidades. La CTM recibe recursos financieros de cada país para la operación, mantenimiento e inversiones los cuales cubren los gastos de operación del CHSG como una unidad. Los prestatarios del préstamo RG-L1124 serán la República Argentina y la República Oriental del Uruguay, mientras que la entidad ejecutora será </w:t>
      </w:r>
      <w:r w:rsidR="00206BDD">
        <w:rPr>
          <w:rFonts w:cs="Arial"/>
        </w:rPr>
        <w:t xml:space="preserve">la Secretaría de Gobierno de Energía a través de </w:t>
      </w:r>
      <w:r w:rsidRPr="1AE7B4AB">
        <w:rPr>
          <w:rFonts w:cs="Arial"/>
        </w:rPr>
        <w:t xml:space="preserve">la CTM por parte de Argentina y </w:t>
      </w:r>
      <w:r w:rsidR="00206BDD">
        <w:rPr>
          <w:rFonts w:cs="Arial"/>
        </w:rPr>
        <w:t>la CTM por</w:t>
      </w:r>
      <w:r w:rsidRPr="1AE7B4AB">
        <w:rPr>
          <w:rFonts w:cs="Arial"/>
        </w:rPr>
        <w:t xml:space="preserve"> Uruguay. El Componente II del préstamo considera el fortalecimiento institucional de la CTM como organismo ejecutor, lo que se alinea con el objetivo de integración regional al cooperar con la mejora de procedimientos operativos y el fortalecimiento del ente cuya modalidad de trabajo se basa en la coordinación, cooperación e integración económico-social entre ambos países.</w:t>
      </w:r>
    </w:p>
    <w:p w14:paraId="1DAA02CF" w14:textId="1CEB59F5" w:rsidR="00ED5A67" w:rsidRPr="00FF029E" w:rsidRDefault="1AE7B4AB" w:rsidP="003011B5">
      <w:pPr>
        <w:pStyle w:val="Paragraph"/>
      </w:pPr>
      <w:r>
        <w:t xml:space="preserve">El Componente I del préstamo estará directamente enfocado en modernizar los activos de la central hidroeléctrica, los cuales son propiedad de ambos Estados por partes iguales, para garantizar la disponibilidad de generación. Desde el punto de vista de la integración regional, la modernización de la central impactará directamente en la posibilidad de mantener el funcionamiento de los equipos para continuar manteniendo la generación de energía eléctrica y la participación como principal regulador de frecuencia del sistema interconectado. Adicionalmente, el correcto funcionamiento de la infraestructura permitirá seguir regulando el caudal de agua en el embalse para un mejor manejo del nivel del río en las ciudades que se encuentran ubicadas en ambas orillas del río en caso de inundaciones. Además, </w:t>
      </w:r>
      <w:r w:rsidRPr="1AE7B4AB">
        <w:rPr>
          <w:rFonts w:cs="Arial"/>
        </w:rPr>
        <w:t>en la coronación de la presa del CHSG se encuentra el Puente Internacional Ferrovial que une las ciudades de Salto y Concordia que permite el tránsito permanente de personas y mercadería entre ambos países y conecta los sistemas ferroviarios de Argentina, Uruguay y Paraguay. Por e</w:t>
      </w:r>
      <w:r w:rsidRPr="1AE7B4AB">
        <w:rPr>
          <w:lang w:val="es-UY"/>
        </w:rPr>
        <w:t>l puente internacional y el centro de frontera que une Argentina y Uruguay cruzaron en 2017 1.441.058 personas, un 82% más que en 2009.</w:t>
      </w:r>
      <w:r w:rsidR="00A51B30">
        <w:rPr>
          <w:rStyle w:val="FootnoteReference"/>
          <w:lang w:val="es-UY"/>
        </w:rPr>
        <w:footnoteReference w:id="17"/>
      </w:r>
      <w:r w:rsidRPr="1AE7B4AB">
        <w:rPr>
          <w:lang w:val="es-UY"/>
        </w:rPr>
        <w:t xml:space="preserve"> El 75% de los camiones que utilizan el paso tienen como origen o destino la República de Paraguay.</w:t>
      </w:r>
      <w:r w:rsidR="00A51B30">
        <w:rPr>
          <w:rStyle w:val="FootnoteReference"/>
          <w:lang w:val="es-UY"/>
        </w:rPr>
        <w:footnoteReference w:id="18"/>
      </w:r>
      <w:r w:rsidRPr="1AE7B4AB">
        <w:rPr>
          <w:lang w:val="es-UY"/>
        </w:rPr>
        <w:t xml:space="preserve"> E</w:t>
      </w:r>
      <w:r w:rsidRPr="1AE7B4AB">
        <w:rPr>
          <w:rFonts w:cs="Arial"/>
        </w:rPr>
        <w:t xml:space="preserve">l correcto mantenimiento y seguridad de la estructura es esencial para la comunicación terrestre entre los países.  </w:t>
      </w:r>
    </w:p>
    <w:p w14:paraId="26DE7722" w14:textId="786DA2D1" w:rsidR="009D6297" w:rsidRPr="00FF029E" w:rsidRDefault="1AE7B4AB" w:rsidP="00FF029E">
      <w:pPr>
        <w:pStyle w:val="Paragraph"/>
        <w:tabs>
          <w:tab w:val="num" w:pos="720"/>
        </w:tabs>
        <w:rPr>
          <w:rFonts w:cs="Arial"/>
        </w:rPr>
      </w:pPr>
      <w:r w:rsidRPr="1AE7B4AB">
        <w:rPr>
          <w:rFonts w:cs="Arial"/>
        </w:rPr>
        <w:t xml:space="preserve">Finalmente, el Componente I del préstamo financiará también la modernización de equipamiento del Cuadrilátero de interconexión. El mantenimiento del cuadrilátero estará orientado a garantizar su correcto funcionamiento como nodo de interconexión regional.  Como fue mencionado anteriormente, la interconexión permite el intercambio eléctrico lo que aporta seguridad energética a los países en momento de crisis, permite el comercio de electricidad e integración en busca de reducir los costos de generación, permite el respaldo de potencia base entre países y la posibilidad de regular frecuencia de ambos sistemas como una unidad mediante la utilización de las centrales generadoras con las mejores condiciones para ofrecer este servicio. </w:t>
      </w:r>
    </w:p>
    <w:p w14:paraId="61DB5893" w14:textId="77777777" w:rsidR="00B244A9" w:rsidRPr="000F0D30" w:rsidRDefault="00B244A9" w:rsidP="00BA49FD">
      <w:pPr>
        <w:pStyle w:val="Heading1"/>
        <w:rPr>
          <w:lang w:val="es-UY"/>
        </w:rPr>
      </w:pPr>
      <w:bookmarkStart w:id="22" w:name="_Toc519707959"/>
      <w:r w:rsidRPr="000F0D30">
        <w:rPr>
          <w:lang w:val="es-UY"/>
        </w:rPr>
        <w:t>Validación de Criterios en el Marco de la Estrategia de Integración</w:t>
      </w:r>
      <w:bookmarkEnd w:id="22"/>
    </w:p>
    <w:p w14:paraId="36E1F232" w14:textId="6A3C4EAE" w:rsidR="00B244A9" w:rsidRDefault="1AE7B4AB" w:rsidP="000A4A9F">
      <w:pPr>
        <w:pStyle w:val="Paragraph"/>
        <w:tabs>
          <w:tab w:val="num" w:pos="720"/>
        </w:tabs>
        <w:rPr>
          <w:rFonts w:eastAsia="MS Mincho" w:cs="Arial"/>
          <w:lang w:eastAsia="ja-JP"/>
        </w:rPr>
      </w:pPr>
      <w:r w:rsidRPr="1AE7B4AB">
        <w:rPr>
          <w:rFonts w:cs="Arial"/>
        </w:rPr>
        <w:t xml:space="preserve">La operación RG-L1124, está alineada estratégicamente con el Desafío Regional de Integración Económica incluido en la Estrategia Institucional del Banco 2010-2020 (GN-2788-5) al incluir en su lógica vertical el objetivo de reforzar la infraestructura nacional de transmisión de Argentina y Uruguay y la principal interconexión existente entre ambos países. Esto permitirá mantener el intercambio de energía en la región y la cooperación entre ambos sistemas para garantizar la seguridad energética. </w:t>
      </w:r>
      <w:r w:rsidR="00492AE7">
        <w:rPr>
          <w:rFonts w:cs="Arial"/>
        </w:rPr>
        <w:t xml:space="preserve">Adicionalmente, el proyecto contribuye al fortalecimiento de la integración regional al aumentar </w:t>
      </w:r>
      <w:r w:rsidR="00CA79B8">
        <w:rPr>
          <w:rFonts w:cs="Arial"/>
        </w:rPr>
        <w:t>las capacidades institucionales</w:t>
      </w:r>
      <w:r w:rsidR="00492AE7">
        <w:rPr>
          <w:rFonts w:cs="Arial"/>
        </w:rPr>
        <w:t xml:space="preserve"> de la CTM como organismo binacional cuyos objetivos se alinean con el desarrollo </w:t>
      </w:r>
      <w:r w:rsidR="006B282C">
        <w:rPr>
          <w:rFonts w:cs="Arial"/>
        </w:rPr>
        <w:t>socioeconómico</w:t>
      </w:r>
      <w:r w:rsidR="00492AE7">
        <w:rPr>
          <w:rFonts w:cs="Arial"/>
        </w:rPr>
        <w:t xml:space="preserve"> y la integración entre Argentina y Uruguay. </w:t>
      </w:r>
      <w:r w:rsidRPr="1AE7B4AB">
        <w:rPr>
          <w:rFonts w:cs="Arial"/>
        </w:rPr>
        <w:t>La Matriz de Resultados plasma esta lógica a través</w:t>
      </w:r>
      <w:r w:rsidRPr="1AE7B4AB">
        <w:rPr>
          <w:rFonts w:eastAsia="MS Mincho" w:cs="Arial"/>
          <w:lang w:eastAsia="ja-JP"/>
        </w:rPr>
        <w:t xml:space="preserve"> </w:t>
      </w:r>
      <w:r w:rsidR="00C87614">
        <w:rPr>
          <w:rFonts w:eastAsia="MS Mincho" w:cs="Arial"/>
          <w:lang w:eastAsia="ja-JP"/>
        </w:rPr>
        <w:t>de sus indicadores de resultado</w:t>
      </w:r>
      <w:r w:rsidR="00362C9E">
        <w:rPr>
          <w:rFonts w:eastAsia="MS Mincho" w:cs="Arial"/>
          <w:lang w:eastAsia="ja-JP"/>
        </w:rPr>
        <w:t xml:space="preserve"> que se detallan en la Tabla 1.</w:t>
      </w:r>
    </w:p>
    <w:p w14:paraId="0751F24B" w14:textId="4B05D6D6" w:rsidR="00362C9E" w:rsidRPr="00362C9E" w:rsidRDefault="00362C9E" w:rsidP="00362C9E">
      <w:pPr>
        <w:jc w:val="center"/>
        <w:rPr>
          <w:sz w:val="20"/>
          <w:lang w:val="es-ES_tradnl" w:eastAsia="ja-JP"/>
        </w:rPr>
      </w:pPr>
      <w:r w:rsidRPr="00362C9E">
        <w:rPr>
          <w:sz w:val="20"/>
          <w:lang w:val="es-ES_tradnl" w:eastAsia="ja-JP"/>
        </w:rPr>
        <w:t>Tabla 1: Indicadores de Resultado del Proyecto</w:t>
      </w:r>
    </w:p>
    <w:tbl>
      <w:tblPr>
        <w:tblW w:w="8182" w:type="dxa"/>
        <w:jc w:val="center"/>
        <w:tblCellMar>
          <w:left w:w="0" w:type="dxa"/>
          <w:right w:w="0" w:type="dxa"/>
        </w:tblCellMar>
        <w:tblLook w:val="04A0" w:firstRow="1" w:lastRow="0" w:firstColumn="1" w:lastColumn="0" w:noHBand="0" w:noVBand="1"/>
      </w:tblPr>
      <w:tblGrid>
        <w:gridCol w:w="8182"/>
      </w:tblGrid>
      <w:tr w:rsidR="000A4A9F" w:rsidRPr="00206BDD" w14:paraId="573F7FF4" w14:textId="77777777" w:rsidTr="00A51B30">
        <w:trPr>
          <w:trHeight w:val="408"/>
          <w:jc w:val="center"/>
        </w:trPr>
        <w:tc>
          <w:tcPr>
            <w:tcW w:w="8182" w:type="dxa"/>
            <w:shd w:val="clear" w:color="auto" w:fill="auto"/>
            <w:vAlign w:val="center"/>
          </w:tcPr>
          <w:p w14:paraId="51557A3E" w14:textId="0EE058EF" w:rsidR="000A4A9F" w:rsidRPr="00A51B30" w:rsidRDefault="000A4A9F" w:rsidP="00A51B30">
            <w:pPr>
              <w:spacing w:after="0" w:afterAutospacing="1" w:line="240" w:lineRule="auto"/>
              <w:jc w:val="left"/>
              <w:textAlignment w:val="baseline"/>
              <w:rPr>
                <w:rFonts w:eastAsia="Times New Roman" w:cs="Arial"/>
                <w:i/>
                <w:sz w:val="20"/>
                <w:szCs w:val="20"/>
                <w:lang w:val="es-UY"/>
              </w:rPr>
            </w:pPr>
            <w:r w:rsidRPr="00A51B30">
              <w:rPr>
                <w:rStyle w:val="normaltextrun"/>
                <w:rFonts w:cs="Arial"/>
                <w:b/>
                <w:bCs/>
                <w:i/>
                <w:caps/>
                <w:color w:val="000000"/>
                <w:sz w:val="20"/>
                <w:szCs w:val="20"/>
                <w:shd w:val="clear" w:color="auto" w:fill="FFFFFF"/>
                <w:lang w:val="es-ES"/>
              </w:rPr>
              <w:t>RESULTADO 1:</w:t>
            </w:r>
            <w:r w:rsidRPr="00A51B30">
              <w:rPr>
                <w:rStyle w:val="normaltextrun"/>
                <w:rFonts w:cs="Arial"/>
                <w:i/>
                <w:caps/>
                <w:color w:val="000000"/>
                <w:sz w:val="20"/>
                <w:szCs w:val="20"/>
                <w:shd w:val="clear" w:color="auto" w:fill="FFFFFF"/>
                <w:lang w:val="es-ES"/>
              </w:rPr>
              <w:t> </w:t>
            </w:r>
            <w:r w:rsidRPr="00A51B30">
              <w:rPr>
                <w:rStyle w:val="normaltextrun"/>
                <w:rFonts w:cs="Arial"/>
                <w:b/>
                <w:bCs/>
                <w:i/>
                <w:color w:val="000000"/>
                <w:sz w:val="20"/>
                <w:szCs w:val="20"/>
                <w:shd w:val="clear" w:color="auto" w:fill="FFFFFF"/>
                <w:lang w:val="es-ES"/>
              </w:rPr>
              <w:t>Mantener la disponibilidad y confiabilidad de generación y transmisión de energía del CHSG</w:t>
            </w:r>
            <w:r w:rsidRPr="00A51B30">
              <w:rPr>
                <w:rStyle w:val="normaltextrun"/>
                <w:rFonts w:cs="Arial"/>
                <w:i/>
                <w:color w:val="000000"/>
                <w:sz w:val="20"/>
                <w:szCs w:val="20"/>
                <w:shd w:val="clear" w:color="auto" w:fill="FFFFFF"/>
                <w:lang w:val="es-ES"/>
              </w:rPr>
              <w:t>.</w:t>
            </w:r>
          </w:p>
        </w:tc>
      </w:tr>
      <w:tr w:rsidR="000A4A9F" w:rsidRPr="000A4A9F" w14:paraId="720D5D95" w14:textId="77777777" w:rsidTr="00A51B30">
        <w:trPr>
          <w:trHeight w:val="408"/>
          <w:jc w:val="center"/>
        </w:trPr>
        <w:tc>
          <w:tcPr>
            <w:tcW w:w="8182" w:type="dxa"/>
            <w:shd w:val="clear" w:color="auto" w:fill="auto"/>
            <w:vAlign w:val="center"/>
            <w:hideMark/>
          </w:tcPr>
          <w:p w14:paraId="09E00295" w14:textId="77777777" w:rsidR="000A4A9F" w:rsidRPr="000A4A9F" w:rsidRDefault="000A4A9F" w:rsidP="00A51B30">
            <w:pPr>
              <w:spacing w:after="0" w:afterAutospacing="1" w:line="240" w:lineRule="auto"/>
              <w:jc w:val="left"/>
              <w:textAlignment w:val="baseline"/>
              <w:rPr>
                <w:rFonts w:ascii="Segoe UI" w:eastAsia="Times New Roman" w:hAnsi="Segoe UI" w:cs="Segoe UI"/>
                <w:sz w:val="18"/>
                <w:szCs w:val="18"/>
              </w:rPr>
            </w:pPr>
            <w:r w:rsidRPr="000A4A9F">
              <w:rPr>
                <w:rFonts w:eastAsia="Times New Roman" w:cs="Arial"/>
                <w:sz w:val="20"/>
                <w:szCs w:val="20"/>
                <w:lang w:val="es-ES"/>
              </w:rPr>
              <w:t>1.1 Disponibilidad operativa - generación</w:t>
            </w:r>
            <w:r w:rsidRPr="000A4A9F">
              <w:rPr>
                <w:rFonts w:eastAsia="Times New Roman" w:cs="Arial"/>
                <w:sz w:val="20"/>
                <w:szCs w:val="20"/>
              </w:rPr>
              <w:t> </w:t>
            </w:r>
          </w:p>
        </w:tc>
      </w:tr>
      <w:tr w:rsidR="000A4A9F" w:rsidRPr="000A4A9F" w14:paraId="01AAC24E" w14:textId="77777777" w:rsidTr="00A51B30">
        <w:trPr>
          <w:trHeight w:val="435"/>
          <w:jc w:val="center"/>
        </w:trPr>
        <w:tc>
          <w:tcPr>
            <w:tcW w:w="8182" w:type="dxa"/>
            <w:shd w:val="clear" w:color="auto" w:fill="auto"/>
            <w:vAlign w:val="center"/>
            <w:hideMark/>
          </w:tcPr>
          <w:p w14:paraId="05CC09A1" w14:textId="77777777" w:rsidR="000A4A9F" w:rsidRPr="000A4A9F" w:rsidRDefault="000A4A9F" w:rsidP="00A51B30">
            <w:pPr>
              <w:spacing w:after="0" w:afterAutospacing="1" w:line="240" w:lineRule="auto"/>
              <w:jc w:val="left"/>
              <w:textAlignment w:val="baseline"/>
              <w:rPr>
                <w:rFonts w:ascii="Segoe UI" w:eastAsia="Times New Roman" w:hAnsi="Segoe UI" w:cs="Segoe UI"/>
                <w:sz w:val="18"/>
                <w:szCs w:val="18"/>
              </w:rPr>
            </w:pPr>
            <w:r w:rsidRPr="000A4A9F">
              <w:rPr>
                <w:rFonts w:eastAsia="Times New Roman" w:cs="Arial"/>
                <w:sz w:val="20"/>
                <w:szCs w:val="20"/>
                <w:lang w:val="es-ES"/>
              </w:rPr>
              <w:t>1.2 Indisponibilidad forzada - Generación</w:t>
            </w:r>
            <w:r w:rsidRPr="000A4A9F">
              <w:rPr>
                <w:rFonts w:eastAsia="Times New Roman" w:cs="Arial"/>
                <w:sz w:val="20"/>
                <w:szCs w:val="20"/>
              </w:rPr>
              <w:t> </w:t>
            </w:r>
          </w:p>
        </w:tc>
      </w:tr>
      <w:tr w:rsidR="000A4A9F" w:rsidRPr="00206BDD" w14:paraId="51B85831" w14:textId="77777777" w:rsidTr="00A51B30">
        <w:trPr>
          <w:trHeight w:val="525"/>
          <w:jc w:val="center"/>
        </w:trPr>
        <w:tc>
          <w:tcPr>
            <w:tcW w:w="8182" w:type="dxa"/>
            <w:shd w:val="clear" w:color="auto" w:fill="auto"/>
            <w:vAlign w:val="center"/>
            <w:hideMark/>
          </w:tcPr>
          <w:p w14:paraId="0EECD3B3" w14:textId="77777777" w:rsidR="000A4A9F" w:rsidRPr="000A4A9F" w:rsidRDefault="000A4A9F" w:rsidP="00A51B30">
            <w:pPr>
              <w:spacing w:after="0" w:afterAutospacing="1" w:line="240" w:lineRule="auto"/>
              <w:jc w:val="left"/>
              <w:textAlignment w:val="baseline"/>
              <w:rPr>
                <w:rFonts w:ascii="Segoe UI" w:eastAsia="Times New Roman" w:hAnsi="Segoe UI" w:cs="Segoe UI"/>
                <w:sz w:val="18"/>
                <w:szCs w:val="18"/>
                <w:lang w:val="es-UY"/>
              </w:rPr>
            </w:pPr>
            <w:r w:rsidRPr="000A4A9F">
              <w:rPr>
                <w:rFonts w:eastAsia="Times New Roman" w:cs="Arial"/>
                <w:sz w:val="20"/>
                <w:szCs w:val="20"/>
                <w:lang w:val="es-ES"/>
              </w:rPr>
              <w:t>1.3 Disponibilidad transmisión -transformadores del cuadrilátero de 500kV</w:t>
            </w:r>
            <w:r w:rsidRPr="000A4A9F">
              <w:rPr>
                <w:rFonts w:eastAsia="Times New Roman" w:cs="Arial"/>
                <w:sz w:val="20"/>
                <w:szCs w:val="20"/>
                <w:lang w:val="es-UY"/>
              </w:rPr>
              <w:t> </w:t>
            </w:r>
          </w:p>
        </w:tc>
      </w:tr>
      <w:tr w:rsidR="000A4A9F" w:rsidRPr="00206BDD" w14:paraId="4AE6E91C" w14:textId="77777777" w:rsidTr="00A51B30">
        <w:trPr>
          <w:trHeight w:val="435"/>
          <w:jc w:val="center"/>
        </w:trPr>
        <w:tc>
          <w:tcPr>
            <w:tcW w:w="8182" w:type="dxa"/>
            <w:shd w:val="clear" w:color="auto" w:fill="auto"/>
            <w:vAlign w:val="center"/>
            <w:hideMark/>
          </w:tcPr>
          <w:p w14:paraId="281C43B7" w14:textId="77777777" w:rsidR="000A4A9F" w:rsidRPr="000A4A9F" w:rsidRDefault="000A4A9F" w:rsidP="00A51B30">
            <w:pPr>
              <w:spacing w:after="0" w:afterAutospacing="1" w:line="240" w:lineRule="auto"/>
              <w:jc w:val="left"/>
              <w:textAlignment w:val="baseline"/>
              <w:rPr>
                <w:rFonts w:ascii="Segoe UI" w:eastAsia="Times New Roman" w:hAnsi="Segoe UI" w:cs="Segoe UI"/>
                <w:sz w:val="18"/>
                <w:szCs w:val="18"/>
                <w:lang w:val="es-UY"/>
              </w:rPr>
            </w:pPr>
            <w:r w:rsidRPr="000A4A9F">
              <w:rPr>
                <w:rFonts w:eastAsia="Times New Roman" w:cs="Arial"/>
                <w:sz w:val="20"/>
                <w:szCs w:val="20"/>
                <w:lang w:val="es-ES"/>
              </w:rPr>
              <w:t>1.4 Indisponibilidad forzada transmisión - transformadores del cuadrilátero de 500kV</w:t>
            </w:r>
            <w:r w:rsidRPr="000A4A9F">
              <w:rPr>
                <w:rFonts w:eastAsia="Times New Roman" w:cs="Arial"/>
                <w:sz w:val="20"/>
                <w:szCs w:val="20"/>
                <w:lang w:val="es-UY"/>
              </w:rPr>
              <w:t> </w:t>
            </w:r>
          </w:p>
        </w:tc>
      </w:tr>
      <w:tr w:rsidR="000A4A9F" w:rsidRPr="00206BDD" w14:paraId="76BF6126" w14:textId="77777777" w:rsidTr="00A51B30">
        <w:trPr>
          <w:trHeight w:val="435"/>
          <w:jc w:val="center"/>
        </w:trPr>
        <w:tc>
          <w:tcPr>
            <w:tcW w:w="8182" w:type="dxa"/>
            <w:shd w:val="clear" w:color="auto" w:fill="auto"/>
            <w:vAlign w:val="center"/>
          </w:tcPr>
          <w:p w14:paraId="709A9E7F" w14:textId="4FC08644" w:rsidR="000A4A9F" w:rsidRPr="00A51B30" w:rsidRDefault="000A4A9F" w:rsidP="00A51B30">
            <w:pPr>
              <w:spacing w:after="0" w:afterAutospacing="1" w:line="240" w:lineRule="auto"/>
              <w:jc w:val="left"/>
              <w:textAlignment w:val="baseline"/>
              <w:rPr>
                <w:rFonts w:eastAsia="Times New Roman" w:cs="Arial"/>
                <w:i/>
                <w:sz w:val="20"/>
                <w:szCs w:val="20"/>
                <w:lang w:val="es-ES"/>
              </w:rPr>
            </w:pPr>
            <w:r w:rsidRPr="00A51B30">
              <w:rPr>
                <w:rStyle w:val="normaltextrun"/>
                <w:rFonts w:cs="Arial"/>
                <w:b/>
                <w:bCs/>
                <w:i/>
                <w:color w:val="000000"/>
                <w:sz w:val="20"/>
                <w:szCs w:val="20"/>
                <w:shd w:val="clear" w:color="auto" w:fill="FFFFFF"/>
                <w:lang w:val="es-ES"/>
              </w:rPr>
              <w:t>RESULTADO 2: Extender la vida útil del CHSG.</w:t>
            </w:r>
          </w:p>
        </w:tc>
      </w:tr>
      <w:tr w:rsidR="000A4A9F" w:rsidRPr="000A4A9F" w14:paraId="289954EE" w14:textId="77777777" w:rsidTr="00A51B30">
        <w:trPr>
          <w:trHeight w:val="435"/>
          <w:jc w:val="center"/>
        </w:trPr>
        <w:tc>
          <w:tcPr>
            <w:tcW w:w="8182" w:type="dxa"/>
            <w:shd w:val="clear" w:color="auto" w:fill="auto"/>
            <w:vAlign w:val="center"/>
            <w:hideMark/>
          </w:tcPr>
          <w:p w14:paraId="4FD14883" w14:textId="77777777" w:rsidR="000A4A9F" w:rsidRPr="000A4A9F" w:rsidRDefault="000A4A9F" w:rsidP="00A51B30">
            <w:pPr>
              <w:spacing w:after="0" w:afterAutospacing="1" w:line="240" w:lineRule="auto"/>
              <w:jc w:val="left"/>
              <w:textAlignment w:val="baseline"/>
              <w:rPr>
                <w:rFonts w:ascii="Segoe UI" w:eastAsia="Times New Roman" w:hAnsi="Segoe UI" w:cs="Segoe UI"/>
                <w:sz w:val="18"/>
                <w:szCs w:val="18"/>
              </w:rPr>
            </w:pPr>
            <w:r w:rsidRPr="000A4A9F">
              <w:rPr>
                <w:rFonts w:eastAsia="Times New Roman" w:cs="Arial"/>
                <w:sz w:val="20"/>
                <w:szCs w:val="20"/>
                <w:lang w:val="es-ES"/>
              </w:rPr>
              <w:t>2.1 Índice de Condición HydroAmp</w:t>
            </w:r>
            <w:r w:rsidRPr="000A4A9F">
              <w:rPr>
                <w:rFonts w:eastAsia="Times New Roman" w:cs="Arial"/>
                <w:sz w:val="20"/>
                <w:szCs w:val="20"/>
              </w:rPr>
              <w:t> </w:t>
            </w:r>
          </w:p>
        </w:tc>
      </w:tr>
      <w:tr w:rsidR="000A4A9F" w:rsidRPr="00206BDD" w14:paraId="447A8295" w14:textId="77777777" w:rsidTr="00A51B30">
        <w:trPr>
          <w:trHeight w:val="435"/>
          <w:jc w:val="center"/>
        </w:trPr>
        <w:tc>
          <w:tcPr>
            <w:tcW w:w="8182" w:type="dxa"/>
            <w:shd w:val="clear" w:color="auto" w:fill="auto"/>
            <w:vAlign w:val="center"/>
          </w:tcPr>
          <w:p w14:paraId="6D67DC47" w14:textId="76C51419" w:rsidR="000A4A9F" w:rsidRPr="00A51B30" w:rsidRDefault="000A4A9F" w:rsidP="00A51B30">
            <w:pPr>
              <w:spacing w:after="0" w:afterAutospacing="1" w:line="240" w:lineRule="auto"/>
              <w:jc w:val="left"/>
              <w:textAlignment w:val="baseline"/>
              <w:rPr>
                <w:rFonts w:eastAsia="Times New Roman" w:cs="Arial"/>
                <w:i/>
                <w:sz w:val="20"/>
                <w:szCs w:val="20"/>
                <w:lang w:val="es-ES"/>
              </w:rPr>
            </w:pPr>
            <w:r w:rsidRPr="00A51B30">
              <w:rPr>
                <w:rStyle w:val="normaltextrun"/>
                <w:rFonts w:cs="Arial"/>
                <w:b/>
                <w:bCs/>
                <w:i/>
                <w:color w:val="000000"/>
                <w:sz w:val="20"/>
                <w:szCs w:val="20"/>
                <w:shd w:val="clear" w:color="auto" w:fill="FFFFFF"/>
                <w:lang w:val="es-ES"/>
              </w:rPr>
              <w:t>RESULTADO 3: Fortalecimiento de la integración regional</w:t>
            </w:r>
          </w:p>
        </w:tc>
      </w:tr>
      <w:tr w:rsidR="000A4A9F" w:rsidRPr="00206BDD" w14:paraId="026D55F3" w14:textId="77777777" w:rsidTr="00A51B30">
        <w:trPr>
          <w:trHeight w:val="345"/>
          <w:jc w:val="center"/>
        </w:trPr>
        <w:tc>
          <w:tcPr>
            <w:tcW w:w="8182" w:type="dxa"/>
            <w:shd w:val="clear" w:color="auto" w:fill="auto"/>
            <w:vAlign w:val="center"/>
            <w:hideMark/>
          </w:tcPr>
          <w:p w14:paraId="065F97CE" w14:textId="1E38FEEA" w:rsidR="000A4A9F" w:rsidRPr="000A4A9F" w:rsidRDefault="000A4A9F" w:rsidP="00A51B30">
            <w:pPr>
              <w:spacing w:after="0" w:afterAutospacing="1" w:line="240" w:lineRule="auto"/>
              <w:jc w:val="left"/>
              <w:textAlignment w:val="baseline"/>
              <w:rPr>
                <w:rFonts w:ascii="Segoe UI" w:eastAsia="Times New Roman" w:hAnsi="Segoe UI" w:cs="Segoe UI"/>
                <w:sz w:val="18"/>
                <w:szCs w:val="18"/>
                <w:lang w:val="es-UY"/>
              </w:rPr>
            </w:pPr>
            <w:r w:rsidRPr="000A4A9F">
              <w:rPr>
                <w:rFonts w:eastAsia="Times New Roman" w:cs="Arial"/>
                <w:sz w:val="20"/>
                <w:szCs w:val="20"/>
                <w:lang w:val="es-ES"/>
              </w:rPr>
              <w:t xml:space="preserve">3.1 Iniciativas de Integración Regional Apoyadas – </w:t>
            </w:r>
            <w:r w:rsidR="00C100BC">
              <w:rPr>
                <w:rFonts w:eastAsia="Times New Roman" w:cs="Arial"/>
                <w:sz w:val="20"/>
                <w:szCs w:val="20"/>
                <w:lang w:val="es-ES"/>
              </w:rPr>
              <w:t xml:space="preserve">Fortalecimiento de </w:t>
            </w:r>
            <w:r w:rsidRPr="000A4A9F">
              <w:rPr>
                <w:rFonts w:eastAsia="Times New Roman" w:cs="Arial"/>
                <w:sz w:val="20"/>
                <w:szCs w:val="20"/>
                <w:lang w:val="es-ES"/>
              </w:rPr>
              <w:t>CTM como entidad binacional</w:t>
            </w:r>
            <w:r w:rsidRPr="000A4A9F">
              <w:rPr>
                <w:rFonts w:eastAsia="Times New Roman" w:cs="Arial"/>
                <w:sz w:val="20"/>
                <w:szCs w:val="20"/>
                <w:lang w:val="es-UY"/>
              </w:rPr>
              <w:t> </w:t>
            </w:r>
          </w:p>
        </w:tc>
      </w:tr>
    </w:tbl>
    <w:p w14:paraId="1FB82898" w14:textId="14D242CF" w:rsidR="00D80B0B" w:rsidRDefault="1AE7B4AB" w:rsidP="00B244A9">
      <w:pPr>
        <w:pStyle w:val="Paragraph"/>
        <w:tabs>
          <w:tab w:val="num" w:pos="720"/>
        </w:tabs>
        <w:rPr>
          <w:rFonts w:eastAsia="MS Mincho" w:cs="Arial"/>
          <w:lang w:eastAsia="ja-JP"/>
        </w:rPr>
      </w:pPr>
      <w:r w:rsidRPr="1AE7B4AB">
        <w:rPr>
          <w:rFonts w:eastAsia="MS Mincho" w:cs="Arial"/>
          <w:lang w:eastAsia="ja-JP"/>
        </w:rPr>
        <w:t xml:space="preserve">Adicionalmente, el proyecto tiene carácter de regional </w:t>
      </w:r>
      <w:r w:rsidR="006B282C" w:rsidRPr="1AE7B4AB">
        <w:rPr>
          <w:rFonts w:eastAsia="MS Mincho" w:cs="Arial"/>
          <w:lang w:eastAsia="ja-JP"/>
        </w:rPr>
        <w:t>de acuerdo con</w:t>
      </w:r>
      <w:r w:rsidRPr="1AE7B4AB">
        <w:rPr>
          <w:rFonts w:eastAsia="MS Mincho" w:cs="Arial"/>
          <w:lang w:eastAsia="ja-JP"/>
        </w:rPr>
        <w:t xml:space="preserve"> la Estrategia Sectorial de Apoyo a la Integración Competitiva Regional y Global (GN-2565-4). Una operación de integración regional se clasifica como tal en la medida en la que atiende a uno de los cuatro criterios que no son mutuamente excluyentes entre sí: (i) Focalización multinacional; (</w:t>
      </w:r>
      <w:proofErr w:type="spellStart"/>
      <w:r w:rsidRPr="1AE7B4AB">
        <w:rPr>
          <w:rFonts w:eastAsia="MS Mincho" w:cs="Arial"/>
          <w:lang w:eastAsia="ja-JP"/>
        </w:rPr>
        <w:t>ii</w:t>
      </w:r>
      <w:proofErr w:type="spellEnd"/>
      <w:r w:rsidRPr="1AE7B4AB">
        <w:rPr>
          <w:rFonts w:eastAsia="MS Mincho" w:cs="Arial"/>
          <w:lang w:eastAsia="ja-JP"/>
        </w:rPr>
        <w:t>) Subsidiariedad nacional; (</w:t>
      </w:r>
      <w:proofErr w:type="spellStart"/>
      <w:r w:rsidRPr="1AE7B4AB">
        <w:rPr>
          <w:rFonts w:eastAsia="MS Mincho" w:cs="Arial"/>
          <w:lang w:eastAsia="ja-JP"/>
        </w:rPr>
        <w:t>iii</w:t>
      </w:r>
      <w:proofErr w:type="spellEnd"/>
      <w:r w:rsidRPr="1AE7B4AB">
        <w:rPr>
          <w:rFonts w:eastAsia="MS Mincho" w:cs="Arial"/>
          <w:lang w:eastAsia="ja-JP"/>
        </w:rPr>
        <w:t>) Adicionalidad regional y; (</w:t>
      </w:r>
      <w:proofErr w:type="spellStart"/>
      <w:r w:rsidRPr="1AE7B4AB">
        <w:rPr>
          <w:rFonts w:eastAsia="MS Mincho" w:cs="Arial"/>
          <w:lang w:eastAsia="ja-JP"/>
        </w:rPr>
        <w:t>iv</w:t>
      </w:r>
      <w:proofErr w:type="spellEnd"/>
      <w:r w:rsidRPr="1AE7B4AB">
        <w:rPr>
          <w:rFonts w:eastAsia="MS Mincho" w:cs="Arial"/>
          <w:lang w:eastAsia="ja-JP"/>
        </w:rPr>
        <w:t>) Compensación de fallas de coordinación.</w:t>
      </w:r>
    </w:p>
    <w:p w14:paraId="7E3A1E23" w14:textId="64D001D2" w:rsidR="00DC41AC" w:rsidRPr="00DC41AC" w:rsidRDefault="1AE7B4AB" w:rsidP="00DC41AC">
      <w:pPr>
        <w:pStyle w:val="Paragraph"/>
        <w:tabs>
          <w:tab w:val="num" w:pos="720"/>
        </w:tabs>
        <w:rPr>
          <w:rFonts w:eastAsia="MS Mincho" w:cs="Arial"/>
          <w:lang w:eastAsia="ja-JP"/>
        </w:rPr>
      </w:pPr>
      <w:r w:rsidRPr="1AE7B4AB">
        <w:rPr>
          <w:rFonts w:eastAsia="MS Mincho" w:cs="Arial"/>
          <w:lang w:eastAsia="ja-JP"/>
        </w:rPr>
        <w:t>Con base en el alcance del programa antes expuesto, se evidencia que esta operación contribuye con la Focalización multinacional – proyectos que contribuyen de manera directa o indirecta con una mayor inserción regional o global o a la promoción de la acción colectiva y la cooperación; y la Subsidiariedad nacional - proyectos que contribuyen a la armonización de las reformas de política interna y de las inversiones nacionales o subnacionales con los objetivos transfronterizos.</w:t>
      </w:r>
    </w:p>
    <w:p w14:paraId="16A3272B" w14:textId="31396481" w:rsidR="00DC41AC" w:rsidRPr="00586616" w:rsidRDefault="1AE7B4AB" w:rsidP="00B519F9">
      <w:pPr>
        <w:pStyle w:val="Paragraph"/>
        <w:tabs>
          <w:tab w:val="num" w:pos="720"/>
        </w:tabs>
        <w:rPr>
          <w:rFonts w:eastAsia="MS Mincho" w:cs="Arial"/>
          <w:lang w:eastAsia="ja-JP"/>
        </w:rPr>
      </w:pPr>
      <w:r w:rsidRPr="1AE7B4AB">
        <w:rPr>
          <w:rFonts w:eastAsia="MS Mincho" w:cs="Arial"/>
          <w:lang w:eastAsia="ja-JP"/>
        </w:rPr>
        <w:t xml:space="preserve">El Componente I del proyecto se encuentra alineado con la Focalización Multinacional ya que contempla el financiamiento para la modernización de infraestructura que contribuye a mantener y garantizar la integración energética entre ambos países que además permite la integración regional mediante la conexión con Brasil a través de la línea </w:t>
      </w:r>
      <w:proofErr w:type="spellStart"/>
      <w:r w:rsidRPr="1AE7B4AB">
        <w:rPr>
          <w:rFonts w:eastAsia="MS Mincho" w:cs="Arial"/>
          <w:lang w:eastAsia="ja-JP"/>
        </w:rPr>
        <w:t>Yac</w:t>
      </w:r>
      <w:r w:rsidR="00CC4F04">
        <w:rPr>
          <w:rFonts w:eastAsia="MS Mincho" w:cs="Arial"/>
          <w:lang w:eastAsia="ja-JP"/>
        </w:rPr>
        <w:t>y</w:t>
      </w:r>
      <w:r w:rsidRPr="1AE7B4AB">
        <w:rPr>
          <w:rFonts w:eastAsia="MS Mincho" w:cs="Arial"/>
          <w:lang w:eastAsia="ja-JP"/>
        </w:rPr>
        <w:t>retá-Guarabí</w:t>
      </w:r>
      <w:proofErr w:type="spellEnd"/>
      <w:r w:rsidRPr="1AE7B4AB">
        <w:rPr>
          <w:rFonts w:eastAsia="MS Mincho" w:cs="Arial"/>
          <w:lang w:eastAsia="ja-JP"/>
        </w:rPr>
        <w:t xml:space="preserve">. La conexión eléctrica entre Argentina y Uruguay ha favorecido la cooperación en relación con la seguridad energética de los sistemas interconectados, así como también el trabajo en conjunto para obtener beneficios comerciales regionales al buscar reducir los costos de generación del sistema unificado. Por lo anterior y por ser la energía eléctrica un insumo esencial para la producción nacional, la operación contribuye directamente a la promoción, competitividad y mayor inserción regional y global de los países. Adicionalmente, el Componente II del proyecto considera el fortalecimiento institucional de la CTM, siendo esta un organismo internacional, con personería jurídica en Argentina y Uruguay. La CTM, como entidad binacional, es un ejemplo de trabajo en conjunto entre ambos países en todo lo relativo al funcionamiento de la central y el Cuadrilátero de interconexión. El proyecto se considera esencial para mantener la cooperación y acción colectiva en lo relativo a seguridad energética y comercialización de electricidad. </w:t>
      </w:r>
    </w:p>
    <w:p w14:paraId="7191B783" w14:textId="7F410AEA" w:rsidR="00DC41AC" w:rsidRDefault="1AE7B4AB" w:rsidP="00B519F9">
      <w:pPr>
        <w:pStyle w:val="Paragraph"/>
        <w:tabs>
          <w:tab w:val="num" w:pos="720"/>
        </w:tabs>
        <w:rPr>
          <w:rFonts w:eastAsia="MS Mincho" w:cs="Arial"/>
          <w:lang w:eastAsia="ja-JP"/>
        </w:rPr>
      </w:pPr>
      <w:r w:rsidRPr="1AE7B4AB">
        <w:rPr>
          <w:rFonts w:eastAsia="MS Mincho" w:cs="Arial"/>
          <w:lang w:eastAsia="ja-JP"/>
        </w:rPr>
        <w:t xml:space="preserve">Se trata además de un proyecto de Subsidiariedad nacional ya que, desde su concepción, considera la financiación de inversiones compartidas entre ambos países en sistemas de transmisión y activos de generación binacionales. Ambos países toman la misma proporción del préstamo con garantía soberana para ejecutar las obras de modernización de la central y Cuadrilátero. Los beneficios obtenidos por el mejoramiento de las instalaciones del CHSG serán distribuidos en partes iguales por Argentina y Uruguay al hacer un uso compartido de los recursos hídricos e instalaciones del complejo. El proyecto busca la armonización de las inversiones nacionales con los objetivos transfronterizos y regionales. </w:t>
      </w:r>
    </w:p>
    <w:p w14:paraId="2E92A2AD" w14:textId="7B668F72" w:rsidR="00C15A32" w:rsidRPr="00C15A32" w:rsidRDefault="1AE7B4AB" w:rsidP="00C15A32">
      <w:pPr>
        <w:pStyle w:val="Paragraph"/>
        <w:tabs>
          <w:tab w:val="num" w:pos="720"/>
        </w:tabs>
        <w:rPr>
          <w:rFonts w:eastAsia="MS Mincho" w:cs="Arial"/>
          <w:lang w:eastAsia="ja-JP"/>
        </w:rPr>
      </w:pPr>
      <w:r w:rsidRPr="1AE7B4AB">
        <w:rPr>
          <w:rFonts w:eastAsia="MS Mincho" w:cs="Arial"/>
          <w:lang w:eastAsia="ja-JP"/>
        </w:rPr>
        <w:t>De otra parte, las actividades que apoyan la integración y cooperación regional, globales y regionales se pueden clasificar en tres grandes ámbitos principales: (i) Infraestructura; (</w:t>
      </w:r>
      <w:proofErr w:type="spellStart"/>
      <w:r w:rsidRPr="1AE7B4AB">
        <w:rPr>
          <w:rFonts w:eastAsia="MS Mincho" w:cs="Arial"/>
          <w:lang w:eastAsia="ja-JP"/>
        </w:rPr>
        <w:t>ii</w:t>
      </w:r>
      <w:proofErr w:type="spellEnd"/>
      <w:r w:rsidRPr="1AE7B4AB">
        <w:rPr>
          <w:rFonts w:eastAsia="MS Mincho" w:cs="Arial"/>
          <w:lang w:eastAsia="ja-JP"/>
        </w:rPr>
        <w:t>) Fortalecimiento institucional y desarrollo de la capacidad y; (</w:t>
      </w:r>
      <w:proofErr w:type="spellStart"/>
      <w:r w:rsidRPr="1AE7B4AB">
        <w:rPr>
          <w:rFonts w:eastAsia="MS Mincho" w:cs="Arial"/>
          <w:lang w:eastAsia="ja-JP"/>
        </w:rPr>
        <w:t>iii</w:t>
      </w:r>
      <w:proofErr w:type="spellEnd"/>
      <w:r w:rsidRPr="1AE7B4AB">
        <w:rPr>
          <w:rFonts w:eastAsia="MS Mincho" w:cs="Arial"/>
          <w:lang w:eastAsia="ja-JP"/>
        </w:rPr>
        <w:t xml:space="preserve">) Cooperación funcional y bienes públicos regionales. De acuerdo </w:t>
      </w:r>
      <w:r w:rsidR="00A51B30">
        <w:rPr>
          <w:rFonts w:eastAsia="MS Mincho" w:cs="Arial"/>
          <w:lang w:eastAsia="ja-JP"/>
        </w:rPr>
        <w:t>con</w:t>
      </w:r>
      <w:r w:rsidRPr="1AE7B4AB">
        <w:rPr>
          <w:rFonts w:eastAsia="MS Mincho" w:cs="Arial"/>
          <w:lang w:eastAsia="ja-JP"/>
        </w:rPr>
        <w:t xml:space="preserve"> los componentes del programa, este se clasifica dentro del ámbito de Infraestructura y Fortalecimiento institucional y desarrollo de la capacidad.</w:t>
      </w:r>
    </w:p>
    <w:p w14:paraId="77A92237" w14:textId="77777777" w:rsidR="00C15A32" w:rsidRPr="00C15A32" w:rsidRDefault="00C15A32" w:rsidP="00CF1E56">
      <w:pPr>
        <w:pStyle w:val="Paragraph"/>
        <w:numPr>
          <w:ilvl w:val="0"/>
          <w:numId w:val="0"/>
        </w:numPr>
        <w:tabs>
          <w:tab w:val="num" w:pos="720"/>
          <w:tab w:val="num" w:pos="1800"/>
        </w:tabs>
        <w:ind w:left="720"/>
        <w:rPr>
          <w:rFonts w:eastAsia="MS Mincho" w:cs="Arial"/>
          <w:bCs/>
          <w:szCs w:val="22"/>
          <w:lang w:eastAsia="ja-JP"/>
        </w:rPr>
      </w:pPr>
    </w:p>
    <w:p w14:paraId="5ECCA04B" w14:textId="6B2E331D" w:rsidR="00B244A9" w:rsidRDefault="00B244A9" w:rsidP="00DF1FBE">
      <w:pPr>
        <w:rPr>
          <w:lang w:val="es-ES_tradnl"/>
        </w:rPr>
      </w:pPr>
    </w:p>
    <w:p w14:paraId="666BBF84" w14:textId="4E9F1F04" w:rsidR="00B244A9" w:rsidRDefault="00B244A9" w:rsidP="00DF1FBE">
      <w:pPr>
        <w:rPr>
          <w:lang w:val="es-ES_tradnl"/>
        </w:rPr>
      </w:pPr>
    </w:p>
    <w:p w14:paraId="4975C427" w14:textId="45F2F4FE" w:rsidR="00B244A9" w:rsidRDefault="00B244A9" w:rsidP="00DF1FBE">
      <w:pPr>
        <w:rPr>
          <w:lang w:val="es-ES_tradnl"/>
        </w:rPr>
      </w:pPr>
    </w:p>
    <w:p w14:paraId="72361582" w14:textId="77777777" w:rsidR="00455A09" w:rsidRPr="004D50B6" w:rsidRDefault="00455A09" w:rsidP="00DF1FBE">
      <w:pPr>
        <w:rPr>
          <w:lang w:val="es-UY"/>
        </w:rPr>
      </w:pPr>
    </w:p>
    <w:sectPr w:rsidR="00455A09" w:rsidRPr="004D50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3C6442" w14:textId="77777777" w:rsidR="00F4332E" w:rsidRDefault="00F4332E" w:rsidP="00E21CD3">
      <w:pPr>
        <w:spacing w:after="0" w:line="240" w:lineRule="auto"/>
      </w:pPr>
      <w:r>
        <w:separator/>
      </w:r>
    </w:p>
  </w:endnote>
  <w:endnote w:type="continuationSeparator" w:id="0">
    <w:p w14:paraId="3C08ED1B" w14:textId="77777777" w:rsidR="00F4332E" w:rsidRDefault="00F4332E" w:rsidP="00E2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A0002AEF" w:usb1="4000207B" w:usb2="00000000"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Neue">
    <w:altName w:val="Arial"/>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6BEFD" w14:textId="77777777" w:rsidR="00F4332E" w:rsidRDefault="00F4332E" w:rsidP="00E21CD3">
      <w:pPr>
        <w:spacing w:after="0" w:line="240" w:lineRule="auto"/>
      </w:pPr>
      <w:r>
        <w:separator/>
      </w:r>
    </w:p>
  </w:footnote>
  <w:footnote w:type="continuationSeparator" w:id="0">
    <w:p w14:paraId="325DB761" w14:textId="77777777" w:rsidR="00F4332E" w:rsidRDefault="00F4332E" w:rsidP="00E21CD3">
      <w:pPr>
        <w:spacing w:after="0" w:line="240" w:lineRule="auto"/>
      </w:pPr>
      <w:r>
        <w:continuationSeparator/>
      </w:r>
    </w:p>
  </w:footnote>
  <w:footnote w:id="1">
    <w:p w14:paraId="0F9BC2C3" w14:textId="4DC66B12" w:rsidR="00A51B30" w:rsidRPr="00A51B30" w:rsidRDefault="00A51B30">
      <w:pPr>
        <w:pStyle w:val="FootnoteText"/>
      </w:pPr>
      <w:r>
        <w:rPr>
          <w:rStyle w:val="FootnoteReference"/>
        </w:rPr>
        <w:footnoteRef/>
      </w:r>
      <w:r>
        <w:t xml:space="preserve"> </w:t>
      </w:r>
      <w:hyperlink r:id="rId1" w:history="1">
        <w:r w:rsidRPr="008F6332">
          <w:rPr>
            <w:rStyle w:val="Hyperlink"/>
            <w:lang w:val="es-UY"/>
          </w:rPr>
          <w:t>Balance Energético Nacional, Ministerio de Industria, Energía y Minería.</w:t>
        </w:r>
      </w:hyperlink>
    </w:p>
  </w:footnote>
  <w:footnote w:id="2">
    <w:p w14:paraId="660D51DA" w14:textId="186C91E4" w:rsidR="00087713" w:rsidRPr="00087713" w:rsidRDefault="00087713">
      <w:pPr>
        <w:pStyle w:val="FootnoteText"/>
        <w:rPr>
          <w:lang w:val="es-UY"/>
        </w:rPr>
      </w:pPr>
      <w:r>
        <w:rPr>
          <w:rStyle w:val="FootnoteReference"/>
        </w:rPr>
        <w:footnoteRef/>
      </w:r>
      <w:r>
        <w:t xml:space="preserve"> </w:t>
      </w:r>
      <w:hyperlink r:id="rId2" w:history="1">
        <w:r w:rsidRPr="008F6332">
          <w:rPr>
            <w:rStyle w:val="Hyperlink"/>
            <w:lang w:val="es-UY"/>
          </w:rPr>
          <w:t xml:space="preserve">Balance Energético Nacional, </w:t>
        </w:r>
        <w:r w:rsidR="008F6332" w:rsidRPr="008F6332">
          <w:rPr>
            <w:rStyle w:val="Hyperlink"/>
            <w:lang w:val="es-UY"/>
          </w:rPr>
          <w:t>Ministerio de Industria, Energía y Minería.</w:t>
        </w:r>
      </w:hyperlink>
    </w:p>
  </w:footnote>
  <w:footnote w:id="3">
    <w:p w14:paraId="759CE724" w14:textId="16FCBC62" w:rsidR="008F6332" w:rsidRPr="008F6332" w:rsidRDefault="008F6332">
      <w:pPr>
        <w:pStyle w:val="FootnoteText"/>
        <w:rPr>
          <w:lang w:val="es-UY"/>
        </w:rPr>
      </w:pPr>
      <w:r>
        <w:rPr>
          <w:rStyle w:val="FootnoteReference"/>
        </w:rPr>
        <w:footnoteRef/>
      </w:r>
      <w:r>
        <w:t xml:space="preserve"> </w:t>
      </w:r>
      <w:hyperlink r:id="rId3" w:history="1">
        <w:r w:rsidRPr="008F6332">
          <w:rPr>
            <w:rStyle w:val="Hyperlink"/>
            <w:lang w:val="es-UY"/>
          </w:rPr>
          <w:t>UTE</w:t>
        </w:r>
      </w:hyperlink>
    </w:p>
  </w:footnote>
  <w:footnote w:id="4">
    <w:p w14:paraId="374992BB" w14:textId="6D626357" w:rsidR="00A51B30" w:rsidRPr="00A51B30" w:rsidRDefault="00A51B30">
      <w:pPr>
        <w:pStyle w:val="FootnoteText"/>
      </w:pPr>
      <w:r>
        <w:rPr>
          <w:rStyle w:val="FootnoteReference"/>
        </w:rPr>
        <w:footnoteRef/>
      </w:r>
      <w:r>
        <w:t xml:space="preserve"> </w:t>
      </w:r>
      <w:hyperlink r:id="rId4" w:history="1">
        <w:r w:rsidRPr="008F6332">
          <w:rPr>
            <w:rStyle w:val="Hyperlink"/>
            <w:lang w:val="es-UY"/>
          </w:rPr>
          <w:t>UTE</w:t>
        </w:r>
      </w:hyperlink>
    </w:p>
  </w:footnote>
  <w:footnote w:id="5">
    <w:p w14:paraId="6F58CCAF" w14:textId="4DD9EBF7" w:rsidR="008F6332" w:rsidRPr="008F6332" w:rsidRDefault="008F6332">
      <w:pPr>
        <w:pStyle w:val="FootnoteText"/>
        <w:rPr>
          <w:lang w:val="es-UY"/>
        </w:rPr>
      </w:pPr>
      <w:r>
        <w:rPr>
          <w:rStyle w:val="FootnoteReference"/>
        </w:rPr>
        <w:footnoteRef/>
      </w:r>
      <w:r>
        <w:t xml:space="preserve"> </w:t>
      </w:r>
      <w:hyperlink r:id="rId5" w:history="1">
        <w:r w:rsidRPr="008F6332">
          <w:rPr>
            <w:rStyle w:val="Hyperlink"/>
            <w:lang w:val="es-UY"/>
          </w:rPr>
          <w:t>Balance Energético Nacional, Ministerio de Industria, Energía y Minería.</w:t>
        </w:r>
      </w:hyperlink>
    </w:p>
  </w:footnote>
  <w:footnote w:id="6">
    <w:p w14:paraId="072D00A8" w14:textId="6C761F94" w:rsidR="008F6332" w:rsidRPr="008F6332" w:rsidRDefault="008F6332">
      <w:pPr>
        <w:pStyle w:val="FootnoteText"/>
        <w:rPr>
          <w:lang w:val="es-UY"/>
        </w:rPr>
      </w:pPr>
      <w:r>
        <w:rPr>
          <w:rStyle w:val="FootnoteReference"/>
        </w:rPr>
        <w:footnoteRef/>
      </w:r>
      <w:r>
        <w:t xml:space="preserve"> </w:t>
      </w:r>
      <w:hyperlink r:id="rId6" w:history="1">
        <w:r w:rsidRPr="00BD458D">
          <w:rPr>
            <w:rStyle w:val="Hyperlink"/>
            <w:rFonts w:ascii="Arial" w:eastAsia="Arial" w:hAnsi="Arial" w:cs="Arial"/>
            <w:sz w:val="18"/>
            <w:szCs w:val="18"/>
          </w:rPr>
          <w:t>Informe mensual 12-2017</w:t>
        </w:r>
      </w:hyperlink>
      <w:r w:rsidRPr="00BD458D">
        <w:rPr>
          <w:rFonts w:ascii="Arial" w:eastAsia="Arial" w:hAnsi="Arial" w:cs="Arial"/>
          <w:sz w:val="18"/>
          <w:szCs w:val="18"/>
        </w:rPr>
        <w:t>, CAMMESA.</w:t>
      </w:r>
    </w:p>
  </w:footnote>
  <w:footnote w:id="7">
    <w:p w14:paraId="6DC691BB" w14:textId="0C3436D8" w:rsidR="008F6332" w:rsidRPr="008F6332" w:rsidRDefault="008F6332">
      <w:pPr>
        <w:pStyle w:val="FootnoteText"/>
        <w:rPr>
          <w:lang w:val="es-UY"/>
        </w:rPr>
      </w:pPr>
      <w:r>
        <w:rPr>
          <w:rStyle w:val="FootnoteReference"/>
        </w:rPr>
        <w:footnoteRef/>
      </w:r>
      <w:r>
        <w:t xml:space="preserve"> </w:t>
      </w:r>
      <w:hyperlink r:id="rId7" w:history="1">
        <w:r w:rsidRPr="00EF4CC1">
          <w:rPr>
            <w:rStyle w:val="Hyperlink"/>
            <w:rFonts w:ascii="Arial" w:hAnsi="Arial" w:cs="Arial"/>
            <w:sz w:val="18"/>
            <w:szCs w:val="18"/>
            <w:lang w:val="es-UY"/>
          </w:rPr>
          <w:t xml:space="preserve">Informe </w:t>
        </w:r>
        <w:r w:rsidR="006B282C" w:rsidRPr="00EF4CC1">
          <w:rPr>
            <w:rStyle w:val="Hyperlink"/>
            <w:rFonts w:ascii="Arial" w:hAnsi="Arial" w:cs="Arial"/>
            <w:sz w:val="18"/>
            <w:szCs w:val="18"/>
            <w:lang w:val="es-UY"/>
          </w:rPr>
          <w:t>anual</w:t>
        </w:r>
        <w:r w:rsidRPr="00EF4CC1">
          <w:rPr>
            <w:rStyle w:val="Hyperlink"/>
            <w:rFonts w:ascii="Arial" w:hAnsi="Arial" w:cs="Arial"/>
            <w:sz w:val="18"/>
            <w:szCs w:val="18"/>
            <w:lang w:val="es-UY"/>
          </w:rPr>
          <w:t xml:space="preserve"> 2017</w:t>
        </w:r>
      </w:hyperlink>
      <w:r w:rsidRPr="00EF4CC1">
        <w:rPr>
          <w:rFonts w:ascii="Arial" w:hAnsi="Arial" w:cs="Arial"/>
          <w:sz w:val="18"/>
          <w:szCs w:val="18"/>
          <w:lang w:val="es-UY"/>
        </w:rPr>
        <w:t>, CAMMESA.</w:t>
      </w:r>
    </w:p>
  </w:footnote>
  <w:footnote w:id="8">
    <w:p w14:paraId="4E252572" w14:textId="72F3053B" w:rsidR="00EA3E89" w:rsidRPr="00A86235" w:rsidRDefault="00EA3E89">
      <w:pPr>
        <w:pStyle w:val="FootnoteText"/>
        <w:rPr>
          <w:sz w:val="18"/>
          <w:szCs w:val="18"/>
        </w:rPr>
      </w:pPr>
      <w:r>
        <w:rPr>
          <w:rStyle w:val="FootnoteReference"/>
        </w:rPr>
        <w:footnoteRef/>
      </w:r>
      <w:r>
        <w:t xml:space="preserve"> </w:t>
      </w:r>
      <w:hyperlink r:id="rId8" w:history="1">
        <w:r w:rsidRPr="00A86235">
          <w:rPr>
            <w:rStyle w:val="Hyperlink"/>
            <w:rFonts w:ascii="Arial" w:hAnsi="Arial" w:cs="Arial"/>
            <w:sz w:val="18"/>
            <w:szCs w:val="18"/>
          </w:rPr>
          <w:t>Informe Mensual de MEM y MESP</w:t>
        </w:r>
        <w:r w:rsidR="00A86235" w:rsidRPr="00A86235">
          <w:rPr>
            <w:rStyle w:val="Hyperlink"/>
            <w:rFonts w:ascii="Arial" w:hAnsi="Arial" w:cs="Arial"/>
            <w:sz w:val="18"/>
            <w:szCs w:val="18"/>
          </w:rPr>
          <w:t>:</w:t>
        </w:r>
        <w:r w:rsidRPr="00A86235">
          <w:rPr>
            <w:rStyle w:val="Hyperlink"/>
            <w:rFonts w:ascii="Arial" w:hAnsi="Arial" w:cs="Arial"/>
            <w:sz w:val="18"/>
            <w:szCs w:val="18"/>
          </w:rPr>
          <w:t xml:space="preserve"> </w:t>
        </w:r>
        <w:r w:rsidR="00A86235" w:rsidRPr="00A86235">
          <w:rPr>
            <w:rStyle w:val="Hyperlink"/>
            <w:rFonts w:ascii="Arial" w:hAnsi="Arial" w:cs="Arial"/>
            <w:sz w:val="18"/>
            <w:szCs w:val="18"/>
          </w:rPr>
          <w:t>D</w:t>
        </w:r>
        <w:r w:rsidRPr="00A86235">
          <w:rPr>
            <w:rStyle w:val="Hyperlink"/>
            <w:rFonts w:ascii="Arial" w:hAnsi="Arial" w:cs="Arial"/>
            <w:sz w:val="18"/>
            <w:szCs w:val="18"/>
          </w:rPr>
          <w:t>iciembre 2017</w:t>
        </w:r>
      </w:hyperlink>
      <w:r w:rsidR="00A86235" w:rsidRPr="00A86235">
        <w:rPr>
          <w:rFonts w:ascii="Arial" w:hAnsi="Arial" w:cs="Arial"/>
          <w:sz w:val="18"/>
          <w:szCs w:val="18"/>
        </w:rPr>
        <w:t>, CAMMESA.</w:t>
      </w:r>
    </w:p>
  </w:footnote>
  <w:footnote w:id="9">
    <w:p w14:paraId="46506919" w14:textId="4B79DF1F" w:rsidR="00102174" w:rsidRPr="00DF198F" w:rsidRDefault="00102174" w:rsidP="00F37F3D">
      <w:pPr>
        <w:pStyle w:val="FootnoteText"/>
        <w:tabs>
          <w:tab w:val="left" w:pos="180"/>
        </w:tabs>
        <w:ind w:left="180" w:hanging="216"/>
        <w:rPr>
          <w:lang w:val="pt-BR"/>
        </w:rPr>
      </w:pPr>
      <w:r w:rsidRPr="00121820">
        <w:rPr>
          <w:rStyle w:val="FootnoteReference"/>
          <w:rFonts w:ascii="Arial" w:hAnsi="Arial" w:cs="Arial"/>
          <w:sz w:val="18"/>
        </w:rPr>
        <w:footnoteRef/>
      </w:r>
      <w:r w:rsidRPr="00DF198F">
        <w:rPr>
          <w:rFonts w:ascii="Arial" w:hAnsi="Arial" w:cs="Arial"/>
          <w:sz w:val="18"/>
          <w:lang w:val="pt-BR"/>
        </w:rPr>
        <w:t xml:space="preserve"> </w:t>
      </w:r>
      <w:r w:rsidR="007367FF">
        <w:rPr>
          <w:rFonts w:ascii="Arial" w:hAnsi="Arial" w:cs="Arial"/>
          <w:sz w:val="18"/>
          <w:lang w:val="pt-BR"/>
        </w:rPr>
        <w:t xml:space="preserve"> </w:t>
      </w:r>
      <w:hyperlink r:id="rId9" w:history="1">
        <w:r w:rsidRPr="00DF198F">
          <w:rPr>
            <w:rStyle w:val="Hyperlink"/>
            <w:rFonts w:ascii="Arial" w:hAnsi="Arial" w:cs="Arial"/>
            <w:sz w:val="18"/>
            <w:lang w:val="pt-BR"/>
          </w:rPr>
          <w:t>Informe anual 2016</w:t>
        </w:r>
      </w:hyperlink>
      <w:r w:rsidRPr="00DF198F">
        <w:rPr>
          <w:rFonts w:ascii="Arial" w:hAnsi="Arial" w:cs="Arial"/>
          <w:sz w:val="18"/>
          <w:lang w:val="pt-BR"/>
        </w:rPr>
        <w:t>, CAMMESA.</w:t>
      </w:r>
    </w:p>
  </w:footnote>
  <w:footnote w:id="10">
    <w:p w14:paraId="11BF5AB9" w14:textId="180D7835" w:rsidR="00A86235" w:rsidRPr="00A86235" w:rsidRDefault="00A86235">
      <w:pPr>
        <w:pStyle w:val="FootnoteText"/>
      </w:pPr>
      <w:r>
        <w:rPr>
          <w:rStyle w:val="FootnoteReference"/>
        </w:rPr>
        <w:footnoteRef/>
      </w:r>
      <w:r>
        <w:t xml:space="preserve"> </w:t>
      </w:r>
      <w:hyperlink r:id="rId10" w:history="1">
        <w:r w:rsidR="007367FF" w:rsidRPr="007367FF">
          <w:rPr>
            <w:rStyle w:val="Hyperlink"/>
            <w:rFonts w:ascii="Arial" w:hAnsi="Arial" w:cs="Arial"/>
            <w:sz w:val="18"/>
            <w:szCs w:val="18"/>
          </w:rPr>
          <w:t xml:space="preserve">Proyectos adjudicados del Programa </w:t>
        </w:r>
        <w:r w:rsidR="007367FF" w:rsidRPr="007367FF">
          <w:rPr>
            <w:rStyle w:val="Hyperlink"/>
            <w:rFonts w:ascii="Arial" w:hAnsi="Arial" w:cs="Arial"/>
            <w:sz w:val="18"/>
            <w:szCs w:val="18"/>
          </w:rPr>
          <w:t>RenovAr. Rondas 1, 1.5 y 2</w:t>
        </w:r>
      </w:hyperlink>
      <w:r w:rsidR="007367FF" w:rsidRPr="007367FF">
        <w:rPr>
          <w:rFonts w:ascii="Arial" w:hAnsi="Arial" w:cs="Arial"/>
          <w:sz w:val="18"/>
          <w:szCs w:val="18"/>
        </w:rPr>
        <w:t>, Ministerio de Energía y Minería</w:t>
      </w:r>
    </w:p>
  </w:footnote>
  <w:footnote w:id="11">
    <w:p w14:paraId="06864627" w14:textId="77777777" w:rsidR="00102174" w:rsidRPr="00DF198F" w:rsidRDefault="00102174" w:rsidP="00E00CC1">
      <w:pPr>
        <w:pStyle w:val="FootnoteText"/>
        <w:tabs>
          <w:tab w:val="left" w:pos="180"/>
        </w:tabs>
        <w:ind w:left="180" w:hanging="216"/>
        <w:rPr>
          <w:rFonts w:ascii="Arial" w:hAnsi="Arial" w:cs="Arial"/>
          <w:sz w:val="18"/>
          <w:szCs w:val="18"/>
          <w:lang w:val="pt-BR"/>
        </w:rPr>
      </w:pPr>
      <w:r w:rsidRPr="001A0519">
        <w:rPr>
          <w:rStyle w:val="FootnoteReference"/>
          <w:rFonts w:ascii="Arial" w:hAnsi="Arial" w:cs="Arial"/>
          <w:sz w:val="18"/>
          <w:szCs w:val="18"/>
        </w:rPr>
        <w:footnoteRef/>
      </w:r>
      <w:r w:rsidRPr="00DF198F">
        <w:rPr>
          <w:rFonts w:ascii="Arial" w:hAnsi="Arial" w:cs="Arial"/>
          <w:sz w:val="18"/>
          <w:szCs w:val="18"/>
          <w:lang w:val="pt-BR"/>
        </w:rPr>
        <w:t xml:space="preserve"> </w:t>
      </w:r>
      <w:r w:rsidRPr="00DF198F">
        <w:rPr>
          <w:rFonts w:ascii="Arial" w:hAnsi="Arial" w:cs="Arial"/>
          <w:sz w:val="18"/>
          <w:szCs w:val="18"/>
          <w:lang w:val="pt-BR"/>
        </w:rPr>
        <w:tab/>
      </w:r>
      <w:hyperlink r:id="rId11" w:history="1">
        <w:r w:rsidRPr="00DF198F">
          <w:rPr>
            <w:rStyle w:val="Hyperlink"/>
            <w:rFonts w:ascii="Arial" w:hAnsi="Arial" w:cs="Arial"/>
            <w:sz w:val="18"/>
            <w:szCs w:val="18"/>
            <w:lang w:val="pt-BR"/>
          </w:rPr>
          <w:t>Panfleto Institucional CHSG, 2016</w:t>
        </w:r>
      </w:hyperlink>
      <w:r w:rsidRPr="00DF198F">
        <w:rPr>
          <w:rFonts w:ascii="Arial" w:hAnsi="Arial" w:cs="Arial"/>
          <w:sz w:val="18"/>
          <w:szCs w:val="18"/>
          <w:lang w:val="pt-BR"/>
        </w:rPr>
        <w:t>.</w:t>
      </w:r>
    </w:p>
  </w:footnote>
  <w:footnote w:id="12">
    <w:p w14:paraId="4708189F" w14:textId="62A2D470" w:rsidR="00102174" w:rsidRPr="004D50B6" w:rsidRDefault="00102174">
      <w:pPr>
        <w:pStyle w:val="FootnoteText"/>
        <w:rPr>
          <w:lang w:val="es-UY"/>
        </w:rPr>
      </w:pPr>
      <w:r>
        <w:rPr>
          <w:rStyle w:val="FootnoteReference"/>
        </w:rPr>
        <w:footnoteRef/>
      </w:r>
      <w:r>
        <w:t xml:space="preserve"> </w:t>
      </w:r>
      <w:r>
        <w:rPr>
          <w:sz w:val="18"/>
          <w:szCs w:val="18"/>
        </w:rPr>
        <w:t>Suministro requerido para el obrador, durante la construcción de Salto Grande.</w:t>
      </w:r>
    </w:p>
  </w:footnote>
  <w:footnote w:id="13">
    <w:p w14:paraId="08071005" w14:textId="7165950D" w:rsidR="007367FF" w:rsidRPr="007367FF" w:rsidRDefault="007367FF">
      <w:pPr>
        <w:pStyle w:val="FootnoteText"/>
        <w:rPr>
          <w:lang w:val="es-UY"/>
        </w:rPr>
      </w:pPr>
      <w:r>
        <w:rPr>
          <w:rStyle w:val="FootnoteReference"/>
        </w:rPr>
        <w:footnoteRef/>
      </w:r>
      <w:r>
        <w:t xml:space="preserve"> </w:t>
      </w:r>
      <w:hyperlink r:id="rId12" w:history="1">
        <w:r w:rsidRPr="007367FF">
          <w:rPr>
            <w:rStyle w:val="Hyperlink"/>
            <w:rFonts w:ascii="Arial" w:hAnsi="Arial" w:cs="Arial"/>
            <w:sz w:val="18"/>
            <w:lang w:val="es-UY"/>
          </w:rPr>
          <w:t xml:space="preserve">Balance Energético Nacional, </w:t>
        </w:r>
        <w:r w:rsidRPr="007367FF">
          <w:rPr>
            <w:rStyle w:val="Hyperlink"/>
            <w:rFonts w:ascii="Arial" w:hAnsi="Arial" w:cs="Arial"/>
            <w:color w:val="auto"/>
            <w:sz w:val="18"/>
            <w:u w:val="none"/>
            <w:lang w:val="es-UY"/>
          </w:rPr>
          <w:t>Ministerio de Industria, Energía y Minería.</w:t>
        </w:r>
      </w:hyperlink>
    </w:p>
  </w:footnote>
  <w:footnote w:id="14">
    <w:p w14:paraId="04603456" w14:textId="75D9FF6E" w:rsidR="007367FF" w:rsidRPr="007367FF" w:rsidRDefault="007367FF">
      <w:pPr>
        <w:pStyle w:val="FootnoteText"/>
        <w:rPr>
          <w:lang w:val="es-UY"/>
        </w:rPr>
      </w:pPr>
      <w:r>
        <w:rPr>
          <w:rStyle w:val="FootnoteReference"/>
        </w:rPr>
        <w:footnoteRef/>
      </w:r>
      <w:r>
        <w:t xml:space="preserve"> </w:t>
      </w:r>
      <w:hyperlink r:id="rId13" w:history="1">
        <w:r w:rsidRPr="008F6332">
          <w:rPr>
            <w:rStyle w:val="Hyperlink"/>
            <w:lang w:val="es-UY"/>
          </w:rPr>
          <w:t>Balance Energético Nacional, Ministerio de Industria, Energía y Minería.</w:t>
        </w:r>
      </w:hyperlink>
    </w:p>
  </w:footnote>
  <w:footnote w:id="15">
    <w:p w14:paraId="0BD4B70E" w14:textId="5C1CCCC5" w:rsidR="007367FF" w:rsidRPr="007367FF" w:rsidRDefault="007367FF">
      <w:pPr>
        <w:pStyle w:val="FootnoteText"/>
        <w:rPr>
          <w:lang w:val="es-UY"/>
        </w:rPr>
      </w:pPr>
      <w:r>
        <w:rPr>
          <w:rStyle w:val="FootnoteReference"/>
        </w:rPr>
        <w:footnoteRef/>
      </w:r>
      <w:r>
        <w:t xml:space="preserve"> </w:t>
      </w:r>
      <w:r w:rsidRPr="007367FF">
        <w:rPr>
          <w:lang w:val="es-UY"/>
        </w:rPr>
        <w:t xml:space="preserve">Informe mensual de comercio exterior, </w:t>
      </w:r>
      <w:r>
        <w:rPr>
          <w:lang w:val="es-UY"/>
        </w:rPr>
        <w:t>Agosto 2017, Uruguay XXI.</w:t>
      </w:r>
    </w:p>
  </w:footnote>
  <w:footnote w:id="16">
    <w:p w14:paraId="0C6B9B1D" w14:textId="08B8687D" w:rsidR="007367FF" w:rsidRPr="00796544" w:rsidRDefault="007367FF">
      <w:pPr>
        <w:pStyle w:val="FootnoteText"/>
        <w:rPr>
          <w:lang w:val="es-UY"/>
        </w:rPr>
      </w:pPr>
      <w:r>
        <w:rPr>
          <w:rStyle w:val="FootnoteReference"/>
        </w:rPr>
        <w:footnoteRef/>
      </w:r>
      <w:r>
        <w:t xml:space="preserve"> </w:t>
      </w:r>
      <w:hyperlink r:id="rId14" w:history="1">
        <w:r w:rsidRPr="00796544">
          <w:rPr>
            <w:rStyle w:val="Hyperlink"/>
            <w:lang w:val="es-UY"/>
          </w:rPr>
          <w:t>El País.</w:t>
        </w:r>
      </w:hyperlink>
    </w:p>
  </w:footnote>
  <w:footnote w:id="17">
    <w:p w14:paraId="63CC01D2" w14:textId="2A83582B" w:rsidR="00A51B30" w:rsidRPr="00A51B30" w:rsidRDefault="00A51B30" w:rsidP="00A51B30">
      <w:pPr>
        <w:pStyle w:val="FootnoteText"/>
        <w:rPr>
          <w:rStyle w:val="Hyperlink"/>
        </w:rPr>
      </w:pPr>
      <w:r>
        <w:rPr>
          <w:rStyle w:val="FootnoteReference"/>
        </w:rPr>
        <w:footnoteRef/>
      </w:r>
      <w:r>
        <w:t xml:space="preserve">  </w:t>
      </w:r>
      <w:r>
        <w:fldChar w:fldCharType="begin"/>
      </w:r>
      <w:r>
        <w:instrText xml:space="preserve"> HYPERLINK "http://www.migraciones.gov.ar/accesible/indexA.php?estadisticas" </w:instrText>
      </w:r>
      <w:r>
        <w:fldChar w:fldCharType="separate"/>
      </w:r>
      <w:r w:rsidRPr="00A51B30">
        <w:rPr>
          <w:rStyle w:val="Hyperlink"/>
        </w:rPr>
        <w:t>Dirección Nacional de Migraciones (DNM), Ministerio del Interior, Obras Públicas y Vivienda (MIOPyV) de</w:t>
      </w:r>
    </w:p>
    <w:p w14:paraId="7544233C" w14:textId="3C44438F" w:rsidR="00A51B30" w:rsidRPr="00EC1AD4" w:rsidRDefault="00A51B30" w:rsidP="00A51B30">
      <w:pPr>
        <w:pStyle w:val="FootnoteText"/>
        <w:rPr>
          <w:lang w:val="es-UY"/>
        </w:rPr>
      </w:pPr>
      <w:r w:rsidRPr="00A51B30">
        <w:rPr>
          <w:rStyle w:val="Hyperlink"/>
        </w:rPr>
        <w:t>Argentina</w:t>
      </w:r>
      <w:r>
        <w:fldChar w:fldCharType="end"/>
      </w:r>
    </w:p>
  </w:footnote>
  <w:footnote w:id="18">
    <w:p w14:paraId="4F2CD99C" w14:textId="73D06624" w:rsidR="00A51B30" w:rsidRPr="00A51B30" w:rsidRDefault="00A51B30">
      <w:pPr>
        <w:pStyle w:val="FootnoteText"/>
        <w:rPr>
          <w:lang w:val="en-US"/>
        </w:rPr>
      </w:pPr>
      <w:r>
        <w:rPr>
          <w:rStyle w:val="FootnoteReference"/>
        </w:rPr>
        <w:footnoteRef/>
      </w:r>
      <w:r>
        <w:t xml:space="preserve"> </w:t>
      </w:r>
      <w:r w:rsidRPr="00A51B30">
        <w:t>Programa de Inversiones para la Mejora de la Integración Territorial entre Argentina y Uruguay. CAF,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632C5B"/>
    <w:multiLevelType w:val="hybridMultilevel"/>
    <w:tmpl w:val="FD868AF2"/>
    <w:lvl w:ilvl="0" w:tplc="0966D47E">
      <w:start w:val="1"/>
      <w:numFmt w:val="decimal"/>
      <w:pStyle w:val="Figure"/>
      <w:lvlText w:val="Figura %1."/>
      <w:lvlJc w:val="left"/>
      <w:pPr>
        <w:ind w:left="1440" w:hanging="360"/>
      </w:pPr>
      <w:rPr>
        <w:rFonts w:hint="default"/>
        <w:sz w:val="1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1770B0F"/>
    <w:multiLevelType w:val="hybridMultilevel"/>
    <w:tmpl w:val="FC9C7A72"/>
    <w:lvl w:ilvl="0" w:tplc="C8AE5C82">
      <w:start w:val="1"/>
      <w:numFmt w:val="bullet"/>
      <w:lvlText w:val="•"/>
      <w:lvlJc w:val="left"/>
      <w:pPr>
        <w:tabs>
          <w:tab w:val="num" w:pos="720"/>
        </w:tabs>
        <w:ind w:left="720" w:hanging="360"/>
      </w:pPr>
      <w:rPr>
        <w:rFonts w:ascii="Arial" w:hAnsi="Arial" w:hint="default"/>
      </w:rPr>
    </w:lvl>
    <w:lvl w:ilvl="1" w:tplc="6FF8FFAE" w:tentative="1">
      <w:start w:val="1"/>
      <w:numFmt w:val="bullet"/>
      <w:lvlText w:val="•"/>
      <w:lvlJc w:val="left"/>
      <w:pPr>
        <w:tabs>
          <w:tab w:val="num" w:pos="1440"/>
        </w:tabs>
        <w:ind w:left="1440" w:hanging="360"/>
      </w:pPr>
      <w:rPr>
        <w:rFonts w:ascii="Arial" w:hAnsi="Arial" w:hint="default"/>
      </w:rPr>
    </w:lvl>
    <w:lvl w:ilvl="2" w:tplc="3DECEF4C" w:tentative="1">
      <w:start w:val="1"/>
      <w:numFmt w:val="bullet"/>
      <w:lvlText w:val="•"/>
      <w:lvlJc w:val="left"/>
      <w:pPr>
        <w:tabs>
          <w:tab w:val="num" w:pos="2160"/>
        </w:tabs>
        <w:ind w:left="2160" w:hanging="360"/>
      </w:pPr>
      <w:rPr>
        <w:rFonts w:ascii="Arial" w:hAnsi="Arial" w:hint="default"/>
      </w:rPr>
    </w:lvl>
    <w:lvl w:ilvl="3" w:tplc="CB227008" w:tentative="1">
      <w:start w:val="1"/>
      <w:numFmt w:val="bullet"/>
      <w:lvlText w:val="•"/>
      <w:lvlJc w:val="left"/>
      <w:pPr>
        <w:tabs>
          <w:tab w:val="num" w:pos="2880"/>
        </w:tabs>
        <w:ind w:left="2880" w:hanging="360"/>
      </w:pPr>
      <w:rPr>
        <w:rFonts w:ascii="Arial" w:hAnsi="Arial" w:hint="default"/>
      </w:rPr>
    </w:lvl>
    <w:lvl w:ilvl="4" w:tplc="4A389AE4" w:tentative="1">
      <w:start w:val="1"/>
      <w:numFmt w:val="bullet"/>
      <w:lvlText w:val="•"/>
      <w:lvlJc w:val="left"/>
      <w:pPr>
        <w:tabs>
          <w:tab w:val="num" w:pos="3600"/>
        </w:tabs>
        <w:ind w:left="3600" w:hanging="360"/>
      </w:pPr>
      <w:rPr>
        <w:rFonts w:ascii="Arial" w:hAnsi="Arial" w:hint="default"/>
      </w:rPr>
    </w:lvl>
    <w:lvl w:ilvl="5" w:tplc="A04AB378" w:tentative="1">
      <w:start w:val="1"/>
      <w:numFmt w:val="bullet"/>
      <w:lvlText w:val="•"/>
      <w:lvlJc w:val="left"/>
      <w:pPr>
        <w:tabs>
          <w:tab w:val="num" w:pos="4320"/>
        </w:tabs>
        <w:ind w:left="4320" w:hanging="360"/>
      </w:pPr>
      <w:rPr>
        <w:rFonts w:ascii="Arial" w:hAnsi="Arial" w:hint="default"/>
      </w:rPr>
    </w:lvl>
    <w:lvl w:ilvl="6" w:tplc="8CD2C70A" w:tentative="1">
      <w:start w:val="1"/>
      <w:numFmt w:val="bullet"/>
      <w:lvlText w:val="•"/>
      <w:lvlJc w:val="left"/>
      <w:pPr>
        <w:tabs>
          <w:tab w:val="num" w:pos="5040"/>
        </w:tabs>
        <w:ind w:left="5040" w:hanging="360"/>
      </w:pPr>
      <w:rPr>
        <w:rFonts w:ascii="Arial" w:hAnsi="Arial" w:hint="default"/>
      </w:rPr>
    </w:lvl>
    <w:lvl w:ilvl="7" w:tplc="68C019E0" w:tentative="1">
      <w:start w:val="1"/>
      <w:numFmt w:val="bullet"/>
      <w:lvlText w:val="•"/>
      <w:lvlJc w:val="left"/>
      <w:pPr>
        <w:tabs>
          <w:tab w:val="num" w:pos="5760"/>
        </w:tabs>
        <w:ind w:left="5760" w:hanging="360"/>
      </w:pPr>
      <w:rPr>
        <w:rFonts w:ascii="Arial" w:hAnsi="Arial" w:hint="default"/>
      </w:rPr>
    </w:lvl>
    <w:lvl w:ilvl="8" w:tplc="E8102A52"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53D56863"/>
    <w:multiLevelType w:val="hybridMultilevel"/>
    <w:tmpl w:val="A8FA172E"/>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48B2D68"/>
    <w:multiLevelType w:val="hybridMultilevel"/>
    <w:tmpl w:val="559E291E"/>
    <w:lvl w:ilvl="0" w:tplc="F64A3230">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9905A8"/>
    <w:multiLevelType w:val="multilevel"/>
    <w:tmpl w:val="9DEA8C64"/>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1746"/>
        </w:tabs>
        <w:ind w:left="1746" w:hanging="1296"/>
      </w:pPr>
      <w:rPr>
        <w:b w:val="0"/>
        <w:i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5" w15:restartNumberingAfterBreak="0">
    <w:nsid w:val="722A0016"/>
    <w:multiLevelType w:val="multilevel"/>
    <w:tmpl w:val="DDC8D62E"/>
    <w:lvl w:ilvl="0">
      <w:start w:val="1"/>
      <w:numFmt w:val="upperRoman"/>
      <w:lvlText w:val="%1."/>
      <w:lvlJc w:val="left"/>
      <w:pPr>
        <w:ind w:left="360" w:hanging="720"/>
      </w:pPr>
    </w:lvl>
    <w:lvl w:ilvl="1">
      <w:start w:val="1"/>
      <w:numFmt w:val="decimal"/>
      <w:isLgl/>
      <w:lvlText w:val="%1.%2"/>
      <w:lvlJc w:val="left"/>
      <w:pPr>
        <w:ind w:left="0" w:hanging="360"/>
      </w:pPr>
      <w:rPr>
        <w:b w:val="0"/>
      </w:rPr>
    </w:lvl>
    <w:lvl w:ilvl="2">
      <w:start w:val="1"/>
      <w:numFmt w:val="lowerRoman"/>
      <w:lvlText w:val="(%3)"/>
      <w:lvlJc w:val="left"/>
      <w:pPr>
        <w:ind w:left="360" w:hanging="720"/>
      </w:pPr>
      <w:rPr>
        <w:rFonts w:hint="default"/>
      </w:rPr>
    </w:lvl>
    <w:lvl w:ilvl="3">
      <w:start w:val="1"/>
      <w:numFmt w:val="decimal"/>
      <w:isLgl/>
      <w:lvlText w:val="%1.%2.%3.%4"/>
      <w:lvlJc w:val="left"/>
      <w:pPr>
        <w:ind w:left="360" w:hanging="720"/>
      </w:pPr>
    </w:lvl>
    <w:lvl w:ilvl="4">
      <w:start w:val="1"/>
      <w:numFmt w:val="decimal"/>
      <w:isLgl/>
      <w:lvlText w:val="%1.%2.%3.%4.%5"/>
      <w:lvlJc w:val="left"/>
      <w:pPr>
        <w:ind w:left="720" w:hanging="1080"/>
      </w:pPr>
    </w:lvl>
    <w:lvl w:ilvl="5">
      <w:start w:val="1"/>
      <w:numFmt w:val="decimal"/>
      <w:isLgl/>
      <w:lvlText w:val="%1.%2.%3.%4.%5.%6"/>
      <w:lvlJc w:val="left"/>
      <w:pPr>
        <w:ind w:left="720" w:hanging="1080"/>
      </w:pPr>
    </w:lvl>
    <w:lvl w:ilvl="6">
      <w:start w:val="1"/>
      <w:numFmt w:val="decimal"/>
      <w:isLgl/>
      <w:lvlText w:val="%1.%2.%3.%4.%5.%6.%7"/>
      <w:lvlJc w:val="left"/>
      <w:pPr>
        <w:ind w:left="1080" w:hanging="1440"/>
      </w:pPr>
    </w:lvl>
    <w:lvl w:ilvl="7">
      <w:start w:val="1"/>
      <w:numFmt w:val="decimal"/>
      <w:isLgl/>
      <w:lvlText w:val="%1.%2.%3.%4.%5.%6.%7.%8"/>
      <w:lvlJc w:val="left"/>
      <w:pPr>
        <w:ind w:left="1080" w:hanging="1440"/>
      </w:pPr>
    </w:lvl>
    <w:lvl w:ilvl="8">
      <w:start w:val="1"/>
      <w:numFmt w:val="decimal"/>
      <w:isLgl/>
      <w:lvlText w:val="%1.%2.%3.%4.%5.%6.%7.%8.%9"/>
      <w:lvlJc w:val="left"/>
      <w:pPr>
        <w:ind w:left="1440" w:hanging="1800"/>
      </w:pPr>
    </w:lvl>
  </w:abstractNum>
  <w:abstractNum w:abstractNumId="6" w15:restartNumberingAfterBreak="0">
    <w:nsid w:val="77CE71BE"/>
    <w:multiLevelType w:val="hybridMultilevel"/>
    <w:tmpl w:val="9E86187C"/>
    <w:lvl w:ilvl="0" w:tplc="329CF1C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FE6232"/>
    <w:multiLevelType w:val="hybridMultilevel"/>
    <w:tmpl w:val="D86E9D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4"/>
  </w:num>
  <w:num w:numId="4">
    <w:abstractNumId w:val="0"/>
  </w:num>
  <w:num w:numId="5">
    <w:abstractNumId w:val="4"/>
  </w:num>
  <w:num w:numId="6">
    <w:abstractNumId w:val="4"/>
  </w:num>
  <w:num w:numId="7">
    <w:abstractNumId w:val="0"/>
    <w:lvlOverride w:ilvl="0">
      <w:startOverride w:val="1"/>
    </w:lvlOverride>
  </w:num>
  <w:num w:numId="8">
    <w:abstractNumId w:val="0"/>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2"/>
  </w:num>
  <w:num w:numId="18">
    <w:abstractNumId w:val="5"/>
  </w:num>
  <w:num w:numId="19">
    <w:abstractNumId w:val="4"/>
  </w:num>
  <w:num w:numId="20">
    <w:abstractNumId w:val="4"/>
  </w:num>
  <w:num w:numId="21">
    <w:abstractNumId w:val="4"/>
  </w:num>
  <w:num w:numId="22">
    <w:abstractNumId w:val="4"/>
  </w:num>
  <w:num w:numId="23">
    <w:abstractNumId w:val="4"/>
  </w:num>
  <w:num w:numId="24">
    <w:abstractNumId w:val="1"/>
  </w:num>
  <w:num w:numId="25">
    <w:abstractNumId w:val="4"/>
  </w:num>
  <w:num w:numId="26">
    <w:abstractNumId w:val="4"/>
  </w:num>
  <w:num w:numId="27">
    <w:abstractNumId w:val="4"/>
  </w:num>
  <w:num w:numId="28">
    <w:abstractNumId w:val="4"/>
  </w:num>
  <w:num w:numId="29">
    <w:abstractNumId w:val="7"/>
  </w:num>
  <w:num w:numId="30">
    <w:abstractNumId w:val="3"/>
  </w:num>
  <w:num w:numId="31">
    <w:abstractNumId w:val="3"/>
  </w:num>
  <w:num w:numId="32">
    <w:abstractNumId w:val="0"/>
    <w:lvlOverride w:ilvl="0">
      <w:startOverride w:val="1"/>
    </w:lvlOverride>
  </w:num>
  <w:num w:numId="33">
    <w:abstractNumId w:val="3"/>
  </w:num>
  <w:num w:numId="34">
    <w:abstractNumId w:val="0"/>
  </w:num>
  <w:num w:numId="35">
    <w:abstractNumId w:val="0"/>
  </w:num>
  <w:num w:numId="36">
    <w:abstractNumId w:val="0"/>
    <w:lvlOverride w:ilvl="0">
      <w:startOverride w:val="1"/>
    </w:lvlOverride>
  </w:num>
  <w:num w:numId="37">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1CD3"/>
    <w:rsid w:val="000134F8"/>
    <w:rsid w:val="00021038"/>
    <w:rsid w:val="0002335E"/>
    <w:rsid w:val="0005159B"/>
    <w:rsid w:val="00083450"/>
    <w:rsid w:val="00087713"/>
    <w:rsid w:val="00095F4D"/>
    <w:rsid w:val="000A33E9"/>
    <w:rsid w:val="000A4A9F"/>
    <w:rsid w:val="000D5146"/>
    <w:rsid w:val="000F0D30"/>
    <w:rsid w:val="00102174"/>
    <w:rsid w:val="001029B5"/>
    <w:rsid w:val="00104710"/>
    <w:rsid w:val="0011603A"/>
    <w:rsid w:val="00117476"/>
    <w:rsid w:val="00127D52"/>
    <w:rsid w:val="00134AAF"/>
    <w:rsid w:val="00137E54"/>
    <w:rsid w:val="0014453B"/>
    <w:rsid w:val="00153138"/>
    <w:rsid w:val="00154320"/>
    <w:rsid w:val="00154DAD"/>
    <w:rsid w:val="001655D0"/>
    <w:rsid w:val="00185359"/>
    <w:rsid w:val="001C392D"/>
    <w:rsid w:val="001D4E73"/>
    <w:rsid w:val="002014F8"/>
    <w:rsid w:val="00206BDD"/>
    <w:rsid w:val="00207113"/>
    <w:rsid w:val="0021246C"/>
    <w:rsid w:val="002153E6"/>
    <w:rsid w:val="00217E33"/>
    <w:rsid w:val="00237488"/>
    <w:rsid w:val="00244711"/>
    <w:rsid w:val="00266102"/>
    <w:rsid w:val="00267375"/>
    <w:rsid w:val="002A0C09"/>
    <w:rsid w:val="002A54C6"/>
    <w:rsid w:val="002B227E"/>
    <w:rsid w:val="002B40FD"/>
    <w:rsid w:val="002C62D5"/>
    <w:rsid w:val="002D1C81"/>
    <w:rsid w:val="003011B5"/>
    <w:rsid w:val="00301CBA"/>
    <w:rsid w:val="00317AC5"/>
    <w:rsid w:val="00326EA4"/>
    <w:rsid w:val="00362C9E"/>
    <w:rsid w:val="003662AC"/>
    <w:rsid w:val="00386B04"/>
    <w:rsid w:val="00387D2D"/>
    <w:rsid w:val="003A0588"/>
    <w:rsid w:val="003A2FB7"/>
    <w:rsid w:val="003A4FCA"/>
    <w:rsid w:val="003B4BCA"/>
    <w:rsid w:val="003C0AF8"/>
    <w:rsid w:val="00455A09"/>
    <w:rsid w:val="004617BC"/>
    <w:rsid w:val="00463587"/>
    <w:rsid w:val="00473074"/>
    <w:rsid w:val="0049011C"/>
    <w:rsid w:val="00492AE7"/>
    <w:rsid w:val="004C7219"/>
    <w:rsid w:val="004D50B6"/>
    <w:rsid w:val="004F0B47"/>
    <w:rsid w:val="00505185"/>
    <w:rsid w:val="0051040E"/>
    <w:rsid w:val="00510873"/>
    <w:rsid w:val="00514EF5"/>
    <w:rsid w:val="005461C6"/>
    <w:rsid w:val="00563A12"/>
    <w:rsid w:val="00572F2C"/>
    <w:rsid w:val="00581BCC"/>
    <w:rsid w:val="00586616"/>
    <w:rsid w:val="005871AB"/>
    <w:rsid w:val="00592831"/>
    <w:rsid w:val="005B744D"/>
    <w:rsid w:val="005B76FC"/>
    <w:rsid w:val="005C1564"/>
    <w:rsid w:val="005C2DC7"/>
    <w:rsid w:val="005D1D45"/>
    <w:rsid w:val="005D7195"/>
    <w:rsid w:val="005D7870"/>
    <w:rsid w:val="005E1837"/>
    <w:rsid w:val="00612FA8"/>
    <w:rsid w:val="00620E2E"/>
    <w:rsid w:val="00631D8C"/>
    <w:rsid w:val="00640AD1"/>
    <w:rsid w:val="00651744"/>
    <w:rsid w:val="00671597"/>
    <w:rsid w:val="006B282C"/>
    <w:rsid w:val="006C3787"/>
    <w:rsid w:val="006C3A00"/>
    <w:rsid w:val="00702852"/>
    <w:rsid w:val="0070599F"/>
    <w:rsid w:val="00707483"/>
    <w:rsid w:val="00707D6E"/>
    <w:rsid w:val="00720611"/>
    <w:rsid w:val="007367FF"/>
    <w:rsid w:val="00743B36"/>
    <w:rsid w:val="00745229"/>
    <w:rsid w:val="00773964"/>
    <w:rsid w:val="00796544"/>
    <w:rsid w:val="007A5280"/>
    <w:rsid w:val="007B588D"/>
    <w:rsid w:val="007C33AD"/>
    <w:rsid w:val="007E0C57"/>
    <w:rsid w:val="0080019A"/>
    <w:rsid w:val="00810F40"/>
    <w:rsid w:val="00821F77"/>
    <w:rsid w:val="00830B91"/>
    <w:rsid w:val="008335C2"/>
    <w:rsid w:val="008477D3"/>
    <w:rsid w:val="008647D6"/>
    <w:rsid w:val="00865151"/>
    <w:rsid w:val="008A02ED"/>
    <w:rsid w:val="008A7A90"/>
    <w:rsid w:val="008B6D5A"/>
    <w:rsid w:val="008C0602"/>
    <w:rsid w:val="008C1AB3"/>
    <w:rsid w:val="008C5677"/>
    <w:rsid w:val="008E0D52"/>
    <w:rsid w:val="008F6332"/>
    <w:rsid w:val="008F6A23"/>
    <w:rsid w:val="00906B3B"/>
    <w:rsid w:val="00922E3F"/>
    <w:rsid w:val="009251A4"/>
    <w:rsid w:val="0094387F"/>
    <w:rsid w:val="00952384"/>
    <w:rsid w:val="0095784C"/>
    <w:rsid w:val="00964AC4"/>
    <w:rsid w:val="00966867"/>
    <w:rsid w:val="00967999"/>
    <w:rsid w:val="00993CEE"/>
    <w:rsid w:val="009C0E93"/>
    <w:rsid w:val="009C1AB0"/>
    <w:rsid w:val="009D0254"/>
    <w:rsid w:val="009D6297"/>
    <w:rsid w:val="009F662F"/>
    <w:rsid w:val="00A01EDC"/>
    <w:rsid w:val="00A029BD"/>
    <w:rsid w:val="00A05F94"/>
    <w:rsid w:val="00A211E7"/>
    <w:rsid w:val="00A24591"/>
    <w:rsid w:val="00A438EB"/>
    <w:rsid w:val="00A50800"/>
    <w:rsid w:val="00A51B30"/>
    <w:rsid w:val="00A67342"/>
    <w:rsid w:val="00A75738"/>
    <w:rsid w:val="00A86235"/>
    <w:rsid w:val="00A928D4"/>
    <w:rsid w:val="00A93A3A"/>
    <w:rsid w:val="00A96ED2"/>
    <w:rsid w:val="00A97D27"/>
    <w:rsid w:val="00AC5DAB"/>
    <w:rsid w:val="00AD4A46"/>
    <w:rsid w:val="00AE7A83"/>
    <w:rsid w:val="00AE7BCF"/>
    <w:rsid w:val="00AF3034"/>
    <w:rsid w:val="00AF4582"/>
    <w:rsid w:val="00AF7B44"/>
    <w:rsid w:val="00B12A18"/>
    <w:rsid w:val="00B244A9"/>
    <w:rsid w:val="00B51058"/>
    <w:rsid w:val="00B519F9"/>
    <w:rsid w:val="00B800B9"/>
    <w:rsid w:val="00B920EF"/>
    <w:rsid w:val="00B95F45"/>
    <w:rsid w:val="00BA3533"/>
    <w:rsid w:val="00BA49FD"/>
    <w:rsid w:val="00BA6D36"/>
    <w:rsid w:val="00BC6423"/>
    <w:rsid w:val="00BC774F"/>
    <w:rsid w:val="00BF2D72"/>
    <w:rsid w:val="00BF5084"/>
    <w:rsid w:val="00C100BC"/>
    <w:rsid w:val="00C15A32"/>
    <w:rsid w:val="00C16AF8"/>
    <w:rsid w:val="00C34921"/>
    <w:rsid w:val="00C84107"/>
    <w:rsid w:val="00C84FBE"/>
    <w:rsid w:val="00C87614"/>
    <w:rsid w:val="00C957DC"/>
    <w:rsid w:val="00C967E6"/>
    <w:rsid w:val="00CA79B8"/>
    <w:rsid w:val="00CB37A5"/>
    <w:rsid w:val="00CC2ADD"/>
    <w:rsid w:val="00CC3661"/>
    <w:rsid w:val="00CC4F04"/>
    <w:rsid w:val="00CD0ED1"/>
    <w:rsid w:val="00CF1E56"/>
    <w:rsid w:val="00CF3146"/>
    <w:rsid w:val="00D05CCC"/>
    <w:rsid w:val="00D17023"/>
    <w:rsid w:val="00D20054"/>
    <w:rsid w:val="00D24FAF"/>
    <w:rsid w:val="00D37F8F"/>
    <w:rsid w:val="00D408F7"/>
    <w:rsid w:val="00D45C2C"/>
    <w:rsid w:val="00D8055B"/>
    <w:rsid w:val="00D805A7"/>
    <w:rsid w:val="00D80B0B"/>
    <w:rsid w:val="00D80FC0"/>
    <w:rsid w:val="00D82580"/>
    <w:rsid w:val="00DC2140"/>
    <w:rsid w:val="00DC2148"/>
    <w:rsid w:val="00DC41AC"/>
    <w:rsid w:val="00DD280B"/>
    <w:rsid w:val="00DD7B19"/>
    <w:rsid w:val="00DF198F"/>
    <w:rsid w:val="00DF1FBE"/>
    <w:rsid w:val="00E00CC1"/>
    <w:rsid w:val="00E21CD3"/>
    <w:rsid w:val="00E4003A"/>
    <w:rsid w:val="00E5039C"/>
    <w:rsid w:val="00E67133"/>
    <w:rsid w:val="00E751B2"/>
    <w:rsid w:val="00E76F3F"/>
    <w:rsid w:val="00E77EF1"/>
    <w:rsid w:val="00E9170C"/>
    <w:rsid w:val="00E9383E"/>
    <w:rsid w:val="00EA3E89"/>
    <w:rsid w:val="00EB76C2"/>
    <w:rsid w:val="00EC1AD4"/>
    <w:rsid w:val="00ED5A67"/>
    <w:rsid w:val="00EE6107"/>
    <w:rsid w:val="00EF4CC1"/>
    <w:rsid w:val="00F0249A"/>
    <w:rsid w:val="00F17E31"/>
    <w:rsid w:val="00F25F06"/>
    <w:rsid w:val="00F32A33"/>
    <w:rsid w:val="00F33D42"/>
    <w:rsid w:val="00F37F3D"/>
    <w:rsid w:val="00F4332E"/>
    <w:rsid w:val="00F4786F"/>
    <w:rsid w:val="00F60ED4"/>
    <w:rsid w:val="00F6644D"/>
    <w:rsid w:val="00F716B3"/>
    <w:rsid w:val="00F91086"/>
    <w:rsid w:val="00F97241"/>
    <w:rsid w:val="00FB42F3"/>
    <w:rsid w:val="00FB7390"/>
    <w:rsid w:val="00FE57A2"/>
    <w:rsid w:val="00FE6118"/>
    <w:rsid w:val="00FF029E"/>
    <w:rsid w:val="00FF36EE"/>
    <w:rsid w:val="1AE7B4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3416"/>
  <w15:chartTrackingRefBased/>
  <w15:docId w15:val="{2B29717B-F006-42A7-AA02-C70BF7CBA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003A"/>
    <w:pPr>
      <w:jc w:val="both"/>
    </w:pPr>
    <w:rPr>
      <w:rFonts w:ascii="Arial" w:hAnsi="Arial"/>
    </w:rPr>
  </w:style>
  <w:style w:type="paragraph" w:styleId="Heading1">
    <w:name w:val="heading 1"/>
    <w:basedOn w:val="Normal"/>
    <w:next w:val="Normal"/>
    <w:link w:val="Heading1Char"/>
    <w:uiPriority w:val="9"/>
    <w:qFormat/>
    <w:rsid w:val="007C33AD"/>
    <w:pPr>
      <w:keepNext/>
      <w:keepLines/>
      <w:numPr>
        <w:numId w:val="30"/>
      </w:numPr>
      <w:spacing w:before="240" w:after="0"/>
      <w:outlineLvl w:val="0"/>
    </w:pPr>
    <w:rPr>
      <w:rFonts w:eastAsiaTheme="majorEastAsia" w:cstheme="majorBidi"/>
      <w:b/>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1C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1CD3"/>
  </w:style>
  <w:style w:type="paragraph" w:styleId="Footer">
    <w:name w:val="footer"/>
    <w:basedOn w:val="Normal"/>
    <w:link w:val="FooterChar"/>
    <w:uiPriority w:val="99"/>
    <w:unhideWhenUsed/>
    <w:rsid w:val="00E21C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1CD3"/>
  </w:style>
  <w:style w:type="paragraph" w:styleId="ListParagraph">
    <w:name w:val="List Paragraph"/>
    <w:basedOn w:val="Normal"/>
    <w:uiPriority w:val="34"/>
    <w:qFormat/>
    <w:rsid w:val="00E21CD3"/>
    <w:pPr>
      <w:ind w:left="720"/>
      <w:contextualSpacing/>
    </w:pPr>
  </w:style>
  <w:style w:type="paragraph" w:customStyle="1" w:styleId="Chapter">
    <w:name w:val="Chapter"/>
    <w:basedOn w:val="Normal"/>
    <w:next w:val="Normal"/>
    <w:rsid w:val="00A67342"/>
    <w:pPr>
      <w:numPr>
        <w:numId w:val="2"/>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qFormat/>
    <w:rsid w:val="00AF3034"/>
    <w:pPr>
      <w:numPr>
        <w:ilvl w:val="1"/>
        <w:numId w:val="2"/>
      </w:numPr>
      <w:spacing w:before="120" w:line="240" w:lineRule="auto"/>
      <w:ind w:left="720" w:hanging="720"/>
      <w:outlineLvl w:val="1"/>
    </w:pPr>
    <w:rPr>
      <w:rFonts w:eastAsia="Times New Roman" w:cs="Times New Roman"/>
      <w:szCs w:val="20"/>
      <w:lang w:val="es-ES_tradnl"/>
    </w:rPr>
  </w:style>
  <w:style w:type="paragraph" w:customStyle="1" w:styleId="subpar">
    <w:name w:val="subpar"/>
    <w:basedOn w:val="BodyTextIndent3"/>
    <w:rsid w:val="00A67342"/>
    <w:pPr>
      <w:numPr>
        <w:ilvl w:val="2"/>
        <w:numId w:val="2"/>
      </w:numPr>
      <w:tabs>
        <w:tab w:val="clear" w:pos="2304"/>
        <w:tab w:val="num" w:pos="360"/>
      </w:tabs>
      <w:spacing w:before="120" w:line="240" w:lineRule="auto"/>
      <w:ind w:left="864" w:firstLine="0"/>
      <w:outlineLvl w:val="2"/>
    </w:pPr>
    <w:rPr>
      <w:rFonts w:ascii="Times New Roman" w:eastAsia="Times New Roman" w:hAnsi="Times New Roman" w:cs="Times New Roman"/>
      <w:sz w:val="24"/>
      <w:lang w:val="es-ES_tradnl"/>
    </w:rPr>
  </w:style>
  <w:style w:type="paragraph" w:customStyle="1" w:styleId="SubSubPar">
    <w:name w:val="SubSubPar"/>
    <w:basedOn w:val="subpar"/>
    <w:rsid w:val="00A67342"/>
    <w:pPr>
      <w:numPr>
        <w:ilvl w:val="3"/>
      </w:numPr>
      <w:tabs>
        <w:tab w:val="clear" w:pos="2736"/>
        <w:tab w:val="left" w:pos="0"/>
        <w:tab w:val="num" w:pos="360"/>
        <w:tab w:val="num" w:pos="1296"/>
      </w:tabs>
      <w:ind w:left="1296"/>
    </w:pPr>
  </w:style>
  <w:style w:type="character" w:styleId="Hyperlink">
    <w:name w:val="Hyperlink"/>
    <w:rsid w:val="00A67342"/>
    <w:rPr>
      <w:color w:val="0000FF"/>
      <w:u w:val="single"/>
    </w:rPr>
  </w:style>
  <w:style w:type="paragraph" w:styleId="FootnoteText">
    <w:name w:val="footnote text"/>
    <w:aliases w:val="fn,Texto de rodapé,nota_rodapé,nota de rodapé,Geneva 9,Font: Geneva 9,Boston 10,f,footnote,single space,FOOTNOTES,footnote text,Footnote Text Char Char,foottextfr,foottextf,Footnote Text arial11"/>
    <w:basedOn w:val="Normal"/>
    <w:link w:val="FootnoteTextChar"/>
    <w:uiPriority w:val="99"/>
    <w:rsid w:val="00A67342"/>
    <w:pPr>
      <w:spacing w:after="0" w:line="240" w:lineRule="auto"/>
    </w:pPr>
    <w:rPr>
      <w:rFonts w:ascii="Times New Roman" w:eastAsia="Times New Roman" w:hAnsi="Times New Roman" w:cs="Times New Roman"/>
      <w:sz w:val="20"/>
      <w:szCs w:val="20"/>
      <w:lang w:val="es-ES_tradnl"/>
    </w:rPr>
  </w:style>
  <w:style w:type="character" w:customStyle="1" w:styleId="FootnoteTextChar">
    <w:name w:val="Footnote Text Char"/>
    <w:aliases w:val="fn Char,Texto de rodapé Char,nota_rodapé Char,nota de rodapé Char,Geneva 9 Char,Font: Geneva 9 Char,Boston 10 Char,f Char,footnote Char,single space Char,FOOTNOTES Char,footnote text Char,Footnote Text Char Char Char,foottextfr Char"/>
    <w:basedOn w:val="DefaultParagraphFont"/>
    <w:link w:val="FootnoteText"/>
    <w:uiPriority w:val="99"/>
    <w:rsid w:val="00A67342"/>
    <w:rPr>
      <w:rFonts w:ascii="Times New Roman" w:eastAsia="Times New Roman" w:hAnsi="Times New Roman" w:cs="Times New Roman"/>
      <w:sz w:val="20"/>
      <w:szCs w:val="20"/>
      <w:lang w:val="es-ES_tradnl"/>
    </w:rPr>
  </w:style>
  <w:style w:type="character" w:styleId="FootnoteReference">
    <w:name w:val="footnote reference"/>
    <w:aliases w:val="FC,16 Point,Superscript 6 Point,Footnote Referencefr,Footnote Referencef,Style 24,F1,Footnote Referencefra,de nota al pie,(Ref. de nota al pie),referencia nota al pie,Ref. de nota al pi,Ref,o,ftref,Fußnotenzeichen DISS"/>
    <w:uiPriority w:val="99"/>
    <w:rsid w:val="00A67342"/>
    <w:rPr>
      <w:vertAlign w:val="superscript"/>
    </w:rPr>
  </w:style>
  <w:style w:type="paragraph" w:styleId="BodyTextIndent">
    <w:name w:val="Body Text Indent"/>
    <w:basedOn w:val="Normal"/>
    <w:link w:val="BodyTextIndentChar"/>
    <w:uiPriority w:val="99"/>
    <w:semiHidden/>
    <w:unhideWhenUsed/>
    <w:rsid w:val="00A67342"/>
    <w:pPr>
      <w:spacing w:after="120"/>
      <w:ind w:left="360"/>
    </w:pPr>
  </w:style>
  <w:style w:type="character" w:customStyle="1" w:styleId="BodyTextIndentChar">
    <w:name w:val="Body Text Indent Char"/>
    <w:basedOn w:val="DefaultParagraphFont"/>
    <w:link w:val="BodyTextIndent"/>
    <w:uiPriority w:val="99"/>
    <w:semiHidden/>
    <w:rsid w:val="00A67342"/>
  </w:style>
  <w:style w:type="paragraph" w:styleId="BodyTextIndent3">
    <w:name w:val="Body Text Indent 3"/>
    <w:basedOn w:val="Normal"/>
    <w:link w:val="BodyTextIndent3Char"/>
    <w:uiPriority w:val="99"/>
    <w:semiHidden/>
    <w:unhideWhenUsed/>
    <w:rsid w:val="00A67342"/>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A67342"/>
    <w:rPr>
      <w:sz w:val="16"/>
      <w:szCs w:val="16"/>
    </w:rPr>
  </w:style>
  <w:style w:type="paragraph" w:customStyle="1" w:styleId="Figure">
    <w:name w:val="Figure"/>
    <w:basedOn w:val="Paragraph"/>
    <w:qFormat/>
    <w:rsid w:val="0014453B"/>
    <w:pPr>
      <w:numPr>
        <w:ilvl w:val="0"/>
        <w:numId w:val="4"/>
      </w:numPr>
      <w:jc w:val="center"/>
    </w:pPr>
    <w:rPr>
      <w:rFonts w:cs="Arial"/>
      <w:sz w:val="18"/>
      <w:szCs w:val="22"/>
    </w:rPr>
  </w:style>
  <w:style w:type="character" w:styleId="CommentReference">
    <w:name w:val="annotation reference"/>
    <w:basedOn w:val="DefaultParagraphFont"/>
    <w:uiPriority w:val="99"/>
    <w:semiHidden/>
    <w:unhideWhenUsed/>
    <w:rsid w:val="00BC6423"/>
    <w:rPr>
      <w:sz w:val="16"/>
      <w:szCs w:val="16"/>
    </w:rPr>
  </w:style>
  <w:style w:type="paragraph" w:styleId="CommentText">
    <w:name w:val="annotation text"/>
    <w:basedOn w:val="Normal"/>
    <w:link w:val="CommentTextChar"/>
    <w:uiPriority w:val="99"/>
    <w:semiHidden/>
    <w:unhideWhenUsed/>
    <w:rsid w:val="00BC6423"/>
    <w:pPr>
      <w:spacing w:line="240" w:lineRule="auto"/>
    </w:pPr>
    <w:rPr>
      <w:sz w:val="20"/>
      <w:szCs w:val="20"/>
    </w:rPr>
  </w:style>
  <w:style w:type="character" w:customStyle="1" w:styleId="CommentTextChar">
    <w:name w:val="Comment Text Char"/>
    <w:basedOn w:val="DefaultParagraphFont"/>
    <w:link w:val="CommentText"/>
    <w:uiPriority w:val="99"/>
    <w:semiHidden/>
    <w:rsid w:val="00BC6423"/>
    <w:rPr>
      <w:sz w:val="20"/>
      <w:szCs w:val="20"/>
    </w:rPr>
  </w:style>
  <w:style w:type="paragraph" w:styleId="CommentSubject">
    <w:name w:val="annotation subject"/>
    <w:basedOn w:val="CommentText"/>
    <w:next w:val="CommentText"/>
    <w:link w:val="CommentSubjectChar"/>
    <w:uiPriority w:val="99"/>
    <w:semiHidden/>
    <w:unhideWhenUsed/>
    <w:rsid w:val="00BC6423"/>
    <w:rPr>
      <w:b/>
      <w:bCs/>
    </w:rPr>
  </w:style>
  <w:style w:type="character" w:customStyle="1" w:styleId="CommentSubjectChar">
    <w:name w:val="Comment Subject Char"/>
    <w:basedOn w:val="CommentTextChar"/>
    <w:link w:val="CommentSubject"/>
    <w:uiPriority w:val="99"/>
    <w:semiHidden/>
    <w:rsid w:val="00BC6423"/>
    <w:rPr>
      <w:b/>
      <w:bCs/>
      <w:sz w:val="20"/>
      <w:szCs w:val="20"/>
    </w:rPr>
  </w:style>
  <w:style w:type="paragraph" w:styleId="BalloonText">
    <w:name w:val="Balloon Text"/>
    <w:basedOn w:val="Normal"/>
    <w:link w:val="BalloonTextChar"/>
    <w:uiPriority w:val="99"/>
    <w:semiHidden/>
    <w:unhideWhenUsed/>
    <w:rsid w:val="00BC64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6423"/>
    <w:rPr>
      <w:rFonts w:ascii="Segoe UI" w:hAnsi="Segoe UI" w:cs="Segoe UI"/>
      <w:sz w:val="18"/>
      <w:szCs w:val="18"/>
    </w:rPr>
  </w:style>
  <w:style w:type="paragraph" w:styleId="BodyText">
    <w:name w:val="Body Text"/>
    <w:basedOn w:val="Normal"/>
    <w:link w:val="BodyTextChar"/>
    <w:uiPriority w:val="99"/>
    <w:semiHidden/>
    <w:unhideWhenUsed/>
    <w:rsid w:val="002A0C09"/>
    <w:pPr>
      <w:spacing w:after="120"/>
    </w:pPr>
  </w:style>
  <w:style w:type="character" w:customStyle="1" w:styleId="BodyTextChar">
    <w:name w:val="Body Text Char"/>
    <w:basedOn w:val="DefaultParagraphFont"/>
    <w:link w:val="BodyText"/>
    <w:uiPriority w:val="99"/>
    <w:semiHidden/>
    <w:rsid w:val="002A0C09"/>
  </w:style>
  <w:style w:type="paragraph" w:customStyle="1" w:styleId="ColorfulList-Accent11">
    <w:name w:val="Colorful List - Accent 11"/>
    <w:basedOn w:val="Normal"/>
    <w:uiPriority w:val="34"/>
    <w:qFormat/>
    <w:rsid w:val="002A0C09"/>
    <w:pPr>
      <w:suppressAutoHyphens/>
      <w:autoSpaceDN w:val="0"/>
      <w:spacing w:before="120" w:after="120" w:line="240" w:lineRule="auto"/>
      <w:ind w:left="720"/>
      <w:textAlignment w:val="baseline"/>
    </w:pPr>
    <w:rPr>
      <w:rFonts w:ascii="Calibri" w:eastAsia="Calibri" w:hAnsi="Calibri" w:cs="Times New Roman"/>
      <w:lang w:val="es-ES_tradnl"/>
    </w:rPr>
  </w:style>
  <w:style w:type="paragraph" w:customStyle="1" w:styleId="Newpage">
    <w:name w:val="Newpage"/>
    <w:basedOn w:val="Chapter"/>
    <w:rsid w:val="002A0C09"/>
    <w:pPr>
      <w:keepNext/>
      <w:numPr>
        <w:numId w:val="0"/>
      </w:numPr>
      <w:tabs>
        <w:tab w:val="clear" w:pos="1440"/>
        <w:tab w:val="left" w:pos="3060"/>
      </w:tabs>
      <w:spacing w:after="0"/>
    </w:pPr>
    <w:rPr>
      <w:lang w:val="es-ES"/>
    </w:rPr>
  </w:style>
  <w:style w:type="character" w:customStyle="1" w:styleId="Heading1Char">
    <w:name w:val="Heading 1 Char"/>
    <w:basedOn w:val="DefaultParagraphFont"/>
    <w:link w:val="Heading1"/>
    <w:uiPriority w:val="9"/>
    <w:rsid w:val="007C33AD"/>
    <w:rPr>
      <w:rFonts w:ascii="Arial" w:eastAsiaTheme="majorEastAsia" w:hAnsi="Arial" w:cstheme="majorBidi"/>
      <w:b/>
      <w:szCs w:val="32"/>
    </w:rPr>
  </w:style>
  <w:style w:type="paragraph" w:styleId="TOCHeading">
    <w:name w:val="TOC Heading"/>
    <w:basedOn w:val="Heading1"/>
    <w:next w:val="Normal"/>
    <w:uiPriority w:val="39"/>
    <w:unhideWhenUsed/>
    <w:qFormat/>
    <w:rsid w:val="00E4003A"/>
    <w:pPr>
      <w:numPr>
        <w:numId w:val="0"/>
      </w:numPr>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E4003A"/>
    <w:pPr>
      <w:spacing w:after="100"/>
    </w:pPr>
  </w:style>
  <w:style w:type="paragraph" w:styleId="TOC2">
    <w:name w:val="toc 2"/>
    <w:basedOn w:val="Normal"/>
    <w:next w:val="Normal"/>
    <w:autoRedefine/>
    <w:uiPriority w:val="39"/>
    <w:unhideWhenUsed/>
    <w:rsid w:val="00E4003A"/>
    <w:pPr>
      <w:spacing w:after="100"/>
      <w:ind w:left="220"/>
    </w:pPr>
  </w:style>
  <w:style w:type="character" w:customStyle="1" w:styleId="normaltextrun">
    <w:name w:val="normaltextrun"/>
    <w:basedOn w:val="DefaultParagraphFont"/>
    <w:rsid w:val="000A4A9F"/>
  </w:style>
  <w:style w:type="character" w:customStyle="1" w:styleId="eop">
    <w:name w:val="eop"/>
    <w:basedOn w:val="DefaultParagraphFont"/>
    <w:rsid w:val="000A4A9F"/>
  </w:style>
  <w:style w:type="character" w:customStyle="1" w:styleId="spellingerror">
    <w:name w:val="spellingerror"/>
    <w:basedOn w:val="DefaultParagraphFont"/>
    <w:rsid w:val="000A4A9F"/>
  </w:style>
  <w:style w:type="character" w:styleId="UnresolvedMention">
    <w:name w:val="Unresolved Mention"/>
    <w:basedOn w:val="DefaultParagraphFont"/>
    <w:uiPriority w:val="99"/>
    <w:semiHidden/>
    <w:unhideWhenUsed/>
    <w:rsid w:val="008F63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729002">
      <w:bodyDiv w:val="1"/>
      <w:marLeft w:val="0"/>
      <w:marRight w:val="0"/>
      <w:marTop w:val="0"/>
      <w:marBottom w:val="0"/>
      <w:divBdr>
        <w:top w:val="none" w:sz="0" w:space="0" w:color="auto"/>
        <w:left w:val="none" w:sz="0" w:space="0" w:color="auto"/>
        <w:bottom w:val="none" w:sz="0" w:space="0" w:color="auto"/>
        <w:right w:val="none" w:sz="0" w:space="0" w:color="auto"/>
      </w:divBdr>
      <w:divsChild>
        <w:div w:id="1563517400">
          <w:marLeft w:val="360"/>
          <w:marRight w:val="0"/>
          <w:marTop w:val="0"/>
          <w:marBottom w:val="0"/>
          <w:divBdr>
            <w:top w:val="none" w:sz="0" w:space="0" w:color="auto"/>
            <w:left w:val="none" w:sz="0" w:space="0" w:color="auto"/>
            <w:bottom w:val="none" w:sz="0" w:space="0" w:color="auto"/>
            <w:right w:val="none" w:sz="0" w:space="0" w:color="auto"/>
          </w:divBdr>
        </w:div>
      </w:divsChild>
    </w:div>
    <w:div w:id="1058866467">
      <w:bodyDiv w:val="1"/>
      <w:marLeft w:val="0"/>
      <w:marRight w:val="0"/>
      <w:marTop w:val="0"/>
      <w:marBottom w:val="0"/>
      <w:divBdr>
        <w:top w:val="none" w:sz="0" w:space="0" w:color="auto"/>
        <w:left w:val="none" w:sz="0" w:space="0" w:color="auto"/>
        <w:bottom w:val="none" w:sz="0" w:space="0" w:color="auto"/>
        <w:right w:val="none" w:sz="0" w:space="0" w:color="auto"/>
      </w:divBdr>
    </w:div>
    <w:div w:id="1407999575">
      <w:bodyDiv w:val="1"/>
      <w:marLeft w:val="0"/>
      <w:marRight w:val="0"/>
      <w:marTop w:val="0"/>
      <w:marBottom w:val="0"/>
      <w:divBdr>
        <w:top w:val="none" w:sz="0" w:space="0" w:color="auto"/>
        <w:left w:val="none" w:sz="0" w:space="0" w:color="auto"/>
        <w:bottom w:val="none" w:sz="0" w:space="0" w:color="auto"/>
        <w:right w:val="none" w:sz="0" w:space="0" w:color="auto"/>
      </w:divBdr>
      <w:divsChild>
        <w:div w:id="1079446318">
          <w:marLeft w:val="0"/>
          <w:marRight w:val="0"/>
          <w:marTop w:val="0"/>
          <w:marBottom w:val="0"/>
          <w:divBdr>
            <w:top w:val="none" w:sz="0" w:space="0" w:color="auto"/>
            <w:left w:val="none" w:sz="0" w:space="0" w:color="auto"/>
            <w:bottom w:val="none" w:sz="0" w:space="0" w:color="auto"/>
            <w:right w:val="none" w:sz="0" w:space="0" w:color="auto"/>
          </w:divBdr>
          <w:divsChild>
            <w:div w:id="1220438148">
              <w:marLeft w:val="0"/>
              <w:marRight w:val="0"/>
              <w:marTop w:val="0"/>
              <w:marBottom w:val="0"/>
              <w:divBdr>
                <w:top w:val="none" w:sz="0" w:space="0" w:color="auto"/>
                <w:left w:val="none" w:sz="0" w:space="0" w:color="auto"/>
                <w:bottom w:val="none" w:sz="0" w:space="0" w:color="auto"/>
                <w:right w:val="none" w:sz="0" w:space="0" w:color="auto"/>
              </w:divBdr>
            </w:div>
          </w:divsChild>
        </w:div>
        <w:div w:id="1769931694">
          <w:marLeft w:val="0"/>
          <w:marRight w:val="0"/>
          <w:marTop w:val="0"/>
          <w:marBottom w:val="0"/>
          <w:divBdr>
            <w:top w:val="none" w:sz="0" w:space="0" w:color="auto"/>
            <w:left w:val="none" w:sz="0" w:space="0" w:color="auto"/>
            <w:bottom w:val="none" w:sz="0" w:space="0" w:color="auto"/>
            <w:right w:val="none" w:sz="0" w:space="0" w:color="auto"/>
          </w:divBdr>
          <w:divsChild>
            <w:div w:id="1559243048">
              <w:marLeft w:val="0"/>
              <w:marRight w:val="0"/>
              <w:marTop w:val="0"/>
              <w:marBottom w:val="0"/>
              <w:divBdr>
                <w:top w:val="none" w:sz="0" w:space="0" w:color="auto"/>
                <w:left w:val="none" w:sz="0" w:space="0" w:color="auto"/>
                <w:bottom w:val="none" w:sz="0" w:space="0" w:color="auto"/>
                <w:right w:val="none" w:sz="0" w:space="0" w:color="auto"/>
              </w:divBdr>
            </w:div>
          </w:divsChild>
        </w:div>
        <w:div w:id="289942821">
          <w:marLeft w:val="0"/>
          <w:marRight w:val="0"/>
          <w:marTop w:val="0"/>
          <w:marBottom w:val="0"/>
          <w:divBdr>
            <w:top w:val="none" w:sz="0" w:space="0" w:color="auto"/>
            <w:left w:val="none" w:sz="0" w:space="0" w:color="auto"/>
            <w:bottom w:val="none" w:sz="0" w:space="0" w:color="auto"/>
            <w:right w:val="none" w:sz="0" w:space="0" w:color="auto"/>
          </w:divBdr>
          <w:divsChild>
            <w:div w:id="1151676073">
              <w:marLeft w:val="0"/>
              <w:marRight w:val="0"/>
              <w:marTop w:val="0"/>
              <w:marBottom w:val="0"/>
              <w:divBdr>
                <w:top w:val="none" w:sz="0" w:space="0" w:color="auto"/>
                <w:left w:val="none" w:sz="0" w:space="0" w:color="auto"/>
                <w:bottom w:val="none" w:sz="0" w:space="0" w:color="auto"/>
                <w:right w:val="none" w:sz="0" w:space="0" w:color="auto"/>
              </w:divBdr>
            </w:div>
          </w:divsChild>
        </w:div>
        <w:div w:id="13309218">
          <w:marLeft w:val="0"/>
          <w:marRight w:val="0"/>
          <w:marTop w:val="0"/>
          <w:marBottom w:val="0"/>
          <w:divBdr>
            <w:top w:val="none" w:sz="0" w:space="0" w:color="auto"/>
            <w:left w:val="none" w:sz="0" w:space="0" w:color="auto"/>
            <w:bottom w:val="none" w:sz="0" w:space="0" w:color="auto"/>
            <w:right w:val="none" w:sz="0" w:space="0" w:color="auto"/>
          </w:divBdr>
          <w:divsChild>
            <w:div w:id="1983804934">
              <w:marLeft w:val="0"/>
              <w:marRight w:val="0"/>
              <w:marTop w:val="0"/>
              <w:marBottom w:val="0"/>
              <w:divBdr>
                <w:top w:val="none" w:sz="0" w:space="0" w:color="auto"/>
                <w:left w:val="none" w:sz="0" w:space="0" w:color="auto"/>
                <w:bottom w:val="none" w:sz="0" w:space="0" w:color="auto"/>
                <w:right w:val="none" w:sz="0" w:space="0" w:color="auto"/>
              </w:divBdr>
            </w:div>
          </w:divsChild>
        </w:div>
        <w:div w:id="1613239979">
          <w:marLeft w:val="0"/>
          <w:marRight w:val="0"/>
          <w:marTop w:val="0"/>
          <w:marBottom w:val="0"/>
          <w:divBdr>
            <w:top w:val="none" w:sz="0" w:space="0" w:color="auto"/>
            <w:left w:val="none" w:sz="0" w:space="0" w:color="auto"/>
            <w:bottom w:val="none" w:sz="0" w:space="0" w:color="auto"/>
            <w:right w:val="none" w:sz="0" w:space="0" w:color="auto"/>
          </w:divBdr>
          <w:divsChild>
            <w:div w:id="911741382">
              <w:marLeft w:val="0"/>
              <w:marRight w:val="0"/>
              <w:marTop w:val="0"/>
              <w:marBottom w:val="0"/>
              <w:divBdr>
                <w:top w:val="none" w:sz="0" w:space="0" w:color="auto"/>
                <w:left w:val="none" w:sz="0" w:space="0" w:color="auto"/>
                <w:bottom w:val="none" w:sz="0" w:space="0" w:color="auto"/>
                <w:right w:val="none" w:sz="0" w:space="0" w:color="auto"/>
              </w:divBdr>
            </w:div>
          </w:divsChild>
        </w:div>
        <w:div w:id="2063676919">
          <w:marLeft w:val="0"/>
          <w:marRight w:val="0"/>
          <w:marTop w:val="0"/>
          <w:marBottom w:val="0"/>
          <w:divBdr>
            <w:top w:val="none" w:sz="0" w:space="0" w:color="auto"/>
            <w:left w:val="none" w:sz="0" w:space="0" w:color="auto"/>
            <w:bottom w:val="none" w:sz="0" w:space="0" w:color="auto"/>
            <w:right w:val="none" w:sz="0" w:space="0" w:color="auto"/>
          </w:divBdr>
          <w:divsChild>
            <w:div w:id="1027026663">
              <w:marLeft w:val="0"/>
              <w:marRight w:val="0"/>
              <w:marTop w:val="0"/>
              <w:marBottom w:val="0"/>
              <w:divBdr>
                <w:top w:val="none" w:sz="0" w:space="0" w:color="auto"/>
                <w:left w:val="none" w:sz="0" w:space="0" w:color="auto"/>
                <w:bottom w:val="none" w:sz="0" w:space="0" w:color="auto"/>
                <w:right w:val="none" w:sz="0" w:space="0" w:color="auto"/>
              </w:divBdr>
            </w:div>
          </w:divsChild>
        </w:div>
        <w:div w:id="1538423330">
          <w:marLeft w:val="0"/>
          <w:marRight w:val="0"/>
          <w:marTop w:val="0"/>
          <w:marBottom w:val="0"/>
          <w:divBdr>
            <w:top w:val="none" w:sz="0" w:space="0" w:color="auto"/>
            <w:left w:val="none" w:sz="0" w:space="0" w:color="auto"/>
            <w:bottom w:val="none" w:sz="0" w:space="0" w:color="auto"/>
            <w:right w:val="none" w:sz="0" w:space="0" w:color="auto"/>
          </w:divBdr>
          <w:divsChild>
            <w:div w:id="1328362312">
              <w:marLeft w:val="0"/>
              <w:marRight w:val="0"/>
              <w:marTop w:val="0"/>
              <w:marBottom w:val="0"/>
              <w:divBdr>
                <w:top w:val="none" w:sz="0" w:space="0" w:color="auto"/>
                <w:left w:val="none" w:sz="0" w:space="0" w:color="auto"/>
                <w:bottom w:val="none" w:sz="0" w:space="0" w:color="auto"/>
                <w:right w:val="none" w:sz="0" w:space="0" w:color="auto"/>
              </w:divBdr>
            </w:div>
          </w:divsChild>
        </w:div>
        <w:div w:id="538317030">
          <w:marLeft w:val="0"/>
          <w:marRight w:val="0"/>
          <w:marTop w:val="0"/>
          <w:marBottom w:val="0"/>
          <w:divBdr>
            <w:top w:val="none" w:sz="0" w:space="0" w:color="auto"/>
            <w:left w:val="none" w:sz="0" w:space="0" w:color="auto"/>
            <w:bottom w:val="none" w:sz="0" w:space="0" w:color="auto"/>
            <w:right w:val="none" w:sz="0" w:space="0" w:color="auto"/>
          </w:divBdr>
          <w:divsChild>
            <w:div w:id="123817460">
              <w:marLeft w:val="0"/>
              <w:marRight w:val="0"/>
              <w:marTop w:val="0"/>
              <w:marBottom w:val="0"/>
              <w:divBdr>
                <w:top w:val="none" w:sz="0" w:space="0" w:color="auto"/>
                <w:left w:val="none" w:sz="0" w:space="0" w:color="auto"/>
                <w:bottom w:val="none" w:sz="0" w:space="0" w:color="auto"/>
                <w:right w:val="none" w:sz="0" w:space="0" w:color="auto"/>
              </w:divBdr>
            </w:div>
          </w:divsChild>
        </w:div>
        <w:div w:id="251739918">
          <w:marLeft w:val="0"/>
          <w:marRight w:val="0"/>
          <w:marTop w:val="0"/>
          <w:marBottom w:val="0"/>
          <w:divBdr>
            <w:top w:val="none" w:sz="0" w:space="0" w:color="auto"/>
            <w:left w:val="none" w:sz="0" w:space="0" w:color="auto"/>
            <w:bottom w:val="none" w:sz="0" w:space="0" w:color="auto"/>
            <w:right w:val="none" w:sz="0" w:space="0" w:color="auto"/>
          </w:divBdr>
          <w:divsChild>
            <w:div w:id="1167096130">
              <w:marLeft w:val="0"/>
              <w:marRight w:val="0"/>
              <w:marTop w:val="0"/>
              <w:marBottom w:val="0"/>
              <w:divBdr>
                <w:top w:val="none" w:sz="0" w:space="0" w:color="auto"/>
                <w:left w:val="none" w:sz="0" w:space="0" w:color="auto"/>
                <w:bottom w:val="none" w:sz="0" w:space="0" w:color="auto"/>
                <w:right w:val="none" w:sz="0" w:space="0" w:color="auto"/>
              </w:divBdr>
            </w:div>
          </w:divsChild>
        </w:div>
        <w:div w:id="1860270097">
          <w:marLeft w:val="0"/>
          <w:marRight w:val="0"/>
          <w:marTop w:val="0"/>
          <w:marBottom w:val="0"/>
          <w:divBdr>
            <w:top w:val="none" w:sz="0" w:space="0" w:color="auto"/>
            <w:left w:val="none" w:sz="0" w:space="0" w:color="auto"/>
            <w:bottom w:val="none" w:sz="0" w:space="0" w:color="auto"/>
            <w:right w:val="none" w:sz="0" w:space="0" w:color="auto"/>
          </w:divBdr>
          <w:divsChild>
            <w:div w:id="411390521">
              <w:marLeft w:val="0"/>
              <w:marRight w:val="0"/>
              <w:marTop w:val="0"/>
              <w:marBottom w:val="0"/>
              <w:divBdr>
                <w:top w:val="none" w:sz="0" w:space="0" w:color="auto"/>
                <w:left w:val="none" w:sz="0" w:space="0" w:color="auto"/>
                <w:bottom w:val="none" w:sz="0" w:space="0" w:color="auto"/>
                <w:right w:val="none" w:sz="0" w:space="0" w:color="auto"/>
              </w:divBdr>
            </w:div>
          </w:divsChild>
        </w:div>
        <w:div w:id="1670593833">
          <w:marLeft w:val="0"/>
          <w:marRight w:val="0"/>
          <w:marTop w:val="0"/>
          <w:marBottom w:val="0"/>
          <w:divBdr>
            <w:top w:val="none" w:sz="0" w:space="0" w:color="auto"/>
            <w:left w:val="none" w:sz="0" w:space="0" w:color="auto"/>
            <w:bottom w:val="none" w:sz="0" w:space="0" w:color="auto"/>
            <w:right w:val="none" w:sz="0" w:space="0" w:color="auto"/>
          </w:divBdr>
          <w:divsChild>
            <w:div w:id="1517429355">
              <w:marLeft w:val="0"/>
              <w:marRight w:val="0"/>
              <w:marTop w:val="0"/>
              <w:marBottom w:val="0"/>
              <w:divBdr>
                <w:top w:val="none" w:sz="0" w:space="0" w:color="auto"/>
                <w:left w:val="none" w:sz="0" w:space="0" w:color="auto"/>
                <w:bottom w:val="none" w:sz="0" w:space="0" w:color="auto"/>
                <w:right w:val="none" w:sz="0" w:space="0" w:color="auto"/>
              </w:divBdr>
            </w:div>
            <w:div w:id="1791125577">
              <w:marLeft w:val="0"/>
              <w:marRight w:val="0"/>
              <w:marTop w:val="0"/>
              <w:marBottom w:val="0"/>
              <w:divBdr>
                <w:top w:val="none" w:sz="0" w:space="0" w:color="auto"/>
                <w:left w:val="none" w:sz="0" w:space="0" w:color="auto"/>
                <w:bottom w:val="none" w:sz="0" w:space="0" w:color="auto"/>
                <w:right w:val="none" w:sz="0" w:space="0" w:color="auto"/>
              </w:divBdr>
            </w:div>
          </w:divsChild>
        </w:div>
        <w:div w:id="474177495">
          <w:marLeft w:val="0"/>
          <w:marRight w:val="0"/>
          <w:marTop w:val="0"/>
          <w:marBottom w:val="0"/>
          <w:divBdr>
            <w:top w:val="none" w:sz="0" w:space="0" w:color="auto"/>
            <w:left w:val="none" w:sz="0" w:space="0" w:color="auto"/>
            <w:bottom w:val="none" w:sz="0" w:space="0" w:color="auto"/>
            <w:right w:val="none" w:sz="0" w:space="0" w:color="auto"/>
          </w:divBdr>
          <w:divsChild>
            <w:div w:id="1746872327">
              <w:marLeft w:val="0"/>
              <w:marRight w:val="0"/>
              <w:marTop w:val="0"/>
              <w:marBottom w:val="0"/>
              <w:divBdr>
                <w:top w:val="none" w:sz="0" w:space="0" w:color="auto"/>
                <w:left w:val="none" w:sz="0" w:space="0" w:color="auto"/>
                <w:bottom w:val="none" w:sz="0" w:space="0" w:color="auto"/>
                <w:right w:val="none" w:sz="0" w:space="0" w:color="auto"/>
              </w:divBdr>
            </w:div>
          </w:divsChild>
        </w:div>
        <w:div w:id="1042023698">
          <w:marLeft w:val="0"/>
          <w:marRight w:val="0"/>
          <w:marTop w:val="0"/>
          <w:marBottom w:val="0"/>
          <w:divBdr>
            <w:top w:val="none" w:sz="0" w:space="0" w:color="auto"/>
            <w:left w:val="none" w:sz="0" w:space="0" w:color="auto"/>
            <w:bottom w:val="none" w:sz="0" w:space="0" w:color="auto"/>
            <w:right w:val="none" w:sz="0" w:space="0" w:color="auto"/>
          </w:divBdr>
          <w:divsChild>
            <w:div w:id="1309364581">
              <w:marLeft w:val="0"/>
              <w:marRight w:val="0"/>
              <w:marTop w:val="0"/>
              <w:marBottom w:val="0"/>
              <w:divBdr>
                <w:top w:val="none" w:sz="0" w:space="0" w:color="auto"/>
                <w:left w:val="none" w:sz="0" w:space="0" w:color="auto"/>
                <w:bottom w:val="none" w:sz="0" w:space="0" w:color="auto"/>
                <w:right w:val="none" w:sz="0" w:space="0" w:color="auto"/>
              </w:divBdr>
            </w:div>
          </w:divsChild>
        </w:div>
        <w:div w:id="595871361">
          <w:marLeft w:val="0"/>
          <w:marRight w:val="0"/>
          <w:marTop w:val="0"/>
          <w:marBottom w:val="0"/>
          <w:divBdr>
            <w:top w:val="none" w:sz="0" w:space="0" w:color="auto"/>
            <w:left w:val="none" w:sz="0" w:space="0" w:color="auto"/>
            <w:bottom w:val="none" w:sz="0" w:space="0" w:color="auto"/>
            <w:right w:val="none" w:sz="0" w:space="0" w:color="auto"/>
          </w:divBdr>
          <w:divsChild>
            <w:div w:id="37248598">
              <w:marLeft w:val="0"/>
              <w:marRight w:val="0"/>
              <w:marTop w:val="0"/>
              <w:marBottom w:val="0"/>
              <w:divBdr>
                <w:top w:val="none" w:sz="0" w:space="0" w:color="auto"/>
                <w:left w:val="none" w:sz="0" w:space="0" w:color="auto"/>
                <w:bottom w:val="none" w:sz="0" w:space="0" w:color="auto"/>
                <w:right w:val="none" w:sz="0" w:space="0" w:color="auto"/>
              </w:divBdr>
            </w:div>
          </w:divsChild>
        </w:div>
        <w:div w:id="200483342">
          <w:marLeft w:val="0"/>
          <w:marRight w:val="0"/>
          <w:marTop w:val="0"/>
          <w:marBottom w:val="0"/>
          <w:divBdr>
            <w:top w:val="none" w:sz="0" w:space="0" w:color="auto"/>
            <w:left w:val="none" w:sz="0" w:space="0" w:color="auto"/>
            <w:bottom w:val="none" w:sz="0" w:space="0" w:color="auto"/>
            <w:right w:val="none" w:sz="0" w:space="0" w:color="auto"/>
          </w:divBdr>
          <w:divsChild>
            <w:div w:id="1606889038">
              <w:marLeft w:val="0"/>
              <w:marRight w:val="0"/>
              <w:marTop w:val="0"/>
              <w:marBottom w:val="0"/>
              <w:divBdr>
                <w:top w:val="none" w:sz="0" w:space="0" w:color="auto"/>
                <w:left w:val="none" w:sz="0" w:space="0" w:color="auto"/>
                <w:bottom w:val="none" w:sz="0" w:space="0" w:color="auto"/>
                <w:right w:val="none" w:sz="0" w:space="0" w:color="auto"/>
              </w:divBdr>
            </w:div>
          </w:divsChild>
        </w:div>
        <w:div w:id="471288170">
          <w:marLeft w:val="0"/>
          <w:marRight w:val="0"/>
          <w:marTop w:val="0"/>
          <w:marBottom w:val="0"/>
          <w:divBdr>
            <w:top w:val="none" w:sz="0" w:space="0" w:color="auto"/>
            <w:left w:val="none" w:sz="0" w:space="0" w:color="auto"/>
            <w:bottom w:val="none" w:sz="0" w:space="0" w:color="auto"/>
            <w:right w:val="none" w:sz="0" w:space="0" w:color="auto"/>
          </w:divBdr>
          <w:divsChild>
            <w:div w:id="33891958">
              <w:marLeft w:val="0"/>
              <w:marRight w:val="0"/>
              <w:marTop w:val="0"/>
              <w:marBottom w:val="0"/>
              <w:divBdr>
                <w:top w:val="none" w:sz="0" w:space="0" w:color="auto"/>
                <w:left w:val="none" w:sz="0" w:space="0" w:color="auto"/>
                <w:bottom w:val="none" w:sz="0" w:space="0" w:color="auto"/>
                <w:right w:val="none" w:sz="0" w:space="0" w:color="auto"/>
              </w:divBdr>
            </w:div>
          </w:divsChild>
        </w:div>
        <w:div w:id="592663582">
          <w:marLeft w:val="0"/>
          <w:marRight w:val="0"/>
          <w:marTop w:val="0"/>
          <w:marBottom w:val="0"/>
          <w:divBdr>
            <w:top w:val="none" w:sz="0" w:space="0" w:color="auto"/>
            <w:left w:val="none" w:sz="0" w:space="0" w:color="auto"/>
            <w:bottom w:val="none" w:sz="0" w:space="0" w:color="auto"/>
            <w:right w:val="none" w:sz="0" w:space="0" w:color="auto"/>
          </w:divBdr>
          <w:divsChild>
            <w:div w:id="1945531588">
              <w:marLeft w:val="0"/>
              <w:marRight w:val="0"/>
              <w:marTop w:val="0"/>
              <w:marBottom w:val="0"/>
              <w:divBdr>
                <w:top w:val="none" w:sz="0" w:space="0" w:color="auto"/>
                <w:left w:val="none" w:sz="0" w:space="0" w:color="auto"/>
                <w:bottom w:val="none" w:sz="0" w:space="0" w:color="auto"/>
                <w:right w:val="none" w:sz="0" w:space="0" w:color="auto"/>
              </w:divBdr>
            </w:div>
          </w:divsChild>
        </w:div>
        <w:div w:id="298417916">
          <w:marLeft w:val="0"/>
          <w:marRight w:val="0"/>
          <w:marTop w:val="0"/>
          <w:marBottom w:val="0"/>
          <w:divBdr>
            <w:top w:val="none" w:sz="0" w:space="0" w:color="auto"/>
            <w:left w:val="none" w:sz="0" w:space="0" w:color="auto"/>
            <w:bottom w:val="none" w:sz="0" w:space="0" w:color="auto"/>
            <w:right w:val="none" w:sz="0" w:space="0" w:color="auto"/>
          </w:divBdr>
          <w:divsChild>
            <w:div w:id="480149083">
              <w:marLeft w:val="0"/>
              <w:marRight w:val="0"/>
              <w:marTop w:val="0"/>
              <w:marBottom w:val="0"/>
              <w:divBdr>
                <w:top w:val="none" w:sz="0" w:space="0" w:color="auto"/>
                <w:left w:val="none" w:sz="0" w:space="0" w:color="auto"/>
                <w:bottom w:val="none" w:sz="0" w:space="0" w:color="auto"/>
                <w:right w:val="none" w:sz="0" w:space="0" w:color="auto"/>
              </w:divBdr>
            </w:div>
          </w:divsChild>
        </w:div>
        <w:div w:id="1605335539">
          <w:marLeft w:val="0"/>
          <w:marRight w:val="0"/>
          <w:marTop w:val="0"/>
          <w:marBottom w:val="0"/>
          <w:divBdr>
            <w:top w:val="none" w:sz="0" w:space="0" w:color="auto"/>
            <w:left w:val="none" w:sz="0" w:space="0" w:color="auto"/>
            <w:bottom w:val="none" w:sz="0" w:space="0" w:color="auto"/>
            <w:right w:val="none" w:sz="0" w:space="0" w:color="auto"/>
          </w:divBdr>
          <w:divsChild>
            <w:div w:id="744188140">
              <w:marLeft w:val="0"/>
              <w:marRight w:val="0"/>
              <w:marTop w:val="0"/>
              <w:marBottom w:val="0"/>
              <w:divBdr>
                <w:top w:val="none" w:sz="0" w:space="0" w:color="auto"/>
                <w:left w:val="none" w:sz="0" w:space="0" w:color="auto"/>
                <w:bottom w:val="none" w:sz="0" w:space="0" w:color="auto"/>
                <w:right w:val="none" w:sz="0" w:space="0" w:color="auto"/>
              </w:divBdr>
            </w:div>
          </w:divsChild>
        </w:div>
        <w:div w:id="1398867428">
          <w:marLeft w:val="0"/>
          <w:marRight w:val="0"/>
          <w:marTop w:val="0"/>
          <w:marBottom w:val="0"/>
          <w:divBdr>
            <w:top w:val="none" w:sz="0" w:space="0" w:color="auto"/>
            <w:left w:val="none" w:sz="0" w:space="0" w:color="auto"/>
            <w:bottom w:val="none" w:sz="0" w:space="0" w:color="auto"/>
            <w:right w:val="none" w:sz="0" w:space="0" w:color="auto"/>
          </w:divBdr>
          <w:divsChild>
            <w:div w:id="2097676447">
              <w:marLeft w:val="0"/>
              <w:marRight w:val="0"/>
              <w:marTop w:val="0"/>
              <w:marBottom w:val="0"/>
              <w:divBdr>
                <w:top w:val="none" w:sz="0" w:space="0" w:color="auto"/>
                <w:left w:val="none" w:sz="0" w:space="0" w:color="auto"/>
                <w:bottom w:val="none" w:sz="0" w:space="0" w:color="auto"/>
                <w:right w:val="none" w:sz="0" w:space="0" w:color="auto"/>
              </w:divBdr>
            </w:div>
          </w:divsChild>
        </w:div>
        <w:div w:id="1956254030">
          <w:marLeft w:val="0"/>
          <w:marRight w:val="0"/>
          <w:marTop w:val="0"/>
          <w:marBottom w:val="0"/>
          <w:divBdr>
            <w:top w:val="none" w:sz="0" w:space="0" w:color="auto"/>
            <w:left w:val="none" w:sz="0" w:space="0" w:color="auto"/>
            <w:bottom w:val="none" w:sz="0" w:space="0" w:color="auto"/>
            <w:right w:val="none" w:sz="0" w:space="0" w:color="auto"/>
          </w:divBdr>
          <w:divsChild>
            <w:div w:id="153108381">
              <w:marLeft w:val="0"/>
              <w:marRight w:val="0"/>
              <w:marTop w:val="0"/>
              <w:marBottom w:val="0"/>
              <w:divBdr>
                <w:top w:val="none" w:sz="0" w:space="0" w:color="auto"/>
                <w:left w:val="none" w:sz="0" w:space="0" w:color="auto"/>
                <w:bottom w:val="none" w:sz="0" w:space="0" w:color="auto"/>
                <w:right w:val="none" w:sz="0" w:space="0" w:color="auto"/>
              </w:divBdr>
            </w:div>
          </w:divsChild>
        </w:div>
        <w:div w:id="568422500">
          <w:marLeft w:val="0"/>
          <w:marRight w:val="0"/>
          <w:marTop w:val="0"/>
          <w:marBottom w:val="0"/>
          <w:divBdr>
            <w:top w:val="none" w:sz="0" w:space="0" w:color="auto"/>
            <w:left w:val="none" w:sz="0" w:space="0" w:color="auto"/>
            <w:bottom w:val="none" w:sz="0" w:space="0" w:color="auto"/>
            <w:right w:val="none" w:sz="0" w:space="0" w:color="auto"/>
          </w:divBdr>
          <w:divsChild>
            <w:div w:id="1945569955">
              <w:marLeft w:val="0"/>
              <w:marRight w:val="0"/>
              <w:marTop w:val="0"/>
              <w:marBottom w:val="0"/>
              <w:divBdr>
                <w:top w:val="none" w:sz="0" w:space="0" w:color="auto"/>
                <w:left w:val="none" w:sz="0" w:space="0" w:color="auto"/>
                <w:bottom w:val="none" w:sz="0" w:space="0" w:color="auto"/>
                <w:right w:val="none" w:sz="0" w:space="0" w:color="auto"/>
              </w:divBdr>
            </w:div>
          </w:divsChild>
        </w:div>
        <w:div w:id="1077559117">
          <w:marLeft w:val="0"/>
          <w:marRight w:val="0"/>
          <w:marTop w:val="0"/>
          <w:marBottom w:val="0"/>
          <w:divBdr>
            <w:top w:val="none" w:sz="0" w:space="0" w:color="auto"/>
            <w:left w:val="none" w:sz="0" w:space="0" w:color="auto"/>
            <w:bottom w:val="none" w:sz="0" w:space="0" w:color="auto"/>
            <w:right w:val="none" w:sz="0" w:space="0" w:color="auto"/>
          </w:divBdr>
          <w:divsChild>
            <w:div w:id="1427919659">
              <w:marLeft w:val="0"/>
              <w:marRight w:val="0"/>
              <w:marTop w:val="0"/>
              <w:marBottom w:val="0"/>
              <w:divBdr>
                <w:top w:val="none" w:sz="0" w:space="0" w:color="auto"/>
                <w:left w:val="none" w:sz="0" w:space="0" w:color="auto"/>
                <w:bottom w:val="none" w:sz="0" w:space="0" w:color="auto"/>
                <w:right w:val="none" w:sz="0" w:space="0" w:color="auto"/>
              </w:divBdr>
            </w:div>
          </w:divsChild>
        </w:div>
        <w:div w:id="2127388943">
          <w:marLeft w:val="0"/>
          <w:marRight w:val="0"/>
          <w:marTop w:val="0"/>
          <w:marBottom w:val="0"/>
          <w:divBdr>
            <w:top w:val="none" w:sz="0" w:space="0" w:color="auto"/>
            <w:left w:val="none" w:sz="0" w:space="0" w:color="auto"/>
            <w:bottom w:val="none" w:sz="0" w:space="0" w:color="auto"/>
            <w:right w:val="none" w:sz="0" w:space="0" w:color="auto"/>
          </w:divBdr>
          <w:divsChild>
            <w:div w:id="351031698">
              <w:marLeft w:val="0"/>
              <w:marRight w:val="0"/>
              <w:marTop w:val="0"/>
              <w:marBottom w:val="0"/>
              <w:divBdr>
                <w:top w:val="none" w:sz="0" w:space="0" w:color="auto"/>
                <w:left w:val="none" w:sz="0" w:space="0" w:color="auto"/>
                <w:bottom w:val="none" w:sz="0" w:space="0" w:color="auto"/>
                <w:right w:val="none" w:sz="0" w:space="0" w:color="auto"/>
              </w:divBdr>
            </w:div>
          </w:divsChild>
        </w:div>
        <w:div w:id="1460026295">
          <w:marLeft w:val="0"/>
          <w:marRight w:val="0"/>
          <w:marTop w:val="0"/>
          <w:marBottom w:val="0"/>
          <w:divBdr>
            <w:top w:val="none" w:sz="0" w:space="0" w:color="auto"/>
            <w:left w:val="none" w:sz="0" w:space="0" w:color="auto"/>
            <w:bottom w:val="none" w:sz="0" w:space="0" w:color="auto"/>
            <w:right w:val="none" w:sz="0" w:space="0" w:color="auto"/>
          </w:divBdr>
          <w:divsChild>
            <w:div w:id="514854048">
              <w:marLeft w:val="0"/>
              <w:marRight w:val="0"/>
              <w:marTop w:val="0"/>
              <w:marBottom w:val="0"/>
              <w:divBdr>
                <w:top w:val="none" w:sz="0" w:space="0" w:color="auto"/>
                <w:left w:val="none" w:sz="0" w:space="0" w:color="auto"/>
                <w:bottom w:val="none" w:sz="0" w:space="0" w:color="auto"/>
                <w:right w:val="none" w:sz="0" w:space="0" w:color="auto"/>
              </w:divBdr>
            </w:div>
          </w:divsChild>
        </w:div>
        <w:div w:id="1375740722">
          <w:marLeft w:val="0"/>
          <w:marRight w:val="0"/>
          <w:marTop w:val="0"/>
          <w:marBottom w:val="0"/>
          <w:divBdr>
            <w:top w:val="none" w:sz="0" w:space="0" w:color="auto"/>
            <w:left w:val="none" w:sz="0" w:space="0" w:color="auto"/>
            <w:bottom w:val="none" w:sz="0" w:space="0" w:color="auto"/>
            <w:right w:val="none" w:sz="0" w:space="0" w:color="auto"/>
          </w:divBdr>
          <w:divsChild>
            <w:div w:id="1978946234">
              <w:marLeft w:val="0"/>
              <w:marRight w:val="0"/>
              <w:marTop w:val="0"/>
              <w:marBottom w:val="0"/>
              <w:divBdr>
                <w:top w:val="none" w:sz="0" w:space="0" w:color="auto"/>
                <w:left w:val="none" w:sz="0" w:space="0" w:color="auto"/>
                <w:bottom w:val="none" w:sz="0" w:space="0" w:color="auto"/>
                <w:right w:val="none" w:sz="0" w:space="0" w:color="auto"/>
              </w:divBdr>
            </w:div>
          </w:divsChild>
        </w:div>
        <w:div w:id="1323001513">
          <w:marLeft w:val="0"/>
          <w:marRight w:val="0"/>
          <w:marTop w:val="0"/>
          <w:marBottom w:val="0"/>
          <w:divBdr>
            <w:top w:val="none" w:sz="0" w:space="0" w:color="auto"/>
            <w:left w:val="none" w:sz="0" w:space="0" w:color="auto"/>
            <w:bottom w:val="none" w:sz="0" w:space="0" w:color="auto"/>
            <w:right w:val="none" w:sz="0" w:space="0" w:color="auto"/>
          </w:divBdr>
          <w:divsChild>
            <w:div w:id="1206065813">
              <w:marLeft w:val="0"/>
              <w:marRight w:val="0"/>
              <w:marTop w:val="0"/>
              <w:marBottom w:val="0"/>
              <w:divBdr>
                <w:top w:val="none" w:sz="0" w:space="0" w:color="auto"/>
                <w:left w:val="none" w:sz="0" w:space="0" w:color="auto"/>
                <w:bottom w:val="none" w:sz="0" w:space="0" w:color="auto"/>
                <w:right w:val="none" w:sz="0" w:space="0" w:color="auto"/>
              </w:divBdr>
            </w:div>
          </w:divsChild>
        </w:div>
        <w:div w:id="101728587">
          <w:marLeft w:val="0"/>
          <w:marRight w:val="0"/>
          <w:marTop w:val="0"/>
          <w:marBottom w:val="0"/>
          <w:divBdr>
            <w:top w:val="none" w:sz="0" w:space="0" w:color="auto"/>
            <w:left w:val="none" w:sz="0" w:space="0" w:color="auto"/>
            <w:bottom w:val="none" w:sz="0" w:space="0" w:color="auto"/>
            <w:right w:val="none" w:sz="0" w:space="0" w:color="auto"/>
          </w:divBdr>
          <w:divsChild>
            <w:div w:id="348919012">
              <w:marLeft w:val="0"/>
              <w:marRight w:val="0"/>
              <w:marTop w:val="0"/>
              <w:marBottom w:val="0"/>
              <w:divBdr>
                <w:top w:val="none" w:sz="0" w:space="0" w:color="auto"/>
                <w:left w:val="none" w:sz="0" w:space="0" w:color="auto"/>
                <w:bottom w:val="none" w:sz="0" w:space="0" w:color="auto"/>
                <w:right w:val="none" w:sz="0" w:space="0" w:color="auto"/>
              </w:divBdr>
            </w:div>
          </w:divsChild>
        </w:div>
        <w:div w:id="115027226">
          <w:marLeft w:val="0"/>
          <w:marRight w:val="0"/>
          <w:marTop w:val="0"/>
          <w:marBottom w:val="0"/>
          <w:divBdr>
            <w:top w:val="none" w:sz="0" w:space="0" w:color="auto"/>
            <w:left w:val="none" w:sz="0" w:space="0" w:color="auto"/>
            <w:bottom w:val="none" w:sz="0" w:space="0" w:color="auto"/>
            <w:right w:val="none" w:sz="0" w:space="0" w:color="auto"/>
          </w:divBdr>
          <w:divsChild>
            <w:div w:id="1698311098">
              <w:marLeft w:val="0"/>
              <w:marRight w:val="0"/>
              <w:marTop w:val="0"/>
              <w:marBottom w:val="0"/>
              <w:divBdr>
                <w:top w:val="none" w:sz="0" w:space="0" w:color="auto"/>
                <w:left w:val="none" w:sz="0" w:space="0" w:color="auto"/>
                <w:bottom w:val="none" w:sz="0" w:space="0" w:color="auto"/>
                <w:right w:val="none" w:sz="0" w:space="0" w:color="auto"/>
              </w:divBdr>
            </w:div>
          </w:divsChild>
        </w:div>
        <w:div w:id="1684824024">
          <w:marLeft w:val="0"/>
          <w:marRight w:val="0"/>
          <w:marTop w:val="0"/>
          <w:marBottom w:val="0"/>
          <w:divBdr>
            <w:top w:val="none" w:sz="0" w:space="0" w:color="auto"/>
            <w:left w:val="none" w:sz="0" w:space="0" w:color="auto"/>
            <w:bottom w:val="none" w:sz="0" w:space="0" w:color="auto"/>
            <w:right w:val="none" w:sz="0" w:space="0" w:color="auto"/>
          </w:divBdr>
          <w:divsChild>
            <w:div w:id="1155492884">
              <w:marLeft w:val="0"/>
              <w:marRight w:val="0"/>
              <w:marTop w:val="0"/>
              <w:marBottom w:val="0"/>
              <w:divBdr>
                <w:top w:val="none" w:sz="0" w:space="0" w:color="auto"/>
                <w:left w:val="none" w:sz="0" w:space="0" w:color="auto"/>
                <w:bottom w:val="none" w:sz="0" w:space="0" w:color="auto"/>
                <w:right w:val="none" w:sz="0" w:space="0" w:color="auto"/>
              </w:divBdr>
            </w:div>
          </w:divsChild>
        </w:div>
        <w:div w:id="635181963">
          <w:marLeft w:val="0"/>
          <w:marRight w:val="0"/>
          <w:marTop w:val="0"/>
          <w:marBottom w:val="0"/>
          <w:divBdr>
            <w:top w:val="none" w:sz="0" w:space="0" w:color="auto"/>
            <w:left w:val="none" w:sz="0" w:space="0" w:color="auto"/>
            <w:bottom w:val="none" w:sz="0" w:space="0" w:color="auto"/>
            <w:right w:val="none" w:sz="0" w:space="0" w:color="auto"/>
          </w:divBdr>
          <w:divsChild>
            <w:div w:id="324237865">
              <w:marLeft w:val="0"/>
              <w:marRight w:val="0"/>
              <w:marTop w:val="0"/>
              <w:marBottom w:val="0"/>
              <w:divBdr>
                <w:top w:val="none" w:sz="0" w:space="0" w:color="auto"/>
                <w:left w:val="none" w:sz="0" w:space="0" w:color="auto"/>
                <w:bottom w:val="none" w:sz="0" w:space="0" w:color="auto"/>
                <w:right w:val="none" w:sz="0" w:space="0" w:color="auto"/>
              </w:divBdr>
            </w:div>
          </w:divsChild>
        </w:div>
        <w:div w:id="1596864885">
          <w:marLeft w:val="0"/>
          <w:marRight w:val="0"/>
          <w:marTop w:val="0"/>
          <w:marBottom w:val="0"/>
          <w:divBdr>
            <w:top w:val="none" w:sz="0" w:space="0" w:color="auto"/>
            <w:left w:val="none" w:sz="0" w:space="0" w:color="auto"/>
            <w:bottom w:val="none" w:sz="0" w:space="0" w:color="auto"/>
            <w:right w:val="none" w:sz="0" w:space="0" w:color="auto"/>
          </w:divBdr>
          <w:divsChild>
            <w:div w:id="922760348">
              <w:marLeft w:val="0"/>
              <w:marRight w:val="0"/>
              <w:marTop w:val="0"/>
              <w:marBottom w:val="0"/>
              <w:divBdr>
                <w:top w:val="none" w:sz="0" w:space="0" w:color="auto"/>
                <w:left w:val="none" w:sz="0" w:space="0" w:color="auto"/>
                <w:bottom w:val="none" w:sz="0" w:space="0" w:color="auto"/>
                <w:right w:val="none" w:sz="0" w:space="0" w:color="auto"/>
              </w:divBdr>
            </w:div>
          </w:divsChild>
        </w:div>
        <w:div w:id="350570007">
          <w:marLeft w:val="0"/>
          <w:marRight w:val="0"/>
          <w:marTop w:val="0"/>
          <w:marBottom w:val="0"/>
          <w:divBdr>
            <w:top w:val="none" w:sz="0" w:space="0" w:color="auto"/>
            <w:left w:val="none" w:sz="0" w:space="0" w:color="auto"/>
            <w:bottom w:val="none" w:sz="0" w:space="0" w:color="auto"/>
            <w:right w:val="none" w:sz="0" w:space="0" w:color="auto"/>
          </w:divBdr>
          <w:divsChild>
            <w:div w:id="1447312575">
              <w:marLeft w:val="0"/>
              <w:marRight w:val="0"/>
              <w:marTop w:val="0"/>
              <w:marBottom w:val="0"/>
              <w:divBdr>
                <w:top w:val="none" w:sz="0" w:space="0" w:color="auto"/>
                <w:left w:val="none" w:sz="0" w:space="0" w:color="auto"/>
                <w:bottom w:val="none" w:sz="0" w:space="0" w:color="auto"/>
                <w:right w:val="none" w:sz="0" w:space="0" w:color="auto"/>
              </w:divBdr>
            </w:div>
          </w:divsChild>
        </w:div>
        <w:div w:id="657877401">
          <w:marLeft w:val="0"/>
          <w:marRight w:val="0"/>
          <w:marTop w:val="0"/>
          <w:marBottom w:val="0"/>
          <w:divBdr>
            <w:top w:val="none" w:sz="0" w:space="0" w:color="auto"/>
            <w:left w:val="none" w:sz="0" w:space="0" w:color="auto"/>
            <w:bottom w:val="none" w:sz="0" w:space="0" w:color="auto"/>
            <w:right w:val="none" w:sz="0" w:space="0" w:color="auto"/>
          </w:divBdr>
          <w:divsChild>
            <w:div w:id="2132283030">
              <w:marLeft w:val="0"/>
              <w:marRight w:val="0"/>
              <w:marTop w:val="0"/>
              <w:marBottom w:val="0"/>
              <w:divBdr>
                <w:top w:val="none" w:sz="0" w:space="0" w:color="auto"/>
                <w:left w:val="none" w:sz="0" w:space="0" w:color="auto"/>
                <w:bottom w:val="none" w:sz="0" w:space="0" w:color="auto"/>
                <w:right w:val="none" w:sz="0" w:space="0" w:color="auto"/>
              </w:divBdr>
            </w:div>
          </w:divsChild>
        </w:div>
        <w:div w:id="2036924429">
          <w:marLeft w:val="0"/>
          <w:marRight w:val="0"/>
          <w:marTop w:val="0"/>
          <w:marBottom w:val="0"/>
          <w:divBdr>
            <w:top w:val="none" w:sz="0" w:space="0" w:color="auto"/>
            <w:left w:val="none" w:sz="0" w:space="0" w:color="auto"/>
            <w:bottom w:val="none" w:sz="0" w:space="0" w:color="auto"/>
            <w:right w:val="none" w:sz="0" w:space="0" w:color="auto"/>
          </w:divBdr>
          <w:divsChild>
            <w:div w:id="736590226">
              <w:marLeft w:val="0"/>
              <w:marRight w:val="0"/>
              <w:marTop w:val="0"/>
              <w:marBottom w:val="0"/>
              <w:divBdr>
                <w:top w:val="none" w:sz="0" w:space="0" w:color="auto"/>
                <w:left w:val="none" w:sz="0" w:space="0" w:color="auto"/>
                <w:bottom w:val="none" w:sz="0" w:space="0" w:color="auto"/>
                <w:right w:val="none" w:sz="0" w:space="0" w:color="auto"/>
              </w:divBdr>
            </w:div>
          </w:divsChild>
        </w:div>
        <w:div w:id="663434471">
          <w:marLeft w:val="0"/>
          <w:marRight w:val="0"/>
          <w:marTop w:val="0"/>
          <w:marBottom w:val="0"/>
          <w:divBdr>
            <w:top w:val="none" w:sz="0" w:space="0" w:color="auto"/>
            <w:left w:val="none" w:sz="0" w:space="0" w:color="auto"/>
            <w:bottom w:val="none" w:sz="0" w:space="0" w:color="auto"/>
            <w:right w:val="none" w:sz="0" w:space="0" w:color="auto"/>
          </w:divBdr>
          <w:divsChild>
            <w:div w:id="1838033567">
              <w:marLeft w:val="0"/>
              <w:marRight w:val="0"/>
              <w:marTop w:val="0"/>
              <w:marBottom w:val="0"/>
              <w:divBdr>
                <w:top w:val="none" w:sz="0" w:space="0" w:color="auto"/>
                <w:left w:val="none" w:sz="0" w:space="0" w:color="auto"/>
                <w:bottom w:val="none" w:sz="0" w:space="0" w:color="auto"/>
                <w:right w:val="none" w:sz="0" w:space="0" w:color="auto"/>
              </w:divBdr>
            </w:div>
          </w:divsChild>
        </w:div>
        <w:div w:id="716199917">
          <w:marLeft w:val="0"/>
          <w:marRight w:val="0"/>
          <w:marTop w:val="0"/>
          <w:marBottom w:val="0"/>
          <w:divBdr>
            <w:top w:val="none" w:sz="0" w:space="0" w:color="auto"/>
            <w:left w:val="none" w:sz="0" w:space="0" w:color="auto"/>
            <w:bottom w:val="none" w:sz="0" w:space="0" w:color="auto"/>
            <w:right w:val="none" w:sz="0" w:space="0" w:color="auto"/>
          </w:divBdr>
          <w:divsChild>
            <w:div w:id="623730836">
              <w:marLeft w:val="0"/>
              <w:marRight w:val="0"/>
              <w:marTop w:val="0"/>
              <w:marBottom w:val="0"/>
              <w:divBdr>
                <w:top w:val="none" w:sz="0" w:space="0" w:color="auto"/>
                <w:left w:val="none" w:sz="0" w:space="0" w:color="auto"/>
                <w:bottom w:val="none" w:sz="0" w:space="0" w:color="auto"/>
                <w:right w:val="none" w:sz="0" w:space="0" w:color="auto"/>
              </w:divBdr>
            </w:div>
          </w:divsChild>
        </w:div>
        <w:div w:id="1125154279">
          <w:marLeft w:val="0"/>
          <w:marRight w:val="0"/>
          <w:marTop w:val="0"/>
          <w:marBottom w:val="0"/>
          <w:divBdr>
            <w:top w:val="none" w:sz="0" w:space="0" w:color="auto"/>
            <w:left w:val="none" w:sz="0" w:space="0" w:color="auto"/>
            <w:bottom w:val="none" w:sz="0" w:space="0" w:color="auto"/>
            <w:right w:val="none" w:sz="0" w:space="0" w:color="auto"/>
          </w:divBdr>
          <w:divsChild>
            <w:div w:id="1071540660">
              <w:marLeft w:val="0"/>
              <w:marRight w:val="0"/>
              <w:marTop w:val="0"/>
              <w:marBottom w:val="0"/>
              <w:divBdr>
                <w:top w:val="none" w:sz="0" w:space="0" w:color="auto"/>
                <w:left w:val="none" w:sz="0" w:space="0" w:color="auto"/>
                <w:bottom w:val="none" w:sz="0" w:space="0" w:color="auto"/>
                <w:right w:val="none" w:sz="0" w:space="0" w:color="auto"/>
              </w:divBdr>
            </w:div>
          </w:divsChild>
        </w:div>
        <w:div w:id="1737169457">
          <w:marLeft w:val="0"/>
          <w:marRight w:val="0"/>
          <w:marTop w:val="0"/>
          <w:marBottom w:val="0"/>
          <w:divBdr>
            <w:top w:val="none" w:sz="0" w:space="0" w:color="auto"/>
            <w:left w:val="none" w:sz="0" w:space="0" w:color="auto"/>
            <w:bottom w:val="none" w:sz="0" w:space="0" w:color="auto"/>
            <w:right w:val="none" w:sz="0" w:space="0" w:color="auto"/>
          </w:divBdr>
          <w:divsChild>
            <w:div w:id="1068576967">
              <w:marLeft w:val="0"/>
              <w:marRight w:val="0"/>
              <w:marTop w:val="0"/>
              <w:marBottom w:val="0"/>
              <w:divBdr>
                <w:top w:val="none" w:sz="0" w:space="0" w:color="auto"/>
                <w:left w:val="none" w:sz="0" w:space="0" w:color="auto"/>
                <w:bottom w:val="none" w:sz="0" w:space="0" w:color="auto"/>
                <w:right w:val="none" w:sz="0" w:space="0" w:color="auto"/>
              </w:divBdr>
            </w:div>
          </w:divsChild>
        </w:div>
        <w:div w:id="133720186">
          <w:marLeft w:val="0"/>
          <w:marRight w:val="0"/>
          <w:marTop w:val="0"/>
          <w:marBottom w:val="0"/>
          <w:divBdr>
            <w:top w:val="none" w:sz="0" w:space="0" w:color="auto"/>
            <w:left w:val="none" w:sz="0" w:space="0" w:color="auto"/>
            <w:bottom w:val="none" w:sz="0" w:space="0" w:color="auto"/>
            <w:right w:val="none" w:sz="0" w:space="0" w:color="auto"/>
          </w:divBdr>
          <w:divsChild>
            <w:div w:id="1724593843">
              <w:marLeft w:val="0"/>
              <w:marRight w:val="0"/>
              <w:marTop w:val="0"/>
              <w:marBottom w:val="0"/>
              <w:divBdr>
                <w:top w:val="none" w:sz="0" w:space="0" w:color="auto"/>
                <w:left w:val="none" w:sz="0" w:space="0" w:color="auto"/>
                <w:bottom w:val="none" w:sz="0" w:space="0" w:color="auto"/>
                <w:right w:val="none" w:sz="0" w:space="0" w:color="auto"/>
              </w:divBdr>
            </w:div>
          </w:divsChild>
        </w:div>
        <w:div w:id="1421946166">
          <w:marLeft w:val="0"/>
          <w:marRight w:val="0"/>
          <w:marTop w:val="0"/>
          <w:marBottom w:val="0"/>
          <w:divBdr>
            <w:top w:val="none" w:sz="0" w:space="0" w:color="auto"/>
            <w:left w:val="none" w:sz="0" w:space="0" w:color="auto"/>
            <w:bottom w:val="none" w:sz="0" w:space="0" w:color="auto"/>
            <w:right w:val="none" w:sz="0" w:space="0" w:color="auto"/>
          </w:divBdr>
          <w:divsChild>
            <w:div w:id="1139610674">
              <w:marLeft w:val="0"/>
              <w:marRight w:val="0"/>
              <w:marTop w:val="0"/>
              <w:marBottom w:val="0"/>
              <w:divBdr>
                <w:top w:val="none" w:sz="0" w:space="0" w:color="auto"/>
                <w:left w:val="none" w:sz="0" w:space="0" w:color="auto"/>
                <w:bottom w:val="none" w:sz="0" w:space="0" w:color="auto"/>
                <w:right w:val="none" w:sz="0" w:space="0" w:color="auto"/>
              </w:divBdr>
            </w:div>
          </w:divsChild>
        </w:div>
        <w:div w:id="718405707">
          <w:marLeft w:val="0"/>
          <w:marRight w:val="0"/>
          <w:marTop w:val="0"/>
          <w:marBottom w:val="0"/>
          <w:divBdr>
            <w:top w:val="none" w:sz="0" w:space="0" w:color="auto"/>
            <w:left w:val="none" w:sz="0" w:space="0" w:color="auto"/>
            <w:bottom w:val="none" w:sz="0" w:space="0" w:color="auto"/>
            <w:right w:val="none" w:sz="0" w:space="0" w:color="auto"/>
          </w:divBdr>
          <w:divsChild>
            <w:div w:id="1996914685">
              <w:marLeft w:val="0"/>
              <w:marRight w:val="0"/>
              <w:marTop w:val="0"/>
              <w:marBottom w:val="0"/>
              <w:divBdr>
                <w:top w:val="none" w:sz="0" w:space="0" w:color="auto"/>
                <w:left w:val="none" w:sz="0" w:space="0" w:color="auto"/>
                <w:bottom w:val="none" w:sz="0" w:space="0" w:color="auto"/>
                <w:right w:val="none" w:sz="0" w:space="0" w:color="auto"/>
              </w:divBdr>
            </w:div>
          </w:divsChild>
        </w:div>
        <w:div w:id="891845996">
          <w:marLeft w:val="0"/>
          <w:marRight w:val="0"/>
          <w:marTop w:val="0"/>
          <w:marBottom w:val="0"/>
          <w:divBdr>
            <w:top w:val="none" w:sz="0" w:space="0" w:color="auto"/>
            <w:left w:val="none" w:sz="0" w:space="0" w:color="auto"/>
            <w:bottom w:val="none" w:sz="0" w:space="0" w:color="auto"/>
            <w:right w:val="none" w:sz="0" w:space="0" w:color="auto"/>
          </w:divBdr>
          <w:divsChild>
            <w:div w:id="1160927076">
              <w:marLeft w:val="0"/>
              <w:marRight w:val="0"/>
              <w:marTop w:val="0"/>
              <w:marBottom w:val="0"/>
              <w:divBdr>
                <w:top w:val="none" w:sz="0" w:space="0" w:color="auto"/>
                <w:left w:val="none" w:sz="0" w:space="0" w:color="auto"/>
                <w:bottom w:val="none" w:sz="0" w:space="0" w:color="auto"/>
                <w:right w:val="none" w:sz="0" w:space="0" w:color="auto"/>
              </w:divBdr>
            </w:div>
          </w:divsChild>
        </w:div>
        <w:div w:id="1504583820">
          <w:marLeft w:val="0"/>
          <w:marRight w:val="0"/>
          <w:marTop w:val="0"/>
          <w:marBottom w:val="0"/>
          <w:divBdr>
            <w:top w:val="none" w:sz="0" w:space="0" w:color="auto"/>
            <w:left w:val="none" w:sz="0" w:space="0" w:color="auto"/>
            <w:bottom w:val="none" w:sz="0" w:space="0" w:color="auto"/>
            <w:right w:val="none" w:sz="0" w:space="0" w:color="auto"/>
          </w:divBdr>
          <w:divsChild>
            <w:div w:id="852495536">
              <w:marLeft w:val="0"/>
              <w:marRight w:val="0"/>
              <w:marTop w:val="0"/>
              <w:marBottom w:val="0"/>
              <w:divBdr>
                <w:top w:val="none" w:sz="0" w:space="0" w:color="auto"/>
                <w:left w:val="none" w:sz="0" w:space="0" w:color="auto"/>
                <w:bottom w:val="none" w:sz="0" w:space="0" w:color="auto"/>
                <w:right w:val="none" w:sz="0" w:space="0" w:color="auto"/>
              </w:divBdr>
            </w:div>
          </w:divsChild>
        </w:div>
        <w:div w:id="149366258">
          <w:marLeft w:val="0"/>
          <w:marRight w:val="0"/>
          <w:marTop w:val="0"/>
          <w:marBottom w:val="0"/>
          <w:divBdr>
            <w:top w:val="none" w:sz="0" w:space="0" w:color="auto"/>
            <w:left w:val="none" w:sz="0" w:space="0" w:color="auto"/>
            <w:bottom w:val="none" w:sz="0" w:space="0" w:color="auto"/>
            <w:right w:val="none" w:sz="0" w:space="0" w:color="auto"/>
          </w:divBdr>
          <w:divsChild>
            <w:div w:id="717514132">
              <w:marLeft w:val="0"/>
              <w:marRight w:val="0"/>
              <w:marTop w:val="0"/>
              <w:marBottom w:val="0"/>
              <w:divBdr>
                <w:top w:val="none" w:sz="0" w:space="0" w:color="auto"/>
                <w:left w:val="none" w:sz="0" w:space="0" w:color="auto"/>
                <w:bottom w:val="none" w:sz="0" w:space="0" w:color="auto"/>
                <w:right w:val="none" w:sz="0" w:space="0" w:color="auto"/>
              </w:divBdr>
            </w:div>
          </w:divsChild>
        </w:div>
        <w:div w:id="1332101450">
          <w:marLeft w:val="0"/>
          <w:marRight w:val="0"/>
          <w:marTop w:val="0"/>
          <w:marBottom w:val="0"/>
          <w:divBdr>
            <w:top w:val="none" w:sz="0" w:space="0" w:color="auto"/>
            <w:left w:val="none" w:sz="0" w:space="0" w:color="auto"/>
            <w:bottom w:val="none" w:sz="0" w:space="0" w:color="auto"/>
            <w:right w:val="none" w:sz="0" w:space="0" w:color="auto"/>
          </w:divBdr>
          <w:divsChild>
            <w:div w:id="1161391497">
              <w:marLeft w:val="0"/>
              <w:marRight w:val="0"/>
              <w:marTop w:val="0"/>
              <w:marBottom w:val="0"/>
              <w:divBdr>
                <w:top w:val="none" w:sz="0" w:space="0" w:color="auto"/>
                <w:left w:val="none" w:sz="0" w:space="0" w:color="auto"/>
                <w:bottom w:val="none" w:sz="0" w:space="0" w:color="auto"/>
                <w:right w:val="none" w:sz="0" w:space="0" w:color="auto"/>
              </w:divBdr>
            </w:div>
          </w:divsChild>
        </w:div>
        <w:div w:id="1799378259">
          <w:marLeft w:val="0"/>
          <w:marRight w:val="0"/>
          <w:marTop w:val="0"/>
          <w:marBottom w:val="0"/>
          <w:divBdr>
            <w:top w:val="none" w:sz="0" w:space="0" w:color="auto"/>
            <w:left w:val="none" w:sz="0" w:space="0" w:color="auto"/>
            <w:bottom w:val="none" w:sz="0" w:space="0" w:color="auto"/>
            <w:right w:val="none" w:sz="0" w:space="0" w:color="auto"/>
          </w:divBdr>
          <w:divsChild>
            <w:div w:id="1100369154">
              <w:marLeft w:val="0"/>
              <w:marRight w:val="0"/>
              <w:marTop w:val="0"/>
              <w:marBottom w:val="0"/>
              <w:divBdr>
                <w:top w:val="none" w:sz="0" w:space="0" w:color="auto"/>
                <w:left w:val="none" w:sz="0" w:space="0" w:color="auto"/>
                <w:bottom w:val="none" w:sz="0" w:space="0" w:color="auto"/>
                <w:right w:val="none" w:sz="0" w:space="0" w:color="auto"/>
              </w:divBdr>
            </w:div>
          </w:divsChild>
        </w:div>
        <w:div w:id="1477994655">
          <w:marLeft w:val="0"/>
          <w:marRight w:val="0"/>
          <w:marTop w:val="0"/>
          <w:marBottom w:val="0"/>
          <w:divBdr>
            <w:top w:val="none" w:sz="0" w:space="0" w:color="auto"/>
            <w:left w:val="none" w:sz="0" w:space="0" w:color="auto"/>
            <w:bottom w:val="none" w:sz="0" w:space="0" w:color="auto"/>
            <w:right w:val="none" w:sz="0" w:space="0" w:color="auto"/>
          </w:divBdr>
          <w:divsChild>
            <w:div w:id="1837183499">
              <w:marLeft w:val="0"/>
              <w:marRight w:val="0"/>
              <w:marTop w:val="0"/>
              <w:marBottom w:val="0"/>
              <w:divBdr>
                <w:top w:val="none" w:sz="0" w:space="0" w:color="auto"/>
                <w:left w:val="none" w:sz="0" w:space="0" w:color="auto"/>
                <w:bottom w:val="none" w:sz="0" w:space="0" w:color="auto"/>
                <w:right w:val="none" w:sz="0" w:space="0" w:color="auto"/>
              </w:divBdr>
            </w:div>
          </w:divsChild>
        </w:div>
        <w:div w:id="1054886638">
          <w:marLeft w:val="0"/>
          <w:marRight w:val="0"/>
          <w:marTop w:val="0"/>
          <w:marBottom w:val="0"/>
          <w:divBdr>
            <w:top w:val="none" w:sz="0" w:space="0" w:color="auto"/>
            <w:left w:val="none" w:sz="0" w:space="0" w:color="auto"/>
            <w:bottom w:val="none" w:sz="0" w:space="0" w:color="auto"/>
            <w:right w:val="none" w:sz="0" w:space="0" w:color="auto"/>
          </w:divBdr>
          <w:divsChild>
            <w:div w:id="1179809952">
              <w:marLeft w:val="0"/>
              <w:marRight w:val="0"/>
              <w:marTop w:val="0"/>
              <w:marBottom w:val="0"/>
              <w:divBdr>
                <w:top w:val="none" w:sz="0" w:space="0" w:color="auto"/>
                <w:left w:val="none" w:sz="0" w:space="0" w:color="auto"/>
                <w:bottom w:val="none" w:sz="0" w:space="0" w:color="auto"/>
                <w:right w:val="none" w:sz="0" w:space="0" w:color="auto"/>
              </w:divBdr>
            </w:div>
          </w:divsChild>
        </w:div>
        <w:div w:id="890771260">
          <w:marLeft w:val="0"/>
          <w:marRight w:val="0"/>
          <w:marTop w:val="0"/>
          <w:marBottom w:val="0"/>
          <w:divBdr>
            <w:top w:val="none" w:sz="0" w:space="0" w:color="auto"/>
            <w:left w:val="none" w:sz="0" w:space="0" w:color="auto"/>
            <w:bottom w:val="none" w:sz="0" w:space="0" w:color="auto"/>
            <w:right w:val="none" w:sz="0" w:space="0" w:color="auto"/>
          </w:divBdr>
          <w:divsChild>
            <w:div w:id="1001347126">
              <w:marLeft w:val="0"/>
              <w:marRight w:val="0"/>
              <w:marTop w:val="0"/>
              <w:marBottom w:val="0"/>
              <w:divBdr>
                <w:top w:val="none" w:sz="0" w:space="0" w:color="auto"/>
                <w:left w:val="none" w:sz="0" w:space="0" w:color="auto"/>
                <w:bottom w:val="none" w:sz="0" w:space="0" w:color="auto"/>
                <w:right w:val="none" w:sz="0" w:space="0" w:color="auto"/>
              </w:divBdr>
            </w:div>
          </w:divsChild>
        </w:div>
        <w:div w:id="199784960">
          <w:marLeft w:val="0"/>
          <w:marRight w:val="0"/>
          <w:marTop w:val="0"/>
          <w:marBottom w:val="0"/>
          <w:divBdr>
            <w:top w:val="none" w:sz="0" w:space="0" w:color="auto"/>
            <w:left w:val="none" w:sz="0" w:space="0" w:color="auto"/>
            <w:bottom w:val="none" w:sz="0" w:space="0" w:color="auto"/>
            <w:right w:val="none" w:sz="0" w:space="0" w:color="auto"/>
          </w:divBdr>
          <w:divsChild>
            <w:div w:id="1786384055">
              <w:marLeft w:val="0"/>
              <w:marRight w:val="0"/>
              <w:marTop w:val="0"/>
              <w:marBottom w:val="0"/>
              <w:divBdr>
                <w:top w:val="none" w:sz="0" w:space="0" w:color="auto"/>
                <w:left w:val="none" w:sz="0" w:space="0" w:color="auto"/>
                <w:bottom w:val="none" w:sz="0" w:space="0" w:color="auto"/>
                <w:right w:val="none" w:sz="0" w:space="0" w:color="auto"/>
              </w:divBdr>
            </w:div>
          </w:divsChild>
        </w:div>
        <w:div w:id="1418017881">
          <w:marLeft w:val="0"/>
          <w:marRight w:val="0"/>
          <w:marTop w:val="0"/>
          <w:marBottom w:val="0"/>
          <w:divBdr>
            <w:top w:val="none" w:sz="0" w:space="0" w:color="auto"/>
            <w:left w:val="none" w:sz="0" w:space="0" w:color="auto"/>
            <w:bottom w:val="none" w:sz="0" w:space="0" w:color="auto"/>
            <w:right w:val="none" w:sz="0" w:space="0" w:color="auto"/>
          </w:divBdr>
          <w:divsChild>
            <w:div w:id="283079640">
              <w:marLeft w:val="0"/>
              <w:marRight w:val="0"/>
              <w:marTop w:val="0"/>
              <w:marBottom w:val="0"/>
              <w:divBdr>
                <w:top w:val="none" w:sz="0" w:space="0" w:color="auto"/>
                <w:left w:val="none" w:sz="0" w:space="0" w:color="auto"/>
                <w:bottom w:val="none" w:sz="0" w:space="0" w:color="auto"/>
                <w:right w:val="none" w:sz="0" w:space="0" w:color="auto"/>
              </w:divBdr>
            </w:div>
          </w:divsChild>
        </w:div>
        <w:div w:id="870806263">
          <w:marLeft w:val="0"/>
          <w:marRight w:val="0"/>
          <w:marTop w:val="0"/>
          <w:marBottom w:val="0"/>
          <w:divBdr>
            <w:top w:val="none" w:sz="0" w:space="0" w:color="auto"/>
            <w:left w:val="none" w:sz="0" w:space="0" w:color="auto"/>
            <w:bottom w:val="none" w:sz="0" w:space="0" w:color="auto"/>
            <w:right w:val="none" w:sz="0" w:space="0" w:color="auto"/>
          </w:divBdr>
          <w:divsChild>
            <w:div w:id="726535210">
              <w:marLeft w:val="0"/>
              <w:marRight w:val="0"/>
              <w:marTop w:val="0"/>
              <w:marBottom w:val="0"/>
              <w:divBdr>
                <w:top w:val="none" w:sz="0" w:space="0" w:color="auto"/>
                <w:left w:val="none" w:sz="0" w:space="0" w:color="auto"/>
                <w:bottom w:val="none" w:sz="0" w:space="0" w:color="auto"/>
                <w:right w:val="none" w:sz="0" w:space="0" w:color="auto"/>
              </w:divBdr>
            </w:div>
          </w:divsChild>
        </w:div>
        <w:div w:id="773092640">
          <w:marLeft w:val="0"/>
          <w:marRight w:val="0"/>
          <w:marTop w:val="0"/>
          <w:marBottom w:val="0"/>
          <w:divBdr>
            <w:top w:val="none" w:sz="0" w:space="0" w:color="auto"/>
            <w:left w:val="none" w:sz="0" w:space="0" w:color="auto"/>
            <w:bottom w:val="none" w:sz="0" w:space="0" w:color="auto"/>
            <w:right w:val="none" w:sz="0" w:space="0" w:color="auto"/>
          </w:divBdr>
          <w:divsChild>
            <w:div w:id="252981803">
              <w:marLeft w:val="0"/>
              <w:marRight w:val="0"/>
              <w:marTop w:val="0"/>
              <w:marBottom w:val="0"/>
              <w:divBdr>
                <w:top w:val="none" w:sz="0" w:space="0" w:color="auto"/>
                <w:left w:val="none" w:sz="0" w:space="0" w:color="auto"/>
                <w:bottom w:val="none" w:sz="0" w:space="0" w:color="auto"/>
                <w:right w:val="none" w:sz="0" w:space="0" w:color="auto"/>
              </w:divBdr>
            </w:div>
          </w:divsChild>
        </w:div>
        <w:div w:id="1957129517">
          <w:marLeft w:val="0"/>
          <w:marRight w:val="0"/>
          <w:marTop w:val="0"/>
          <w:marBottom w:val="0"/>
          <w:divBdr>
            <w:top w:val="none" w:sz="0" w:space="0" w:color="auto"/>
            <w:left w:val="none" w:sz="0" w:space="0" w:color="auto"/>
            <w:bottom w:val="none" w:sz="0" w:space="0" w:color="auto"/>
            <w:right w:val="none" w:sz="0" w:space="0" w:color="auto"/>
          </w:divBdr>
          <w:divsChild>
            <w:div w:id="88359490">
              <w:marLeft w:val="0"/>
              <w:marRight w:val="0"/>
              <w:marTop w:val="0"/>
              <w:marBottom w:val="0"/>
              <w:divBdr>
                <w:top w:val="none" w:sz="0" w:space="0" w:color="auto"/>
                <w:left w:val="none" w:sz="0" w:space="0" w:color="auto"/>
                <w:bottom w:val="none" w:sz="0" w:space="0" w:color="auto"/>
                <w:right w:val="none" w:sz="0" w:space="0" w:color="auto"/>
              </w:divBdr>
            </w:div>
          </w:divsChild>
        </w:div>
        <w:div w:id="1939559438">
          <w:marLeft w:val="0"/>
          <w:marRight w:val="0"/>
          <w:marTop w:val="0"/>
          <w:marBottom w:val="0"/>
          <w:divBdr>
            <w:top w:val="none" w:sz="0" w:space="0" w:color="auto"/>
            <w:left w:val="none" w:sz="0" w:space="0" w:color="auto"/>
            <w:bottom w:val="none" w:sz="0" w:space="0" w:color="auto"/>
            <w:right w:val="none" w:sz="0" w:space="0" w:color="auto"/>
          </w:divBdr>
          <w:divsChild>
            <w:div w:id="1969046399">
              <w:marLeft w:val="0"/>
              <w:marRight w:val="0"/>
              <w:marTop w:val="0"/>
              <w:marBottom w:val="0"/>
              <w:divBdr>
                <w:top w:val="none" w:sz="0" w:space="0" w:color="auto"/>
                <w:left w:val="none" w:sz="0" w:space="0" w:color="auto"/>
                <w:bottom w:val="none" w:sz="0" w:space="0" w:color="auto"/>
                <w:right w:val="none" w:sz="0" w:space="0" w:color="auto"/>
              </w:divBdr>
            </w:div>
          </w:divsChild>
        </w:div>
        <w:div w:id="112019691">
          <w:marLeft w:val="0"/>
          <w:marRight w:val="0"/>
          <w:marTop w:val="0"/>
          <w:marBottom w:val="0"/>
          <w:divBdr>
            <w:top w:val="none" w:sz="0" w:space="0" w:color="auto"/>
            <w:left w:val="none" w:sz="0" w:space="0" w:color="auto"/>
            <w:bottom w:val="none" w:sz="0" w:space="0" w:color="auto"/>
            <w:right w:val="none" w:sz="0" w:space="0" w:color="auto"/>
          </w:divBdr>
          <w:divsChild>
            <w:div w:id="1044217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chart" Target="charts/chart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chart" Target="charts/chart2.xml"/><Relationship Id="rId23" Type="http://schemas.openxmlformats.org/officeDocument/2006/relationships/customXml" Target="../customXml/item8.xml"/><Relationship Id="rId10" Type="http://schemas.openxmlformats.org/officeDocument/2006/relationships/webSettings" Target="webSetting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hart" Target="charts/chart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tmpsftp.stantec.com/EFTClient/Account/Login.htmhttp:/portalweb.cammesa.com/memnet1/Pages/descargas.aspx" TargetMode="External"/><Relationship Id="rId13" Type="http://schemas.openxmlformats.org/officeDocument/2006/relationships/hyperlink" Target="http://www.ben.miem.gub.uy" TargetMode="External"/><Relationship Id="rId3" Type="http://schemas.openxmlformats.org/officeDocument/2006/relationships/hyperlink" Target="https://portal.ute.com.uy" TargetMode="External"/><Relationship Id="rId7" Type="http://schemas.openxmlformats.org/officeDocument/2006/relationships/hyperlink" Target="http://www.melectrico.com.ar/web/index.php?option=com_content&amp;view=article&amp;id=2134:informe-anual-de-cammesa-2017&amp;catid=1:latest-news" TargetMode="External"/><Relationship Id="rId12" Type="http://schemas.openxmlformats.org/officeDocument/2006/relationships/hyperlink" Target="http://www.ben.miem.gub.uy" TargetMode="External"/><Relationship Id="rId2" Type="http://schemas.openxmlformats.org/officeDocument/2006/relationships/hyperlink" Target="http://www.ben.miem.gub.uy" TargetMode="External"/><Relationship Id="rId1" Type="http://schemas.openxmlformats.org/officeDocument/2006/relationships/hyperlink" Target="http://www.ben.miem.gub.uy" TargetMode="External"/><Relationship Id="rId6" Type="http://schemas.openxmlformats.org/officeDocument/2006/relationships/hyperlink" Target="http://portalweb.cammesa.com/memnet1/Pages/descargas.aspx" TargetMode="External"/><Relationship Id="rId11" Type="http://schemas.openxmlformats.org/officeDocument/2006/relationships/hyperlink" Target="https://www.saltogrande.org/pdf/Brochure%20Institucional%20Salto%20Grande.pdf" TargetMode="External"/><Relationship Id="rId5" Type="http://schemas.openxmlformats.org/officeDocument/2006/relationships/hyperlink" Target="http://www.ben.miem.gub.uy" TargetMode="External"/><Relationship Id="rId10" Type="http://schemas.openxmlformats.org/officeDocument/2006/relationships/hyperlink" Target="https://www.minem.gob.ar/www/833/25897/proyectos-adjudicados-del-programa-renovar" TargetMode="External"/><Relationship Id="rId4" Type="http://schemas.openxmlformats.org/officeDocument/2006/relationships/hyperlink" Target="https://portal.ute.com.uy" TargetMode="External"/><Relationship Id="rId9" Type="http://schemas.openxmlformats.org/officeDocument/2006/relationships/hyperlink" Target="http://portalweb.cammesa.com/memnet1/Pages/descargas.aspx" TargetMode="External"/><Relationship Id="rId14" Type="http://schemas.openxmlformats.org/officeDocument/2006/relationships/hyperlink" Target="https://tmpsftp.stantec.com/EFTClient/Account/Login.htmhttps:/negocios.elpais.com.uy/noticias/negocio-comprar-energia-argentina.html"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ceciliacor\Documents\RG-\RG-L1124-%20Modernizacion%20CHSG\2-Info%20background\7-Informaci&#243;n%20general\Integraci&#243;n\An&#225;lisis%20sectores%20el&#233;ctricos.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ceciliacor\Documents\RG-\RG-L1124-%20Modernizacion%20CHSG\2-Info%20background\7-Informaci&#243;n%20general\Integraci&#243;n\ArgBASE_INFORME_MENSUAL_2017-12-CC.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ceciliacor\Documents\RG-\RG-L1124-%20Modernizacion%20CHSG\2-Info%20background\7-Informaci&#243;n%20general\Integraci&#243;n\An&#225;lisis%20sectores%20el&#233;ctricos.xlsx" TargetMode="External"/><Relationship Id="rId2" Type="http://schemas.microsoft.com/office/2011/relationships/chartColorStyle" Target="colors3.xml"/><Relationship Id="rId1" Type="http://schemas.microsoft.com/office/2011/relationships/chartStyle" Target="styl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Total Genración por fuente</a:t>
            </a:r>
            <a:r>
              <a:rPr lang="en-US" baseline="0"/>
              <a:t> Uruugay</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Resumen!$S$1</c:f>
              <c:strCache>
                <c:ptCount val="1"/>
                <c:pt idx="0">
                  <c:v>TOTAL
generación
térmica fósiles</c:v>
                </c:pt>
              </c:strCache>
            </c:strRef>
          </c:tx>
          <c:spPr>
            <a:solidFill>
              <a:schemeClr val="accent6"/>
            </a:solidFill>
            <a:ln>
              <a:noFill/>
            </a:ln>
            <a:effectLst/>
          </c:spPr>
          <c:invertIfNegative val="0"/>
          <c:cat>
            <c:numRef>
              <c:extLst>
                <c:ext xmlns:c15="http://schemas.microsoft.com/office/drawing/2012/chart" uri="{02D57815-91ED-43cb-92C2-25804820EDAC}">
                  <c15:fullRef>
                    <c15:sqref>Resumen!$A$2:$A$20</c15:sqref>
                  </c15:fullRef>
                </c:ext>
              </c:extLst>
              <c:f>Resumen!$A$4:$A$20</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extLst>
                <c:ext xmlns:c15="http://schemas.microsoft.com/office/drawing/2012/chart" uri="{02D57815-91ED-43cb-92C2-25804820EDAC}">
                  <c15:fullRef>
                    <c15:sqref>Resumen!$S$2:$S$20</c15:sqref>
                  </c15:fullRef>
                </c:ext>
              </c:extLst>
              <c:f>Resumen!$S$4:$S$20</c:f>
              <c:numCache>
                <c:formatCode>General</c:formatCode>
                <c:ptCount val="17"/>
                <c:pt idx="0" formatCode="_(* #,##0_);_(* \(#,##0\);_(* &quot;-&quot;??_);_(@_)">
                  <c:v>495055.8</c:v>
                </c:pt>
                <c:pt idx="1" formatCode="_(* #,##0_);_(* \(#,##0\);_(* &quot;-&quot;??_);_(@_)">
                  <c:v>15019</c:v>
                </c:pt>
                <c:pt idx="2" formatCode="_(* #,##0_);_(* \(#,##0\);_(* &quot;-&quot;??_);_(@_)">
                  <c:v>25996.400000000001</c:v>
                </c:pt>
                <c:pt idx="3" formatCode="_(* #,##0_);_(* \(#,##0\);_(* &quot;-&quot;??_);_(@_)">
                  <c:v>6604</c:v>
                </c:pt>
                <c:pt idx="4" formatCode="_(* #,##0_);_(* \(#,##0\);_(* &quot;-&quot;??_);_(@_)">
                  <c:v>1076798</c:v>
                </c:pt>
                <c:pt idx="5" formatCode="_(* #,##0_);_(* \(#,##0\);_(* &quot;-&quot;??_);_(@_)">
                  <c:v>957192</c:v>
                </c:pt>
                <c:pt idx="6" formatCode="_(* #,##0_);_(* \(#,##0\);_(* &quot;-&quot;??_);_(@_)">
                  <c:v>1970309</c:v>
                </c:pt>
                <c:pt idx="7" formatCode="_(* #,##0_);_(* \(#,##0\);_(* &quot;-&quot;??_);_(@_)">
                  <c:v>1214295</c:v>
                </c:pt>
                <c:pt idx="8" formatCode="_(* #,##0_);_(* \(#,##0\);_(* &quot;-&quot;??_);_(@_)">
                  <c:v>3380887.4469999997</c:v>
                </c:pt>
                <c:pt idx="9" formatCode="_(* #,##0_);_(* \(#,##0\);_(* &quot;-&quot;??_);_(@_)">
                  <c:v>2627727.486</c:v>
                </c:pt>
                <c:pt idx="10" formatCode="_(* #,##0_);_(* \(#,##0\);_(* &quot;-&quot;??_);_(@_)">
                  <c:v>1153448.5274</c:v>
                </c:pt>
                <c:pt idx="11" formatCode="_(* #,##0_);_(* \(#,##0\);_(* &quot;-&quot;??_);_(@_)">
                  <c:v>2605785.977</c:v>
                </c:pt>
                <c:pt idx="12" formatCode="_(* #,##0_);_(* \(#,##0\);_(* &quot;-&quot;??_);_(@_)">
                  <c:v>3735156.8893999998</c:v>
                </c:pt>
                <c:pt idx="13" formatCode="_(* #,##0_);_(* \(#,##0\);_(* &quot;-&quot;??_);_(@_)">
                  <c:v>1850385.8074</c:v>
                </c:pt>
                <c:pt idx="14" formatCode="_(* #,##0_);_(* \(#,##0\);_(* &quot;-&quot;??_);_(@_)">
                  <c:v>661473.96040000021</c:v>
                </c:pt>
                <c:pt idx="15" formatCode="_(* #,##0_);_(* \(#,##0\);_(* &quot;-&quot;??_);_(@_)">
                  <c:v>927495.99600000004</c:v>
                </c:pt>
                <c:pt idx="16" formatCode="_(* #,##0_);_(* \(#,##0\);_(* &quot;-&quot;??_);_(@_)">
                  <c:v>430571.09549999994</c:v>
                </c:pt>
              </c:numCache>
            </c:numRef>
          </c:val>
          <c:extLst>
            <c:ext xmlns:c16="http://schemas.microsoft.com/office/drawing/2014/chart" uri="{C3380CC4-5D6E-409C-BE32-E72D297353CC}">
              <c16:uniqueId val="{00000000-56BB-4EA5-ACF0-4784280B27C7}"/>
            </c:ext>
          </c:extLst>
        </c:ser>
        <c:ser>
          <c:idx val="1"/>
          <c:order val="1"/>
          <c:tx>
            <c:strRef>
              <c:f>Resumen!$T$1</c:f>
              <c:strCache>
                <c:ptCount val="1"/>
                <c:pt idx="0">
                  <c:v>TOTAL
generación
hidráulica</c:v>
                </c:pt>
              </c:strCache>
            </c:strRef>
          </c:tx>
          <c:spPr>
            <a:solidFill>
              <a:schemeClr val="accent2"/>
            </a:solidFill>
            <a:ln>
              <a:noFill/>
            </a:ln>
            <a:effectLst/>
          </c:spPr>
          <c:invertIfNegative val="0"/>
          <c:cat>
            <c:numRef>
              <c:extLst>
                <c:ext xmlns:c15="http://schemas.microsoft.com/office/drawing/2012/chart" uri="{02D57815-91ED-43cb-92C2-25804820EDAC}">
                  <c15:fullRef>
                    <c15:sqref>Resumen!$A$2:$A$20</c15:sqref>
                  </c15:fullRef>
                </c:ext>
              </c:extLst>
              <c:f>Resumen!$A$4:$A$20</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extLst>
                <c:ext xmlns:c15="http://schemas.microsoft.com/office/drawing/2012/chart" uri="{02D57815-91ED-43cb-92C2-25804820EDAC}">
                  <c15:fullRef>
                    <c15:sqref>Resumen!$T$2:$T$20</c15:sqref>
                  </c15:fullRef>
                </c:ext>
              </c:extLst>
              <c:f>Resumen!$T$4:$T$20</c:f>
              <c:numCache>
                <c:formatCode>General</c:formatCode>
                <c:ptCount val="17"/>
                <c:pt idx="0" formatCode="_(* #,##0_);_(* \(#,##0\);_(* &quot;-&quot;??_);_(@_)">
                  <c:v>7050668</c:v>
                </c:pt>
                <c:pt idx="1" formatCode="_(* #,##0_);_(* \(#,##0\);_(* &quot;-&quot;??_);_(@_)">
                  <c:v>9194055</c:v>
                </c:pt>
                <c:pt idx="2" formatCode="_(* #,##0_);_(* \(#,##0\);_(* &quot;-&quot;??_);_(@_)">
                  <c:v>9535366</c:v>
                </c:pt>
                <c:pt idx="3" formatCode="_(* #,##0_);_(* \(#,##0\);_(* &quot;-&quot;??_);_(@_)">
                  <c:v>8529548.5</c:v>
                </c:pt>
                <c:pt idx="4" formatCode="_(* #,##0_);_(* \(#,##0\);_(* &quot;-&quot;??_);_(@_)">
                  <c:v>4762323</c:v>
                </c:pt>
                <c:pt idx="5" formatCode="_(* #,##0_);_(* \(#,##0\);_(* &quot;-&quot;??_);_(@_)">
                  <c:v>6683112</c:v>
                </c:pt>
                <c:pt idx="6" formatCode="_(* #,##0_);_(* \(#,##0\);_(* &quot;-&quot;??_);_(@_)">
                  <c:v>3593953.5</c:v>
                </c:pt>
                <c:pt idx="7" formatCode="_(* #,##0_);_(* \(#,##0\);_(* &quot;-&quot;??_);_(@_)">
                  <c:v>8068745</c:v>
                </c:pt>
                <c:pt idx="8" formatCode="_(* #,##0_);_(* \(#,##0\);_(* &quot;-&quot;??_);_(@_)">
                  <c:v>4500033</c:v>
                </c:pt>
                <c:pt idx="9" formatCode="_(* #,##0_);_(* \(#,##0\);_(* &quot;-&quot;??_);_(@_)">
                  <c:v>5174710</c:v>
                </c:pt>
                <c:pt idx="10" formatCode="_(* #,##0_);_(* \(#,##0\);_(* &quot;-&quot;??_);_(@_)">
                  <c:v>8666311</c:v>
                </c:pt>
                <c:pt idx="11" formatCode="_(* #,##0_);_(* \(#,##0\);_(* &quot;-&quot;??_);_(@_)">
                  <c:v>6478899.5</c:v>
                </c:pt>
                <c:pt idx="12" formatCode="_(* #,##0_);_(* \(#,##0\);_(* &quot;-&quot;??_);_(@_)">
                  <c:v>5420847</c:v>
                </c:pt>
                <c:pt idx="13" formatCode="_(* #,##0_);_(* \(#,##0\);_(* &quot;-&quot;??_);_(@_)">
                  <c:v>8203798.7647549929</c:v>
                </c:pt>
                <c:pt idx="14" formatCode="_(* #,##0_);_(* \(#,##0\);_(* &quot;-&quot;??_);_(@_)">
                  <c:v>9649130.032824751</c:v>
                </c:pt>
                <c:pt idx="15" formatCode="_(* #,##0_);_(* \(#,##0\);_(* &quot;-&quot;??_);_(@_)">
                  <c:v>7854557.9965308085</c:v>
                </c:pt>
                <c:pt idx="16" formatCode="_(* #,##0_);_(* \(#,##0\);_(* &quot;-&quot;??_);_(@_)">
                  <c:v>7601486.4872331182</c:v>
                </c:pt>
              </c:numCache>
            </c:numRef>
          </c:val>
          <c:extLst>
            <c:ext xmlns:c16="http://schemas.microsoft.com/office/drawing/2014/chart" uri="{C3380CC4-5D6E-409C-BE32-E72D297353CC}">
              <c16:uniqueId val="{00000001-56BB-4EA5-ACF0-4784280B27C7}"/>
            </c:ext>
          </c:extLst>
        </c:ser>
        <c:ser>
          <c:idx val="2"/>
          <c:order val="2"/>
          <c:tx>
            <c:strRef>
              <c:f>Resumen!$U$1</c:f>
              <c:strCache>
                <c:ptCount val="1"/>
                <c:pt idx="0">
                  <c:v>TOTAL
generación
eólica</c:v>
                </c:pt>
              </c:strCache>
            </c:strRef>
          </c:tx>
          <c:spPr>
            <a:solidFill>
              <a:schemeClr val="accent3"/>
            </a:solidFill>
            <a:ln>
              <a:noFill/>
            </a:ln>
            <a:effectLst/>
          </c:spPr>
          <c:invertIfNegative val="0"/>
          <c:cat>
            <c:numRef>
              <c:extLst>
                <c:ext xmlns:c15="http://schemas.microsoft.com/office/drawing/2012/chart" uri="{02D57815-91ED-43cb-92C2-25804820EDAC}">
                  <c15:fullRef>
                    <c15:sqref>Resumen!$A$2:$A$20</c15:sqref>
                  </c15:fullRef>
                </c:ext>
              </c:extLst>
              <c:f>Resumen!$A$4:$A$20</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extLst>
                <c:ext xmlns:c15="http://schemas.microsoft.com/office/drawing/2012/chart" uri="{02D57815-91ED-43cb-92C2-25804820EDAC}">
                  <c15:fullRef>
                    <c15:sqref>Resumen!$U$2:$U$20</c15:sqref>
                  </c15:fullRef>
                </c:ext>
              </c:extLst>
              <c:f>Resumen!$U$4:$U$20</c:f>
              <c:numCache>
                <c:formatCode>General</c:formatCode>
                <c:ptCount val="17"/>
                <c:pt idx="0" formatCode="_(* #,##0_);_(* \(#,##0\);_(* &quot;-&quot;??_);_(@_)">
                  <c:v>0</c:v>
                </c:pt>
                <c:pt idx="1" formatCode="_(* #,##0_);_(* \(#,##0\);_(* &quot;-&quot;??_);_(@_)">
                  <c:v>0</c:v>
                </c:pt>
                <c:pt idx="2" formatCode="_(* #,##0_);_(* \(#,##0\);_(* &quot;-&quot;??_);_(@_)">
                  <c:v>0</c:v>
                </c:pt>
                <c:pt idx="3" formatCode="_(* #,##0_);_(* \(#,##0\);_(* &quot;-&quot;??_);_(@_)">
                  <c:v>0</c:v>
                </c:pt>
                <c:pt idx="4" formatCode="_(* #,##0_);_(* \(#,##0\);_(* &quot;-&quot;??_);_(@_)">
                  <c:v>0</c:v>
                </c:pt>
                <c:pt idx="5" formatCode="_(* #,##0_);_(* \(#,##0\);_(* &quot;-&quot;??_);_(@_)">
                  <c:v>0</c:v>
                </c:pt>
                <c:pt idx="6" formatCode="_(* #,##0_);_(* \(#,##0\);_(* &quot;-&quot;??_);_(@_)">
                  <c:v>0</c:v>
                </c:pt>
                <c:pt idx="7" formatCode="_(* #,##0_);_(* \(#,##0\);_(* &quot;-&quot;??_);_(@_)">
                  <c:v>0</c:v>
                </c:pt>
                <c:pt idx="8" formatCode="_(* #,##0_);_(* \(#,##0\);_(* &quot;-&quot;??_);_(@_)">
                  <c:v>0</c:v>
                </c:pt>
                <c:pt idx="9" formatCode="_(* #,##0_);_(* \(#,##0\);_(* &quot;-&quot;??_);_(@_)">
                  <c:v>41631.292099999999</c:v>
                </c:pt>
                <c:pt idx="10" formatCode="_(* #,##0_);_(* \(#,##0\);_(* &quot;-&quot;??_);_(@_)">
                  <c:v>68004.009999999995</c:v>
                </c:pt>
                <c:pt idx="11" formatCode="_(* #,##0_);_(* \(#,##0\);_(* &quot;-&quot;??_);_(@_)">
                  <c:v>111325.16</c:v>
                </c:pt>
                <c:pt idx="12" formatCode="_(* #,##0_);_(* \(#,##0\);_(* &quot;-&quot;??_);_(@_)">
                  <c:v>110872.09</c:v>
                </c:pt>
                <c:pt idx="13" formatCode="_(* #,##0_);_(* \(#,##0\);_(* &quot;-&quot;??_);_(@_)">
                  <c:v>137235.46</c:v>
                </c:pt>
                <c:pt idx="14" formatCode="_(* #,##0_);_(* \(#,##0\);_(* &quot;-&quot;??_);_(@_)">
                  <c:v>727533.09</c:v>
                </c:pt>
                <c:pt idx="15" formatCode="_(* #,##0_);_(* \(#,##0\);_(* &quot;-&quot;??_);_(@_)">
                  <c:v>2056845.8689999995</c:v>
                </c:pt>
                <c:pt idx="16" formatCode="_(* #,##0_);_(* \(#,##0\);_(* &quot;-&quot;??_);_(@_)">
                  <c:v>2985778.8477999996</c:v>
                </c:pt>
              </c:numCache>
            </c:numRef>
          </c:val>
          <c:extLst>
            <c:ext xmlns:c16="http://schemas.microsoft.com/office/drawing/2014/chart" uri="{C3380CC4-5D6E-409C-BE32-E72D297353CC}">
              <c16:uniqueId val="{00000002-56BB-4EA5-ACF0-4784280B27C7}"/>
            </c:ext>
          </c:extLst>
        </c:ser>
        <c:ser>
          <c:idx val="3"/>
          <c:order val="3"/>
          <c:tx>
            <c:strRef>
              <c:f>Resumen!$V$1</c:f>
              <c:strCache>
                <c:ptCount val="1"/>
                <c:pt idx="0">
                  <c:v>TOTAL
generación
solar</c:v>
                </c:pt>
              </c:strCache>
            </c:strRef>
          </c:tx>
          <c:spPr>
            <a:solidFill>
              <a:schemeClr val="accent4"/>
            </a:solidFill>
            <a:ln>
              <a:noFill/>
            </a:ln>
            <a:effectLst/>
          </c:spPr>
          <c:invertIfNegative val="0"/>
          <c:cat>
            <c:numRef>
              <c:extLst>
                <c:ext xmlns:c15="http://schemas.microsoft.com/office/drawing/2012/chart" uri="{02D57815-91ED-43cb-92C2-25804820EDAC}">
                  <c15:fullRef>
                    <c15:sqref>Resumen!$A$2:$A$20</c15:sqref>
                  </c15:fullRef>
                </c:ext>
              </c:extLst>
              <c:f>Resumen!$A$4:$A$20</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extLst>
                <c:ext xmlns:c15="http://schemas.microsoft.com/office/drawing/2012/chart" uri="{02D57815-91ED-43cb-92C2-25804820EDAC}">
                  <c15:fullRef>
                    <c15:sqref>Resumen!$V$2:$V$20</c15:sqref>
                  </c15:fullRef>
                </c:ext>
              </c:extLst>
              <c:f>Resumen!$V$4:$V$20</c:f>
              <c:numCache>
                <c:formatCode>General</c:formatCode>
                <c:ptCount val="17"/>
                <c:pt idx="0" formatCode="_(* #,##0_);_(* \(#,##0\);_(* &quot;-&quot;??_);_(@_)">
                  <c:v>0</c:v>
                </c:pt>
                <c:pt idx="1" formatCode="_(* #,##0_);_(* \(#,##0\);_(* &quot;-&quot;??_);_(@_)">
                  <c:v>0</c:v>
                </c:pt>
                <c:pt idx="2" formatCode="_(* #,##0_);_(* \(#,##0\);_(* &quot;-&quot;??_);_(@_)">
                  <c:v>0</c:v>
                </c:pt>
                <c:pt idx="3" formatCode="_(* #,##0_);_(* \(#,##0\);_(* &quot;-&quot;??_);_(@_)">
                  <c:v>0</c:v>
                </c:pt>
                <c:pt idx="4" formatCode="_(* #,##0_);_(* \(#,##0\);_(* &quot;-&quot;??_);_(@_)">
                  <c:v>0</c:v>
                </c:pt>
                <c:pt idx="5" formatCode="_(* #,##0_);_(* \(#,##0\);_(* &quot;-&quot;??_);_(@_)">
                  <c:v>0</c:v>
                </c:pt>
                <c:pt idx="6" formatCode="_(* #,##0_);_(* \(#,##0\);_(* &quot;-&quot;??_);_(@_)">
                  <c:v>0</c:v>
                </c:pt>
                <c:pt idx="7" formatCode="_(* #,##0_);_(* \(#,##0\);_(* &quot;-&quot;??_);_(@_)">
                  <c:v>0</c:v>
                </c:pt>
                <c:pt idx="8" formatCode="_(* #,##0_);_(* \(#,##0\);_(* &quot;-&quot;??_);_(@_)">
                  <c:v>0</c:v>
                </c:pt>
                <c:pt idx="9" formatCode="_(* #,##0_);_(* \(#,##0\);_(* &quot;-&quot;??_);_(@_)">
                  <c:v>0</c:v>
                </c:pt>
                <c:pt idx="10" formatCode="_(* #,##0_);_(* \(#,##0\);_(* &quot;-&quot;??_);_(@_)">
                  <c:v>0</c:v>
                </c:pt>
                <c:pt idx="11" formatCode="_(* #,##0_);_(* \(#,##0\);_(* &quot;-&quot;??_);_(@_)">
                  <c:v>0</c:v>
                </c:pt>
                <c:pt idx="12" formatCode="_(* #,##0_);_(* \(#,##0\);_(* &quot;-&quot;??_);_(@_)">
                  <c:v>0</c:v>
                </c:pt>
                <c:pt idx="13" formatCode="_(* #,##0_);_(* \(#,##0\);_(* &quot;-&quot;??_);_(@_)">
                  <c:v>345.01000000000005</c:v>
                </c:pt>
                <c:pt idx="14" formatCode="_(* #,##0_);_(* \(#,##0\);_(* &quot;-&quot;??_);_(@_)">
                  <c:v>697.31000000000006</c:v>
                </c:pt>
                <c:pt idx="15" formatCode="_(* #,##0_);_(* \(#,##0\);_(* &quot;-&quot;??_);_(@_)">
                  <c:v>43039.513999999996</c:v>
                </c:pt>
                <c:pt idx="16" formatCode="_(* #,##0_);_(* \(#,##0\);_(* &quot;-&quot;??_);_(@_)">
                  <c:v>142319.05084000001</c:v>
                </c:pt>
              </c:numCache>
            </c:numRef>
          </c:val>
          <c:extLst>
            <c:ext xmlns:c16="http://schemas.microsoft.com/office/drawing/2014/chart" uri="{C3380CC4-5D6E-409C-BE32-E72D297353CC}">
              <c16:uniqueId val="{00000003-56BB-4EA5-ACF0-4784280B27C7}"/>
            </c:ext>
          </c:extLst>
        </c:ser>
        <c:ser>
          <c:idx val="4"/>
          <c:order val="4"/>
          <c:tx>
            <c:strRef>
              <c:f>Resumen!$W$1</c:f>
              <c:strCache>
                <c:ptCount val="1"/>
                <c:pt idx="0">
                  <c:v>TOTAL
generación
biomasa</c:v>
                </c:pt>
              </c:strCache>
            </c:strRef>
          </c:tx>
          <c:spPr>
            <a:solidFill>
              <a:schemeClr val="accent5"/>
            </a:solidFill>
            <a:ln>
              <a:noFill/>
            </a:ln>
            <a:effectLst/>
          </c:spPr>
          <c:invertIfNegative val="0"/>
          <c:cat>
            <c:numRef>
              <c:extLst>
                <c:ext xmlns:c15="http://schemas.microsoft.com/office/drawing/2012/chart" uri="{02D57815-91ED-43cb-92C2-25804820EDAC}">
                  <c15:fullRef>
                    <c15:sqref>Resumen!$A$2:$A$20</c15:sqref>
                  </c15:fullRef>
                </c:ext>
              </c:extLst>
              <c:f>Resumen!$A$4:$A$20</c:f>
              <c:numCache>
                <c:formatCode>General</c:formatCode>
                <c:ptCount val="17"/>
                <c:pt idx="0">
                  <c:v>2000</c:v>
                </c:pt>
                <c:pt idx="1">
                  <c:v>2001</c:v>
                </c:pt>
                <c:pt idx="2">
                  <c:v>2002</c:v>
                </c:pt>
                <c:pt idx="3">
                  <c:v>2003</c:v>
                </c:pt>
                <c:pt idx="4">
                  <c:v>2004</c:v>
                </c:pt>
                <c:pt idx="5">
                  <c:v>2005</c:v>
                </c:pt>
                <c:pt idx="6">
                  <c:v>2006</c:v>
                </c:pt>
                <c:pt idx="7">
                  <c:v>2007</c:v>
                </c:pt>
                <c:pt idx="8">
                  <c:v>2008</c:v>
                </c:pt>
                <c:pt idx="9">
                  <c:v>2009</c:v>
                </c:pt>
                <c:pt idx="10">
                  <c:v>2010</c:v>
                </c:pt>
                <c:pt idx="11">
                  <c:v>2011</c:v>
                </c:pt>
                <c:pt idx="12">
                  <c:v>2012</c:v>
                </c:pt>
                <c:pt idx="13">
                  <c:v>2013</c:v>
                </c:pt>
                <c:pt idx="14">
                  <c:v>2014</c:v>
                </c:pt>
                <c:pt idx="15">
                  <c:v>2015</c:v>
                </c:pt>
                <c:pt idx="16">
                  <c:v>2016</c:v>
                </c:pt>
              </c:numCache>
            </c:numRef>
          </c:cat>
          <c:val>
            <c:numRef>
              <c:extLst>
                <c:ext xmlns:c15="http://schemas.microsoft.com/office/drawing/2012/chart" uri="{02D57815-91ED-43cb-92C2-25804820EDAC}">
                  <c15:fullRef>
                    <c15:sqref>Resumen!$W$2:$W$20</c15:sqref>
                  </c15:fullRef>
                </c:ext>
              </c:extLst>
              <c:f>Resumen!$W$4:$W$20</c:f>
              <c:numCache>
                <c:formatCode>General</c:formatCode>
                <c:ptCount val="17"/>
                <c:pt idx="0" formatCode="_(* #,##0_);_(* \(#,##0\);_(* &quot;-&quot;??_);_(@_)">
                  <c:v>0</c:v>
                </c:pt>
                <c:pt idx="1" formatCode="_(* #,##0_);_(* \(#,##0\);_(* &quot;-&quot;??_);_(@_)">
                  <c:v>0</c:v>
                </c:pt>
                <c:pt idx="2" formatCode="_(* #,##0_);_(* \(#,##0\);_(* &quot;-&quot;??_);_(@_)">
                  <c:v>0</c:v>
                </c:pt>
                <c:pt idx="3" formatCode="_(* #,##0_);_(* \(#,##0\);_(* &quot;-&quot;??_);_(@_)">
                  <c:v>0</c:v>
                </c:pt>
                <c:pt idx="4" formatCode="_(* #,##0_);_(* \(#,##0\);_(* &quot;-&quot;??_);_(@_)">
                  <c:v>0</c:v>
                </c:pt>
                <c:pt idx="5" formatCode="_(* #,##0_);_(* \(#,##0\);_(* &quot;-&quot;??_);_(@_)">
                  <c:v>0</c:v>
                </c:pt>
                <c:pt idx="6" formatCode="_(* #,##0_);_(* \(#,##0\);_(* &quot;-&quot;??_);_(@_)">
                  <c:v>0</c:v>
                </c:pt>
                <c:pt idx="7" formatCode="_(* #,##0_);_(* \(#,##0\);_(* &quot;-&quot;??_);_(@_)">
                  <c:v>23189</c:v>
                </c:pt>
                <c:pt idx="8" formatCode="_(* #,##0_);_(* \(#,##0\);_(* &quot;-&quot;??_);_(@_)">
                  <c:v>136904.00000000006</c:v>
                </c:pt>
                <c:pt idx="9" formatCode="_(* #,##0_);_(* \(#,##0\);_(* &quot;-&quot;??_);_(@_)">
                  <c:v>179874.38469999991</c:v>
                </c:pt>
                <c:pt idx="10" formatCode="_(* #,##0_);_(* \(#,##0\);_(* &quot;-&quot;??_);_(@_)">
                  <c:v>272310.3539999997</c:v>
                </c:pt>
                <c:pt idx="11" formatCode="_(* #,##0_);_(* \(#,##0\);_(* &quot;-&quot;??_);_(@_)">
                  <c:v>328307.71000000025</c:v>
                </c:pt>
                <c:pt idx="12" formatCode="_(* #,##0_);_(* \(#,##0\);_(* &quot;-&quot;??_);_(@_)">
                  <c:v>459332.78399999981</c:v>
                </c:pt>
                <c:pt idx="13" formatCode="_(* #,##0_);_(* \(#,##0\);_(* &quot;-&quot;??_);_(@_)">
                  <c:v>532642.89260000037</c:v>
                </c:pt>
                <c:pt idx="14" formatCode="_(* #,##0_);_(* \(#,##0\);_(* &quot;-&quot;??_);_(@_)">
                  <c:v>681457.47388802923</c:v>
                </c:pt>
                <c:pt idx="15" formatCode="_(* #,##0_);_(* \(#,##0\);_(* &quot;-&quot;??_);_(@_)">
                  <c:v>828783.03050000034</c:v>
                </c:pt>
                <c:pt idx="16" formatCode="_(* #,##0_);_(* \(#,##0\);_(* &quot;-&quot;??_);_(@_)">
                  <c:v>862095.2439</c:v>
                </c:pt>
              </c:numCache>
            </c:numRef>
          </c:val>
          <c:extLst>
            <c:ext xmlns:c16="http://schemas.microsoft.com/office/drawing/2014/chart" uri="{C3380CC4-5D6E-409C-BE32-E72D297353CC}">
              <c16:uniqueId val="{00000004-56BB-4EA5-ACF0-4784280B27C7}"/>
            </c:ext>
          </c:extLst>
        </c:ser>
        <c:dLbls>
          <c:showLegendKey val="0"/>
          <c:showVal val="0"/>
          <c:showCatName val="0"/>
          <c:showSerName val="0"/>
          <c:showPercent val="0"/>
          <c:showBubbleSize val="0"/>
        </c:dLbls>
        <c:gapWidth val="150"/>
        <c:overlap val="100"/>
        <c:axId val="635226016"/>
        <c:axId val="635227000"/>
      </c:barChart>
      <c:catAx>
        <c:axId val="6352260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5227000"/>
        <c:crosses val="autoZero"/>
        <c:auto val="1"/>
        <c:lblAlgn val="ctr"/>
        <c:lblOffset val="100"/>
        <c:noMultiLvlLbl val="0"/>
      </c:catAx>
      <c:valAx>
        <c:axId val="63522700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Generación (MWh)</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3522601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sz="1800" b="0" i="0" baseline="0">
                <a:effectLst/>
              </a:rPr>
              <a:t>Flujo de Importaciones y Exportaciones SADI Argentina</a:t>
            </a:r>
          </a:p>
          <a:p>
            <a:pPr>
              <a:defRPr/>
            </a:pPr>
            <a:r>
              <a:rPr lang="en-US" sz="1400" b="0" i="0" baseline="0">
                <a:effectLst/>
              </a:rPr>
              <a:t>(importaciones &gt;0, exportaciones&lt;0)</a:t>
            </a:r>
            <a:endParaRPr lang="en-US" sz="1100">
              <a:effectLst/>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'IMP-EXP'!$B$5</c:f>
              <c:strCache>
                <c:ptCount val="1"/>
                <c:pt idx="0">
                  <c:v>Brasil</c:v>
                </c:pt>
              </c:strCache>
            </c:strRef>
          </c:tx>
          <c:spPr>
            <a:solidFill>
              <a:schemeClr val="accent6"/>
            </a:solidFill>
            <a:ln>
              <a:noFill/>
            </a:ln>
            <a:effectLst/>
          </c:spPr>
          <c:invertIfNegative val="0"/>
          <c:cat>
            <c:numRef>
              <c:f>'IMP-EXP'!$C$4:$R$4</c:f>
              <c:numCache>
                <c:formatCode>General</c:formatCod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numCache>
            </c:numRef>
          </c:cat>
          <c:val>
            <c:numRef>
              <c:f>'IMP-EXP'!$C$5:$R$5</c:f>
              <c:numCache>
                <c:formatCode>0.0</c:formatCode>
                <c:ptCount val="16"/>
                <c:pt idx="0">
                  <c:v>-445.737953</c:v>
                </c:pt>
                <c:pt idx="1">
                  <c:v>-2.8816090000000001</c:v>
                </c:pt>
                <c:pt idx="2">
                  <c:v>-3.6585899999999998</c:v>
                </c:pt>
                <c:pt idx="3">
                  <c:v>-527.18943899999999</c:v>
                </c:pt>
                <c:pt idx="4">
                  <c:v>-76.419935999999993</c:v>
                </c:pt>
                <c:pt idx="5">
                  <c:v>-4.4829540000000003</c:v>
                </c:pt>
                <c:pt idx="6">
                  <c:v>-783.96928999999977</c:v>
                </c:pt>
                <c:pt idx="7">
                  <c:v>-329.25685700000008</c:v>
                </c:pt>
                <c:pt idx="8">
                  <c:v>-18.221836</c:v>
                </c:pt>
                <c:pt idx="9">
                  <c:v>-0.288603</c:v>
                </c:pt>
                <c:pt idx="10">
                  <c:v>-0.71414999999999995</c:v>
                </c:pt>
                <c:pt idx="11">
                  <c:v>-0.43872299999999992</c:v>
                </c:pt>
                <c:pt idx="12">
                  <c:v>-0.64801799999999998</c:v>
                </c:pt>
                <c:pt idx="13">
                  <c:v>-55.415868000000003</c:v>
                </c:pt>
                <c:pt idx="14">
                  <c:v>-320.64138199999996</c:v>
                </c:pt>
                <c:pt idx="15">
                  <c:v>-69.099403000000009</c:v>
                </c:pt>
              </c:numCache>
            </c:numRef>
          </c:val>
          <c:extLst>
            <c:ext xmlns:c16="http://schemas.microsoft.com/office/drawing/2014/chart" uri="{C3380CC4-5D6E-409C-BE32-E72D297353CC}">
              <c16:uniqueId val="{00000000-9BE9-48E1-9BE9-ED4D7B62A8DC}"/>
            </c:ext>
          </c:extLst>
        </c:ser>
        <c:ser>
          <c:idx val="1"/>
          <c:order val="1"/>
          <c:tx>
            <c:strRef>
              <c:f>'IMP-EXP'!$B$6</c:f>
              <c:strCache>
                <c:ptCount val="1"/>
                <c:pt idx="0">
                  <c:v>Chile</c:v>
                </c:pt>
              </c:strCache>
            </c:strRef>
          </c:tx>
          <c:spPr>
            <a:solidFill>
              <a:schemeClr val="accent2"/>
            </a:solidFill>
            <a:ln>
              <a:noFill/>
            </a:ln>
            <a:effectLst/>
          </c:spPr>
          <c:invertIfNegative val="0"/>
          <c:cat>
            <c:numRef>
              <c:f>'IMP-EXP'!$C$4:$R$4</c:f>
              <c:numCache>
                <c:formatCode>General</c:formatCod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numCache>
            </c:numRef>
          </c:cat>
          <c:val>
            <c:numRef>
              <c:f>'IMP-EXP'!$C$6:$R$6</c:f>
              <c:numCache>
                <c:formatCode>0.0</c:formatCode>
                <c:ptCount val="16"/>
                <c:pt idx="0">
                  <c:v>0</c:v>
                </c:pt>
                <c:pt idx="1">
                  <c:v>0</c:v>
                </c:pt>
                <c:pt idx="2">
                  <c:v>0</c:v>
                </c:pt>
                <c:pt idx="3">
                  <c:v>0</c:v>
                </c:pt>
                <c:pt idx="4">
                  <c:v>0</c:v>
                </c:pt>
                <c:pt idx="5">
                  <c:v>0</c:v>
                </c:pt>
                <c:pt idx="6">
                  <c:v>0</c:v>
                </c:pt>
                <c:pt idx="7">
                  <c:v>0</c:v>
                </c:pt>
                <c:pt idx="8">
                  <c:v>0</c:v>
                </c:pt>
                <c:pt idx="9">
                  <c:v>0</c:v>
                </c:pt>
                <c:pt idx="10">
                  <c:v>0</c:v>
                </c:pt>
                <c:pt idx="11">
                  <c:v>0</c:v>
                </c:pt>
                <c:pt idx="12">
                  <c:v>-5.0379719999999999</c:v>
                </c:pt>
                <c:pt idx="13">
                  <c:v>-4.6800000000000001E-3</c:v>
                </c:pt>
                <c:pt idx="14">
                  <c:v>-6.5631309999999994</c:v>
                </c:pt>
                <c:pt idx="15">
                  <c:v>-0.12339</c:v>
                </c:pt>
              </c:numCache>
            </c:numRef>
          </c:val>
          <c:extLst>
            <c:ext xmlns:c16="http://schemas.microsoft.com/office/drawing/2014/chart" uri="{C3380CC4-5D6E-409C-BE32-E72D297353CC}">
              <c16:uniqueId val="{00000001-9BE9-48E1-9BE9-ED4D7B62A8DC}"/>
            </c:ext>
          </c:extLst>
        </c:ser>
        <c:ser>
          <c:idx val="2"/>
          <c:order val="2"/>
          <c:tx>
            <c:strRef>
              <c:f>'IMP-EXP'!$B$7</c:f>
              <c:strCache>
                <c:ptCount val="1"/>
                <c:pt idx="0">
                  <c:v>Paraguay</c:v>
                </c:pt>
              </c:strCache>
            </c:strRef>
          </c:tx>
          <c:spPr>
            <a:solidFill>
              <a:schemeClr val="accent3"/>
            </a:solidFill>
            <a:ln>
              <a:noFill/>
            </a:ln>
            <a:effectLst/>
          </c:spPr>
          <c:invertIfNegative val="0"/>
          <c:cat>
            <c:numRef>
              <c:f>'IMP-EXP'!$C$4:$R$4</c:f>
              <c:numCache>
                <c:formatCode>General</c:formatCod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numCache>
            </c:numRef>
          </c:cat>
          <c:val>
            <c:numRef>
              <c:f>'IMP-EXP'!$C$7:$R$7</c:f>
              <c:numCache>
                <c:formatCode>0.0</c:formatCode>
                <c:ptCount val="16"/>
                <c:pt idx="0">
                  <c:v>-6.0000000000000002E-6</c:v>
                </c:pt>
                <c:pt idx="1">
                  <c:v>-6.4400000000000004E-4</c:v>
                </c:pt>
                <c:pt idx="2">
                  <c:v>-1.188E-3</c:v>
                </c:pt>
                <c:pt idx="3">
                  <c:v>-1.7999999999999997E-5</c:v>
                </c:pt>
                <c:pt idx="4">
                  <c:v>-6.0000000000000002E-6</c:v>
                </c:pt>
                <c:pt idx="5">
                  <c:v>-8.9999999999999992E-5</c:v>
                </c:pt>
                <c:pt idx="6">
                  <c:v>-5.6542000000000002E-2</c:v>
                </c:pt>
                <c:pt idx="7">
                  <c:v>-2.3040000000000001E-3</c:v>
                </c:pt>
                <c:pt idx="8">
                  <c:v>-2.5000000000000001E-4</c:v>
                </c:pt>
                <c:pt idx="9">
                  <c:v>0</c:v>
                </c:pt>
                <c:pt idx="10">
                  <c:v>0</c:v>
                </c:pt>
                <c:pt idx="11">
                  <c:v>0</c:v>
                </c:pt>
                <c:pt idx="12">
                  <c:v>0</c:v>
                </c:pt>
                <c:pt idx="13">
                  <c:v>0</c:v>
                </c:pt>
                <c:pt idx="14">
                  <c:v>-2.7323999999999998E-2</c:v>
                </c:pt>
                <c:pt idx="15">
                  <c:v>-3.5820000000000001E-3</c:v>
                </c:pt>
              </c:numCache>
            </c:numRef>
          </c:val>
          <c:extLst>
            <c:ext xmlns:c16="http://schemas.microsoft.com/office/drawing/2014/chart" uri="{C3380CC4-5D6E-409C-BE32-E72D297353CC}">
              <c16:uniqueId val="{00000002-9BE9-48E1-9BE9-ED4D7B62A8DC}"/>
            </c:ext>
          </c:extLst>
        </c:ser>
        <c:ser>
          <c:idx val="3"/>
          <c:order val="3"/>
          <c:tx>
            <c:strRef>
              <c:f>'IMP-EXP'!$B$8</c:f>
              <c:strCache>
                <c:ptCount val="1"/>
                <c:pt idx="0">
                  <c:v>Uruguay</c:v>
                </c:pt>
              </c:strCache>
            </c:strRef>
          </c:tx>
          <c:spPr>
            <a:solidFill>
              <a:schemeClr val="accent5"/>
            </a:solidFill>
            <a:ln>
              <a:noFill/>
            </a:ln>
            <a:effectLst/>
          </c:spPr>
          <c:invertIfNegative val="0"/>
          <c:cat>
            <c:numRef>
              <c:f>'IMP-EXP'!$C$4:$R$4</c:f>
              <c:numCache>
                <c:formatCode>General</c:formatCod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numCache>
            </c:numRef>
          </c:cat>
          <c:val>
            <c:numRef>
              <c:f>'IMP-EXP'!$C$8:$R$8</c:f>
              <c:numCache>
                <c:formatCode>0.0</c:formatCode>
                <c:ptCount val="16"/>
                <c:pt idx="0">
                  <c:v>-558.95799999999997</c:v>
                </c:pt>
                <c:pt idx="1">
                  <c:v>-433.91399999999999</c:v>
                </c:pt>
                <c:pt idx="2">
                  <c:v>-1809.6633299999999</c:v>
                </c:pt>
                <c:pt idx="3">
                  <c:v>-834.58061500000019</c:v>
                </c:pt>
                <c:pt idx="4">
                  <c:v>-2023.427181</c:v>
                </c:pt>
                <c:pt idx="5">
                  <c:v>-573.22487599999999</c:v>
                </c:pt>
                <c:pt idx="6">
                  <c:v>-747.16790300000002</c:v>
                </c:pt>
                <c:pt idx="7">
                  <c:v>-962.88378699999998</c:v>
                </c:pt>
                <c:pt idx="8">
                  <c:v>-344.57292599999994</c:v>
                </c:pt>
                <c:pt idx="9">
                  <c:v>-264.648887</c:v>
                </c:pt>
                <c:pt idx="10">
                  <c:v>-278.877882</c:v>
                </c:pt>
                <c:pt idx="11">
                  <c:v>0</c:v>
                </c:pt>
                <c:pt idx="12">
                  <c:v>0</c:v>
                </c:pt>
                <c:pt idx="13">
                  <c:v>0</c:v>
                </c:pt>
                <c:pt idx="14">
                  <c:v>0</c:v>
                </c:pt>
                <c:pt idx="15">
                  <c:v>0</c:v>
                </c:pt>
              </c:numCache>
            </c:numRef>
          </c:val>
          <c:extLst>
            <c:ext xmlns:c16="http://schemas.microsoft.com/office/drawing/2014/chart" uri="{C3380CC4-5D6E-409C-BE32-E72D297353CC}">
              <c16:uniqueId val="{00000003-9BE9-48E1-9BE9-ED4D7B62A8DC}"/>
            </c:ext>
          </c:extLst>
        </c:ser>
        <c:ser>
          <c:idx val="4"/>
          <c:order val="4"/>
          <c:tx>
            <c:strRef>
              <c:f>'IMP-EXP'!$B$10</c:f>
              <c:strCache>
                <c:ptCount val="1"/>
                <c:pt idx="0">
                  <c:v>Brasil</c:v>
                </c:pt>
              </c:strCache>
            </c:strRef>
          </c:tx>
          <c:spPr>
            <a:solidFill>
              <a:schemeClr val="accent6"/>
            </a:solidFill>
            <a:ln>
              <a:noFill/>
            </a:ln>
            <a:effectLst/>
          </c:spPr>
          <c:invertIfNegative val="0"/>
          <c:cat>
            <c:numRef>
              <c:f>'IMP-EXP'!$C$4:$R$4</c:f>
              <c:numCache>
                <c:formatCode>General</c:formatCod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numCache>
            </c:numRef>
          </c:cat>
          <c:val>
            <c:numRef>
              <c:f>'IMP-EXP'!$C$10:$R$10</c:f>
              <c:numCache>
                <c:formatCode>0.0</c:formatCode>
                <c:ptCount val="16"/>
                <c:pt idx="0">
                  <c:v>17.203106999999999</c:v>
                </c:pt>
                <c:pt idx="1">
                  <c:v>4.0703820000000004</c:v>
                </c:pt>
                <c:pt idx="2">
                  <c:v>1007.2223499999999</c:v>
                </c:pt>
                <c:pt idx="3">
                  <c:v>534.1806949999999</c:v>
                </c:pt>
                <c:pt idx="4">
                  <c:v>593.18306900000016</c:v>
                </c:pt>
                <c:pt idx="5">
                  <c:v>1971.9362229999999</c:v>
                </c:pt>
                <c:pt idx="6">
                  <c:v>1277.524893</c:v>
                </c:pt>
                <c:pt idx="7">
                  <c:v>1278.2997150000001</c:v>
                </c:pt>
                <c:pt idx="8">
                  <c:v>1202.6414719999998</c:v>
                </c:pt>
                <c:pt idx="9">
                  <c:v>2257.5028010000001</c:v>
                </c:pt>
                <c:pt idx="10">
                  <c:v>78.526501000000025</c:v>
                </c:pt>
                <c:pt idx="11">
                  <c:v>0.69599599999999995</c:v>
                </c:pt>
                <c:pt idx="12">
                  <c:v>2.9736549999999999</c:v>
                </c:pt>
                <c:pt idx="13">
                  <c:v>228.52144000000001</c:v>
                </c:pt>
                <c:pt idx="14">
                  <c:v>493.660574</c:v>
                </c:pt>
                <c:pt idx="15">
                  <c:v>153.60831399999995</c:v>
                </c:pt>
              </c:numCache>
            </c:numRef>
          </c:val>
          <c:extLst>
            <c:ext xmlns:c16="http://schemas.microsoft.com/office/drawing/2014/chart" uri="{C3380CC4-5D6E-409C-BE32-E72D297353CC}">
              <c16:uniqueId val="{00000004-9BE9-48E1-9BE9-ED4D7B62A8DC}"/>
            </c:ext>
          </c:extLst>
        </c:ser>
        <c:ser>
          <c:idx val="5"/>
          <c:order val="5"/>
          <c:tx>
            <c:strRef>
              <c:f>'IMP-EXP'!$B$11</c:f>
              <c:strCache>
                <c:ptCount val="1"/>
                <c:pt idx="0">
                  <c:v>Chile</c:v>
                </c:pt>
              </c:strCache>
            </c:strRef>
          </c:tx>
          <c:spPr>
            <a:solidFill>
              <a:schemeClr val="accent2"/>
            </a:solidFill>
            <a:ln>
              <a:noFill/>
            </a:ln>
            <a:effectLst/>
          </c:spPr>
          <c:invertIfNegative val="0"/>
          <c:cat>
            <c:numRef>
              <c:f>'IMP-EXP'!$C$4:$R$4</c:f>
              <c:numCache>
                <c:formatCode>General</c:formatCod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numCache>
            </c:numRef>
          </c:cat>
          <c:val>
            <c:numRef>
              <c:f>'IMP-EXP'!$C$11:$R$11</c:f>
              <c:numCache>
                <c:formatCode>0.0</c:formatCode>
                <c:ptCount val="16"/>
                <c:pt idx="0">
                  <c:v>0</c:v>
                </c:pt>
                <c:pt idx="1">
                  <c:v>0</c:v>
                </c:pt>
                <c:pt idx="2">
                  <c:v>0</c:v>
                </c:pt>
                <c:pt idx="3">
                  <c:v>0</c:v>
                </c:pt>
                <c:pt idx="4">
                  <c:v>0</c:v>
                </c:pt>
                <c:pt idx="5">
                  <c:v>0</c:v>
                </c:pt>
                <c:pt idx="6">
                  <c:v>0</c:v>
                </c:pt>
                <c:pt idx="7">
                  <c:v>0</c:v>
                </c:pt>
                <c:pt idx="8">
                  <c:v>0</c:v>
                </c:pt>
                <c:pt idx="9">
                  <c:v>0</c:v>
                </c:pt>
                <c:pt idx="10">
                  <c:v>0</c:v>
                </c:pt>
                <c:pt idx="11">
                  <c:v>0</c:v>
                </c:pt>
                <c:pt idx="12">
                  <c:v>3.88809</c:v>
                </c:pt>
                <c:pt idx="13">
                  <c:v>5.6699999999999997E-3</c:v>
                </c:pt>
                <c:pt idx="14">
                  <c:v>107.05584999999999</c:v>
                </c:pt>
                <c:pt idx="15">
                  <c:v>35.861992999999998</c:v>
                </c:pt>
              </c:numCache>
            </c:numRef>
          </c:val>
          <c:extLst>
            <c:ext xmlns:c16="http://schemas.microsoft.com/office/drawing/2014/chart" uri="{C3380CC4-5D6E-409C-BE32-E72D297353CC}">
              <c16:uniqueId val="{00000005-9BE9-48E1-9BE9-ED4D7B62A8DC}"/>
            </c:ext>
          </c:extLst>
        </c:ser>
        <c:ser>
          <c:idx val="6"/>
          <c:order val="6"/>
          <c:tx>
            <c:strRef>
              <c:f>'IMP-EXP'!$B$12</c:f>
              <c:strCache>
                <c:ptCount val="1"/>
                <c:pt idx="0">
                  <c:v>Paraguay</c:v>
                </c:pt>
              </c:strCache>
            </c:strRef>
          </c:tx>
          <c:spPr>
            <a:solidFill>
              <a:schemeClr val="accent4"/>
            </a:solidFill>
            <a:ln>
              <a:noFill/>
            </a:ln>
            <a:effectLst/>
          </c:spPr>
          <c:invertIfNegative val="0"/>
          <c:cat>
            <c:numRef>
              <c:f>'IMP-EXP'!$C$4:$R$4</c:f>
              <c:numCache>
                <c:formatCode>General</c:formatCod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numCache>
            </c:numRef>
          </c:cat>
          <c:val>
            <c:numRef>
              <c:f>'IMP-EXP'!$C$12:$R$12</c:f>
              <c:numCache>
                <c:formatCode>0.0</c:formatCode>
                <c:ptCount val="16"/>
                <c:pt idx="0">
                  <c:v>285.19513300000006</c:v>
                </c:pt>
                <c:pt idx="1">
                  <c:v>275.761842</c:v>
                </c:pt>
                <c:pt idx="2">
                  <c:v>423.44524600000005</c:v>
                </c:pt>
                <c:pt idx="3">
                  <c:v>370.50701999999995</c:v>
                </c:pt>
                <c:pt idx="4">
                  <c:v>524.64959400000009</c:v>
                </c:pt>
                <c:pt idx="5">
                  <c:v>515.80066499999998</c:v>
                </c:pt>
                <c:pt idx="6">
                  <c:v>480.993199</c:v>
                </c:pt>
                <c:pt idx="7">
                  <c:v>520.67740500000002</c:v>
                </c:pt>
                <c:pt idx="8">
                  <c:v>437.42641900000001</c:v>
                </c:pt>
                <c:pt idx="9">
                  <c:v>135.74855300000002</c:v>
                </c:pt>
                <c:pt idx="10">
                  <c:v>150.99761400000003</c:v>
                </c:pt>
                <c:pt idx="11">
                  <c:v>135.20423700000003</c:v>
                </c:pt>
                <c:pt idx="12">
                  <c:v>115.93737000000002</c:v>
                </c:pt>
                <c:pt idx="13">
                  <c:v>113.16306599999999</c:v>
                </c:pt>
                <c:pt idx="14">
                  <c:v>120.145664</c:v>
                </c:pt>
                <c:pt idx="15">
                  <c:v>70.315546999999995</c:v>
                </c:pt>
              </c:numCache>
            </c:numRef>
          </c:val>
          <c:extLst>
            <c:ext xmlns:c16="http://schemas.microsoft.com/office/drawing/2014/chart" uri="{C3380CC4-5D6E-409C-BE32-E72D297353CC}">
              <c16:uniqueId val="{00000006-9BE9-48E1-9BE9-ED4D7B62A8DC}"/>
            </c:ext>
          </c:extLst>
        </c:ser>
        <c:ser>
          <c:idx val="7"/>
          <c:order val="7"/>
          <c:tx>
            <c:strRef>
              <c:f>'IMP-EXP'!$B$13</c:f>
              <c:strCache>
                <c:ptCount val="1"/>
                <c:pt idx="0">
                  <c:v>Uruguay</c:v>
                </c:pt>
              </c:strCache>
            </c:strRef>
          </c:tx>
          <c:spPr>
            <a:solidFill>
              <a:schemeClr val="accent5"/>
            </a:solidFill>
            <a:ln>
              <a:noFill/>
            </a:ln>
            <a:effectLst/>
          </c:spPr>
          <c:invertIfNegative val="0"/>
          <c:cat>
            <c:numRef>
              <c:f>'IMP-EXP'!$C$4:$R$4</c:f>
              <c:numCache>
                <c:formatCode>General</c:formatCode>
                <c:ptCount val="16"/>
                <c:pt idx="0">
                  <c:v>2002</c:v>
                </c:pt>
                <c:pt idx="1">
                  <c:v>2003</c:v>
                </c:pt>
                <c:pt idx="2">
                  <c:v>2004</c:v>
                </c:pt>
                <c:pt idx="3">
                  <c:v>2005</c:v>
                </c:pt>
                <c:pt idx="4">
                  <c:v>2006</c:v>
                </c:pt>
                <c:pt idx="5">
                  <c:v>2007</c:v>
                </c:pt>
                <c:pt idx="6">
                  <c:v>2008</c:v>
                </c:pt>
                <c:pt idx="7">
                  <c:v>2009</c:v>
                </c:pt>
                <c:pt idx="8">
                  <c:v>2010</c:v>
                </c:pt>
                <c:pt idx="9">
                  <c:v>2011</c:v>
                </c:pt>
                <c:pt idx="10">
                  <c:v>2012</c:v>
                </c:pt>
                <c:pt idx="11">
                  <c:v>2013</c:v>
                </c:pt>
                <c:pt idx="12">
                  <c:v>2014</c:v>
                </c:pt>
                <c:pt idx="13">
                  <c:v>2015</c:v>
                </c:pt>
                <c:pt idx="14">
                  <c:v>2016</c:v>
                </c:pt>
                <c:pt idx="15">
                  <c:v>2017</c:v>
                </c:pt>
              </c:numCache>
            </c:numRef>
          </c:cat>
          <c:val>
            <c:numRef>
              <c:f>'IMP-EXP'!$C$13:$R$13</c:f>
              <c:numCache>
                <c:formatCode>0.0</c:formatCode>
                <c:ptCount val="16"/>
                <c:pt idx="0">
                  <c:v>1908.8979999999999</c:v>
                </c:pt>
                <c:pt idx="1">
                  <c:v>953.798</c:v>
                </c:pt>
                <c:pt idx="2">
                  <c:v>10.124000000000001</c:v>
                </c:pt>
                <c:pt idx="3">
                  <c:v>815.70248700000002</c:v>
                </c:pt>
                <c:pt idx="4">
                  <c:v>6.8142500000000013</c:v>
                </c:pt>
                <c:pt idx="5">
                  <c:v>971.18341500000008</c:v>
                </c:pt>
                <c:pt idx="6">
                  <c:v>15.651052</c:v>
                </c:pt>
                <c:pt idx="7">
                  <c:v>241.03006400000001</c:v>
                </c:pt>
                <c:pt idx="8">
                  <c:v>710.96754999999996</c:v>
                </c:pt>
                <c:pt idx="9">
                  <c:v>18.994</c:v>
                </c:pt>
                <c:pt idx="10">
                  <c:v>193.23969</c:v>
                </c:pt>
                <c:pt idx="11">
                  <c:v>206.408591</c:v>
                </c:pt>
                <c:pt idx="12">
                  <c:v>1266.8466599999999</c:v>
                </c:pt>
                <c:pt idx="13">
                  <c:v>1312.9467199999999</c:v>
                </c:pt>
                <c:pt idx="14">
                  <c:v>749.02707399999997</c:v>
                </c:pt>
                <c:pt idx="15">
                  <c:v>473.96753899999999</c:v>
                </c:pt>
              </c:numCache>
            </c:numRef>
          </c:val>
          <c:extLst>
            <c:ext xmlns:c16="http://schemas.microsoft.com/office/drawing/2014/chart" uri="{C3380CC4-5D6E-409C-BE32-E72D297353CC}">
              <c16:uniqueId val="{00000007-9BE9-48E1-9BE9-ED4D7B62A8DC}"/>
            </c:ext>
          </c:extLst>
        </c:ser>
        <c:dLbls>
          <c:showLegendKey val="0"/>
          <c:showVal val="0"/>
          <c:showCatName val="0"/>
          <c:showSerName val="0"/>
          <c:showPercent val="0"/>
          <c:showBubbleSize val="0"/>
        </c:dLbls>
        <c:gapWidth val="219"/>
        <c:overlap val="100"/>
        <c:axId val="533168120"/>
        <c:axId val="533168448"/>
      </c:barChart>
      <c:catAx>
        <c:axId val="533168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282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3168448"/>
        <c:crosses val="autoZero"/>
        <c:auto val="1"/>
        <c:lblAlgn val="ctr"/>
        <c:lblOffset val="100"/>
        <c:noMultiLvlLbl val="0"/>
      </c:catAx>
      <c:valAx>
        <c:axId val="53316844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Energía</a:t>
                </a:r>
                <a:r>
                  <a:rPr lang="en-US" baseline="0"/>
                  <a:t> (GWh)</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3316812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Flujo</a:t>
            </a:r>
            <a:r>
              <a:rPr lang="en-US" baseline="0"/>
              <a:t> de Importaciones y Exportaciones SIN Uruguay</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stacked"/>
        <c:varyColors val="0"/>
        <c:ser>
          <c:idx val="0"/>
          <c:order val="0"/>
          <c:tx>
            <c:strRef>
              <c:f>Resumen!$B$1:$B$2</c:f>
              <c:strCache>
                <c:ptCount val="2"/>
                <c:pt idx="0">
                  <c:v>Importación (MWh)</c:v>
                </c:pt>
                <c:pt idx="1">
                  <c:v>Argentina</c:v>
                </c:pt>
              </c:strCache>
            </c:strRef>
          </c:tx>
          <c:spPr>
            <a:solidFill>
              <a:schemeClr val="accent1"/>
            </a:solidFill>
            <a:ln>
              <a:noFill/>
            </a:ln>
            <a:effectLst/>
          </c:spPr>
          <c:invertIfNegative val="0"/>
          <c:cat>
            <c:numRef>
              <c:f>Resumen!$A$3:$A$21</c:f>
              <c:numCache>
                <c:formatCode>General</c:formatCode>
                <c:ptCount val="19"/>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numCache>
            </c:numRef>
          </c:cat>
          <c:val>
            <c:numRef>
              <c:f>Resumen!$B$3:$B$21</c:f>
            </c:numRef>
          </c:val>
          <c:extLst>
            <c:ext xmlns:c16="http://schemas.microsoft.com/office/drawing/2014/chart" uri="{C3380CC4-5D6E-409C-BE32-E72D297353CC}">
              <c16:uniqueId val="{00000000-AA7F-43E0-B37F-284263AF0B98}"/>
            </c:ext>
          </c:extLst>
        </c:ser>
        <c:ser>
          <c:idx val="1"/>
          <c:order val="1"/>
          <c:tx>
            <c:strRef>
              <c:f>Resumen!$C$1:$C$2</c:f>
              <c:strCache>
                <c:ptCount val="2"/>
                <c:pt idx="0">
                  <c:v>Importación (MWh)</c:v>
                </c:pt>
                <c:pt idx="1">
                  <c:v>Brasil</c:v>
                </c:pt>
              </c:strCache>
            </c:strRef>
          </c:tx>
          <c:spPr>
            <a:solidFill>
              <a:schemeClr val="accent2"/>
            </a:solidFill>
            <a:ln>
              <a:noFill/>
            </a:ln>
            <a:effectLst/>
          </c:spPr>
          <c:invertIfNegative val="0"/>
          <c:cat>
            <c:numRef>
              <c:f>Resumen!$A$3:$A$21</c:f>
              <c:numCache>
                <c:formatCode>General</c:formatCode>
                <c:ptCount val="19"/>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numCache>
            </c:numRef>
          </c:cat>
          <c:val>
            <c:numRef>
              <c:f>Resumen!$C$3:$C$21</c:f>
            </c:numRef>
          </c:val>
          <c:extLst>
            <c:ext xmlns:c16="http://schemas.microsoft.com/office/drawing/2014/chart" uri="{C3380CC4-5D6E-409C-BE32-E72D297353CC}">
              <c16:uniqueId val="{00000001-AA7F-43E0-B37F-284263AF0B98}"/>
            </c:ext>
          </c:extLst>
        </c:ser>
        <c:ser>
          <c:idx val="2"/>
          <c:order val="2"/>
          <c:tx>
            <c:strRef>
              <c:f>Resumen!$D$1:$D$2</c:f>
              <c:strCache>
                <c:ptCount val="2"/>
                <c:pt idx="0">
                  <c:v>Exportación (MWh)</c:v>
                </c:pt>
                <c:pt idx="1">
                  <c:v>Argentina</c:v>
                </c:pt>
              </c:strCache>
            </c:strRef>
          </c:tx>
          <c:spPr>
            <a:solidFill>
              <a:schemeClr val="accent5"/>
            </a:solidFill>
            <a:ln>
              <a:noFill/>
            </a:ln>
            <a:effectLst/>
          </c:spPr>
          <c:invertIfNegative val="0"/>
          <c:cat>
            <c:numRef>
              <c:f>Resumen!$A$3:$A$21</c:f>
              <c:numCache>
                <c:formatCode>General</c:formatCode>
                <c:ptCount val="19"/>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numCache>
            </c:numRef>
          </c:cat>
          <c:val>
            <c:numRef>
              <c:f>Resumen!$D$3:$D$21</c:f>
              <c:numCache>
                <c:formatCode>_(* #,##0_);_(* \(#,##0\);_(* "-"??_);_(@_)</c:formatCode>
                <c:ptCount val="19"/>
                <c:pt idx="0">
                  <c:v>199871</c:v>
                </c:pt>
                <c:pt idx="1">
                  <c:v>766955</c:v>
                </c:pt>
                <c:pt idx="2">
                  <c:v>1167702</c:v>
                </c:pt>
                <c:pt idx="3">
                  <c:v>1908898</c:v>
                </c:pt>
                <c:pt idx="4">
                  <c:v>953798</c:v>
                </c:pt>
                <c:pt idx="5">
                  <c:v>10124</c:v>
                </c:pt>
                <c:pt idx="6">
                  <c:v>814980</c:v>
                </c:pt>
                <c:pt idx="7">
                  <c:v>6814.5</c:v>
                </c:pt>
                <c:pt idx="8">
                  <c:v>971147.10000000009</c:v>
                </c:pt>
                <c:pt idx="9">
                  <c:v>15654.6</c:v>
                </c:pt>
                <c:pt idx="10">
                  <c:v>250554</c:v>
                </c:pt>
                <c:pt idx="11">
                  <c:v>711366.89999999991</c:v>
                </c:pt>
                <c:pt idx="12">
                  <c:v>18994</c:v>
                </c:pt>
                <c:pt idx="13">
                  <c:v>193650</c:v>
                </c:pt>
                <c:pt idx="14">
                  <c:v>208812</c:v>
                </c:pt>
                <c:pt idx="15">
                  <c:v>1266565.2</c:v>
                </c:pt>
                <c:pt idx="16">
                  <c:v>1313747.7</c:v>
                </c:pt>
                <c:pt idx="17">
                  <c:v>756620.80000000005</c:v>
                </c:pt>
                <c:pt idx="18">
                  <c:v>484473</c:v>
                </c:pt>
              </c:numCache>
            </c:numRef>
          </c:val>
          <c:extLst>
            <c:ext xmlns:c16="http://schemas.microsoft.com/office/drawing/2014/chart" uri="{C3380CC4-5D6E-409C-BE32-E72D297353CC}">
              <c16:uniqueId val="{00000002-AA7F-43E0-B37F-284263AF0B98}"/>
            </c:ext>
          </c:extLst>
        </c:ser>
        <c:ser>
          <c:idx val="3"/>
          <c:order val="3"/>
          <c:tx>
            <c:strRef>
              <c:f>Resumen!$E$1:$E$2</c:f>
              <c:strCache>
                <c:ptCount val="2"/>
                <c:pt idx="0">
                  <c:v>Exportación (MWh)</c:v>
                </c:pt>
                <c:pt idx="1">
                  <c:v>Brasil</c:v>
                </c:pt>
              </c:strCache>
            </c:strRef>
          </c:tx>
          <c:spPr>
            <a:solidFill>
              <a:schemeClr val="accent6">
                <a:lumMod val="60000"/>
                <a:lumOff val="40000"/>
              </a:schemeClr>
            </a:solidFill>
            <a:ln>
              <a:noFill/>
            </a:ln>
            <a:effectLst/>
          </c:spPr>
          <c:invertIfNegative val="0"/>
          <c:cat>
            <c:numRef>
              <c:f>Resumen!$A$3:$A$21</c:f>
              <c:numCache>
                <c:formatCode>General</c:formatCode>
                <c:ptCount val="19"/>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numCache>
            </c:numRef>
          </c:cat>
          <c:val>
            <c:numRef>
              <c:f>Resumen!$E$3:$E$21</c:f>
              <c:numCache>
                <c:formatCode>_(* #,##0_);_(* \(#,##0\);_(* "-"??_);_(@_)</c:formatCode>
                <c:ptCount val="19"/>
                <c:pt idx="0">
                  <c:v>9377</c:v>
                </c:pt>
                <c:pt idx="1">
                  <c:v>0</c:v>
                </c:pt>
                <c:pt idx="2">
                  <c:v>72556</c:v>
                </c:pt>
                <c:pt idx="3">
                  <c:v>75</c:v>
                </c:pt>
                <c:pt idx="4">
                  <c:v>219</c:v>
                </c:pt>
                <c:pt idx="5">
                  <c:v>107.6</c:v>
                </c:pt>
                <c:pt idx="6">
                  <c:v>9988.5</c:v>
                </c:pt>
                <c:pt idx="7">
                  <c:v>9606.3000000000011</c:v>
                </c:pt>
                <c:pt idx="8">
                  <c:v>33790.300000000003</c:v>
                </c:pt>
                <c:pt idx="9">
                  <c:v>13711.1</c:v>
                </c:pt>
                <c:pt idx="10">
                  <c:v>14702</c:v>
                </c:pt>
                <c:pt idx="11">
                  <c:v>20</c:v>
                </c:pt>
                <c:pt idx="12">
                  <c:v>0</c:v>
                </c:pt>
                <c:pt idx="13">
                  <c:v>0</c:v>
                </c:pt>
                <c:pt idx="14">
                  <c:v>0</c:v>
                </c:pt>
                <c:pt idx="15">
                  <c:v>0</c:v>
                </c:pt>
                <c:pt idx="16">
                  <c:v>6535</c:v>
                </c:pt>
                <c:pt idx="17">
                  <c:v>22464.9</c:v>
                </c:pt>
                <c:pt idx="18">
                  <c:v>977181.1</c:v>
                </c:pt>
              </c:numCache>
            </c:numRef>
          </c:val>
          <c:extLst>
            <c:ext xmlns:c16="http://schemas.microsoft.com/office/drawing/2014/chart" uri="{C3380CC4-5D6E-409C-BE32-E72D297353CC}">
              <c16:uniqueId val="{00000003-AA7F-43E0-B37F-284263AF0B98}"/>
            </c:ext>
          </c:extLst>
        </c:ser>
        <c:ser>
          <c:idx val="4"/>
          <c:order val="4"/>
          <c:tx>
            <c:strRef>
              <c:f>Resumen!$F$1:$F$2</c:f>
              <c:strCache>
                <c:ptCount val="2"/>
                <c:pt idx="0">
                  <c:v>Importación (MWh)</c:v>
                </c:pt>
                <c:pt idx="1">
                  <c:v>Argentina</c:v>
                </c:pt>
              </c:strCache>
            </c:strRef>
          </c:tx>
          <c:spPr>
            <a:solidFill>
              <a:schemeClr val="accent1"/>
            </a:solidFill>
            <a:ln>
              <a:noFill/>
            </a:ln>
            <a:effectLst/>
          </c:spPr>
          <c:invertIfNegative val="0"/>
          <c:cat>
            <c:numRef>
              <c:f>Resumen!$A$3:$A$21</c:f>
              <c:numCache>
                <c:formatCode>General</c:formatCode>
                <c:ptCount val="19"/>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numCache>
            </c:numRef>
          </c:cat>
          <c:val>
            <c:numRef>
              <c:f>Resumen!$F$3:$F$21</c:f>
              <c:numCache>
                <c:formatCode>0</c:formatCode>
                <c:ptCount val="19"/>
                <c:pt idx="0">
                  <c:v>-707640</c:v>
                </c:pt>
                <c:pt idx="1">
                  <c:v>-1328015</c:v>
                </c:pt>
                <c:pt idx="2">
                  <c:v>-116815</c:v>
                </c:pt>
                <c:pt idx="3">
                  <c:v>-558958</c:v>
                </c:pt>
                <c:pt idx="4">
                  <c:v>-433913</c:v>
                </c:pt>
                <c:pt idx="5">
                  <c:v>-1934773.8</c:v>
                </c:pt>
                <c:pt idx="6">
                  <c:v>-834862.70000000007</c:v>
                </c:pt>
                <c:pt idx="7">
                  <c:v>-2023753.3</c:v>
                </c:pt>
                <c:pt idx="8">
                  <c:v>-573629.19999999995</c:v>
                </c:pt>
                <c:pt idx="9">
                  <c:v>-832648.3</c:v>
                </c:pt>
                <c:pt idx="10">
                  <c:v>-963277.49999999988</c:v>
                </c:pt>
                <c:pt idx="11">
                  <c:v>-344573.1</c:v>
                </c:pt>
                <c:pt idx="12">
                  <c:v>-264773.7</c:v>
                </c:pt>
                <c:pt idx="13">
                  <c:v>-278677</c:v>
                </c:pt>
                <c:pt idx="14">
                  <c:v>0</c:v>
                </c:pt>
                <c:pt idx="15">
                  <c:v>0</c:v>
                </c:pt>
                <c:pt idx="16">
                  <c:v>-1935</c:v>
                </c:pt>
                <c:pt idx="17">
                  <c:v>-3467</c:v>
                </c:pt>
                <c:pt idx="18">
                  <c:v>0</c:v>
                </c:pt>
              </c:numCache>
            </c:numRef>
          </c:val>
          <c:extLst>
            <c:ext xmlns:c16="http://schemas.microsoft.com/office/drawing/2014/chart" uri="{C3380CC4-5D6E-409C-BE32-E72D297353CC}">
              <c16:uniqueId val="{00000004-AA7F-43E0-B37F-284263AF0B98}"/>
            </c:ext>
          </c:extLst>
        </c:ser>
        <c:ser>
          <c:idx val="5"/>
          <c:order val="5"/>
          <c:tx>
            <c:strRef>
              <c:f>Resumen!$G$1:$G$2</c:f>
              <c:strCache>
                <c:ptCount val="2"/>
                <c:pt idx="0">
                  <c:v>Importación (MWh)</c:v>
                </c:pt>
                <c:pt idx="1">
                  <c:v>Brasil</c:v>
                </c:pt>
              </c:strCache>
            </c:strRef>
          </c:tx>
          <c:spPr>
            <a:solidFill>
              <a:schemeClr val="accent6"/>
            </a:solidFill>
            <a:ln>
              <a:noFill/>
            </a:ln>
            <a:effectLst/>
          </c:spPr>
          <c:invertIfNegative val="0"/>
          <c:cat>
            <c:numRef>
              <c:f>Resumen!$A$3:$A$21</c:f>
              <c:numCache>
                <c:formatCode>General</c:formatCode>
                <c:ptCount val="19"/>
                <c:pt idx="0">
                  <c:v>1999</c:v>
                </c:pt>
                <c:pt idx="1">
                  <c:v>2000</c:v>
                </c:pt>
                <c:pt idx="2">
                  <c:v>2001</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pt idx="17">
                  <c:v>2016</c:v>
                </c:pt>
                <c:pt idx="18">
                  <c:v>2017</c:v>
                </c:pt>
              </c:numCache>
            </c:numRef>
          </c:cat>
          <c:val>
            <c:numRef>
              <c:f>Resumen!$G$3:$G$21</c:f>
              <c:numCache>
                <c:formatCode>0</c:formatCode>
                <c:ptCount val="19"/>
                <c:pt idx="0">
                  <c:v>-61</c:v>
                </c:pt>
                <c:pt idx="1">
                  <c:v>-62</c:v>
                </c:pt>
                <c:pt idx="2">
                  <c:v>-5877</c:v>
                </c:pt>
                <c:pt idx="3">
                  <c:v>-153</c:v>
                </c:pt>
                <c:pt idx="4">
                  <c:v>-315.39999999999998</c:v>
                </c:pt>
                <c:pt idx="5">
                  <c:v>-413142.8</c:v>
                </c:pt>
                <c:pt idx="6">
                  <c:v>-750345.99999999988</c:v>
                </c:pt>
                <c:pt idx="7">
                  <c:v>-808638.29999999993</c:v>
                </c:pt>
                <c:pt idx="8">
                  <c:v>-214960.09999999998</c:v>
                </c:pt>
                <c:pt idx="9">
                  <c:v>-128793.60000000001</c:v>
                </c:pt>
                <c:pt idx="10">
                  <c:v>-504768.50000000006</c:v>
                </c:pt>
                <c:pt idx="11">
                  <c:v>-42240.2</c:v>
                </c:pt>
                <c:pt idx="12">
                  <c:v>-205588.40000000002</c:v>
                </c:pt>
                <c:pt idx="13">
                  <c:v>-463024</c:v>
                </c:pt>
                <c:pt idx="14">
                  <c:v>0</c:v>
                </c:pt>
                <c:pt idx="15">
                  <c:v>0</c:v>
                </c:pt>
                <c:pt idx="16">
                  <c:v>0</c:v>
                </c:pt>
                <c:pt idx="17">
                  <c:v>-21074.200000000004</c:v>
                </c:pt>
                <c:pt idx="18">
                  <c:v>-2916.4</c:v>
                </c:pt>
              </c:numCache>
            </c:numRef>
          </c:val>
          <c:extLst>
            <c:ext xmlns:c16="http://schemas.microsoft.com/office/drawing/2014/chart" uri="{C3380CC4-5D6E-409C-BE32-E72D297353CC}">
              <c16:uniqueId val="{00000005-AA7F-43E0-B37F-284263AF0B98}"/>
            </c:ext>
          </c:extLst>
        </c:ser>
        <c:dLbls>
          <c:showLegendKey val="0"/>
          <c:showVal val="0"/>
          <c:showCatName val="0"/>
          <c:showSerName val="0"/>
          <c:showPercent val="0"/>
          <c:showBubbleSize val="0"/>
        </c:dLbls>
        <c:gapWidth val="219"/>
        <c:overlap val="100"/>
        <c:axId val="546543336"/>
        <c:axId val="546546288"/>
      </c:barChart>
      <c:catAx>
        <c:axId val="546543336"/>
        <c:scaling>
          <c:orientation val="minMax"/>
        </c:scaling>
        <c:delete val="0"/>
        <c:axPos val="b"/>
        <c:numFmt formatCode="General" sourceLinked="1"/>
        <c:majorTickMark val="none"/>
        <c:minorTickMark val="none"/>
        <c:tickLblPos val="low"/>
        <c:spPr>
          <a:noFill/>
          <a:ln w="9525" cap="flat" cmpd="sng" algn="ctr">
            <a:solidFill>
              <a:schemeClr val="tx1">
                <a:lumMod val="15000"/>
                <a:lumOff val="85000"/>
              </a:schemeClr>
            </a:solidFill>
            <a:round/>
          </a:ln>
          <a:effectLst/>
        </c:spPr>
        <c:txPr>
          <a:bodyPr rot="-540000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6546288"/>
        <c:crosses val="autoZero"/>
        <c:auto val="1"/>
        <c:lblAlgn val="ctr"/>
        <c:lblOffset val="100"/>
        <c:noMultiLvlLbl val="0"/>
      </c:catAx>
      <c:valAx>
        <c:axId val="546546288"/>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n-US"/>
                  <a:t>Energía Eléctrica</a:t>
                </a:r>
                <a:r>
                  <a:rPr lang="en-US" baseline="0"/>
                  <a:t> (MWh)</a:t>
                </a:r>
                <a:endParaRPr lang="en-US"/>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465433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R0002440327</Record_x0020_Number>
    <Key_x0020_Document xmlns="cdc7663a-08f0-4737-9e8c-148ce897a09c">false</Key_x0020_Document>
    <Division_x0020_or_x0020_Unit xmlns="cdc7663a-08f0-4737-9e8c-148ce897a09c">INE/ENE</Division_x0020_or_x0020_Unit>
    <IDBDocs_x0020_Number xmlns="cdc7663a-08f0-4737-9e8c-148ce897a09c" xsi:nil="true"/>
    <Document_x0020_Author xmlns="cdc7663a-08f0-4737-9e8c-148ce897a09c">Suber, Stephanie Anne</Document_x0020_Author>
    <_dlc_DocId xmlns="cdc7663a-08f0-4737-9e8c-148ce897a09c">EZSHARE-213375885-19</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TaxCatchAll xmlns="cdc7663a-08f0-4737-9e8c-148ce897a09c">
      <Value>27</Value>
      <Value>26</Value>
      <Value>18</Value>
      <Value>20</Value>
      <Value>1</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RG-L1124</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4695/OC-RG;4694/OC-RG;</Approval_x0020_Number>
    <Business_x0020_Area xmlns="cdc7663a-08f0-4737-9e8c-148ce897a09c" xsi:nil="true"/>
    <SISCOR_x0020_Number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INTEGRATION</TermName>
          <TermId xmlns="http://schemas.microsoft.com/office/infopath/2007/PartnerControls">1d29eac4-5499-4447-a729-351edadf21f0</TermId>
        </TermInfo>
      </Terms>
    </b2ec7cfb18674cb8803df6b262e8b107>
    <Document_x0020_Language_x0020_IDB xmlns="cdc7663a-08f0-4737-9e8c-148ce897a09c">Spanish</Document_x0020_Language_x0020_IDB>
    <_dlc_DocIdUrl xmlns="cdc7663a-08f0-4737-9e8c-148ce897a09c">
      <Url>https://idbg.sharepoint.com/teams/EZ-RG-LON/RG-L1124/_layouts/15/DocIdRedir.aspx?ID=EZSHARE-213375885-19</Url>
      <Description>EZSHARE-213375885-19</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EC9FD821D26B849BBC0E164584B5A03" ma:contentTypeVersion="1826" ma:contentTypeDescription="A content type to manage public (operations) IDB documents" ma:contentTypeScope="" ma:versionID="fb7afd3357cfae79f60c6ba499ef77f4">
  <xsd:schema xmlns:xsd="http://www.w3.org/2001/XMLSchema" xmlns:xs="http://www.w3.org/2001/XMLSchema" xmlns:p="http://schemas.microsoft.com/office/2006/metadata/properties" xmlns:ns2="cdc7663a-08f0-4737-9e8c-148ce897a09c" targetNamespace="http://schemas.microsoft.com/office/2006/metadata/properties" ma:root="true" ma:fieldsID="77d29b753b50cd71ac0b1ae1b6cbebc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081F39E-3A0F-4297-B9B0-7C4FA7BD6846}"/>
</file>

<file path=customXml/itemProps2.xml><?xml version="1.0" encoding="utf-8"?>
<ds:datastoreItem xmlns:ds="http://schemas.openxmlformats.org/officeDocument/2006/customXml" ds:itemID="{D630D020-F97D-4561-B1F1-5E4379F3A377}">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cdc7663a-08f0-4737-9e8c-148ce897a09c"/>
    <ds:schemaRef ds:uri="http://www.w3.org/XML/1998/namespace"/>
    <ds:schemaRef ds:uri="http://purl.org/dc/dcmitype/"/>
  </ds:schemaRefs>
</ds:datastoreItem>
</file>

<file path=customXml/itemProps3.xml><?xml version="1.0" encoding="utf-8"?>
<ds:datastoreItem xmlns:ds="http://schemas.openxmlformats.org/officeDocument/2006/customXml" ds:itemID="{3BA642EB-1E48-4480-A7E7-C7C9D3E59330}"/>
</file>

<file path=customXml/itemProps4.xml><?xml version="1.0" encoding="utf-8"?>
<ds:datastoreItem xmlns:ds="http://schemas.openxmlformats.org/officeDocument/2006/customXml" ds:itemID="{4ECEB7CA-48B4-4100-BCD4-5126F1C4BCFE}">
  <ds:schemaRefs>
    <ds:schemaRef ds:uri="http://schemas.microsoft.com/sharepoint/v3/contenttype/forms"/>
  </ds:schemaRefs>
</ds:datastoreItem>
</file>

<file path=customXml/itemProps5.xml><?xml version="1.0" encoding="utf-8"?>
<ds:datastoreItem xmlns:ds="http://schemas.openxmlformats.org/officeDocument/2006/customXml" ds:itemID="{71BA43A5-AEBB-4AE2-87EC-81F225C43D05}">
  <ds:schemaRefs>
    <ds:schemaRef ds:uri="http://schemas.microsoft.com/sharepoint/events"/>
  </ds:schemaRefs>
</ds:datastoreItem>
</file>

<file path=customXml/itemProps6.xml><?xml version="1.0" encoding="utf-8"?>
<ds:datastoreItem xmlns:ds="http://schemas.openxmlformats.org/officeDocument/2006/customXml" ds:itemID="{F8A21252-8268-4F92-A903-D90A9A0714AC}">
  <ds:schemaRefs>
    <ds:schemaRef ds:uri="http://schemas.openxmlformats.org/officeDocument/2006/bibliography"/>
  </ds:schemaRefs>
</ds:datastoreItem>
</file>

<file path=customXml/itemProps7.xml><?xml version="1.0" encoding="utf-8"?>
<ds:datastoreItem xmlns:ds="http://schemas.openxmlformats.org/officeDocument/2006/customXml" ds:itemID="{AD23D387-50B4-45AD-84B0-A025E80C9731}"/>
</file>

<file path=customXml/itemProps8.xml><?xml version="1.0" encoding="utf-8"?>
<ds:datastoreItem xmlns:ds="http://schemas.openxmlformats.org/officeDocument/2006/customXml" ds:itemID="{D91F28E5-88B0-43BA-89B8-3607396D9117}"/>
</file>

<file path=docProps/app.xml><?xml version="1.0" encoding="utf-8"?>
<Properties xmlns="http://schemas.openxmlformats.org/officeDocument/2006/extended-properties" xmlns:vt="http://schemas.openxmlformats.org/officeDocument/2006/docPropsVTypes">
  <Template>Normal</Template>
  <TotalTime>828</TotalTime>
  <Pages>4</Pages>
  <Words>4815</Words>
  <Characters>27446</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Correa Poseiro, Cecilia</dc:creator>
  <cp:keywords/>
  <dc:description/>
  <cp:lastModifiedBy>Correa Poseiro, Cecilia</cp:lastModifiedBy>
  <cp:revision>55</cp:revision>
  <dcterms:created xsi:type="dcterms:W3CDTF">2018-07-24T21:35:00Z</dcterms:created>
  <dcterms:modified xsi:type="dcterms:W3CDTF">2018-11-01T20:17:00Z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27;#ENERGY INTEGRATION|1d29eac4-5499-4447-a729-351edadf21f0</vt:lpwstr>
  </property>
  <property fmtid="{D5CDD505-2E9C-101B-9397-08002B2CF9AE}" pid="7" name="Country">
    <vt:lpwstr>20;#Regional|2537a5b7-6d8e-482c-94dc-32c3cc44ff65</vt:lpwstr>
  </property>
  <property fmtid="{D5CDD505-2E9C-101B-9397-08002B2CF9AE}" pid="8" name="Fund IDB">
    <vt:lpwstr>18;#ORC|c028a4b2-ad8b-4cf4-9cac-a2ae6a778e23</vt:lpwstr>
  </property>
  <property fmtid="{D5CDD505-2E9C-101B-9397-08002B2CF9AE}" pid="9" name="_dlc_DocIdItemGuid">
    <vt:lpwstr>d5399e33-0b8d-4bab-9236-0ecb35c9cb81</vt:lpwstr>
  </property>
  <property fmtid="{D5CDD505-2E9C-101B-9397-08002B2CF9AE}" pid="10" name="Sector IDB">
    <vt:lpwstr>26;#ENERGY|4fed196a-cd0b-4970-87de-42da17f9b203</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0x0101001A458A224826124E8B45B1D613300CFC004EC9FD821D26B849BBC0E164584B5A03</vt:lpwstr>
  </property>
</Properties>
</file>