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11FE7" w14:textId="77777777" w:rsidR="00F77237" w:rsidRPr="00270E49" w:rsidRDefault="001A4366" w:rsidP="007E77F3">
      <w:pPr>
        <w:pStyle w:val="Heading1"/>
        <w:jc w:val="center"/>
        <w:rPr>
          <w:lang w:val="es-ES_tradnl"/>
        </w:rPr>
      </w:pPr>
      <w:r w:rsidRPr="00270E49">
        <w:rPr>
          <w:lang w:val="es-ES_tradnl"/>
        </w:rPr>
        <w:t>Anexo</w:t>
      </w:r>
      <w:r w:rsidR="003B1A28" w:rsidRPr="00270E49">
        <w:rPr>
          <w:lang w:val="es-ES_tradnl"/>
        </w:rPr>
        <w:t xml:space="preserve"> Cambio </w:t>
      </w:r>
      <w:r w:rsidR="007E77F3" w:rsidRPr="00270E49">
        <w:rPr>
          <w:lang w:val="es-ES_tradnl"/>
        </w:rPr>
        <w:t>Climático</w:t>
      </w:r>
      <w:r w:rsidR="00947E5F">
        <w:rPr>
          <w:lang w:val="es-ES_tradnl"/>
        </w:rPr>
        <w:t xml:space="preserve"> - </w:t>
      </w:r>
      <w:r w:rsidR="00947E5F" w:rsidRPr="00947E5F">
        <w:rPr>
          <w:lang w:val="es-ES_tradnl"/>
        </w:rPr>
        <w:t>RG-L1124</w:t>
      </w:r>
    </w:p>
    <w:p w14:paraId="61E1CCAA" w14:textId="77777777" w:rsidR="003B1A28" w:rsidRPr="00270E49" w:rsidRDefault="003B1A28" w:rsidP="00EB64C8">
      <w:pPr>
        <w:pStyle w:val="Heading2"/>
        <w:jc w:val="both"/>
        <w:rPr>
          <w:lang w:val="es-ES_tradnl"/>
        </w:rPr>
      </w:pPr>
    </w:p>
    <w:p w14:paraId="2E757764" w14:textId="77777777" w:rsidR="009950BA" w:rsidRDefault="00FF58C5" w:rsidP="0035289B">
      <w:pPr>
        <w:jc w:val="both"/>
        <w:rPr>
          <w:lang w:val="es-ES_tradnl"/>
        </w:rPr>
      </w:pPr>
      <w:r>
        <w:rPr>
          <w:lang w:val="es-ES_tradnl"/>
        </w:rPr>
        <w:t>La operación regional “</w:t>
      </w:r>
      <w:r w:rsidRPr="00FF58C5">
        <w:rPr>
          <w:lang w:val="es-ES_tradnl"/>
        </w:rPr>
        <w:t>M</w:t>
      </w:r>
      <w:r>
        <w:rPr>
          <w:lang w:val="es-ES_tradnl"/>
        </w:rPr>
        <w:t xml:space="preserve">odernización del complejo hidroeléctrico binacional de Salto Grande” </w:t>
      </w:r>
      <w:r w:rsidR="009950BA">
        <w:rPr>
          <w:lang w:val="es-ES_tradnl"/>
        </w:rPr>
        <w:t>tiene por objetivo l</w:t>
      </w:r>
      <w:r w:rsidR="009950BA" w:rsidRPr="009950BA">
        <w:rPr>
          <w:lang w:val="es-ES_tradnl"/>
        </w:rPr>
        <w:t>a rehabilitación de</w:t>
      </w:r>
      <w:r w:rsidR="009950BA">
        <w:rPr>
          <w:lang w:val="es-ES_tradnl"/>
        </w:rPr>
        <w:t xml:space="preserve"> las</w:t>
      </w:r>
      <w:r w:rsidR="009950BA" w:rsidRPr="009950BA">
        <w:rPr>
          <w:lang w:val="es-ES_tradnl"/>
        </w:rPr>
        <w:t xml:space="preserve"> centrales hidroeléctricas permite extender su vida útil y mantener sus condiciones iniciales, garantizando su disponibilidad, eficiencia y confiabilidad. </w:t>
      </w:r>
      <w:r w:rsidR="009950BA">
        <w:rPr>
          <w:lang w:val="es-ES_tradnl"/>
        </w:rPr>
        <w:t xml:space="preserve">Se prevé que </w:t>
      </w:r>
      <w:r w:rsidR="009950BA" w:rsidRPr="009950BA">
        <w:rPr>
          <w:lang w:val="es-ES_tradnl"/>
        </w:rPr>
        <w:t xml:space="preserve">su modernización </w:t>
      </w:r>
      <w:r w:rsidR="009950BA">
        <w:rPr>
          <w:lang w:val="es-ES_tradnl"/>
        </w:rPr>
        <w:t xml:space="preserve">se realice a través de </w:t>
      </w:r>
      <w:r w:rsidR="009950BA" w:rsidRPr="009950BA">
        <w:rPr>
          <w:lang w:val="es-ES_tradnl"/>
        </w:rPr>
        <w:t>un Plan Estratégico de Inversiones a ejecutar en un plazo de 25 años y un monto total estimado de US$960 millones.</w:t>
      </w:r>
    </w:p>
    <w:p w14:paraId="6B7204CD" w14:textId="77777777" w:rsidR="009950BA" w:rsidRDefault="009950BA" w:rsidP="0035289B">
      <w:pPr>
        <w:jc w:val="both"/>
        <w:rPr>
          <w:lang w:val="es-ES_tradnl"/>
        </w:rPr>
      </w:pPr>
      <w:r>
        <w:rPr>
          <w:lang w:val="es-ES_tradnl"/>
        </w:rPr>
        <w:t>El sector energético es fundamental en el desarrollo y planificación de políticas publicas bajas en carbono y resilientes, pavimentando las bases de un desarrollo acorde a las metas del Acuerdo de Paris.</w:t>
      </w:r>
    </w:p>
    <w:p w14:paraId="102F25A3" w14:textId="77777777" w:rsidR="00B14420" w:rsidRDefault="009950BA" w:rsidP="0035289B">
      <w:pPr>
        <w:jc w:val="both"/>
        <w:rPr>
          <w:lang w:val="es-ES_tradnl"/>
        </w:rPr>
      </w:pPr>
      <w:r>
        <w:rPr>
          <w:lang w:val="es-ES_tradnl"/>
        </w:rPr>
        <w:t>En este contexto y con base a los objetivos del préstamo, e</w:t>
      </w:r>
      <w:r w:rsidR="00B14420">
        <w:rPr>
          <w:lang w:val="es-ES_tradnl"/>
        </w:rPr>
        <w:t>ste anexo busca describir el</w:t>
      </w:r>
      <w:r w:rsidR="001D7DFF">
        <w:rPr>
          <w:lang w:val="es-ES_tradnl"/>
        </w:rPr>
        <w:t xml:space="preserve"> potencial de cambio climático de </w:t>
      </w:r>
      <w:r w:rsidR="00B14420">
        <w:rPr>
          <w:lang w:val="es-ES_tradnl"/>
        </w:rPr>
        <w:t xml:space="preserve">la operación </w:t>
      </w:r>
      <w:r w:rsidR="00FF58C5">
        <w:rPr>
          <w:lang w:val="es-ES_tradnl"/>
        </w:rPr>
        <w:t xml:space="preserve">RG-L1124 </w:t>
      </w:r>
      <w:r w:rsidR="001D7DFF">
        <w:rPr>
          <w:lang w:val="es-ES_tradnl"/>
        </w:rPr>
        <w:t xml:space="preserve">dadas </w:t>
      </w:r>
      <w:r w:rsidR="00EC4A74">
        <w:rPr>
          <w:lang w:val="es-ES_tradnl"/>
        </w:rPr>
        <w:t>las oportunidades de mitigación y adaptación</w:t>
      </w:r>
      <w:r w:rsidR="001D7DFF">
        <w:rPr>
          <w:lang w:val="es-ES_tradnl"/>
        </w:rPr>
        <w:t xml:space="preserve"> que se </w:t>
      </w:r>
      <w:r>
        <w:rPr>
          <w:lang w:val="es-ES_tradnl"/>
        </w:rPr>
        <w:t xml:space="preserve">han identificado en los contextos de cada de </w:t>
      </w:r>
      <w:r w:rsidR="00FF58C5">
        <w:rPr>
          <w:lang w:val="es-ES_tradnl"/>
        </w:rPr>
        <w:t>Argentina y Uruguay.</w:t>
      </w:r>
      <w:r w:rsidR="001D7DFF">
        <w:rPr>
          <w:lang w:val="es-ES_tradnl"/>
        </w:rPr>
        <w:t xml:space="preserve"> </w:t>
      </w:r>
    </w:p>
    <w:p w14:paraId="7BC386BF" w14:textId="77777777" w:rsidR="001D7DFF" w:rsidRPr="00270E49" w:rsidRDefault="001D7DFF" w:rsidP="0035289B">
      <w:pPr>
        <w:jc w:val="both"/>
        <w:rPr>
          <w:lang w:val="es-ES_tradnl"/>
        </w:rPr>
      </w:pPr>
    </w:p>
    <w:p w14:paraId="171557DB" w14:textId="77777777" w:rsidR="001D7DFF" w:rsidRPr="00280956" w:rsidRDefault="001D7DFF" w:rsidP="00280956">
      <w:pPr>
        <w:pStyle w:val="Heading2"/>
        <w:rPr>
          <w:rStyle w:val="Hyperlink"/>
          <w:color w:val="2F5496" w:themeColor="accent1" w:themeShade="BF"/>
          <w:u w:val="none"/>
        </w:rPr>
      </w:pPr>
      <w:r w:rsidRPr="00280956">
        <w:rPr>
          <w:rStyle w:val="Hyperlink"/>
          <w:color w:val="2F5496" w:themeColor="accent1" w:themeShade="BF"/>
          <w:u w:val="none"/>
        </w:rPr>
        <w:t>Contexto nacional en materia de Cambio Climatico</w:t>
      </w:r>
    </w:p>
    <w:p w14:paraId="28D839D0" w14:textId="77777777" w:rsidR="001D7DFF" w:rsidRPr="001D7DFF" w:rsidRDefault="001D7DFF" w:rsidP="001D7DFF"/>
    <w:p w14:paraId="0A2E9E75" w14:textId="77777777" w:rsidR="003B1A28" w:rsidRPr="00280956" w:rsidRDefault="00E37E69" w:rsidP="00280956">
      <w:pPr>
        <w:pStyle w:val="Heading3"/>
        <w:rPr>
          <w:rStyle w:val="Hyperlink"/>
          <w:color w:val="1F3763" w:themeColor="accent1" w:themeShade="7F"/>
          <w:u w:val="none"/>
        </w:rPr>
      </w:pPr>
      <w:hyperlink r:id="rId14" w:history="1">
        <w:r w:rsidR="00564838" w:rsidRPr="00280956">
          <w:rPr>
            <w:rStyle w:val="Hyperlink"/>
            <w:color w:val="1F3763" w:themeColor="accent1" w:themeShade="7F"/>
            <w:u w:val="none"/>
          </w:rPr>
          <w:t xml:space="preserve">La Contribución Determinada a Nivel Nacional de </w:t>
        </w:r>
        <w:r w:rsidR="001D7DFF" w:rsidRPr="00280956">
          <w:rPr>
            <w:rStyle w:val="Hyperlink"/>
            <w:color w:val="1F3763" w:themeColor="accent1" w:themeShade="7F"/>
            <w:u w:val="none"/>
          </w:rPr>
          <w:t>Argentina</w:t>
        </w:r>
      </w:hyperlink>
    </w:p>
    <w:p w14:paraId="3981A354" w14:textId="77777777" w:rsidR="00F63DCD" w:rsidRPr="00F63DCD" w:rsidRDefault="00F63DCD" w:rsidP="00F63DCD">
      <w:pPr>
        <w:rPr>
          <w:lang w:val="es-ES_tradnl"/>
        </w:rPr>
      </w:pPr>
    </w:p>
    <w:p w14:paraId="3D63A987" w14:textId="77777777" w:rsidR="00F63DCD" w:rsidRDefault="00F63DCD" w:rsidP="00F63DCD">
      <w:pPr>
        <w:jc w:val="both"/>
        <w:rPr>
          <w:lang w:val="es-ES_tradnl"/>
        </w:rPr>
      </w:pPr>
      <w:r w:rsidRPr="00F63DCD">
        <w:rPr>
          <w:lang w:val="es-ES_tradnl"/>
        </w:rPr>
        <w:t>En concordancia con las Decisiones 1/CP.19 y 1/CP.20, y teniendo en cuenta los principios,</w:t>
      </w:r>
      <w:r>
        <w:rPr>
          <w:lang w:val="es-ES_tradnl"/>
        </w:rPr>
        <w:t xml:space="preserve"> </w:t>
      </w:r>
      <w:r w:rsidRPr="00F63DCD">
        <w:rPr>
          <w:lang w:val="es-ES_tradnl"/>
        </w:rPr>
        <w:t>disposiciones y estructura de la Convención Marco de Naciones Unidas sobre el Cambio Climático</w:t>
      </w:r>
      <w:r>
        <w:rPr>
          <w:lang w:val="es-ES_tradnl"/>
        </w:rPr>
        <w:t xml:space="preserve"> </w:t>
      </w:r>
      <w:r w:rsidRPr="00F63DCD">
        <w:rPr>
          <w:lang w:val="es-ES_tradnl"/>
        </w:rPr>
        <w:t>(CMNUCC), la República Argentina presentó el 1° de octubre de 2015 su Contribución Prevista y</w:t>
      </w:r>
      <w:r>
        <w:rPr>
          <w:lang w:val="es-ES_tradnl"/>
        </w:rPr>
        <w:t xml:space="preserve"> </w:t>
      </w:r>
      <w:r w:rsidRPr="00F63DCD">
        <w:rPr>
          <w:lang w:val="es-ES_tradnl"/>
        </w:rPr>
        <w:t>Determinada a Nivel Nacional (INDC, por sus siglas en inglés). A partir de los logros alcanzados</w:t>
      </w:r>
      <w:r>
        <w:rPr>
          <w:lang w:val="es-ES_tradnl"/>
        </w:rPr>
        <w:t xml:space="preserve"> </w:t>
      </w:r>
      <w:r w:rsidRPr="00F63DCD">
        <w:rPr>
          <w:lang w:val="es-ES_tradnl"/>
        </w:rPr>
        <w:t>durante la vigésimo primera Conferencia de las Partes (COP 21), en particular el Acuerdo de París,</w:t>
      </w:r>
      <w:r>
        <w:rPr>
          <w:lang w:val="es-ES_tradnl"/>
        </w:rPr>
        <w:t xml:space="preserve"> </w:t>
      </w:r>
      <w:r w:rsidRPr="00F63DCD">
        <w:rPr>
          <w:lang w:val="es-ES_tradnl"/>
        </w:rPr>
        <w:t>el país tomó la decisión de realizar un primer esfuerzo de revisión de su INDC, esfuerzo que</w:t>
      </w:r>
      <w:r>
        <w:rPr>
          <w:lang w:val="es-ES_tradnl"/>
        </w:rPr>
        <w:t xml:space="preserve"> </w:t>
      </w:r>
      <w:r w:rsidRPr="00F63DCD">
        <w:rPr>
          <w:lang w:val="es-ES_tradnl"/>
        </w:rPr>
        <w:t>continuará los próximos años.</w:t>
      </w:r>
    </w:p>
    <w:p w14:paraId="336B7BFB" w14:textId="77777777" w:rsidR="00F63DCD" w:rsidRDefault="00F63DCD" w:rsidP="00F63DCD">
      <w:pPr>
        <w:jc w:val="both"/>
        <w:rPr>
          <w:lang w:val="es-ES_tradnl"/>
        </w:rPr>
      </w:pPr>
      <w:r w:rsidRPr="00F63DCD">
        <w:rPr>
          <w:noProof/>
        </w:rPr>
        <w:drawing>
          <wp:anchor distT="0" distB="0" distL="114300" distR="114300" simplePos="0" relativeHeight="251658240" behindDoc="0" locked="0" layoutInCell="1" allowOverlap="1" wp14:anchorId="52D95916" wp14:editId="773B7B6D">
            <wp:simplePos x="0" y="0"/>
            <wp:positionH relativeFrom="margin">
              <wp:posOffset>-114300</wp:posOffset>
            </wp:positionH>
            <wp:positionV relativeFrom="margin">
              <wp:posOffset>6507480</wp:posOffset>
            </wp:positionV>
            <wp:extent cx="5120038" cy="2194560"/>
            <wp:effectExtent l="0" t="0" r="444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120038" cy="2194560"/>
                    </a:xfrm>
                    <a:prstGeom prst="rect">
                      <a:avLst/>
                    </a:prstGeom>
                  </pic:spPr>
                </pic:pic>
              </a:graphicData>
            </a:graphic>
            <wp14:sizeRelH relativeFrom="margin">
              <wp14:pctWidth>0</wp14:pctWidth>
            </wp14:sizeRelH>
            <wp14:sizeRelV relativeFrom="margin">
              <wp14:pctHeight>0</wp14:pctHeight>
            </wp14:sizeRelV>
          </wp:anchor>
        </w:drawing>
      </w:r>
      <w:r>
        <w:rPr>
          <w:lang w:val="es-ES_tradnl"/>
        </w:rPr>
        <w:t>En el marco de su CDN, l</w:t>
      </w:r>
      <w:r w:rsidRPr="00F63DCD">
        <w:rPr>
          <w:lang w:val="es-ES_tradnl"/>
        </w:rPr>
        <w:t>a Argentina no excederá la emisión neta de 483 millones de toneladas de dióxido de carbono</w:t>
      </w:r>
      <w:r>
        <w:rPr>
          <w:lang w:val="es-ES_tradnl"/>
        </w:rPr>
        <w:t xml:space="preserve"> </w:t>
      </w:r>
      <w:r w:rsidRPr="00F63DCD">
        <w:rPr>
          <w:lang w:val="es-ES_tradnl"/>
        </w:rPr>
        <w:t>equivalente (tCO2eq) en el año 2030. La meta se logrará a través de la implementación de una</w:t>
      </w:r>
      <w:r>
        <w:rPr>
          <w:lang w:val="es-ES_tradnl"/>
        </w:rPr>
        <w:t xml:space="preserve"> </w:t>
      </w:r>
      <w:r w:rsidRPr="00F63DCD">
        <w:rPr>
          <w:lang w:val="es-ES_tradnl"/>
        </w:rPr>
        <w:t>serie de medidas a lo largo de la economía, focalizando en los sectores de energía, agricultura,</w:t>
      </w:r>
      <w:r>
        <w:rPr>
          <w:lang w:val="es-ES_tradnl"/>
        </w:rPr>
        <w:t xml:space="preserve"> </w:t>
      </w:r>
      <w:r w:rsidRPr="00F63DCD">
        <w:rPr>
          <w:lang w:val="es-ES_tradnl"/>
        </w:rPr>
        <w:t>bosques, transporte, industria y residuos.</w:t>
      </w:r>
      <w:r>
        <w:rPr>
          <w:lang w:val="es-ES_tradnl"/>
        </w:rPr>
        <w:t xml:space="preserve"> </w:t>
      </w:r>
    </w:p>
    <w:p w14:paraId="3D802127" w14:textId="77777777" w:rsidR="00F63DCD" w:rsidRDefault="00F63DCD" w:rsidP="00F63DCD">
      <w:pPr>
        <w:keepNext/>
        <w:jc w:val="both"/>
      </w:pPr>
    </w:p>
    <w:p w14:paraId="7784AE41" w14:textId="77777777" w:rsidR="00F63DCD" w:rsidRPr="00F63DCD" w:rsidRDefault="00F63DCD" w:rsidP="00F63DCD">
      <w:pPr>
        <w:pStyle w:val="Caption"/>
        <w:jc w:val="both"/>
        <w:rPr>
          <w:lang w:val="es-ES_tradnl"/>
        </w:rPr>
      </w:pPr>
      <w:r>
        <w:t xml:space="preserve">Ilustración </w:t>
      </w:r>
      <w:r w:rsidR="0022306B">
        <w:rPr>
          <w:noProof/>
        </w:rPr>
        <w:fldChar w:fldCharType="begin"/>
      </w:r>
      <w:r w:rsidR="0022306B">
        <w:rPr>
          <w:noProof/>
        </w:rPr>
        <w:instrText xml:space="preserve"> SEQ Ilustración \* ARABIC </w:instrText>
      </w:r>
      <w:r w:rsidR="0022306B">
        <w:rPr>
          <w:noProof/>
        </w:rPr>
        <w:fldChar w:fldCharType="separate"/>
      </w:r>
      <w:r w:rsidR="00FD2B66">
        <w:rPr>
          <w:noProof/>
        </w:rPr>
        <w:t>1</w:t>
      </w:r>
      <w:r w:rsidR="0022306B">
        <w:rPr>
          <w:noProof/>
        </w:rPr>
        <w:fldChar w:fldCharType="end"/>
      </w:r>
      <w:r>
        <w:t xml:space="preserve"> </w:t>
      </w:r>
      <w:r w:rsidRPr="004E4304">
        <w:t>Fuente: Balance Energético Nacional 2016, Ministerio de Energía y Minería</w:t>
      </w:r>
    </w:p>
    <w:p w14:paraId="381DF2B1" w14:textId="77777777" w:rsidR="00EA18DF" w:rsidRPr="00280956" w:rsidRDefault="00EA18DF" w:rsidP="00280956">
      <w:pPr>
        <w:pStyle w:val="Heading3"/>
        <w:rPr>
          <w:rStyle w:val="Hyperlink"/>
          <w:color w:val="1F3763" w:themeColor="accent1" w:themeShade="7F"/>
          <w:u w:val="none"/>
        </w:rPr>
      </w:pPr>
      <w:r w:rsidRPr="00280956">
        <w:rPr>
          <w:rStyle w:val="Hyperlink"/>
          <w:color w:val="1F3763" w:themeColor="accent1" w:themeShade="7F"/>
          <w:u w:val="none"/>
        </w:rPr>
        <w:lastRenderedPageBreak/>
        <w:t>Tercera comunicación Nacional de Argentina</w:t>
      </w:r>
    </w:p>
    <w:p w14:paraId="6FF44C89" w14:textId="77777777" w:rsidR="00EA18DF" w:rsidRDefault="00EA18DF" w:rsidP="00EA18DF">
      <w:pPr>
        <w:jc w:val="both"/>
        <w:rPr>
          <w:rFonts w:cstheme="minorHAnsi"/>
          <w:lang w:val="es-ES_tradnl"/>
        </w:rPr>
      </w:pPr>
    </w:p>
    <w:p w14:paraId="0A29149D" w14:textId="17C9CF77" w:rsidR="00EA18DF" w:rsidRDefault="00EA18DF" w:rsidP="00EA18DF">
      <w:pPr>
        <w:jc w:val="both"/>
        <w:rPr>
          <w:rFonts w:cstheme="minorHAnsi"/>
          <w:lang w:val="es-ES_tradnl"/>
        </w:rPr>
      </w:pPr>
      <w:r w:rsidRPr="00EA18DF">
        <w:rPr>
          <w:rFonts w:cstheme="minorHAnsi"/>
          <w:lang w:val="es-ES_tradnl"/>
        </w:rPr>
        <w:t xml:space="preserve">El </w:t>
      </w:r>
      <w:r>
        <w:rPr>
          <w:rFonts w:cstheme="minorHAnsi"/>
          <w:lang w:val="es-ES_tradnl"/>
        </w:rPr>
        <w:t xml:space="preserve">calentamiento global generara cambios en los esquemas de precipitación, teniendo consecuencias sobre </w:t>
      </w:r>
      <w:r w:rsidRPr="00EA18DF">
        <w:rPr>
          <w:rFonts w:cstheme="minorHAnsi"/>
          <w:lang w:val="es-ES_tradnl"/>
        </w:rPr>
        <w:t xml:space="preserve">los sistemas hidrometeorológicos, y </w:t>
      </w:r>
      <w:r>
        <w:rPr>
          <w:rFonts w:cstheme="minorHAnsi"/>
          <w:lang w:val="es-ES_tradnl"/>
        </w:rPr>
        <w:t xml:space="preserve">por ende </w:t>
      </w:r>
      <w:r w:rsidRPr="00EA18DF">
        <w:rPr>
          <w:rFonts w:cstheme="minorHAnsi"/>
          <w:lang w:val="es-ES_tradnl"/>
        </w:rPr>
        <w:t xml:space="preserve">la generación hidroeléctrica. </w:t>
      </w:r>
      <w:r>
        <w:rPr>
          <w:rFonts w:cstheme="minorHAnsi"/>
          <w:lang w:val="es-ES_tradnl"/>
        </w:rPr>
        <w:t xml:space="preserve">Cabe destacar </w:t>
      </w:r>
      <w:r w:rsidR="00C479AA">
        <w:rPr>
          <w:rFonts w:cstheme="minorHAnsi"/>
          <w:lang w:val="es-ES_tradnl"/>
        </w:rPr>
        <w:t>que,</w:t>
      </w:r>
      <w:r>
        <w:rPr>
          <w:rFonts w:cstheme="minorHAnsi"/>
          <w:lang w:val="es-ES_tradnl"/>
        </w:rPr>
        <w:t xml:space="preserve"> en Argentina, </w:t>
      </w:r>
      <w:r w:rsidRPr="00EA18DF">
        <w:rPr>
          <w:rFonts w:cstheme="minorHAnsi"/>
          <w:lang w:val="es-ES_tradnl"/>
        </w:rPr>
        <w:t xml:space="preserve">el porcentaje de la generación hidráulica ha variado en los últimos años entre 29 y 35 % de la generación eléctrica total, </w:t>
      </w:r>
      <w:r w:rsidR="00FD2B66">
        <w:rPr>
          <w:rFonts w:cstheme="minorHAnsi"/>
          <w:lang w:val="es-ES_tradnl"/>
        </w:rPr>
        <w:t xml:space="preserve">una vulnerabilidad que deberá tenerse en cuenta en materia de soberanía energéticas dado que es la </w:t>
      </w:r>
      <w:r w:rsidRPr="00EA18DF">
        <w:rPr>
          <w:rFonts w:cstheme="minorHAnsi"/>
          <w:lang w:val="es-ES_tradnl"/>
        </w:rPr>
        <w:t xml:space="preserve">segunda fuente en importancia </w:t>
      </w:r>
      <w:r w:rsidR="00FD2B66">
        <w:rPr>
          <w:rFonts w:cstheme="minorHAnsi"/>
          <w:lang w:val="es-ES_tradnl"/>
        </w:rPr>
        <w:t xml:space="preserve">en </w:t>
      </w:r>
      <w:r w:rsidRPr="00EA18DF">
        <w:rPr>
          <w:rFonts w:cstheme="minorHAnsi"/>
          <w:lang w:val="es-ES_tradnl"/>
        </w:rPr>
        <w:t>la matriz de generación de energía eléctrica</w:t>
      </w:r>
      <w:r w:rsidR="00FD2B66">
        <w:rPr>
          <w:rFonts w:cstheme="minorHAnsi"/>
          <w:lang w:val="es-ES_tradnl"/>
        </w:rPr>
        <w:t xml:space="preserve"> del país. </w:t>
      </w:r>
    </w:p>
    <w:p w14:paraId="650893CA" w14:textId="77777777" w:rsidR="00FD2B66" w:rsidRPr="00EA18DF" w:rsidRDefault="00FD2B66" w:rsidP="00EA18DF">
      <w:pPr>
        <w:jc w:val="both"/>
        <w:rPr>
          <w:rFonts w:cstheme="minorHAnsi"/>
          <w:lang w:val="es-ES_tradnl"/>
        </w:rPr>
      </w:pPr>
      <w:r>
        <w:rPr>
          <w:rFonts w:cstheme="minorHAnsi"/>
          <w:lang w:val="es-ES_tradnl"/>
        </w:rPr>
        <w:t>“</w:t>
      </w:r>
      <w:r>
        <w:t>Las proyecciones de la precipitación sobre los Andes de Cuyo, Comahue y Patagonia, que es de donde se alimentan los ríos de esas regiones, son ligeramente negativas para el futuro cercano, aunque dentro de su rango de incerteza. Más clara es la disminución hacia fin de siglo en el escenario RCP 8.5. A partir de estas proyecciones no se puede descartar una afectación negativa del cambio climático sobre la generación hidroeléctrica en estas regiones, que actualmente representan el 35 a 40 % de la generación hídrica nacional.”</w:t>
      </w:r>
      <w:r>
        <w:rPr>
          <w:rStyle w:val="FootnoteReference"/>
        </w:rPr>
        <w:footnoteReference w:id="1"/>
      </w:r>
    </w:p>
    <w:p w14:paraId="151A9489" w14:textId="77777777" w:rsidR="00CB6B49" w:rsidRPr="00280956" w:rsidRDefault="00E37E69" w:rsidP="00280956">
      <w:pPr>
        <w:pStyle w:val="Heading3"/>
      </w:pPr>
      <w:hyperlink r:id="rId16" w:history="1">
        <w:r w:rsidR="00CB6B49" w:rsidRPr="00280956">
          <w:rPr>
            <w:rStyle w:val="Hyperlink"/>
            <w:color w:val="1F3763" w:themeColor="accent1" w:themeShade="7F"/>
            <w:u w:val="none"/>
          </w:rPr>
          <w:t>La Contribución Determinada a Nivel Nacional de Uruguay</w:t>
        </w:r>
      </w:hyperlink>
    </w:p>
    <w:p w14:paraId="37C111AE" w14:textId="77777777" w:rsidR="007E77F3" w:rsidRPr="00270E49" w:rsidRDefault="007E77F3" w:rsidP="00EB64C8">
      <w:pPr>
        <w:jc w:val="both"/>
        <w:rPr>
          <w:rFonts w:cstheme="minorHAnsi"/>
          <w:lang w:val="es-ES_tradnl"/>
        </w:rPr>
      </w:pPr>
    </w:p>
    <w:p w14:paraId="04D005C0" w14:textId="77777777" w:rsidR="00DF653A" w:rsidRPr="00270E49" w:rsidRDefault="00EB64C8" w:rsidP="00EB64C8">
      <w:pPr>
        <w:jc w:val="both"/>
        <w:rPr>
          <w:rFonts w:cstheme="minorHAnsi"/>
          <w:lang w:val="es-ES_tradnl"/>
        </w:rPr>
      </w:pPr>
      <w:r w:rsidRPr="00270E49">
        <w:rPr>
          <w:rFonts w:cstheme="minorHAnsi"/>
          <w:lang w:val="es-ES_tradnl"/>
        </w:rPr>
        <w:t xml:space="preserve">La CDN de </w:t>
      </w:r>
      <w:r w:rsidR="00B8030D" w:rsidRPr="00270E49">
        <w:rPr>
          <w:rFonts w:cstheme="minorHAnsi"/>
          <w:lang w:val="es-ES_tradnl"/>
        </w:rPr>
        <w:t>Uruguay</w:t>
      </w:r>
      <w:r w:rsidRPr="00270E49">
        <w:rPr>
          <w:rFonts w:cstheme="minorHAnsi"/>
          <w:lang w:val="es-ES_tradnl"/>
        </w:rPr>
        <w:t xml:space="preserve"> estableció contribuir a 2025 con un objetivo de mitigación incondicional de reducción de la intensidad (emisiones de CO2 por unidad de PBI) de un 24% respecto a los valores de 1990, y una meta condicional a medios de implementación adicionales y específicos a 2025 de 29%.</w:t>
      </w:r>
    </w:p>
    <w:p w14:paraId="3B793971" w14:textId="77777777" w:rsidR="00FD2B66" w:rsidRDefault="0035289B" w:rsidP="00FD2B66">
      <w:pPr>
        <w:jc w:val="both"/>
        <w:rPr>
          <w:rFonts w:cstheme="minorHAnsi"/>
          <w:lang w:val="es-ES_tradnl"/>
        </w:rPr>
      </w:pPr>
      <w:r w:rsidRPr="00270E49">
        <w:rPr>
          <w:rFonts w:cstheme="minorHAnsi"/>
          <w:lang w:val="es-ES_tradnl"/>
        </w:rPr>
        <w:t>Estos objetivos son detallados en la CDN, con el contexto y las principales medidas que aportan al alcance de los objetivos de mitigación y adaptación; las medidas de fortalecimiento de las capacidades y generación de conocimiento sobre cambio climático; y el esquema de transparencia para dar seguimiento.</w:t>
      </w:r>
    </w:p>
    <w:p w14:paraId="349D81B6" w14:textId="77777777" w:rsidR="00FD2B66" w:rsidRDefault="00FD2B66" w:rsidP="00280956">
      <w:pPr>
        <w:pStyle w:val="Heading3"/>
        <w:rPr>
          <w:lang w:val="es-ES_tradnl"/>
        </w:rPr>
      </w:pPr>
      <w:r>
        <w:rPr>
          <w:lang w:val="es-ES_tradnl"/>
        </w:rPr>
        <w:t>El Reporte Bienal de Uruguay (BUR 2017)</w:t>
      </w:r>
    </w:p>
    <w:p w14:paraId="1985FEE8" w14:textId="77777777" w:rsidR="00FD2B66" w:rsidRDefault="00FD2B66" w:rsidP="00FD2B66">
      <w:pPr>
        <w:rPr>
          <w:lang w:val="es-ES_tradnl"/>
        </w:rPr>
      </w:pPr>
    </w:p>
    <w:p w14:paraId="4490D150" w14:textId="77777777" w:rsidR="00FD2B66" w:rsidRPr="005532E9" w:rsidRDefault="00FD2B66" w:rsidP="005532E9">
      <w:pPr>
        <w:jc w:val="both"/>
        <w:rPr>
          <w:rFonts w:cstheme="minorHAnsi"/>
          <w:lang w:val="es-ES_tradnl"/>
        </w:rPr>
      </w:pPr>
      <w:r w:rsidRPr="005532E9">
        <w:rPr>
          <w:rFonts w:cstheme="minorHAnsi"/>
          <w:lang w:val="es-ES_tradnl"/>
        </w:rPr>
        <w:t xml:space="preserve">Históricamente la generación de electricidad en Uruguay </w:t>
      </w:r>
      <w:r w:rsidR="005532E9" w:rsidRPr="005532E9">
        <w:rPr>
          <w:rFonts w:cstheme="minorHAnsi"/>
          <w:lang w:val="es-ES_tradnl"/>
        </w:rPr>
        <w:t>tenía</w:t>
      </w:r>
      <w:r w:rsidRPr="005532E9">
        <w:rPr>
          <w:rFonts w:cstheme="minorHAnsi"/>
          <w:lang w:val="es-ES_tradnl"/>
        </w:rPr>
        <w:t xml:space="preserve"> como fuente </w:t>
      </w:r>
      <w:r w:rsidR="005532E9" w:rsidRPr="005532E9">
        <w:rPr>
          <w:rFonts w:cstheme="minorHAnsi"/>
          <w:lang w:val="es-ES_tradnl"/>
        </w:rPr>
        <w:t xml:space="preserve">las </w:t>
      </w:r>
      <w:r w:rsidRPr="005532E9">
        <w:rPr>
          <w:rFonts w:cstheme="minorHAnsi"/>
          <w:lang w:val="es-ES_tradnl"/>
        </w:rPr>
        <w:t>centrales</w:t>
      </w:r>
      <w:r w:rsidR="005532E9" w:rsidRPr="005532E9">
        <w:rPr>
          <w:rFonts w:cstheme="minorHAnsi"/>
          <w:lang w:val="es-ES_tradnl"/>
        </w:rPr>
        <w:t xml:space="preserve"> h</w:t>
      </w:r>
      <w:r w:rsidRPr="005532E9">
        <w:rPr>
          <w:rFonts w:cstheme="minorHAnsi"/>
          <w:lang w:val="es-ES_tradnl"/>
        </w:rPr>
        <w:t>idroeléctricas complementadas con termoeléctricas</w:t>
      </w:r>
      <w:r w:rsidR="005532E9">
        <w:rPr>
          <w:rFonts w:cstheme="minorHAnsi"/>
          <w:lang w:val="es-ES_tradnl"/>
        </w:rPr>
        <w:t xml:space="preserve"> </w:t>
      </w:r>
      <w:r w:rsidRPr="005532E9">
        <w:rPr>
          <w:rFonts w:cstheme="minorHAnsi"/>
          <w:lang w:val="es-ES_tradnl"/>
        </w:rPr>
        <w:t>en base a combustibles fósiles líquidos.</w:t>
      </w:r>
    </w:p>
    <w:p w14:paraId="02BACB66" w14:textId="144729AD" w:rsidR="00FD2B66" w:rsidRPr="005532E9" w:rsidRDefault="005532E9" w:rsidP="005532E9">
      <w:pPr>
        <w:jc w:val="both"/>
        <w:rPr>
          <w:rFonts w:cstheme="minorHAnsi"/>
          <w:lang w:val="es-ES_tradnl"/>
        </w:rPr>
      </w:pPr>
      <w:r>
        <w:rPr>
          <w:rFonts w:cstheme="minorHAnsi"/>
          <w:lang w:val="es-ES_tradnl"/>
        </w:rPr>
        <w:t>Dados los cambios en las precipitaciones se ha identificado que l</w:t>
      </w:r>
      <w:r w:rsidR="00FD2B66" w:rsidRPr="005532E9">
        <w:rPr>
          <w:rFonts w:cstheme="minorHAnsi"/>
          <w:lang w:val="es-ES_tradnl"/>
        </w:rPr>
        <w:t xml:space="preserve">a base hidroeléctrica </w:t>
      </w:r>
      <w:r>
        <w:rPr>
          <w:rFonts w:cstheme="minorHAnsi"/>
          <w:lang w:val="es-ES_tradnl"/>
        </w:rPr>
        <w:t xml:space="preserve">representa un área donde los esfuerzos de adaptación serán claves dada la </w:t>
      </w:r>
      <w:r w:rsidR="00FD2B66" w:rsidRPr="005532E9">
        <w:rPr>
          <w:rFonts w:cstheme="minorHAnsi"/>
          <w:lang w:val="es-ES_tradnl"/>
        </w:rPr>
        <w:t>creciente</w:t>
      </w:r>
      <w:r>
        <w:rPr>
          <w:rFonts w:cstheme="minorHAnsi"/>
          <w:lang w:val="es-ES_tradnl"/>
        </w:rPr>
        <w:t xml:space="preserve"> </w:t>
      </w:r>
      <w:r w:rsidR="00FD2B66" w:rsidRPr="005532E9">
        <w:rPr>
          <w:rFonts w:cstheme="minorHAnsi"/>
          <w:lang w:val="es-ES_tradnl"/>
        </w:rPr>
        <w:t xml:space="preserve">vulnerabilidad </w:t>
      </w:r>
      <w:r>
        <w:rPr>
          <w:rFonts w:cstheme="minorHAnsi"/>
          <w:lang w:val="es-ES_tradnl"/>
        </w:rPr>
        <w:t xml:space="preserve">de esta infraestructura y de los </w:t>
      </w:r>
      <w:r w:rsidR="00C479AA">
        <w:rPr>
          <w:rFonts w:cstheme="minorHAnsi"/>
          <w:lang w:val="es-ES_tradnl"/>
        </w:rPr>
        <w:t>caudales,</w:t>
      </w:r>
      <w:r>
        <w:rPr>
          <w:rFonts w:cstheme="minorHAnsi"/>
          <w:lang w:val="es-ES_tradnl"/>
        </w:rPr>
        <w:t xml:space="preserve"> pero también el vínculo de d</w:t>
      </w:r>
      <w:r w:rsidR="00FD2B66" w:rsidRPr="005532E9">
        <w:rPr>
          <w:rFonts w:cstheme="minorHAnsi"/>
          <w:lang w:val="es-ES_tradnl"/>
        </w:rPr>
        <w:t xml:space="preserve">ependencia </w:t>
      </w:r>
      <w:r>
        <w:rPr>
          <w:rFonts w:cstheme="minorHAnsi"/>
          <w:lang w:val="es-ES_tradnl"/>
        </w:rPr>
        <w:t xml:space="preserve">que genera en lo que concierne a </w:t>
      </w:r>
      <w:r w:rsidR="00FD2B66" w:rsidRPr="005532E9">
        <w:rPr>
          <w:rFonts w:cstheme="minorHAnsi"/>
          <w:lang w:val="es-ES_tradnl"/>
        </w:rPr>
        <w:t>los combustibles fósiles</w:t>
      </w:r>
      <w:r>
        <w:rPr>
          <w:rFonts w:cstheme="minorHAnsi"/>
          <w:lang w:val="es-ES_tradnl"/>
        </w:rPr>
        <w:t xml:space="preserve">, teniendo también como impacto una amenaza en el alcance de los objetivos de reducción de </w:t>
      </w:r>
      <w:r w:rsidR="00FD2B66" w:rsidRPr="005532E9">
        <w:rPr>
          <w:rFonts w:cstheme="minorHAnsi"/>
          <w:lang w:val="es-ES_tradnl"/>
        </w:rPr>
        <w:t>las emisiones de GEI.</w:t>
      </w:r>
    </w:p>
    <w:p w14:paraId="5319B9A8" w14:textId="77777777" w:rsidR="00FD2B66" w:rsidRDefault="00DF653A" w:rsidP="00FD2B66">
      <w:pPr>
        <w:jc w:val="both"/>
        <w:rPr>
          <w:lang w:val="es-ES_tradnl"/>
        </w:rPr>
      </w:pPr>
      <w:r w:rsidRPr="00270E49">
        <w:rPr>
          <w:lang w:val="es-ES_tradnl"/>
        </w:rPr>
        <w:br w:type="page"/>
      </w:r>
    </w:p>
    <w:p w14:paraId="1CF44551" w14:textId="77777777" w:rsidR="00FD2B66" w:rsidRDefault="00D71188" w:rsidP="0031232A">
      <w:pPr>
        <w:jc w:val="center"/>
      </w:pPr>
      <w:r>
        <w:rPr>
          <w:noProof/>
        </w:rPr>
        <w:lastRenderedPageBreak/>
        <w:drawing>
          <wp:inline distT="0" distB="0" distL="0" distR="0" wp14:anchorId="59812B6E" wp14:editId="49C33016">
            <wp:extent cx="4754880" cy="2789519"/>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54880" cy="2789519"/>
                    </a:xfrm>
                    <a:prstGeom prst="rect">
                      <a:avLst/>
                    </a:prstGeom>
                  </pic:spPr>
                </pic:pic>
              </a:graphicData>
            </a:graphic>
          </wp:inline>
        </w:drawing>
      </w:r>
    </w:p>
    <w:p w14:paraId="6213F264" w14:textId="77777777" w:rsidR="00DF653A" w:rsidRDefault="00FD2B66" w:rsidP="00D71188">
      <w:pPr>
        <w:pStyle w:val="Caption"/>
      </w:pPr>
      <w:r>
        <w:t xml:space="preserve">Ilustración </w:t>
      </w:r>
      <w:r w:rsidR="0022306B">
        <w:rPr>
          <w:noProof/>
        </w:rPr>
        <w:fldChar w:fldCharType="begin"/>
      </w:r>
      <w:r w:rsidR="0022306B">
        <w:rPr>
          <w:noProof/>
        </w:rPr>
        <w:instrText xml:space="preserve"> SEQ Ilustración \* ARABIC </w:instrText>
      </w:r>
      <w:r w:rsidR="0022306B">
        <w:rPr>
          <w:noProof/>
        </w:rPr>
        <w:fldChar w:fldCharType="separate"/>
      </w:r>
      <w:r>
        <w:rPr>
          <w:noProof/>
        </w:rPr>
        <w:t>2</w:t>
      </w:r>
      <w:r w:rsidR="0022306B">
        <w:rPr>
          <w:noProof/>
        </w:rPr>
        <w:fldChar w:fldCharType="end"/>
      </w:r>
      <w:r>
        <w:t xml:space="preserve"> </w:t>
      </w:r>
      <w:r w:rsidR="00D71188">
        <w:t>Balance Energético Nacional (BEN), elaborado por la Dirección Nacional de Energía del Ministerio de Industria, Energía y Minería, 2017</w:t>
      </w:r>
    </w:p>
    <w:p w14:paraId="60C2997C" w14:textId="77777777" w:rsidR="00786585" w:rsidRDefault="00786585" w:rsidP="00786585">
      <w:pPr>
        <w:jc w:val="both"/>
      </w:pPr>
      <w:r>
        <w:t xml:space="preserve">La diversificación de la matriz eléctrica promovida por la Política Energética (2005-2030) basándose en la incorporación de energías renovables, con el objetivo también de reducir la vulnerabilidad del sector y a disminuir los sobre costos del sistema eléctrico ante episodios de déficit hídrico. </w:t>
      </w:r>
    </w:p>
    <w:p w14:paraId="3246C87C" w14:textId="20A735C2" w:rsidR="00FD2B66" w:rsidRPr="00FD2B66" w:rsidRDefault="00786585" w:rsidP="00786585">
      <w:pPr>
        <w:jc w:val="both"/>
      </w:pPr>
      <w:r>
        <w:t xml:space="preserve">Cabe notar que le país tuvo que contratar un seguro para cubrir la exposición a las sequías y a los altos precios del petróleo, que se suma al Fondo de Estabilización con que cuenta la empresa eléctrica nacional. Dicho Fondo y el seguro adquirido tienen por objetivo disminuir el choque de las tarifas eléctricas asociadas a episodios de déficit hídrico para los </w:t>
      </w:r>
      <w:r w:rsidR="00B767E5">
        <w:t>usuarios,</w:t>
      </w:r>
      <w:r>
        <w:t xml:space="preserve"> pero también teniendo en cuenta la estabilidad de las finanzas públicas.</w:t>
      </w:r>
    </w:p>
    <w:p w14:paraId="608614F0" w14:textId="77777777" w:rsidR="00EB64C8" w:rsidRPr="00270E49" w:rsidRDefault="00CB6B49" w:rsidP="007E77F3">
      <w:pPr>
        <w:pStyle w:val="Heading2"/>
        <w:rPr>
          <w:lang w:val="es-ES_tradnl"/>
        </w:rPr>
      </w:pPr>
      <w:r>
        <w:rPr>
          <w:lang w:val="es-ES_tradnl"/>
        </w:rPr>
        <w:t xml:space="preserve">La rehabilitación del Complejo Hidroeléctrico de Salto Grande (CHSG) </w:t>
      </w:r>
      <w:r w:rsidR="007E77F3" w:rsidRPr="00270E49">
        <w:rPr>
          <w:lang w:val="es-ES_tradnl"/>
        </w:rPr>
        <w:t xml:space="preserve">como </w:t>
      </w:r>
      <w:r>
        <w:rPr>
          <w:lang w:val="es-ES_tradnl"/>
        </w:rPr>
        <w:t xml:space="preserve">ejemplo de inversiones alineados a la </w:t>
      </w:r>
      <w:r w:rsidR="007E77F3" w:rsidRPr="00270E49">
        <w:rPr>
          <w:lang w:val="es-ES_tradnl"/>
        </w:rPr>
        <w:t>CDN</w:t>
      </w:r>
      <w:r>
        <w:rPr>
          <w:lang w:val="es-ES_tradnl"/>
        </w:rPr>
        <w:t xml:space="preserve"> de Argentina y Uruguay</w:t>
      </w:r>
    </w:p>
    <w:p w14:paraId="12DE1781" w14:textId="77777777" w:rsidR="00DF653A" w:rsidRPr="00270E49" w:rsidRDefault="00DF653A" w:rsidP="00DF653A">
      <w:pPr>
        <w:rPr>
          <w:lang w:val="es-ES_tradnl"/>
        </w:rPr>
      </w:pPr>
    </w:p>
    <w:p w14:paraId="6D385AF2" w14:textId="0BE7BFE3" w:rsidR="00DF653A" w:rsidRDefault="009603F3" w:rsidP="009603F3">
      <w:pPr>
        <w:jc w:val="both"/>
      </w:pPr>
      <w:r w:rsidRPr="009603F3">
        <w:t>El objetivo general es contribuir a garantizar la disponibilidad del Complejo Hidroeléctrico de Salto Grande (CHSG), extender la vida útil del CHSG, bajo el financiamiento de dos componentes: i) Inversiones para la modernización del CHSG (US$7</w:t>
      </w:r>
      <w:r w:rsidR="007F4964">
        <w:t xml:space="preserve">6 </w:t>
      </w:r>
      <w:bookmarkStart w:id="0" w:name="_GoBack"/>
      <w:bookmarkEnd w:id="0"/>
      <w:r w:rsidRPr="009603F3">
        <w:t>millones) y ii) el Fortalecimiento Institucional</w:t>
      </w:r>
      <w:r w:rsidR="007F4964">
        <w:t>, supervisión y gestión del programa</w:t>
      </w:r>
      <w:r w:rsidRPr="009603F3">
        <w:t xml:space="preserve"> (US$</w:t>
      </w:r>
      <w:r w:rsidR="007F4964">
        <w:t>4</w:t>
      </w:r>
      <w:r w:rsidRPr="009603F3">
        <w:t xml:space="preserve"> millones).</w:t>
      </w:r>
      <w:r w:rsidR="0022306B">
        <w:t xml:space="preserve"> </w:t>
      </w:r>
    </w:p>
    <w:p w14:paraId="0FD9E66F" w14:textId="238EB00D" w:rsidR="009603F3" w:rsidRDefault="009603F3" w:rsidP="009603F3">
      <w:pPr>
        <w:jc w:val="both"/>
      </w:pPr>
      <w:r>
        <w:t>El aporte climático a nivel de mitigación se encuentra cubierto por los siguientes enfoques:</w:t>
      </w:r>
    </w:p>
    <w:p w14:paraId="1F9E5FD7" w14:textId="66406E58" w:rsidR="009603F3" w:rsidRDefault="000F6628" w:rsidP="0063510D">
      <w:pPr>
        <w:pStyle w:val="ListParagraph"/>
        <w:numPr>
          <w:ilvl w:val="0"/>
          <w:numId w:val="5"/>
        </w:numPr>
        <w:jc w:val="both"/>
      </w:pPr>
      <w:r>
        <w:t xml:space="preserve">El mantenimiento activo de </w:t>
      </w:r>
      <w:r w:rsidR="009603F3">
        <w:t xml:space="preserve">la generación de energía a través de infraestructura existente sobre la base de que representan fuentes renovables tradicionales, por </w:t>
      </w:r>
      <w:r w:rsidR="00C479AA">
        <w:t>ende,</w:t>
      </w:r>
      <w:r w:rsidR="009603F3">
        <w:t xml:space="preserve"> mantener su participación en la matriz permite asegurar que las fuentes renovables permanezcan en la representatividad de la matriz</w:t>
      </w:r>
    </w:p>
    <w:p w14:paraId="4E633DCB" w14:textId="78D6E63D" w:rsidR="009603F3" w:rsidRDefault="000F6628" w:rsidP="0063510D">
      <w:pPr>
        <w:pStyle w:val="ListParagraph"/>
        <w:numPr>
          <w:ilvl w:val="0"/>
          <w:numId w:val="5"/>
        </w:numPr>
        <w:jc w:val="both"/>
      </w:pPr>
      <w:r>
        <w:t>L</w:t>
      </w:r>
      <w:r w:rsidR="009603F3" w:rsidRPr="009603F3">
        <w:t>a reducción de emisiones de CO2 por la generación térmica evitada</w:t>
      </w:r>
    </w:p>
    <w:p w14:paraId="03159D8E" w14:textId="42939CDB" w:rsidR="000F6628" w:rsidRPr="000F6628" w:rsidRDefault="000F6628" w:rsidP="0063510D">
      <w:pPr>
        <w:pStyle w:val="ListParagraph"/>
        <w:numPr>
          <w:ilvl w:val="0"/>
          <w:numId w:val="5"/>
        </w:numPr>
        <w:jc w:val="both"/>
      </w:pPr>
      <w:r>
        <w:t>L</w:t>
      </w:r>
      <w:r w:rsidRPr="000F6628">
        <w:t xml:space="preserve">a disponibilidad y la confiabilidad del CHSG permitirán prestar servicios auxiliares a los dos sistemas, como la regulación secundaria de frecuencia, requeridos para compensar las variaciones tanto en la demanda de energía como las de la generación intermitente de las fuentes de energía renovable no convencional solar y eólica.  Por lo tanto, la modernización del CHSG es fundamental para alcanzar las metas de penetración de la energía renovable en los dos países, tanto por el mantenimiento de su propia generación, como por el respaldo para la penetración de las energías renovables no convencionales, y por ende evitar la emisión de </w:t>
      </w:r>
      <w:r w:rsidR="0063510D">
        <w:t xml:space="preserve">GEI </w:t>
      </w:r>
      <w:r w:rsidRPr="000F6628">
        <w:t xml:space="preserve">de la generación térmica requerida en ausencia de la generación renovables. </w:t>
      </w:r>
    </w:p>
    <w:p w14:paraId="1F1936B1" w14:textId="77777777" w:rsidR="000F6628" w:rsidRDefault="000F6628" w:rsidP="000F6628">
      <w:pPr>
        <w:pStyle w:val="ListParagraph"/>
        <w:jc w:val="both"/>
      </w:pPr>
    </w:p>
    <w:p w14:paraId="0D5642A1" w14:textId="2A3D81DE" w:rsidR="009603F3" w:rsidRPr="00C479AA" w:rsidRDefault="009603F3" w:rsidP="009603F3">
      <w:pPr>
        <w:jc w:val="both"/>
      </w:pPr>
      <w:r w:rsidRPr="00C479AA">
        <w:t>Los cálculos realizados para evaluar las emisiones evitadas y/o reducidas con base a los datos del proyecto</w:t>
      </w:r>
      <w:r w:rsidR="000F6628">
        <w:t xml:space="preserve"> (fase A y B)</w:t>
      </w:r>
      <w:r w:rsidRPr="00C479AA">
        <w:t xml:space="preserve"> nos arrojaron los siguientes resultados:</w:t>
      </w:r>
    </w:p>
    <w:tbl>
      <w:tblPr>
        <w:tblW w:w="8613" w:type="dxa"/>
        <w:tblLook w:val="04A0" w:firstRow="1" w:lastRow="0" w:firstColumn="1" w:lastColumn="0" w:noHBand="0" w:noVBand="1"/>
      </w:tblPr>
      <w:tblGrid>
        <w:gridCol w:w="3510"/>
        <w:gridCol w:w="739"/>
        <w:gridCol w:w="1116"/>
        <w:gridCol w:w="1116"/>
        <w:gridCol w:w="1116"/>
        <w:gridCol w:w="283"/>
        <w:gridCol w:w="733"/>
      </w:tblGrid>
      <w:tr w:rsidR="00C479AA" w:rsidRPr="00C479AA" w14:paraId="483335BC" w14:textId="77777777" w:rsidTr="00C479AA">
        <w:trPr>
          <w:trHeight w:val="20"/>
        </w:trPr>
        <w:tc>
          <w:tcPr>
            <w:tcW w:w="3510" w:type="dxa"/>
            <w:tcBorders>
              <w:top w:val="nil"/>
              <w:left w:val="nil"/>
              <w:bottom w:val="nil"/>
              <w:right w:val="nil"/>
            </w:tcBorders>
            <w:shd w:val="clear" w:color="auto" w:fill="auto"/>
            <w:noWrap/>
            <w:hideMark/>
          </w:tcPr>
          <w:p w14:paraId="584FD23C" w14:textId="044F4966" w:rsidR="00C479AA" w:rsidRPr="00C479AA" w:rsidRDefault="00C479AA" w:rsidP="00C479AA">
            <w:pPr>
              <w:spacing w:after="0" w:line="240" w:lineRule="auto"/>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K</w:t>
            </w:r>
            <w:r w:rsidRPr="00C479AA">
              <w:rPr>
                <w:rFonts w:ascii="Times New Roman" w:eastAsia="Times New Roman" w:hAnsi="Times New Roman" w:cs="Times New Roman"/>
                <w:b/>
                <w:bCs/>
                <w:color w:val="000000"/>
                <w:sz w:val="20"/>
                <w:szCs w:val="20"/>
                <w:lang w:val="es-ES_tradnl"/>
              </w:rPr>
              <w:t>ey outputs/Resultados clave</w:t>
            </w:r>
          </w:p>
        </w:tc>
        <w:tc>
          <w:tcPr>
            <w:tcW w:w="739" w:type="dxa"/>
            <w:tcBorders>
              <w:top w:val="nil"/>
              <w:left w:val="nil"/>
              <w:bottom w:val="nil"/>
              <w:right w:val="nil"/>
            </w:tcBorders>
            <w:shd w:val="clear" w:color="auto" w:fill="auto"/>
            <w:noWrap/>
            <w:hideMark/>
          </w:tcPr>
          <w:p w14:paraId="09411C18" w14:textId="77777777" w:rsidR="00C479AA" w:rsidRPr="00C479AA" w:rsidRDefault="00C479AA" w:rsidP="00C479AA">
            <w:pPr>
              <w:spacing w:after="0" w:line="240" w:lineRule="auto"/>
              <w:rPr>
                <w:rFonts w:ascii="Times New Roman" w:eastAsia="Times New Roman" w:hAnsi="Times New Roman" w:cs="Times New Roman"/>
                <w:b/>
                <w:bCs/>
                <w:color w:val="000000"/>
                <w:sz w:val="20"/>
                <w:szCs w:val="20"/>
                <w:lang w:val="es-ES_tradnl"/>
              </w:rPr>
            </w:pPr>
          </w:p>
        </w:tc>
        <w:tc>
          <w:tcPr>
            <w:tcW w:w="1116" w:type="dxa"/>
            <w:tcBorders>
              <w:top w:val="nil"/>
              <w:left w:val="nil"/>
              <w:bottom w:val="nil"/>
              <w:right w:val="nil"/>
            </w:tcBorders>
            <w:shd w:val="clear" w:color="auto" w:fill="auto"/>
            <w:noWrap/>
            <w:hideMark/>
          </w:tcPr>
          <w:p w14:paraId="21DF8575"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hideMark/>
          </w:tcPr>
          <w:p w14:paraId="170FB0F3"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hideMark/>
          </w:tcPr>
          <w:p w14:paraId="50040CC7"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283" w:type="dxa"/>
            <w:tcBorders>
              <w:top w:val="nil"/>
              <w:left w:val="nil"/>
              <w:bottom w:val="nil"/>
              <w:right w:val="nil"/>
            </w:tcBorders>
            <w:shd w:val="clear" w:color="auto" w:fill="auto"/>
            <w:noWrap/>
            <w:hideMark/>
          </w:tcPr>
          <w:p w14:paraId="466B1877"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733" w:type="dxa"/>
            <w:tcBorders>
              <w:top w:val="nil"/>
              <w:left w:val="nil"/>
              <w:bottom w:val="nil"/>
              <w:right w:val="nil"/>
            </w:tcBorders>
            <w:shd w:val="clear" w:color="auto" w:fill="auto"/>
            <w:noWrap/>
            <w:hideMark/>
          </w:tcPr>
          <w:p w14:paraId="159675D5"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r>
      <w:tr w:rsidR="00C479AA" w:rsidRPr="00C479AA" w14:paraId="2391F507" w14:textId="77777777" w:rsidTr="00C479AA">
        <w:trPr>
          <w:trHeight w:val="20"/>
        </w:trPr>
        <w:tc>
          <w:tcPr>
            <w:tcW w:w="3510" w:type="dxa"/>
            <w:tcBorders>
              <w:top w:val="nil"/>
              <w:left w:val="nil"/>
              <w:bottom w:val="nil"/>
              <w:right w:val="nil"/>
            </w:tcBorders>
            <w:shd w:val="clear" w:color="auto" w:fill="auto"/>
            <w:noWrap/>
            <w:hideMark/>
          </w:tcPr>
          <w:p w14:paraId="6FA14077"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739" w:type="dxa"/>
            <w:tcBorders>
              <w:top w:val="nil"/>
              <w:left w:val="nil"/>
              <w:bottom w:val="nil"/>
              <w:right w:val="nil"/>
            </w:tcBorders>
            <w:shd w:val="clear" w:color="auto" w:fill="auto"/>
            <w:noWrap/>
            <w:hideMark/>
          </w:tcPr>
          <w:p w14:paraId="183306E6"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hideMark/>
          </w:tcPr>
          <w:p w14:paraId="789C6E28"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hideMark/>
          </w:tcPr>
          <w:p w14:paraId="243AF51C"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hideMark/>
          </w:tcPr>
          <w:p w14:paraId="04DA0153"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283" w:type="dxa"/>
            <w:tcBorders>
              <w:top w:val="nil"/>
              <w:left w:val="nil"/>
              <w:bottom w:val="nil"/>
              <w:right w:val="nil"/>
            </w:tcBorders>
            <w:shd w:val="clear" w:color="auto" w:fill="auto"/>
            <w:noWrap/>
            <w:hideMark/>
          </w:tcPr>
          <w:p w14:paraId="3A7191F0"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733" w:type="dxa"/>
            <w:tcBorders>
              <w:top w:val="nil"/>
              <w:left w:val="nil"/>
              <w:bottom w:val="nil"/>
              <w:right w:val="nil"/>
            </w:tcBorders>
            <w:shd w:val="clear" w:color="auto" w:fill="auto"/>
            <w:noWrap/>
            <w:hideMark/>
          </w:tcPr>
          <w:p w14:paraId="31F87449"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r>
      <w:tr w:rsidR="00C479AA" w:rsidRPr="00C479AA" w14:paraId="7224635C" w14:textId="77777777" w:rsidTr="00C479AA">
        <w:trPr>
          <w:trHeight w:val="20"/>
        </w:trPr>
        <w:tc>
          <w:tcPr>
            <w:tcW w:w="3510" w:type="dxa"/>
            <w:tcBorders>
              <w:top w:val="nil"/>
              <w:left w:val="nil"/>
              <w:bottom w:val="nil"/>
              <w:right w:val="nil"/>
            </w:tcBorders>
            <w:shd w:val="clear" w:color="auto" w:fill="auto"/>
            <w:noWrap/>
            <w:hideMark/>
          </w:tcPr>
          <w:p w14:paraId="3171E596"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739" w:type="dxa"/>
            <w:tcBorders>
              <w:top w:val="nil"/>
              <w:left w:val="nil"/>
              <w:bottom w:val="nil"/>
              <w:right w:val="nil"/>
            </w:tcBorders>
            <w:shd w:val="clear" w:color="auto" w:fill="auto"/>
            <w:noWrap/>
            <w:hideMark/>
          </w:tcPr>
          <w:p w14:paraId="79816F60"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vAlign w:val="center"/>
            <w:hideMark/>
          </w:tcPr>
          <w:p w14:paraId="759AA571" w14:textId="77777777" w:rsidR="00C479AA" w:rsidRPr="00C479AA" w:rsidRDefault="00C479AA" w:rsidP="00C479AA">
            <w:pPr>
              <w:spacing w:after="0" w:line="240" w:lineRule="auto"/>
              <w:jc w:val="center"/>
              <w:rPr>
                <w:rFonts w:ascii="Times New Roman" w:eastAsia="Times New Roman" w:hAnsi="Times New Roman" w:cs="Times New Roman"/>
                <w:b/>
                <w:bCs/>
                <w:color w:val="000000"/>
                <w:sz w:val="20"/>
                <w:szCs w:val="20"/>
                <w:lang w:val="es-ES_tradnl"/>
              </w:rPr>
            </w:pPr>
            <w:r w:rsidRPr="00C479AA">
              <w:rPr>
                <w:rFonts w:ascii="Times New Roman" w:eastAsia="Times New Roman" w:hAnsi="Times New Roman" w:cs="Times New Roman"/>
                <w:b/>
                <w:bCs/>
                <w:color w:val="000000"/>
                <w:sz w:val="20"/>
                <w:szCs w:val="20"/>
                <w:lang w:val="es-ES_tradnl"/>
              </w:rPr>
              <w:t>Argentina</w:t>
            </w:r>
          </w:p>
        </w:tc>
        <w:tc>
          <w:tcPr>
            <w:tcW w:w="1116" w:type="dxa"/>
            <w:tcBorders>
              <w:top w:val="nil"/>
              <w:left w:val="nil"/>
              <w:bottom w:val="nil"/>
              <w:right w:val="nil"/>
            </w:tcBorders>
            <w:shd w:val="clear" w:color="auto" w:fill="auto"/>
            <w:noWrap/>
            <w:vAlign w:val="center"/>
            <w:hideMark/>
          </w:tcPr>
          <w:p w14:paraId="48C9CBB9" w14:textId="77777777" w:rsidR="00C479AA" w:rsidRPr="00C479AA" w:rsidRDefault="00C479AA" w:rsidP="00C479AA">
            <w:pPr>
              <w:spacing w:after="0" w:line="240" w:lineRule="auto"/>
              <w:jc w:val="center"/>
              <w:rPr>
                <w:rFonts w:ascii="Times New Roman" w:eastAsia="Times New Roman" w:hAnsi="Times New Roman" w:cs="Times New Roman"/>
                <w:b/>
                <w:bCs/>
                <w:color w:val="000000"/>
                <w:sz w:val="20"/>
                <w:szCs w:val="20"/>
                <w:lang w:val="es-ES_tradnl"/>
              </w:rPr>
            </w:pPr>
            <w:r w:rsidRPr="00C479AA">
              <w:rPr>
                <w:rFonts w:ascii="Times New Roman" w:eastAsia="Times New Roman" w:hAnsi="Times New Roman" w:cs="Times New Roman"/>
                <w:b/>
                <w:bCs/>
                <w:color w:val="000000"/>
                <w:sz w:val="20"/>
                <w:szCs w:val="20"/>
                <w:lang w:val="es-ES_tradnl"/>
              </w:rPr>
              <w:t>Uruguay</w:t>
            </w:r>
          </w:p>
        </w:tc>
        <w:tc>
          <w:tcPr>
            <w:tcW w:w="1116" w:type="dxa"/>
            <w:tcBorders>
              <w:top w:val="nil"/>
              <w:left w:val="nil"/>
              <w:bottom w:val="nil"/>
              <w:right w:val="nil"/>
            </w:tcBorders>
            <w:shd w:val="clear" w:color="auto" w:fill="auto"/>
            <w:noWrap/>
            <w:vAlign w:val="center"/>
            <w:hideMark/>
          </w:tcPr>
          <w:p w14:paraId="009952CD" w14:textId="77777777" w:rsidR="00C479AA" w:rsidRPr="00C479AA" w:rsidRDefault="00C479AA" w:rsidP="00C479AA">
            <w:pPr>
              <w:spacing w:after="0" w:line="240" w:lineRule="auto"/>
              <w:jc w:val="center"/>
              <w:rPr>
                <w:rFonts w:ascii="Times New Roman" w:eastAsia="Times New Roman" w:hAnsi="Times New Roman" w:cs="Times New Roman"/>
                <w:b/>
                <w:bCs/>
                <w:color w:val="000000"/>
                <w:sz w:val="20"/>
                <w:szCs w:val="20"/>
                <w:lang w:val="es-ES_tradnl"/>
              </w:rPr>
            </w:pPr>
            <w:r w:rsidRPr="00C479AA">
              <w:rPr>
                <w:rFonts w:ascii="Times New Roman" w:eastAsia="Times New Roman" w:hAnsi="Times New Roman" w:cs="Times New Roman"/>
                <w:b/>
                <w:bCs/>
                <w:color w:val="000000"/>
                <w:sz w:val="20"/>
                <w:szCs w:val="20"/>
                <w:lang w:val="es-ES_tradnl"/>
              </w:rPr>
              <w:t>Total</w:t>
            </w:r>
          </w:p>
        </w:tc>
        <w:tc>
          <w:tcPr>
            <w:tcW w:w="283" w:type="dxa"/>
            <w:tcBorders>
              <w:top w:val="nil"/>
              <w:left w:val="nil"/>
              <w:bottom w:val="nil"/>
              <w:right w:val="nil"/>
            </w:tcBorders>
            <w:shd w:val="clear" w:color="auto" w:fill="auto"/>
            <w:noWrap/>
            <w:vAlign w:val="center"/>
            <w:hideMark/>
          </w:tcPr>
          <w:p w14:paraId="150A26BE" w14:textId="77777777" w:rsidR="00C479AA" w:rsidRPr="00C479AA" w:rsidRDefault="00C479AA" w:rsidP="00C479AA">
            <w:pPr>
              <w:spacing w:after="0" w:line="240" w:lineRule="auto"/>
              <w:jc w:val="center"/>
              <w:rPr>
                <w:rFonts w:ascii="Times New Roman" w:eastAsia="Times New Roman" w:hAnsi="Times New Roman" w:cs="Times New Roman"/>
                <w:b/>
                <w:bCs/>
                <w:color w:val="000000"/>
                <w:sz w:val="20"/>
                <w:szCs w:val="20"/>
                <w:lang w:val="es-ES_tradnl"/>
              </w:rPr>
            </w:pPr>
          </w:p>
        </w:tc>
        <w:tc>
          <w:tcPr>
            <w:tcW w:w="733" w:type="dxa"/>
            <w:tcBorders>
              <w:top w:val="nil"/>
              <w:left w:val="nil"/>
              <w:bottom w:val="nil"/>
              <w:right w:val="nil"/>
            </w:tcBorders>
            <w:shd w:val="clear" w:color="auto" w:fill="auto"/>
            <w:noWrap/>
            <w:vAlign w:val="center"/>
            <w:hideMark/>
          </w:tcPr>
          <w:p w14:paraId="417CF734" w14:textId="21167FAB" w:rsidR="00C479AA" w:rsidRPr="00C479AA" w:rsidRDefault="00C479AA" w:rsidP="00C479AA">
            <w:pPr>
              <w:spacing w:after="0" w:line="240" w:lineRule="auto"/>
              <w:jc w:val="center"/>
              <w:rPr>
                <w:rFonts w:ascii="Times New Roman" w:eastAsia="Times New Roman" w:hAnsi="Times New Roman" w:cs="Times New Roman"/>
                <w:b/>
                <w:bCs/>
                <w:color w:val="000000"/>
                <w:sz w:val="20"/>
                <w:szCs w:val="20"/>
                <w:lang w:val="es-ES_tradnl"/>
              </w:rPr>
            </w:pPr>
            <w:r w:rsidRPr="00C479AA">
              <w:rPr>
                <w:rFonts w:ascii="Times New Roman" w:eastAsia="Times New Roman" w:hAnsi="Times New Roman" w:cs="Times New Roman"/>
                <w:b/>
                <w:bCs/>
                <w:color w:val="000000"/>
                <w:sz w:val="20"/>
                <w:szCs w:val="20"/>
                <w:lang w:val="es-ES_tradnl"/>
              </w:rPr>
              <w:t>% total</w:t>
            </w:r>
          </w:p>
        </w:tc>
      </w:tr>
      <w:tr w:rsidR="00C479AA" w:rsidRPr="00C479AA" w14:paraId="552BB6AB" w14:textId="77777777" w:rsidTr="00C479AA">
        <w:trPr>
          <w:trHeight w:val="20"/>
        </w:trPr>
        <w:tc>
          <w:tcPr>
            <w:tcW w:w="3510" w:type="dxa"/>
            <w:tcBorders>
              <w:top w:val="nil"/>
              <w:left w:val="nil"/>
              <w:bottom w:val="nil"/>
              <w:right w:val="nil"/>
            </w:tcBorders>
            <w:shd w:val="clear" w:color="auto" w:fill="auto"/>
            <w:noWrap/>
            <w:hideMark/>
          </w:tcPr>
          <w:p w14:paraId="7904C44B" w14:textId="77777777" w:rsidR="00C479AA" w:rsidRPr="00C479AA" w:rsidRDefault="00C479AA" w:rsidP="00C479AA">
            <w:pPr>
              <w:spacing w:after="0" w:line="240" w:lineRule="auto"/>
              <w:rPr>
                <w:rFonts w:ascii="Times New Roman" w:eastAsia="Times New Roman" w:hAnsi="Times New Roman" w:cs="Times New Roman"/>
                <w:b/>
                <w:bCs/>
                <w:color w:val="000000"/>
                <w:sz w:val="20"/>
                <w:szCs w:val="20"/>
                <w:lang w:val="es-ES_tradnl"/>
              </w:rPr>
            </w:pPr>
            <w:r w:rsidRPr="00C479AA">
              <w:rPr>
                <w:rFonts w:ascii="Times New Roman" w:eastAsia="Times New Roman" w:hAnsi="Times New Roman" w:cs="Times New Roman"/>
                <w:b/>
                <w:bCs/>
                <w:color w:val="000000"/>
                <w:sz w:val="20"/>
                <w:szCs w:val="20"/>
                <w:lang w:val="es-ES_tradnl"/>
              </w:rPr>
              <w:t>Reducciones emisiones GEI - Fase A (2019 - 2065)</w:t>
            </w:r>
          </w:p>
        </w:tc>
        <w:tc>
          <w:tcPr>
            <w:tcW w:w="739" w:type="dxa"/>
            <w:tcBorders>
              <w:top w:val="nil"/>
              <w:left w:val="nil"/>
              <w:bottom w:val="nil"/>
              <w:right w:val="nil"/>
            </w:tcBorders>
            <w:shd w:val="clear" w:color="auto" w:fill="auto"/>
            <w:noWrap/>
            <w:hideMark/>
          </w:tcPr>
          <w:p w14:paraId="46EB6576" w14:textId="77777777" w:rsidR="00C479AA" w:rsidRPr="00C479AA" w:rsidRDefault="00C479AA" w:rsidP="00C479AA">
            <w:pPr>
              <w:spacing w:after="0" w:line="240" w:lineRule="auto"/>
              <w:rPr>
                <w:rFonts w:ascii="Times New Roman" w:eastAsia="Times New Roman" w:hAnsi="Times New Roman" w:cs="Times New Roman"/>
                <w:b/>
                <w:bCs/>
                <w:color w:val="000000"/>
                <w:sz w:val="20"/>
                <w:szCs w:val="20"/>
                <w:lang w:val="es-ES_tradnl"/>
              </w:rPr>
            </w:pPr>
          </w:p>
        </w:tc>
        <w:tc>
          <w:tcPr>
            <w:tcW w:w="1116" w:type="dxa"/>
            <w:tcBorders>
              <w:top w:val="nil"/>
              <w:left w:val="nil"/>
              <w:bottom w:val="nil"/>
              <w:right w:val="nil"/>
            </w:tcBorders>
            <w:shd w:val="clear" w:color="auto" w:fill="auto"/>
            <w:noWrap/>
            <w:vAlign w:val="center"/>
            <w:hideMark/>
          </w:tcPr>
          <w:p w14:paraId="4FA02F37"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vAlign w:val="center"/>
            <w:hideMark/>
          </w:tcPr>
          <w:p w14:paraId="4F403888"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vAlign w:val="center"/>
            <w:hideMark/>
          </w:tcPr>
          <w:p w14:paraId="6DC5944B"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283" w:type="dxa"/>
            <w:tcBorders>
              <w:top w:val="nil"/>
              <w:left w:val="nil"/>
              <w:bottom w:val="nil"/>
              <w:right w:val="nil"/>
            </w:tcBorders>
            <w:shd w:val="clear" w:color="auto" w:fill="auto"/>
            <w:noWrap/>
            <w:vAlign w:val="center"/>
            <w:hideMark/>
          </w:tcPr>
          <w:p w14:paraId="4FD6E7BF"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733" w:type="dxa"/>
            <w:tcBorders>
              <w:top w:val="nil"/>
              <w:left w:val="nil"/>
              <w:bottom w:val="nil"/>
              <w:right w:val="nil"/>
            </w:tcBorders>
            <w:shd w:val="clear" w:color="auto" w:fill="auto"/>
            <w:noWrap/>
            <w:vAlign w:val="center"/>
            <w:hideMark/>
          </w:tcPr>
          <w:p w14:paraId="028576D0"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r>
      <w:tr w:rsidR="00C479AA" w:rsidRPr="00C479AA" w14:paraId="57913A51" w14:textId="77777777" w:rsidTr="00C479AA">
        <w:trPr>
          <w:trHeight w:val="20"/>
        </w:trPr>
        <w:tc>
          <w:tcPr>
            <w:tcW w:w="3510" w:type="dxa"/>
            <w:tcBorders>
              <w:top w:val="nil"/>
              <w:left w:val="nil"/>
              <w:bottom w:val="nil"/>
              <w:right w:val="nil"/>
            </w:tcBorders>
            <w:shd w:val="clear" w:color="auto" w:fill="auto"/>
            <w:noWrap/>
            <w:hideMark/>
          </w:tcPr>
          <w:p w14:paraId="090BA54E" w14:textId="1019D3DC"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Por Aumento de la producción ER</w:t>
            </w:r>
          </w:p>
        </w:tc>
        <w:tc>
          <w:tcPr>
            <w:tcW w:w="739" w:type="dxa"/>
            <w:tcBorders>
              <w:top w:val="nil"/>
              <w:left w:val="nil"/>
              <w:bottom w:val="nil"/>
              <w:right w:val="nil"/>
            </w:tcBorders>
            <w:shd w:val="clear" w:color="auto" w:fill="auto"/>
            <w:noWrap/>
            <w:hideMark/>
          </w:tcPr>
          <w:p w14:paraId="1ED14A06"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tCO2e</w:t>
            </w:r>
          </w:p>
        </w:tc>
        <w:tc>
          <w:tcPr>
            <w:tcW w:w="1116"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E1193DB" w14:textId="7739708A"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1,874,275</w:t>
            </w:r>
          </w:p>
        </w:tc>
        <w:tc>
          <w:tcPr>
            <w:tcW w:w="1116" w:type="dxa"/>
            <w:tcBorders>
              <w:top w:val="single" w:sz="4" w:space="0" w:color="auto"/>
              <w:left w:val="nil"/>
              <w:bottom w:val="single" w:sz="4" w:space="0" w:color="auto"/>
              <w:right w:val="single" w:sz="4" w:space="0" w:color="auto"/>
            </w:tcBorders>
            <w:shd w:val="clear" w:color="000000" w:fill="E2EFDA"/>
            <w:noWrap/>
            <w:vAlign w:val="center"/>
            <w:hideMark/>
          </w:tcPr>
          <w:p w14:paraId="636223EE" w14:textId="094D7B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961,253</w:t>
            </w:r>
          </w:p>
        </w:tc>
        <w:tc>
          <w:tcPr>
            <w:tcW w:w="1116" w:type="dxa"/>
            <w:tcBorders>
              <w:top w:val="single" w:sz="4" w:space="0" w:color="auto"/>
              <w:left w:val="nil"/>
              <w:bottom w:val="single" w:sz="4" w:space="0" w:color="auto"/>
              <w:right w:val="single" w:sz="4" w:space="0" w:color="auto"/>
            </w:tcBorders>
            <w:shd w:val="clear" w:color="000000" w:fill="E2EFDA"/>
            <w:noWrap/>
            <w:vAlign w:val="center"/>
            <w:hideMark/>
          </w:tcPr>
          <w:p w14:paraId="47094677" w14:textId="4236C1E5"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2,835,527</w:t>
            </w:r>
          </w:p>
        </w:tc>
        <w:tc>
          <w:tcPr>
            <w:tcW w:w="283" w:type="dxa"/>
            <w:tcBorders>
              <w:top w:val="nil"/>
              <w:left w:val="nil"/>
              <w:bottom w:val="nil"/>
              <w:right w:val="nil"/>
            </w:tcBorders>
            <w:shd w:val="clear" w:color="auto" w:fill="auto"/>
            <w:noWrap/>
            <w:vAlign w:val="center"/>
            <w:hideMark/>
          </w:tcPr>
          <w:p w14:paraId="49E11760" w14:textId="6304B879"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w:t>
            </w:r>
          </w:p>
        </w:tc>
        <w:tc>
          <w:tcPr>
            <w:tcW w:w="733"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B4A970A" w14:textId="777777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99.6%</w:t>
            </w:r>
          </w:p>
        </w:tc>
      </w:tr>
      <w:tr w:rsidR="00C479AA" w:rsidRPr="00C479AA" w14:paraId="1E6823A9" w14:textId="77777777" w:rsidTr="00C479AA">
        <w:trPr>
          <w:trHeight w:val="20"/>
        </w:trPr>
        <w:tc>
          <w:tcPr>
            <w:tcW w:w="3510" w:type="dxa"/>
            <w:tcBorders>
              <w:top w:val="nil"/>
              <w:left w:val="nil"/>
              <w:bottom w:val="nil"/>
              <w:right w:val="nil"/>
            </w:tcBorders>
            <w:shd w:val="clear" w:color="auto" w:fill="auto"/>
            <w:noWrap/>
            <w:hideMark/>
          </w:tcPr>
          <w:p w14:paraId="79770D8A" w14:textId="3AABF0A3"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Por Mantenimiento de la producción ER</w:t>
            </w:r>
          </w:p>
        </w:tc>
        <w:tc>
          <w:tcPr>
            <w:tcW w:w="739" w:type="dxa"/>
            <w:tcBorders>
              <w:top w:val="nil"/>
              <w:left w:val="nil"/>
              <w:bottom w:val="nil"/>
              <w:right w:val="nil"/>
            </w:tcBorders>
            <w:shd w:val="clear" w:color="auto" w:fill="auto"/>
            <w:noWrap/>
            <w:hideMark/>
          </w:tcPr>
          <w:p w14:paraId="674F5859"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tCO2e</w:t>
            </w:r>
          </w:p>
        </w:tc>
        <w:tc>
          <w:tcPr>
            <w:tcW w:w="1116" w:type="dxa"/>
            <w:tcBorders>
              <w:top w:val="nil"/>
              <w:left w:val="single" w:sz="4" w:space="0" w:color="auto"/>
              <w:bottom w:val="single" w:sz="4" w:space="0" w:color="auto"/>
              <w:right w:val="single" w:sz="4" w:space="0" w:color="auto"/>
            </w:tcBorders>
            <w:shd w:val="clear" w:color="000000" w:fill="E2EFDA"/>
            <w:noWrap/>
            <w:vAlign w:val="center"/>
            <w:hideMark/>
          </w:tcPr>
          <w:p w14:paraId="69FD39DA" w14:textId="163D111B"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6,868</w:t>
            </w:r>
          </w:p>
        </w:tc>
        <w:tc>
          <w:tcPr>
            <w:tcW w:w="1116" w:type="dxa"/>
            <w:tcBorders>
              <w:top w:val="nil"/>
              <w:left w:val="nil"/>
              <w:bottom w:val="single" w:sz="4" w:space="0" w:color="auto"/>
              <w:right w:val="single" w:sz="4" w:space="0" w:color="auto"/>
            </w:tcBorders>
            <w:shd w:val="clear" w:color="000000" w:fill="E2EFDA"/>
            <w:noWrap/>
            <w:vAlign w:val="center"/>
            <w:hideMark/>
          </w:tcPr>
          <w:p w14:paraId="32A15323" w14:textId="27797905"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3,522</w:t>
            </w:r>
          </w:p>
        </w:tc>
        <w:tc>
          <w:tcPr>
            <w:tcW w:w="1116" w:type="dxa"/>
            <w:tcBorders>
              <w:top w:val="nil"/>
              <w:left w:val="nil"/>
              <w:bottom w:val="single" w:sz="4" w:space="0" w:color="auto"/>
              <w:right w:val="single" w:sz="4" w:space="0" w:color="auto"/>
            </w:tcBorders>
            <w:shd w:val="clear" w:color="000000" w:fill="E2EFDA"/>
            <w:noWrap/>
            <w:vAlign w:val="center"/>
            <w:hideMark/>
          </w:tcPr>
          <w:p w14:paraId="71FF319D" w14:textId="65BB6922"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10,390</w:t>
            </w:r>
          </w:p>
        </w:tc>
        <w:tc>
          <w:tcPr>
            <w:tcW w:w="283" w:type="dxa"/>
            <w:tcBorders>
              <w:top w:val="nil"/>
              <w:left w:val="nil"/>
              <w:bottom w:val="nil"/>
              <w:right w:val="nil"/>
            </w:tcBorders>
            <w:shd w:val="clear" w:color="auto" w:fill="auto"/>
            <w:noWrap/>
            <w:vAlign w:val="center"/>
            <w:hideMark/>
          </w:tcPr>
          <w:p w14:paraId="661F544F" w14:textId="33B5C4D8"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w:t>
            </w:r>
          </w:p>
        </w:tc>
        <w:tc>
          <w:tcPr>
            <w:tcW w:w="733" w:type="dxa"/>
            <w:tcBorders>
              <w:top w:val="nil"/>
              <w:left w:val="single" w:sz="4" w:space="0" w:color="auto"/>
              <w:bottom w:val="single" w:sz="4" w:space="0" w:color="auto"/>
              <w:right w:val="single" w:sz="4" w:space="0" w:color="auto"/>
            </w:tcBorders>
            <w:shd w:val="clear" w:color="000000" w:fill="E2EFDA"/>
            <w:noWrap/>
            <w:vAlign w:val="center"/>
            <w:hideMark/>
          </w:tcPr>
          <w:p w14:paraId="5AF259B4" w14:textId="777777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0.4%</w:t>
            </w:r>
          </w:p>
        </w:tc>
      </w:tr>
      <w:tr w:rsidR="00C479AA" w:rsidRPr="00C479AA" w14:paraId="3B11A953" w14:textId="77777777" w:rsidTr="00C479AA">
        <w:trPr>
          <w:trHeight w:val="20"/>
        </w:trPr>
        <w:tc>
          <w:tcPr>
            <w:tcW w:w="3510" w:type="dxa"/>
            <w:tcBorders>
              <w:top w:val="nil"/>
              <w:left w:val="nil"/>
              <w:bottom w:val="nil"/>
              <w:right w:val="nil"/>
            </w:tcBorders>
            <w:shd w:val="clear" w:color="auto" w:fill="auto"/>
            <w:noWrap/>
            <w:hideMark/>
          </w:tcPr>
          <w:p w14:paraId="1C2CD8FF"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Total</w:t>
            </w:r>
          </w:p>
        </w:tc>
        <w:tc>
          <w:tcPr>
            <w:tcW w:w="739" w:type="dxa"/>
            <w:tcBorders>
              <w:top w:val="nil"/>
              <w:left w:val="nil"/>
              <w:bottom w:val="nil"/>
              <w:right w:val="nil"/>
            </w:tcBorders>
            <w:shd w:val="clear" w:color="auto" w:fill="auto"/>
            <w:noWrap/>
            <w:hideMark/>
          </w:tcPr>
          <w:p w14:paraId="7F8D76DD"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tCO2e</w:t>
            </w:r>
          </w:p>
        </w:tc>
        <w:tc>
          <w:tcPr>
            <w:tcW w:w="1116" w:type="dxa"/>
            <w:tcBorders>
              <w:top w:val="nil"/>
              <w:left w:val="single" w:sz="4" w:space="0" w:color="auto"/>
              <w:bottom w:val="single" w:sz="4" w:space="0" w:color="auto"/>
              <w:right w:val="single" w:sz="4" w:space="0" w:color="auto"/>
            </w:tcBorders>
            <w:shd w:val="clear" w:color="000000" w:fill="E2EFDA"/>
            <w:noWrap/>
            <w:vAlign w:val="center"/>
            <w:hideMark/>
          </w:tcPr>
          <w:p w14:paraId="71160062" w14:textId="390A1B52"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1,881,143</w:t>
            </w:r>
          </w:p>
        </w:tc>
        <w:tc>
          <w:tcPr>
            <w:tcW w:w="1116" w:type="dxa"/>
            <w:tcBorders>
              <w:top w:val="nil"/>
              <w:left w:val="nil"/>
              <w:bottom w:val="single" w:sz="4" w:space="0" w:color="auto"/>
              <w:right w:val="single" w:sz="4" w:space="0" w:color="auto"/>
            </w:tcBorders>
            <w:shd w:val="clear" w:color="000000" w:fill="E2EFDA"/>
            <w:noWrap/>
            <w:vAlign w:val="center"/>
            <w:hideMark/>
          </w:tcPr>
          <w:p w14:paraId="7419926E" w14:textId="0F48FF5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964,775</w:t>
            </w:r>
          </w:p>
        </w:tc>
        <w:tc>
          <w:tcPr>
            <w:tcW w:w="1116" w:type="dxa"/>
            <w:tcBorders>
              <w:top w:val="nil"/>
              <w:left w:val="nil"/>
              <w:bottom w:val="single" w:sz="4" w:space="0" w:color="auto"/>
              <w:right w:val="single" w:sz="4" w:space="0" w:color="auto"/>
            </w:tcBorders>
            <w:shd w:val="clear" w:color="000000" w:fill="E2EFDA"/>
            <w:noWrap/>
            <w:vAlign w:val="center"/>
            <w:hideMark/>
          </w:tcPr>
          <w:p w14:paraId="14137648" w14:textId="6C3B899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2,845,918</w:t>
            </w:r>
          </w:p>
        </w:tc>
        <w:tc>
          <w:tcPr>
            <w:tcW w:w="283" w:type="dxa"/>
            <w:tcBorders>
              <w:top w:val="nil"/>
              <w:left w:val="nil"/>
              <w:bottom w:val="nil"/>
              <w:right w:val="nil"/>
            </w:tcBorders>
            <w:shd w:val="clear" w:color="auto" w:fill="auto"/>
            <w:noWrap/>
            <w:vAlign w:val="center"/>
            <w:hideMark/>
          </w:tcPr>
          <w:p w14:paraId="49AD666C" w14:textId="647FB994"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w:t>
            </w:r>
          </w:p>
        </w:tc>
        <w:tc>
          <w:tcPr>
            <w:tcW w:w="733" w:type="dxa"/>
            <w:tcBorders>
              <w:top w:val="nil"/>
              <w:left w:val="nil"/>
              <w:bottom w:val="nil"/>
              <w:right w:val="nil"/>
            </w:tcBorders>
            <w:shd w:val="clear" w:color="auto" w:fill="auto"/>
            <w:noWrap/>
            <w:vAlign w:val="center"/>
            <w:hideMark/>
          </w:tcPr>
          <w:p w14:paraId="1C3F14E7" w14:textId="777777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p>
        </w:tc>
      </w:tr>
      <w:tr w:rsidR="00C479AA" w:rsidRPr="00C479AA" w14:paraId="65CAB72A" w14:textId="77777777" w:rsidTr="00C479AA">
        <w:trPr>
          <w:trHeight w:val="20"/>
        </w:trPr>
        <w:tc>
          <w:tcPr>
            <w:tcW w:w="3510" w:type="dxa"/>
            <w:tcBorders>
              <w:top w:val="nil"/>
              <w:left w:val="nil"/>
              <w:bottom w:val="nil"/>
              <w:right w:val="nil"/>
            </w:tcBorders>
            <w:shd w:val="clear" w:color="auto" w:fill="auto"/>
            <w:noWrap/>
            <w:hideMark/>
          </w:tcPr>
          <w:p w14:paraId="2F99B2F7" w14:textId="77777777" w:rsidR="00C479AA" w:rsidRPr="00C479AA" w:rsidRDefault="00C479AA" w:rsidP="00C479AA">
            <w:pPr>
              <w:spacing w:after="0" w:line="240" w:lineRule="auto"/>
              <w:rPr>
                <w:rFonts w:ascii="Times New Roman" w:eastAsia="Times New Roman" w:hAnsi="Times New Roman" w:cs="Times New Roman"/>
                <w:b/>
                <w:bCs/>
                <w:color w:val="000000"/>
                <w:sz w:val="20"/>
                <w:szCs w:val="20"/>
                <w:lang w:val="es-ES_tradnl"/>
              </w:rPr>
            </w:pPr>
            <w:r w:rsidRPr="00C479AA">
              <w:rPr>
                <w:rFonts w:ascii="Times New Roman" w:eastAsia="Times New Roman" w:hAnsi="Times New Roman" w:cs="Times New Roman"/>
                <w:b/>
                <w:bCs/>
                <w:color w:val="000000"/>
                <w:sz w:val="20"/>
                <w:szCs w:val="20"/>
                <w:lang w:val="es-ES_tradnl"/>
              </w:rPr>
              <w:t>Reducciones emisiones GEI - Fase B (2019 - 2065)</w:t>
            </w:r>
          </w:p>
        </w:tc>
        <w:tc>
          <w:tcPr>
            <w:tcW w:w="739" w:type="dxa"/>
            <w:tcBorders>
              <w:top w:val="nil"/>
              <w:left w:val="nil"/>
              <w:bottom w:val="nil"/>
              <w:right w:val="nil"/>
            </w:tcBorders>
            <w:shd w:val="clear" w:color="auto" w:fill="auto"/>
            <w:noWrap/>
            <w:hideMark/>
          </w:tcPr>
          <w:p w14:paraId="36737118" w14:textId="77777777" w:rsidR="00C479AA" w:rsidRPr="00C479AA" w:rsidRDefault="00C479AA" w:rsidP="00C479AA">
            <w:pPr>
              <w:spacing w:after="0" w:line="240" w:lineRule="auto"/>
              <w:rPr>
                <w:rFonts w:ascii="Times New Roman" w:eastAsia="Times New Roman" w:hAnsi="Times New Roman" w:cs="Times New Roman"/>
                <w:b/>
                <w:bCs/>
                <w:color w:val="000000"/>
                <w:sz w:val="20"/>
                <w:szCs w:val="20"/>
                <w:lang w:val="es-ES_tradnl"/>
              </w:rPr>
            </w:pPr>
          </w:p>
        </w:tc>
        <w:tc>
          <w:tcPr>
            <w:tcW w:w="1116" w:type="dxa"/>
            <w:tcBorders>
              <w:top w:val="nil"/>
              <w:left w:val="nil"/>
              <w:bottom w:val="nil"/>
              <w:right w:val="nil"/>
            </w:tcBorders>
            <w:shd w:val="clear" w:color="auto" w:fill="auto"/>
            <w:noWrap/>
            <w:vAlign w:val="center"/>
            <w:hideMark/>
          </w:tcPr>
          <w:p w14:paraId="05C66483"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vAlign w:val="center"/>
            <w:hideMark/>
          </w:tcPr>
          <w:p w14:paraId="270AB14F"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vAlign w:val="center"/>
            <w:hideMark/>
          </w:tcPr>
          <w:p w14:paraId="6040F49F"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283" w:type="dxa"/>
            <w:tcBorders>
              <w:top w:val="nil"/>
              <w:left w:val="nil"/>
              <w:bottom w:val="nil"/>
              <w:right w:val="nil"/>
            </w:tcBorders>
            <w:shd w:val="clear" w:color="auto" w:fill="auto"/>
            <w:noWrap/>
            <w:vAlign w:val="center"/>
            <w:hideMark/>
          </w:tcPr>
          <w:p w14:paraId="36F55832"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733" w:type="dxa"/>
            <w:tcBorders>
              <w:top w:val="nil"/>
              <w:left w:val="nil"/>
              <w:bottom w:val="nil"/>
              <w:right w:val="nil"/>
            </w:tcBorders>
            <w:shd w:val="clear" w:color="auto" w:fill="auto"/>
            <w:noWrap/>
            <w:vAlign w:val="center"/>
            <w:hideMark/>
          </w:tcPr>
          <w:p w14:paraId="7D45473C"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r>
      <w:tr w:rsidR="00C479AA" w:rsidRPr="00C479AA" w14:paraId="11DD3678" w14:textId="77777777" w:rsidTr="00C479AA">
        <w:trPr>
          <w:trHeight w:val="20"/>
        </w:trPr>
        <w:tc>
          <w:tcPr>
            <w:tcW w:w="3510" w:type="dxa"/>
            <w:tcBorders>
              <w:top w:val="nil"/>
              <w:left w:val="nil"/>
              <w:bottom w:val="nil"/>
              <w:right w:val="nil"/>
            </w:tcBorders>
            <w:shd w:val="clear" w:color="auto" w:fill="auto"/>
            <w:noWrap/>
            <w:hideMark/>
          </w:tcPr>
          <w:p w14:paraId="2CE1B587" w14:textId="52775669"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Por Incremento producción ER</w:t>
            </w:r>
          </w:p>
        </w:tc>
        <w:tc>
          <w:tcPr>
            <w:tcW w:w="739" w:type="dxa"/>
            <w:tcBorders>
              <w:top w:val="nil"/>
              <w:left w:val="nil"/>
              <w:bottom w:val="nil"/>
              <w:right w:val="nil"/>
            </w:tcBorders>
            <w:shd w:val="clear" w:color="auto" w:fill="auto"/>
            <w:noWrap/>
            <w:hideMark/>
          </w:tcPr>
          <w:p w14:paraId="69FDCBC4"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tCO2e</w:t>
            </w:r>
          </w:p>
        </w:tc>
        <w:tc>
          <w:tcPr>
            <w:tcW w:w="1116"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487F023B" w14:textId="6540726B"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2,704,422</w:t>
            </w:r>
          </w:p>
        </w:tc>
        <w:tc>
          <w:tcPr>
            <w:tcW w:w="1116" w:type="dxa"/>
            <w:tcBorders>
              <w:top w:val="single" w:sz="4" w:space="0" w:color="auto"/>
              <w:left w:val="nil"/>
              <w:bottom w:val="single" w:sz="4" w:space="0" w:color="auto"/>
              <w:right w:val="single" w:sz="4" w:space="0" w:color="auto"/>
            </w:tcBorders>
            <w:shd w:val="clear" w:color="000000" w:fill="E2EFDA"/>
            <w:noWrap/>
            <w:vAlign w:val="center"/>
            <w:hideMark/>
          </w:tcPr>
          <w:p w14:paraId="4B857E14" w14:textId="6214FB58"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1,387,007</w:t>
            </w:r>
          </w:p>
        </w:tc>
        <w:tc>
          <w:tcPr>
            <w:tcW w:w="1116" w:type="dxa"/>
            <w:tcBorders>
              <w:top w:val="single" w:sz="4" w:space="0" w:color="auto"/>
              <w:left w:val="nil"/>
              <w:bottom w:val="single" w:sz="4" w:space="0" w:color="auto"/>
              <w:right w:val="single" w:sz="4" w:space="0" w:color="auto"/>
            </w:tcBorders>
            <w:shd w:val="clear" w:color="000000" w:fill="E2EFDA"/>
            <w:noWrap/>
            <w:vAlign w:val="center"/>
            <w:hideMark/>
          </w:tcPr>
          <w:p w14:paraId="5B42ADA4" w14:textId="19B3015A"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4,091,429</w:t>
            </w:r>
          </w:p>
        </w:tc>
        <w:tc>
          <w:tcPr>
            <w:tcW w:w="283" w:type="dxa"/>
            <w:tcBorders>
              <w:top w:val="nil"/>
              <w:left w:val="nil"/>
              <w:bottom w:val="nil"/>
              <w:right w:val="nil"/>
            </w:tcBorders>
            <w:shd w:val="clear" w:color="auto" w:fill="auto"/>
            <w:noWrap/>
            <w:vAlign w:val="center"/>
            <w:hideMark/>
          </w:tcPr>
          <w:p w14:paraId="280C4765" w14:textId="6C025704"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w:t>
            </w:r>
          </w:p>
        </w:tc>
        <w:tc>
          <w:tcPr>
            <w:tcW w:w="733"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7A1BA6DC" w14:textId="777777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7.5%</w:t>
            </w:r>
          </w:p>
        </w:tc>
      </w:tr>
      <w:tr w:rsidR="00C479AA" w:rsidRPr="00C479AA" w14:paraId="61932276" w14:textId="77777777" w:rsidTr="00C479AA">
        <w:trPr>
          <w:trHeight w:val="20"/>
        </w:trPr>
        <w:tc>
          <w:tcPr>
            <w:tcW w:w="3510" w:type="dxa"/>
            <w:tcBorders>
              <w:top w:val="nil"/>
              <w:left w:val="nil"/>
              <w:bottom w:val="nil"/>
              <w:right w:val="nil"/>
            </w:tcBorders>
            <w:shd w:val="clear" w:color="auto" w:fill="auto"/>
            <w:noWrap/>
            <w:hideMark/>
          </w:tcPr>
          <w:p w14:paraId="6E7F4679" w14:textId="626838A4"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Por Mantenimiento producción ER</w:t>
            </w:r>
          </w:p>
        </w:tc>
        <w:tc>
          <w:tcPr>
            <w:tcW w:w="739" w:type="dxa"/>
            <w:tcBorders>
              <w:top w:val="nil"/>
              <w:left w:val="nil"/>
              <w:bottom w:val="nil"/>
              <w:right w:val="nil"/>
            </w:tcBorders>
            <w:shd w:val="clear" w:color="auto" w:fill="auto"/>
            <w:noWrap/>
            <w:hideMark/>
          </w:tcPr>
          <w:p w14:paraId="23BF8898"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tCO2e</w:t>
            </w:r>
          </w:p>
        </w:tc>
        <w:tc>
          <w:tcPr>
            <w:tcW w:w="1116" w:type="dxa"/>
            <w:tcBorders>
              <w:top w:val="nil"/>
              <w:left w:val="single" w:sz="4" w:space="0" w:color="auto"/>
              <w:bottom w:val="single" w:sz="4" w:space="0" w:color="auto"/>
              <w:right w:val="single" w:sz="4" w:space="0" w:color="auto"/>
            </w:tcBorders>
            <w:shd w:val="clear" w:color="000000" w:fill="E2EFDA"/>
            <w:noWrap/>
            <w:vAlign w:val="center"/>
            <w:hideMark/>
          </w:tcPr>
          <w:p w14:paraId="05E7F3C8" w14:textId="60F5A6B6"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33,493,379</w:t>
            </w:r>
          </w:p>
        </w:tc>
        <w:tc>
          <w:tcPr>
            <w:tcW w:w="1116" w:type="dxa"/>
            <w:tcBorders>
              <w:top w:val="nil"/>
              <w:left w:val="nil"/>
              <w:bottom w:val="single" w:sz="4" w:space="0" w:color="auto"/>
              <w:right w:val="single" w:sz="4" w:space="0" w:color="auto"/>
            </w:tcBorders>
            <w:shd w:val="clear" w:color="000000" w:fill="E2EFDA"/>
            <w:noWrap/>
            <w:vAlign w:val="center"/>
            <w:hideMark/>
          </w:tcPr>
          <w:p w14:paraId="2E7FFADA" w14:textId="449278C1"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17,177,631</w:t>
            </w:r>
          </w:p>
        </w:tc>
        <w:tc>
          <w:tcPr>
            <w:tcW w:w="1116" w:type="dxa"/>
            <w:tcBorders>
              <w:top w:val="nil"/>
              <w:left w:val="nil"/>
              <w:bottom w:val="single" w:sz="4" w:space="0" w:color="auto"/>
              <w:right w:val="single" w:sz="4" w:space="0" w:color="auto"/>
            </w:tcBorders>
            <w:shd w:val="clear" w:color="000000" w:fill="E2EFDA"/>
            <w:noWrap/>
            <w:vAlign w:val="center"/>
            <w:hideMark/>
          </w:tcPr>
          <w:p w14:paraId="7EC743B3" w14:textId="2BC46761"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50,671,010</w:t>
            </w:r>
          </w:p>
        </w:tc>
        <w:tc>
          <w:tcPr>
            <w:tcW w:w="283" w:type="dxa"/>
            <w:tcBorders>
              <w:top w:val="nil"/>
              <w:left w:val="nil"/>
              <w:bottom w:val="nil"/>
              <w:right w:val="nil"/>
            </w:tcBorders>
            <w:shd w:val="clear" w:color="auto" w:fill="auto"/>
            <w:noWrap/>
            <w:vAlign w:val="center"/>
            <w:hideMark/>
          </w:tcPr>
          <w:p w14:paraId="3D7D274F" w14:textId="36ECB55E"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w:t>
            </w:r>
          </w:p>
        </w:tc>
        <w:tc>
          <w:tcPr>
            <w:tcW w:w="733" w:type="dxa"/>
            <w:tcBorders>
              <w:top w:val="nil"/>
              <w:left w:val="single" w:sz="4" w:space="0" w:color="auto"/>
              <w:bottom w:val="single" w:sz="4" w:space="0" w:color="auto"/>
              <w:right w:val="single" w:sz="4" w:space="0" w:color="auto"/>
            </w:tcBorders>
            <w:shd w:val="clear" w:color="000000" w:fill="E2EFDA"/>
            <w:noWrap/>
            <w:vAlign w:val="center"/>
            <w:hideMark/>
          </w:tcPr>
          <w:p w14:paraId="0559D027" w14:textId="777777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92.5%</w:t>
            </w:r>
          </w:p>
        </w:tc>
      </w:tr>
      <w:tr w:rsidR="00C479AA" w:rsidRPr="00C479AA" w14:paraId="2B450ECC" w14:textId="77777777" w:rsidTr="00C479AA">
        <w:trPr>
          <w:trHeight w:val="20"/>
        </w:trPr>
        <w:tc>
          <w:tcPr>
            <w:tcW w:w="3510" w:type="dxa"/>
            <w:tcBorders>
              <w:top w:val="nil"/>
              <w:left w:val="nil"/>
              <w:bottom w:val="nil"/>
              <w:right w:val="nil"/>
            </w:tcBorders>
            <w:shd w:val="clear" w:color="auto" w:fill="auto"/>
            <w:noWrap/>
            <w:hideMark/>
          </w:tcPr>
          <w:p w14:paraId="649DEED8"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Total</w:t>
            </w:r>
          </w:p>
        </w:tc>
        <w:tc>
          <w:tcPr>
            <w:tcW w:w="739" w:type="dxa"/>
            <w:tcBorders>
              <w:top w:val="nil"/>
              <w:left w:val="nil"/>
              <w:bottom w:val="nil"/>
              <w:right w:val="nil"/>
            </w:tcBorders>
            <w:shd w:val="clear" w:color="auto" w:fill="auto"/>
            <w:noWrap/>
            <w:hideMark/>
          </w:tcPr>
          <w:p w14:paraId="19E0B67A"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tCO2e</w:t>
            </w:r>
          </w:p>
        </w:tc>
        <w:tc>
          <w:tcPr>
            <w:tcW w:w="1116" w:type="dxa"/>
            <w:tcBorders>
              <w:top w:val="nil"/>
              <w:left w:val="single" w:sz="4" w:space="0" w:color="auto"/>
              <w:bottom w:val="single" w:sz="4" w:space="0" w:color="auto"/>
              <w:right w:val="single" w:sz="4" w:space="0" w:color="auto"/>
            </w:tcBorders>
            <w:shd w:val="clear" w:color="000000" w:fill="E2EFDA"/>
            <w:noWrap/>
            <w:vAlign w:val="center"/>
            <w:hideMark/>
          </w:tcPr>
          <w:p w14:paraId="5CC53046" w14:textId="5D5E6932"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36,197,801</w:t>
            </w:r>
          </w:p>
        </w:tc>
        <w:tc>
          <w:tcPr>
            <w:tcW w:w="1116" w:type="dxa"/>
            <w:tcBorders>
              <w:top w:val="nil"/>
              <w:left w:val="nil"/>
              <w:bottom w:val="single" w:sz="4" w:space="0" w:color="auto"/>
              <w:right w:val="single" w:sz="4" w:space="0" w:color="auto"/>
            </w:tcBorders>
            <w:shd w:val="clear" w:color="000000" w:fill="E2EFDA"/>
            <w:noWrap/>
            <w:vAlign w:val="center"/>
            <w:hideMark/>
          </w:tcPr>
          <w:p w14:paraId="13D9D1FD" w14:textId="53879A1B"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18,564,638</w:t>
            </w:r>
          </w:p>
        </w:tc>
        <w:tc>
          <w:tcPr>
            <w:tcW w:w="1116" w:type="dxa"/>
            <w:tcBorders>
              <w:top w:val="nil"/>
              <w:left w:val="nil"/>
              <w:bottom w:val="single" w:sz="4" w:space="0" w:color="auto"/>
              <w:right w:val="single" w:sz="4" w:space="0" w:color="auto"/>
            </w:tcBorders>
            <w:shd w:val="clear" w:color="000000" w:fill="E2EFDA"/>
            <w:noWrap/>
            <w:vAlign w:val="center"/>
            <w:hideMark/>
          </w:tcPr>
          <w:p w14:paraId="2659813F" w14:textId="0E33C1A8"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54,762,439</w:t>
            </w:r>
          </w:p>
        </w:tc>
        <w:tc>
          <w:tcPr>
            <w:tcW w:w="283" w:type="dxa"/>
            <w:tcBorders>
              <w:top w:val="nil"/>
              <w:left w:val="nil"/>
              <w:bottom w:val="nil"/>
              <w:right w:val="nil"/>
            </w:tcBorders>
            <w:shd w:val="clear" w:color="auto" w:fill="auto"/>
            <w:noWrap/>
            <w:vAlign w:val="center"/>
            <w:hideMark/>
          </w:tcPr>
          <w:p w14:paraId="52C0196A" w14:textId="724515C4"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w:t>
            </w:r>
          </w:p>
        </w:tc>
        <w:tc>
          <w:tcPr>
            <w:tcW w:w="733" w:type="dxa"/>
            <w:tcBorders>
              <w:top w:val="nil"/>
              <w:left w:val="nil"/>
              <w:bottom w:val="nil"/>
              <w:right w:val="nil"/>
            </w:tcBorders>
            <w:shd w:val="clear" w:color="auto" w:fill="auto"/>
            <w:noWrap/>
            <w:vAlign w:val="center"/>
            <w:hideMark/>
          </w:tcPr>
          <w:p w14:paraId="2E9BD4F2" w14:textId="777777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p>
        </w:tc>
      </w:tr>
      <w:tr w:rsidR="00C479AA" w:rsidRPr="00C479AA" w14:paraId="0049BBF5" w14:textId="77777777" w:rsidTr="00C479AA">
        <w:trPr>
          <w:trHeight w:val="20"/>
        </w:trPr>
        <w:tc>
          <w:tcPr>
            <w:tcW w:w="3510" w:type="dxa"/>
            <w:tcBorders>
              <w:top w:val="nil"/>
              <w:left w:val="nil"/>
              <w:bottom w:val="nil"/>
              <w:right w:val="nil"/>
            </w:tcBorders>
            <w:shd w:val="clear" w:color="auto" w:fill="auto"/>
            <w:noWrap/>
            <w:hideMark/>
          </w:tcPr>
          <w:p w14:paraId="13557B82" w14:textId="77777777" w:rsidR="00C479AA" w:rsidRPr="00C479AA" w:rsidRDefault="00C479AA" w:rsidP="00C479AA">
            <w:pPr>
              <w:spacing w:after="0" w:line="240" w:lineRule="auto"/>
              <w:rPr>
                <w:rFonts w:ascii="Times New Roman" w:eastAsia="Times New Roman" w:hAnsi="Times New Roman" w:cs="Times New Roman"/>
                <w:b/>
                <w:bCs/>
                <w:color w:val="000000"/>
                <w:sz w:val="20"/>
                <w:szCs w:val="20"/>
                <w:lang w:val="es-ES_tradnl"/>
              </w:rPr>
            </w:pPr>
            <w:r w:rsidRPr="00C479AA">
              <w:rPr>
                <w:rFonts w:ascii="Times New Roman" w:eastAsia="Times New Roman" w:hAnsi="Times New Roman" w:cs="Times New Roman"/>
                <w:b/>
                <w:bCs/>
                <w:color w:val="000000"/>
                <w:sz w:val="20"/>
                <w:szCs w:val="20"/>
                <w:lang w:val="es-ES_tradnl"/>
              </w:rPr>
              <w:t>Reducciones emisiones GEI - total fase A y B (2019 - 2065)</w:t>
            </w:r>
          </w:p>
        </w:tc>
        <w:tc>
          <w:tcPr>
            <w:tcW w:w="739" w:type="dxa"/>
            <w:tcBorders>
              <w:top w:val="nil"/>
              <w:left w:val="nil"/>
              <w:bottom w:val="nil"/>
              <w:right w:val="nil"/>
            </w:tcBorders>
            <w:shd w:val="clear" w:color="auto" w:fill="auto"/>
            <w:noWrap/>
            <w:hideMark/>
          </w:tcPr>
          <w:p w14:paraId="516FE412" w14:textId="77777777" w:rsidR="00C479AA" w:rsidRPr="00C479AA" w:rsidRDefault="00C479AA" w:rsidP="00C479AA">
            <w:pPr>
              <w:spacing w:after="0" w:line="240" w:lineRule="auto"/>
              <w:rPr>
                <w:rFonts w:ascii="Times New Roman" w:eastAsia="Times New Roman" w:hAnsi="Times New Roman" w:cs="Times New Roman"/>
                <w:b/>
                <w:bCs/>
                <w:color w:val="000000"/>
                <w:sz w:val="20"/>
                <w:szCs w:val="20"/>
                <w:lang w:val="es-ES_tradnl"/>
              </w:rPr>
            </w:pPr>
          </w:p>
        </w:tc>
        <w:tc>
          <w:tcPr>
            <w:tcW w:w="1116" w:type="dxa"/>
            <w:tcBorders>
              <w:top w:val="nil"/>
              <w:left w:val="nil"/>
              <w:bottom w:val="nil"/>
              <w:right w:val="nil"/>
            </w:tcBorders>
            <w:shd w:val="clear" w:color="auto" w:fill="auto"/>
            <w:noWrap/>
            <w:vAlign w:val="center"/>
            <w:hideMark/>
          </w:tcPr>
          <w:p w14:paraId="4C8D6912"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vAlign w:val="center"/>
            <w:hideMark/>
          </w:tcPr>
          <w:p w14:paraId="6804ABE8"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vAlign w:val="center"/>
            <w:hideMark/>
          </w:tcPr>
          <w:p w14:paraId="1643D15B"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283" w:type="dxa"/>
            <w:tcBorders>
              <w:top w:val="nil"/>
              <w:left w:val="nil"/>
              <w:bottom w:val="nil"/>
              <w:right w:val="nil"/>
            </w:tcBorders>
            <w:shd w:val="clear" w:color="auto" w:fill="auto"/>
            <w:noWrap/>
            <w:vAlign w:val="center"/>
            <w:hideMark/>
          </w:tcPr>
          <w:p w14:paraId="42C33D04"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c>
          <w:tcPr>
            <w:tcW w:w="733" w:type="dxa"/>
            <w:tcBorders>
              <w:top w:val="nil"/>
              <w:left w:val="nil"/>
              <w:bottom w:val="nil"/>
              <w:right w:val="nil"/>
            </w:tcBorders>
            <w:shd w:val="clear" w:color="auto" w:fill="auto"/>
            <w:noWrap/>
            <w:vAlign w:val="center"/>
            <w:hideMark/>
          </w:tcPr>
          <w:p w14:paraId="57089BB1" w14:textId="77777777" w:rsidR="00C479AA" w:rsidRPr="00C479AA" w:rsidRDefault="00C479AA" w:rsidP="00C479AA">
            <w:pPr>
              <w:spacing w:after="0" w:line="240" w:lineRule="auto"/>
              <w:jc w:val="center"/>
              <w:rPr>
                <w:rFonts w:ascii="Times New Roman" w:eastAsia="Times New Roman" w:hAnsi="Times New Roman" w:cs="Times New Roman"/>
                <w:sz w:val="20"/>
                <w:szCs w:val="20"/>
                <w:lang w:val="es-ES_tradnl"/>
              </w:rPr>
            </w:pPr>
          </w:p>
        </w:tc>
      </w:tr>
      <w:tr w:rsidR="00C479AA" w:rsidRPr="00C479AA" w14:paraId="210FAEC6" w14:textId="77777777" w:rsidTr="00C479AA">
        <w:trPr>
          <w:trHeight w:val="20"/>
        </w:trPr>
        <w:tc>
          <w:tcPr>
            <w:tcW w:w="3510" w:type="dxa"/>
            <w:tcBorders>
              <w:top w:val="nil"/>
              <w:left w:val="nil"/>
              <w:bottom w:val="nil"/>
              <w:right w:val="nil"/>
            </w:tcBorders>
            <w:shd w:val="clear" w:color="auto" w:fill="auto"/>
            <w:noWrap/>
            <w:hideMark/>
          </w:tcPr>
          <w:p w14:paraId="27BC53A3" w14:textId="061D485F"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Por Incremento producción ER</w:t>
            </w:r>
          </w:p>
        </w:tc>
        <w:tc>
          <w:tcPr>
            <w:tcW w:w="739" w:type="dxa"/>
            <w:tcBorders>
              <w:top w:val="nil"/>
              <w:left w:val="nil"/>
              <w:bottom w:val="nil"/>
              <w:right w:val="nil"/>
            </w:tcBorders>
            <w:shd w:val="clear" w:color="auto" w:fill="auto"/>
            <w:noWrap/>
            <w:hideMark/>
          </w:tcPr>
          <w:p w14:paraId="7EE15F71"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tCO2e</w:t>
            </w:r>
          </w:p>
        </w:tc>
        <w:tc>
          <w:tcPr>
            <w:tcW w:w="1116"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2717685D" w14:textId="26ACEF4A"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4,578,697</w:t>
            </w:r>
          </w:p>
        </w:tc>
        <w:tc>
          <w:tcPr>
            <w:tcW w:w="1116" w:type="dxa"/>
            <w:tcBorders>
              <w:top w:val="single" w:sz="4" w:space="0" w:color="auto"/>
              <w:left w:val="nil"/>
              <w:bottom w:val="single" w:sz="4" w:space="0" w:color="auto"/>
              <w:right w:val="single" w:sz="4" w:space="0" w:color="auto"/>
            </w:tcBorders>
            <w:shd w:val="clear" w:color="000000" w:fill="E2EFDA"/>
            <w:noWrap/>
            <w:vAlign w:val="center"/>
            <w:hideMark/>
          </w:tcPr>
          <w:p w14:paraId="480B8A6E" w14:textId="597F1B5B"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2,348,260</w:t>
            </w:r>
          </w:p>
        </w:tc>
        <w:tc>
          <w:tcPr>
            <w:tcW w:w="1116" w:type="dxa"/>
            <w:tcBorders>
              <w:top w:val="single" w:sz="4" w:space="0" w:color="auto"/>
              <w:left w:val="nil"/>
              <w:bottom w:val="single" w:sz="4" w:space="0" w:color="auto"/>
              <w:right w:val="single" w:sz="4" w:space="0" w:color="auto"/>
            </w:tcBorders>
            <w:shd w:val="clear" w:color="000000" w:fill="E2EFDA"/>
            <w:noWrap/>
            <w:vAlign w:val="center"/>
            <w:hideMark/>
          </w:tcPr>
          <w:p w14:paraId="7DCA8535" w14:textId="23CEDE45"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6,926,957</w:t>
            </w:r>
          </w:p>
        </w:tc>
        <w:tc>
          <w:tcPr>
            <w:tcW w:w="283" w:type="dxa"/>
            <w:tcBorders>
              <w:top w:val="nil"/>
              <w:left w:val="nil"/>
              <w:bottom w:val="nil"/>
              <w:right w:val="nil"/>
            </w:tcBorders>
            <w:shd w:val="clear" w:color="auto" w:fill="auto"/>
            <w:noWrap/>
            <w:vAlign w:val="center"/>
            <w:hideMark/>
          </w:tcPr>
          <w:p w14:paraId="5D654DFE" w14:textId="5B706693"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w:t>
            </w:r>
          </w:p>
        </w:tc>
        <w:tc>
          <w:tcPr>
            <w:tcW w:w="733"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126E0056" w14:textId="777777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12.0%</w:t>
            </w:r>
          </w:p>
        </w:tc>
      </w:tr>
      <w:tr w:rsidR="00C479AA" w:rsidRPr="00C479AA" w14:paraId="2B44790F" w14:textId="77777777" w:rsidTr="00C479AA">
        <w:trPr>
          <w:trHeight w:val="20"/>
        </w:trPr>
        <w:tc>
          <w:tcPr>
            <w:tcW w:w="3510" w:type="dxa"/>
            <w:tcBorders>
              <w:top w:val="nil"/>
              <w:left w:val="nil"/>
              <w:bottom w:val="nil"/>
              <w:right w:val="nil"/>
            </w:tcBorders>
            <w:shd w:val="clear" w:color="auto" w:fill="auto"/>
            <w:noWrap/>
            <w:hideMark/>
          </w:tcPr>
          <w:p w14:paraId="71B09900" w14:textId="1547E5D8"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Por Mantenimiento producción ER</w:t>
            </w:r>
          </w:p>
        </w:tc>
        <w:tc>
          <w:tcPr>
            <w:tcW w:w="739" w:type="dxa"/>
            <w:tcBorders>
              <w:top w:val="nil"/>
              <w:left w:val="nil"/>
              <w:bottom w:val="nil"/>
              <w:right w:val="nil"/>
            </w:tcBorders>
            <w:shd w:val="clear" w:color="auto" w:fill="auto"/>
            <w:noWrap/>
            <w:hideMark/>
          </w:tcPr>
          <w:p w14:paraId="1EEA823F"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tCO2e</w:t>
            </w:r>
          </w:p>
        </w:tc>
        <w:tc>
          <w:tcPr>
            <w:tcW w:w="1116" w:type="dxa"/>
            <w:tcBorders>
              <w:top w:val="nil"/>
              <w:left w:val="single" w:sz="4" w:space="0" w:color="auto"/>
              <w:bottom w:val="single" w:sz="4" w:space="0" w:color="auto"/>
              <w:right w:val="single" w:sz="4" w:space="0" w:color="auto"/>
            </w:tcBorders>
            <w:shd w:val="clear" w:color="000000" w:fill="E2EFDA"/>
            <w:noWrap/>
            <w:vAlign w:val="center"/>
            <w:hideMark/>
          </w:tcPr>
          <w:p w14:paraId="25937E6F" w14:textId="075690F0"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33,500,247</w:t>
            </w:r>
          </w:p>
        </w:tc>
        <w:tc>
          <w:tcPr>
            <w:tcW w:w="1116" w:type="dxa"/>
            <w:tcBorders>
              <w:top w:val="nil"/>
              <w:left w:val="nil"/>
              <w:bottom w:val="single" w:sz="4" w:space="0" w:color="auto"/>
              <w:right w:val="single" w:sz="4" w:space="0" w:color="auto"/>
            </w:tcBorders>
            <w:shd w:val="clear" w:color="000000" w:fill="E2EFDA"/>
            <w:noWrap/>
            <w:vAlign w:val="center"/>
            <w:hideMark/>
          </w:tcPr>
          <w:p w14:paraId="2666301B" w14:textId="4F7CBE40"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17,181,153</w:t>
            </w:r>
          </w:p>
        </w:tc>
        <w:tc>
          <w:tcPr>
            <w:tcW w:w="1116" w:type="dxa"/>
            <w:tcBorders>
              <w:top w:val="nil"/>
              <w:left w:val="nil"/>
              <w:bottom w:val="single" w:sz="4" w:space="0" w:color="auto"/>
              <w:right w:val="single" w:sz="4" w:space="0" w:color="auto"/>
            </w:tcBorders>
            <w:shd w:val="clear" w:color="000000" w:fill="E2EFDA"/>
            <w:noWrap/>
            <w:vAlign w:val="center"/>
            <w:hideMark/>
          </w:tcPr>
          <w:p w14:paraId="39505619" w14:textId="0D2FACBB"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50,681,400</w:t>
            </w:r>
          </w:p>
        </w:tc>
        <w:tc>
          <w:tcPr>
            <w:tcW w:w="283" w:type="dxa"/>
            <w:tcBorders>
              <w:top w:val="nil"/>
              <w:left w:val="nil"/>
              <w:bottom w:val="nil"/>
              <w:right w:val="nil"/>
            </w:tcBorders>
            <w:shd w:val="clear" w:color="auto" w:fill="auto"/>
            <w:noWrap/>
            <w:vAlign w:val="center"/>
            <w:hideMark/>
          </w:tcPr>
          <w:p w14:paraId="5A03D233" w14:textId="6803A992"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w:t>
            </w:r>
          </w:p>
        </w:tc>
        <w:tc>
          <w:tcPr>
            <w:tcW w:w="733" w:type="dxa"/>
            <w:tcBorders>
              <w:top w:val="nil"/>
              <w:left w:val="single" w:sz="4" w:space="0" w:color="auto"/>
              <w:bottom w:val="single" w:sz="4" w:space="0" w:color="auto"/>
              <w:right w:val="single" w:sz="4" w:space="0" w:color="auto"/>
            </w:tcBorders>
            <w:shd w:val="clear" w:color="000000" w:fill="E2EFDA"/>
            <w:noWrap/>
            <w:vAlign w:val="center"/>
            <w:hideMark/>
          </w:tcPr>
          <w:p w14:paraId="5FA3D58D" w14:textId="777777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88.0%</w:t>
            </w:r>
          </w:p>
        </w:tc>
      </w:tr>
      <w:tr w:rsidR="00C479AA" w:rsidRPr="00C479AA" w14:paraId="21C8DDEB" w14:textId="77777777" w:rsidTr="00C479AA">
        <w:trPr>
          <w:trHeight w:val="20"/>
        </w:trPr>
        <w:tc>
          <w:tcPr>
            <w:tcW w:w="3510" w:type="dxa"/>
            <w:tcBorders>
              <w:top w:val="nil"/>
              <w:left w:val="nil"/>
              <w:bottom w:val="nil"/>
              <w:right w:val="nil"/>
            </w:tcBorders>
            <w:shd w:val="clear" w:color="auto" w:fill="auto"/>
            <w:noWrap/>
            <w:hideMark/>
          </w:tcPr>
          <w:p w14:paraId="7CE5116F"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Total</w:t>
            </w:r>
          </w:p>
        </w:tc>
        <w:tc>
          <w:tcPr>
            <w:tcW w:w="739" w:type="dxa"/>
            <w:tcBorders>
              <w:top w:val="nil"/>
              <w:left w:val="nil"/>
              <w:bottom w:val="nil"/>
              <w:right w:val="nil"/>
            </w:tcBorders>
            <w:shd w:val="clear" w:color="auto" w:fill="auto"/>
            <w:noWrap/>
            <w:hideMark/>
          </w:tcPr>
          <w:p w14:paraId="7ADAB91F" w14:textId="77777777" w:rsidR="00C479AA" w:rsidRPr="00C479AA" w:rsidRDefault="00C479AA" w:rsidP="00C479AA">
            <w:pPr>
              <w:spacing w:after="0" w:line="240" w:lineRule="auto"/>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tCO2e</w:t>
            </w:r>
          </w:p>
        </w:tc>
        <w:tc>
          <w:tcPr>
            <w:tcW w:w="1116" w:type="dxa"/>
            <w:tcBorders>
              <w:top w:val="nil"/>
              <w:left w:val="single" w:sz="4" w:space="0" w:color="auto"/>
              <w:bottom w:val="single" w:sz="4" w:space="0" w:color="auto"/>
              <w:right w:val="single" w:sz="4" w:space="0" w:color="auto"/>
            </w:tcBorders>
            <w:shd w:val="clear" w:color="000000" w:fill="E2EFDA"/>
            <w:noWrap/>
            <w:vAlign w:val="center"/>
            <w:hideMark/>
          </w:tcPr>
          <w:p w14:paraId="33FCC662" w14:textId="145D48CB"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38,078,944</w:t>
            </w:r>
          </w:p>
        </w:tc>
        <w:tc>
          <w:tcPr>
            <w:tcW w:w="1116" w:type="dxa"/>
            <w:tcBorders>
              <w:top w:val="nil"/>
              <w:left w:val="nil"/>
              <w:bottom w:val="single" w:sz="4" w:space="0" w:color="auto"/>
              <w:right w:val="single" w:sz="4" w:space="0" w:color="auto"/>
            </w:tcBorders>
            <w:shd w:val="clear" w:color="000000" w:fill="E2EFDA"/>
            <w:noWrap/>
            <w:vAlign w:val="center"/>
            <w:hideMark/>
          </w:tcPr>
          <w:p w14:paraId="03537BA4" w14:textId="73A82869"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19,529,413</w:t>
            </w:r>
          </w:p>
        </w:tc>
        <w:tc>
          <w:tcPr>
            <w:tcW w:w="1116" w:type="dxa"/>
            <w:tcBorders>
              <w:top w:val="nil"/>
              <w:left w:val="nil"/>
              <w:bottom w:val="single" w:sz="4" w:space="0" w:color="auto"/>
              <w:right w:val="single" w:sz="4" w:space="0" w:color="auto"/>
            </w:tcBorders>
            <w:shd w:val="clear" w:color="000000" w:fill="E2EFDA"/>
            <w:noWrap/>
            <w:vAlign w:val="center"/>
            <w:hideMark/>
          </w:tcPr>
          <w:p w14:paraId="34BAF47B" w14:textId="0421A62C"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57,608,356</w:t>
            </w:r>
          </w:p>
        </w:tc>
        <w:tc>
          <w:tcPr>
            <w:tcW w:w="283" w:type="dxa"/>
            <w:tcBorders>
              <w:top w:val="nil"/>
              <w:left w:val="nil"/>
              <w:bottom w:val="nil"/>
              <w:right w:val="nil"/>
            </w:tcBorders>
            <w:shd w:val="clear" w:color="auto" w:fill="auto"/>
            <w:noWrap/>
            <w:vAlign w:val="center"/>
            <w:hideMark/>
          </w:tcPr>
          <w:p w14:paraId="0341EB7B" w14:textId="3BA4136A"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r w:rsidRPr="00C479AA">
              <w:rPr>
                <w:rFonts w:ascii="Times New Roman" w:eastAsia="Times New Roman" w:hAnsi="Times New Roman" w:cs="Times New Roman"/>
                <w:color w:val="000000"/>
                <w:sz w:val="20"/>
                <w:szCs w:val="20"/>
                <w:lang w:val="es-ES_tradnl"/>
              </w:rPr>
              <w:t>-</w:t>
            </w:r>
          </w:p>
        </w:tc>
        <w:tc>
          <w:tcPr>
            <w:tcW w:w="733" w:type="dxa"/>
            <w:tcBorders>
              <w:top w:val="nil"/>
              <w:left w:val="nil"/>
              <w:bottom w:val="nil"/>
              <w:right w:val="nil"/>
            </w:tcBorders>
            <w:shd w:val="clear" w:color="auto" w:fill="auto"/>
            <w:noWrap/>
            <w:vAlign w:val="center"/>
            <w:hideMark/>
          </w:tcPr>
          <w:p w14:paraId="12F37B2B" w14:textId="77777777" w:rsidR="00C479AA" w:rsidRPr="00C479AA" w:rsidRDefault="00C479AA" w:rsidP="00C479AA">
            <w:pPr>
              <w:spacing w:after="0" w:line="240" w:lineRule="auto"/>
              <w:jc w:val="center"/>
              <w:rPr>
                <w:rFonts w:ascii="Times New Roman" w:eastAsia="Times New Roman" w:hAnsi="Times New Roman" w:cs="Times New Roman"/>
                <w:color w:val="000000"/>
                <w:sz w:val="20"/>
                <w:szCs w:val="20"/>
                <w:lang w:val="es-ES_tradnl"/>
              </w:rPr>
            </w:pPr>
          </w:p>
        </w:tc>
      </w:tr>
      <w:tr w:rsidR="00C479AA" w:rsidRPr="00C479AA" w14:paraId="5F54370E" w14:textId="77777777" w:rsidTr="00C479AA">
        <w:trPr>
          <w:trHeight w:val="20"/>
        </w:trPr>
        <w:tc>
          <w:tcPr>
            <w:tcW w:w="3510" w:type="dxa"/>
            <w:tcBorders>
              <w:top w:val="nil"/>
              <w:left w:val="nil"/>
              <w:bottom w:val="nil"/>
              <w:right w:val="nil"/>
            </w:tcBorders>
            <w:shd w:val="clear" w:color="auto" w:fill="auto"/>
            <w:noWrap/>
            <w:hideMark/>
          </w:tcPr>
          <w:p w14:paraId="31F63AD1"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739" w:type="dxa"/>
            <w:tcBorders>
              <w:top w:val="nil"/>
              <w:left w:val="nil"/>
              <w:bottom w:val="nil"/>
              <w:right w:val="nil"/>
            </w:tcBorders>
            <w:shd w:val="clear" w:color="auto" w:fill="auto"/>
            <w:noWrap/>
            <w:hideMark/>
          </w:tcPr>
          <w:p w14:paraId="4E3B317A"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hideMark/>
          </w:tcPr>
          <w:p w14:paraId="4FE5EF15"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hideMark/>
          </w:tcPr>
          <w:p w14:paraId="4311E9B2"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1116" w:type="dxa"/>
            <w:tcBorders>
              <w:top w:val="nil"/>
              <w:left w:val="nil"/>
              <w:bottom w:val="nil"/>
              <w:right w:val="nil"/>
            </w:tcBorders>
            <w:shd w:val="clear" w:color="auto" w:fill="auto"/>
            <w:noWrap/>
            <w:hideMark/>
          </w:tcPr>
          <w:p w14:paraId="213F2F2D"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283" w:type="dxa"/>
            <w:tcBorders>
              <w:top w:val="nil"/>
              <w:left w:val="nil"/>
              <w:bottom w:val="nil"/>
              <w:right w:val="nil"/>
            </w:tcBorders>
            <w:shd w:val="clear" w:color="auto" w:fill="auto"/>
            <w:noWrap/>
            <w:hideMark/>
          </w:tcPr>
          <w:p w14:paraId="10019F34"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c>
          <w:tcPr>
            <w:tcW w:w="733" w:type="dxa"/>
            <w:tcBorders>
              <w:top w:val="nil"/>
              <w:left w:val="nil"/>
              <w:bottom w:val="nil"/>
              <w:right w:val="nil"/>
            </w:tcBorders>
            <w:shd w:val="clear" w:color="auto" w:fill="auto"/>
            <w:noWrap/>
            <w:hideMark/>
          </w:tcPr>
          <w:p w14:paraId="294536CE" w14:textId="77777777" w:rsidR="00C479AA" w:rsidRPr="00C479AA" w:rsidRDefault="00C479AA" w:rsidP="00C479AA">
            <w:pPr>
              <w:spacing w:after="0" w:line="240" w:lineRule="auto"/>
              <w:rPr>
                <w:rFonts w:ascii="Times New Roman" w:eastAsia="Times New Roman" w:hAnsi="Times New Roman" w:cs="Times New Roman"/>
                <w:sz w:val="20"/>
                <w:szCs w:val="20"/>
                <w:lang w:val="es-ES_tradnl"/>
              </w:rPr>
            </w:pPr>
          </w:p>
        </w:tc>
      </w:tr>
    </w:tbl>
    <w:p w14:paraId="0881F3D0" w14:textId="09D04B87" w:rsidR="00C479AA" w:rsidRPr="00C479AA" w:rsidRDefault="00C479AA" w:rsidP="009603F3">
      <w:pPr>
        <w:jc w:val="both"/>
        <w:rPr>
          <w:sz w:val="16"/>
          <w:szCs w:val="16"/>
        </w:rPr>
      </w:pPr>
      <w:r w:rsidRPr="00C479AA">
        <w:rPr>
          <w:sz w:val="16"/>
          <w:szCs w:val="16"/>
        </w:rPr>
        <w:t>Fuente: CSD/CCS</w:t>
      </w:r>
    </w:p>
    <w:p w14:paraId="7F1617C5" w14:textId="00A1EFE0" w:rsidR="009603F3" w:rsidRDefault="009603F3" w:rsidP="009603F3">
      <w:pPr>
        <w:jc w:val="both"/>
      </w:pPr>
      <w:r>
        <w:t xml:space="preserve">En materia de adaptación, </w:t>
      </w:r>
      <w:r w:rsidR="00554A84">
        <w:t xml:space="preserve">el proyecto beneficio de los resultados de proyecciones climáticas, las cuales </w:t>
      </w:r>
      <w:r w:rsidR="005762C5">
        <w:t xml:space="preserve">estiman un aumento de temperatura y </w:t>
      </w:r>
      <w:r w:rsidR="00985B8E">
        <w:t xml:space="preserve">gran variabilidad </w:t>
      </w:r>
      <w:r w:rsidR="005762C5">
        <w:t xml:space="preserve">interanual en la precipitación. </w:t>
      </w:r>
      <w:r w:rsidR="00985B8E">
        <w:t>Con base a esta información la rehabilitación contara con la información adecuada para llevar a cabo acciones de resiliencia adecuadas, teniendo en cuenta la incertidumbre que la información también contiene.</w:t>
      </w:r>
    </w:p>
    <w:p w14:paraId="5F7C105B" w14:textId="4801126A" w:rsidR="00985B8E" w:rsidRDefault="00985B8E" w:rsidP="00985B8E">
      <w:pPr>
        <w:pStyle w:val="Heading2"/>
      </w:pPr>
      <w:r>
        <w:t xml:space="preserve">Financiamiento </w:t>
      </w:r>
      <w:r w:rsidR="00C479AA">
        <w:t>Climático</w:t>
      </w:r>
    </w:p>
    <w:p w14:paraId="44BC8471" w14:textId="10CC5C73" w:rsidR="00985B8E" w:rsidRPr="00C479AA" w:rsidRDefault="00985B8E" w:rsidP="00C479AA">
      <w:pPr>
        <w:pStyle w:val="Caption"/>
        <w:keepNext/>
        <w:jc w:val="both"/>
        <w:rPr>
          <w:color w:val="auto"/>
          <w:sz w:val="22"/>
          <w:szCs w:val="22"/>
        </w:rPr>
      </w:pPr>
      <w:r w:rsidRPr="00C479AA">
        <w:rPr>
          <w:i w:val="0"/>
          <w:iCs w:val="0"/>
          <w:color w:val="auto"/>
          <w:sz w:val="22"/>
          <w:szCs w:val="22"/>
          <w:lang w:val="es-ES_tradnl"/>
        </w:rPr>
        <w:t xml:space="preserve">El 100% de los recursos de la operación se invierten en actividades de mitigación al cambio climático, según la </w:t>
      </w:r>
      <w:hyperlink r:id="rId18" w:history="1">
        <w:r w:rsidRPr="00C479AA">
          <w:rPr>
            <w:rStyle w:val="Hyperlink"/>
            <w:i w:val="0"/>
            <w:iCs w:val="0"/>
            <w:color w:val="4472C4" w:themeColor="accent1"/>
            <w:sz w:val="22"/>
            <w:szCs w:val="22"/>
            <w:lang w:val="es-ES_tradnl"/>
          </w:rPr>
          <w:t>metodología conjunta de los BMD de estimación de financiamiento climático</w:t>
        </w:r>
      </w:hyperlink>
      <w:r w:rsidRPr="00C479AA">
        <w:rPr>
          <w:i w:val="0"/>
          <w:iCs w:val="0"/>
          <w:color w:val="auto"/>
          <w:sz w:val="22"/>
          <w:szCs w:val="22"/>
          <w:lang w:val="es-ES_tradnl"/>
        </w:rPr>
        <w:t>. Estos recursos contribuyen a la meta del Grupo BID de aumentar el financiamiento de proyectos relacionados con el cambio climático a un 30% de todas las aprobaciones de operaciones a fin de año 2020</w:t>
      </w:r>
      <w:r w:rsidR="00C479AA">
        <w:rPr>
          <w:i w:val="0"/>
          <w:iCs w:val="0"/>
          <w:color w:val="auto"/>
          <w:sz w:val="22"/>
          <w:szCs w:val="22"/>
          <w:lang w:val="es-ES_tradnl"/>
        </w:rPr>
        <w:t xml:space="preserve">. </w:t>
      </w:r>
      <w:r w:rsidRPr="00C479AA">
        <w:rPr>
          <w:color w:val="auto"/>
          <w:sz w:val="22"/>
          <w:szCs w:val="22"/>
        </w:rPr>
        <w:t xml:space="preserve"> </w:t>
      </w:r>
    </w:p>
    <w:p w14:paraId="2605E0C4" w14:textId="0F31C8BB" w:rsidR="00161476" w:rsidRDefault="00161476" w:rsidP="00161476">
      <w:pPr>
        <w:pStyle w:val="Caption"/>
        <w:keepNext/>
      </w:pPr>
      <w:r>
        <w:t xml:space="preserve">Tabla </w:t>
      </w:r>
      <w:r w:rsidR="00D555FF">
        <w:rPr>
          <w:noProof/>
        </w:rPr>
        <w:fldChar w:fldCharType="begin"/>
      </w:r>
      <w:r w:rsidR="00D555FF">
        <w:rPr>
          <w:noProof/>
        </w:rPr>
        <w:instrText xml:space="preserve"> SEQ Tabla \* ARABIC </w:instrText>
      </w:r>
      <w:r w:rsidR="00D555FF">
        <w:rPr>
          <w:noProof/>
        </w:rPr>
        <w:fldChar w:fldCharType="separate"/>
      </w:r>
      <w:r>
        <w:rPr>
          <w:noProof/>
        </w:rPr>
        <w:t>1</w:t>
      </w:r>
      <w:r w:rsidR="00D555FF">
        <w:rPr>
          <w:noProof/>
        </w:rPr>
        <w:fldChar w:fldCharType="end"/>
      </w:r>
      <w:r>
        <w:t xml:space="preserve">    </w:t>
      </w:r>
      <w:r w:rsidR="009603F3">
        <w:t>RG</w:t>
      </w:r>
      <w:r>
        <w:t>-L11</w:t>
      </w:r>
      <w:r w:rsidR="009603F3">
        <w:t>24</w:t>
      </w:r>
      <w:r>
        <w:t xml:space="preserve"> Cuantificación del Financiamiento Climatico</w:t>
      </w:r>
    </w:p>
    <w:tbl>
      <w:tblPr>
        <w:tblStyle w:val="TableGrid"/>
        <w:tblW w:w="0" w:type="auto"/>
        <w:tblLook w:val="04A0" w:firstRow="1" w:lastRow="0" w:firstColumn="1" w:lastColumn="0" w:noHBand="0" w:noVBand="1"/>
      </w:tblPr>
      <w:tblGrid>
        <w:gridCol w:w="2515"/>
        <w:gridCol w:w="1890"/>
        <w:gridCol w:w="1890"/>
        <w:gridCol w:w="2125"/>
      </w:tblGrid>
      <w:tr w:rsidR="00985B8E" w:rsidRPr="0031232A" w14:paraId="43E1EC5F" w14:textId="77777777" w:rsidTr="00E37E69">
        <w:tc>
          <w:tcPr>
            <w:tcW w:w="2515" w:type="dxa"/>
          </w:tcPr>
          <w:p w14:paraId="09F7990E" w14:textId="77777777" w:rsidR="00985B8E" w:rsidRPr="0031232A" w:rsidRDefault="00985B8E" w:rsidP="00985B8E">
            <w:pPr>
              <w:spacing w:after="160" w:line="259" w:lineRule="auto"/>
              <w:jc w:val="both"/>
              <w:rPr>
                <w:b/>
                <w:sz w:val="18"/>
                <w:szCs w:val="18"/>
              </w:rPr>
            </w:pPr>
          </w:p>
        </w:tc>
        <w:tc>
          <w:tcPr>
            <w:tcW w:w="1890" w:type="dxa"/>
          </w:tcPr>
          <w:p w14:paraId="7AB770B2" w14:textId="4E1E0769" w:rsidR="00985B8E" w:rsidRPr="0031232A" w:rsidRDefault="00985B8E" w:rsidP="00985B8E">
            <w:pPr>
              <w:spacing w:after="160" w:line="259" w:lineRule="auto"/>
              <w:jc w:val="both"/>
              <w:rPr>
                <w:b/>
                <w:sz w:val="18"/>
                <w:szCs w:val="18"/>
              </w:rPr>
            </w:pPr>
            <w:r w:rsidRPr="0031232A">
              <w:rPr>
                <w:b/>
                <w:sz w:val="18"/>
                <w:szCs w:val="18"/>
              </w:rPr>
              <w:t>Argentina</w:t>
            </w:r>
          </w:p>
        </w:tc>
        <w:tc>
          <w:tcPr>
            <w:tcW w:w="1890" w:type="dxa"/>
          </w:tcPr>
          <w:p w14:paraId="6A6B48DC" w14:textId="6844AEAC" w:rsidR="00985B8E" w:rsidRPr="0031232A" w:rsidRDefault="00985B8E" w:rsidP="00985B8E">
            <w:pPr>
              <w:spacing w:after="160" w:line="259" w:lineRule="auto"/>
              <w:jc w:val="both"/>
              <w:rPr>
                <w:b/>
                <w:sz w:val="18"/>
                <w:szCs w:val="18"/>
              </w:rPr>
            </w:pPr>
            <w:r w:rsidRPr="0031232A">
              <w:rPr>
                <w:b/>
                <w:sz w:val="18"/>
                <w:szCs w:val="18"/>
              </w:rPr>
              <w:t>Uruguay</w:t>
            </w:r>
          </w:p>
        </w:tc>
        <w:tc>
          <w:tcPr>
            <w:tcW w:w="2125" w:type="dxa"/>
          </w:tcPr>
          <w:p w14:paraId="30D704DA" w14:textId="1D34760F" w:rsidR="00985B8E" w:rsidRPr="0031232A" w:rsidRDefault="00985B8E" w:rsidP="00985B8E">
            <w:pPr>
              <w:spacing w:after="160" w:line="259" w:lineRule="auto"/>
              <w:jc w:val="both"/>
              <w:rPr>
                <w:b/>
                <w:sz w:val="18"/>
                <w:szCs w:val="18"/>
              </w:rPr>
            </w:pPr>
            <w:r w:rsidRPr="0031232A">
              <w:rPr>
                <w:b/>
                <w:sz w:val="18"/>
                <w:szCs w:val="18"/>
              </w:rPr>
              <w:t>Total</w:t>
            </w:r>
          </w:p>
        </w:tc>
      </w:tr>
      <w:tr w:rsidR="00985B8E" w:rsidRPr="0031232A" w14:paraId="6A0DF325" w14:textId="77777777" w:rsidTr="00E37E69">
        <w:tc>
          <w:tcPr>
            <w:tcW w:w="2515" w:type="dxa"/>
          </w:tcPr>
          <w:p w14:paraId="4D35D5CC" w14:textId="4F9597F1" w:rsidR="00985B8E" w:rsidRPr="0031232A" w:rsidRDefault="00985B8E" w:rsidP="000F6628">
            <w:pPr>
              <w:pStyle w:val="ListParagraph"/>
              <w:ind w:left="60"/>
              <w:rPr>
                <w:sz w:val="18"/>
                <w:szCs w:val="18"/>
              </w:rPr>
            </w:pPr>
            <w:r w:rsidRPr="0031232A">
              <w:rPr>
                <w:sz w:val="18"/>
                <w:szCs w:val="18"/>
              </w:rPr>
              <w:t xml:space="preserve">Inversiones para la modernización del CHSG </w:t>
            </w:r>
          </w:p>
        </w:tc>
        <w:tc>
          <w:tcPr>
            <w:tcW w:w="1890" w:type="dxa"/>
          </w:tcPr>
          <w:p w14:paraId="2557D26C" w14:textId="1B8E2830" w:rsidR="00985B8E" w:rsidRPr="0031232A" w:rsidRDefault="00985B8E" w:rsidP="0031232A">
            <w:pPr>
              <w:spacing w:after="160" w:line="259" w:lineRule="auto"/>
              <w:rPr>
                <w:sz w:val="18"/>
                <w:szCs w:val="18"/>
              </w:rPr>
            </w:pPr>
            <w:r w:rsidRPr="0031232A">
              <w:rPr>
                <w:sz w:val="18"/>
                <w:szCs w:val="18"/>
              </w:rPr>
              <w:t>USD $</w:t>
            </w:r>
            <w:r w:rsidR="007F4964">
              <w:rPr>
                <w:sz w:val="18"/>
                <w:szCs w:val="18"/>
              </w:rPr>
              <w:t>38</w:t>
            </w:r>
            <w:r w:rsidRPr="0031232A">
              <w:rPr>
                <w:sz w:val="18"/>
                <w:szCs w:val="18"/>
              </w:rPr>
              <w:t xml:space="preserve"> millones</w:t>
            </w:r>
          </w:p>
        </w:tc>
        <w:tc>
          <w:tcPr>
            <w:tcW w:w="1890" w:type="dxa"/>
          </w:tcPr>
          <w:p w14:paraId="35302E82" w14:textId="63289DA5" w:rsidR="00985B8E" w:rsidRPr="0031232A" w:rsidRDefault="00985B8E" w:rsidP="0031232A">
            <w:pPr>
              <w:spacing w:after="160" w:line="259" w:lineRule="auto"/>
              <w:rPr>
                <w:sz w:val="18"/>
                <w:szCs w:val="18"/>
              </w:rPr>
            </w:pPr>
            <w:r w:rsidRPr="0031232A">
              <w:rPr>
                <w:sz w:val="18"/>
                <w:szCs w:val="18"/>
              </w:rPr>
              <w:t>USD $</w:t>
            </w:r>
            <w:r w:rsidR="007F4964">
              <w:rPr>
                <w:sz w:val="18"/>
                <w:szCs w:val="18"/>
              </w:rPr>
              <w:t>38</w:t>
            </w:r>
            <w:r w:rsidRPr="0031232A">
              <w:rPr>
                <w:sz w:val="18"/>
                <w:szCs w:val="18"/>
              </w:rPr>
              <w:t xml:space="preserve"> millones</w:t>
            </w:r>
          </w:p>
        </w:tc>
        <w:tc>
          <w:tcPr>
            <w:tcW w:w="2125" w:type="dxa"/>
          </w:tcPr>
          <w:p w14:paraId="147510B0" w14:textId="76C1BA41" w:rsidR="00985B8E" w:rsidRPr="0031232A" w:rsidRDefault="00985B8E" w:rsidP="0031232A">
            <w:pPr>
              <w:spacing w:after="160" w:line="259" w:lineRule="auto"/>
              <w:rPr>
                <w:sz w:val="18"/>
                <w:szCs w:val="18"/>
              </w:rPr>
            </w:pPr>
            <w:r w:rsidRPr="0031232A">
              <w:rPr>
                <w:sz w:val="18"/>
                <w:szCs w:val="18"/>
              </w:rPr>
              <w:t>US$</w:t>
            </w:r>
            <w:r w:rsidR="007F4964">
              <w:rPr>
                <w:sz w:val="18"/>
                <w:szCs w:val="18"/>
              </w:rPr>
              <w:t xml:space="preserve">76 </w:t>
            </w:r>
            <w:r w:rsidRPr="0031232A">
              <w:rPr>
                <w:sz w:val="18"/>
                <w:szCs w:val="18"/>
              </w:rPr>
              <w:t>millones</w:t>
            </w:r>
          </w:p>
        </w:tc>
      </w:tr>
      <w:tr w:rsidR="00985B8E" w:rsidRPr="0031232A" w14:paraId="1F28387E" w14:textId="77777777" w:rsidTr="00E37E69">
        <w:tc>
          <w:tcPr>
            <w:tcW w:w="2515" w:type="dxa"/>
          </w:tcPr>
          <w:p w14:paraId="3435D006" w14:textId="011356F0" w:rsidR="00985B8E" w:rsidRPr="0031232A" w:rsidRDefault="00985B8E" w:rsidP="000F6628">
            <w:pPr>
              <w:rPr>
                <w:sz w:val="18"/>
                <w:szCs w:val="18"/>
              </w:rPr>
            </w:pPr>
            <w:r w:rsidRPr="0031232A">
              <w:rPr>
                <w:sz w:val="18"/>
                <w:szCs w:val="18"/>
              </w:rPr>
              <w:t>Fortalecimiento Institucional</w:t>
            </w:r>
            <w:r w:rsidR="007F4964">
              <w:rPr>
                <w:sz w:val="18"/>
                <w:szCs w:val="18"/>
              </w:rPr>
              <w:t>, supervisión y gestión del programa</w:t>
            </w:r>
          </w:p>
        </w:tc>
        <w:tc>
          <w:tcPr>
            <w:tcW w:w="1890" w:type="dxa"/>
          </w:tcPr>
          <w:p w14:paraId="0F7A3A25" w14:textId="1D0AB531" w:rsidR="00985B8E" w:rsidRPr="0031232A" w:rsidRDefault="00985B8E" w:rsidP="0031232A">
            <w:pPr>
              <w:spacing w:after="160" w:line="259" w:lineRule="auto"/>
              <w:rPr>
                <w:sz w:val="18"/>
                <w:szCs w:val="18"/>
              </w:rPr>
            </w:pPr>
            <w:r w:rsidRPr="0031232A">
              <w:rPr>
                <w:sz w:val="18"/>
                <w:szCs w:val="18"/>
              </w:rPr>
              <w:t>USD $</w:t>
            </w:r>
            <w:r w:rsidR="007F4964">
              <w:rPr>
                <w:sz w:val="18"/>
                <w:szCs w:val="18"/>
              </w:rPr>
              <w:t>2</w:t>
            </w:r>
            <w:r w:rsidRPr="0031232A">
              <w:rPr>
                <w:sz w:val="18"/>
                <w:szCs w:val="18"/>
              </w:rPr>
              <w:t xml:space="preserve"> millones</w:t>
            </w:r>
          </w:p>
        </w:tc>
        <w:tc>
          <w:tcPr>
            <w:tcW w:w="1890" w:type="dxa"/>
          </w:tcPr>
          <w:p w14:paraId="5F154740" w14:textId="0DCD3AF3" w:rsidR="00985B8E" w:rsidRPr="0031232A" w:rsidRDefault="00985B8E" w:rsidP="0031232A">
            <w:pPr>
              <w:spacing w:after="160" w:line="259" w:lineRule="auto"/>
              <w:rPr>
                <w:sz w:val="18"/>
                <w:szCs w:val="18"/>
              </w:rPr>
            </w:pPr>
            <w:r w:rsidRPr="0031232A">
              <w:rPr>
                <w:sz w:val="18"/>
                <w:szCs w:val="18"/>
              </w:rPr>
              <w:t>USD $</w:t>
            </w:r>
            <w:r w:rsidR="007F4964">
              <w:rPr>
                <w:sz w:val="18"/>
                <w:szCs w:val="18"/>
              </w:rPr>
              <w:t>2</w:t>
            </w:r>
            <w:r w:rsidRPr="0031232A">
              <w:rPr>
                <w:sz w:val="18"/>
                <w:szCs w:val="18"/>
              </w:rPr>
              <w:t xml:space="preserve"> millones</w:t>
            </w:r>
          </w:p>
        </w:tc>
        <w:tc>
          <w:tcPr>
            <w:tcW w:w="2125" w:type="dxa"/>
          </w:tcPr>
          <w:p w14:paraId="4E5B49BA" w14:textId="13B7E4A4" w:rsidR="00985B8E" w:rsidRPr="0031232A" w:rsidRDefault="00985B8E" w:rsidP="0031232A">
            <w:pPr>
              <w:spacing w:after="160" w:line="259" w:lineRule="auto"/>
              <w:rPr>
                <w:sz w:val="18"/>
                <w:szCs w:val="18"/>
              </w:rPr>
            </w:pPr>
            <w:r w:rsidRPr="0031232A">
              <w:rPr>
                <w:sz w:val="18"/>
                <w:szCs w:val="18"/>
              </w:rPr>
              <w:t>US$</w:t>
            </w:r>
            <w:r w:rsidR="007F4964">
              <w:rPr>
                <w:sz w:val="18"/>
                <w:szCs w:val="18"/>
              </w:rPr>
              <w:t>4</w:t>
            </w:r>
            <w:r w:rsidRPr="0031232A">
              <w:rPr>
                <w:sz w:val="18"/>
                <w:szCs w:val="18"/>
              </w:rPr>
              <w:t>millones</w:t>
            </w:r>
          </w:p>
        </w:tc>
      </w:tr>
      <w:tr w:rsidR="00985B8E" w:rsidRPr="0031232A" w14:paraId="0042329B" w14:textId="77777777" w:rsidTr="00E37E69">
        <w:tc>
          <w:tcPr>
            <w:tcW w:w="2515" w:type="dxa"/>
            <w:shd w:val="clear" w:color="auto" w:fill="E7E6E6" w:themeFill="background2"/>
          </w:tcPr>
          <w:p w14:paraId="650BFE08" w14:textId="2BAE71A1" w:rsidR="00985B8E" w:rsidRPr="0031232A" w:rsidRDefault="00985B8E" w:rsidP="00985B8E">
            <w:pPr>
              <w:spacing w:after="160" w:line="259" w:lineRule="auto"/>
              <w:jc w:val="both"/>
              <w:rPr>
                <w:b/>
                <w:sz w:val="18"/>
                <w:szCs w:val="18"/>
              </w:rPr>
            </w:pPr>
            <w:r w:rsidRPr="0031232A">
              <w:rPr>
                <w:b/>
                <w:sz w:val="18"/>
                <w:szCs w:val="18"/>
              </w:rPr>
              <w:t>Total</w:t>
            </w:r>
          </w:p>
        </w:tc>
        <w:tc>
          <w:tcPr>
            <w:tcW w:w="1890" w:type="dxa"/>
            <w:shd w:val="clear" w:color="auto" w:fill="E7E6E6" w:themeFill="background2"/>
          </w:tcPr>
          <w:p w14:paraId="181D64F5" w14:textId="76229B40" w:rsidR="00985B8E" w:rsidRPr="0031232A" w:rsidRDefault="00985B8E" w:rsidP="0031232A">
            <w:pPr>
              <w:spacing w:after="160" w:line="259" w:lineRule="auto"/>
              <w:rPr>
                <w:b/>
                <w:sz w:val="18"/>
                <w:szCs w:val="18"/>
              </w:rPr>
            </w:pPr>
            <w:r w:rsidRPr="0031232A">
              <w:rPr>
                <w:b/>
                <w:sz w:val="18"/>
                <w:szCs w:val="18"/>
              </w:rPr>
              <w:t>USD $40 millones</w:t>
            </w:r>
          </w:p>
        </w:tc>
        <w:tc>
          <w:tcPr>
            <w:tcW w:w="1890" w:type="dxa"/>
            <w:shd w:val="clear" w:color="auto" w:fill="E7E6E6" w:themeFill="background2"/>
          </w:tcPr>
          <w:p w14:paraId="3AB6BBA2" w14:textId="3D639864" w:rsidR="00985B8E" w:rsidRPr="0031232A" w:rsidRDefault="00985B8E" w:rsidP="0031232A">
            <w:pPr>
              <w:spacing w:after="160" w:line="259" w:lineRule="auto"/>
              <w:rPr>
                <w:b/>
                <w:sz w:val="18"/>
                <w:szCs w:val="18"/>
              </w:rPr>
            </w:pPr>
            <w:r w:rsidRPr="0031232A">
              <w:rPr>
                <w:b/>
                <w:sz w:val="18"/>
                <w:szCs w:val="18"/>
              </w:rPr>
              <w:t>USD $40 millones</w:t>
            </w:r>
          </w:p>
        </w:tc>
        <w:tc>
          <w:tcPr>
            <w:tcW w:w="2125" w:type="dxa"/>
            <w:shd w:val="clear" w:color="auto" w:fill="E7E6E6" w:themeFill="background2"/>
          </w:tcPr>
          <w:p w14:paraId="0F490B46" w14:textId="3792427A" w:rsidR="00985B8E" w:rsidRPr="0031232A" w:rsidRDefault="00985B8E" w:rsidP="0031232A">
            <w:pPr>
              <w:spacing w:after="160" w:line="259" w:lineRule="auto"/>
              <w:rPr>
                <w:b/>
                <w:sz w:val="18"/>
                <w:szCs w:val="18"/>
              </w:rPr>
            </w:pPr>
            <w:r w:rsidRPr="0031232A">
              <w:rPr>
                <w:b/>
                <w:sz w:val="18"/>
                <w:szCs w:val="18"/>
              </w:rPr>
              <w:t>USD $80 millones</w:t>
            </w:r>
          </w:p>
        </w:tc>
      </w:tr>
      <w:tr w:rsidR="00985B8E" w:rsidRPr="0031232A" w14:paraId="0079BA7B" w14:textId="77777777" w:rsidTr="00E37E69">
        <w:tc>
          <w:tcPr>
            <w:tcW w:w="2515" w:type="dxa"/>
            <w:shd w:val="clear" w:color="auto" w:fill="E2EFD9" w:themeFill="accent6" w:themeFillTint="33"/>
          </w:tcPr>
          <w:p w14:paraId="6344CC01" w14:textId="1BC8F082" w:rsidR="00985B8E" w:rsidRPr="0031232A" w:rsidRDefault="00985B8E" w:rsidP="00985B8E">
            <w:pPr>
              <w:spacing w:after="160" w:line="259" w:lineRule="auto"/>
              <w:jc w:val="both"/>
              <w:rPr>
                <w:b/>
                <w:sz w:val="18"/>
                <w:szCs w:val="18"/>
              </w:rPr>
            </w:pPr>
            <w:r w:rsidRPr="0031232A">
              <w:rPr>
                <w:b/>
                <w:sz w:val="18"/>
                <w:szCs w:val="18"/>
              </w:rPr>
              <w:t xml:space="preserve">Financiamiento </w:t>
            </w:r>
            <w:r w:rsidR="00C479AA" w:rsidRPr="0031232A">
              <w:rPr>
                <w:b/>
                <w:sz w:val="18"/>
                <w:szCs w:val="18"/>
              </w:rPr>
              <w:t>Climático total</w:t>
            </w:r>
          </w:p>
        </w:tc>
        <w:tc>
          <w:tcPr>
            <w:tcW w:w="1890" w:type="dxa"/>
            <w:shd w:val="clear" w:color="auto" w:fill="E2EFD9" w:themeFill="accent6" w:themeFillTint="33"/>
          </w:tcPr>
          <w:p w14:paraId="615328B7" w14:textId="28AAD96B" w:rsidR="00985B8E" w:rsidRPr="0031232A" w:rsidRDefault="00985B8E" w:rsidP="0031232A">
            <w:pPr>
              <w:spacing w:after="160" w:line="259" w:lineRule="auto"/>
              <w:rPr>
                <w:b/>
                <w:sz w:val="18"/>
                <w:szCs w:val="18"/>
              </w:rPr>
            </w:pPr>
            <w:r w:rsidRPr="0031232A">
              <w:rPr>
                <w:b/>
                <w:sz w:val="18"/>
                <w:szCs w:val="18"/>
              </w:rPr>
              <w:t>USD $40 millones</w:t>
            </w:r>
          </w:p>
        </w:tc>
        <w:tc>
          <w:tcPr>
            <w:tcW w:w="1890" w:type="dxa"/>
            <w:shd w:val="clear" w:color="auto" w:fill="E2EFD9" w:themeFill="accent6" w:themeFillTint="33"/>
          </w:tcPr>
          <w:p w14:paraId="4E4DD2F7" w14:textId="30DA08D9" w:rsidR="00985B8E" w:rsidRPr="0031232A" w:rsidRDefault="00985B8E" w:rsidP="0031232A">
            <w:pPr>
              <w:spacing w:after="160" w:line="259" w:lineRule="auto"/>
              <w:rPr>
                <w:b/>
                <w:sz w:val="18"/>
                <w:szCs w:val="18"/>
              </w:rPr>
            </w:pPr>
            <w:r w:rsidRPr="0031232A">
              <w:rPr>
                <w:b/>
                <w:sz w:val="18"/>
                <w:szCs w:val="18"/>
              </w:rPr>
              <w:t>USD $40 millones</w:t>
            </w:r>
          </w:p>
        </w:tc>
        <w:tc>
          <w:tcPr>
            <w:tcW w:w="2125" w:type="dxa"/>
            <w:shd w:val="clear" w:color="auto" w:fill="E2EFD9" w:themeFill="accent6" w:themeFillTint="33"/>
          </w:tcPr>
          <w:p w14:paraId="1AA32972" w14:textId="010D0D67" w:rsidR="00985B8E" w:rsidRPr="0031232A" w:rsidRDefault="00985B8E" w:rsidP="0031232A">
            <w:pPr>
              <w:spacing w:after="160" w:line="259" w:lineRule="auto"/>
              <w:rPr>
                <w:b/>
                <w:sz w:val="18"/>
                <w:szCs w:val="18"/>
              </w:rPr>
            </w:pPr>
            <w:r w:rsidRPr="0031232A">
              <w:rPr>
                <w:b/>
                <w:sz w:val="18"/>
                <w:szCs w:val="18"/>
              </w:rPr>
              <w:t>USD $80 millones</w:t>
            </w:r>
          </w:p>
        </w:tc>
      </w:tr>
    </w:tbl>
    <w:p w14:paraId="4A8C7394" w14:textId="55E493CF" w:rsidR="00E87C68" w:rsidRPr="00E87C68" w:rsidRDefault="00E87C68" w:rsidP="00E87C68"/>
    <w:sectPr w:rsidR="00E87C68" w:rsidRPr="00E87C68" w:rsidSect="00786585">
      <w:headerReference w:type="default" r:id="rId19"/>
      <w:pgSz w:w="11906" w:h="16838"/>
      <w:pgMar w:top="1411" w:right="1699" w:bottom="1411" w:left="1699"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219FC" w14:textId="77777777" w:rsidR="00E53366" w:rsidRDefault="00E53366" w:rsidP="001A4366">
      <w:pPr>
        <w:spacing w:after="0" w:line="240" w:lineRule="auto"/>
      </w:pPr>
      <w:r>
        <w:separator/>
      </w:r>
    </w:p>
  </w:endnote>
  <w:endnote w:type="continuationSeparator" w:id="0">
    <w:p w14:paraId="408BC19A" w14:textId="77777777" w:rsidR="00E53366" w:rsidRDefault="00E53366" w:rsidP="001A4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D827A" w14:textId="77777777" w:rsidR="00E53366" w:rsidRDefault="00E53366" w:rsidP="001A4366">
      <w:pPr>
        <w:spacing w:after="0" w:line="240" w:lineRule="auto"/>
      </w:pPr>
      <w:r>
        <w:separator/>
      </w:r>
    </w:p>
  </w:footnote>
  <w:footnote w:type="continuationSeparator" w:id="0">
    <w:p w14:paraId="5134AE18" w14:textId="77777777" w:rsidR="00E53366" w:rsidRDefault="00E53366" w:rsidP="001A4366">
      <w:pPr>
        <w:spacing w:after="0" w:line="240" w:lineRule="auto"/>
      </w:pPr>
      <w:r>
        <w:continuationSeparator/>
      </w:r>
    </w:p>
  </w:footnote>
  <w:footnote w:id="1">
    <w:p w14:paraId="083EAD8F" w14:textId="77777777" w:rsidR="00FD2B66" w:rsidRPr="00FD2B66" w:rsidRDefault="00FD2B66">
      <w:pPr>
        <w:pStyle w:val="FootnoteText"/>
        <w:rPr>
          <w:lang w:val="en-US"/>
        </w:rPr>
      </w:pPr>
      <w:r>
        <w:rPr>
          <w:rStyle w:val="FootnoteReference"/>
        </w:rPr>
        <w:footnoteRef/>
      </w:r>
      <w:r>
        <w:t xml:space="preserve"> </w:t>
      </w:r>
      <w:hyperlink r:id="rId1" w:history="1">
        <w:r w:rsidRPr="00996744">
          <w:rPr>
            <w:rStyle w:val="Hyperlink"/>
          </w:rPr>
          <w:t>http://ambiente.gob.ar/tercera-comunicacion-nacional/</w:t>
        </w:r>
      </w:hyperlink>
      <w:r>
        <w:t xml:space="preserve"> (2015)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C9F88" w14:textId="241BDB01" w:rsidR="001A4366" w:rsidRDefault="001A4366" w:rsidP="001A43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F08E6"/>
    <w:multiLevelType w:val="multilevel"/>
    <w:tmpl w:val="1F3A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D77CD"/>
    <w:multiLevelType w:val="hybridMultilevel"/>
    <w:tmpl w:val="299A44F4"/>
    <w:lvl w:ilvl="0" w:tplc="96E09E6C">
      <w:start w:val="1"/>
      <w:numFmt w:val="decimal"/>
      <w:lvlText w:val="%1."/>
      <w:lvlJc w:val="left"/>
      <w:pPr>
        <w:ind w:left="720" w:hanging="360"/>
      </w:pPr>
      <w:rPr>
        <w:rFonts w:hint="default"/>
        <w:color w:val="0563C1" w:themeColor="hyperlink"/>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875120"/>
    <w:multiLevelType w:val="multilevel"/>
    <w:tmpl w:val="EE8E4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F25891"/>
    <w:multiLevelType w:val="hybridMultilevel"/>
    <w:tmpl w:val="F3E4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D04350"/>
    <w:multiLevelType w:val="hybridMultilevel"/>
    <w:tmpl w:val="D94844F2"/>
    <w:lvl w:ilvl="0" w:tplc="3982979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784533"/>
    <w:multiLevelType w:val="hybridMultilevel"/>
    <w:tmpl w:val="5134C012"/>
    <w:lvl w:ilvl="0" w:tplc="5F0CC8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366"/>
    <w:rsid w:val="00004A1A"/>
    <w:rsid w:val="00004BA9"/>
    <w:rsid w:val="00006872"/>
    <w:rsid w:val="00014A13"/>
    <w:rsid w:val="000224E7"/>
    <w:rsid w:val="0002462D"/>
    <w:rsid w:val="000262CF"/>
    <w:rsid w:val="0002765B"/>
    <w:rsid w:val="00033D31"/>
    <w:rsid w:val="00050494"/>
    <w:rsid w:val="00060BDB"/>
    <w:rsid w:val="00062B4E"/>
    <w:rsid w:val="00064E80"/>
    <w:rsid w:val="00064F85"/>
    <w:rsid w:val="000763D5"/>
    <w:rsid w:val="00076D6C"/>
    <w:rsid w:val="00076EAD"/>
    <w:rsid w:val="00085CC7"/>
    <w:rsid w:val="00087069"/>
    <w:rsid w:val="00087ED1"/>
    <w:rsid w:val="00094B61"/>
    <w:rsid w:val="000A1221"/>
    <w:rsid w:val="000A6196"/>
    <w:rsid w:val="000B0B8A"/>
    <w:rsid w:val="000B3598"/>
    <w:rsid w:val="000B5F9D"/>
    <w:rsid w:val="000C76F3"/>
    <w:rsid w:val="000D4E2E"/>
    <w:rsid w:val="000D721C"/>
    <w:rsid w:val="000E0E8E"/>
    <w:rsid w:val="000E1C7B"/>
    <w:rsid w:val="000E6B7C"/>
    <w:rsid w:val="000F6628"/>
    <w:rsid w:val="00103873"/>
    <w:rsid w:val="00105846"/>
    <w:rsid w:val="001133C1"/>
    <w:rsid w:val="00117DC6"/>
    <w:rsid w:val="001425EF"/>
    <w:rsid w:val="001445BA"/>
    <w:rsid w:val="0015691D"/>
    <w:rsid w:val="00161476"/>
    <w:rsid w:val="0016154E"/>
    <w:rsid w:val="00166020"/>
    <w:rsid w:val="001700B3"/>
    <w:rsid w:val="00176AF3"/>
    <w:rsid w:val="00177F68"/>
    <w:rsid w:val="00193601"/>
    <w:rsid w:val="00194908"/>
    <w:rsid w:val="00196444"/>
    <w:rsid w:val="001A3F75"/>
    <w:rsid w:val="001A4366"/>
    <w:rsid w:val="001A5C58"/>
    <w:rsid w:val="001A5FDE"/>
    <w:rsid w:val="001A727E"/>
    <w:rsid w:val="001B34EA"/>
    <w:rsid w:val="001C0E6E"/>
    <w:rsid w:val="001D01D8"/>
    <w:rsid w:val="001D14AC"/>
    <w:rsid w:val="001D40D6"/>
    <w:rsid w:val="001D7DFF"/>
    <w:rsid w:val="001E020A"/>
    <w:rsid w:val="001E5503"/>
    <w:rsid w:val="001E7670"/>
    <w:rsid w:val="001F1061"/>
    <w:rsid w:val="0020085B"/>
    <w:rsid w:val="00203A3E"/>
    <w:rsid w:val="00203F0A"/>
    <w:rsid w:val="002075C0"/>
    <w:rsid w:val="002079D7"/>
    <w:rsid w:val="0021309D"/>
    <w:rsid w:val="002158F3"/>
    <w:rsid w:val="0021708C"/>
    <w:rsid w:val="00220D8B"/>
    <w:rsid w:val="0022140B"/>
    <w:rsid w:val="0022306B"/>
    <w:rsid w:val="00223D46"/>
    <w:rsid w:val="00226314"/>
    <w:rsid w:val="002324AB"/>
    <w:rsid w:val="00232F5C"/>
    <w:rsid w:val="002364C4"/>
    <w:rsid w:val="002401F1"/>
    <w:rsid w:val="0024569B"/>
    <w:rsid w:val="00250CDB"/>
    <w:rsid w:val="00251016"/>
    <w:rsid w:val="00257C03"/>
    <w:rsid w:val="00260F40"/>
    <w:rsid w:val="00263018"/>
    <w:rsid w:val="00266142"/>
    <w:rsid w:val="00267699"/>
    <w:rsid w:val="002679BB"/>
    <w:rsid w:val="00270D98"/>
    <w:rsid w:val="00270E49"/>
    <w:rsid w:val="00280956"/>
    <w:rsid w:val="00286BC7"/>
    <w:rsid w:val="00287609"/>
    <w:rsid w:val="002913CF"/>
    <w:rsid w:val="0029275E"/>
    <w:rsid w:val="00297740"/>
    <w:rsid w:val="002B1111"/>
    <w:rsid w:val="002B217A"/>
    <w:rsid w:val="002B5B78"/>
    <w:rsid w:val="002B62A3"/>
    <w:rsid w:val="002D2C5E"/>
    <w:rsid w:val="002E01E8"/>
    <w:rsid w:val="002E3DB6"/>
    <w:rsid w:val="002F0121"/>
    <w:rsid w:val="002F6891"/>
    <w:rsid w:val="00302A65"/>
    <w:rsid w:val="0031232A"/>
    <w:rsid w:val="00313FBA"/>
    <w:rsid w:val="00314F82"/>
    <w:rsid w:val="00316539"/>
    <w:rsid w:val="00326218"/>
    <w:rsid w:val="00333A41"/>
    <w:rsid w:val="0033671C"/>
    <w:rsid w:val="003403E5"/>
    <w:rsid w:val="00343412"/>
    <w:rsid w:val="003466EA"/>
    <w:rsid w:val="00346A26"/>
    <w:rsid w:val="00351022"/>
    <w:rsid w:val="00351658"/>
    <w:rsid w:val="00351A25"/>
    <w:rsid w:val="0035289B"/>
    <w:rsid w:val="00360C47"/>
    <w:rsid w:val="00365448"/>
    <w:rsid w:val="00372D8F"/>
    <w:rsid w:val="003746BA"/>
    <w:rsid w:val="00384E28"/>
    <w:rsid w:val="00385AE4"/>
    <w:rsid w:val="003869E4"/>
    <w:rsid w:val="0039490F"/>
    <w:rsid w:val="00395B11"/>
    <w:rsid w:val="00397325"/>
    <w:rsid w:val="003A1B22"/>
    <w:rsid w:val="003A21BA"/>
    <w:rsid w:val="003A6780"/>
    <w:rsid w:val="003A77D6"/>
    <w:rsid w:val="003B1A28"/>
    <w:rsid w:val="003C0436"/>
    <w:rsid w:val="003C69D8"/>
    <w:rsid w:val="003D1AAC"/>
    <w:rsid w:val="003D3012"/>
    <w:rsid w:val="003D574A"/>
    <w:rsid w:val="003D63D6"/>
    <w:rsid w:val="003E00E1"/>
    <w:rsid w:val="003E0E56"/>
    <w:rsid w:val="003E23A8"/>
    <w:rsid w:val="003F14AA"/>
    <w:rsid w:val="003F374D"/>
    <w:rsid w:val="003F6826"/>
    <w:rsid w:val="00401655"/>
    <w:rsid w:val="00403B21"/>
    <w:rsid w:val="004130C4"/>
    <w:rsid w:val="004145B6"/>
    <w:rsid w:val="0041493D"/>
    <w:rsid w:val="004220DA"/>
    <w:rsid w:val="0042420F"/>
    <w:rsid w:val="004325D9"/>
    <w:rsid w:val="004350D8"/>
    <w:rsid w:val="0043620D"/>
    <w:rsid w:val="004400C1"/>
    <w:rsid w:val="00441065"/>
    <w:rsid w:val="00441B30"/>
    <w:rsid w:val="004438EB"/>
    <w:rsid w:val="0044610B"/>
    <w:rsid w:val="00452C5C"/>
    <w:rsid w:val="00461970"/>
    <w:rsid w:val="00463A97"/>
    <w:rsid w:val="0046664C"/>
    <w:rsid w:val="00484C4E"/>
    <w:rsid w:val="00491266"/>
    <w:rsid w:val="00492C35"/>
    <w:rsid w:val="0049453C"/>
    <w:rsid w:val="004A14CD"/>
    <w:rsid w:val="004A49E0"/>
    <w:rsid w:val="004A4D53"/>
    <w:rsid w:val="004B3C65"/>
    <w:rsid w:val="004B4895"/>
    <w:rsid w:val="004B6047"/>
    <w:rsid w:val="004B7311"/>
    <w:rsid w:val="004C4994"/>
    <w:rsid w:val="004C4B86"/>
    <w:rsid w:val="004C56A5"/>
    <w:rsid w:val="004D2CCF"/>
    <w:rsid w:val="004E0CA6"/>
    <w:rsid w:val="004E5662"/>
    <w:rsid w:val="004E69A1"/>
    <w:rsid w:val="004F4B22"/>
    <w:rsid w:val="004F5102"/>
    <w:rsid w:val="004F75CB"/>
    <w:rsid w:val="0050584C"/>
    <w:rsid w:val="00506C74"/>
    <w:rsid w:val="005216A9"/>
    <w:rsid w:val="005277AF"/>
    <w:rsid w:val="00533550"/>
    <w:rsid w:val="00533846"/>
    <w:rsid w:val="00535556"/>
    <w:rsid w:val="0053762F"/>
    <w:rsid w:val="00542312"/>
    <w:rsid w:val="0054592F"/>
    <w:rsid w:val="005532E9"/>
    <w:rsid w:val="00554A84"/>
    <w:rsid w:val="00555094"/>
    <w:rsid w:val="00564838"/>
    <w:rsid w:val="00564B4E"/>
    <w:rsid w:val="005725CF"/>
    <w:rsid w:val="00572882"/>
    <w:rsid w:val="005762C5"/>
    <w:rsid w:val="00576582"/>
    <w:rsid w:val="00577030"/>
    <w:rsid w:val="00594980"/>
    <w:rsid w:val="00596594"/>
    <w:rsid w:val="00597D12"/>
    <w:rsid w:val="00597E95"/>
    <w:rsid w:val="005A1A44"/>
    <w:rsid w:val="005A1F94"/>
    <w:rsid w:val="005B11CE"/>
    <w:rsid w:val="005B12DD"/>
    <w:rsid w:val="005B182A"/>
    <w:rsid w:val="005B2442"/>
    <w:rsid w:val="005B24B0"/>
    <w:rsid w:val="005B3BF4"/>
    <w:rsid w:val="005B41A2"/>
    <w:rsid w:val="005B6823"/>
    <w:rsid w:val="005C1BB0"/>
    <w:rsid w:val="005C6C47"/>
    <w:rsid w:val="005D1AD9"/>
    <w:rsid w:val="005D1B6F"/>
    <w:rsid w:val="005E1C28"/>
    <w:rsid w:val="005E2685"/>
    <w:rsid w:val="005E54BE"/>
    <w:rsid w:val="005E760B"/>
    <w:rsid w:val="005F17F3"/>
    <w:rsid w:val="005F271D"/>
    <w:rsid w:val="005F48C6"/>
    <w:rsid w:val="005F6FF8"/>
    <w:rsid w:val="005F7D30"/>
    <w:rsid w:val="00600D5C"/>
    <w:rsid w:val="00604476"/>
    <w:rsid w:val="00610054"/>
    <w:rsid w:val="006124ED"/>
    <w:rsid w:val="00613D85"/>
    <w:rsid w:val="00620FB2"/>
    <w:rsid w:val="00621B1C"/>
    <w:rsid w:val="0063248D"/>
    <w:rsid w:val="0063510D"/>
    <w:rsid w:val="00641535"/>
    <w:rsid w:val="00646D58"/>
    <w:rsid w:val="00647746"/>
    <w:rsid w:val="0066051E"/>
    <w:rsid w:val="00663703"/>
    <w:rsid w:val="006646AD"/>
    <w:rsid w:val="00671E8C"/>
    <w:rsid w:val="00672F2D"/>
    <w:rsid w:val="00673778"/>
    <w:rsid w:val="00675A2D"/>
    <w:rsid w:val="006811AA"/>
    <w:rsid w:val="0068380B"/>
    <w:rsid w:val="0069021F"/>
    <w:rsid w:val="006971F6"/>
    <w:rsid w:val="006A00BE"/>
    <w:rsid w:val="006A1952"/>
    <w:rsid w:val="006C174E"/>
    <w:rsid w:val="006C2D50"/>
    <w:rsid w:val="006C4445"/>
    <w:rsid w:val="006D003F"/>
    <w:rsid w:val="006E5835"/>
    <w:rsid w:val="006F23DC"/>
    <w:rsid w:val="006F5086"/>
    <w:rsid w:val="006F63A1"/>
    <w:rsid w:val="006F7F93"/>
    <w:rsid w:val="007021BA"/>
    <w:rsid w:val="007021CB"/>
    <w:rsid w:val="0070487F"/>
    <w:rsid w:val="00705CB1"/>
    <w:rsid w:val="00712EEE"/>
    <w:rsid w:val="00713DF5"/>
    <w:rsid w:val="00713FE5"/>
    <w:rsid w:val="007277C9"/>
    <w:rsid w:val="00731D9F"/>
    <w:rsid w:val="007329B0"/>
    <w:rsid w:val="00733EE8"/>
    <w:rsid w:val="007400AC"/>
    <w:rsid w:val="00743CF7"/>
    <w:rsid w:val="00745460"/>
    <w:rsid w:val="0075091A"/>
    <w:rsid w:val="00752445"/>
    <w:rsid w:val="007559A9"/>
    <w:rsid w:val="00757A09"/>
    <w:rsid w:val="00764BC3"/>
    <w:rsid w:val="00771F43"/>
    <w:rsid w:val="00775F25"/>
    <w:rsid w:val="00775FF5"/>
    <w:rsid w:val="0077665F"/>
    <w:rsid w:val="0078389F"/>
    <w:rsid w:val="00785656"/>
    <w:rsid w:val="00785BF7"/>
    <w:rsid w:val="007862E9"/>
    <w:rsid w:val="00786585"/>
    <w:rsid w:val="007976A4"/>
    <w:rsid w:val="007B363C"/>
    <w:rsid w:val="007C4E6B"/>
    <w:rsid w:val="007D5405"/>
    <w:rsid w:val="007E1502"/>
    <w:rsid w:val="007E77F3"/>
    <w:rsid w:val="007F0226"/>
    <w:rsid w:val="007F2822"/>
    <w:rsid w:val="007F4964"/>
    <w:rsid w:val="007F543C"/>
    <w:rsid w:val="008015A5"/>
    <w:rsid w:val="00804B4E"/>
    <w:rsid w:val="00807B04"/>
    <w:rsid w:val="00807F1A"/>
    <w:rsid w:val="008132A7"/>
    <w:rsid w:val="00813BCB"/>
    <w:rsid w:val="00815562"/>
    <w:rsid w:val="00817C81"/>
    <w:rsid w:val="00817F09"/>
    <w:rsid w:val="0082212B"/>
    <w:rsid w:val="0082246F"/>
    <w:rsid w:val="00823983"/>
    <w:rsid w:val="00825B20"/>
    <w:rsid w:val="0082662A"/>
    <w:rsid w:val="00826C67"/>
    <w:rsid w:val="008320D8"/>
    <w:rsid w:val="008323B1"/>
    <w:rsid w:val="0083594F"/>
    <w:rsid w:val="00840203"/>
    <w:rsid w:val="008432CE"/>
    <w:rsid w:val="008467A2"/>
    <w:rsid w:val="0085337B"/>
    <w:rsid w:val="00855656"/>
    <w:rsid w:val="00862526"/>
    <w:rsid w:val="008658EE"/>
    <w:rsid w:val="00866A89"/>
    <w:rsid w:val="0087364D"/>
    <w:rsid w:val="00874DC0"/>
    <w:rsid w:val="00883D1D"/>
    <w:rsid w:val="008849C4"/>
    <w:rsid w:val="00885205"/>
    <w:rsid w:val="008A1680"/>
    <w:rsid w:val="008A4618"/>
    <w:rsid w:val="008A5B13"/>
    <w:rsid w:val="008A5B45"/>
    <w:rsid w:val="008B1141"/>
    <w:rsid w:val="008B1BC9"/>
    <w:rsid w:val="008B2765"/>
    <w:rsid w:val="008B35CB"/>
    <w:rsid w:val="008B7D01"/>
    <w:rsid w:val="008C56F7"/>
    <w:rsid w:val="008D0C5F"/>
    <w:rsid w:val="008D16A4"/>
    <w:rsid w:val="008D1932"/>
    <w:rsid w:val="008E0694"/>
    <w:rsid w:val="008E0A79"/>
    <w:rsid w:val="008E0FE6"/>
    <w:rsid w:val="008E1B27"/>
    <w:rsid w:val="008E461F"/>
    <w:rsid w:val="008E529E"/>
    <w:rsid w:val="008E5B6F"/>
    <w:rsid w:val="008E6780"/>
    <w:rsid w:val="008E7366"/>
    <w:rsid w:val="008E7F8C"/>
    <w:rsid w:val="008F1529"/>
    <w:rsid w:val="008F23D0"/>
    <w:rsid w:val="008F36FA"/>
    <w:rsid w:val="008F3ED8"/>
    <w:rsid w:val="00902510"/>
    <w:rsid w:val="00904B30"/>
    <w:rsid w:val="0090606A"/>
    <w:rsid w:val="009103C3"/>
    <w:rsid w:val="009104B4"/>
    <w:rsid w:val="00917DDC"/>
    <w:rsid w:val="00932538"/>
    <w:rsid w:val="00932652"/>
    <w:rsid w:val="00935969"/>
    <w:rsid w:val="00942BD5"/>
    <w:rsid w:val="00946B83"/>
    <w:rsid w:val="00947E5F"/>
    <w:rsid w:val="00955D26"/>
    <w:rsid w:val="009601DB"/>
    <w:rsid w:val="009603F3"/>
    <w:rsid w:val="009618DA"/>
    <w:rsid w:val="009619C4"/>
    <w:rsid w:val="00961F04"/>
    <w:rsid w:val="009652A9"/>
    <w:rsid w:val="009655F3"/>
    <w:rsid w:val="009743DF"/>
    <w:rsid w:val="00985B8E"/>
    <w:rsid w:val="0098619D"/>
    <w:rsid w:val="00987967"/>
    <w:rsid w:val="00991309"/>
    <w:rsid w:val="0099152D"/>
    <w:rsid w:val="00994986"/>
    <w:rsid w:val="009950BA"/>
    <w:rsid w:val="009A1A27"/>
    <w:rsid w:val="009A2C02"/>
    <w:rsid w:val="009A4C06"/>
    <w:rsid w:val="009A6920"/>
    <w:rsid w:val="009A795F"/>
    <w:rsid w:val="009B2A7A"/>
    <w:rsid w:val="009B6A9E"/>
    <w:rsid w:val="009C097B"/>
    <w:rsid w:val="009C0ED7"/>
    <w:rsid w:val="009C7360"/>
    <w:rsid w:val="009D5232"/>
    <w:rsid w:val="009D65D8"/>
    <w:rsid w:val="009D7B44"/>
    <w:rsid w:val="009E1A55"/>
    <w:rsid w:val="009E3E00"/>
    <w:rsid w:val="009E60CC"/>
    <w:rsid w:val="009F19F4"/>
    <w:rsid w:val="00A01CC2"/>
    <w:rsid w:val="00A02D80"/>
    <w:rsid w:val="00A054D8"/>
    <w:rsid w:val="00A110B0"/>
    <w:rsid w:val="00A13D54"/>
    <w:rsid w:val="00A400DE"/>
    <w:rsid w:val="00A41819"/>
    <w:rsid w:val="00A42A64"/>
    <w:rsid w:val="00A44757"/>
    <w:rsid w:val="00A5075E"/>
    <w:rsid w:val="00A55827"/>
    <w:rsid w:val="00A55ED2"/>
    <w:rsid w:val="00A6414E"/>
    <w:rsid w:val="00A65655"/>
    <w:rsid w:val="00A66434"/>
    <w:rsid w:val="00A703E5"/>
    <w:rsid w:val="00A70862"/>
    <w:rsid w:val="00A7228A"/>
    <w:rsid w:val="00A7257F"/>
    <w:rsid w:val="00A7494C"/>
    <w:rsid w:val="00A75CFD"/>
    <w:rsid w:val="00A771BE"/>
    <w:rsid w:val="00A80FD3"/>
    <w:rsid w:val="00A817B0"/>
    <w:rsid w:val="00A81D34"/>
    <w:rsid w:val="00A826A7"/>
    <w:rsid w:val="00A83E13"/>
    <w:rsid w:val="00A86CB4"/>
    <w:rsid w:val="00A87020"/>
    <w:rsid w:val="00A97A87"/>
    <w:rsid w:val="00AA53BF"/>
    <w:rsid w:val="00AB2447"/>
    <w:rsid w:val="00AB3AB9"/>
    <w:rsid w:val="00AB7F9C"/>
    <w:rsid w:val="00AC3CB9"/>
    <w:rsid w:val="00AC43A5"/>
    <w:rsid w:val="00AC5668"/>
    <w:rsid w:val="00AC5BBE"/>
    <w:rsid w:val="00AC5F62"/>
    <w:rsid w:val="00AC6302"/>
    <w:rsid w:val="00AD3482"/>
    <w:rsid w:val="00AD6525"/>
    <w:rsid w:val="00AE6C2A"/>
    <w:rsid w:val="00AF1CBA"/>
    <w:rsid w:val="00AF245D"/>
    <w:rsid w:val="00AF6D35"/>
    <w:rsid w:val="00B0185A"/>
    <w:rsid w:val="00B02ED4"/>
    <w:rsid w:val="00B13A49"/>
    <w:rsid w:val="00B14420"/>
    <w:rsid w:val="00B14838"/>
    <w:rsid w:val="00B160CA"/>
    <w:rsid w:val="00B170E7"/>
    <w:rsid w:val="00B225A2"/>
    <w:rsid w:val="00B2658E"/>
    <w:rsid w:val="00B31B29"/>
    <w:rsid w:val="00B344A4"/>
    <w:rsid w:val="00B35682"/>
    <w:rsid w:val="00B36A95"/>
    <w:rsid w:val="00B50D8C"/>
    <w:rsid w:val="00B62831"/>
    <w:rsid w:val="00B7310B"/>
    <w:rsid w:val="00B744AD"/>
    <w:rsid w:val="00B767E5"/>
    <w:rsid w:val="00B8030D"/>
    <w:rsid w:val="00B94447"/>
    <w:rsid w:val="00B96119"/>
    <w:rsid w:val="00B967C8"/>
    <w:rsid w:val="00BA15A2"/>
    <w:rsid w:val="00BA2726"/>
    <w:rsid w:val="00BA36E5"/>
    <w:rsid w:val="00BB1805"/>
    <w:rsid w:val="00BC3638"/>
    <w:rsid w:val="00BC3C43"/>
    <w:rsid w:val="00BC3D30"/>
    <w:rsid w:val="00BD05BA"/>
    <w:rsid w:val="00BD1DEA"/>
    <w:rsid w:val="00BD2812"/>
    <w:rsid w:val="00BD7670"/>
    <w:rsid w:val="00BE464D"/>
    <w:rsid w:val="00BE538B"/>
    <w:rsid w:val="00BE79F7"/>
    <w:rsid w:val="00BF6041"/>
    <w:rsid w:val="00C0278B"/>
    <w:rsid w:val="00C04890"/>
    <w:rsid w:val="00C12759"/>
    <w:rsid w:val="00C226B0"/>
    <w:rsid w:val="00C26657"/>
    <w:rsid w:val="00C26BAA"/>
    <w:rsid w:val="00C33E20"/>
    <w:rsid w:val="00C40C9C"/>
    <w:rsid w:val="00C417E9"/>
    <w:rsid w:val="00C479AA"/>
    <w:rsid w:val="00C47B17"/>
    <w:rsid w:val="00C61C4C"/>
    <w:rsid w:val="00C748AA"/>
    <w:rsid w:val="00C80189"/>
    <w:rsid w:val="00C807F6"/>
    <w:rsid w:val="00C80B17"/>
    <w:rsid w:val="00C85993"/>
    <w:rsid w:val="00C86DAA"/>
    <w:rsid w:val="00C91710"/>
    <w:rsid w:val="00C93260"/>
    <w:rsid w:val="00C93BCC"/>
    <w:rsid w:val="00C95A2F"/>
    <w:rsid w:val="00CA4821"/>
    <w:rsid w:val="00CB6B49"/>
    <w:rsid w:val="00CB7A18"/>
    <w:rsid w:val="00CC1F09"/>
    <w:rsid w:val="00CD04A1"/>
    <w:rsid w:val="00CD0CF9"/>
    <w:rsid w:val="00CD1A36"/>
    <w:rsid w:val="00CD72C2"/>
    <w:rsid w:val="00CD7FC1"/>
    <w:rsid w:val="00CE3D1D"/>
    <w:rsid w:val="00CE6543"/>
    <w:rsid w:val="00CE6AA7"/>
    <w:rsid w:val="00CF2EF5"/>
    <w:rsid w:val="00D0144B"/>
    <w:rsid w:val="00D030C7"/>
    <w:rsid w:val="00D10D67"/>
    <w:rsid w:val="00D1257E"/>
    <w:rsid w:val="00D143EB"/>
    <w:rsid w:val="00D14B7F"/>
    <w:rsid w:val="00D219B1"/>
    <w:rsid w:val="00D2258F"/>
    <w:rsid w:val="00D240A5"/>
    <w:rsid w:val="00D24CE4"/>
    <w:rsid w:val="00D26017"/>
    <w:rsid w:val="00D27386"/>
    <w:rsid w:val="00D32565"/>
    <w:rsid w:val="00D4129B"/>
    <w:rsid w:val="00D45E30"/>
    <w:rsid w:val="00D51BDF"/>
    <w:rsid w:val="00D555FF"/>
    <w:rsid w:val="00D60944"/>
    <w:rsid w:val="00D652A9"/>
    <w:rsid w:val="00D71188"/>
    <w:rsid w:val="00D73C2F"/>
    <w:rsid w:val="00D75CC9"/>
    <w:rsid w:val="00D76176"/>
    <w:rsid w:val="00D85FB0"/>
    <w:rsid w:val="00D874D6"/>
    <w:rsid w:val="00D909FF"/>
    <w:rsid w:val="00D91AA4"/>
    <w:rsid w:val="00DA1007"/>
    <w:rsid w:val="00DA43AF"/>
    <w:rsid w:val="00DA4658"/>
    <w:rsid w:val="00DA737D"/>
    <w:rsid w:val="00DB2588"/>
    <w:rsid w:val="00DC159C"/>
    <w:rsid w:val="00DC19A2"/>
    <w:rsid w:val="00DC48FD"/>
    <w:rsid w:val="00DC4E38"/>
    <w:rsid w:val="00DD2E91"/>
    <w:rsid w:val="00DE5160"/>
    <w:rsid w:val="00DE6984"/>
    <w:rsid w:val="00DF3A5C"/>
    <w:rsid w:val="00DF653A"/>
    <w:rsid w:val="00E07726"/>
    <w:rsid w:val="00E07955"/>
    <w:rsid w:val="00E07CB5"/>
    <w:rsid w:val="00E1165D"/>
    <w:rsid w:val="00E143DB"/>
    <w:rsid w:val="00E15251"/>
    <w:rsid w:val="00E31E69"/>
    <w:rsid w:val="00E3329A"/>
    <w:rsid w:val="00E37E69"/>
    <w:rsid w:val="00E45FE3"/>
    <w:rsid w:val="00E46A6B"/>
    <w:rsid w:val="00E52DDE"/>
    <w:rsid w:val="00E53366"/>
    <w:rsid w:val="00E57EB8"/>
    <w:rsid w:val="00E632A9"/>
    <w:rsid w:val="00E66F65"/>
    <w:rsid w:val="00E73F4C"/>
    <w:rsid w:val="00E748C5"/>
    <w:rsid w:val="00E74EEF"/>
    <w:rsid w:val="00E87C68"/>
    <w:rsid w:val="00E87FB5"/>
    <w:rsid w:val="00E92CC9"/>
    <w:rsid w:val="00E97FF6"/>
    <w:rsid w:val="00EA18DF"/>
    <w:rsid w:val="00EA3A65"/>
    <w:rsid w:val="00EA4A93"/>
    <w:rsid w:val="00EA702C"/>
    <w:rsid w:val="00EB1866"/>
    <w:rsid w:val="00EB4CF1"/>
    <w:rsid w:val="00EB64C8"/>
    <w:rsid w:val="00EB707C"/>
    <w:rsid w:val="00EC10DA"/>
    <w:rsid w:val="00EC4A74"/>
    <w:rsid w:val="00ED7C13"/>
    <w:rsid w:val="00EF2EF0"/>
    <w:rsid w:val="00EF5CF2"/>
    <w:rsid w:val="00F10DF9"/>
    <w:rsid w:val="00F158AD"/>
    <w:rsid w:val="00F20A30"/>
    <w:rsid w:val="00F22645"/>
    <w:rsid w:val="00F2418C"/>
    <w:rsid w:val="00F41EC9"/>
    <w:rsid w:val="00F422AE"/>
    <w:rsid w:val="00F468D0"/>
    <w:rsid w:val="00F554E9"/>
    <w:rsid w:val="00F63DCD"/>
    <w:rsid w:val="00F63F14"/>
    <w:rsid w:val="00F64B7E"/>
    <w:rsid w:val="00F66EED"/>
    <w:rsid w:val="00F71917"/>
    <w:rsid w:val="00F7634B"/>
    <w:rsid w:val="00F76991"/>
    <w:rsid w:val="00F77237"/>
    <w:rsid w:val="00F826BC"/>
    <w:rsid w:val="00F924D3"/>
    <w:rsid w:val="00F949B0"/>
    <w:rsid w:val="00F953E3"/>
    <w:rsid w:val="00F974D3"/>
    <w:rsid w:val="00FA0530"/>
    <w:rsid w:val="00FA09D9"/>
    <w:rsid w:val="00FB05B4"/>
    <w:rsid w:val="00FB086C"/>
    <w:rsid w:val="00FB3237"/>
    <w:rsid w:val="00FB4B3D"/>
    <w:rsid w:val="00FB5AE5"/>
    <w:rsid w:val="00FB6E6B"/>
    <w:rsid w:val="00FC2354"/>
    <w:rsid w:val="00FD0022"/>
    <w:rsid w:val="00FD0B01"/>
    <w:rsid w:val="00FD2B66"/>
    <w:rsid w:val="00FD3BF8"/>
    <w:rsid w:val="00FE04CF"/>
    <w:rsid w:val="00FE499A"/>
    <w:rsid w:val="00FE555D"/>
    <w:rsid w:val="00FF14DE"/>
    <w:rsid w:val="00FF2867"/>
    <w:rsid w:val="00FF4162"/>
    <w:rsid w:val="00FF58C5"/>
    <w:rsid w:val="00FF5E2C"/>
    <w:rsid w:val="00FF6D48"/>
    <w:rsid w:val="00FF76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EDA048"/>
  <w15:docId w15:val="{CEFA69A9-60A9-4338-B12C-48842043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1A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B1A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D7DF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4366"/>
    <w:pPr>
      <w:tabs>
        <w:tab w:val="center" w:pos="4252"/>
        <w:tab w:val="right" w:pos="8504"/>
      </w:tabs>
      <w:spacing w:after="0" w:line="240" w:lineRule="auto"/>
    </w:pPr>
  </w:style>
  <w:style w:type="character" w:customStyle="1" w:styleId="HeaderChar">
    <w:name w:val="Header Char"/>
    <w:basedOn w:val="DefaultParagraphFont"/>
    <w:link w:val="Header"/>
    <w:uiPriority w:val="99"/>
    <w:rsid w:val="001A4366"/>
  </w:style>
  <w:style w:type="paragraph" w:styleId="Footer">
    <w:name w:val="footer"/>
    <w:basedOn w:val="Normal"/>
    <w:link w:val="FooterChar"/>
    <w:uiPriority w:val="99"/>
    <w:unhideWhenUsed/>
    <w:rsid w:val="001A4366"/>
    <w:pPr>
      <w:tabs>
        <w:tab w:val="center" w:pos="4252"/>
        <w:tab w:val="right" w:pos="8504"/>
      </w:tabs>
      <w:spacing w:after="0" w:line="240" w:lineRule="auto"/>
    </w:pPr>
  </w:style>
  <w:style w:type="character" w:customStyle="1" w:styleId="FooterChar">
    <w:name w:val="Footer Char"/>
    <w:basedOn w:val="DefaultParagraphFont"/>
    <w:link w:val="Footer"/>
    <w:uiPriority w:val="99"/>
    <w:rsid w:val="001A4366"/>
  </w:style>
  <w:style w:type="paragraph" w:styleId="BalloonText">
    <w:name w:val="Balloon Text"/>
    <w:basedOn w:val="Normal"/>
    <w:link w:val="BalloonTextChar"/>
    <w:uiPriority w:val="99"/>
    <w:semiHidden/>
    <w:unhideWhenUsed/>
    <w:rsid w:val="002130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09D"/>
    <w:rPr>
      <w:rFonts w:ascii="Tahoma" w:hAnsi="Tahoma" w:cs="Tahoma"/>
      <w:sz w:val="16"/>
      <w:szCs w:val="16"/>
    </w:rPr>
  </w:style>
  <w:style w:type="table" w:styleId="TableGrid">
    <w:name w:val="Table Grid"/>
    <w:basedOn w:val="TableNormal"/>
    <w:uiPriority w:val="39"/>
    <w:rsid w:val="00F77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B1A2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B1A28"/>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3B1A2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564838"/>
    <w:rPr>
      <w:color w:val="0563C1" w:themeColor="hyperlink"/>
      <w:u w:val="single"/>
    </w:rPr>
  </w:style>
  <w:style w:type="character" w:styleId="UnresolvedMention">
    <w:name w:val="Unresolved Mention"/>
    <w:basedOn w:val="DefaultParagraphFont"/>
    <w:uiPriority w:val="99"/>
    <w:semiHidden/>
    <w:unhideWhenUsed/>
    <w:rsid w:val="00564838"/>
    <w:rPr>
      <w:color w:val="605E5C"/>
      <w:shd w:val="clear" w:color="auto" w:fill="E1DFDD"/>
    </w:rPr>
  </w:style>
  <w:style w:type="paragraph" w:styleId="FootnoteText">
    <w:name w:val="footnote text"/>
    <w:basedOn w:val="Normal"/>
    <w:link w:val="FootnoteTextChar"/>
    <w:uiPriority w:val="99"/>
    <w:semiHidden/>
    <w:unhideWhenUsed/>
    <w:rsid w:val="007E77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77F3"/>
    <w:rPr>
      <w:sz w:val="20"/>
      <w:szCs w:val="20"/>
    </w:rPr>
  </w:style>
  <w:style w:type="character" w:styleId="FootnoteReference">
    <w:name w:val="footnote reference"/>
    <w:basedOn w:val="DefaultParagraphFont"/>
    <w:uiPriority w:val="99"/>
    <w:semiHidden/>
    <w:unhideWhenUsed/>
    <w:rsid w:val="007E77F3"/>
    <w:rPr>
      <w:vertAlign w:val="superscript"/>
    </w:rPr>
  </w:style>
  <w:style w:type="paragraph" w:styleId="Caption">
    <w:name w:val="caption"/>
    <w:basedOn w:val="Normal"/>
    <w:next w:val="Normal"/>
    <w:uiPriority w:val="35"/>
    <w:unhideWhenUsed/>
    <w:qFormat/>
    <w:rsid w:val="00161476"/>
    <w:pPr>
      <w:spacing w:after="200" w:line="240" w:lineRule="auto"/>
    </w:pPr>
    <w:rPr>
      <w:i/>
      <w:iCs/>
      <w:color w:val="44546A" w:themeColor="text2"/>
      <w:sz w:val="18"/>
      <w:szCs w:val="18"/>
    </w:rPr>
  </w:style>
  <w:style w:type="paragraph" w:styleId="ListParagraph">
    <w:name w:val="List Paragraph"/>
    <w:basedOn w:val="Normal"/>
    <w:uiPriority w:val="34"/>
    <w:qFormat/>
    <w:rsid w:val="00E87C68"/>
    <w:pPr>
      <w:ind w:left="720"/>
      <w:contextualSpacing/>
    </w:pPr>
  </w:style>
  <w:style w:type="character" w:customStyle="1" w:styleId="Heading3Char">
    <w:name w:val="Heading 3 Char"/>
    <w:basedOn w:val="DefaultParagraphFont"/>
    <w:link w:val="Heading3"/>
    <w:uiPriority w:val="9"/>
    <w:rsid w:val="001D7DFF"/>
    <w:rPr>
      <w:rFonts w:asciiTheme="majorHAnsi" w:eastAsiaTheme="majorEastAsia" w:hAnsiTheme="majorHAnsi" w:cstheme="majorBidi"/>
      <w:color w:val="1F3763" w:themeColor="accent1" w:themeShade="7F"/>
      <w:sz w:val="24"/>
      <w:szCs w:val="24"/>
    </w:rPr>
  </w:style>
  <w:style w:type="paragraph" w:customStyle="1" w:styleId="Default">
    <w:name w:val="Default"/>
    <w:rsid w:val="00EA18DF"/>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1013">
      <w:bodyDiv w:val="1"/>
      <w:marLeft w:val="0"/>
      <w:marRight w:val="0"/>
      <w:marTop w:val="0"/>
      <w:marBottom w:val="0"/>
      <w:divBdr>
        <w:top w:val="none" w:sz="0" w:space="0" w:color="auto"/>
        <w:left w:val="none" w:sz="0" w:space="0" w:color="auto"/>
        <w:bottom w:val="none" w:sz="0" w:space="0" w:color="auto"/>
        <w:right w:val="none" w:sz="0" w:space="0" w:color="auto"/>
      </w:divBdr>
    </w:div>
    <w:div w:id="13003680">
      <w:bodyDiv w:val="1"/>
      <w:marLeft w:val="0"/>
      <w:marRight w:val="0"/>
      <w:marTop w:val="0"/>
      <w:marBottom w:val="0"/>
      <w:divBdr>
        <w:top w:val="none" w:sz="0" w:space="0" w:color="auto"/>
        <w:left w:val="none" w:sz="0" w:space="0" w:color="auto"/>
        <w:bottom w:val="none" w:sz="0" w:space="0" w:color="auto"/>
        <w:right w:val="none" w:sz="0" w:space="0" w:color="auto"/>
      </w:divBdr>
    </w:div>
    <w:div w:id="43986805">
      <w:bodyDiv w:val="1"/>
      <w:marLeft w:val="0"/>
      <w:marRight w:val="0"/>
      <w:marTop w:val="0"/>
      <w:marBottom w:val="0"/>
      <w:divBdr>
        <w:top w:val="none" w:sz="0" w:space="0" w:color="auto"/>
        <w:left w:val="none" w:sz="0" w:space="0" w:color="auto"/>
        <w:bottom w:val="none" w:sz="0" w:space="0" w:color="auto"/>
        <w:right w:val="none" w:sz="0" w:space="0" w:color="auto"/>
      </w:divBdr>
    </w:div>
    <w:div w:id="68430937">
      <w:bodyDiv w:val="1"/>
      <w:marLeft w:val="0"/>
      <w:marRight w:val="0"/>
      <w:marTop w:val="0"/>
      <w:marBottom w:val="0"/>
      <w:divBdr>
        <w:top w:val="none" w:sz="0" w:space="0" w:color="auto"/>
        <w:left w:val="none" w:sz="0" w:space="0" w:color="auto"/>
        <w:bottom w:val="none" w:sz="0" w:space="0" w:color="auto"/>
        <w:right w:val="none" w:sz="0" w:space="0" w:color="auto"/>
      </w:divBdr>
    </w:div>
    <w:div w:id="248127696">
      <w:bodyDiv w:val="1"/>
      <w:marLeft w:val="0"/>
      <w:marRight w:val="0"/>
      <w:marTop w:val="0"/>
      <w:marBottom w:val="0"/>
      <w:divBdr>
        <w:top w:val="none" w:sz="0" w:space="0" w:color="auto"/>
        <w:left w:val="none" w:sz="0" w:space="0" w:color="auto"/>
        <w:bottom w:val="none" w:sz="0" w:space="0" w:color="auto"/>
        <w:right w:val="none" w:sz="0" w:space="0" w:color="auto"/>
      </w:divBdr>
    </w:div>
    <w:div w:id="553539156">
      <w:bodyDiv w:val="1"/>
      <w:marLeft w:val="0"/>
      <w:marRight w:val="0"/>
      <w:marTop w:val="0"/>
      <w:marBottom w:val="0"/>
      <w:divBdr>
        <w:top w:val="none" w:sz="0" w:space="0" w:color="auto"/>
        <w:left w:val="none" w:sz="0" w:space="0" w:color="auto"/>
        <w:bottom w:val="none" w:sz="0" w:space="0" w:color="auto"/>
        <w:right w:val="none" w:sz="0" w:space="0" w:color="auto"/>
      </w:divBdr>
    </w:div>
    <w:div w:id="594555070">
      <w:bodyDiv w:val="1"/>
      <w:marLeft w:val="0"/>
      <w:marRight w:val="0"/>
      <w:marTop w:val="0"/>
      <w:marBottom w:val="0"/>
      <w:divBdr>
        <w:top w:val="none" w:sz="0" w:space="0" w:color="auto"/>
        <w:left w:val="none" w:sz="0" w:space="0" w:color="auto"/>
        <w:bottom w:val="none" w:sz="0" w:space="0" w:color="auto"/>
        <w:right w:val="none" w:sz="0" w:space="0" w:color="auto"/>
      </w:divBdr>
    </w:div>
    <w:div w:id="661080991">
      <w:bodyDiv w:val="1"/>
      <w:marLeft w:val="0"/>
      <w:marRight w:val="0"/>
      <w:marTop w:val="0"/>
      <w:marBottom w:val="0"/>
      <w:divBdr>
        <w:top w:val="none" w:sz="0" w:space="0" w:color="auto"/>
        <w:left w:val="none" w:sz="0" w:space="0" w:color="auto"/>
        <w:bottom w:val="none" w:sz="0" w:space="0" w:color="auto"/>
        <w:right w:val="none" w:sz="0" w:space="0" w:color="auto"/>
      </w:divBdr>
    </w:div>
    <w:div w:id="722214358">
      <w:bodyDiv w:val="1"/>
      <w:marLeft w:val="0"/>
      <w:marRight w:val="0"/>
      <w:marTop w:val="0"/>
      <w:marBottom w:val="0"/>
      <w:divBdr>
        <w:top w:val="none" w:sz="0" w:space="0" w:color="auto"/>
        <w:left w:val="none" w:sz="0" w:space="0" w:color="auto"/>
        <w:bottom w:val="none" w:sz="0" w:space="0" w:color="auto"/>
        <w:right w:val="none" w:sz="0" w:space="0" w:color="auto"/>
      </w:divBdr>
    </w:div>
    <w:div w:id="1140151144">
      <w:bodyDiv w:val="1"/>
      <w:marLeft w:val="0"/>
      <w:marRight w:val="0"/>
      <w:marTop w:val="0"/>
      <w:marBottom w:val="0"/>
      <w:divBdr>
        <w:top w:val="none" w:sz="0" w:space="0" w:color="auto"/>
        <w:left w:val="none" w:sz="0" w:space="0" w:color="auto"/>
        <w:bottom w:val="none" w:sz="0" w:space="0" w:color="auto"/>
        <w:right w:val="none" w:sz="0" w:space="0" w:color="auto"/>
      </w:divBdr>
    </w:div>
    <w:div w:id="1419399659">
      <w:bodyDiv w:val="1"/>
      <w:marLeft w:val="0"/>
      <w:marRight w:val="0"/>
      <w:marTop w:val="0"/>
      <w:marBottom w:val="0"/>
      <w:divBdr>
        <w:top w:val="none" w:sz="0" w:space="0" w:color="auto"/>
        <w:left w:val="none" w:sz="0" w:space="0" w:color="auto"/>
        <w:bottom w:val="none" w:sz="0" w:space="0" w:color="auto"/>
        <w:right w:val="none" w:sz="0" w:space="0" w:color="auto"/>
      </w:divBdr>
    </w:div>
    <w:div w:id="1484466422">
      <w:bodyDiv w:val="1"/>
      <w:marLeft w:val="0"/>
      <w:marRight w:val="0"/>
      <w:marTop w:val="0"/>
      <w:marBottom w:val="0"/>
      <w:divBdr>
        <w:top w:val="none" w:sz="0" w:space="0" w:color="auto"/>
        <w:left w:val="none" w:sz="0" w:space="0" w:color="auto"/>
        <w:bottom w:val="none" w:sz="0" w:space="0" w:color="auto"/>
        <w:right w:val="none" w:sz="0" w:space="0" w:color="auto"/>
      </w:divBdr>
    </w:div>
    <w:div w:id="1615164829">
      <w:bodyDiv w:val="1"/>
      <w:marLeft w:val="0"/>
      <w:marRight w:val="0"/>
      <w:marTop w:val="0"/>
      <w:marBottom w:val="0"/>
      <w:divBdr>
        <w:top w:val="none" w:sz="0" w:space="0" w:color="auto"/>
        <w:left w:val="none" w:sz="0" w:space="0" w:color="auto"/>
        <w:bottom w:val="none" w:sz="0" w:space="0" w:color="auto"/>
        <w:right w:val="none" w:sz="0" w:space="0" w:color="auto"/>
      </w:divBdr>
    </w:div>
    <w:div w:id="19416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publications.iadb.org/handle/11319/850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4.unfccc.int/ndcregistry/PublishedDocuments/Uruguay%20First/Uruguay_Primera%20Contribuci%C3%B3n%20Determinada%20a%20nivel%20Nacional.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4.unfccc.int/ndcregistry/PublishedDocuments/Argentina%20First/17112016%20NDC%20Revisada%202016.pdf" TargetMode="External"/><Relationship Id="rId22"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1" Type="http://schemas.openxmlformats.org/officeDocument/2006/relationships/hyperlink" Target="http://ambiente.gob.ar/tercera-comunicacion-nacion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EC9FD821D26B849BBC0E164584B5A03" ma:contentTypeVersion="1826" ma:contentTypeDescription="A content type to manage public (operations) IDB documents" ma:contentTypeScope="" ma:versionID="fb7afd3357cfae79f60c6ba499ef77f4">
  <xsd:schema xmlns:xsd="http://www.w3.org/2001/XMLSchema" xmlns:xs="http://www.w3.org/2001/XMLSchema" xmlns:p="http://schemas.microsoft.com/office/2006/metadata/properties" xmlns:ns2="cdc7663a-08f0-4737-9e8c-148ce897a09c" targetNamespace="http://schemas.microsoft.com/office/2006/metadata/properties" ma:root="true" ma:fieldsID="77d29b753b50cd71ac0b1ae1b6cbebc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2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4644D0F0C538B0458FDAA55D4BC6147E" ma:contentTypeVersion="196" ma:contentTypeDescription="The base project type from which other project content types inherit their information." ma:contentTypeScope="" ma:versionID="b405090b3aea714810d4dc0a9cfbb6cf">
  <xsd:schema xmlns:xsd="http://www.w3.org/2001/XMLSchema" xmlns:xs="http://www.w3.org/2001/XMLSchema" xmlns:p="http://schemas.microsoft.com/office/2006/metadata/properties" xmlns:ns2="cdc7663a-08f0-4737-9e8c-148ce897a09c" targetNamespace="http://schemas.microsoft.com/office/2006/metadata/properties" ma:root="true" ma:fieldsID="a5b6e5de9b28f0ed8d0c75a8610e91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L112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4695/OC-RG;4694/OC-RG;</Approval_x0020_Number>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INTEGRATION</TermName>
          <TermId xmlns="http://schemas.microsoft.com/office/infopath/2007/PartnerControls">1d29eac4-5499-4447-a729-351edadf21f0</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26</Value>
      <Value>18</Value>
      <Value>20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RG-L1124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R0002835133</Record_x0020_Number>
    <_dlc_DocId xmlns="cdc7663a-08f0-4737-9e8c-148ce897a09c">EZSHARE-213375885-36</_dlc_DocId>
    <_dlc_DocIdUrl xmlns="cdc7663a-08f0-4737-9e8c-148ce897a09c">
      <Url>https://idbg.sharepoint.com/teams/EZ-RG-LON/RG-L1124/_layouts/15/DocIdRedir.aspx?ID=EZSHARE-213375885-36</Url>
      <Description>EZSHARE-213375885-36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E98BC8E-5578-4770-8AC7-27B86E95D9E1}">
  <ds:schemaRefs>
    <ds:schemaRef ds:uri="http://schemas.microsoft.com/sharepoint/v3/contenttype/forms"/>
  </ds:schemaRefs>
</ds:datastoreItem>
</file>

<file path=customXml/itemProps2.xml><?xml version="1.0" encoding="utf-8"?>
<ds:datastoreItem xmlns:ds="http://schemas.openxmlformats.org/officeDocument/2006/customXml" ds:itemID="{3E951EF4-0A74-46BE-8E7A-177AF8152382}">
  <ds:schemaRefs>
    <ds:schemaRef ds:uri="http://schemas.microsoft.com/sharepoint/events"/>
  </ds:schemaRefs>
</ds:datastoreItem>
</file>

<file path=customXml/itemProps3.xml><?xml version="1.0" encoding="utf-8"?>
<ds:datastoreItem xmlns:ds="http://schemas.openxmlformats.org/officeDocument/2006/customXml" ds:itemID="{57181702-F0DF-488B-864A-AB8D1D6DA650}"/>
</file>

<file path=customXml/itemProps4.xml><?xml version="1.0" encoding="utf-8"?>
<ds:datastoreItem xmlns:ds="http://schemas.openxmlformats.org/officeDocument/2006/customXml" ds:itemID="{04877C8D-46F6-4647-BCC1-912A5D7FED87}"/>
</file>

<file path=customXml/itemProps5.xml><?xml version="1.0" encoding="utf-8"?>
<ds:datastoreItem xmlns:ds="http://schemas.openxmlformats.org/officeDocument/2006/customXml" ds:itemID="{5EABC623-8F13-42AA-A0D5-BB891AC38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878C412-3609-4742-A616-21BCB543C4E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ABBB38D3-3017-40BF-B500-754931EEC11F}">
  <ds:schemaRefs>
    <ds:schemaRef ds:uri="http://schemas.openxmlformats.org/officeDocument/2006/bibliography"/>
  </ds:schemaRefs>
</ds:datastoreItem>
</file>

<file path=customXml/itemProps8.xml><?xml version="1.0" encoding="utf-8"?>
<ds:datastoreItem xmlns:ds="http://schemas.openxmlformats.org/officeDocument/2006/customXml" ds:itemID="{135FA0EB-B7B0-4976-A10A-33EE628CF934}"/>
</file>

<file path=docProps/app.xml><?xml version="1.0" encoding="utf-8"?>
<Properties xmlns="http://schemas.openxmlformats.org/officeDocument/2006/extended-properties" xmlns:vt="http://schemas.openxmlformats.org/officeDocument/2006/docPropsVTypes">
  <Template>Normal</Template>
  <TotalTime>27</TotalTime>
  <Pages>4</Pages>
  <Words>1465</Words>
  <Characters>8355</Characters>
  <Application>Microsoft Office Word</Application>
  <DocSecurity>0</DocSecurity>
  <Lines>69</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Correa Poseiro, Cecilia</cp:lastModifiedBy>
  <cp:revision>7</cp:revision>
  <dcterms:created xsi:type="dcterms:W3CDTF">2018-09-12T04:18:00Z</dcterms:created>
  <dcterms:modified xsi:type="dcterms:W3CDTF">2018-10-22T21:14:00Z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Country">
    <vt:lpwstr>20;#Regional|2537a5b7-6d8e-482c-94dc-32c3cc44ff65</vt:lpwstr>
  </property>
  <property fmtid="{D5CDD505-2E9C-101B-9397-08002B2CF9AE}" pid="5" name="Fund IDB">
    <vt:lpwstr>18;#ORC|c028a4b2-ad8b-4cf4-9cac-a2ae6a778e23</vt:lpwstr>
  </property>
  <property fmtid="{D5CDD505-2E9C-101B-9397-08002B2CF9AE}" pid="6" name="Sector IDB">
    <vt:lpwstr>26;#ENERGY|4fed196a-cd0b-4970-87de-42da17f9b203</vt:lpwstr>
  </property>
  <property fmtid="{D5CDD505-2E9C-101B-9397-08002B2CF9AE}" pid="7" name="Sub-Sector">
    <vt:lpwstr>27;#ENERGY INTEGRATION|1d29eac4-5499-4447-a729-351edadf21f0</vt:lpwstr>
  </property>
  <property fmtid="{D5CDD505-2E9C-101B-9397-08002B2CF9AE}" pid="8" name="Series Operations IDB">
    <vt:lpwstr/>
  </property>
  <property fmtid="{D5CDD505-2E9C-101B-9397-08002B2CF9AE}" pid="9" name="TaxKeyword">
    <vt:lpwstr/>
  </property>
  <property fmtid="{D5CDD505-2E9C-101B-9397-08002B2CF9AE}" pid="10" name="TaxKeywordTaxHTField">
    <vt:lpwstr/>
  </property>
  <property fmtid="{D5CDD505-2E9C-101B-9397-08002B2CF9AE}" pid="11" name="_dlc_DocIdItemGuid">
    <vt:lpwstr>94a7b466-628c-4d96-8ff8-47c0501112e6</vt:lpwstr>
  </property>
  <property fmtid="{D5CDD505-2E9C-101B-9397-08002B2CF9AE}" pid="12" name="ContentTypeId">
    <vt:lpwstr>0x0101001A458A224826124E8B45B1D613300CFC004EC9FD821D26B849BBC0E164584B5A03</vt:lpwstr>
  </property>
</Properties>
</file>