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A98" w:rsidRPr="00015A98" w:rsidRDefault="00015A98" w:rsidP="00015A98">
      <w:pPr>
        <w:pStyle w:val="Default"/>
      </w:pPr>
    </w:p>
    <w:p w:rsidR="00015A98" w:rsidRPr="00015A98" w:rsidRDefault="00015A98" w:rsidP="00015A98">
      <w:pPr>
        <w:pStyle w:val="Default"/>
        <w:jc w:val="center"/>
        <w:rPr>
          <w:lang w:val="es-ES_tradnl"/>
        </w:rPr>
      </w:pPr>
      <w:r w:rsidRPr="00015A98">
        <w:rPr>
          <w:lang w:val="es-ES_tradnl"/>
        </w:rPr>
        <w:t>DOCUMENTO DEL BANCO INTERAMERICANO DE DESARROLLO</w:t>
      </w: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lang w:val="es-ES_tradnl"/>
        </w:rPr>
      </w:pPr>
      <w:r w:rsidRPr="00015A98">
        <w:rPr>
          <w:b/>
          <w:bCs/>
          <w:lang w:val="es-ES_tradnl"/>
        </w:rPr>
        <w:t>ECUADOR</w:t>
      </w: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Pr="00015A98" w:rsidRDefault="00015A98" w:rsidP="00015A98">
      <w:pPr>
        <w:pStyle w:val="Default"/>
        <w:jc w:val="center"/>
        <w:rPr>
          <w:b/>
          <w:bCs/>
          <w:lang w:val="es-ES_tradnl"/>
        </w:rPr>
      </w:pPr>
    </w:p>
    <w:p w:rsidR="00015A98" w:rsidRDefault="00015A98" w:rsidP="00015A98">
      <w:pPr>
        <w:pStyle w:val="Default"/>
        <w:jc w:val="center"/>
        <w:rPr>
          <w:b/>
          <w:bCs/>
          <w:lang w:val="es-ES_tradnl"/>
        </w:rPr>
      </w:pPr>
    </w:p>
    <w:p w:rsidR="00E52A97" w:rsidRPr="002A7F9B" w:rsidRDefault="00E52A97" w:rsidP="00E52A97">
      <w:pPr>
        <w:tabs>
          <w:tab w:val="left" w:pos="1440"/>
          <w:tab w:val="left" w:pos="3060"/>
        </w:tabs>
        <w:jc w:val="center"/>
        <w:rPr>
          <w:b/>
          <w:smallCaps/>
          <w:lang w:val="es-EC"/>
        </w:rPr>
      </w:pPr>
      <w:r w:rsidRPr="002A7F9B">
        <w:rPr>
          <w:b/>
          <w:smallCaps/>
          <w:lang w:val="es-EC"/>
        </w:rPr>
        <w:t xml:space="preserve">Programa Nacional de Inversiones en Agua, Saneamiento y Residuos Sólidos (PROSANEAMIENTO) </w:t>
      </w:r>
    </w:p>
    <w:p w:rsidR="00015A98" w:rsidRDefault="00015A98" w:rsidP="00015A98">
      <w:pPr>
        <w:pStyle w:val="Default"/>
        <w:jc w:val="center"/>
        <w:rPr>
          <w:b/>
          <w:bCs/>
          <w:lang w:val="es-EC"/>
        </w:rPr>
      </w:pPr>
    </w:p>
    <w:p w:rsidR="00E52A97" w:rsidRPr="00E52A97" w:rsidRDefault="00E52A97" w:rsidP="00015A98">
      <w:pPr>
        <w:pStyle w:val="Default"/>
        <w:jc w:val="center"/>
        <w:rPr>
          <w:b/>
          <w:bCs/>
          <w:lang w:val="es-EC"/>
        </w:rPr>
      </w:pPr>
      <w:r>
        <w:rPr>
          <w:b/>
          <w:bCs/>
          <w:lang w:val="es-EC"/>
        </w:rPr>
        <w:t>(EC-L1122)</w:t>
      </w:r>
    </w:p>
    <w:p w:rsidR="00015A98" w:rsidRPr="00015A98" w:rsidRDefault="00015A98" w:rsidP="00015A98">
      <w:pPr>
        <w:pStyle w:val="Newpage"/>
        <w:tabs>
          <w:tab w:val="clear" w:pos="3060"/>
          <w:tab w:val="left" w:pos="2995"/>
          <w:tab w:val="left" w:pos="4680"/>
          <w:tab w:val="left" w:pos="5155"/>
          <w:tab w:val="left" w:pos="7675"/>
          <w:tab w:val="left" w:pos="10555"/>
        </w:tabs>
        <w:spacing w:before="0"/>
        <w:rPr>
          <w:b w:val="0"/>
          <w:bCs/>
          <w:szCs w:val="24"/>
          <w:lang w:val="es-ES_tradnl"/>
        </w:rPr>
      </w:pPr>
    </w:p>
    <w:p w:rsidR="00015A98" w:rsidRPr="00015A98" w:rsidRDefault="00015A98" w:rsidP="00015A98">
      <w:pPr>
        <w:pStyle w:val="Newpage"/>
        <w:tabs>
          <w:tab w:val="clear" w:pos="3060"/>
          <w:tab w:val="left" w:pos="2995"/>
          <w:tab w:val="left" w:pos="4680"/>
          <w:tab w:val="left" w:pos="5155"/>
          <w:tab w:val="left" w:pos="7675"/>
          <w:tab w:val="left" w:pos="10555"/>
        </w:tabs>
        <w:spacing w:before="0"/>
        <w:rPr>
          <w:b w:val="0"/>
          <w:bCs/>
          <w:szCs w:val="24"/>
          <w:lang w:val="es-ES_tradnl"/>
        </w:rPr>
      </w:pPr>
    </w:p>
    <w:p w:rsidR="00015A98" w:rsidRDefault="00015A98" w:rsidP="00015A98">
      <w:pPr>
        <w:pStyle w:val="Newpage"/>
        <w:tabs>
          <w:tab w:val="clear" w:pos="3060"/>
          <w:tab w:val="left" w:pos="2995"/>
          <w:tab w:val="left" w:pos="4680"/>
          <w:tab w:val="left" w:pos="5155"/>
          <w:tab w:val="left" w:pos="7675"/>
          <w:tab w:val="left" w:pos="10555"/>
        </w:tabs>
        <w:spacing w:before="0"/>
        <w:rPr>
          <w:b w:val="0"/>
          <w:bCs/>
          <w:sz w:val="23"/>
          <w:szCs w:val="23"/>
          <w:lang w:val="es-ES_tradnl"/>
        </w:rPr>
      </w:pPr>
    </w:p>
    <w:p w:rsidR="00015A98" w:rsidRDefault="00015A98" w:rsidP="00015A98">
      <w:pPr>
        <w:pStyle w:val="Newpage"/>
        <w:tabs>
          <w:tab w:val="clear" w:pos="3060"/>
          <w:tab w:val="left" w:pos="2995"/>
          <w:tab w:val="left" w:pos="4680"/>
          <w:tab w:val="left" w:pos="5155"/>
          <w:tab w:val="left" w:pos="7675"/>
          <w:tab w:val="left" w:pos="10555"/>
        </w:tabs>
        <w:spacing w:before="0"/>
        <w:rPr>
          <w:b w:val="0"/>
          <w:bCs/>
          <w:sz w:val="23"/>
          <w:szCs w:val="23"/>
          <w:lang w:val="es-ES_tradnl"/>
        </w:rPr>
      </w:pPr>
    </w:p>
    <w:p w:rsidR="00015A98" w:rsidRDefault="00015A98" w:rsidP="00015A98">
      <w:pPr>
        <w:pStyle w:val="Newpage"/>
        <w:tabs>
          <w:tab w:val="clear" w:pos="3060"/>
          <w:tab w:val="left" w:pos="2995"/>
          <w:tab w:val="left" w:pos="4680"/>
          <w:tab w:val="left" w:pos="5155"/>
          <w:tab w:val="left" w:pos="7675"/>
          <w:tab w:val="left" w:pos="10555"/>
        </w:tabs>
        <w:spacing w:before="0"/>
        <w:rPr>
          <w:b w:val="0"/>
          <w:bCs/>
          <w:sz w:val="23"/>
          <w:szCs w:val="23"/>
          <w:lang w:val="es-ES_tradnl"/>
        </w:rPr>
      </w:pPr>
    </w:p>
    <w:p w:rsidR="00015A98" w:rsidRDefault="00015A98" w:rsidP="00015A98">
      <w:pPr>
        <w:pStyle w:val="Newpage"/>
        <w:tabs>
          <w:tab w:val="clear" w:pos="3060"/>
          <w:tab w:val="left" w:pos="2995"/>
          <w:tab w:val="left" w:pos="4680"/>
          <w:tab w:val="left" w:pos="5155"/>
          <w:tab w:val="left" w:pos="7675"/>
          <w:tab w:val="left" w:pos="10555"/>
        </w:tabs>
        <w:spacing w:before="0"/>
        <w:rPr>
          <w:b w:val="0"/>
          <w:bCs/>
          <w:sz w:val="23"/>
          <w:szCs w:val="23"/>
          <w:lang w:val="es-ES_tradnl"/>
        </w:rPr>
      </w:pPr>
    </w:p>
    <w:p w:rsidR="00015A98" w:rsidRDefault="00015A98" w:rsidP="00015A98">
      <w:pPr>
        <w:pStyle w:val="Newpage"/>
        <w:tabs>
          <w:tab w:val="clear" w:pos="3060"/>
          <w:tab w:val="left" w:pos="2995"/>
          <w:tab w:val="left" w:pos="4680"/>
          <w:tab w:val="left" w:pos="5155"/>
          <w:tab w:val="left" w:pos="7675"/>
          <w:tab w:val="left" w:pos="10555"/>
        </w:tabs>
        <w:spacing w:before="0"/>
        <w:rPr>
          <w:b w:val="0"/>
          <w:bCs/>
          <w:sz w:val="23"/>
          <w:szCs w:val="23"/>
          <w:lang w:val="es-ES_tradnl"/>
        </w:rPr>
      </w:pPr>
    </w:p>
    <w:p w:rsidR="00015A98" w:rsidRPr="00015A98" w:rsidRDefault="00015A98" w:rsidP="00015A98">
      <w:pPr>
        <w:pStyle w:val="Newpage"/>
        <w:tabs>
          <w:tab w:val="clear" w:pos="3060"/>
          <w:tab w:val="left" w:pos="2995"/>
          <w:tab w:val="left" w:pos="4680"/>
          <w:tab w:val="left" w:pos="5155"/>
          <w:tab w:val="left" w:pos="7675"/>
          <w:tab w:val="left" w:pos="10555"/>
        </w:tabs>
        <w:spacing w:before="0"/>
        <w:rPr>
          <w:bCs/>
          <w:szCs w:val="24"/>
          <w:lang w:val="es-ES_tradnl"/>
        </w:rPr>
      </w:pPr>
      <w:r w:rsidRPr="00015A98">
        <w:rPr>
          <w:bCs/>
          <w:szCs w:val="24"/>
          <w:lang w:val="es-ES_tradnl"/>
        </w:rPr>
        <w:t>ANÁLISIS DE SOSTENIBILIDAD FINANCIERA</w:t>
      </w:r>
    </w:p>
    <w:p w:rsidR="00015A98" w:rsidRDefault="00015A98" w:rsidP="00015A98">
      <w:pPr>
        <w:pStyle w:val="Newpage"/>
        <w:tabs>
          <w:tab w:val="clear" w:pos="3060"/>
          <w:tab w:val="left" w:pos="2995"/>
          <w:tab w:val="left" w:pos="4680"/>
          <w:tab w:val="left" w:pos="5155"/>
          <w:tab w:val="left" w:pos="7675"/>
          <w:tab w:val="left" w:pos="10555"/>
        </w:tabs>
        <w:spacing w:before="0"/>
        <w:rPr>
          <w:b w:val="0"/>
          <w:bCs/>
          <w:sz w:val="19"/>
          <w:szCs w:val="19"/>
          <w:lang w:val="es-ES_tradnl"/>
        </w:rPr>
      </w:pPr>
    </w:p>
    <w:p w:rsidR="00D12823" w:rsidRPr="001714FC" w:rsidRDefault="00015A98" w:rsidP="00015A98">
      <w:pPr>
        <w:pStyle w:val="Chapter"/>
        <w:numPr>
          <w:ilvl w:val="0"/>
          <w:numId w:val="1"/>
        </w:numPr>
        <w:rPr>
          <w:lang w:val="es-ES"/>
        </w:rPr>
      </w:pPr>
      <w:r>
        <w:rPr>
          <w:b w:val="0"/>
          <w:bCs/>
          <w:sz w:val="19"/>
          <w:szCs w:val="19"/>
          <w:lang w:val="es-ES_tradnl"/>
        </w:rPr>
        <w:br w:type="page"/>
      </w:r>
      <w:r>
        <w:rPr>
          <w:lang w:val="es-ES"/>
        </w:rPr>
        <w:lastRenderedPageBreak/>
        <w:t>INTRODUCCION</w:t>
      </w:r>
    </w:p>
    <w:p w:rsidR="00E06D86" w:rsidRDefault="00CF7659" w:rsidP="00E0256F">
      <w:pPr>
        <w:pStyle w:val="Paragraph"/>
        <w:rPr>
          <w:lang w:val="es-AR"/>
        </w:rPr>
      </w:pPr>
      <w:bookmarkStart w:id="0" w:name="_Toc429646043"/>
      <w:bookmarkStart w:id="1" w:name="_Toc429652575"/>
      <w:bookmarkStart w:id="2" w:name="_Toc429655311"/>
      <w:bookmarkStart w:id="3" w:name="_Toc429655346"/>
      <w:bookmarkStart w:id="4" w:name="_Toc429655490"/>
      <w:bookmarkStart w:id="5" w:name="_Toc429655687"/>
      <w:bookmarkStart w:id="6" w:name="_Toc429657380"/>
      <w:bookmarkStart w:id="7" w:name="_Toc430679373"/>
      <w:bookmarkStart w:id="8" w:name="_Toc430679397"/>
      <w:bookmarkStart w:id="9" w:name="_Toc434845954"/>
      <w:bookmarkStart w:id="10" w:name="_Toc434846222"/>
      <w:bookmarkStart w:id="11" w:name="_Toc434846935"/>
      <w:bookmarkStart w:id="12" w:name="_Toc437759763"/>
      <w:bookmarkStart w:id="13" w:name="_Toc444883304"/>
      <w:bookmarkStart w:id="14" w:name="_Toc445703755"/>
      <w:bookmarkStart w:id="15" w:name="_Toc445703974"/>
      <w:bookmarkStart w:id="16" w:name="_Toc454879424"/>
      <w:bookmarkStart w:id="17" w:name="_Toc456437341"/>
      <w:bookmarkStart w:id="18" w:name="_Toc456438395"/>
      <w:bookmarkStart w:id="19" w:name="_Toc456441629"/>
      <w:bookmarkStart w:id="20" w:name="_Toc457383665"/>
      <w:bookmarkStart w:id="21" w:name="_Toc457884575"/>
      <w:r>
        <w:rPr>
          <w:lang w:val="es-AR"/>
        </w:rPr>
        <w:t>L</w:t>
      </w:r>
      <w:r w:rsidR="00E0256F" w:rsidRPr="00E06D86">
        <w:rPr>
          <w:lang w:val="es-AR"/>
        </w:rPr>
        <w:t xml:space="preserve">a nueva Constitución </w:t>
      </w:r>
      <w:r w:rsidR="00E06D86" w:rsidRPr="00E06D86">
        <w:rPr>
          <w:lang w:val="es-AR"/>
        </w:rPr>
        <w:t xml:space="preserve">del año 2008 </w:t>
      </w:r>
      <w:r w:rsidR="00E0256F" w:rsidRPr="00E06D86">
        <w:rPr>
          <w:lang w:val="es-AR"/>
        </w:rPr>
        <w:t>culmin</w:t>
      </w:r>
      <w:r w:rsidR="00E06D86" w:rsidRPr="00E06D86">
        <w:rPr>
          <w:lang w:val="es-AR"/>
        </w:rPr>
        <w:t>ó</w:t>
      </w:r>
      <w:r w:rsidR="00E0256F" w:rsidRPr="00E06D86">
        <w:rPr>
          <w:lang w:val="es-ES_tradnl"/>
        </w:rPr>
        <w:t xml:space="preserve"> </w:t>
      </w:r>
      <w:r w:rsidR="00E0256F" w:rsidRPr="00E06D86">
        <w:rPr>
          <w:lang w:val="es-AR"/>
        </w:rPr>
        <w:t xml:space="preserve">con nuevas bases políticas, institucionales y económicas. </w:t>
      </w:r>
      <w:r>
        <w:rPr>
          <w:lang w:val="es-AR"/>
        </w:rPr>
        <w:t>La República del Ecuador</w:t>
      </w:r>
      <w:r w:rsidR="00E0256F" w:rsidRPr="00E06D86">
        <w:rPr>
          <w:lang w:val="es-AR"/>
        </w:rPr>
        <w:t xml:space="preserve"> se organizó en Regiones, Provincias, Cantones y Parroquias Rurales y a cada una</w:t>
      </w:r>
      <w:r w:rsidR="00D16C25" w:rsidRPr="00E06D86">
        <w:rPr>
          <w:lang w:val="es-AR"/>
        </w:rPr>
        <w:t xml:space="preserve"> </w:t>
      </w:r>
      <w:r w:rsidR="00E0256F" w:rsidRPr="00E06D86">
        <w:rPr>
          <w:lang w:val="es-AR"/>
        </w:rPr>
        <w:t>le asignó un "Gobierno Autónomo Descentralizado"</w:t>
      </w:r>
      <w:r w:rsidR="00E06D86">
        <w:rPr>
          <w:lang w:val="es-AR"/>
        </w:rPr>
        <w:t xml:space="preserve"> (</w:t>
      </w:r>
      <w:r w:rsidR="00E06D86" w:rsidRPr="00E06D86">
        <w:rPr>
          <w:lang w:val="es-AR"/>
        </w:rPr>
        <w:t>GAD</w:t>
      </w:r>
      <w:r w:rsidR="00E06D86">
        <w:rPr>
          <w:lang w:val="es-AR"/>
        </w:rPr>
        <w:t>)</w:t>
      </w:r>
      <w:r w:rsidR="00E0256F" w:rsidRPr="00E06D86">
        <w:rPr>
          <w:lang w:val="es-AR"/>
        </w:rPr>
        <w:t xml:space="preserve"> que </w:t>
      </w:r>
      <w:r w:rsidR="00D16C25" w:rsidRPr="00E06D86">
        <w:rPr>
          <w:lang w:val="es-AR"/>
        </w:rPr>
        <w:t>está conformado</w:t>
      </w:r>
      <w:r w:rsidR="00E0256F" w:rsidRPr="00E06D86">
        <w:rPr>
          <w:lang w:val="es-AR"/>
        </w:rPr>
        <w:t xml:space="preserve"> por una autoridad ejecutiva y un cuerpo legislativo. </w:t>
      </w:r>
      <w:r w:rsidR="00D16C25" w:rsidRPr="00E06D86">
        <w:rPr>
          <w:lang w:val="es-AR"/>
        </w:rPr>
        <w:t xml:space="preserve">El </w:t>
      </w:r>
      <w:r w:rsidR="00E0256F" w:rsidRPr="00E06D86">
        <w:rPr>
          <w:lang w:val="es-AR"/>
        </w:rPr>
        <w:t xml:space="preserve">Gobernador y </w:t>
      </w:r>
      <w:r w:rsidR="00D16C25" w:rsidRPr="00E06D86">
        <w:rPr>
          <w:lang w:val="es-AR"/>
        </w:rPr>
        <w:t xml:space="preserve">el </w:t>
      </w:r>
      <w:r w:rsidR="00E0256F" w:rsidRPr="00E06D86">
        <w:rPr>
          <w:lang w:val="es-AR"/>
        </w:rPr>
        <w:t xml:space="preserve">Concejo Regional </w:t>
      </w:r>
      <w:r w:rsidR="00D16C25" w:rsidRPr="00E06D86">
        <w:rPr>
          <w:lang w:val="es-AR"/>
        </w:rPr>
        <w:t xml:space="preserve">son las autoridades para las </w:t>
      </w:r>
      <w:r w:rsidR="00E0256F" w:rsidRPr="00E06D86">
        <w:rPr>
          <w:lang w:val="es-AR"/>
        </w:rPr>
        <w:t>region</w:t>
      </w:r>
      <w:r w:rsidR="00D16C25" w:rsidRPr="00E06D86">
        <w:rPr>
          <w:lang w:val="es-AR"/>
        </w:rPr>
        <w:t>es,</w:t>
      </w:r>
      <w:r w:rsidR="00E0256F" w:rsidRPr="00E06D86">
        <w:rPr>
          <w:lang w:val="es-AR"/>
        </w:rPr>
        <w:t xml:space="preserve"> </w:t>
      </w:r>
      <w:r w:rsidR="00D16C25" w:rsidRPr="00E06D86">
        <w:rPr>
          <w:lang w:val="es-AR"/>
        </w:rPr>
        <w:t xml:space="preserve">el </w:t>
      </w:r>
      <w:r w:rsidR="00E0256F" w:rsidRPr="00E06D86">
        <w:rPr>
          <w:lang w:val="es-AR"/>
        </w:rPr>
        <w:t xml:space="preserve">Prefecto y </w:t>
      </w:r>
      <w:r w:rsidR="00D16C25" w:rsidRPr="00E06D86">
        <w:rPr>
          <w:lang w:val="es-AR"/>
        </w:rPr>
        <w:t xml:space="preserve">el </w:t>
      </w:r>
      <w:r w:rsidR="00E0256F" w:rsidRPr="00E06D86">
        <w:rPr>
          <w:lang w:val="es-AR"/>
        </w:rPr>
        <w:t>Concejo Provincial para las provincias, Alcalde y Concejo Municipal (o Cantonal) para los cantones y Junta Parroquial para las parroquias rurales.</w:t>
      </w:r>
      <w:r w:rsidR="00E06D86">
        <w:rPr>
          <w:lang w:val="es-AR"/>
        </w:rPr>
        <w:t xml:space="preserve"> </w:t>
      </w:r>
    </w:p>
    <w:p w:rsidR="00CB299C" w:rsidRPr="002F0686" w:rsidRDefault="00CB299C" w:rsidP="00CB299C">
      <w:pPr>
        <w:pStyle w:val="Paragraph"/>
        <w:rPr>
          <w:lang w:val="es-EC"/>
        </w:rPr>
      </w:pPr>
      <w:r w:rsidRPr="00F418CC">
        <w:rPr>
          <w:lang w:val="es-EC"/>
        </w:rPr>
        <w:t>Complementariamente, el Código Orgánico de Ordenamiento Territorial Autonomía y Descentralización (COOTAD)</w:t>
      </w:r>
      <w:r w:rsidRPr="00F418CC">
        <w:rPr>
          <w:rStyle w:val="FootnoteReference"/>
          <w:lang w:val="es-EC"/>
        </w:rPr>
        <w:footnoteReference w:id="1"/>
      </w:r>
      <w:r w:rsidRPr="00F418CC">
        <w:rPr>
          <w:lang w:val="es-EC"/>
        </w:rPr>
        <w:t>, estableció las competencias sectoriales a cargo de cada nivel de GAD. Para financiar dichas competencias, se establecieron recursos de coparticipación tributaria y atribuciones para generar recursos propios.</w:t>
      </w:r>
      <w:r w:rsidRPr="00F418CC">
        <w:rPr>
          <w:szCs w:val="24"/>
          <w:lang w:val="es-EC"/>
        </w:rPr>
        <w:t xml:space="preserve"> </w:t>
      </w:r>
    </w:p>
    <w:p w:rsidR="002F0686" w:rsidRPr="002F0686" w:rsidRDefault="005D6249" w:rsidP="002F0686">
      <w:pPr>
        <w:pStyle w:val="Paragraph"/>
        <w:rPr>
          <w:lang w:val="es-ES_tradnl"/>
        </w:rPr>
      </w:pPr>
      <w:r>
        <w:rPr>
          <w:noProof/>
        </w:rPr>
        <w:drawing>
          <wp:anchor distT="0" distB="0" distL="114300" distR="114300" simplePos="0" relativeHeight="251711488" behindDoc="0" locked="0" layoutInCell="1" allowOverlap="1" wp14:anchorId="694C72AE" wp14:editId="34D866DC">
            <wp:simplePos x="0" y="0"/>
            <wp:positionH relativeFrom="column">
              <wp:posOffset>3175000</wp:posOffset>
            </wp:positionH>
            <wp:positionV relativeFrom="paragraph">
              <wp:posOffset>41910</wp:posOffset>
            </wp:positionV>
            <wp:extent cx="2373630" cy="2538730"/>
            <wp:effectExtent l="0" t="0" r="7620" b="0"/>
            <wp:wrapSquare wrapText="bothSides"/>
            <wp:docPr id="47" name="Picture 47" descr="D:\DATA.IDB\Documents\INE\Ecuador\EC-L1122\Documentos del Proyecto\Anexo Financiero\ecuador-political-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INE\Ecuador\EC-L1122\Documentos del Proyecto\Anexo Financiero\ecuador-political-ma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3630" cy="2538730"/>
                    </a:xfrm>
                    <a:prstGeom prst="rect">
                      <a:avLst/>
                    </a:prstGeom>
                    <a:noFill/>
                    <a:ln>
                      <a:noFill/>
                    </a:ln>
                  </pic:spPr>
                </pic:pic>
              </a:graphicData>
            </a:graphic>
            <wp14:sizeRelH relativeFrom="page">
              <wp14:pctWidth>0</wp14:pctWidth>
            </wp14:sizeRelH>
            <wp14:sizeRelV relativeFrom="page">
              <wp14:pctHeight>0</wp14:pctHeight>
            </wp14:sizeRelV>
          </wp:anchor>
        </w:drawing>
      </w:r>
      <w:r w:rsidR="002F0686">
        <w:rPr>
          <w:lang w:val="es-ES_tradnl"/>
        </w:rPr>
        <w:t xml:space="preserve">La República del Ecuador </w:t>
      </w:r>
      <w:r w:rsidR="002F0686" w:rsidRPr="002F0686">
        <w:rPr>
          <w:lang w:val="es-ES_tradnl"/>
        </w:rPr>
        <w:t xml:space="preserve">posee una superficie de </w:t>
      </w:r>
      <w:r w:rsidR="002F0686">
        <w:rPr>
          <w:lang w:val="es-ES_tradnl"/>
        </w:rPr>
        <w:t>283.561</w:t>
      </w:r>
      <w:r w:rsidR="002F0686" w:rsidRPr="002F0686">
        <w:rPr>
          <w:lang w:val="es-ES_tradnl"/>
        </w:rPr>
        <w:t xml:space="preserve"> km², y una población de </w:t>
      </w:r>
      <w:r w:rsidR="002F0686">
        <w:rPr>
          <w:lang w:val="es-ES_tradnl"/>
        </w:rPr>
        <w:t>14.483.499</w:t>
      </w:r>
      <w:r w:rsidR="002F0686" w:rsidRPr="002F0686">
        <w:rPr>
          <w:lang w:val="es-ES_tradnl"/>
        </w:rPr>
        <w:t xml:space="preserve"> </w:t>
      </w:r>
      <w:proofErr w:type="gramStart"/>
      <w:r w:rsidR="002F0686" w:rsidRPr="002F0686">
        <w:rPr>
          <w:lang w:val="es-ES_tradnl"/>
        </w:rPr>
        <w:t xml:space="preserve">habitantes </w:t>
      </w:r>
      <w:proofErr w:type="gramEnd"/>
      <w:r w:rsidR="002F0686">
        <w:rPr>
          <w:rStyle w:val="FootnoteReference"/>
        </w:rPr>
        <w:footnoteReference w:id="2"/>
      </w:r>
      <w:r w:rsidR="002F0686" w:rsidRPr="002F0686">
        <w:rPr>
          <w:lang w:val="es-ES_tradnl"/>
        </w:rPr>
        <w:t xml:space="preserve">, de los cuales </w:t>
      </w:r>
      <w:r w:rsidR="005333BD">
        <w:rPr>
          <w:lang w:val="es-ES_tradnl"/>
        </w:rPr>
        <w:t>63</w:t>
      </w:r>
      <w:r w:rsidR="002F0686" w:rsidRPr="002F0686">
        <w:rPr>
          <w:lang w:val="es-ES_tradnl"/>
        </w:rPr>
        <w:t xml:space="preserve">% vive en zonas urbanas y el </w:t>
      </w:r>
      <w:r w:rsidR="005333BD">
        <w:rPr>
          <w:lang w:val="es-ES_tradnl"/>
        </w:rPr>
        <w:t>37</w:t>
      </w:r>
      <w:r w:rsidR="002F0686" w:rsidRPr="002F0686">
        <w:rPr>
          <w:lang w:val="es-ES_tradnl"/>
        </w:rPr>
        <w:t>% en zonas rurales. La de</w:t>
      </w:r>
      <w:r w:rsidR="005333BD">
        <w:rPr>
          <w:lang w:val="es-ES_tradnl"/>
        </w:rPr>
        <w:t>nsidad población se estima en 51,08</w:t>
      </w:r>
      <w:r w:rsidR="002F0686" w:rsidRPr="002F0686">
        <w:rPr>
          <w:lang w:val="es-ES_tradnl"/>
        </w:rPr>
        <w:t xml:space="preserve"> hab</w:t>
      </w:r>
      <w:proofErr w:type="gramStart"/>
      <w:r w:rsidR="002F0686" w:rsidRPr="002F0686">
        <w:rPr>
          <w:lang w:val="es-ES_tradnl"/>
        </w:rPr>
        <w:t>./</w:t>
      </w:r>
      <w:proofErr w:type="gramEnd"/>
      <w:r w:rsidR="002F0686" w:rsidRPr="002F0686">
        <w:rPr>
          <w:lang w:val="es-ES_tradnl"/>
        </w:rPr>
        <w:t xml:space="preserve">km². </w:t>
      </w:r>
    </w:p>
    <w:p w:rsidR="002F0686" w:rsidRPr="002F0686" w:rsidRDefault="002F0686" w:rsidP="002F0686">
      <w:pPr>
        <w:pStyle w:val="Paragraph"/>
        <w:rPr>
          <w:lang w:val="es-ES_tradnl"/>
        </w:rPr>
      </w:pPr>
      <w:r w:rsidRPr="002F0686">
        <w:rPr>
          <w:lang w:val="es-ES_tradnl"/>
        </w:rPr>
        <w:t xml:space="preserve">El país se encuentra organizado políticamente en </w:t>
      </w:r>
      <w:r w:rsidR="004115CB">
        <w:rPr>
          <w:lang w:val="es-ES_tradnl"/>
        </w:rPr>
        <w:t>24 provincias</w:t>
      </w:r>
      <w:r w:rsidRPr="002F0686">
        <w:rPr>
          <w:lang w:val="es-ES_tradnl"/>
        </w:rPr>
        <w:t xml:space="preserve">, </w:t>
      </w:r>
      <w:r w:rsidR="004115CB">
        <w:rPr>
          <w:lang w:val="es-ES_tradnl"/>
        </w:rPr>
        <w:t>221 cantones</w:t>
      </w:r>
      <w:r w:rsidRPr="002F0686">
        <w:rPr>
          <w:lang w:val="es-ES_tradnl"/>
        </w:rPr>
        <w:t xml:space="preserve"> y </w:t>
      </w:r>
      <w:r w:rsidR="004115CB">
        <w:rPr>
          <w:lang w:val="es-ES_tradnl"/>
        </w:rPr>
        <w:t>1.500</w:t>
      </w:r>
      <w:r w:rsidRPr="002F0686">
        <w:rPr>
          <w:lang w:val="es-ES_tradnl"/>
        </w:rPr>
        <w:t xml:space="preserve"> </w:t>
      </w:r>
      <w:r w:rsidR="004115CB">
        <w:rPr>
          <w:lang w:val="es-ES_tradnl"/>
        </w:rPr>
        <w:t>parroquias</w:t>
      </w:r>
      <w:r w:rsidRPr="002F0686">
        <w:rPr>
          <w:lang w:val="es-ES_tradnl"/>
        </w:rPr>
        <w:t xml:space="preserve">. </w:t>
      </w:r>
    </w:p>
    <w:p w:rsidR="00CB299C" w:rsidRPr="00BB585E" w:rsidRDefault="00CB299C" w:rsidP="00CB299C">
      <w:pPr>
        <w:pStyle w:val="Paragraph"/>
        <w:rPr>
          <w:lang w:val="es-EC"/>
        </w:rPr>
      </w:pPr>
      <w:r>
        <w:rPr>
          <w:lang w:val="es-EC"/>
        </w:rPr>
        <w:t xml:space="preserve">Los GAD son responsables </w:t>
      </w:r>
      <w:r w:rsidRPr="00FE08BA">
        <w:rPr>
          <w:lang w:val="es-CO"/>
        </w:rPr>
        <w:t xml:space="preserve">por la prestación de los servicios de agua </w:t>
      </w:r>
      <w:r>
        <w:rPr>
          <w:lang w:val="es-CO"/>
        </w:rPr>
        <w:t xml:space="preserve">potable, alcantarillado y </w:t>
      </w:r>
      <w:r w:rsidRPr="00FE08BA">
        <w:rPr>
          <w:lang w:val="es-CO"/>
        </w:rPr>
        <w:t>saneamiento</w:t>
      </w:r>
      <w:r>
        <w:rPr>
          <w:lang w:val="es-CO"/>
        </w:rPr>
        <w:t xml:space="preserve"> (APS), y recolección y disposición final de los residuos sólidos (RS). Sin embargo, la falta de financiamiento de los GAD combinada con las debilidades institucionales que éstos presentan, llevó a una </w:t>
      </w:r>
      <w:r w:rsidRPr="00CB299C">
        <w:rPr>
          <w:szCs w:val="24"/>
          <w:lang w:val="es-ES_tradnl"/>
        </w:rPr>
        <w:t xml:space="preserve">gestión precaria </w:t>
      </w:r>
      <w:r>
        <w:rPr>
          <w:lang w:val="es-CO"/>
        </w:rPr>
        <w:t>de los servicios</w:t>
      </w:r>
      <w:r w:rsidRPr="00CB299C">
        <w:rPr>
          <w:szCs w:val="24"/>
          <w:lang w:val="es-ES_tradnl"/>
        </w:rPr>
        <w:t xml:space="preserve"> acumulando </w:t>
      </w:r>
      <w:r>
        <w:rPr>
          <w:lang w:val="es-CO"/>
        </w:rPr>
        <w:t>retrasos en la cobertura.</w:t>
      </w:r>
    </w:p>
    <w:p w:rsidR="00CB299C" w:rsidRDefault="00CB299C" w:rsidP="00CB299C">
      <w:pPr>
        <w:pStyle w:val="Paragraph"/>
        <w:rPr>
          <w:lang w:val="es-AR"/>
        </w:rPr>
      </w:pPr>
      <w:r w:rsidRPr="00CB299C">
        <w:rPr>
          <w:lang w:val="es-ES_tradnl"/>
        </w:rPr>
        <w:t xml:space="preserve">Para atender esta problemática, el Gobierno del Ecuador (GDE) se ha comprometido a apoyar a los GAD y ha estructurado el </w:t>
      </w:r>
      <w:r>
        <w:rPr>
          <w:lang w:val="es-ES_tradnl"/>
        </w:rPr>
        <w:t xml:space="preserve">Macro </w:t>
      </w:r>
      <w:proofErr w:type="spellStart"/>
      <w:r>
        <w:rPr>
          <w:lang w:val="es-ES_tradnl"/>
        </w:rPr>
        <w:t>Prograna</w:t>
      </w:r>
      <w:proofErr w:type="spellEnd"/>
      <w:r>
        <w:rPr>
          <w:lang w:val="es-ES_tradnl"/>
        </w:rPr>
        <w:t xml:space="preserve"> de </w:t>
      </w:r>
      <w:proofErr w:type="spellStart"/>
      <w:r>
        <w:rPr>
          <w:lang w:val="es-ES_tradnl"/>
        </w:rPr>
        <w:t>Sanemiento</w:t>
      </w:r>
      <w:proofErr w:type="spellEnd"/>
      <w:r>
        <w:rPr>
          <w:lang w:val="es-ES_tradnl"/>
        </w:rPr>
        <w:t xml:space="preserve"> Ambiental Nacional</w:t>
      </w:r>
      <w:r>
        <w:rPr>
          <w:szCs w:val="24"/>
          <w:lang w:val="es-ES_tradnl"/>
        </w:rPr>
        <w:t xml:space="preserve">, </w:t>
      </w:r>
      <w:r w:rsidRPr="00C00E3A">
        <w:rPr>
          <w:szCs w:val="24"/>
          <w:lang w:val="es-ES_tradnl"/>
        </w:rPr>
        <w:t>que canalizará U$S 5.100 millones</w:t>
      </w:r>
      <w:r w:rsidR="00C00E3A" w:rsidRPr="00C00E3A">
        <w:rPr>
          <w:rStyle w:val="FootnoteReference"/>
          <w:szCs w:val="24"/>
          <w:lang w:val="es-ES_tradnl"/>
        </w:rPr>
        <w:footnoteReference w:id="3"/>
      </w:r>
      <w:r>
        <w:rPr>
          <w:szCs w:val="24"/>
          <w:lang w:val="es-ES_tradnl"/>
        </w:rPr>
        <w:t xml:space="preserve"> en </w:t>
      </w:r>
      <w:r w:rsidRPr="00CB299C">
        <w:rPr>
          <w:lang w:val="es-ES_tradnl"/>
        </w:rPr>
        <w:t xml:space="preserve">inversiones de infraestructura </w:t>
      </w:r>
      <w:r w:rsidRPr="00CB299C">
        <w:rPr>
          <w:szCs w:val="24"/>
          <w:lang w:val="es-ES_tradnl"/>
        </w:rPr>
        <w:t>hasta alcanzar metas de cobertura del 95% para el año 2017</w:t>
      </w:r>
      <w:r w:rsidRPr="00CB299C">
        <w:rPr>
          <w:lang w:val="es-ES_tradnl"/>
        </w:rPr>
        <w:t>.</w:t>
      </w:r>
    </w:p>
    <w:p w:rsidR="00A7383E" w:rsidRPr="00A7383E" w:rsidRDefault="00A7383E" w:rsidP="00A7383E">
      <w:pPr>
        <w:pStyle w:val="Paragraph"/>
        <w:rPr>
          <w:lang w:val="es-ES_tradnl"/>
        </w:rPr>
      </w:pPr>
      <w:r>
        <w:rPr>
          <w:lang w:val="es-ES_tradnl"/>
        </w:rPr>
        <w:t>Los objetivos</w:t>
      </w:r>
      <w:r w:rsidRPr="00A7383E">
        <w:rPr>
          <w:lang w:val="es-ES_tradnl"/>
        </w:rPr>
        <w:t xml:space="preserve"> específicos </w:t>
      </w:r>
      <w:r>
        <w:rPr>
          <w:lang w:val="es-ES_tradnl"/>
        </w:rPr>
        <w:t>del programa son:</w:t>
      </w:r>
    </w:p>
    <w:p w:rsidR="00A7383E" w:rsidRPr="00A7383E" w:rsidRDefault="00A7383E" w:rsidP="008C50AC">
      <w:pPr>
        <w:pStyle w:val="Paragraph"/>
        <w:numPr>
          <w:ilvl w:val="0"/>
          <w:numId w:val="25"/>
        </w:numPr>
        <w:rPr>
          <w:lang w:val="es-ES_tradnl"/>
        </w:rPr>
      </w:pPr>
      <w:r w:rsidRPr="00A7383E">
        <w:rPr>
          <w:lang w:val="es-ES_tradnl"/>
        </w:rPr>
        <w:lastRenderedPageBreak/>
        <w:t xml:space="preserve">Financiar pre-inversión e inversión en los sectores de agua potable, saneamiento  y manejo de desechos sólidos, catalogadas como prioritarios por los Gobiernos Autónomos Descentralizados del Ecuador. </w:t>
      </w:r>
    </w:p>
    <w:p w:rsidR="00A7383E" w:rsidRPr="00A7383E" w:rsidRDefault="00A7383E" w:rsidP="008C50AC">
      <w:pPr>
        <w:pStyle w:val="Paragraph"/>
        <w:numPr>
          <w:ilvl w:val="0"/>
          <w:numId w:val="25"/>
        </w:numPr>
        <w:rPr>
          <w:lang w:val="es-ES_tradnl"/>
        </w:rPr>
      </w:pPr>
      <w:r w:rsidRPr="00A7383E">
        <w:rPr>
          <w:lang w:val="es-ES_tradnl"/>
        </w:rPr>
        <w:t xml:space="preserve">Brindar asistencia técnica a los Gobiernos Autónomos Descentralizados y a sus entidades operadoras en la formulación, contratación y fiscalización de proyectos sectoriales. </w:t>
      </w:r>
    </w:p>
    <w:p w:rsidR="00A7383E" w:rsidRPr="00A7383E" w:rsidRDefault="00A7383E" w:rsidP="008C50AC">
      <w:pPr>
        <w:pStyle w:val="Default"/>
        <w:numPr>
          <w:ilvl w:val="0"/>
          <w:numId w:val="25"/>
        </w:numPr>
        <w:spacing w:after="83"/>
        <w:rPr>
          <w:sz w:val="23"/>
          <w:szCs w:val="23"/>
          <w:lang w:val="es-ES_tradnl"/>
        </w:rPr>
      </w:pPr>
      <w:r w:rsidRPr="00A7383E">
        <w:rPr>
          <w:sz w:val="23"/>
          <w:szCs w:val="23"/>
          <w:lang w:val="es-ES_tradnl"/>
        </w:rPr>
        <w:t xml:space="preserve">Apoyar a los Gobiernos Autónomos Descentralizados y empresas prestadoras de servicios en las áreas de gestión financiera, sistematización de catastros, recaudo de impuestos y tarifas, y otros aspectos de la gestión de los servicios a través de la Asistencia Técnica brindada por empresas prestadoras de servicio o cualquier entidad afín al saneamiento ambiental que acredite sólidos conocimientos dentro del sector. </w:t>
      </w:r>
    </w:p>
    <w:p w:rsidR="00A7383E" w:rsidRPr="00A7383E" w:rsidRDefault="00A7383E" w:rsidP="008C50AC">
      <w:pPr>
        <w:pStyle w:val="Default"/>
        <w:numPr>
          <w:ilvl w:val="0"/>
          <w:numId w:val="25"/>
        </w:numPr>
        <w:rPr>
          <w:sz w:val="23"/>
          <w:szCs w:val="23"/>
          <w:lang w:val="es-ES_tradnl"/>
        </w:rPr>
      </w:pPr>
      <w:r w:rsidRPr="00A7383E">
        <w:rPr>
          <w:sz w:val="23"/>
          <w:szCs w:val="23"/>
          <w:lang w:val="es-ES_tradnl"/>
        </w:rPr>
        <w:t xml:space="preserve">Apoyar el desarrollo de nuevas alternativas de gestión de los servicios, propiciando la participación activa de la comunidad. </w:t>
      </w:r>
    </w:p>
    <w:p w:rsidR="00A7383E" w:rsidRPr="00A7383E" w:rsidRDefault="00470908" w:rsidP="00A7383E">
      <w:pPr>
        <w:pStyle w:val="Paragraph"/>
        <w:rPr>
          <w:lang w:val="es-ES_tradnl"/>
        </w:rPr>
      </w:pPr>
      <w:r>
        <w:rPr>
          <w:lang w:val="es-ES_tradnl"/>
        </w:rPr>
        <w:t>Para alcanzar los referidos objetivos se han establecidos e</w:t>
      </w:r>
      <w:r w:rsidR="00A7383E" w:rsidRPr="00A7383E">
        <w:rPr>
          <w:lang w:val="es-ES_tradnl"/>
        </w:rPr>
        <w:t xml:space="preserve">strategias </w:t>
      </w:r>
      <w:r>
        <w:rPr>
          <w:lang w:val="es-ES_tradnl"/>
        </w:rPr>
        <w:t xml:space="preserve">dentro del Macro </w:t>
      </w:r>
      <w:proofErr w:type="spellStart"/>
      <w:r>
        <w:rPr>
          <w:lang w:val="es-ES_tradnl"/>
        </w:rPr>
        <w:t>Progama</w:t>
      </w:r>
      <w:proofErr w:type="spellEnd"/>
      <w:r w:rsidR="00A7383E" w:rsidRPr="00A7383E">
        <w:rPr>
          <w:lang w:val="es-ES_tradnl"/>
        </w:rPr>
        <w:t xml:space="preserve">: </w:t>
      </w:r>
    </w:p>
    <w:p w:rsidR="00A7383E" w:rsidRPr="00A7383E" w:rsidRDefault="00A7383E" w:rsidP="008C50AC">
      <w:pPr>
        <w:pStyle w:val="Paragraph"/>
        <w:numPr>
          <w:ilvl w:val="2"/>
          <w:numId w:val="26"/>
        </w:numPr>
        <w:rPr>
          <w:lang w:val="es-ES_tradnl"/>
        </w:rPr>
      </w:pPr>
      <w:r w:rsidRPr="00A7383E">
        <w:rPr>
          <w:lang w:val="es-ES_tradnl"/>
        </w:rPr>
        <w:t xml:space="preserve">Los proyectos se orientarán a apoyar la provisión sostenible de servicios públicos integrales de agua potable, saneamiento y manejo de desechos sólidos. </w:t>
      </w:r>
    </w:p>
    <w:p w:rsidR="00A7383E" w:rsidRPr="00A7383E" w:rsidRDefault="00A7383E" w:rsidP="008C50AC">
      <w:pPr>
        <w:pStyle w:val="subpar"/>
        <w:numPr>
          <w:ilvl w:val="0"/>
          <w:numId w:val="27"/>
        </w:numPr>
        <w:rPr>
          <w:lang w:val="es-ES_tradnl"/>
        </w:rPr>
      </w:pPr>
      <w:r w:rsidRPr="00A7383E">
        <w:rPr>
          <w:lang w:val="es-ES_tradnl"/>
        </w:rPr>
        <w:t xml:space="preserve">Serán elegibles proyectos que amplíen la cobertura de servicios, así como proyectos de renovación de sistemas que hayan cumplido su vida útil. </w:t>
      </w:r>
    </w:p>
    <w:p w:rsidR="00A7383E" w:rsidRPr="00A7383E" w:rsidRDefault="00A7383E" w:rsidP="008C50AC">
      <w:pPr>
        <w:pStyle w:val="subpar"/>
        <w:numPr>
          <w:ilvl w:val="0"/>
          <w:numId w:val="27"/>
        </w:numPr>
        <w:rPr>
          <w:lang w:val="es-ES_tradnl"/>
        </w:rPr>
      </w:pPr>
      <w:r w:rsidRPr="00A7383E">
        <w:rPr>
          <w:lang w:val="es-ES_tradnl"/>
        </w:rPr>
        <w:t xml:space="preserve">Se financiarán proyectos ejecutados por etapas para superar la insuficiencia de recursos que enfrentan los proyectos de sistemas integrales, es decir, sistemas que no solo proveen el servicio sino que disponen desechos de manera adecuada mediante el tratamiento previo de los efluentes, por ejemplo. </w:t>
      </w:r>
    </w:p>
    <w:p w:rsidR="00A7383E" w:rsidRPr="00A7383E" w:rsidRDefault="00A7383E" w:rsidP="008C50AC">
      <w:pPr>
        <w:pStyle w:val="subpar"/>
        <w:numPr>
          <w:ilvl w:val="0"/>
          <w:numId w:val="27"/>
        </w:numPr>
        <w:rPr>
          <w:lang w:val="es-ES_tradnl"/>
        </w:rPr>
      </w:pPr>
      <w:r w:rsidRPr="00A7383E">
        <w:rPr>
          <w:lang w:val="es-ES_tradnl"/>
        </w:rPr>
        <w:t xml:space="preserve">Se verificará la coherencia que tienen los proyectos a financiarse con los Planes de Desarrollo y Ordenamiento Territorial (PDOT) de los GAD Municipales. </w:t>
      </w:r>
    </w:p>
    <w:p w:rsidR="00A7383E" w:rsidRPr="00A7383E" w:rsidRDefault="00A7383E" w:rsidP="008C50AC">
      <w:pPr>
        <w:pStyle w:val="Paragraph"/>
        <w:numPr>
          <w:ilvl w:val="2"/>
          <w:numId w:val="26"/>
        </w:numPr>
        <w:rPr>
          <w:lang w:val="es-ES_tradnl"/>
        </w:rPr>
      </w:pPr>
      <w:r w:rsidRPr="00A7383E">
        <w:rPr>
          <w:lang w:val="es-ES_tradnl"/>
        </w:rPr>
        <w:t xml:space="preserve">Se proveerá de recursos para los siguientes componentes: pre-inversión (a nivel de diseños definitivos), inversión (proyectos nuevos, ampliaciones, mejoramientos, renovaciones; obra civil, reajuste de precios, contingencias y fiscalización), adquisición de bienes y asistencia técnica. </w:t>
      </w:r>
    </w:p>
    <w:p w:rsidR="00A7383E" w:rsidRPr="00A7383E" w:rsidRDefault="00A7383E" w:rsidP="008C50AC">
      <w:pPr>
        <w:pStyle w:val="subpar"/>
        <w:numPr>
          <w:ilvl w:val="0"/>
          <w:numId w:val="27"/>
        </w:numPr>
        <w:rPr>
          <w:lang w:val="es-ES_tradnl"/>
        </w:rPr>
      </w:pPr>
      <w:r w:rsidRPr="00A7383E">
        <w:rPr>
          <w:lang w:val="es-ES_tradnl"/>
        </w:rPr>
        <w:t xml:space="preserve">Se incluirán en los componentes de financiamiento de cada Producto recursos para pre-inversión, inversión, adquisición de bienes y asistencia técnica. </w:t>
      </w:r>
    </w:p>
    <w:p w:rsidR="00A7383E" w:rsidRPr="00A7383E" w:rsidRDefault="00A7383E" w:rsidP="008C50AC">
      <w:pPr>
        <w:pStyle w:val="Paragraph"/>
        <w:numPr>
          <w:ilvl w:val="2"/>
          <w:numId w:val="26"/>
        </w:numPr>
        <w:rPr>
          <w:lang w:val="es-ES_tradnl"/>
        </w:rPr>
      </w:pPr>
      <w:r w:rsidRPr="00A7383E">
        <w:rPr>
          <w:lang w:val="es-ES_tradnl"/>
        </w:rPr>
        <w:t xml:space="preserve">Los montos a asignarse a cada beneficiario se determinarán priorizando el nivel de cobertura de los servicios en consideración, bajo un principio de optimización, para de esta manera maximizar el impacto del Macro Programa. </w:t>
      </w:r>
    </w:p>
    <w:p w:rsidR="00A7383E" w:rsidRPr="00A7383E" w:rsidRDefault="00A7383E" w:rsidP="008C50AC">
      <w:pPr>
        <w:pStyle w:val="subpar"/>
        <w:numPr>
          <w:ilvl w:val="0"/>
          <w:numId w:val="27"/>
        </w:numPr>
        <w:rPr>
          <w:lang w:val="es-ES_tradnl"/>
        </w:rPr>
      </w:pPr>
      <w:r w:rsidRPr="00A7383E">
        <w:rPr>
          <w:lang w:val="es-ES_tradnl"/>
        </w:rPr>
        <w:lastRenderedPageBreak/>
        <w:t xml:space="preserve">Se aplicará una metodología de determinación de subvenciones donde se otorgue mayor subvención a los territorios que tengan población en condiciones menos favorecidas. </w:t>
      </w:r>
    </w:p>
    <w:p w:rsidR="00A7383E" w:rsidRPr="00A7383E" w:rsidRDefault="00A7383E" w:rsidP="008C50AC">
      <w:pPr>
        <w:pStyle w:val="Paragraph"/>
        <w:numPr>
          <w:ilvl w:val="2"/>
          <w:numId w:val="26"/>
        </w:numPr>
        <w:rPr>
          <w:lang w:val="es-ES_tradnl"/>
        </w:rPr>
      </w:pPr>
      <w:r w:rsidRPr="00A7383E">
        <w:rPr>
          <w:lang w:val="es-ES_tradnl"/>
        </w:rPr>
        <w:t xml:space="preserve">Los beneficiarios del Macro Programa serán todos los GAD Municipales y empresas públicas, prestadoras del servicio público. </w:t>
      </w:r>
    </w:p>
    <w:p w:rsidR="00A7383E" w:rsidRPr="00A7383E" w:rsidRDefault="00A7383E" w:rsidP="008C50AC">
      <w:pPr>
        <w:pStyle w:val="subpar"/>
        <w:numPr>
          <w:ilvl w:val="0"/>
          <w:numId w:val="27"/>
        </w:numPr>
        <w:rPr>
          <w:lang w:val="es-ES_tradnl"/>
        </w:rPr>
      </w:pPr>
      <w:r w:rsidRPr="00A7383E">
        <w:rPr>
          <w:lang w:val="es-ES_tradnl"/>
        </w:rPr>
        <w:t xml:space="preserve">Se aplicarán mecanismos para asignar recursos a prestatarios que no posean óptimos índices financieros, con la finalidad de atender la rentabilidad social de los proyectos, procurando obtener una apropiada recuperación de cartera. </w:t>
      </w:r>
    </w:p>
    <w:p w:rsidR="00A7383E" w:rsidRPr="00A7383E" w:rsidRDefault="00A7383E" w:rsidP="008C50AC">
      <w:pPr>
        <w:pStyle w:val="subpar"/>
        <w:numPr>
          <w:ilvl w:val="0"/>
          <w:numId w:val="27"/>
        </w:numPr>
        <w:rPr>
          <w:lang w:val="es-ES_tradnl"/>
        </w:rPr>
      </w:pPr>
      <w:r w:rsidRPr="00A7383E">
        <w:rPr>
          <w:lang w:val="es-ES_tradnl"/>
        </w:rPr>
        <w:t xml:space="preserve">Se emplearán mecanismos de comunicación y sociabilización para promocionar el Macro Programa entre los clientes del Banco del Estado. </w:t>
      </w:r>
    </w:p>
    <w:p w:rsidR="002157E9" w:rsidRPr="002157E9" w:rsidRDefault="00A7383E" w:rsidP="008C50AC">
      <w:pPr>
        <w:pStyle w:val="subpar"/>
        <w:numPr>
          <w:ilvl w:val="0"/>
          <w:numId w:val="27"/>
        </w:numPr>
        <w:rPr>
          <w:lang w:val="es-ES_tradnl"/>
        </w:rPr>
      </w:pPr>
      <w:r w:rsidRPr="002157E9">
        <w:rPr>
          <w:lang w:val="es-ES_tradnl"/>
        </w:rPr>
        <w:t>El seguimiento del Macro Programa se realizará con equipos técnicos de la Matriz y Sucursales Regionales del Banco del Estado. De ser necesario, se</w:t>
      </w:r>
      <w:r w:rsidR="002157E9">
        <w:rPr>
          <w:lang w:val="es-ES_tradnl"/>
        </w:rPr>
        <w:t xml:space="preserve"> </w:t>
      </w:r>
      <w:r w:rsidR="002157E9" w:rsidRPr="002157E9">
        <w:rPr>
          <w:lang w:val="es-ES_tradnl"/>
        </w:rPr>
        <w:t xml:space="preserve">considerará la posibilidad de ampliar esta actividad contratando a otros actores afines que acrediten sólidos conocimientos dentro del sector y con suficiente capacidad operativa. </w:t>
      </w:r>
    </w:p>
    <w:p w:rsidR="002157E9" w:rsidRPr="002157E9" w:rsidRDefault="002157E9" w:rsidP="008C50AC">
      <w:pPr>
        <w:pStyle w:val="subpar"/>
        <w:numPr>
          <w:ilvl w:val="0"/>
          <w:numId w:val="27"/>
        </w:numPr>
        <w:rPr>
          <w:lang w:val="es-ES_tradnl"/>
        </w:rPr>
      </w:pPr>
      <w:r w:rsidRPr="002157E9">
        <w:rPr>
          <w:lang w:val="es-ES_tradnl"/>
        </w:rPr>
        <w:t xml:space="preserve">Se sugerirá la formación de mancomunidades para la prestación del servicio de desechos sólidos; y, muy especialmente, al manejo mancomunado de la disposición final de desechos sólidos. </w:t>
      </w:r>
    </w:p>
    <w:p w:rsidR="002157E9" w:rsidRPr="002157E9" w:rsidRDefault="002157E9" w:rsidP="008C50AC">
      <w:pPr>
        <w:pStyle w:val="Paragraph"/>
        <w:numPr>
          <w:ilvl w:val="2"/>
          <w:numId w:val="26"/>
        </w:numPr>
        <w:rPr>
          <w:lang w:val="es-ES_tradnl"/>
        </w:rPr>
      </w:pPr>
      <w:r w:rsidRPr="002157E9">
        <w:rPr>
          <w:lang w:val="es-ES_tradnl"/>
        </w:rPr>
        <w:t xml:space="preserve">Se buscará el otorgamiento de Asistencia Técnica orientado a lograr la sostenibilidad de los servicios en base a un mayor involucramiento de los prestadores de los servicios. </w:t>
      </w:r>
    </w:p>
    <w:p w:rsidR="002157E9" w:rsidRPr="002157E9" w:rsidRDefault="002157E9" w:rsidP="008C50AC">
      <w:pPr>
        <w:pStyle w:val="subpar"/>
        <w:numPr>
          <w:ilvl w:val="0"/>
          <w:numId w:val="27"/>
        </w:numPr>
        <w:rPr>
          <w:lang w:val="es-ES_tradnl"/>
        </w:rPr>
      </w:pPr>
      <w:r w:rsidRPr="002157E9">
        <w:rPr>
          <w:lang w:val="es-ES_tradnl"/>
        </w:rPr>
        <w:t xml:space="preserve">Se ofrecerá asesoramiento directo desde las Coordinaciones de Asistencia Técnica en cada Sucursal Regional del Banco del Estado y/o mediante asignaciones a los prestatarios para la contratación de servicios especializados. </w:t>
      </w:r>
    </w:p>
    <w:p w:rsidR="002157E9" w:rsidRPr="002157E9" w:rsidRDefault="002157E9" w:rsidP="008C50AC">
      <w:pPr>
        <w:pStyle w:val="Paragraph"/>
        <w:numPr>
          <w:ilvl w:val="2"/>
          <w:numId w:val="26"/>
        </w:numPr>
        <w:rPr>
          <w:lang w:val="es-ES_tradnl"/>
        </w:rPr>
      </w:pPr>
      <w:r w:rsidRPr="002157E9">
        <w:rPr>
          <w:lang w:val="es-ES_tradnl"/>
        </w:rPr>
        <w:t>Los proyectos de pre-inversión deberán obtener el pronunciamiento favorable de la Subsecretaría de Agua Potable y Saneamiento (</w:t>
      </w:r>
      <w:proofErr w:type="spellStart"/>
      <w:r w:rsidRPr="002157E9">
        <w:rPr>
          <w:lang w:val="es-ES_tradnl"/>
        </w:rPr>
        <w:t>SAPyS</w:t>
      </w:r>
      <w:proofErr w:type="spellEnd"/>
      <w:r w:rsidRPr="002157E9">
        <w:rPr>
          <w:lang w:val="es-ES_tradnl"/>
        </w:rPr>
        <w:t xml:space="preserve">) en relación a su viabilidad técnica. </w:t>
      </w:r>
    </w:p>
    <w:p w:rsidR="002157E9" w:rsidRPr="002157E9" w:rsidRDefault="002157E9" w:rsidP="008C50AC">
      <w:pPr>
        <w:pStyle w:val="subpar"/>
        <w:numPr>
          <w:ilvl w:val="0"/>
          <w:numId w:val="27"/>
        </w:numPr>
        <w:rPr>
          <w:lang w:val="es-ES_tradnl"/>
        </w:rPr>
      </w:pPr>
      <w:r w:rsidRPr="002157E9">
        <w:rPr>
          <w:lang w:val="es-ES_tradnl"/>
        </w:rPr>
        <w:t xml:space="preserve">Se establecerá un Convenio de Cooperación Interinstitucional entre la </w:t>
      </w:r>
      <w:proofErr w:type="spellStart"/>
      <w:r w:rsidRPr="002157E9">
        <w:rPr>
          <w:lang w:val="es-ES_tradnl"/>
        </w:rPr>
        <w:t>SAPyS</w:t>
      </w:r>
      <w:proofErr w:type="spellEnd"/>
      <w:r w:rsidRPr="002157E9">
        <w:rPr>
          <w:lang w:val="es-ES_tradnl"/>
        </w:rPr>
        <w:t xml:space="preserve"> y el Banco del Estado que permita agilizar los trámites de obtención de viabilidad técnica de los proyectos de PROSANEAMIENTO. </w:t>
      </w:r>
    </w:p>
    <w:p w:rsidR="002157E9" w:rsidRPr="002157E9" w:rsidRDefault="002157E9" w:rsidP="008C50AC">
      <w:pPr>
        <w:pStyle w:val="Paragraph"/>
        <w:numPr>
          <w:ilvl w:val="2"/>
          <w:numId w:val="26"/>
        </w:numPr>
        <w:rPr>
          <w:lang w:val="es-ES_tradnl"/>
        </w:rPr>
      </w:pPr>
      <w:r w:rsidRPr="002157E9">
        <w:rPr>
          <w:lang w:val="es-ES_tradnl"/>
        </w:rPr>
        <w:t xml:space="preserve">Los proyectos de inversión deberán someterse a un proceso de regularización ambiental con el Ministerio del Ambiente (MAE) a fin de que se tomen las medidas adecuadas para la mitigación de impactos ambientales. </w:t>
      </w:r>
    </w:p>
    <w:p w:rsidR="00A7383E" w:rsidRPr="00084B50" w:rsidRDefault="002157E9" w:rsidP="00084B50">
      <w:pPr>
        <w:pStyle w:val="subpar"/>
        <w:numPr>
          <w:ilvl w:val="0"/>
          <w:numId w:val="27"/>
        </w:numPr>
        <w:rPr>
          <w:lang w:val="es-ES_tradnl"/>
        </w:rPr>
      </w:pPr>
      <w:r w:rsidRPr="002157E9">
        <w:rPr>
          <w:lang w:val="es-ES_tradnl"/>
        </w:rPr>
        <w:t xml:space="preserve">Se establecerá un Convenio de Cooperación Interinstitucional entre el MAE y el Banco del Estado que permita agilizar los trámites de categorización y permisos ambientales de los proyectos de PROSANEAMIENTO. </w:t>
      </w:r>
    </w:p>
    <w:p w:rsidR="00015A98" w:rsidRPr="00A804D4" w:rsidRDefault="00E06D86" w:rsidP="00A804D4">
      <w:pPr>
        <w:pStyle w:val="Paragraph"/>
        <w:rPr>
          <w:lang w:val="es-ES"/>
        </w:rPr>
      </w:pPr>
      <w:r w:rsidRPr="00A7383E">
        <w:rPr>
          <w:lang w:val="es-ES_tradnl"/>
        </w:rPr>
        <w:lastRenderedPageBreak/>
        <w:t xml:space="preserve">El Organismo Ejecutor </w:t>
      </w:r>
      <w:r w:rsidR="00772426" w:rsidRPr="00A7383E">
        <w:rPr>
          <w:lang w:val="es-ES_tradnl"/>
        </w:rPr>
        <w:t xml:space="preserve">del programa será el Banco del Estado, que administrará los recursos del préstamo BID y requerirá un aporte local por parte de los Gobiernos </w:t>
      </w:r>
      <w:proofErr w:type="spellStart"/>
      <w:r w:rsidR="00772426" w:rsidRPr="00A7383E">
        <w:rPr>
          <w:lang w:val="es-ES_tradnl"/>
        </w:rPr>
        <w:t>Autonomos</w:t>
      </w:r>
      <w:proofErr w:type="spellEnd"/>
      <w:r w:rsidR="00772426" w:rsidRPr="00A7383E">
        <w:rPr>
          <w:lang w:val="es-ES_tradnl"/>
        </w:rPr>
        <w:t xml:space="preserve"> Descentralizados</w:t>
      </w:r>
      <w:r w:rsidRPr="00A7383E">
        <w:rPr>
          <w:lang w:val="es-ES_tradnl"/>
        </w:rPr>
        <w:t>.</w:t>
      </w:r>
      <w:r w:rsidR="00772426" w:rsidRPr="00A7383E">
        <w:rPr>
          <w:lang w:val="es-ES_tradnl"/>
        </w:rPr>
        <w:t xml:space="preserve"> </w:t>
      </w:r>
      <w:r w:rsidRPr="00A7383E">
        <w:rPr>
          <w:lang w:val="es-ES_tradnl"/>
        </w:rPr>
        <w:t xml:space="preserve">El aporte local podrá ser financiado por el Banco del Estado o integrado directamente por el GAD, y en cualquier caso será establecido </w:t>
      </w:r>
      <w:r w:rsidR="00772426" w:rsidRPr="00A7383E">
        <w:rPr>
          <w:lang w:val="es-ES_tradnl"/>
        </w:rPr>
        <w:t xml:space="preserve">en base a </w:t>
      </w:r>
      <w:r w:rsidRPr="00A7383E">
        <w:rPr>
          <w:lang w:val="es-ES_tradnl"/>
        </w:rPr>
        <w:t xml:space="preserve">los siguientes </w:t>
      </w:r>
      <w:r w:rsidR="00772426" w:rsidRPr="00A7383E">
        <w:rPr>
          <w:lang w:val="es-ES_tradnl"/>
        </w:rPr>
        <w:t>criterios</w:t>
      </w:r>
      <w:r w:rsidRPr="00A7383E">
        <w:rPr>
          <w:lang w:val="es-ES_tradnl"/>
        </w:rPr>
        <w:t>: nivel de Necesidades Básicas</w:t>
      </w:r>
      <w:r w:rsidRPr="00E06D86">
        <w:rPr>
          <w:lang w:val="es-AR"/>
        </w:rPr>
        <w:t xml:space="preserve"> Insatisfechas del</w:t>
      </w:r>
      <w:r w:rsidR="00FE63BD">
        <w:rPr>
          <w:lang w:val="es-AR"/>
        </w:rPr>
        <w:t xml:space="preserve"> </w:t>
      </w:r>
      <w:r w:rsidRPr="00E06D86">
        <w:rPr>
          <w:lang w:val="es-AR"/>
        </w:rPr>
        <w:t>GAD,</w:t>
      </w:r>
      <w:r w:rsidR="00084B50">
        <w:rPr>
          <w:lang w:val="es-AR"/>
        </w:rPr>
        <w:t xml:space="preserve"> Peligro de Inundaciones y Variación porcentual poblacional urbana</w:t>
      </w:r>
      <w:r w:rsidR="00772426" w:rsidRPr="00E06D86">
        <w:rPr>
          <w:lang w:val="es-AR"/>
        </w:rPr>
        <w:t xml:space="preserve">. </w:t>
      </w:r>
    </w:p>
    <w:p w:rsidR="00A804D4" w:rsidRPr="00A804D4" w:rsidRDefault="00FE63BD" w:rsidP="00A804D4">
      <w:pPr>
        <w:pStyle w:val="Paragraph"/>
        <w:rPr>
          <w:lang w:val="es-ES"/>
        </w:rPr>
      </w:pPr>
      <w:r>
        <w:rPr>
          <w:lang w:val="es-ES"/>
        </w:rPr>
        <w:t>Los proyectos serán ejecutados, operados y mantenido</w:t>
      </w:r>
      <w:r w:rsidR="00A804D4" w:rsidRPr="00A804D4">
        <w:rPr>
          <w:lang w:val="es-ES"/>
        </w:rPr>
        <w:t xml:space="preserve">s por </w:t>
      </w:r>
      <w:r>
        <w:rPr>
          <w:lang w:val="es-ES"/>
        </w:rPr>
        <w:t xml:space="preserve">los Gobiernos Autónomos Descentralizados o por </w:t>
      </w:r>
      <w:r w:rsidR="00A804D4" w:rsidRPr="00A804D4">
        <w:rPr>
          <w:lang w:val="es-ES"/>
        </w:rPr>
        <w:t>las empresas de servicios</w:t>
      </w:r>
      <w:r>
        <w:rPr>
          <w:lang w:val="es-ES"/>
        </w:rPr>
        <w:t>,</w:t>
      </w:r>
      <w:r w:rsidR="00A804D4" w:rsidRPr="00A804D4">
        <w:rPr>
          <w:lang w:val="es-ES"/>
        </w:rPr>
        <w:t xml:space="preserve"> que se beneficiarán de la infraestructura financiada con recursos del programa. Durante la preparación de los proyectos el </w:t>
      </w:r>
      <w:r>
        <w:rPr>
          <w:lang w:val="es-ES"/>
        </w:rPr>
        <w:t>Banco del Estado</w:t>
      </w:r>
      <w:r w:rsidR="00A804D4" w:rsidRPr="00A804D4">
        <w:rPr>
          <w:lang w:val="es-ES"/>
        </w:rPr>
        <w:t xml:space="preserve"> debe verificar que las empresas cuentan con el personal técnico y los medios necesarios para una buena operación y adecuado mantenimiento de las obras.</w:t>
      </w:r>
    </w:p>
    <w:p w:rsidR="00A804D4" w:rsidRPr="00A804D4" w:rsidRDefault="00FE63BD" w:rsidP="00402B5F">
      <w:pPr>
        <w:pStyle w:val="Paragraph"/>
        <w:rPr>
          <w:lang w:val="es-ES"/>
        </w:rPr>
      </w:pPr>
      <w:r>
        <w:rPr>
          <w:lang w:val="es-ES"/>
        </w:rPr>
        <w:t xml:space="preserve">El </w:t>
      </w:r>
      <w:r w:rsidR="00A804D4" w:rsidRPr="00A804D4">
        <w:rPr>
          <w:lang w:val="es-ES"/>
        </w:rPr>
        <w:t xml:space="preserve">análisis de la sostenibilidad financiera </w:t>
      </w:r>
      <w:r>
        <w:rPr>
          <w:lang w:val="es-ES"/>
        </w:rPr>
        <w:t>que aquí se presenta,</w:t>
      </w:r>
      <w:r w:rsidR="00A804D4" w:rsidRPr="00A804D4">
        <w:rPr>
          <w:lang w:val="es-ES"/>
        </w:rPr>
        <w:t xml:space="preserve"> </w:t>
      </w:r>
      <w:r>
        <w:rPr>
          <w:lang w:val="es-ES"/>
        </w:rPr>
        <w:t xml:space="preserve">se circunscribe a la </w:t>
      </w:r>
      <w:r w:rsidR="00A804D4" w:rsidRPr="00A804D4">
        <w:rPr>
          <w:lang w:val="es-ES"/>
        </w:rPr>
        <w:t xml:space="preserve">evaluación financiera de </w:t>
      </w:r>
      <w:r>
        <w:rPr>
          <w:lang w:val="es-ES"/>
        </w:rPr>
        <w:t xml:space="preserve">los proyectos y </w:t>
      </w:r>
      <w:r w:rsidR="00A804D4" w:rsidRPr="00A804D4">
        <w:rPr>
          <w:lang w:val="es-ES"/>
        </w:rPr>
        <w:t xml:space="preserve">empresas </w:t>
      </w:r>
      <w:r>
        <w:rPr>
          <w:lang w:val="es-ES"/>
        </w:rPr>
        <w:t>que componen la muestra</w:t>
      </w:r>
      <w:r w:rsidR="00084B50">
        <w:rPr>
          <w:lang w:val="es-ES"/>
        </w:rPr>
        <w:t xml:space="preserve"> presentada por el Banco del Estado</w:t>
      </w:r>
      <w:r w:rsidR="00A804D4" w:rsidRPr="00A804D4">
        <w:rPr>
          <w:lang w:val="es-ES"/>
        </w:rPr>
        <w:t>.</w:t>
      </w:r>
    </w:p>
    <w:p w:rsidR="009F4E75" w:rsidRDefault="00A804D4" w:rsidP="009F4E75">
      <w:pPr>
        <w:pStyle w:val="Paragraph"/>
        <w:rPr>
          <w:lang w:val="es-ES"/>
        </w:rPr>
      </w:pPr>
      <w:r w:rsidRPr="00A804D4">
        <w:rPr>
          <w:lang w:val="es-ES"/>
        </w:rPr>
        <w:t xml:space="preserve">El objetivo del análisis financiero es determinar si </w:t>
      </w:r>
      <w:r w:rsidR="00811B57">
        <w:rPr>
          <w:lang w:val="es-ES"/>
        </w:rPr>
        <w:t xml:space="preserve">los Gobiernos Autónomos Descentralizados </w:t>
      </w:r>
      <w:r w:rsidRPr="00A804D4">
        <w:rPr>
          <w:lang w:val="es-ES"/>
        </w:rPr>
        <w:t xml:space="preserve">tienen capacidad de financiar la contribución del aporte local durante el período de ejecución del proyecto, así como cubrir el servicio de la totalidad de sus deudas durante el plazo del préstamo. </w:t>
      </w:r>
    </w:p>
    <w:p w:rsidR="009F4E75" w:rsidRDefault="009F4E75" w:rsidP="009F4E75">
      <w:pPr>
        <w:pStyle w:val="Paragraph"/>
        <w:numPr>
          <w:ilvl w:val="0"/>
          <w:numId w:val="0"/>
        </w:numPr>
        <w:ind w:left="720" w:hanging="720"/>
        <w:rPr>
          <w:lang w:val="es-ES"/>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rsidR="004A5FBE" w:rsidRPr="00084B50" w:rsidRDefault="00DD3948" w:rsidP="00084B50">
      <w:pPr>
        <w:pStyle w:val="Chapter"/>
        <w:numPr>
          <w:ilvl w:val="0"/>
          <w:numId w:val="1"/>
        </w:numPr>
        <w:rPr>
          <w:lang w:val="es-ES"/>
        </w:rPr>
      </w:pPr>
      <w:r>
        <w:rPr>
          <w:lang w:val="es-ES"/>
        </w:rPr>
        <w:t xml:space="preserve"> </w:t>
      </w:r>
      <w:r w:rsidR="007F35C2">
        <w:rPr>
          <w:lang w:val="es-ES"/>
        </w:rPr>
        <w:t>Marco Institucional</w:t>
      </w:r>
    </w:p>
    <w:p w:rsidR="004A5FBE" w:rsidRDefault="004A5FBE" w:rsidP="004A5FBE">
      <w:pPr>
        <w:pStyle w:val="Paragraph"/>
        <w:rPr>
          <w:lang w:val="es-AR"/>
        </w:rPr>
      </w:pPr>
      <w:r>
        <w:rPr>
          <w:lang w:val="es-AR"/>
        </w:rPr>
        <w:t>La Constitución de la República del Ecuador del año 2008 reconoce como derecho fundamental de las personas el tener acceso al agua, por lo que en su  Artículo 12 establece: “El derecho humano al agua es fundamental e irrenunciable. El agua constituye patrimonio nacional estratégico de uso público, inalienable, imprescriptible, inembargable y esencial para la vida.”</w:t>
      </w:r>
    </w:p>
    <w:p w:rsidR="004A5FBE" w:rsidRPr="007E2B85" w:rsidRDefault="004A5FBE" w:rsidP="004A5FBE">
      <w:pPr>
        <w:pStyle w:val="Paragraph"/>
        <w:rPr>
          <w:lang w:val="es-AR"/>
        </w:rPr>
      </w:pPr>
      <w:r>
        <w:rPr>
          <w:lang w:val="es-AR"/>
        </w:rPr>
        <w:t>Adicionalmente, este cuerpo legal señala que el Agua se considera un recurso estratégico y que el Estado se reserva el derecho de administrar, regular, controlar y gestionar este sector, de conformidad con los principios de sostenibilidad ambiental, precaución, prevención y eficiencia, garantizando el pleno desarrollo de los derechos fundamentales. El numeral 15 del Artículo 326 propende a la continuidad del servicio al prohibir la paralización de los servicios públicos de salud y saneamiento ambiental, agua potable y alcantarillado sanitario, entre otros servicios públicos.</w:t>
      </w:r>
    </w:p>
    <w:p w:rsidR="008D6D99" w:rsidRDefault="008D6D99" w:rsidP="008D6D99">
      <w:pPr>
        <w:pStyle w:val="Paragraph"/>
        <w:rPr>
          <w:lang w:val="es-ES_tradnl"/>
        </w:rPr>
      </w:pPr>
      <w:r>
        <w:rPr>
          <w:lang w:val="es-ES_tradnl"/>
        </w:rPr>
        <w:t xml:space="preserve">De conformidad con lo previsto en el artículo 264 de la Carta Magna y artículo 55, literal d), del COOTAD, les corresponde a los </w:t>
      </w:r>
      <w:proofErr w:type="spellStart"/>
      <w:r>
        <w:rPr>
          <w:lang w:val="es-ES_tradnl"/>
        </w:rPr>
        <w:t>GADs</w:t>
      </w:r>
      <w:proofErr w:type="spellEnd"/>
      <w:r>
        <w:rPr>
          <w:lang w:val="es-ES_tradnl"/>
        </w:rPr>
        <w:t xml:space="preserve"> Municipales prestar servicios públicos de agua potable, alcantarillado, depuración de aguas residuales, manejo de desechos sólidos y actividades de </w:t>
      </w:r>
      <w:proofErr w:type="spellStart"/>
      <w:r>
        <w:rPr>
          <w:lang w:val="es-ES_tradnl"/>
        </w:rPr>
        <w:t>sanemiento</w:t>
      </w:r>
      <w:proofErr w:type="spellEnd"/>
      <w:r>
        <w:rPr>
          <w:lang w:val="es-ES_tradnl"/>
        </w:rPr>
        <w:t xml:space="preserve"> ambiental.</w:t>
      </w:r>
      <w:r w:rsidR="00595B64">
        <w:rPr>
          <w:lang w:val="es-ES_tradnl"/>
        </w:rPr>
        <w:t xml:space="preserve"> Esto supone una barrera de entrada a los operadores privados, ya que la misma Constitución establece la provisión de agua potable como competencia exclusiva de los </w:t>
      </w:r>
      <w:proofErr w:type="spellStart"/>
      <w:r w:rsidR="00595B64">
        <w:rPr>
          <w:lang w:val="es-ES_tradnl"/>
        </w:rPr>
        <w:t>GADs</w:t>
      </w:r>
      <w:proofErr w:type="spellEnd"/>
      <w:r w:rsidR="00595B64">
        <w:rPr>
          <w:lang w:val="es-ES_tradnl"/>
        </w:rPr>
        <w:t>.</w:t>
      </w:r>
      <w:r w:rsidR="00182430">
        <w:rPr>
          <w:lang w:val="es-ES_tradnl"/>
        </w:rPr>
        <w:t xml:space="preserve"> </w:t>
      </w:r>
    </w:p>
    <w:p w:rsidR="00656A1C" w:rsidRPr="00656A1C" w:rsidRDefault="00656A1C" w:rsidP="00656A1C">
      <w:pPr>
        <w:pStyle w:val="Paragraph"/>
        <w:rPr>
          <w:lang w:val="es-ES_tradnl"/>
        </w:rPr>
      </w:pPr>
      <w:r>
        <w:rPr>
          <w:lang w:val="es-ES_tradnl"/>
        </w:rPr>
        <w:lastRenderedPageBreak/>
        <w:t xml:space="preserve">La Secretaría Nacional del Agua (SENAGUA) tiene a su cargo </w:t>
      </w:r>
      <w:r w:rsidRPr="00656A1C">
        <w:rPr>
          <w:lang w:val="es-ES_tradnl"/>
        </w:rPr>
        <w:t>la gestión integral de los recursos hídricos en todo el territorio nacional a través de polít</w:t>
      </w:r>
      <w:r>
        <w:rPr>
          <w:lang w:val="es-ES_tradnl"/>
        </w:rPr>
        <w:t>icas, normas y</w:t>
      </w:r>
      <w:r w:rsidRPr="00656A1C">
        <w:rPr>
          <w:lang w:val="es-ES_tradnl"/>
        </w:rPr>
        <w:t xml:space="preserve"> control</w:t>
      </w:r>
      <w:r>
        <w:rPr>
          <w:lang w:val="es-ES_tradnl"/>
        </w:rPr>
        <w:t>es, con la misión de g</w:t>
      </w:r>
      <w:r w:rsidRPr="00656A1C">
        <w:rPr>
          <w:lang w:val="es-ES_tradnl"/>
        </w:rPr>
        <w:t>arantizar el cumplimiento de los derechos ciudadanos consagrados en la Constitución, referentes al acceso justo y equitativo al uso, aprovechamiento y conservación de las fuentes hídricas en el país.</w:t>
      </w:r>
      <w:r>
        <w:rPr>
          <w:lang w:val="es-ES_tradnl"/>
        </w:rPr>
        <w:t xml:space="preserve"> Para ello se ha propuesto los siguientes objetivos:</w:t>
      </w:r>
    </w:p>
    <w:p w:rsidR="00656A1C" w:rsidRPr="00656A1C" w:rsidRDefault="00656A1C" w:rsidP="00656A1C">
      <w:pPr>
        <w:pStyle w:val="subpar"/>
        <w:rPr>
          <w:lang w:val="es-ES_tradnl"/>
        </w:rPr>
      </w:pPr>
      <w:r w:rsidRPr="00656A1C">
        <w:rPr>
          <w:lang w:val="es-ES_tradnl"/>
        </w:rPr>
        <w:t>Ejercer la rectoría nacional en la gestión y administración de los recursos hídricos.</w:t>
      </w:r>
    </w:p>
    <w:p w:rsidR="00656A1C" w:rsidRPr="00656A1C" w:rsidRDefault="00656A1C" w:rsidP="00656A1C">
      <w:pPr>
        <w:pStyle w:val="subpar"/>
        <w:rPr>
          <w:lang w:val="es-ES_tradnl"/>
        </w:rPr>
      </w:pPr>
      <w:r w:rsidRPr="00656A1C">
        <w:rPr>
          <w:lang w:val="es-ES_tradnl"/>
        </w:rPr>
        <w:t xml:space="preserve">Desarrollar la gestión integral e integrada de los recursos hídricos, con una visión </w:t>
      </w:r>
      <w:proofErr w:type="spellStart"/>
      <w:r w:rsidRPr="00656A1C">
        <w:rPr>
          <w:lang w:val="es-ES_tradnl"/>
        </w:rPr>
        <w:t>ecosistémica</w:t>
      </w:r>
      <w:proofErr w:type="spellEnd"/>
      <w:r w:rsidRPr="00656A1C">
        <w:rPr>
          <w:lang w:val="es-ES_tradnl"/>
        </w:rPr>
        <w:t xml:space="preserve"> y sustentable.</w:t>
      </w:r>
    </w:p>
    <w:p w:rsidR="00656A1C" w:rsidRPr="00656A1C" w:rsidRDefault="00656A1C" w:rsidP="00656A1C">
      <w:pPr>
        <w:pStyle w:val="subpar"/>
        <w:rPr>
          <w:lang w:val="es-ES_tradnl"/>
        </w:rPr>
      </w:pPr>
      <w:r w:rsidRPr="00656A1C">
        <w:rPr>
          <w:lang w:val="es-ES_tradnl"/>
        </w:rPr>
        <w:t>Fomentar en las políticas sectoriales y su regulación criterios de preservación, conservación, ahorro y usos sustentables del agua para garantizar el derecho humano al acceso mínimo al agua limpia y segura, mediante una administración eficiente que tome en consideración los principios de equidad, solidaridad y derecho ciudadano al agua.</w:t>
      </w:r>
    </w:p>
    <w:p w:rsidR="00656A1C" w:rsidRPr="00656A1C" w:rsidRDefault="00656A1C" w:rsidP="00656A1C">
      <w:pPr>
        <w:pStyle w:val="subpar"/>
        <w:rPr>
          <w:lang w:val="es-ES_tradnl"/>
        </w:rPr>
      </w:pPr>
      <w:r w:rsidRPr="00656A1C">
        <w:rPr>
          <w:lang w:val="es-ES_tradnl"/>
        </w:rPr>
        <w:t>Promover la protección de las cuencas hidrográficas dando énfasis a la conservación de páramos y bosques nativos, para preservar los acuíferos y la buena calidad del agua en sus fuentes.</w:t>
      </w:r>
    </w:p>
    <w:p w:rsidR="00656A1C" w:rsidRPr="00656A1C" w:rsidRDefault="00656A1C" w:rsidP="00656A1C">
      <w:pPr>
        <w:pStyle w:val="subpar"/>
        <w:rPr>
          <w:lang w:val="es-ES_tradnl"/>
        </w:rPr>
      </w:pPr>
      <w:r w:rsidRPr="00656A1C">
        <w:rPr>
          <w:lang w:val="es-ES_tradnl"/>
        </w:rPr>
        <w:t>Implementar políticas, estrategias y normas para prevenir, controlar y enfrentar la contaminación de los cuerpos de agua.</w:t>
      </w:r>
    </w:p>
    <w:p w:rsidR="00656A1C" w:rsidRPr="00656A1C" w:rsidRDefault="00656A1C" w:rsidP="00656A1C">
      <w:pPr>
        <w:pStyle w:val="subpar"/>
        <w:rPr>
          <w:lang w:val="es-ES_tradnl"/>
        </w:rPr>
      </w:pPr>
      <w:r w:rsidRPr="00656A1C">
        <w:rPr>
          <w:lang w:val="es-ES_tradnl"/>
        </w:rPr>
        <w:t>Promover la gestión social de los recursos hídricos.</w:t>
      </w:r>
    </w:p>
    <w:p w:rsidR="00656A1C" w:rsidRPr="00656A1C" w:rsidRDefault="00656A1C" w:rsidP="00656A1C">
      <w:pPr>
        <w:pStyle w:val="subpar"/>
        <w:rPr>
          <w:lang w:val="es-ES_tradnl"/>
        </w:rPr>
      </w:pPr>
      <w:r w:rsidRPr="00656A1C">
        <w:rPr>
          <w:lang w:val="es-ES_tradnl"/>
        </w:rPr>
        <w:t>Mitigar los riesgos generados por causas hídricas.</w:t>
      </w:r>
    </w:p>
    <w:p w:rsidR="00D75AEF" w:rsidRDefault="00B618FC" w:rsidP="00656A1C">
      <w:pPr>
        <w:pStyle w:val="Paragraph"/>
        <w:rPr>
          <w:lang w:val="es-ES_tradnl"/>
        </w:rPr>
      </w:pPr>
      <w:r>
        <w:rPr>
          <w:noProof/>
        </w:rPr>
        <mc:AlternateContent>
          <mc:Choice Requires="wpg">
            <w:drawing>
              <wp:anchor distT="0" distB="0" distL="114300" distR="114300" simplePos="0" relativeHeight="251708416" behindDoc="0" locked="0" layoutInCell="1" allowOverlap="1" wp14:anchorId="1CBBE37A" wp14:editId="6F127F62">
                <wp:simplePos x="0" y="0"/>
                <wp:positionH relativeFrom="column">
                  <wp:posOffset>3121025</wp:posOffset>
                </wp:positionH>
                <wp:positionV relativeFrom="paragraph">
                  <wp:posOffset>1202055</wp:posOffset>
                </wp:positionV>
                <wp:extent cx="2333625" cy="1666875"/>
                <wp:effectExtent l="0" t="0" r="28575" b="28575"/>
                <wp:wrapSquare wrapText="bothSides"/>
                <wp:docPr id="45" name="Group 4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333625" cy="1666875"/>
                          <a:chOff x="0" y="0"/>
                          <a:chExt cx="2333625" cy="1666875"/>
                        </a:xfrm>
                      </wpg:grpSpPr>
                      <wps:wsp>
                        <wps:cNvPr id="15" name="Text Box 15"/>
                        <wps:cNvSpPr txBox="1"/>
                        <wps:spPr>
                          <a:xfrm>
                            <a:off x="0" y="0"/>
                            <a:ext cx="2333625" cy="1666875"/>
                          </a:xfrm>
                          <a:prstGeom prst="rect">
                            <a:avLst/>
                          </a:prstGeom>
                          <a:solidFill>
                            <a:schemeClr val="lt1"/>
                          </a:solidFill>
                          <a:ln w="635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rsidR="000F108D" w:rsidRPr="00A56BFE" w:rsidRDefault="000F108D" w:rsidP="00084B50">
                              <w:pPr>
                                <w:jc w:val="center"/>
                                <w:rPr>
                                  <w:rFonts w:ascii="Tahoma" w:hAnsi="Tahoma" w:cs="Tahoma"/>
                                  <w:color w:val="1F497D" w:themeColor="text2"/>
                                  <w:sz w:val="14"/>
                                  <w:lang w:val="es-ES_tradnl"/>
                                </w:rPr>
                              </w:pPr>
                              <w:r w:rsidRPr="00A56BFE">
                                <w:rPr>
                                  <w:rFonts w:ascii="Tahoma" w:hAnsi="Tahoma" w:cs="Tahoma"/>
                                  <w:color w:val="1F497D" w:themeColor="text2"/>
                                  <w:sz w:val="14"/>
                                  <w:lang w:val="es-ES_tradnl"/>
                                </w:rPr>
                                <w:t>ESTRUCTURA SECTORIAL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95250" y="200025"/>
                            <a:ext cx="548640" cy="294640"/>
                          </a:xfrm>
                          <a:prstGeom prst="rect">
                            <a:avLst/>
                          </a:prstGeom>
                          <a:solidFill>
                            <a:schemeClr val="lt1"/>
                          </a:solidFill>
                          <a:ln w="6350">
                            <a:solidFill>
                              <a:schemeClr val="tx2"/>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0F108D" w:rsidRDefault="000F108D" w:rsidP="00875E4E">
                              <w:pPr>
                                <w:jc w:val="center"/>
                                <w:rPr>
                                  <w:rFonts w:ascii="Tahoma" w:hAnsi="Tahoma" w:cs="Tahoma"/>
                                  <w:b/>
                                  <w:color w:val="1F497D" w:themeColor="text2"/>
                                  <w:sz w:val="10"/>
                                  <w:lang w:val="es-ES_tradnl"/>
                                </w:rPr>
                              </w:pPr>
                              <w:r w:rsidRPr="00875E4E">
                                <w:rPr>
                                  <w:rFonts w:ascii="Tahoma" w:hAnsi="Tahoma" w:cs="Tahoma"/>
                                  <w:b/>
                                  <w:color w:val="1F497D" w:themeColor="text2"/>
                                  <w:sz w:val="10"/>
                                  <w:lang w:val="es-ES_tradnl"/>
                                </w:rPr>
                                <w:t>SENAGUA</w:t>
                              </w:r>
                            </w:p>
                            <w:p w:rsidR="000F108D" w:rsidRPr="000F783C" w:rsidRDefault="000F108D" w:rsidP="00875E4E">
                              <w:pPr>
                                <w:jc w:val="center"/>
                                <w:rPr>
                                  <w:rFonts w:ascii="Tahoma" w:hAnsi="Tahoma" w:cs="Tahoma"/>
                                  <w:color w:val="1F497D" w:themeColor="text2"/>
                                  <w:sz w:val="8"/>
                                  <w:lang w:val="es-ES_tradnl"/>
                                </w:rPr>
                              </w:pPr>
                              <w:r w:rsidRPr="000F783C">
                                <w:rPr>
                                  <w:rFonts w:ascii="Tahoma" w:hAnsi="Tahoma" w:cs="Tahoma"/>
                                  <w:color w:val="1F497D" w:themeColor="text2"/>
                                  <w:sz w:val="8"/>
                                  <w:lang w:val="es-ES_tradnl"/>
                                </w:rPr>
                                <w:t>(Ente Rector Agua y Saneamiento)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114300" y="1366837"/>
                            <a:ext cx="1128395" cy="200025"/>
                          </a:xfrm>
                          <a:prstGeom prst="rect">
                            <a:avLst/>
                          </a:prstGeom>
                          <a:solidFill>
                            <a:schemeClr val="lt1"/>
                          </a:solidFill>
                          <a:ln w="6350">
                            <a:solidFill>
                              <a:schemeClr val="tx2"/>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0F108D" w:rsidRPr="000F783C" w:rsidRDefault="000F108D" w:rsidP="00EE240B">
                              <w:pPr>
                                <w:jc w:val="center"/>
                                <w:rPr>
                                  <w:rFonts w:ascii="Tahoma" w:hAnsi="Tahoma" w:cs="Tahoma"/>
                                  <w:color w:val="1F497D" w:themeColor="text2"/>
                                  <w:sz w:val="10"/>
                                  <w:lang w:val="es-ES_tradnl"/>
                                </w:rPr>
                              </w:pPr>
                              <w:r w:rsidRPr="000F783C">
                                <w:rPr>
                                  <w:rFonts w:ascii="Tahoma" w:hAnsi="Tahoma" w:cs="Tahoma"/>
                                  <w:b/>
                                  <w:color w:val="1F497D" w:themeColor="text2"/>
                                  <w:sz w:val="10"/>
                                  <w:lang w:val="es-ES_tradnl"/>
                                </w:rPr>
                                <w:t>USUARIOS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1514475" y="657225"/>
                            <a:ext cx="652145" cy="247015"/>
                          </a:xfrm>
                          <a:prstGeom prst="rect">
                            <a:avLst/>
                          </a:prstGeom>
                          <a:solidFill>
                            <a:schemeClr val="lt1"/>
                          </a:solidFill>
                          <a:ln w="6350">
                            <a:solidFill>
                              <a:schemeClr val="tx2"/>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0F108D" w:rsidRPr="00EE240B" w:rsidRDefault="000F108D" w:rsidP="00EE240B">
                              <w:pPr>
                                <w:jc w:val="center"/>
                                <w:rPr>
                                  <w:rFonts w:ascii="Tahoma" w:hAnsi="Tahoma" w:cs="Tahoma"/>
                                  <w:color w:val="1F497D" w:themeColor="text2"/>
                                  <w:sz w:val="8"/>
                                  <w:lang w:val="es-ES_tradnl"/>
                                </w:rPr>
                              </w:pPr>
                              <w:r w:rsidRPr="00EE240B">
                                <w:rPr>
                                  <w:rFonts w:ascii="Tahoma" w:hAnsi="Tahoma" w:cs="Tahoma"/>
                                  <w:b/>
                                  <w:color w:val="1F497D" w:themeColor="text2"/>
                                  <w:sz w:val="8"/>
                                  <w:lang w:val="es-ES_tradnl"/>
                                </w:rPr>
                                <w:t>Banco del Estado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1514475" y="209550"/>
                            <a:ext cx="652145" cy="247015"/>
                          </a:xfrm>
                          <a:prstGeom prst="rect">
                            <a:avLst/>
                          </a:prstGeom>
                          <a:solidFill>
                            <a:schemeClr val="lt1"/>
                          </a:solidFill>
                          <a:ln w="6350">
                            <a:solidFill>
                              <a:schemeClr val="tx2"/>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0F108D" w:rsidRPr="00EE240B" w:rsidRDefault="000F108D" w:rsidP="000F783C">
                              <w:pPr>
                                <w:jc w:val="center"/>
                                <w:rPr>
                                  <w:rFonts w:ascii="Tahoma" w:hAnsi="Tahoma" w:cs="Tahoma"/>
                                  <w:color w:val="1F497D" w:themeColor="text2"/>
                                  <w:sz w:val="8"/>
                                  <w:lang w:val="es-ES_tradnl"/>
                                </w:rPr>
                              </w:pPr>
                              <w:r>
                                <w:rPr>
                                  <w:rFonts w:ascii="Tahoma" w:hAnsi="Tahoma" w:cs="Tahoma"/>
                                  <w:b/>
                                  <w:color w:val="1F497D" w:themeColor="text2"/>
                                  <w:sz w:val="8"/>
                                  <w:lang w:val="es-ES_tradnl"/>
                                </w:rPr>
                                <w:t>Ministerio de Finanzas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709613" y="200025"/>
                            <a:ext cx="548640" cy="294640"/>
                          </a:xfrm>
                          <a:prstGeom prst="rect">
                            <a:avLst/>
                          </a:prstGeom>
                          <a:solidFill>
                            <a:schemeClr val="lt1"/>
                          </a:solidFill>
                          <a:ln w="6350">
                            <a:solidFill>
                              <a:schemeClr val="tx2"/>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0F108D" w:rsidRPr="000F783C" w:rsidRDefault="000F108D" w:rsidP="000F783C">
                              <w:pPr>
                                <w:jc w:val="center"/>
                                <w:rPr>
                                  <w:rFonts w:ascii="Tahoma" w:hAnsi="Tahoma" w:cs="Tahoma"/>
                                  <w:b/>
                                  <w:color w:val="1F497D" w:themeColor="text2"/>
                                  <w:sz w:val="10"/>
                                  <w:lang w:val="es-ES_tradnl"/>
                                </w:rPr>
                              </w:pPr>
                              <w:r w:rsidRPr="000F783C">
                                <w:rPr>
                                  <w:rFonts w:ascii="Tahoma" w:hAnsi="Tahoma" w:cs="Tahoma"/>
                                  <w:b/>
                                  <w:color w:val="1F497D" w:themeColor="text2"/>
                                  <w:sz w:val="10"/>
                                  <w:lang w:val="es-ES_tradnl"/>
                                </w:rPr>
                                <w:t>MAE</w:t>
                              </w:r>
                            </w:p>
                            <w:p w:rsidR="000F108D" w:rsidRPr="000F783C" w:rsidRDefault="000F108D" w:rsidP="000F783C">
                              <w:pPr>
                                <w:jc w:val="center"/>
                                <w:rPr>
                                  <w:rFonts w:ascii="Tahoma" w:hAnsi="Tahoma" w:cs="Tahoma"/>
                                  <w:color w:val="1F497D" w:themeColor="text2"/>
                                  <w:sz w:val="8"/>
                                  <w:lang w:val="es-ES_tradnl"/>
                                </w:rPr>
                              </w:pPr>
                              <w:r>
                                <w:rPr>
                                  <w:rFonts w:ascii="Tahoma" w:hAnsi="Tahoma" w:cs="Tahoma"/>
                                  <w:color w:val="1F497D" w:themeColor="text2"/>
                                  <w:sz w:val="8"/>
                                  <w:lang w:val="es-ES_tradnl"/>
                                </w:rPr>
                                <w:t>(Autoridad Ambiental)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Straight Arrow Connector 29"/>
                        <wps:cNvCnPr/>
                        <wps:spPr>
                          <a:xfrm>
                            <a:off x="361950" y="495300"/>
                            <a:ext cx="0" cy="114935"/>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s:wsp>
                        <wps:cNvPr id="30" name="Straight Arrow Connector 30"/>
                        <wps:cNvCnPr/>
                        <wps:spPr>
                          <a:xfrm>
                            <a:off x="962025" y="495300"/>
                            <a:ext cx="0" cy="114935"/>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g:grpSp>
                        <wpg:cNvPr id="44" name="Group 44"/>
                        <wpg:cNvGrpSpPr/>
                        <wpg:grpSpPr>
                          <a:xfrm>
                            <a:off x="114300" y="609600"/>
                            <a:ext cx="1095058" cy="647065"/>
                            <a:chOff x="0" y="0"/>
                            <a:chExt cx="1095058" cy="647065"/>
                          </a:xfrm>
                        </wpg:grpSpPr>
                        <wps:wsp>
                          <wps:cNvPr id="19" name="Text Box 19"/>
                          <wps:cNvSpPr txBox="1"/>
                          <wps:spPr>
                            <a:xfrm>
                              <a:off x="209550" y="0"/>
                              <a:ext cx="700405" cy="294640"/>
                            </a:xfrm>
                            <a:prstGeom prst="rect">
                              <a:avLst/>
                            </a:prstGeom>
                            <a:solidFill>
                              <a:schemeClr val="lt1"/>
                            </a:solidFill>
                            <a:ln w="6350">
                              <a:solidFill>
                                <a:schemeClr val="tx2"/>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0F108D" w:rsidRPr="00875E4E" w:rsidRDefault="000F108D" w:rsidP="00875E4E">
                                <w:pPr>
                                  <w:jc w:val="center"/>
                                  <w:rPr>
                                    <w:rFonts w:ascii="Tahoma" w:hAnsi="Tahoma" w:cs="Tahoma"/>
                                    <w:color w:val="1F497D" w:themeColor="text2"/>
                                    <w:sz w:val="10"/>
                                    <w:lang w:val="es-ES_tradnl"/>
                                  </w:rPr>
                                </w:pPr>
                                <w:r>
                                  <w:rPr>
                                    <w:rFonts w:ascii="Tahoma" w:hAnsi="Tahoma" w:cs="Tahoma"/>
                                    <w:b/>
                                    <w:color w:val="1F497D" w:themeColor="text2"/>
                                    <w:sz w:val="10"/>
                                    <w:lang w:val="es-ES_tradnl"/>
                                  </w:rPr>
                                  <w:t>Gobiernos Municipales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Oval 25"/>
                          <wps:cNvSpPr/>
                          <wps:spPr>
                            <a:xfrm>
                              <a:off x="0" y="385762"/>
                              <a:ext cx="519113" cy="261303"/>
                            </a:xfrm>
                            <a:prstGeom prst="ellipse">
                              <a:avLst/>
                            </a:prstGeom>
                            <a:ln w="6350">
                              <a:solidFill>
                                <a:schemeClr val="tx2"/>
                              </a:solidFill>
                            </a:ln>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576263" y="385762"/>
                              <a:ext cx="518795" cy="260985"/>
                            </a:xfrm>
                            <a:prstGeom prst="ellipse">
                              <a:avLst/>
                            </a:prstGeom>
                            <a:ln w="6350">
                              <a:solidFill>
                                <a:schemeClr val="tx2"/>
                              </a:solidFill>
                            </a:ln>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Straight Arrow Connector 31"/>
                          <wps:cNvCnPr/>
                          <wps:spPr>
                            <a:xfrm>
                              <a:off x="704850" y="295275"/>
                              <a:ext cx="0" cy="96520"/>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s:wsp>
                          <wps:cNvPr id="32" name="Straight Arrow Connector 32"/>
                          <wps:cNvCnPr/>
                          <wps:spPr>
                            <a:xfrm>
                              <a:off x="338138" y="295275"/>
                              <a:ext cx="0" cy="96520"/>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g:grpSp>
                      <wps:wsp>
                        <wps:cNvPr id="33" name="Straight Arrow Connector 33"/>
                        <wps:cNvCnPr/>
                        <wps:spPr>
                          <a:xfrm>
                            <a:off x="357188" y="1271587"/>
                            <a:ext cx="0" cy="96520"/>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a:off x="947738" y="1271587"/>
                            <a:ext cx="0" cy="96520"/>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s:wsp>
                        <wps:cNvPr id="39" name="Straight Arrow Connector 39"/>
                        <wps:cNvCnPr/>
                        <wps:spPr>
                          <a:xfrm>
                            <a:off x="1838325" y="457200"/>
                            <a:ext cx="0" cy="200025"/>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s:wsp>
                        <wps:cNvPr id="40" name="Straight Arrow Connector 40"/>
                        <wps:cNvCnPr/>
                        <wps:spPr>
                          <a:xfrm>
                            <a:off x="1838325" y="914400"/>
                            <a:ext cx="0" cy="200025"/>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flipH="1">
                            <a:off x="1114425" y="785812"/>
                            <a:ext cx="399733" cy="0"/>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flipH="1">
                            <a:off x="1328738" y="1114425"/>
                            <a:ext cx="485141" cy="0"/>
                          </a:xfrm>
                          <a:prstGeom prst="straightConnector1">
                            <a:avLst/>
                          </a:prstGeom>
                          <a:ln w="6350">
                            <a:solidFill>
                              <a:schemeClr val="tx2"/>
                            </a:solidFill>
                            <a:prstDash val="dash"/>
                            <a:headEnd type="none" w="sm" len="sm"/>
                            <a:tailEnd type="arrow" w="sm" len="sm"/>
                          </a:ln>
                          <a:effectLst/>
                        </wps:spPr>
                        <wps:style>
                          <a:lnRef idx="1">
                            <a:schemeClr val="accent1"/>
                          </a:lnRef>
                          <a:fillRef idx="0">
                            <a:schemeClr val="accent1"/>
                          </a:fillRef>
                          <a:effectRef idx="0">
                            <a:schemeClr val="accent1"/>
                          </a:effectRef>
                          <a:fontRef idx="minor">
                            <a:schemeClr val="tx1"/>
                          </a:fontRef>
                        </wps:style>
                        <wps:bodyPr/>
                      </wps:wsp>
                      <wps:wsp>
                        <wps:cNvPr id="27" name="Text Box 27"/>
                        <wps:cNvSpPr txBox="1"/>
                        <wps:spPr>
                          <a:xfrm>
                            <a:off x="85725" y="962025"/>
                            <a:ext cx="5810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108D" w:rsidRPr="000F783C" w:rsidRDefault="000F108D" w:rsidP="000F783C">
                              <w:pPr>
                                <w:jc w:val="center"/>
                                <w:rPr>
                                  <w:rFonts w:ascii="Tahoma" w:hAnsi="Tahoma" w:cs="Tahoma"/>
                                  <w:color w:val="1F497D" w:themeColor="text2"/>
                                  <w:sz w:val="7"/>
                                  <w:szCs w:val="7"/>
                                  <w:lang w:val="pt-BR"/>
                                </w:rPr>
                              </w:pPr>
                              <w:r w:rsidRPr="000F783C">
                                <w:rPr>
                                  <w:rFonts w:ascii="Tahoma" w:hAnsi="Tahoma" w:cs="Tahoma"/>
                                  <w:b/>
                                  <w:color w:val="1F497D" w:themeColor="text2"/>
                                  <w:sz w:val="7"/>
                                  <w:szCs w:val="7"/>
                                  <w:lang w:val="pt-BR"/>
                                </w:rPr>
                                <w:t xml:space="preserve">Empresas </w:t>
                              </w:r>
                              <w:proofErr w:type="spellStart"/>
                              <w:r w:rsidRPr="000F783C">
                                <w:rPr>
                                  <w:rFonts w:ascii="Tahoma" w:hAnsi="Tahoma" w:cs="Tahoma"/>
                                  <w:b/>
                                  <w:color w:val="1F497D" w:themeColor="text2"/>
                                  <w:sz w:val="7"/>
                                  <w:szCs w:val="7"/>
                                  <w:lang w:val="pt-BR"/>
                                </w:rPr>
                                <w:t>Municipales</w:t>
                              </w:r>
                              <w:proofErr w:type="spellEnd"/>
                              <w:r w:rsidRPr="000F783C">
                                <w:rPr>
                                  <w:rFonts w:ascii="Tahoma" w:hAnsi="Tahoma" w:cs="Tahoma"/>
                                  <w:color w:val="1F497D" w:themeColor="text2"/>
                                  <w:sz w:val="7"/>
                                  <w:szCs w:val="7"/>
                                  <w:lang w:val="pt-BR"/>
                                </w:rPr>
                                <w:t xml:space="preserve"> (zonas urbanas y rural)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690563" y="985837"/>
                            <a:ext cx="51371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108D" w:rsidRPr="000F783C" w:rsidRDefault="000F108D" w:rsidP="000F783C">
                              <w:pPr>
                                <w:jc w:val="center"/>
                                <w:rPr>
                                  <w:rFonts w:ascii="Tahoma" w:hAnsi="Tahoma" w:cs="Tahoma"/>
                                  <w:color w:val="1F497D" w:themeColor="text2"/>
                                  <w:sz w:val="7"/>
                                  <w:szCs w:val="7"/>
                                  <w:lang w:val="es-ES_tradnl"/>
                                </w:rPr>
                              </w:pPr>
                              <w:r w:rsidRPr="000F783C">
                                <w:rPr>
                                  <w:rFonts w:ascii="Tahoma" w:hAnsi="Tahoma" w:cs="Tahoma"/>
                                  <w:b/>
                                  <w:color w:val="1F497D" w:themeColor="text2"/>
                                  <w:sz w:val="7"/>
                                  <w:szCs w:val="7"/>
                                  <w:lang w:val="es-ES_tradnl"/>
                                </w:rPr>
                                <w:t xml:space="preserve">Juntas de Agua </w:t>
                              </w:r>
                              <w:r w:rsidRPr="000F783C">
                                <w:rPr>
                                  <w:rFonts w:ascii="Tahoma" w:hAnsi="Tahoma" w:cs="Tahoma"/>
                                  <w:color w:val="1F497D" w:themeColor="text2"/>
                                  <w:sz w:val="7"/>
                                  <w:szCs w:val="7"/>
                                  <w:lang w:val="es-ES_tradnl"/>
                                </w:rPr>
                                <w:t>(zona rural)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5" o:spid="_x0000_s1026" style="position:absolute;left:0;text-align:left;margin-left:245.75pt;margin-top:94.65pt;width:183.75pt;height:131.25pt;z-index:251708416;mso-width-relative:margin;mso-height-relative:margin" coordsize="23336,16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">
                <o:lock v:ext="edit" aspectratio="t"/>
                <v:shapetype id="_x0000_t202" coordsize="21600,21600" o:spt="202" path="m,l,21600r21600,l21600,xe">
                  <v:stroke joinstyle="miter"/>
                  <v:path gradientshapeok="t" o:connecttype="rect"/>
                </v:shapetype>
                <v:shape id="Text Box 15" o:spid="_x0000_s1027" type="#_x0000_t202" style="position:absolute;width:23336;height:16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OcssAA&#10;AADbAAAADwAAAGRycy9kb3ducmV2LnhtbERPTYvCMBC9C/6HMIK3NVXQXapRRBQ9KLhWeh6asS02&#10;k9JErf56s7DgbR7vc2aL1lTiTo0rLSsYDiIQxJnVJecKzsnm6weE88gaK8uk4EkOFvNuZ4axtg/+&#10;pfvJ5yKEsItRQeF9HUvpsoIMuoGtiQN3sY1BH2CTS93gI4SbSo6iaCINlhwaCqxpVVB2Pd2MgjRN&#10;k/XheNyb6/Am0zJh/f3aKtXvtcspCE+t/4j/3Tsd5o/h75dwgJ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YOcssAAAADbAAAADwAAAAAAAAAAAAAAAACYAgAAZHJzL2Rvd25y&#10;ZXYueG1sUEsFBgAAAAAEAAQA9QAAAIUDAAAAAA==&#10;" fillcolor="white [3201]" strokecolor="#1f497d [3215]" strokeweight=".5pt">
                  <v:textbox>
                    <w:txbxContent>
                      <w:p w:rsidR="000F108D" w:rsidRPr="00A56BFE" w:rsidRDefault="000F108D" w:rsidP="00084B50">
                        <w:pPr>
                          <w:jc w:val="center"/>
                          <w:rPr>
                            <w:rFonts w:ascii="Tahoma" w:hAnsi="Tahoma" w:cs="Tahoma"/>
                            <w:color w:val="1F497D" w:themeColor="text2"/>
                            <w:sz w:val="14"/>
                            <w:lang w:val="es-ES_tradnl"/>
                          </w:rPr>
                        </w:pPr>
                        <w:r w:rsidRPr="00A56BFE">
                          <w:rPr>
                            <w:rFonts w:ascii="Tahoma" w:hAnsi="Tahoma" w:cs="Tahoma"/>
                            <w:color w:val="1F497D" w:themeColor="text2"/>
                            <w:sz w:val="14"/>
                            <w:lang w:val="es-ES_tradnl"/>
                          </w:rPr>
                          <w:t>ESTRUCTURA SECTORIAL</w:t>
                        </w:r>
                      </w:p>
                    </w:txbxContent>
                  </v:textbox>
                </v:shape>
                <v:shape id="Text Box 16" o:spid="_x0000_s1028" type="#_x0000_t202" style="position:absolute;left:952;top:2000;width:5486;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8JusMA&#10;AADbAAAADwAAAGRycy9kb3ducmV2LnhtbERPTWvCQBC9F/wPywi9SN3oQUrqKmIQhLZCbcXrkB2z&#10;idnZkN2a5N93hYK3ebzPWa57W4sbtb50rGA2TUAQ506XXCj4+d69vILwAVlj7ZgUDORhvRo9LTHV&#10;ruMvuh1DIWII+xQVmBCaVEqfG7Lop64hjtzFtRZDhG0hdYtdDLe1nCfJQlosOTYYbGhrKL8ef62C&#10;w2Re9R/F/jMbJllDJ3M+Ve9npZ7H/eYNRKA+PMT/7r2O8xdw/yUe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8JusMAAADbAAAADwAAAAAAAAAAAAAAAACYAgAAZHJzL2Rv&#10;d25yZXYueG1sUEsFBgAAAAAEAAQA9QAAAIgDAAAAAA==&#10;" fillcolor="white [3201]" strokecolor="#1f497d [3215]" strokeweight=".5pt">
                  <v:shadow on="t" color="black" opacity="26214f" origin="-.5,-.5" offset=".74836mm,.74836mm"/>
                  <v:textbox>
                    <w:txbxContent>
                      <w:p w:rsidR="000F108D" w:rsidRDefault="000F108D" w:rsidP="00875E4E">
                        <w:pPr>
                          <w:jc w:val="center"/>
                          <w:rPr>
                            <w:rFonts w:ascii="Tahoma" w:hAnsi="Tahoma" w:cs="Tahoma"/>
                            <w:b/>
                            <w:color w:val="1F497D" w:themeColor="text2"/>
                            <w:sz w:val="10"/>
                            <w:lang w:val="es-ES_tradnl"/>
                          </w:rPr>
                        </w:pPr>
                        <w:r w:rsidRPr="00875E4E">
                          <w:rPr>
                            <w:rFonts w:ascii="Tahoma" w:hAnsi="Tahoma" w:cs="Tahoma"/>
                            <w:b/>
                            <w:color w:val="1F497D" w:themeColor="text2"/>
                            <w:sz w:val="10"/>
                            <w:lang w:val="es-ES_tradnl"/>
                          </w:rPr>
                          <w:t>SENAGUA</w:t>
                        </w:r>
                      </w:p>
                      <w:p w:rsidR="000F108D" w:rsidRPr="000F783C" w:rsidRDefault="000F108D" w:rsidP="00875E4E">
                        <w:pPr>
                          <w:jc w:val="center"/>
                          <w:rPr>
                            <w:rFonts w:ascii="Tahoma" w:hAnsi="Tahoma" w:cs="Tahoma"/>
                            <w:color w:val="1F497D" w:themeColor="text2"/>
                            <w:sz w:val="8"/>
                            <w:lang w:val="es-ES_tradnl"/>
                          </w:rPr>
                        </w:pPr>
                        <w:r w:rsidRPr="000F783C">
                          <w:rPr>
                            <w:rFonts w:ascii="Tahoma" w:hAnsi="Tahoma" w:cs="Tahoma"/>
                            <w:color w:val="1F497D" w:themeColor="text2"/>
                            <w:sz w:val="8"/>
                            <w:lang w:val="es-ES_tradnl"/>
                          </w:rPr>
                          <w:t>(Ente Rector Agua y Saneamiento)</w:t>
                        </w:r>
                      </w:p>
                    </w:txbxContent>
                  </v:textbox>
                </v:shape>
                <v:shape id="Text Box 20" o:spid="_x0000_s1029" type="#_x0000_t202" style="position:absolute;left:1143;top:13668;width:11283;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b+6MEA&#10;AADbAAAADwAAAGRycy9kb3ducmV2LnhtbERPy4rCMBTdD/gP4QpuRFO7GIZqFFEEwQeMD9xemmtT&#10;bW5KE7X+/WQhzPJw3pNZayvxpMaXjhWMhgkI4tzpkgsFp+Nq8APCB2SNlWNS8CYPs2nna4KZdi/+&#10;pechFCKGsM9QgQmhzqT0uSGLfuhq4shdXWMxRNgUUjf4iuG2kmmSfEuLJccGgzUtDOX3w8Mq2PfT&#10;W7st1rvlu7+s6Wwu59vmolSv287HIAK14V/8ca+1gjSuj1/iD5DT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2/ujBAAAA2wAAAA8AAAAAAAAAAAAAAAAAmAIAAGRycy9kb3du&#10;cmV2LnhtbFBLBQYAAAAABAAEAPUAAACGAwAAAAA=&#10;" fillcolor="white [3201]" strokecolor="#1f497d [3215]" strokeweight=".5pt">
                  <v:shadow on="t" color="black" opacity="26214f" origin="-.5,-.5" offset=".74836mm,.74836mm"/>
                  <v:textbox>
                    <w:txbxContent>
                      <w:p w:rsidR="000F108D" w:rsidRPr="000F783C" w:rsidRDefault="000F108D" w:rsidP="00EE240B">
                        <w:pPr>
                          <w:jc w:val="center"/>
                          <w:rPr>
                            <w:rFonts w:ascii="Tahoma" w:hAnsi="Tahoma" w:cs="Tahoma"/>
                            <w:color w:val="1F497D" w:themeColor="text2"/>
                            <w:sz w:val="10"/>
                            <w:lang w:val="es-ES_tradnl"/>
                          </w:rPr>
                        </w:pPr>
                        <w:r w:rsidRPr="000F783C">
                          <w:rPr>
                            <w:rFonts w:ascii="Tahoma" w:hAnsi="Tahoma" w:cs="Tahoma"/>
                            <w:b/>
                            <w:color w:val="1F497D" w:themeColor="text2"/>
                            <w:sz w:val="10"/>
                            <w:lang w:val="es-ES_tradnl"/>
                          </w:rPr>
                          <w:t>USUARIOS</w:t>
                        </w:r>
                      </w:p>
                    </w:txbxContent>
                  </v:textbox>
                </v:shape>
                <v:shape id="Text Box 22" o:spid="_x0000_s1030" type="#_x0000_t202" style="position:absolute;left:15144;top:6572;width:6522;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FBMQA&#10;AADbAAAADwAAAGRycy9kb3ducmV2LnhtbESPT4vCMBTE7wt+h/AEL6Lp9iBLNYooguCusP7B66N5&#10;NtXmpTRZrd/eCAseh5n5DTOZtbYSN2p86VjB5zABQZw7XXKh4LBfDb5A+ICssXJMCh7kYTbtfEww&#10;0+7Ov3TbhUJECPsMFZgQ6kxKnxuy6IeuJo7e2TUWQ5RNIXWD9wi3lUyTZCQtlhwXDNa0MJRfd39W&#10;wbafXtrvYv2zfPSXNR3N6XjZnJTqddv5GESgNrzD/+21VpCm8PoSf4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oxQTEAAAA2wAAAA8AAAAAAAAAAAAAAAAAmAIAAGRycy9k&#10;b3ducmV2LnhtbFBLBQYAAAAABAAEAPUAAACJAwAAAAA=&#10;" fillcolor="white [3201]" strokecolor="#1f497d [3215]" strokeweight=".5pt">
                  <v:shadow on="t" color="black" opacity="26214f" origin="-.5,-.5" offset=".74836mm,.74836mm"/>
                  <v:textbox>
                    <w:txbxContent>
                      <w:p w:rsidR="000F108D" w:rsidRPr="00EE240B" w:rsidRDefault="000F108D" w:rsidP="00EE240B">
                        <w:pPr>
                          <w:jc w:val="center"/>
                          <w:rPr>
                            <w:rFonts w:ascii="Tahoma" w:hAnsi="Tahoma" w:cs="Tahoma"/>
                            <w:color w:val="1F497D" w:themeColor="text2"/>
                            <w:sz w:val="8"/>
                            <w:lang w:val="es-ES_tradnl"/>
                          </w:rPr>
                        </w:pPr>
                        <w:r w:rsidRPr="00EE240B">
                          <w:rPr>
                            <w:rFonts w:ascii="Tahoma" w:hAnsi="Tahoma" w:cs="Tahoma"/>
                            <w:b/>
                            <w:color w:val="1F497D" w:themeColor="text2"/>
                            <w:sz w:val="8"/>
                            <w:lang w:val="es-ES_tradnl"/>
                          </w:rPr>
                          <w:t>Banco del Estado</w:t>
                        </w:r>
                      </w:p>
                    </w:txbxContent>
                  </v:textbox>
                </v:shape>
                <v:shape id="Text Box 23" o:spid="_x0000_s1031" type="#_x0000_t202" style="position:absolute;left:15144;top:2095;width:6522;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Rgn8UA&#10;AADbAAAADwAAAGRycy9kb3ducmV2LnhtbESPQWvCQBSE70L/w/IKvUjdNEKR1FVKQ0HQCsaK10f2&#10;NZs0+zZkV43/visUPA4z8w0zXw62FWfqfe1YwcskAUFcOl1zpeB7//k8A+EDssbWMSm4kofl4mE0&#10;x0y7C+/oXIRKRAj7DBWYELpMSl8asugnriOO3o/rLYYo+0rqHi8RbluZJsmrtFhzXDDY0Yeh8rc4&#10;WQXbcdoMm2r1lV/HeUcHczw066NST4/D+xuIQEO4h//bK60gncLtS/wB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pGCfxQAAANsAAAAPAAAAAAAAAAAAAAAAAJgCAABkcnMv&#10;ZG93bnJldi54bWxQSwUGAAAAAAQABAD1AAAAigMAAAAA&#10;" fillcolor="white [3201]" strokecolor="#1f497d [3215]" strokeweight=".5pt">
                  <v:shadow on="t" color="black" opacity="26214f" origin="-.5,-.5" offset=".74836mm,.74836mm"/>
                  <v:textbox>
                    <w:txbxContent>
                      <w:p w:rsidR="000F108D" w:rsidRPr="00EE240B" w:rsidRDefault="000F108D" w:rsidP="000F783C">
                        <w:pPr>
                          <w:jc w:val="center"/>
                          <w:rPr>
                            <w:rFonts w:ascii="Tahoma" w:hAnsi="Tahoma" w:cs="Tahoma"/>
                            <w:color w:val="1F497D" w:themeColor="text2"/>
                            <w:sz w:val="8"/>
                            <w:lang w:val="es-ES_tradnl"/>
                          </w:rPr>
                        </w:pPr>
                        <w:r>
                          <w:rPr>
                            <w:rFonts w:ascii="Tahoma" w:hAnsi="Tahoma" w:cs="Tahoma"/>
                            <w:b/>
                            <w:color w:val="1F497D" w:themeColor="text2"/>
                            <w:sz w:val="8"/>
                            <w:lang w:val="es-ES_tradnl"/>
                          </w:rPr>
                          <w:t>Ministerio de Finanzas</w:t>
                        </w:r>
                      </w:p>
                    </w:txbxContent>
                  </v:textbox>
                </v:shape>
                <v:shape id="Text Box 24" o:spid="_x0000_s1032" type="#_x0000_t202" style="position:absolute;left:7096;top:2000;width:5486;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3468UA&#10;AADbAAAADwAAAGRycy9kb3ducmV2LnhtbESPQWvCQBSE70L/w/IKvUjdNEiR1FVKQ0HQCsaK10f2&#10;NZs0+zZkV43/visUPA4z8w0zXw62FWfqfe1YwcskAUFcOl1zpeB7//k8A+EDssbWMSm4kofl4mE0&#10;x0y7C+/oXIRKRAj7DBWYELpMSl8asugnriOO3o/rLYYo+0rqHi8RbluZJsmrtFhzXDDY0Yeh8rc4&#10;WQXbcdoMm2r1lV/HeUcHczw066NST4/D+xuIQEO4h//bK60gncLtS/wB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TfjrxQAAANsAAAAPAAAAAAAAAAAAAAAAAJgCAABkcnMv&#10;ZG93bnJldi54bWxQSwUGAAAAAAQABAD1AAAAigMAAAAA&#10;" fillcolor="white [3201]" strokecolor="#1f497d [3215]" strokeweight=".5pt">
                  <v:shadow on="t" color="black" opacity="26214f" origin="-.5,-.5" offset=".74836mm,.74836mm"/>
                  <v:textbox>
                    <w:txbxContent>
                      <w:p w:rsidR="000F108D" w:rsidRPr="000F783C" w:rsidRDefault="000F108D" w:rsidP="000F783C">
                        <w:pPr>
                          <w:jc w:val="center"/>
                          <w:rPr>
                            <w:rFonts w:ascii="Tahoma" w:hAnsi="Tahoma" w:cs="Tahoma"/>
                            <w:b/>
                            <w:color w:val="1F497D" w:themeColor="text2"/>
                            <w:sz w:val="10"/>
                            <w:lang w:val="es-ES_tradnl"/>
                          </w:rPr>
                        </w:pPr>
                        <w:r w:rsidRPr="000F783C">
                          <w:rPr>
                            <w:rFonts w:ascii="Tahoma" w:hAnsi="Tahoma" w:cs="Tahoma"/>
                            <w:b/>
                            <w:color w:val="1F497D" w:themeColor="text2"/>
                            <w:sz w:val="10"/>
                            <w:lang w:val="es-ES_tradnl"/>
                          </w:rPr>
                          <w:t>MAE</w:t>
                        </w:r>
                      </w:p>
                      <w:p w:rsidR="000F108D" w:rsidRPr="000F783C" w:rsidRDefault="000F108D" w:rsidP="000F783C">
                        <w:pPr>
                          <w:jc w:val="center"/>
                          <w:rPr>
                            <w:rFonts w:ascii="Tahoma" w:hAnsi="Tahoma" w:cs="Tahoma"/>
                            <w:color w:val="1F497D" w:themeColor="text2"/>
                            <w:sz w:val="8"/>
                            <w:lang w:val="es-ES_tradnl"/>
                          </w:rPr>
                        </w:pPr>
                        <w:r>
                          <w:rPr>
                            <w:rFonts w:ascii="Tahoma" w:hAnsi="Tahoma" w:cs="Tahoma"/>
                            <w:color w:val="1F497D" w:themeColor="text2"/>
                            <w:sz w:val="8"/>
                            <w:lang w:val="es-ES_tradnl"/>
                          </w:rPr>
                          <w:t>(Autoridad Ambiental)</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3619;top:4953;width:0;height:11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LaeMQAAADbAAAADwAAAGRycy9kb3ducmV2LnhtbESPQWvCQBSE70L/w/IEb2ajB6mpq4hU&#10;6kGFqoUcH9nXJDT7Nt1dNfrruwXB4zAz3zCzRWcacSHna8sKRkkKgriwuuZSwem4Hr6C8AFZY2OZ&#10;FNzIw2L+0pthpu2VP+lyCKWIEPYZKqhCaDMpfVGRQZ/Yljh639YZDFG6UmqH1wg3jRyn6UQarDku&#10;VNjSqqLi53A2CvYfe7vL89/JvS4t8fb+1b3jWqlBv1u+gQjUhWf40d5oBeMp/H+JP0D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tp4xAAAANsAAAAPAAAAAAAAAAAA&#10;AAAAAKECAABkcnMvZG93bnJldi54bWxQSwUGAAAAAAQABAD5AAAAkgMAAAAA&#10;" strokecolor="#1f497d [3215]" strokeweight=".5pt">
                  <v:stroke dashstyle="dash" startarrowwidth="narrow" startarrowlength="short" endarrow="open" endarrowwidth="narrow" endarrowlength="short"/>
                </v:shape>
                <v:shape id="Straight Arrow Connector 30" o:spid="_x0000_s1034" type="#_x0000_t32" style="position:absolute;left:9620;top:4953;width:0;height:11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HlOMAAAADbAAAADwAAAGRycy9kb3ducmV2LnhtbERPTYvCMBC9C/sfwgjebKqCSNe0iKzo&#10;wRV0d8Hj0IxtsZnUJmrXX28OgsfH+55nnanFjVpXWVYwimIQxLnVFRcKfn9WwxkI55E11pZJwT85&#10;yNKP3hwTbe+8p9vBFyKEsEtQQel9k0jp8pIMusg2xIE72dagD7AtpG7xHsJNLcdxPJUGKw4NJTa0&#10;LCk/H65GwW69s9/H42X6qApLvH38dV+4UmrQ7xafIDx1/i1+uTdawSSsD1/CD5Dp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B5TjAAAAA2wAAAA8AAAAAAAAAAAAAAAAA&#10;oQIAAGRycy9kb3ducmV2LnhtbFBLBQYAAAAABAAEAPkAAACOAwAAAAA=&#10;" strokecolor="#1f497d [3215]" strokeweight=".5pt">
                  <v:stroke dashstyle="dash" startarrowwidth="narrow" startarrowlength="short" endarrow="open" endarrowwidth="narrow" endarrowlength="short"/>
                </v:shape>
                <v:group id="Group 44" o:spid="_x0000_s1035" style="position:absolute;left:1143;top:6096;width:10950;height:6470" coordsize="10950,6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Text Box 19" o:spid="_x0000_s1036" type="#_x0000_t202" style="position:absolute;left:2095;width:7004;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dyMMA&#10;AADbAAAADwAAAGRycy9kb3ducmV2LnhtbERPS2vCQBC+F/wPywi9iG7MobQxGxFDQegDtIrXITtm&#10;o9nZkN1q/PfdQqG3+fieky8H24or9b5xrGA+S0AQV043XCvYf71On0H4gKyxdUwK7uRhWYwecsy0&#10;u/GWrrtQixjCPkMFJoQuk9JXhiz6meuII3dyvcUQYV9L3eMthttWpknyJC02HBsMdrQ2VF1231bB&#10;5yQ9D+/15qO8T8qODuZ4OL8dlXocD6sFiEBD+Bf/uTc6zn+B31/iA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CdyMMAAADbAAAADwAAAAAAAAAAAAAAAACYAgAAZHJzL2Rv&#10;d25yZXYueG1sUEsFBgAAAAAEAAQA9QAAAIgDAAAAAA==&#10;" fillcolor="white [3201]" strokecolor="#1f497d [3215]" strokeweight=".5pt">
                    <v:shadow on="t" color="black" opacity="26214f" origin="-.5,-.5" offset=".74836mm,.74836mm"/>
                    <v:textbox>
                      <w:txbxContent>
                        <w:p w:rsidR="000F108D" w:rsidRPr="00875E4E" w:rsidRDefault="000F108D" w:rsidP="00875E4E">
                          <w:pPr>
                            <w:jc w:val="center"/>
                            <w:rPr>
                              <w:rFonts w:ascii="Tahoma" w:hAnsi="Tahoma" w:cs="Tahoma"/>
                              <w:color w:val="1F497D" w:themeColor="text2"/>
                              <w:sz w:val="10"/>
                              <w:lang w:val="es-ES_tradnl"/>
                            </w:rPr>
                          </w:pPr>
                          <w:r>
                            <w:rPr>
                              <w:rFonts w:ascii="Tahoma" w:hAnsi="Tahoma" w:cs="Tahoma"/>
                              <w:b/>
                              <w:color w:val="1F497D" w:themeColor="text2"/>
                              <w:sz w:val="10"/>
                              <w:lang w:val="es-ES_tradnl"/>
                            </w:rPr>
                            <w:t>Gobiernos Municipales</w:t>
                          </w:r>
                        </w:p>
                      </w:txbxContent>
                    </v:textbox>
                  </v:shape>
                  <v:oval id="Oval 25" o:spid="_x0000_s1037" style="position:absolute;top:3857;width:5191;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70AcYA&#10;AADbAAAADwAAAGRycy9kb3ducmV2LnhtbESPQWvCQBSE7wX/w/KEXkrdaKlKdCNSCM2lxWoFj4/s&#10;M4nJvg3Z1cR/3y0Uehxm5htmvRlMI27UucqygukkAkGcW11xoeD7kD4vQTiPrLGxTAru5GCTjB7W&#10;GGvb8xfd9r4QAcIuRgWl920spctLMugmtiUO3tl2Bn2QXSF1h32Am0bOomguDVYcFkps6a2kvN5f&#10;jYJmVx+uKb58XD6z+9P7Lj1uT4ujUo/jYbsC4Wnw/+G/dqYVzF7h90v4ATL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70AcYAAADbAAAADwAAAAAAAAAAAAAAAACYAgAAZHJz&#10;L2Rvd25yZXYueG1sUEsFBgAAAAAEAAQA9QAAAIsDAAAAAA==&#10;" fillcolor="white [3201]" strokecolor="#1f497d [3215]" strokeweight=".5pt">
                    <v:shadow on="t" color="black" opacity="26214f" origin="-.5,-.5" offset=".74836mm,.74836mm"/>
                  </v:oval>
                  <v:oval id="Oval 26" o:spid="_x0000_s1038" style="position:absolute;left:5762;top:3857;width:5188;height:26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xqdsYA&#10;AADbAAAADwAAAGRycy9kb3ducmV2LnhtbESPQWvCQBSE74X+h+UVeim60YKV6CqhEPRSsYmCx0f2&#10;maTJvg3ZVeO/7wqFHoeZ+YZZrgfTiiv1rrasYDKOQBAXVtdcKjjk6WgOwnlkja1lUnAnB+vV89MS&#10;Y21v/E3XzJciQNjFqKDyvouldEVFBt3YdsTBO9veoA+yL6Xu8RbgppXTKJpJgzWHhQo7+qyoaLKL&#10;UdDum/yS4vvXz257f9vs02Ny+jgq9foyJAsQngb/H/5rb7WC6QweX8IP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xqdsYAAADbAAAADwAAAAAAAAAAAAAAAACYAgAAZHJz&#10;L2Rvd25yZXYueG1sUEsFBgAAAAAEAAQA9QAAAIsDAAAAAA==&#10;" fillcolor="white [3201]" strokecolor="#1f497d [3215]" strokeweight=".5pt">
                    <v:shadow on="t" color="black" opacity="26214f" origin="-.5,-.5" offset=".74836mm,.74836mm"/>
                  </v:oval>
                  <v:shape id="Straight Arrow Connector 31" o:spid="_x0000_s1039" type="#_x0000_t32" style="position:absolute;left:7048;top:2952;width:0;height:9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1Ao8QAAADbAAAADwAAAGRycy9kb3ducmV2LnhtbESPQWvCQBSE74L/YXmCN7OxgpTUVUSU&#10;erCBqoUcH9nXJDT7NmZXjfn13ULB4zAz3zCLVWdqcaPWVZYVTKMYBHFudcWFgvNpN3kF4Tyyxtoy&#10;KXiQg9VyOFhgou2dP+l29IUIEHYJKii9bxIpXV6SQRfZhjh437Y16INsC6lbvAe4qeVLHM+lwYrD&#10;QokNbUrKf45XoyB9T+1Hll3mfVVY4kP/1W1xp9R41K3fQHjq/DP8395rBbMp/H0JP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DUCjxAAAANsAAAAPAAAAAAAAAAAA&#10;AAAAAKECAABkcnMvZG93bnJldi54bWxQSwUGAAAAAAQABAD5AAAAkgMAAAAA&#10;" strokecolor="#1f497d [3215]" strokeweight=".5pt">
                    <v:stroke dashstyle="dash" startarrowwidth="narrow" startarrowlength="short" endarrow="open" endarrowwidth="narrow" endarrowlength="short"/>
                  </v:shape>
                  <v:shape id="Straight Arrow Connector 32" o:spid="_x0000_s1040" type="#_x0000_t32" style="position:absolute;left:3381;top:2952;width:0;height:9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e1MMAAADbAAAADwAAAGRycy9kb3ducmV2LnhtbESPQYvCMBSE7wv7H8ITvK2pCiK1qSzL&#10;ih5U0F3B46N5tsXmpTZRq7/eCILHYWa+YZJpaypxocaVlhX0exEI4szqknMF/3+zrzEI55E1VpZJ&#10;wY0cTNPPjwRjba+8ocvW5yJA2MWooPC+jqV0WUEGXc/WxME72MagD7LJpW7wGuCmkoMoGkmDJYeF&#10;Amv6KSg7bs9GwXq+tqv9/jS6l7klXt537S/OlOp22u8JCE+tf4df7YVWMBzA80v4ATJ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rf3tTDAAAA2wAAAA8AAAAAAAAAAAAA&#10;AAAAoQIAAGRycy9kb3ducmV2LnhtbFBLBQYAAAAABAAEAPkAAACRAwAAAAA=&#10;" strokecolor="#1f497d [3215]" strokeweight=".5pt">
                    <v:stroke dashstyle="dash" startarrowwidth="narrow" startarrowlength="short" endarrow="open" endarrowwidth="narrow" endarrowlength="short"/>
                  </v:shape>
                </v:group>
                <v:shape id="Straight Arrow Connector 33" o:spid="_x0000_s1041" type="#_x0000_t32" style="position:absolute;left:3571;top:12715;width:0;height:9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N7T8MAAADbAAAADwAAAGRycy9kb3ducmV2LnhtbESPQYvCMBSE74L/IbwFb5qugkhtKsui&#10;6EGFdVfw+GiebbF5qU3U6q83C4LHYWa+YZJZaypxpcaVlhV8DiIQxJnVJecK/n4X/QkI55E1VpZJ&#10;wZ0czNJuJ8FY2xv/0HXncxEg7GJUUHhfx1K6rCCDbmBr4uAdbWPQB9nkUjd4C3BTyWEUjaXBksNC&#10;gTV9F5SddhejYLvc2s3hcB4/ytwSrx/7do4LpXof7dcUhKfWv8Ov9korGI3g/0v4ATJ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WTe0/DAAAA2wAAAA8AAAAAAAAAAAAA&#10;AAAAoQIAAGRycy9kb3ducmV2LnhtbFBLBQYAAAAABAAEAPkAAACRAwAAAAA=&#10;" strokecolor="#1f497d [3215]" strokeweight=".5pt">
                  <v:stroke dashstyle="dash" startarrowwidth="narrow" startarrowlength="short" endarrow="open" endarrowwidth="narrow" endarrowlength="short"/>
                </v:shape>
                <v:shape id="Straight Arrow Connector 35" o:spid="_x0000_s1042" type="#_x0000_t32" style="position:absolute;left:9477;top:12715;width:0;height:9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ZGoMUAAADbAAAADwAAAGRycy9kb3ducmV2LnhtbESPT2vCQBTE70K/w/IK3symLRWJWaWU&#10;Snuogv8gx0f2mQSzb9PsmqR++q5Q8DjMzG+YdDmYWnTUusqygqcoBkGcW11xoeCwX01mIJxH1lhb&#10;JgW/5GC5eBilmGjb85a6nS9EgLBLUEHpfZNI6fKSDLrINsTBO9nWoA+yLaRusQ9wU8vnOJ5KgxWH&#10;hRIbei8pP+8uRsHmc2PXWfYzvVaFJf6+HocPXCk1fhze5iA8Df4e/m9/aQUvr3D7En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ZGoMUAAADbAAAADwAAAAAAAAAA&#10;AAAAAAChAgAAZHJzL2Rvd25yZXYueG1sUEsFBgAAAAAEAAQA+QAAAJMDAAAAAA==&#10;" strokecolor="#1f497d [3215]" strokeweight=".5pt">
                  <v:stroke dashstyle="dash" startarrowwidth="narrow" startarrowlength="short" endarrow="open" endarrowwidth="narrow" endarrowlength="short"/>
                </v:shape>
                <v:shape id="Straight Arrow Connector 39" o:spid="_x0000_s1043" type="#_x0000_t32" style="position:absolute;left:18383;top:4572;width:0;height:20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tMpcUAAADbAAAADwAAAGRycy9kb3ducmV2LnhtbESPT2vCQBTE70K/w/IK3nTTFqRGN6GU&#10;hnqwgv/A4yP7TILZt2l2jamf3hUKHoeZ+Q0zT3tTi45aV1lW8DKOQBDnVldcKNhts9E7COeRNdaW&#10;ScEfOUiTp8EcY20vvKZu4wsRIOxiVFB638RSurwkg25sG+LgHW1r0AfZFlK3eAlwU8vXKJpIgxWH&#10;hRIb+iwpP23ORsHqe2V/DoffybUqLPHyuu+/MFNq+Nx/zEB46v0j/N9eaAVvU7h/CT9AJj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tMpcUAAADbAAAADwAAAAAAAAAA&#10;AAAAAAChAgAAZHJzL2Rvd25yZXYueG1sUEsFBgAAAAAEAAQA+QAAAJMDAAAAAA==&#10;" strokecolor="#1f497d [3215]" strokeweight=".5pt">
                  <v:stroke dashstyle="dash" startarrowwidth="narrow" startarrowlength="short" endarrow="open" endarrowwidth="narrow" endarrowlength="short"/>
                </v:shape>
                <v:shape id="Straight Arrow Connector 40" o:spid="_x0000_s1044" type="#_x0000_t32" style="position:absolute;left:18383;top:9144;width:0;height:20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eWRcAAAADbAAAADwAAAGRycy9kb3ducmV2LnhtbERPTYvCMBC9C/sfwgjebKqISNe0iKzo&#10;wRV0d8Hj0IxtsZnUJmrXX28OgsfH+55nnanFjVpXWVYwimIQxLnVFRcKfn9WwxkI55E11pZJwT85&#10;yNKP3hwTbe+8p9vBFyKEsEtQQel9k0jp8pIMusg2xIE72dagD7AtpG7xHsJNLcdxPJUGKw4NJTa0&#10;LCk/H65GwW69s9/H42X6qApLvH38dV+4UmrQ7xafIDx1/i1+uTdawSSsD1/CD5Dp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1HlkXAAAAA2wAAAA8AAAAAAAAAAAAAAAAA&#10;oQIAAGRycy9kb3ducmV2LnhtbFBLBQYAAAAABAAEAPkAAACOAwAAAAA=&#10;" strokecolor="#1f497d [3215]" strokeweight=".5pt">
                  <v:stroke dashstyle="dash" startarrowwidth="narrow" startarrowlength="short" endarrow="open" endarrowwidth="narrow" endarrowlength="short"/>
                </v:shape>
                <v:shape id="Straight Arrow Connector 41" o:spid="_x0000_s1045" type="#_x0000_t32" style="position:absolute;left:11144;top:7858;width:399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sQ7cIAAADbAAAADwAAAGRycy9kb3ducmV2LnhtbESPT4vCMBTE7wt+h/CEva2pRVSqUfwL&#10;exKsXrw9mrdN2ealNlG7334jCB6HmfkNM192thZ3an3lWMFwkIAgLpyuuFRwPu2/piB8QNZYOyYF&#10;f+Rhueh9zDHT7sFHuuehFBHCPkMFJoQmk9IXhiz6gWuIo/fjWoshyraUusVHhNtapkkylhYrjgsG&#10;G9oYKn7zm1Vwva0P6SS1Zmvz/fS4qQ+XyY6U+ux3qxmIQF14h1/tb61gNITnl/g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qsQ7cIAAADbAAAADwAAAAAAAAAAAAAA&#10;AAChAgAAZHJzL2Rvd25yZXYueG1sUEsFBgAAAAAEAAQA+QAAAJADAAAAAA==&#10;" strokecolor="#1f497d [3215]" strokeweight=".5pt">
                  <v:stroke dashstyle="dash" startarrowwidth="narrow" startarrowlength="short" endarrow="open" endarrowwidth="narrow" endarrowlength="short"/>
                </v:shape>
                <v:shape id="Straight Arrow Connector 42" o:spid="_x0000_s1046" type="#_x0000_t32" style="position:absolute;left:13287;top:11144;width:48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mOmsQAAADbAAAADwAAAGRycy9kb3ducmV2LnhtbESPzWrDMBCE74W+g9hAbo0cU5rgRglt&#10;WkNPgTi55LZYW8vUWrmW/JO3rwqBHIeZ+YbZ7CbbiIE6XztWsFwkIIhLp2uuFJxP+dMahA/IGhvH&#10;pOBKHnbbx4cNZtqNfKShCJWIEPYZKjAhtJmUvjRk0S9cSxy9b9dZDFF2ldQdjhFuG5kmyYu0WHNc&#10;MNjS3lD5U/RWwW//fkhXqTUftsjXx31zuKw+San5bHp7BRFoCvfwrf2lFTyn8P8l/gC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eY6axAAAANsAAAAPAAAAAAAAAAAA&#10;AAAAAKECAABkcnMvZG93bnJldi54bWxQSwUGAAAAAAQABAD5AAAAkgMAAAAA&#10;" strokecolor="#1f497d [3215]" strokeweight=".5pt">
                  <v:stroke dashstyle="dash" startarrowwidth="narrow" startarrowlength="short" endarrow="open" endarrowwidth="narrow" endarrowlength="short"/>
                </v:shape>
                <v:shape id="Text Box 27" o:spid="_x0000_s1047" type="#_x0000_t202" style="position:absolute;left:857;top:9620;width:5810;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0F108D" w:rsidRPr="000F783C" w:rsidRDefault="000F108D" w:rsidP="000F783C">
                        <w:pPr>
                          <w:jc w:val="center"/>
                          <w:rPr>
                            <w:rFonts w:ascii="Tahoma" w:hAnsi="Tahoma" w:cs="Tahoma"/>
                            <w:color w:val="1F497D" w:themeColor="text2"/>
                            <w:sz w:val="7"/>
                            <w:szCs w:val="7"/>
                            <w:lang w:val="pt-BR"/>
                          </w:rPr>
                        </w:pPr>
                        <w:r w:rsidRPr="000F783C">
                          <w:rPr>
                            <w:rFonts w:ascii="Tahoma" w:hAnsi="Tahoma" w:cs="Tahoma"/>
                            <w:b/>
                            <w:color w:val="1F497D" w:themeColor="text2"/>
                            <w:sz w:val="7"/>
                            <w:szCs w:val="7"/>
                            <w:lang w:val="pt-BR"/>
                          </w:rPr>
                          <w:t xml:space="preserve">Empresas </w:t>
                        </w:r>
                        <w:proofErr w:type="spellStart"/>
                        <w:r w:rsidRPr="000F783C">
                          <w:rPr>
                            <w:rFonts w:ascii="Tahoma" w:hAnsi="Tahoma" w:cs="Tahoma"/>
                            <w:b/>
                            <w:color w:val="1F497D" w:themeColor="text2"/>
                            <w:sz w:val="7"/>
                            <w:szCs w:val="7"/>
                            <w:lang w:val="pt-BR"/>
                          </w:rPr>
                          <w:t>Municipales</w:t>
                        </w:r>
                        <w:proofErr w:type="spellEnd"/>
                        <w:r w:rsidRPr="000F783C">
                          <w:rPr>
                            <w:rFonts w:ascii="Tahoma" w:hAnsi="Tahoma" w:cs="Tahoma"/>
                            <w:color w:val="1F497D" w:themeColor="text2"/>
                            <w:sz w:val="7"/>
                            <w:szCs w:val="7"/>
                            <w:lang w:val="pt-BR"/>
                          </w:rPr>
                          <w:t xml:space="preserve"> (zonas urbanas y rural)</w:t>
                        </w:r>
                      </w:p>
                    </w:txbxContent>
                  </v:textbox>
                </v:shape>
                <v:shape id="Text Box 28" o:spid="_x0000_s1048" type="#_x0000_t202" style="position:absolute;left:6905;top:9858;width:5137;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0F108D" w:rsidRPr="000F783C" w:rsidRDefault="000F108D" w:rsidP="000F783C">
                        <w:pPr>
                          <w:jc w:val="center"/>
                          <w:rPr>
                            <w:rFonts w:ascii="Tahoma" w:hAnsi="Tahoma" w:cs="Tahoma"/>
                            <w:color w:val="1F497D" w:themeColor="text2"/>
                            <w:sz w:val="7"/>
                            <w:szCs w:val="7"/>
                            <w:lang w:val="es-ES_tradnl"/>
                          </w:rPr>
                        </w:pPr>
                        <w:r w:rsidRPr="000F783C">
                          <w:rPr>
                            <w:rFonts w:ascii="Tahoma" w:hAnsi="Tahoma" w:cs="Tahoma"/>
                            <w:b/>
                            <w:color w:val="1F497D" w:themeColor="text2"/>
                            <w:sz w:val="7"/>
                            <w:szCs w:val="7"/>
                            <w:lang w:val="es-ES_tradnl"/>
                          </w:rPr>
                          <w:t xml:space="preserve">Juntas de Agua </w:t>
                        </w:r>
                        <w:r w:rsidRPr="000F783C">
                          <w:rPr>
                            <w:rFonts w:ascii="Tahoma" w:hAnsi="Tahoma" w:cs="Tahoma"/>
                            <w:color w:val="1F497D" w:themeColor="text2"/>
                            <w:sz w:val="7"/>
                            <w:szCs w:val="7"/>
                            <w:lang w:val="es-ES_tradnl"/>
                          </w:rPr>
                          <w:t>(zona rural)</w:t>
                        </w:r>
                      </w:p>
                    </w:txbxContent>
                  </v:textbox>
                </v:shape>
                <w10:wrap type="square"/>
              </v:group>
            </w:pict>
          </mc:Fallback>
        </mc:AlternateContent>
      </w:r>
      <w:r w:rsidR="00084B50">
        <w:rPr>
          <w:lang w:val="es-ES_tradnl"/>
        </w:rPr>
        <w:t>L</w:t>
      </w:r>
      <w:r w:rsidR="00656A1C" w:rsidRPr="00656A1C">
        <w:rPr>
          <w:lang w:val="es-ES_tradnl"/>
        </w:rPr>
        <w:t xml:space="preserve">a Subsecretaría de Agua Potable y Saneamiento, como ente rector, es responsable de establecer las políticas, planes y programas sectoriales, coordinar, definir las normas técnicas y de regulación, dar asistencia técnica a comunidades y empresas prestadoras del servicio de orden oficial, coordinar la ejecución de programas de capacitación y hacer seguimiento y evaluar el desarrollo del sector. Los municipios son responsables de asegurar la prestación de los servicios, en forma directa o a través de las empresas municipales; en la zona rural usualmente la comunidad se encarga de proveerse estos servicios. </w:t>
      </w:r>
    </w:p>
    <w:p w:rsidR="00D75AEF" w:rsidRDefault="00656A1C" w:rsidP="00656A1C">
      <w:pPr>
        <w:pStyle w:val="Paragraph"/>
        <w:rPr>
          <w:lang w:val="es-ES_tradnl"/>
        </w:rPr>
      </w:pPr>
      <w:r w:rsidRPr="00656A1C">
        <w:rPr>
          <w:lang w:val="es-ES_tradnl"/>
        </w:rPr>
        <w:t>El Banco del Estado (</w:t>
      </w:r>
      <w:proofErr w:type="spellStart"/>
      <w:r w:rsidRPr="00656A1C">
        <w:rPr>
          <w:lang w:val="es-ES_tradnl"/>
        </w:rPr>
        <w:t>BdE</w:t>
      </w:r>
      <w:proofErr w:type="spellEnd"/>
      <w:r w:rsidRPr="00656A1C">
        <w:rPr>
          <w:lang w:val="es-ES_tradnl"/>
        </w:rPr>
        <w:t xml:space="preserve">), que funciona como una entidad financiera de desarrollo, es la institución que utiliza el Gobierno para canalizar los recursos de cofinanciación a los municipios. </w:t>
      </w:r>
    </w:p>
    <w:p w:rsidR="00B618FC" w:rsidRDefault="00656A1C" w:rsidP="00656A1C">
      <w:pPr>
        <w:pStyle w:val="Paragraph"/>
        <w:rPr>
          <w:lang w:val="es-ES_tradnl"/>
        </w:rPr>
      </w:pPr>
      <w:r w:rsidRPr="00656A1C">
        <w:rPr>
          <w:lang w:val="es-ES_tradnl"/>
        </w:rPr>
        <w:t>También participan el Ministerio de Salud Pública, estableciendo las normas sobre calidad del agua para consumo humano y los programas para la vigilancia y control de su calidad, SENPLADES planificando la inversión nacional y el M</w:t>
      </w:r>
      <w:r w:rsidR="007F35C2">
        <w:rPr>
          <w:lang w:val="es-ES_tradnl"/>
        </w:rPr>
        <w:t xml:space="preserve">inisterio de Finanzas </w:t>
      </w:r>
      <w:r w:rsidRPr="00656A1C">
        <w:rPr>
          <w:lang w:val="es-ES_tradnl"/>
        </w:rPr>
        <w:t xml:space="preserve">asignando recursos al sector. </w:t>
      </w:r>
    </w:p>
    <w:p w:rsidR="004A5FBE" w:rsidRPr="00175827" w:rsidRDefault="00656A1C" w:rsidP="00175827">
      <w:pPr>
        <w:pStyle w:val="Paragraph"/>
        <w:rPr>
          <w:lang w:val="es-ES_tradnl"/>
        </w:rPr>
      </w:pPr>
      <w:r w:rsidRPr="00656A1C">
        <w:rPr>
          <w:lang w:val="es-ES_tradnl"/>
        </w:rPr>
        <w:lastRenderedPageBreak/>
        <w:t xml:space="preserve">El Ministerio de Ambiente </w:t>
      </w:r>
      <w:r w:rsidR="00B618FC" w:rsidRPr="005D7156">
        <w:rPr>
          <w:lang w:val="es-EC"/>
        </w:rPr>
        <w:t>es la autoridad de sectorial que establece las políticas y programas nacionales en el sector de R</w:t>
      </w:r>
      <w:r w:rsidR="00B618FC">
        <w:rPr>
          <w:lang w:val="es-EC"/>
        </w:rPr>
        <w:t xml:space="preserve">esiduos </w:t>
      </w:r>
      <w:r w:rsidR="00B618FC" w:rsidRPr="005D7156">
        <w:rPr>
          <w:lang w:val="es-EC"/>
        </w:rPr>
        <w:t>S</w:t>
      </w:r>
      <w:r w:rsidR="00B618FC">
        <w:rPr>
          <w:lang w:val="es-EC"/>
        </w:rPr>
        <w:t>ólidos</w:t>
      </w:r>
      <w:r w:rsidR="00B618FC" w:rsidRPr="005D7156">
        <w:rPr>
          <w:lang w:val="es-EC"/>
        </w:rPr>
        <w:t>,</w:t>
      </w:r>
      <w:r w:rsidR="00B618FC">
        <w:rPr>
          <w:lang w:val="es-EC"/>
        </w:rPr>
        <w:t xml:space="preserve"> </w:t>
      </w:r>
      <w:r w:rsidRPr="00656A1C">
        <w:rPr>
          <w:lang w:val="es-ES_tradnl"/>
        </w:rPr>
        <w:t>se encarga del licenciamiento ambiental de obras y la regulación de vertimientos aguas residuales domésticas.</w:t>
      </w:r>
    </w:p>
    <w:p w:rsidR="001D7A6E" w:rsidRPr="001D7A6E" w:rsidRDefault="001D7A6E" w:rsidP="001D7A6E">
      <w:pPr>
        <w:pStyle w:val="Paragraph"/>
        <w:rPr>
          <w:lang w:val="es-ES_tradnl"/>
        </w:rPr>
      </w:pPr>
      <w:r w:rsidRPr="001D7A6E">
        <w:rPr>
          <w:lang w:val="es-ES_tradnl"/>
        </w:rPr>
        <w:t xml:space="preserve">La institucionalidad del sector se ha establecido a lo largo del tiempo en un conjunto de normas de creación y asignación de competencias de varias entidades, así como de directrices de política del nivel ejecutivo. En el marco del proceso de descentralización, el Gobierno Central ha venido transfiriendo funciones a los gobiernos sub nacionales en relación con los servicios de agua y saneamiento. Sin embargo, a la fecha no se ha promulgado un marco legal que desarrolle el mandato de </w:t>
      </w:r>
      <w:r w:rsidR="00086C19">
        <w:rPr>
          <w:lang w:val="es-ES_tradnl"/>
        </w:rPr>
        <w:t>Constitucional</w:t>
      </w:r>
      <w:r w:rsidRPr="001D7A6E">
        <w:rPr>
          <w:lang w:val="es-ES_tradnl"/>
        </w:rPr>
        <w:t xml:space="preserve">. </w:t>
      </w:r>
    </w:p>
    <w:p w:rsidR="001D7A6E" w:rsidRDefault="001D7A6E" w:rsidP="001D7A6E">
      <w:pPr>
        <w:pStyle w:val="Paragraph"/>
        <w:rPr>
          <w:lang w:val="es-ES_tradnl"/>
        </w:rPr>
      </w:pPr>
      <w:r>
        <w:rPr>
          <w:lang w:val="es-ES_tradnl"/>
        </w:rPr>
        <w:t>E</w:t>
      </w:r>
      <w:r w:rsidRPr="001D7A6E">
        <w:rPr>
          <w:lang w:val="es-ES_tradnl"/>
        </w:rPr>
        <w:t xml:space="preserve">l sector </w:t>
      </w:r>
      <w:r w:rsidR="006F49E5">
        <w:rPr>
          <w:lang w:val="es-ES_tradnl"/>
        </w:rPr>
        <w:t>contaba</w:t>
      </w:r>
      <w:r w:rsidRPr="001D7A6E">
        <w:rPr>
          <w:lang w:val="es-ES_tradnl"/>
        </w:rPr>
        <w:t xml:space="preserve"> con una Política y un Plan Nacional de Desarrollo del Sector de Agua Potable y Saneamiento aprobados en el año 2003. No obstante, la implementación del plan y la política ha sido muy lenta y poco efectiva, lo cual se refleja en los bajos niveles de cobertura y de inversión en el sector, y los esfuerzos fallidos por promulgar varios proyectos de ley para el sector, debido a la baja capacidad del ente rector de lograr una coordinación efectiva entre las entidades del Gobierno involucradas y la discre</w:t>
      </w:r>
      <w:r>
        <w:rPr>
          <w:lang w:val="es-ES_tradnl"/>
        </w:rPr>
        <w:t>pancia de enfoque de las mismas</w:t>
      </w:r>
      <w:r w:rsidRPr="001D7A6E">
        <w:rPr>
          <w:lang w:val="es-ES_tradnl"/>
        </w:rPr>
        <w:t>.</w:t>
      </w:r>
    </w:p>
    <w:p w:rsidR="006F49E5" w:rsidRPr="001D7A6E" w:rsidRDefault="002F0686" w:rsidP="001D7A6E">
      <w:pPr>
        <w:pStyle w:val="Paragraph"/>
        <w:rPr>
          <w:lang w:val="es-ES_tradnl"/>
        </w:rPr>
      </w:pPr>
      <w:r>
        <w:rPr>
          <w:lang w:val="es-ES_tradnl"/>
        </w:rPr>
        <w:t>Luego de</w:t>
      </w:r>
      <w:r w:rsidR="006F49E5">
        <w:rPr>
          <w:lang w:val="es-ES_tradnl"/>
        </w:rPr>
        <w:t xml:space="preserve"> la transferencia de funciones del MIDUVI hacia la SENAGUA en 2013, se prevé la restructuración del secto</w:t>
      </w:r>
      <w:r w:rsidR="002336A2">
        <w:rPr>
          <w:lang w:val="es-ES_tradnl"/>
        </w:rPr>
        <w:t>r para lo cual se establecerán planes estratégicos</w:t>
      </w:r>
      <w:r w:rsidR="006F49E5">
        <w:rPr>
          <w:lang w:val="es-ES_tradnl"/>
        </w:rPr>
        <w:t xml:space="preserve"> </w:t>
      </w:r>
      <w:r>
        <w:rPr>
          <w:lang w:val="es-ES_tradnl"/>
        </w:rPr>
        <w:t>y la creación de un marco normativo regulatorio para el desarrollo de los servicios de agua potable y saneamiento.</w:t>
      </w:r>
    </w:p>
    <w:p w:rsidR="00182430" w:rsidRDefault="00182430" w:rsidP="00182430">
      <w:pPr>
        <w:pStyle w:val="Paragraph"/>
        <w:numPr>
          <w:ilvl w:val="0"/>
          <w:numId w:val="0"/>
        </w:numPr>
        <w:ind w:left="720"/>
        <w:rPr>
          <w:lang w:val="es-ES_tradnl"/>
        </w:rPr>
      </w:pPr>
    </w:p>
    <w:p w:rsidR="00182430" w:rsidRPr="002F0686" w:rsidRDefault="00182430" w:rsidP="002F0686">
      <w:pPr>
        <w:pStyle w:val="Chapter"/>
        <w:numPr>
          <w:ilvl w:val="0"/>
          <w:numId w:val="1"/>
        </w:numPr>
        <w:rPr>
          <w:lang w:val="es-ES"/>
        </w:rPr>
      </w:pPr>
      <w:r w:rsidRPr="002F0686">
        <w:rPr>
          <w:lang w:val="es-ES"/>
        </w:rPr>
        <w:t xml:space="preserve">Análisis </w:t>
      </w:r>
      <w:r w:rsidR="002F0686" w:rsidRPr="002F0686">
        <w:rPr>
          <w:lang w:val="es-ES"/>
        </w:rPr>
        <w:t>de Viabilidad Financiera de los Proyectos de la Muestra</w:t>
      </w:r>
    </w:p>
    <w:p w:rsidR="00CD29FD" w:rsidRPr="00CD29FD" w:rsidRDefault="00CD29FD" w:rsidP="00CD29FD">
      <w:pPr>
        <w:pStyle w:val="ListParagraph"/>
        <w:numPr>
          <w:ilvl w:val="0"/>
          <w:numId w:val="30"/>
        </w:numPr>
        <w:suppressAutoHyphens w:val="0"/>
        <w:autoSpaceDN/>
        <w:spacing w:after="240"/>
        <w:jc w:val="both"/>
        <w:textAlignment w:val="auto"/>
        <w:rPr>
          <w:b/>
          <w:i/>
          <w:vanish/>
          <w:lang w:val="es-AR"/>
        </w:rPr>
      </w:pPr>
    </w:p>
    <w:p w:rsidR="00CD29FD" w:rsidRPr="00CD29FD" w:rsidRDefault="00CD29FD" w:rsidP="00CD29FD">
      <w:pPr>
        <w:pStyle w:val="ListParagraph"/>
        <w:numPr>
          <w:ilvl w:val="0"/>
          <w:numId w:val="30"/>
        </w:numPr>
        <w:suppressAutoHyphens w:val="0"/>
        <w:autoSpaceDN/>
        <w:spacing w:after="240"/>
        <w:jc w:val="both"/>
        <w:textAlignment w:val="auto"/>
        <w:rPr>
          <w:b/>
          <w:i/>
          <w:vanish/>
          <w:lang w:val="es-AR"/>
        </w:rPr>
      </w:pPr>
    </w:p>
    <w:p w:rsidR="00CD29FD" w:rsidRPr="00CD29FD" w:rsidRDefault="00CD29FD" w:rsidP="00CD29FD">
      <w:pPr>
        <w:pStyle w:val="ListParagraph"/>
        <w:numPr>
          <w:ilvl w:val="0"/>
          <w:numId w:val="30"/>
        </w:numPr>
        <w:suppressAutoHyphens w:val="0"/>
        <w:autoSpaceDN/>
        <w:spacing w:after="240"/>
        <w:jc w:val="both"/>
        <w:textAlignment w:val="auto"/>
        <w:rPr>
          <w:b/>
          <w:i/>
          <w:vanish/>
          <w:lang w:val="es-AR"/>
        </w:rPr>
      </w:pPr>
    </w:p>
    <w:p w:rsidR="00A56BFE" w:rsidRDefault="00182430" w:rsidP="00CD29FD">
      <w:pPr>
        <w:pStyle w:val="ListParagraph"/>
        <w:numPr>
          <w:ilvl w:val="1"/>
          <w:numId w:val="30"/>
        </w:numPr>
        <w:tabs>
          <w:tab w:val="clear" w:pos="1296"/>
          <w:tab w:val="num" w:pos="720"/>
        </w:tabs>
        <w:suppressAutoHyphens w:val="0"/>
        <w:autoSpaceDN/>
        <w:spacing w:after="240"/>
        <w:ind w:left="720" w:hanging="720"/>
        <w:jc w:val="both"/>
        <w:textAlignment w:val="auto"/>
        <w:rPr>
          <w:lang w:val="es-ES_tradnl"/>
        </w:rPr>
      </w:pPr>
      <w:r w:rsidRPr="002B64BC">
        <w:rPr>
          <w:b/>
          <w:i/>
          <w:lang w:val="es-AR"/>
        </w:rPr>
        <w:t>Objetivo del análisis financiero</w:t>
      </w:r>
      <w:r w:rsidRPr="00182430">
        <w:rPr>
          <w:lang w:val="es-AR"/>
        </w:rPr>
        <w:t xml:space="preserve"> El objetivo de dicho análisis será determinar si </w:t>
      </w:r>
      <w:r w:rsidR="00920632" w:rsidRPr="00920632">
        <w:rPr>
          <w:lang w:val="es-ES_tradnl"/>
        </w:rPr>
        <w:t>los proyectos que serán financiados por el Banco contarán con un esquema que asegure su sostenibilidad financier</w:t>
      </w:r>
      <w:r w:rsidR="00920632">
        <w:rPr>
          <w:lang w:val="es-ES_tradnl"/>
        </w:rPr>
        <w:t xml:space="preserve">a. </w:t>
      </w:r>
    </w:p>
    <w:p w:rsidR="00182430" w:rsidRPr="00920632" w:rsidRDefault="00920632" w:rsidP="00CD29FD">
      <w:pPr>
        <w:pStyle w:val="ListParagraph"/>
        <w:numPr>
          <w:ilvl w:val="1"/>
          <w:numId w:val="30"/>
        </w:numPr>
        <w:tabs>
          <w:tab w:val="clear" w:pos="1296"/>
          <w:tab w:val="num" w:pos="720"/>
        </w:tabs>
        <w:suppressAutoHyphens w:val="0"/>
        <w:autoSpaceDN/>
        <w:spacing w:after="240"/>
        <w:ind w:left="720" w:hanging="720"/>
        <w:jc w:val="both"/>
        <w:textAlignment w:val="auto"/>
        <w:rPr>
          <w:lang w:val="es-ES_tradnl"/>
        </w:rPr>
      </w:pPr>
      <w:r>
        <w:rPr>
          <w:lang w:val="es-ES_tradnl"/>
        </w:rPr>
        <w:t>Según lo establecido por la P</w:t>
      </w:r>
      <w:r w:rsidRPr="00920632">
        <w:rPr>
          <w:lang w:val="es-ES_tradnl"/>
        </w:rPr>
        <w:t xml:space="preserve">olítica </w:t>
      </w:r>
      <w:r>
        <w:rPr>
          <w:lang w:val="es-ES_tradnl"/>
        </w:rPr>
        <w:t>de Servicios Públicos Domicili</w:t>
      </w:r>
      <w:r w:rsidRPr="00920632">
        <w:rPr>
          <w:lang w:val="es-ES_tradnl"/>
        </w:rPr>
        <w:t xml:space="preserve">arios (GN-2716-6), se deberá verificar que el servicio correspondiente generará o recibirá fondos suficientes para atender sus compromisos financieros y sufragar los costos de operación y mantenimiento de los sistemas relacionados con la operación. </w:t>
      </w:r>
    </w:p>
    <w:p w:rsidR="00B90532" w:rsidRPr="00EA7893" w:rsidRDefault="00182430" w:rsidP="00B90532">
      <w:pPr>
        <w:pStyle w:val="ListParagraph"/>
        <w:numPr>
          <w:ilvl w:val="1"/>
          <w:numId w:val="30"/>
        </w:numPr>
        <w:tabs>
          <w:tab w:val="clear" w:pos="1296"/>
          <w:tab w:val="num" w:pos="720"/>
        </w:tabs>
        <w:suppressAutoHyphens w:val="0"/>
        <w:autoSpaceDN/>
        <w:spacing w:after="240"/>
        <w:ind w:left="720" w:hanging="720"/>
        <w:jc w:val="both"/>
        <w:textAlignment w:val="auto"/>
        <w:rPr>
          <w:lang w:val="es-ES_tradnl"/>
        </w:rPr>
      </w:pPr>
      <w:r w:rsidRPr="00EA7893">
        <w:rPr>
          <w:b/>
          <w:i/>
          <w:lang w:val="es-AR"/>
        </w:rPr>
        <w:t>Alcance del análisis financiero</w:t>
      </w:r>
      <w:r w:rsidRPr="00EA7893">
        <w:rPr>
          <w:lang w:val="es-AR"/>
        </w:rPr>
        <w:t xml:space="preserve"> </w:t>
      </w:r>
      <w:r w:rsidR="00B90532" w:rsidRPr="00EA7893">
        <w:rPr>
          <w:lang w:val="es-ES_tradnl"/>
        </w:rPr>
        <w:t xml:space="preserve">El análisis financiero se realiza sobre la base de </w:t>
      </w:r>
      <w:r w:rsidR="00FA38C7" w:rsidRPr="00EA7893">
        <w:rPr>
          <w:lang w:val="es-ES_tradnl"/>
        </w:rPr>
        <w:t>una</w:t>
      </w:r>
      <w:r w:rsidR="005226F4" w:rsidRPr="00EA7893">
        <w:rPr>
          <w:lang w:val="es-ES_tradnl"/>
        </w:rPr>
        <w:t xml:space="preserve"> </w:t>
      </w:r>
      <w:r w:rsidR="00B90532" w:rsidRPr="00EA7893">
        <w:rPr>
          <w:lang w:val="es-ES_tradnl"/>
        </w:rPr>
        <w:t xml:space="preserve">muestra de </w:t>
      </w:r>
      <w:r w:rsidR="00FA38C7" w:rsidRPr="00EA7893">
        <w:rPr>
          <w:lang w:val="es-ES_tradnl"/>
        </w:rPr>
        <w:t xml:space="preserve">17 </w:t>
      </w:r>
      <w:r w:rsidR="00B90532" w:rsidRPr="00EA7893">
        <w:rPr>
          <w:lang w:val="es-ES_tradnl"/>
        </w:rPr>
        <w:t xml:space="preserve">proyectos presentados por el Banco del Estado, que son </w:t>
      </w:r>
      <w:r w:rsidR="00FA38C7" w:rsidRPr="00EA7893">
        <w:rPr>
          <w:lang w:val="es-ES_tradnl"/>
        </w:rPr>
        <w:t>indicativos</w:t>
      </w:r>
      <w:r w:rsidR="00B90532" w:rsidRPr="00EA7893">
        <w:rPr>
          <w:lang w:val="es-ES_tradnl"/>
        </w:rPr>
        <w:t xml:space="preserve"> del tipo de obra que financiará el programa. </w:t>
      </w:r>
      <w:r w:rsidR="00A56BFE" w:rsidRPr="00EA7893">
        <w:rPr>
          <w:lang w:val="es-ES_tradnl"/>
        </w:rPr>
        <w:t>El monto</w:t>
      </w:r>
      <w:r w:rsidR="00B90532" w:rsidRPr="00EA7893">
        <w:rPr>
          <w:lang w:val="es-ES_tradnl"/>
        </w:rPr>
        <w:t xml:space="preserve"> de los proyectos que componen la muestra </w:t>
      </w:r>
      <w:r w:rsidR="00A56BFE" w:rsidRPr="00EA7893">
        <w:rPr>
          <w:lang w:val="es-ES_tradnl"/>
        </w:rPr>
        <w:t>equivalen a</w:t>
      </w:r>
      <w:r w:rsidR="00B90532" w:rsidRPr="00EA7893">
        <w:rPr>
          <w:lang w:val="es-ES_tradnl"/>
        </w:rPr>
        <w:t>l 2</w:t>
      </w:r>
      <w:r w:rsidR="0008649F" w:rsidRPr="00EA7893">
        <w:rPr>
          <w:lang w:val="es-ES_tradnl"/>
        </w:rPr>
        <w:t>5</w:t>
      </w:r>
      <w:r w:rsidR="00B90532" w:rsidRPr="00EA7893">
        <w:rPr>
          <w:lang w:val="es-ES_tradnl"/>
        </w:rPr>
        <w:t>,</w:t>
      </w:r>
      <w:r w:rsidR="0008649F" w:rsidRPr="00EA7893">
        <w:rPr>
          <w:lang w:val="es-ES_tradnl"/>
        </w:rPr>
        <w:t>3</w:t>
      </w:r>
      <w:r w:rsidR="00B90532" w:rsidRPr="00EA7893">
        <w:rPr>
          <w:lang w:val="es-ES_tradnl"/>
        </w:rPr>
        <w:t xml:space="preserve">% </w:t>
      </w:r>
      <w:r w:rsidR="00EA7893">
        <w:rPr>
          <w:lang w:val="es-ES_tradnl"/>
        </w:rPr>
        <w:t xml:space="preserve">del componente </w:t>
      </w:r>
      <w:r w:rsidR="00B90532" w:rsidRPr="00EA7893">
        <w:rPr>
          <w:lang w:val="es-ES_tradnl"/>
        </w:rPr>
        <w:t>que se estima financiar mediante este programa.</w:t>
      </w:r>
    </w:p>
    <w:p w:rsidR="00B90532" w:rsidRDefault="00EA7893" w:rsidP="00B90532">
      <w:pPr>
        <w:pStyle w:val="ListParagraph"/>
        <w:numPr>
          <w:ilvl w:val="1"/>
          <w:numId w:val="30"/>
        </w:numPr>
        <w:tabs>
          <w:tab w:val="clear" w:pos="1296"/>
        </w:tabs>
        <w:suppressAutoHyphens w:val="0"/>
        <w:autoSpaceDN/>
        <w:spacing w:after="240"/>
        <w:ind w:left="720" w:hanging="720"/>
        <w:jc w:val="both"/>
        <w:textAlignment w:val="auto"/>
        <w:rPr>
          <w:lang w:val="es-ES_tradnl"/>
        </w:rPr>
      </w:pPr>
      <w:r>
        <w:rPr>
          <w:lang w:val="es-ES_tradnl"/>
        </w:rPr>
        <w:t xml:space="preserve">A los efectos de determinar la viabilidad financiera de proyectos, sólo se </w:t>
      </w:r>
      <w:r w:rsidR="007679E9">
        <w:rPr>
          <w:lang w:val="es-ES_tradnl"/>
        </w:rPr>
        <w:t>analizan los proyectos a los que aplica la Política de Servicios Públicos Domiciliarios</w:t>
      </w:r>
      <w:r w:rsidR="00A56BFE">
        <w:rPr>
          <w:lang w:val="es-ES_tradnl"/>
        </w:rPr>
        <w:t>,</w:t>
      </w:r>
      <w:r w:rsidR="007679E9">
        <w:rPr>
          <w:lang w:val="es-ES_tradnl"/>
        </w:rPr>
        <w:t xml:space="preserve"> que corresponden a </w:t>
      </w:r>
      <w:r w:rsidR="00FA38C7">
        <w:rPr>
          <w:lang w:val="es-ES_tradnl"/>
        </w:rPr>
        <w:t xml:space="preserve">7 </w:t>
      </w:r>
      <w:r w:rsidR="00B90532" w:rsidRPr="00B90532">
        <w:rPr>
          <w:lang w:val="es-ES_tradnl"/>
        </w:rPr>
        <w:t xml:space="preserve">proyectos </w:t>
      </w:r>
      <w:r w:rsidR="007679E9">
        <w:rPr>
          <w:lang w:val="es-ES_tradnl"/>
        </w:rPr>
        <w:t>de agua potable y</w:t>
      </w:r>
      <w:r w:rsidR="00B90532" w:rsidRPr="00B90532">
        <w:rPr>
          <w:lang w:val="es-ES_tradnl"/>
        </w:rPr>
        <w:t xml:space="preserve"> </w:t>
      </w:r>
      <w:r w:rsidR="0008649F">
        <w:rPr>
          <w:lang w:val="es-ES_tradnl"/>
        </w:rPr>
        <w:t>6</w:t>
      </w:r>
      <w:r w:rsidR="00B90532" w:rsidRPr="00B90532">
        <w:rPr>
          <w:lang w:val="es-ES_tradnl"/>
        </w:rPr>
        <w:t xml:space="preserve"> de alcantarillado sanitario </w:t>
      </w:r>
      <w:r w:rsidR="007679E9">
        <w:rPr>
          <w:lang w:val="es-ES_tradnl"/>
        </w:rPr>
        <w:t xml:space="preserve">o </w:t>
      </w:r>
      <w:r w:rsidR="007679E9">
        <w:rPr>
          <w:lang w:val="es-ES_tradnl"/>
        </w:rPr>
        <w:lastRenderedPageBreak/>
        <w:t>tratamiento de aguas residuales</w:t>
      </w:r>
      <w:r w:rsidR="00B90532" w:rsidRPr="00B90532">
        <w:rPr>
          <w:lang w:val="es-ES_tradnl"/>
        </w:rPr>
        <w:t xml:space="preserve">. </w:t>
      </w:r>
      <w:r w:rsidR="00F07B47">
        <w:rPr>
          <w:lang w:val="es-ES_tradnl"/>
        </w:rPr>
        <w:t xml:space="preserve">Los proyectos tienen en </w:t>
      </w:r>
      <w:r w:rsidR="00B90532" w:rsidRPr="00B90532">
        <w:rPr>
          <w:lang w:val="es-ES_tradnl"/>
        </w:rPr>
        <w:t xml:space="preserve">promedio de </w:t>
      </w:r>
      <w:r w:rsidR="00F07B47">
        <w:rPr>
          <w:lang w:val="es-ES_tradnl"/>
        </w:rPr>
        <w:t>12.786</w:t>
      </w:r>
      <w:r w:rsidR="00B90532" w:rsidRPr="00B90532">
        <w:rPr>
          <w:lang w:val="es-ES_tradnl"/>
        </w:rPr>
        <w:t xml:space="preserve"> </w:t>
      </w:r>
      <w:r w:rsidR="00F07B47">
        <w:rPr>
          <w:lang w:val="es-ES_tradnl"/>
        </w:rPr>
        <w:t>beneficiarios</w:t>
      </w:r>
      <w:r w:rsidR="00B90532" w:rsidRPr="00B90532">
        <w:rPr>
          <w:lang w:val="es-ES_tradnl"/>
        </w:rPr>
        <w:t xml:space="preserve">, con un mínimo de </w:t>
      </w:r>
      <w:r w:rsidR="00F07B47">
        <w:rPr>
          <w:lang w:val="es-ES_tradnl"/>
        </w:rPr>
        <w:t>434</w:t>
      </w:r>
      <w:r w:rsidR="00B90532" w:rsidRPr="00B90532">
        <w:rPr>
          <w:lang w:val="es-ES_tradnl"/>
        </w:rPr>
        <w:t xml:space="preserve"> y un máximo de </w:t>
      </w:r>
      <w:r w:rsidR="00F07B47">
        <w:rPr>
          <w:lang w:val="es-ES_tradnl"/>
        </w:rPr>
        <w:t>40.416</w:t>
      </w:r>
      <w:r w:rsidR="0044596A">
        <w:rPr>
          <w:lang w:val="es-ES_tradnl"/>
        </w:rPr>
        <w:t xml:space="preserve"> beneficiarios</w:t>
      </w:r>
      <w:r w:rsidR="00B90532" w:rsidRPr="00B90532">
        <w:rPr>
          <w:lang w:val="es-ES_tradnl"/>
        </w:rPr>
        <w:t xml:space="preserve">. </w:t>
      </w:r>
    </w:p>
    <w:p w:rsidR="000F108D" w:rsidRDefault="000F108D" w:rsidP="000F108D">
      <w:pPr>
        <w:pStyle w:val="ListParagraph"/>
        <w:ind w:left="0"/>
        <w:jc w:val="center"/>
        <w:rPr>
          <w:rFonts w:eastAsiaTheme="minorHAnsi"/>
          <w:b/>
          <w:lang w:val="es-ES_tradnl"/>
        </w:rPr>
      </w:pPr>
      <w:r w:rsidRPr="000F108D">
        <w:rPr>
          <w:rFonts w:eastAsiaTheme="minorHAnsi"/>
          <w:b/>
          <w:lang w:val="es-ES_tradnl"/>
        </w:rPr>
        <w:t>Cuadro 1: Muestra de Proyectos</w:t>
      </w:r>
    </w:p>
    <w:p w:rsidR="000F108D" w:rsidRPr="000F108D" w:rsidRDefault="000F108D" w:rsidP="000F108D">
      <w:pPr>
        <w:pStyle w:val="ListParagraph"/>
        <w:ind w:left="0"/>
        <w:jc w:val="center"/>
        <w:rPr>
          <w:rFonts w:eastAsiaTheme="minorHAnsi"/>
          <w:b/>
          <w:lang w:val="es-ES_tradnl"/>
        </w:rPr>
      </w:pPr>
    </w:p>
    <w:p w:rsidR="000F108D" w:rsidRPr="00F07B47" w:rsidRDefault="000F108D" w:rsidP="000F108D">
      <w:pPr>
        <w:pStyle w:val="ListParagraph"/>
        <w:suppressAutoHyphens w:val="0"/>
        <w:autoSpaceDN/>
        <w:spacing w:after="240"/>
        <w:ind w:left="0"/>
        <w:jc w:val="center"/>
        <w:textAlignment w:val="auto"/>
        <w:rPr>
          <w:lang w:val="es-ES_tradnl"/>
        </w:rPr>
      </w:pPr>
      <w:r w:rsidRPr="000F108D">
        <w:rPr>
          <w:noProof/>
          <w:lang w:eastAsia="en-US"/>
        </w:rPr>
        <w:drawing>
          <wp:inline distT="0" distB="0" distL="0" distR="0" wp14:anchorId="03D28FF2" wp14:editId="3FE8E61F">
            <wp:extent cx="5486400" cy="363078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630785"/>
                    </a:xfrm>
                    <a:prstGeom prst="rect">
                      <a:avLst/>
                    </a:prstGeom>
                    <a:noFill/>
                    <a:ln>
                      <a:noFill/>
                    </a:ln>
                  </pic:spPr>
                </pic:pic>
              </a:graphicData>
            </a:graphic>
          </wp:inline>
        </w:drawing>
      </w:r>
    </w:p>
    <w:p w:rsidR="0044596A" w:rsidRPr="00F547C1" w:rsidRDefault="0044596A" w:rsidP="0044596A">
      <w:pPr>
        <w:pStyle w:val="Paragraph"/>
        <w:numPr>
          <w:ilvl w:val="1"/>
          <w:numId w:val="30"/>
        </w:numPr>
        <w:tabs>
          <w:tab w:val="clear" w:pos="1296"/>
          <w:tab w:val="num" w:pos="720"/>
        </w:tabs>
        <w:ind w:left="720" w:hanging="720"/>
        <w:rPr>
          <w:i/>
          <w:u w:val="single"/>
        </w:rPr>
      </w:pPr>
      <w:proofErr w:type="spellStart"/>
      <w:r w:rsidRPr="00F547C1">
        <w:rPr>
          <w:i/>
          <w:u w:val="single"/>
        </w:rPr>
        <w:t>Metodología</w:t>
      </w:r>
      <w:proofErr w:type="spellEnd"/>
      <w:r w:rsidRPr="00F547C1">
        <w:rPr>
          <w:i/>
          <w:u w:val="single"/>
        </w:rPr>
        <w:t xml:space="preserve"> </w:t>
      </w:r>
    </w:p>
    <w:p w:rsidR="0044596A" w:rsidRPr="00CD29FD" w:rsidRDefault="00CD29FD" w:rsidP="00CD29FD">
      <w:pPr>
        <w:pStyle w:val="ListParagraph"/>
        <w:numPr>
          <w:ilvl w:val="1"/>
          <w:numId w:val="30"/>
        </w:numPr>
        <w:tabs>
          <w:tab w:val="clear" w:pos="1296"/>
        </w:tabs>
        <w:suppressAutoHyphens w:val="0"/>
        <w:autoSpaceDN/>
        <w:spacing w:after="240"/>
        <w:ind w:left="720" w:hanging="720"/>
        <w:jc w:val="both"/>
        <w:textAlignment w:val="auto"/>
        <w:rPr>
          <w:lang w:val="es-ES_tradnl"/>
        </w:rPr>
      </w:pPr>
      <w:r w:rsidRPr="00CD29FD">
        <w:rPr>
          <w:lang w:val="es-ES_tradnl"/>
        </w:rPr>
        <w:t xml:space="preserve">Se revisaron los </w:t>
      </w:r>
      <w:r w:rsidR="00EF576A">
        <w:rPr>
          <w:lang w:val="es-ES_tradnl"/>
        </w:rPr>
        <w:t xml:space="preserve">informes que prepara </w:t>
      </w:r>
      <w:r w:rsidRPr="00CD29FD">
        <w:rPr>
          <w:lang w:val="es-ES_tradnl"/>
        </w:rPr>
        <w:t xml:space="preserve">el Banco del Estado a efectos de determinar si la metodología utilizada </w:t>
      </w:r>
      <w:r w:rsidR="000F108D">
        <w:rPr>
          <w:lang w:val="es-ES_tradnl"/>
        </w:rPr>
        <w:t xml:space="preserve">para el </w:t>
      </w:r>
      <w:r w:rsidR="00EF576A">
        <w:rPr>
          <w:lang w:val="es-ES_tradnl"/>
        </w:rPr>
        <w:t xml:space="preserve">análisis de viabilidad financiera </w:t>
      </w:r>
      <w:r w:rsidR="00513657">
        <w:rPr>
          <w:lang w:val="es-ES_tradnl"/>
        </w:rPr>
        <w:t xml:space="preserve">permite determinar </w:t>
      </w:r>
      <w:r w:rsidR="000F108D">
        <w:rPr>
          <w:lang w:val="es-ES_tradnl"/>
        </w:rPr>
        <w:t>si los ingresos obtenidos</w:t>
      </w:r>
      <w:r w:rsidRPr="00CD29FD">
        <w:rPr>
          <w:lang w:val="es-ES_tradnl"/>
        </w:rPr>
        <w:t xml:space="preserve"> </w:t>
      </w:r>
      <w:r w:rsidR="00513657">
        <w:rPr>
          <w:lang w:val="es-ES_tradnl"/>
        </w:rPr>
        <w:t>cubren</w:t>
      </w:r>
      <w:r w:rsidRPr="00CD29FD">
        <w:rPr>
          <w:lang w:val="es-ES_tradnl"/>
        </w:rPr>
        <w:t xml:space="preserve"> los costos de operación y mantenimiento de los sistemas. </w:t>
      </w:r>
    </w:p>
    <w:p w:rsidR="00156FC2" w:rsidRPr="00513657" w:rsidRDefault="003501AA" w:rsidP="00513657">
      <w:pPr>
        <w:pStyle w:val="ListParagraph"/>
        <w:numPr>
          <w:ilvl w:val="1"/>
          <w:numId w:val="30"/>
        </w:numPr>
        <w:tabs>
          <w:tab w:val="clear" w:pos="1296"/>
        </w:tabs>
        <w:suppressAutoHyphens w:val="0"/>
        <w:autoSpaceDN/>
        <w:spacing w:after="240"/>
        <w:ind w:left="720" w:hanging="720"/>
        <w:jc w:val="both"/>
        <w:textAlignment w:val="auto"/>
        <w:rPr>
          <w:lang w:val="es-ES_tradnl"/>
        </w:rPr>
      </w:pPr>
      <w:r>
        <w:rPr>
          <w:lang w:val="es-ES_tradnl"/>
        </w:rPr>
        <w:t>En el caso de la empresa EMAPAG del GAD Guayaquil, e</w:t>
      </w:r>
      <w:r w:rsidR="00182430" w:rsidRPr="00513657">
        <w:rPr>
          <w:lang w:val="es-ES_tradnl"/>
        </w:rPr>
        <w:t>l análisis financiero se realiza mediante un modelo financiero desarrollado internamente por INE/WSA tomando como base los últimos tres años de información histórica</w:t>
      </w:r>
      <w:r w:rsidR="00086C19" w:rsidRPr="00513657">
        <w:rPr>
          <w:lang w:val="es-ES_tradnl"/>
        </w:rPr>
        <w:t>,</w:t>
      </w:r>
      <w:r w:rsidR="00182430" w:rsidRPr="00513657">
        <w:rPr>
          <w:lang w:val="es-ES_tradnl"/>
        </w:rPr>
        <w:t xml:space="preserve"> las proyecciones </w:t>
      </w:r>
      <w:r w:rsidR="00086C19" w:rsidRPr="00513657">
        <w:rPr>
          <w:lang w:val="es-ES_tradnl"/>
        </w:rPr>
        <w:t xml:space="preserve">financieras preparadas por </w:t>
      </w:r>
      <w:r w:rsidR="00182430" w:rsidRPr="00513657">
        <w:rPr>
          <w:lang w:val="es-ES_tradnl"/>
        </w:rPr>
        <w:t xml:space="preserve">el Banco del Estado </w:t>
      </w:r>
      <w:r w:rsidR="00086C19" w:rsidRPr="00513657">
        <w:rPr>
          <w:lang w:val="es-ES_tradnl"/>
        </w:rPr>
        <w:t>en el préstamo 201</w:t>
      </w:r>
      <w:r w:rsidR="00513657">
        <w:rPr>
          <w:lang w:val="es-ES_tradnl"/>
        </w:rPr>
        <w:t>3</w:t>
      </w:r>
      <w:r w:rsidR="00086C19" w:rsidRPr="00513657">
        <w:rPr>
          <w:lang w:val="es-ES_tradnl"/>
        </w:rPr>
        <w:t>-</w:t>
      </w:r>
      <w:r w:rsidR="00513657">
        <w:rPr>
          <w:lang w:val="es-ES_tradnl"/>
        </w:rPr>
        <w:t>042</w:t>
      </w:r>
      <w:r w:rsidR="00086C19" w:rsidRPr="00513657">
        <w:rPr>
          <w:lang w:val="es-ES_tradnl"/>
        </w:rPr>
        <w:t>-</w:t>
      </w:r>
      <w:r w:rsidR="00513657">
        <w:rPr>
          <w:lang w:val="es-ES_tradnl"/>
        </w:rPr>
        <w:t>GRZ5-G</w:t>
      </w:r>
      <w:r w:rsidR="00086C19" w:rsidRPr="00513657">
        <w:rPr>
          <w:lang w:val="es-ES_tradnl"/>
        </w:rPr>
        <w:t xml:space="preserve"> </w:t>
      </w:r>
      <w:r w:rsidR="00182430" w:rsidRPr="00513657">
        <w:rPr>
          <w:lang w:val="es-ES_tradnl"/>
        </w:rPr>
        <w:t xml:space="preserve">y </w:t>
      </w:r>
      <w:r w:rsidR="00513657">
        <w:rPr>
          <w:lang w:val="es-ES_tradnl"/>
        </w:rPr>
        <w:t xml:space="preserve">los </w:t>
      </w:r>
      <w:r w:rsidR="00182430" w:rsidRPr="00513657">
        <w:rPr>
          <w:lang w:val="es-ES_tradnl"/>
        </w:rPr>
        <w:t xml:space="preserve">supuestos </w:t>
      </w:r>
      <w:r w:rsidR="00513657">
        <w:rPr>
          <w:lang w:val="es-ES_tradnl"/>
        </w:rPr>
        <w:t>utilizados en las mismas</w:t>
      </w:r>
      <w:r w:rsidR="00182430" w:rsidRPr="00513657">
        <w:rPr>
          <w:lang w:val="es-ES_tradnl"/>
        </w:rPr>
        <w:t xml:space="preserve">. Las proyecciones se </w:t>
      </w:r>
      <w:r w:rsidR="00086C19" w:rsidRPr="00513657">
        <w:rPr>
          <w:lang w:val="es-ES_tradnl"/>
        </w:rPr>
        <w:t xml:space="preserve">abarcan </w:t>
      </w:r>
      <w:r w:rsidR="00182430" w:rsidRPr="00513657">
        <w:rPr>
          <w:lang w:val="es-ES_tradnl"/>
        </w:rPr>
        <w:t xml:space="preserve">un periodo de </w:t>
      </w:r>
      <w:r w:rsidR="00513657">
        <w:rPr>
          <w:lang w:val="es-ES_tradnl"/>
        </w:rPr>
        <w:t>8</w:t>
      </w:r>
      <w:r w:rsidR="00182430" w:rsidRPr="00513657">
        <w:rPr>
          <w:lang w:val="es-ES_tradnl"/>
        </w:rPr>
        <w:t xml:space="preserve"> años </w:t>
      </w:r>
      <w:r w:rsidR="00086C19" w:rsidRPr="00513657">
        <w:rPr>
          <w:lang w:val="es-ES_tradnl"/>
        </w:rPr>
        <w:t>y está</w:t>
      </w:r>
      <w:r w:rsidR="00182430" w:rsidRPr="00513657">
        <w:rPr>
          <w:lang w:val="es-ES_tradnl"/>
        </w:rPr>
        <w:t>n expresadas en dólares constantes de 201</w:t>
      </w:r>
      <w:r w:rsidR="00513657">
        <w:rPr>
          <w:lang w:val="es-ES_tradnl"/>
        </w:rPr>
        <w:t>3</w:t>
      </w:r>
      <w:r w:rsidR="00086C19" w:rsidRPr="00513657">
        <w:rPr>
          <w:lang w:val="es-ES_tradnl"/>
        </w:rPr>
        <w:t>. Este modelo incluye</w:t>
      </w:r>
      <w:r w:rsidR="00182430" w:rsidRPr="00513657">
        <w:rPr>
          <w:lang w:val="es-ES_tradnl"/>
        </w:rPr>
        <w:t xml:space="preserve"> proyecciones de ingresos, costos operativos, inversiones de capital</w:t>
      </w:r>
      <w:r>
        <w:rPr>
          <w:lang w:val="es-ES_tradnl"/>
        </w:rPr>
        <w:t xml:space="preserve"> y</w:t>
      </w:r>
      <w:r w:rsidR="00182430" w:rsidRPr="00513657">
        <w:rPr>
          <w:lang w:val="es-ES_tradnl"/>
        </w:rPr>
        <w:t xml:space="preserve"> financiamiento externo. </w:t>
      </w:r>
    </w:p>
    <w:p w:rsidR="00EF576A" w:rsidRPr="00EF576A" w:rsidRDefault="00EF576A" w:rsidP="00EF576A">
      <w:pPr>
        <w:pStyle w:val="Paragraph"/>
        <w:numPr>
          <w:ilvl w:val="1"/>
          <w:numId w:val="30"/>
        </w:numPr>
        <w:tabs>
          <w:tab w:val="clear" w:pos="1296"/>
          <w:tab w:val="num" w:pos="720"/>
        </w:tabs>
        <w:ind w:left="720" w:hanging="720"/>
        <w:rPr>
          <w:i/>
          <w:u w:val="single"/>
        </w:rPr>
      </w:pPr>
      <w:proofErr w:type="spellStart"/>
      <w:r w:rsidRPr="00EF576A">
        <w:rPr>
          <w:i/>
          <w:u w:val="single"/>
        </w:rPr>
        <w:t>Viabilidad</w:t>
      </w:r>
      <w:proofErr w:type="spellEnd"/>
      <w:r w:rsidRPr="00EF576A">
        <w:rPr>
          <w:i/>
          <w:u w:val="single"/>
        </w:rPr>
        <w:t xml:space="preserve"> </w:t>
      </w:r>
      <w:proofErr w:type="spellStart"/>
      <w:r w:rsidRPr="00EF576A">
        <w:rPr>
          <w:i/>
          <w:u w:val="single"/>
        </w:rPr>
        <w:t>Financiera</w:t>
      </w:r>
      <w:proofErr w:type="spellEnd"/>
      <w:r w:rsidRPr="00EF576A">
        <w:rPr>
          <w:i/>
          <w:u w:val="single"/>
        </w:rPr>
        <w:t xml:space="preserve"> </w:t>
      </w:r>
    </w:p>
    <w:p w:rsidR="00EF576A" w:rsidRPr="00EF576A" w:rsidRDefault="00EF576A" w:rsidP="00EF576A">
      <w:pPr>
        <w:pStyle w:val="Paragraph"/>
        <w:rPr>
          <w:lang w:val="es-ES_tradnl"/>
        </w:rPr>
      </w:pPr>
      <w:r w:rsidRPr="00EF576A">
        <w:rPr>
          <w:lang w:val="es-ES_tradnl"/>
        </w:rPr>
        <w:t>El análisis de viabilidad financiera permite determinar que:</w:t>
      </w:r>
    </w:p>
    <w:p w:rsidR="00EF576A" w:rsidRDefault="00EF576A" w:rsidP="00EF576A">
      <w:pPr>
        <w:pStyle w:val="subpar"/>
        <w:rPr>
          <w:lang w:val="es-ES_tradnl"/>
        </w:rPr>
      </w:pPr>
      <w:r w:rsidRPr="00EF576A">
        <w:rPr>
          <w:lang w:val="es-ES_tradnl"/>
        </w:rPr>
        <w:lastRenderedPageBreak/>
        <w:t xml:space="preserve">En </w:t>
      </w:r>
      <w:r w:rsidR="00513657">
        <w:rPr>
          <w:lang w:val="es-ES_tradnl"/>
        </w:rPr>
        <w:t>6</w:t>
      </w:r>
      <w:r w:rsidRPr="00EF576A">
        <w:rPr>
          <w:lang w:val="es-ES_tradnl"/>
        </w:rPr>
        <w:t xml:space="preserve"> proyectos se verificó </w:t>
      </w:r>
      <w:r w:rsidR="003501AA">
        <w:rPr>
          <w:lang w:val="es-ES_tradnl"/>
        </w:rPr>
        <w:t xml:space="preserve">que las tarifas aplicadas </w:t>
      </w:r>
      <w:r w:rsidRPr="00EF576A">
        <w:rPr>
          <w:lang w:val="es-ES_tradnl"/>
        </w:rPr>
        <w:t>permite</w:t>
      </w:r>
      <w:r w:rsidR="003501AA">
        <w:rPr>
          <w:lang w:val="es-ES_tradnl"/>
        </w:rPr>
        <w:t>n</w:t>
      </w:r>
      <w:r w:rsidRPr="00EF576A">
        <w:rPr>
          <w:lang w:val="es-ES_tradnl"/>
        </w:rPr>
        <w:t xml:space="preserve"> cubrir los costos de operación y mantenimiento de los sistemas, y de esta manera asegurar la sostenibilidad financiera del sistema.</w:t>
      </w:r>
      <w:bookmarkStart w:id="22" w:name="_GoBack"/>
      <w:bookmarkEnd w:id="22"/>
    </w:p>
    <w:p w:rsidR="003501AA" w:rsidRDefault="003501AA" w:rsidP="00EF576A">
      <w:pPr>
        <w:pStyle w:val="subpar"/>
        <w:rPr>
          <w:lang w:val="es-ES_tradnl"/>
        </w:rPr>
      </w:pPr>
      <w:r>
        <w:rPr>
          <w:lang w:val="es-ES_tradnl"/>
        </w:rPr>
        <w:t xml:space="preserve">En 5 proyectos el esquema tarifario </w:t>
      </w:r>
      <w:r w:rsidRPr="00EF576A">
        <w:rPr>
          <w:lang w:val="es-ES_tradnl"/>
        </w:rPr>
        <w:t xml:space="preserve">permite cubrir </w:t>
      </w:r>
      <w:r>
        <w:rPr>
          <w:lang w:val="es-ES_tradnl"/>
        </w:rPr>
        <w:t xml:space="preserve">parte de </w:t>
      </w:r>
      <w:r w:rsidRPr="00EF576A">
        <w:rPr>
          <w:lang w:val="es-ES_tradnl"/>
        </w:rPr>
        <w:t>los costos de operación y mantenimiento de los sistemas</w:t>
      </w:r>
      <w:r>
        <w:rPr>
          <w:lang w:val="es-ES_tradnl"/>
        </w:rPr>
        <w:t>, y el resto debe ser aportado por el GAD mediante un esquema de transferencia de fondos, constituyéndose un subsidio a la oferta del servicio.</w:t>
      </w:r>
    </w:p>
    <w:p w:rsidR="00D826E4" w:rsidRDefault="003501AA" w:rsidP="003501AA">
      <w:pPr>
        <w:pStyle w:val="subpar"/>
        <w:rPr>
          <w:lang w:val="es-ES_tradnl"/>
        </w:rPr>
      </w:pPr>
      <w:r>
        <w:rPr>
          <w:lang w:val="es-ES_tradnl"/>
        </w:rPr>
        <w:t>En 2 proyectos no se realizó un análisis de viabilidad financiera.</w:t>
      </w:r>
    </w:p>
    <w:p w:rsidR="0027773C" w:rsidRDefault="0027773C" w:rsidP="0027773C">
      <w:pPr>
        <w:pStyle w:val="Paragraph"/>
        <w:rPr>
          <w:lang w:val="es-ES_tradnl"/>
        </w:rPr>
      </w:pPr>
      <w:r>
        <w:rPr>
          <w:lang w:val="es-ES_tradnl"/>
        </w:rPr>
        <w:t>D</w:t>
      </w:r>
      <w:r w:rsidRPr="0027773C">
        <w:rPr>
          <w:lang w:val="es-ES_tradnl"/>
        </w:rPr>
        <w:t>ebido a que los resultados de la evaluación financiera son parciales, es que durante la ejecución del programa se requerir</w:t>
      </w:r>
      <w:r>
        <w:rPr>
          <w:lang w:val="es-ES_tradnl"/>
        </w:rPr>
        <w:t xml:space="preserve">á </w:t>
      </w:r>
      <w:r w:rsidRPr="0027773C">
        <w:rPr>
          <w:lang w:val="es-ES_tradnl"/>
        </w:rPr>
        <w:t xml:space="preserve">que los proyectos cuenten con los estudios de viabilidad financiera que demuestren que los mismos generarán o recibirán fondos suficientes para atender sus compromisos financieros y sufragar los costos de operación y mantenimiento de los sistemas relacionados con la operación. </w:t>
      </w:r>
    </w:p>
    <w:p w:rsidR="0027773C" w:rsidRDefault="0027773C" w:rsidP="0027773C">
      <w:pPr>
        <w:pStyle w:val="Paragraph"/>
        <w:rPr>
          <w:lang w:val="es-ES_tradnl"/>
        </w:rPr>
      </w:pPr>
      <w:r w:rsidRPr="0027773C">
        <w:rPr>
          <w:lang w:val="es-ES_tradnl"/>
        </w:rPr>
        <w:t>En caso de no ser así, porque las condiciones socioeconómicas de los habitantes de las comunidades no lo permiten, se deberá constatar el avance en el diseño e implementación de instrumentos de focalización de subsidios que prioricen a los grupos más vulnerables y de menores ingresos.</w:t>
      </w:r>
    </w:p>
    <w:p w:rsidR="0027773C" w:rsidRPr="0027773C" w:rsidRDefault="0027773C" w:rsidP="0027773C">
      <w:pPr>
        <w:pStyle w:val="Paragraph"/>
        <w:rPr>
          <w:lang w:val="es-ES_tradnl"/>
        </w:rPr>
      </w:pPr>
      <w:r w:rsidRPr="0027773C">
        <w:rPr>
          <w:lang w:val="es-ES_tradnl"/>
        </w:rPr>
        <w:t xml:space="preserve">Asimismo se trabajará en las reglas de operación del programa de forma de </w:t>
      </w:r>
      <w:r>
        <w:rPr>
          <w:lang w:val="es-ES_tradnl"/>
        </w:rPr>
        <w:t xml:space="preserve">establecer </w:t>
      </w:r>
      <w:r w:rsidRPr="0027773C">
        <w:rPr>
          <w:lang w:val="es-ES_tradnl"/>
        </w:rPr>
        <w:t>el alcance, oportunidad y pertinencia de los análisis de viabilidad financiera que son requeridos en el marco del programa. Siendo recomendable mejorar los procedimientos de gestión del programa de manera de realizar un seguimiento de los informes reseñados y habilitar los desembolsos en la medida que la viabilidad financiera se encuentre adecuadamente documentada.</w:t>
      </w:r>
    </w:p>
    <w:p w:rsidR="0027773C" w:rsidRPr="003501AA" w:rsidRDefault="0027773C" w:rsidP="0027773C">
      <w:pPr>
        <w:pStyle w:val="Paragraph"/>
        <w:numPr>
          <w:ilvl w:val="0"/>
          <w:numId w:val="0"/>
        </w:numPr>
        <w:ind w:left="720"/>
        <w:rPr>
          <w:lang w:val="es-ES_tradnl"/>
        </w:rPr>
      </w:pPr>
    </w:p>
    <w:sectPr w:rsidR="0027773C" w:rsidRPr="003501AA" w:rsidSect="0027773C">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08D" w:rsidRDefault="000F108D">
      <w:r>
        <w:separator/>
      </w:r>
    </w:p>
  </w:endnote>
  <w:endnote w:type="continuationSeparator" w:id="0">
    <w:p w:rsidR="000F108D" w:rsidRDefault="000F1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08D" w:rsidRDefault="000F108D">
      <w:r>
        <w:separator/>
      </w:r>
    </w:p>
  </w:footnote>
  <w:footnote w:type="continuationSeparator" w:id="0">
    <w:p w:rsidR="000F108D" w:rsidRDefault="000F108D">
      <w:r>
        <w:continuationSeparator/>
      </w:r>
    </w:p>
  </w:footnote>
  <w:footnote w:id="1">
    <w:p w:rsidR="000F108D" w:rsidRPr="00B735FA" w:rsidRDefault="000F108D" w:rsidP="00CB299C">
      <w:pPr>
        <w:pStyle w:val="FootnoteText"/>
        <w:rPr>
          <w:sz w:val="18"/>
          <w:szCs w:val="18"/>
          <w:lang w:val="es-ES_tradnl"/>
        </w:rPr>
      </w:pPr>
      <w:r w:rsidRPr="00B735FA">
        <w:rPr>
          <w:rStyle w:val="FootnoteReference"/>
          <w:sz w:val="18"/>
          <w:szCs w:val="18"/>
        </w:rPr>
        <w:footnoteRef/>
      </w:r>
      <w:r w:rsidRPr="00B735FA">
        <w:rPr>
          <w:sz w:val="18"/>
          <w:szCs w:val="18"/>
          <w:lang w:val="es-ES_tradnl"/>
        </w:rPr>
        <w:t xml:space="preserve"> </w:t>
      </w:r>
      <w:r w:rsidRPr="00B735FA">
        <w:rPr>
          <w:sz w:val="18"/>
          <w:szCs w:val="18"/>
          <w:lang w:val="es-CO"/>
        </w:rPr>
        <w:t>Promulgado en 2010.</w:t>
      </w:r>
    </w:p>
  </w:footnote>
  <w:footnote w:id="2">
    <w:p w:rsidR="000F108D" w:rsidRPr="00F30433" w:rsidRDefault="000F108D" w:rsidP="002F0686">
      <w:pPr>
        <w:pStyle w:val="FootnoteText"/>
        <w:rPr>
          <w:sz w:val="18"/>
          <w:szCs w:val="18"/>
          <w:lang w:val="es-ES_tradnl"/>
        </w:rPr>
      </w:pPr>
      <w:r w:rsidRPr="00F30433">
        <w:rPr>
          <w:rStyle w:val="FootnoteReference"/>
          <w:sz w:val="18"/>
          <w:szCs w:val="18"/>
        </w:rPr>
        <w:footnoteRef/>
      </w:r>
      <w:r w:rsidRPr="00F30433">
        <w:rPr>
          <w:sz w:val="18"/>
          <w:szCs w:val="18"/>
          <w:lang w:val="es-ES_tradnl"/>
        </w:rPr>
        <w:t xml:space="preserve"> Fuente: Censo 2010 -  Instituto Nacional Estadística </w:t>
      </w:r>
      <w:r>
        <w:rPr>
          <w:sz w:val="18"/>
          <w:szCs w:val="18"/>
          <w:lang w:val="es-ES_tradnl"/>
        </w:rPr>
        <w:t xml:space="preserve">y Censo </w:t>
      </w:r>
      <w:r w:rsidRPr="00F30433">
        <w:rPr>
          <w:sz w:val="18"/>
          <w:szCs w:val="18"/>
          <w:lang w:val="es-ES_tradnl"/>
        </w:rPr>
        <w:t>(INE</w:t>
      </w:r>
      <w:r>
        <w:rPr>
          <w:sz w:val="18"/>
          <w:szCs w:val="18"/>
          <w:lang w:val="es-ES_tradnl"/>
        </w:rPr>
        <w:t>C</w:t>
      </w:r>
      <w:r w:rsidRPr="00F30433">
        <w:rPr>
          <w:sz w:val="18"/>
          <w:szCs w:val="18"/>
          <w:lang w:val="es-ES_tradnl"/>
        </w:rPr>
        <w:t>)</w:t>
      </w:r>
    </w:p>
  </w:footnote>
  <w:footnote w:id="3">
    <w:p w:rsidR="000F108D" w:rsidRPr="00C00E3A" w:rsidRDefault="000F108D">
      <w:pPr>
        <w:pStyle w:val="FootnoteText"/>
        <w:rPr>
          <w:sz w:val="18"/>
          <w:lang w:val="es-ES_tradnl"/>
        </w:rPr>
      </w:pPr>
      <w:r w:rsidRPr="00C00E3A">
        <w:rPr>
          <w:rStyle w:val="FootnoteReference"/>
          <w:sz w:val="18"/>
        </w:rPr>
        <w:footnoteRef/>
      </w:r>
      <w:r w:rsidRPr="00C00E3A">
        <w:rPr>
          <w:sz w:val="18"/>
          <w:lang w:val="es-ES_tradnl"/>
        </w:rPr>
        <w:t xml:space="preserve"> El monto fue informado por el Banco del Estado y el Ministerio de Finanzas en reunion</w:t>
      </w:r>
      <w:r>
        <w:rPr>
          <w:sz w:val="18"/>
          <w:lang w:val="es-ES_tradnl"/>
        </w:rPr>
        <w:t>e</w:t>
      </w:r>
      <w:r w:rsidRPr="00C00E3A">
        <w:rPr>
          <w:sz w:val="18"/>
          <w:lang w:val="es-ES_tradnl"/>
        </w:rPr>
        <w:t xml:space="preserve">s mantenidas </w:t>
      </w:r>
      <w:r>
        <w:rPr>
          <w:sz w:val="18"/>
          <w:lang w:val="es-ES_tradnl"/>
        </w:rPr>
        <w:t>en la preparación de la operación, según estimaciones de SENPLADES.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EDE2AA34"/>
    <w:lvl w:ilvl="0">
      <w:start w:val="1"/>
      <w:numFmt w:val="upperRoman"/>
      <w:pStyle w:val="Chapter"/>
      <w:lvlText w:val="%1."/>
      <w:lvlJc w:val="center"/>
      <w:pPr>
        <w:tabs>
          <w:tab w:val="num" w:pos="540"/>
        </w:tabs>
        <w:ind w:left="-108" w:firstLine="288"/>
      </w:pPr>
      <w:rPr>
        <w:b/>
        <w:i w:val="0"/>
      </w:rPr>
    </w:lvl>
    <w:lvl w:ilvl="1">
      <w:start w:val="1"/>
      <w:numFmt w:val="decimal"/>
      <w:pStyle w:val="Paragraph"/>
      <w:isLgl/>
      <w:lvlText w:val="%1.%2"/>
      <w:lvlJc w:val="left"/>
      <w:pPr>
        <w:tabs>
          <w:tab w:val="num" w:pos="720"/>
        </w:tabs>
        <w:ind w:left="720" w:hanging="720"/>
      </w:pPr>
      <w:rPr>
        <w:lang w:val="es-ES_tradnl"/>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4BE6544"/>
    <w:multiLevelType w:val="multilevel"/>
    <w:tmpl w:val="606207DE"/>
    <w:styleLink w:val="WWOutlineListStyle"/>
    <w:lvl w:ilvl="0">
      <w:start w:val="1"/>
      <w:numFmt w:val="none"/>
      <w:lvlText w:val="%1"/>
      <w:lvlJc w:val="left"/>
    </w:lvl>
    <w:lvl w:ilvl="1">
      <w:start w:val="1"/>
      <w:numFmt w:val="decimal"/>
      <w:lvlText w:val="%1.%2"/>
      <w:lvlJc w:val="left"/>
      <w:pPr>
        <w:ind w:left="1116" w:hanging="576"/>
      </w:pPr>
    </w:lvl>
    <w:lvl w:ilvl="2">
      <w:start w:val="1"/>
      <w:numFmt w:val="decimal"/>
      <w:lvlText w:val="%1.%2.%3"/>
      <w:lvlJc w:val="left"/>
      <w:pPr>
        <w:ind w:left="1260" w:hanging="720"/>
      </w:pPr>
    </w:lvl>
    <w:lvl w:ilvl="3">
      <w:start w:val="1"/>
      <w:numFmt w:val="decimal"/>
      <w:lvlText w:val="%1.%2.%3.%4"/>
      <w:lvlJc w:val="left"/>
      <w:pPr>
        <w:ind w:left="1404" w:hanging="864"/>
      </w:pPr>
    </w:lvl>
    <w:lvl w:ilvl="4">
      <w:start w:val="1"/>
      <w:numFmt w:val="decimal"/>
      <w:lvlText w:val="%1.%2.%3.%4.%5"/>
      <w:lvlJc w:val="left"/>
      <w:pPr>
        <w:ind w:left="1548" w:hanging="1008"/>
      </w:pPr>
    </w:lvl>
    <w:lvl w:ilvl="5">
      <w:start w:val="1"/>
      <w:numFmt w:val="decimal"/>
      <w:lvlText w:val="%1.%2.%3.%4.%5.%6"/>
      <w:lvlJc w:val="left"/>
      <w:pPr>
        <w:ind w:left="1692" w:hanging="1152"/>
      </w:pPr>
    </w:lvl>
    <w:lvl w:ilvl="6">
      <w:start w:val="1"/>
      <w:numFmt w:val="decimal"/>
      <w:lvlText w:val="%1.%2.%3.%4.%5.%6.%7"/>
      <w:lvlJc w:val="left"/>
      <w:pPr>
        <w:ind w:left="1836" w:hanging="1296"/>
      </w:pPr>
    </w:lvl>
    <w:lvl w:ilvl="7">
      <w:start w:val="1"/>
      <w:numFmt w:val="decimal"/>
      <w:lvlText w:val="%1.%2.%3.%4.%5.%6.%7.%8"/>
      <w:lvlJc w:val="left"/>
      <w:pPr>
        <w:ind w:left="1980" w:hanging="1440"/>
      </w:pPr>
    </w:lvl>
    <w:lvl w:ilvl="8">
      <w:start w:val="1"/>
      <w:numFmt w:val="decimal"/>
      <w:lvlText w:val="%1.%2.%3.%4.%5.%6.%7.%8.%9"/>
      <w:lvlJc w:val="left"/>
      <w:pPr>
        <w:ind w:left="2124" w:hanging="1584"/>
      </w:pPr>
    </w:lvl>
  </w:abstractNum>
  <w:abstractNum w:abstractNumId="2">
    <w:nsid w:val="1D79533A"/>
    <w:multiLevelType w:val="multilevel"/>
    <w:tmpl w:val="47E0B778"/>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rPr>
        <w:lang w:val="es-ES_tradnl"/>
      </w:r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1F105EB2"/>
    <w:multiLevelType w:val="hybridMultilevel"/>
    <w:tmpl w:val="4CB887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1435210"/>
    <w:multiLevelType w:val="multilevel"/>
    <w:tmpl w:val="C742C144"/>
    <w:lvl w:ilvl="0">
      <w:start w:val="1"/>
      <w:numFmt w:val="decimal"/>
      <w:lvlText w:val="%1."/>
      <w:lvlJc w:val="left"/>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rPr>
        <w:lang w:val="es-ES_tradnl"/>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A92647B"/>
    <w:multiLevelType w:val="hybridMultilevel"/>
    <w:tmpl w:val="0346FD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0FA2D32"/>
    <w:multiLevelType w:val="multilevel"/>
    <w:tmpl w:val="0BE46688"/>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lang w:val="es-AR"/>
      </w:rPr>
    </w:lvl>
    <w:lvl w:ilvl="2">
      <w:start w:val="1"/>
      <w:numFmt w:val="decimal"/>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60BB382D"/>
    <w:multiLevelType w:val="hybridMultilevel"/>
    <w:tmpl w:val="9D30A71E"/>
    <w:lvl w:ilvl="0" w:tplc="04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2B761A3"/>
    <w:multiLevelType w:val="multilevel"/>
    <w:tmpl w:val="ED126834"/>
    <w:lvl w:ilvl="0">
      <w:start w:val="1"/>
      <w:numFmt w:val="upperRoman"/>
      <w:lvlText w:val="%1."/>
      <w:lvlJc w:val="center"/>
      <w:pPr>
        <w:tabs>
          <w:tab w:val="num" w:pos="540"/>
        </w:tabs>
        <w:ind w:left="-108" w:firstLine="288"/>
      </w:pPr>
      <w:rPr>
        <w:b/>
        <w:i w:val="0"/>
      </w:rPr>
    </w:lvl>
    <w:lvl w:ilvl="1">
      <w:start w:val="1"/>
      <w:numFmt w:val="bullet"/>
      <w:lvlText w:val=""/>
      <w:lvlJc w:val="left"/>
      <w:pPr>
        <w:tabs>
          <w:tab w:val="num" w:pos="720"/>
        </w:tabs>
        <w:ind w:left="720" w:hanging="720"/>
      </w:pPr>
      <w:rPr>
        <w:rFonts w:ascii="Symbol" w:hAnsi="Symbol" w:hint="default"/>
        <w:lang w:val="es-ES_tradnl"/>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nsid w:val="6EC70C8A"/>
    <w:multiLevelType w:val="multilevel"/>
    <w:tmpl w:val="0B52CC9A"/>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decimal"/>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6F042A07"/>
    <w:multiLevelType w:val="hybridMultilevel"/>
    <w:tmpl w:val="E32CA47E"/>
    <w:lvl w:ilvl="0" w:tplc="BA444120">
      <w:start w:val="1"/>
      <w:numFmt w:val="decimal"/>
      <w:lvlText w:val="%1."/>
      <w:lvlJc w:val="left"/>
      <w:pPr>
        <w:tabs>
          <w:tab w:val="num" w:pos="1872"/>
        </w:tabs>
        <w:ind w:left="1872" w:hanging="432"/>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251869A2">
      <w:start w:val="1"/>
      <w:numFmt w:val="lowerLetter"/>
      <w:lvlText w:val="%2."/>
      <w:lvlJc w:val="left"/>
      <w:pPr>
        <w:tabs>
          <w:tab w:val="num" w:pos="2304"/>
        </w:tabs>
        <w:ind w:left="2304" w:hanging="432"/>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70DE3E91"/>
    <w:multiLevelType w:val="hybridMultilevel"/>
    <w:tmpl w:val="E0385A3E"/>
    <w:lvl w:ilvl="0" w:tplc="04090001">
      <w:start w:val="1"/>
      <w:numFmt w:val="bullet"/>
      <w:lvlText w:val=""/>
      <w:lvlJc w:val="left"/>
      <w:pPr>
        <w:ind w:left="1512" w:hanging="360"/>
      </w:pPr>
      <w:rPr>
        <w:rFonts w:ascii="Symbol" w:hAnsi="Symbol" w:hint="default"/>
      </w:rPr>
    </w:lvl>
    <w:lvl w:ilvl="1" w:tplc="04090003">
      <w:start w:val="1"/>
      <w:numFmt w:val="bullet"/>
      <w:lvlText w:val="o"/>
      <w:lvlJc w:val="left"/>
      <w:pPr>
        <w:ind w:left="2232" w:hanging="360"/>
      </w:pPr>
      <w:rPr>
        <w:rFonts w:ascii="Courier New" w:hAnsi="Courier New" w:cs="Courier New" w:hint="default"/>
      </w:rPr>
    </w:lvl>
    <w:lvl w:ilvl="2" w:tplc="04090005">
      <w:start w:val="1"/>
      <w:numFmt w:val="bullet"/>
      <w:lvlText w:val=""/>
      <w:lvlJc w:val="left"/>
      <w:pPr>
        <w:ind w:left="2952" w:hanging="360"/>
      </w:pPr>
      <w:rPr>
        <w:rFonts w:ascii="Wingdings" w:hAnsi="Wingdings" w:hint="default"/>
      </w:rPr>
    </w:lvl>
    <w:lvl w:ilvl="3" w:tplc="0409000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nsid w:val="74C74592"/>
    <w:multiLevelType w:val="multilevel"/>
    <w:tmpl w:val="46D004C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3">
    <w:nsid w:val="758D6574"/>
    <w:multiLevelType w:val="hybridMultilevel"/>
    <w:tmpl w:val="A11A00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 w:numId="3">
    <w:abstractNumId w:val="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0"/>
  </w:num>
  <w:num w:numId="14">
    <w:abstractNumId w:val="2"/>
  </w:num>
  <w:num w:numId="15">
    <w:abstractNumId w:val="2"/>
  </w:num>
  <w:num w:numId="16">
    <w:abstractNumId w:val="2"/>
  </w:num>
  <w:num w:numId="17">
    <w:abstractNumId w:val="0"/>
  </w:num>
  <w:num w:numId="18">
    <w:abstractNumId w:val="1"/>
  </w:num>
  <w:num w:numId="19">
    <w:abstractNumId w:val="7"/>
  </w:num>
  <w:num w:numId="20">
    <w:abstractNumId w:val="3"/>
  </w:num>
  <w:num w:numId="21">
    <w:abstractNumId w:val="5"/>
  </w:num>
  <w:num w:numId="22">
    <w:abstractNumId w:val="2"/>
    <w:lvlOverride w:ilvl="0">
      <w:startOverride w:val="1"/>
    </w:lvlOverride>
    <w:lvlOverride w:ilvl="1">
      <w:startOverride w:val="1"/>
    </w:lvlOverride>
  </w:num>
  <w:num w:numId="23">
    <w:abstractNumId w:val="6"/>
  </w:num>
  <w:num w:numId="24">
    <w:abstractNumId w:val="9"/>
  </w:num>
  <w:num w:numId="25">
    <w:abstractNumId w:val="13"/>
  </w:num>
  <w:num w:numId="26">
    <w:abstractNumId w:val="8"/>
  </w:num>
  <w:num w:numId="27">
    <w:abstractNumId w:val="11"/>
  </w:num>
  <w:num w:numId="28">
    <w:abstractNumId w:val="0"/>
  </w:num>
  <w:num w:numId="29">
    <w:abstractNumId w:val="0"/>
  </w:num>
  <w:num w:numId="30">
    <w:abstractNumId w:val="4"/>
  </w:num>
  <w:num w:numId="31">
    <w:abstractNumId w:val="0"/>
  </w:num>
  <w:num w:numId="32">
    <w:abstractNumId w:val="10"/>
  </w:num>
  <w:num w:numId="33">
    <w:abstractNumId w:val="0"/>
  </w:num>
  <w:num w:numId="34">
    <w:abstractNumId w:val="0"/>
  </w:num>
  <w:num w:numId="35">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063"/>
    <w:rsid w:val="000157B3"/>
    <w:rsid w:val="00015A98"/>
    <w:rsid w:val="00041A04"/>
    <w:rsid w:val="0005737C"/>
    <w:rsid w:val="00057576"/>
    <w:rsid w:val="00062D09"/>
    <w:rsid w:val="00081509"/>
    <w:rsid w:val="00084B50"/>
    <w:rsid w:val="0008649F"/>
    <w:rsid w:val="00086C19"/>
    <w:rsid w:val="00090063"/>
    <w:rsid w:val="00091EC4"/>
    <w:rsid w:val="000A4E75"/>
    <w:rsid w:val="000A73EF"/>
    <w:rsid w:val="000C0D5A"/>
    <w:rsid w:val="000C7E03"/>
    <w:rsid w:val="000F108D"/>
    <w:rsid w:val="000F783C"/>
    <w:rsid w:val="00101236"/>
    <w:rsid w:val="0010786A"/>
    <w:rsid w:val="001118FF"/>
    <w:rsid w:val="0011604E"/>
    <w:rsid w:val="00116E5D"/>
    <w:rsid w:val="00156A90"/>
    <w:rsid w:val="00156FC2"/>
    <w:rsid w:val="00160810"/>
    <w:rsid w:val="00164B8D"/>
    <w:rsid w:val="001714FC"/>
    <w:rsid w:val="00172973"/>
    <w:rsid w:val="00175827"/>
    <w:rsid w:val="00182430"/>
    <w:rsid w:val="001A0D89"/>
    <w:rsid w:val="001A73E7"/>
    <w:rsid w:val="001B7A50"/>
    <w:rsid w:val="001B7D58"/>
    <w:rsid w:val="001C0796"/>
    <w:rsid w:val="001C433B"/>
    <w:rsid w:val="001D7A6E"/>
    <w:rsid w:val="001E7574"/>
    <w:rsid w:val="001F11D1"/>
    <w:rsid w:val="00212272"/>
    <w:rsid w:val="0021376A"/>
    <w:rsid w:val="002157E9"/>
    <w:rsid w:val="002336A2"/>
    <w:rsid w:val="002400C8"/>
    <w:rsid w:val="002640FF"/>
    <w:rsid w:val="002679EB"/>
    <w:rsid w:val="0027773C"/>
    <w:rsid w:val="002871BE"/>
    <w:rsid w:val="00287B7C"/>
    <w:rsid w:val="002B64BC"/>
    <w:rsid w:val="002D1E4E"/>
    <w:rsid w:val="002D401A"/>
    <w:rsid w:val="002D6EF3"/>
    <w:rsid w:val="002E1B69"/>
    <w:rsid w:val="002E2C1B"/>
    <w:rsid w:val="002F0686"/>
    <w:rsid w:val="002F666B"/>
    <w:rsid w:val="00307435"/>
    <w:rsid w:val="003355B6"/>
    <w:rsid w:val="003501AA"/>
    <w:rsid w:val="00350CA5"/>
    <w:rsid w:val="003615E9"/>
    <w:rsid w:val="0037618B"/>
    <w:rsid w:val="00385789"/>
    <w:rsid w:val="00385917"/>
    <w:rsid w:val="00397751"/>
    <w:rsid w:val="003C2D7F"/>
    <w:rsid w:val="003D75CE"/>
    <w:rsid w:val="003E082C"/>
    <w:rsid w:val="003F1F16"/>
    <w:rsid w:val="00400537"/>
    <w:rsid w:val="00402B5F"/>
    <w:rsid w:val="00404269"/>
    <w:rsid w:val="004115CB"/>
    <w:rsid w:val="0042507A"/>
    <w:rsid w:val="004265CC"/>
    <w:rsid w:val="00442479"/>
    <w:rsid w:val="0044596A"/>
    <w:rsid w:val="00470908"/>
    <w:rsid w:val="00492255"/>
    <w:rsid w:val="004A5FBE"/>
    <w:rsid w:val="004C2944"/>
    <w:rsid w:val="004D2309"/>
    <w:rsid w:val="004D24BE"/>
    <w:rsid w:val="004D396C"/>
    <w:rsid w:val="004D5949"/>
    <w:rsid w:val="004D6300"/>
    <w:rsid w:val="00505269"/>
    <w:rsid w:val="00513657"/>
    <w:rsid w:val="005226F4"/>
    <w:rsid w:val="005333BD"/>
    <w:rsid w:val="005342FD"/>
    <w:rsid w:val="005422B0"/>
    <w:rsid w:val="0056645C"/>
    <w:rsid w:val="00574D35"/>
    <w:rsid w:val="005750E3"/>
    <w:rsid w:val="00581E0D"/>
    <w:rsid w:val="0058663D"/>
    <w:rsid w:val="005904D6"/>
    <w:rsid w:val="0059121D"/>
    <w:rsid w:val="00595B64"/>
    <w:rsid w:val="005B52DD"/>
    <w:rsid w:val="005C15E2"/>
    <w:rsid w:val="005D22FB"/>
    <w:rsid w:val="005D6249"/>
    <w:rsid w:val="005E0A5F"/>
    <w:rsid w:val="005F5D95"/>
    <w:rsid w:val="0060234F"/>
    <w:rsid w:val="006029B1"/>
    <w:rsid w:val="00610B16"/>
    <w:rsid w:val="006115C9"/>
    <w:rsid w:val="00624325"/>
    <w:rsid w:val="00647FCF"/>
    <w:rsid w:val="00656A1C"/>
    <w:rsid w:val="0066145A"/>
    <w:rsid w:val="00663E0F"/>
    <w:rsid w:val="006752A5"/>
    <w:rsid w:val="006A5ED1"/>
    <w:rsid w:val="006B2CD7"/>
    <w:rsid w:val="006F49E5"/>
    <w:rsid w:val="007012F3"/>
    <w:rsid w:val="00711D2C"/>
    <w:rsid w:val="00722C61"/>
    <w:rsid w:val="0074179D"/>
    <w:rsid w:val="00743CC7"/>
    <w:rsid w:val="007446AE"/>
    <w:rsid w:val="00752357"/>
    <w:rsid w:val="00757371"/>
    <w:rsid w:val="007679E9"/>
    <w:rsid w:val="00772426"/>
    <w:rsid w:val="0077425B"/>
    <w:rsid w:val="007746C7"/>
    <w:rsid w:val="007A1D8A"/>
    <w:rsid w:val="007A5266"/>
    <w:rsid w:val="007B4E88"/>
    <w:rsid w:val="007B6CFD"/>
    <w:rsid w:val="007C63E7"/>
    <w:rsid w:val="007E0562"/>
    <w:rsid w:val="007E2B85"/>
    <w:rsid w:val="007E47B9"/>
    <w:rsid w:val="007E4C7F"/>
    <w:rsid w:val="007F35C2"/>
    <w:rsid w:val="007F376C"/>
    <w:rsid w:val="00807832"/>
    <w:rsid w:val="00811B57"/>
    <w:rsid w:val="0081468A"/>
    <w:rsid w:val="0082384F"/>
    <w:rsid w:val="00826735"/>
    <w:rsid w:val="008463DD"/>
    <w:rsid w:val="008527D1"/>
    <w:rsid w:val="00853F8D"/>
    <w:rsid w:val="00860C73"/>
    <w:rsid w:val="0087048D"/>
    <w:rsid w:val="00875E4E"/>
    <w:rsid w:val="0087793C"/>
    <w:rsid w:val="0089343F"/>
    <w:rsid w:val="00897DA4"/>
    <w:rsid w:val="008A3E01"/>
    <w:rsid w:val="008B3446"/>
    <w:rsid w:val="008C180E"/>
    <w:rsid w:val="008C50AC"/>
    <w:rsid w:val="008D1EF8"/>
    <w:rsid w:val="008D3EAA"/>
    <w:rsid w:val="008D6D99"/>
    <w:rsid w:val="008F4BD2"/>
    <w:rsid w:val="00904EF9"/>
    <w:rsid w:val="009150BF"/>
    <w:rsid w:val="00920632"/>
    <w:rsid w:val="00925859"/>
    <w:rsid w:val="00940EE8"/>
    <w:rsid w:val="00941620"/>
    <w:rsid w:val="009554FE"/>
    <w:rsid w:val="00990EFE"/>
    <w:rsid w:val="009A0B01"/>
    <w:rsid w:val="009C5189"/>
    <w:rsid w:val="009C755D"/>
    <w:rsid w:val="009C7732"/>
    <w:rsid w:val="009E2DCD"/>
    <w:rsid w:val="009E475D"/>
    <w:rsid w:val="009E4CAF"/>
    <w:rsid w:val="009E5A08"/>
    <w:rsid w:val="009F4E75"/>
    <w:rsid w:val="00A0572C"/>
    <w:rsid w:val="00A226AF"/>
    <w:rsid w:val="00A22FB9"/>
    <w:rsid w:val="00A269E8"/>
    <w:rsid w:val="00A45909"/>
    <w:rsid w:val="00A54AB0"/>
    <w:rsid w:val="00A56BFE"/>
    <w:rsid w:val="00A7383E"/>
    <w:rsid w:val="00A804D4"/>
    <w:rsid w:val="00A8373B"/>
    <w:rsid w:val="00A84718"/>
    <w:rsid w:val="00A97043"/>
    <w:rsid w:val="00AC0961"/>
    <w:rsid w:val="00AE4FE0"/>
    <w:rsid w:val="00B33B30"/>
    <w:rsid w:val="00B55AB1"/>
    <w:rsid w:val="00B6077C"/>
    <w:rsid w:val="00B618FC"/>
    <w:rsid w:val="00B619FF"/>
    <w:rsid w:val="00B63F3F"/>
    <w:rsid w:val="00B70A6C"/>
    <w:rsid w:val="00B80997"/>
    <w:rsid w:val="00B8204D"/>
    <w:rsid w:val="00B86059"/>
    <w:rsid w:val="00B90532"/>
    <w:rsid w:val="00B90714"/>
    <w:rsid w:val="00B92C32"/>
    <w:rsid w:val="00BA747E"/>
    <w:rsid w:val="00BB2E9F"/>
    <w:rsid w:val="00BB398F"/>
    <w:rsid w:val="00BC7B94"/>
    <w:rsid w:val="00BD39BF"/>
    <w:rsid w:val="00BE2377"/>
    <w:rsid w:val="00BF178A"/>
    <w:rsid w:val="00C00E3A"/>
    <w:rsid w:val="00C20868"/>
    <w:rsid w:val="00C21BE8"/>
    <w:rsid w:val="00C333CE"/>
    <w:rsid w:val="00C51770"/>
    <w:rsid w:val="00C65B06"/>
    <w:rsid w:val="00C70A20"/>
    <w:rsid w:val="00C7391D"/>
    <w:rsid w:val="00C807BA"/>
    <w:rsid w:val="00C867A5"/>
    <w:rsid w:val="00CB299C"/>
    <w:rsid w:val="00CC6049"/>
    <w:rsid w:val="00CD29FD"/>
    <w:rsid w:val="00CD3ACB"/>
    <w:rsid w:val="00CD78EF"/>
    <w:rsid w:val="00CF279E"/>
    <w:rsid w:val="00CF7659"/>
    <w:rsid w:val="00D037E2"/>
    <w:rsid w:val="00D12823"/>
    <w:rsid w:val="00D16C25"/>
    <w:rsid w:val="00D24E3B"/>
    <w:rsid w:val="00D26A69"/>
    <w:rsid w:val="00D27977"/>
    <w:rsid w:val="00D31441"/>
    <w:rsid w:val="00D54A5C"/>
    <w:rsid w:val="00D653C1"/>
    <w:rsid w:val="00D66ACF"/>
    <w:rsid w:val="00D67647"/>
    <w:rsid w:val="00D679D3"/>
    <w:rsid w:val="00D745C5"/>
    <w:rsid w:val="00D75AEF"/>
    <w:rsid w:val="00D826E4"/>
    <w:rsid w:val="00D8382C"/>
    <w:rsid w:val="00D84818"/>
    <w:rsid w:val="00DB6D22"/>
    <w:rsid w:val="00DC72C8"/>
    <w:rsid w:val="00DD1E78"/>
    <w:rsid w:val="00DD3948"/>
    <w:rsid w:val="00DD491E"/>
    <w:rsid w:val="00DD6E25"/>
    <w:rsid w:val="00DD7680"/>
    <w:rsid w:val="00DE6F94"/>
    <w:rsid w:val="00DE71C7"/>
    <w:rsid w:val="00E0256F"/>
    <w:rsid w:val="00E04568"/>
    <w:rsid w:val="00E06D86"/>
    <w:rsid w:val="00E16BE9"/>
    <w:rsid w:val="00E44D90"/>
    <w:rsid w:val="00E45709"/>
    <w:rsid w:val="00E52A97"/>
    <w:rsid w:val="00E56B7A"/>
    <w:rsid w:val="00E63245"/>
    <w:rsid w:val="00EA7893"/>
    <w:rsid w:val="00EC48EC"/>
    <w:rsid w:val="00EC7297"/>
    <w:rsid w:val="00EE240B"/>
    <w:rsid w:val="00EF576A"/>
    <w:rsid w:val="00F0478A"/>
    <w:rsid w:val="00F07B47"/>
    <w:rsid w:val="00F20FDB"/>
    <w:rsid w:val="00F23E94"/>
    <w:rsid w:val="00F30433"/>
    <w:rsid w:val="00F3350F"/>
    <w:rsid w:val="00F46CA8"/>
    <w:rsid w:val="00F47B29"/>
    <w:rsid w:val="00F5015D"/>
    <w:rsid w:val="00F517D3"/>
    <w:rsid w:val="00F60E0F"/>
    <w:rsid w:val="00F86B0D"/>
    <w:rsid w:val="00F93780"/>
    <w:rsid w:val="00F9605C"/>
    <w:rsid w:val="00FA0698"/>
    <w:rsid w:val="00FA38C7"/>
    <w:rsid w:val="00FB13CA"/>
    <w:rsid w:val="00FC27AF"/>
    <w:rsid w:val="00FC4578"/>
    <w:rsid w:val="00FC4C45"/>
    <w:rsid w:val="00FE36D0"/>
    <w:rsid w:val="00FE6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v:fill color="white" on="f"/>
      <v:stroke weight=".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4"/>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5"/>
      </w:numPr>
      <w:spacing w:before="240" w:after="60"/>
      <w:outlineLvl w:val="1"/>
    </w:pPr>
    <w:rPr>
      <w:rFonts w:ascii="Arial" w:hAnsi="Arial"/>
      <w:b/>
      <w:i/>
    </w:rPr>
  </w:style>
  <w:style w:type="paragraph" w:styleId="Heading3">
    <w:name w:val="heading 3"/>
    <w:basedOn w:val="Normal"/>
    <w:next w:val="Normal"/>
    <w:qFormat/>
    <w:pPr>
      <w:keepNext/>
      <w:numPr>
        <w:ilvl w:val="2"/>
        <w:numId w:val="6"/>
      </w:numPr>
      <w:spacing w:before="240" w:after="60"/>
      <w:outlineLvl w:val="2"/>
    </w:pPr>
    <w:rPr>
      <w:rFonts w:ascii="Arial" w:hAnsi="Arial"/>
    </w:rPr>
  </w:style>
  <w:style w:type="paragraph" w:styleId="Heading4">
    <w:name w:val="heading 4"/>
    <w:basedOn w:val="Normal"/>
    <w:next w:val="Normal"/>
    <w:qFormat/>
    <w:pPr>
      <w:keepNext/>
      <w:numPr>
        <w:ilvl w:val="3"/>
        <w:numId w:val="7"/>
      </w:numPr>
      <w:spacing w:before="240" w:after="60"/>
      <w:outlineLvl w:val="3"/>
    </w:pPr>
    <w:rPr>
      <w:rFonts w:ascii="Arial" w:hAnsi="Arial"/>
      <w:b/>
    </w:rPr>
  </w:style>
  <w:style w:type="paragraph" w:styleId="Heading5">
    <w:name w:val="heading 5"/>
    <w:basedOn w:val="Normal"/>
    <w:next w:val="Normal"/>
    <w:qFormat/>
    <w:pPr>
      <w:numPr>
        <w:ilvl w:val="4"/>
        <w:numId w:val="8"/>
      </w:numPr>
      <w:spacing w:before="240" w:after="60"/>
      <w:outlineLvl w:val="4"/>
    </w:pPr>
    <w:rPr>
      <w:sz w:val="22"/>
    </w:rPr>
  </w:style>
  <w:style w:type="paragraph" w:styleId="Heading6">
    <w:name w:val="heading 6"/>
    <w:basedOn w:val="Normal"/>
    <w:next w:val="Normal"/>
    <w:qFormat/>
    <w:pPr>
      <w:numPr>
        <w:ilvl w:val="5"/>
        <w:numId w:val="9"/>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rPr>
  </w:style>
  <w:style w:type="paragraph" w:styleId="Heading8">
    <w:name w:val="heading 8"/>
    <w:basedOn w:val="Normal"/>
    <w:next w:val="Normal"/>
    <w:qFormat/>
    <w:pPr>
      <w:numPr>
        <w:ilvl w:val="7"/>
        <w:numId w:val="11"/>
      </w:numPr>
      <w:spacing w:before="240" w:after="60"/>
      <w:outlineLvl w:val="7"/>
    </w:pPr>
    <w:rPr>
      <w:rFonts w:ascii="Arial" w:hAnsi="Arial"/>
      <w:i/>
    </w:rPr>
  </w:style>
  <w:style w:type="paragraph" w:styleId="Heading9">
    <w:name w:val="heading 9"/>
    <w:basedOn w:val="Normal"/>
    <w:next w:val="Normal"/>
    <w:qFormat/>
    <w:pPr>
      <w:numPr>
        <w:ilvl w:val="8"/>
        <w:numId w:val="1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rPr>
  </w:style>
  <w:style w:type="paragraph" w:customStyle="1" w:styleId="ABBR">
    <w:name w:val="ABBR"/>
    <w:basedOn w:val="Annex"/>
  </w:style>
  <w:style w:type="paragraph" w:customStyle="1" w:styleId="AbbrDesc">
    <w:name w:val="AbbrDesc"/>
    <w:basedOn w:val="Normal"/>
    <w:pPr>
      <w:tabs>
        <w:tab w:val="left" w:pos="3060"/>
      </w:tabs>
      <w:jc w:val="both"/>
    </w:pPr>
  </w:style>
  <w:style w:type="paragraph" w:styleId="BodyText">
    <w:name w:val="Body Text"/>
    <w:basedOn w:val="Normal"/>
    <w:pPr>
      <w:tabs>
        <w:tab w:val="left" w:pos="3060"/>
      </w:tabs>
      <w:jc w:val="center"/>
    </w:p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rPr>
      <w:sz w:val="16"/>
    </w:rPr>
  </w:style>
  <w:style w:type="paragraph" w:customStyle="1" w:styleId="Chapter">
    <w:name w:val="Chapter"/>
    <w:basedOn w:val="Normal"/>
    <w:next w:val="Normal"/>
    <w:uiPriority w:val="99"/>
    <w:pPr>
      <w:numPr>
        <w:numId w:val="2"/>
      </w:numPr>
      <w:tabs>
        <w:tab w:val="left" w:pos="1440"/>
      </w:tabs>
      <w:spacing w:before="240" w:after="240"/>
      <w:jc w:val="center"/>
    </w:pPr>
    <w:rPr>
      <w:b/>
      <w:smallCaps/>
      <w:noProof/>
    </w:rPr>
  </w:style>
  <w:style w:type="paragraph" w:styleId="DocumentMap">
    <w:name w:val="Document Map"/>
    <w:basedOn w:val="Normal"/>
    <w:pPr>
      <w:shd w:val="clear" w:color="auto" w:fill="000080"/>
    </w:pPr>
    <w:rPr>
      <w:rFonts w:ascii="Tahoma" w:hAnsi="Tahoma"/>
    </w:rPr>
  </w:style>
  <w:style w:type="paragraph" w:customStyle="1" w:styleId="FirstHeading">
    <w:name w:val="FirstHeading"/>
    <w:basedOn w:val="Normal"/>
    <w:pPr>
      <w:keepNext/>
      <w:numPr>
        <w:numId w:val="3"/>
      </w:numPr>
      <w:tabs>
        <w:tab w:val="left" w:pos="0"/>
        <w:tab w:val="left" w:pos="90"/>
      </w:tabs>
      <w:spacing w:before="120" w:after="120"/>
    </w:pPr>
    <w:rPr>
      <w:b/>
      <w:noProof/>
    </w:rPr>
  </w:style>
  <w:style w:type="paragraph" w:styleId="Footer">
    <w:name w:val="footer"/>
    <w:basedOn w:val="Normal"/>
    <w:link w:val="FooterChar"/>
    <w:pPr>
      <w:tabs>
        <w:tab w:val="center" w:pos="4320"/>
        <w:tab w:val="right" w:pos="8640"/>
      </w:tabs>
    </w:pPr>
  </w:style>
  <w:style w:type="paragraph" w:styleId="FootnoteText">
    <w:name w:val="footnote text"/>
    <w:aliases w:val="fn,texto de nota al pie,Nota a pie/Bibliog,footnote,foottextfra,F,Geneva 9,Font: Geneva 9,Boston 10,f,single space,Fußnotentext Char,Fußnotentextr,Texto nota pie IIRSA,Texto de rodapé,nota_rodapé,nota de rodapé,nota de rodapé Car Car, Car"/>
    <w:basedOn w:val="Normal"/>
    <w:link w:val="FootnoteTextChar"/>
    <w:rPr>
      <w:sz w:val="20"/>
    </w:rPr>
  </w:style>
  <w:style w:type="paragraph" w:styleId="Header">
    <w:name w:val="header"/>
    <w:basedOn w:val="Normal"/>
    <w:link w:val="HeaderChar"/>
    <w:uiPriority w:val="99"/>
    <w:pPr>
      <w:tabs>
        <w:tab w:val="center" w:pos="4320"/>
        <w:tab w:val="right" w:pos="8640"/>
      </w:tabs>
    </w:pPr>
  </w:style>
  <w:style w:type="character" w:styleId="LineNumber">
    <w:name w:val="line number"/>
    <w:basedOn w:val="DefaultParagraphFont"/>
  </w:style>
  <w:style w:type="paragraph" w:customStyle="1" w:styleId="MasterSourceText">
    <w:name w:val="Master_SourceText"/>
    <w:basedOn w:val="Normal"/>
    <w:pPr>
      <w:tabs>
        <w:tab w:val="left" w:pos="1440"/>
      </w:tabs>
      <w:ind w:left="1440" w:hanging="720"/>
      <w:jc w:val="both"/>
    </w:pPr>
    <w:rPr>
      <w:sz w:val="20"/>
    </w:rPr>
  </w:style>
  <w:style w:type="paragraph" w:customStyle="1" w:styleId="Newpage">
    <w:name w:val="Newpage"/>
    <w:basedOn w:val="Chapter"/>
    <w:pPr>
      <w:numPr>
        <w:numId w:val="0"/>
      </w:numPr>
      <w:tabs>
        <w:tab w:val="left" w:pos="3060"/>
      </w:tabs>
      <w:spacing w:after="0"/>
    </w:pPr>
    <w:rPr>
      <w:noProof w:val="0"/>
    </w:r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qFormat/>
    <w:pPr>
      <w:numPr>
        <w:ilvl w:val="1"/>
        <w:numId w:val="2"/>
      </w:numPr>
      <w:spacing w:before="120"/>
      <w:jc w:val="both"/>
      <w:outlineLvl w:val="1"/>
    </w:p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4"/>
      </w:numPr>
      <w:spacing w:before="120" w:after="120"/>
    </w:pPr>
    <w:rPr>
      <w:b/>
    </w:rPr>
  </w:style>
  <w:style w:type="paragraph" w:customStyle="1" w:styleId="SubHeading1">
    <w:name w:val="SubHeading1"/>
    <w:basedOn w:val="SecHeading"/>
    <w:pPr>
      <w:numPr>
        <w:ilvl w:val="2"/>
        <w:numId w:val="15"/>
      </w:numPr>
    </w:pPr>
  </w:style>
  <w:style w:type="paragraph" w:customStyle="1" w:styleId="Subheading2">
    <w:name w:val="Subheading2"/>
    <w:basedOn w:val="SecHeading"/>
    <w:pPr>
      <w:numPr>
        <w:ilvl w:val="3"/>
        <w:numId w:val="16"/>
      </w:numPr>
    </w:pPr>
  </w:style>
  <w:style w:type="paragraph" w:customStyle="1" w:styleId="subpar">
    <w:name w:val="subpar"/>
    <w:basedOn w:val="BodyTextIndent3"/>
    <w:uiPriority w:val="99"/>
    <w:pPr>
      <w:numPr>
        <w:ilvl w:val="2"/>
        <w:numId w:val="2"/>
      </w:numPr>
      <w:spacing w:before="120"/>
      <w:jc w:val="both"/>
      <w:outlineLvl w:val="2"/>
    </w:pPr>
    <w:rPr>
      <w:sz w:val="24"/>
    </w:rPr>
  </w:style>
  <w:style w:type="paragraph" w:customStyle="1" w:styleId="SubSubPar">
    <w:name w:val="SubSubPar"/>
    <w:basedOn w:val="subpar"/>
    <w:uiPriority w:val="99"/>
    <w:pPr>
      <w:numPr>
        <w:ilvl w:val="3"/>
      </w:numPr>
      <w:tabs>
        <w:tab w:val="left" w:pos="0"/>
      </w:tabs>
    </w:pPr>
  </w:style>
  <w:style w:type="paragraph" w:styleId="Title">
    <w:name w:val="Title"/>
    <w:basedOn w:val="Normal"/>
    <w:qFormat/>
    <w:pPr>
      <w:tabs>
        <w:tab w:val="left" w:pos="1440"/>
        <w:tab w:val="left" w:pos="3060"/>
      </w:tabs>
      <w:jc w:val="center"/>
      <w:outlineLvl w:val="0"/>
    </w:pPr>
  </w:style>
  <w:style w:type="paragraph" w:styleId="TOC1">
    <w:name w:val="toc 1"/>
    <w:basedOn w:val="Normal"/>
    <w:next w:val="Normal"/>
    <w:autoRedefine/>
    <w:semiHidden/>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noProof/>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character" w:styleId="FollowedHyperlink">
    <w:name w:val="FollowedHyperlink"/>
    <w:rPr>
      <w:color w:val="800080"/>
      <w:u w:val="single"/>
    </w:rPr>
  </w:style>
  <w:style w:type="character" w:styleId="Hyperlink">
    <w:name w:val="Hyperlink"/>
    <w:rPr>
      <w:color w:val="0000FF"/>
      <w:u w:val="single"/>
    </w:rPr>
  </w:style>
  <w:style w:type="character" w:customStyle="1" w:styleId="FootnoteTextChar">
    <w:name w:val="Footnote Text Char"/>
    <w:aliases w:val="fn Char,texto de nota al pie Char,Nota a pie/Bibliog Char,footnote Char,foottextfra Char,F Char,Geneva 9 Char,Font: Geneva 9 Char,Boston 10 Char,f Char,single space Char,Fußnotentext Char Char,Fußnotentextr Char,Texto de rodapé Char"/>
    <w:basedOn w:val="DefaultParagraphFont"/>
    <w:link w:val="FootnoteText"/>
    <w:locked/>
    <w:rsid w:val="000A4E75"/>
  </w:style>
  <w:style w:type="character" w:styleId="FootnoteReference">
    <w:name w:val="footnote reference"/>
    <w:aliases w:val="FC,16 Point,Superscript 6 Point,(Ref. de nota al pie),referencia nota al pie,Fußnotenzeichen DISS,ftref,Style 24,Ref,de nota al pie"/>
    <w:rsid w:val="000A4E75"/>
    <w:rPr>
      <w:rFonts w:cs="Times New Roman"/>
      <w:vertAlign w:val="superscript"/>
    </w:rPr>
  </w:style>
  <w:style w:type="character" w:customStyle="1" w:styleId="apple-style-span">
    <w:name w:val="apple-style-span"/>
    <w:basedOn w:val="DefaultParagraphFont"/>
    <w:rsid w:val="000A4E75"/>
  </w:style>
  <w:style w:type="character" w:customStyle="1" w:styleId="FooterChar">
    <w:name w:val="Footer Char"/>
    <w:link w:val="Footer"/>
    <w:rsid w:val="00D12823"/>
    <w:rPr>
      <w:sz w:val="24"/>
    </w:rPr>
  </w:style>
  <w:style w:type="numbering" w:customStyle="1" w:styleId="WWOutlineListStyle">
    <w:name w:val="WW_OutlineListStyle"/>
    <w:basedOn w:val="NoList"/>
    <w:rsid w:val="002400C8"/>
    <w:pPr>
      <w:numPr>
        <w:numId w:val="18"/>
      </w:numPr>
    </w:pPr>
  </w:style>
  <w:style w:type="paragraph" w:styleId="ListParagraph">
    <w:name w:val="List Paragraph"/>
    <w:basedOn w:val="Normal"/>
    <w:link w:val="ListParagraphChar"/>
    <w:uiPriority w:val="34"/>
    <w:qFormat/>
    <w:rsid w:val="002400C8"/>
    <w:pPr>
      <w:suppressAutoHyphens/>
      <w:autoSpaceDN w:val="0"/>
      <w:ind w:left="720"/>
      <w:textAlignment w:val="baseline"/>
    </w:pPr>
    <w:rPr>
      <w:rFonts w:eastAsia="Batang"/>
      <w:szCs w:val="24"/>
      <w:lang w:eastAsia="ko-KR"/>
    </w:rPr>
  </w:style>
  <w:style w:type="character" w:customStyle="1" w:styleId="HeaderChar">
    <w:name w:val="Header Char"/>
    <w:link w:val="Header"/>
    <w:uiPriority w:val="99"/>
    <w:rsid w:val="0010786A"/>
    <w:rPr>
      <w:sz w:val="24"/>
    </w:rPr>
  </w:style>
  <w:style w:type="paragraph" w:customStyle="1" w:styleId="Default">
    <w:name w:val="Default"/>
    <w:rsid w:val="00015A98"/>
    <w:pPr>
      <w:autoSpaceDE w:val="0"/>
      <w:autoSpaceDN w:val="0"/>
      <w:adjustRightInd w:val="0"/>
    </w:pPr>
    <w:rPr>
      <w:color w:val="000000"/>
      <w:sz w:val="24"/>
      <w:szCs w:val="24"/>
    </w:rPr>
  </w:style>
  <w:style w:type="table" w:styleId="TableGrid">
    <w:name w:val="Table Grid"/>
    <w:basedOn w:val="TableNormal"/>
    <w:rsid w:val="009F4E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9F4E7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stParagraphChar">
    <w:name w:val="List Paragraph Char"/>
    <w:link w:val="ListParagraph"/>
    <w:uiPriority w:val="99"/>
    <w:rsid w:val="007C63E7"/>
    <w:rPr>
      <w:rFonts w:eastAsia="Batang"/>
      <w:sz w:val="24"/>
      <w:szCs w:val="24"/>
      <w:lang w:eastAsia="ko-KR"/>
    </w:rPr>
  </w:style>
  <w:style w:type="paragraph" w:styleId="BalloonText">
    <w:name w:val="Balloon Text"/>
    <w:basedOn w:val="Normal"/>
    <w:link w:val="BalloonTextChar"/>
    <w:rsid w:val="00A22FB9"/>
    <w:rPr>
      <w:rFonts w:ascii="Tahoma" w:hAnsi="Tahoma" w:cs="Tahoma"/>
      <w:sz w:val="16"/>
      <w:szCs w:val="16"/>
    </w:rPr>
  </w:style>
  <w:style w:type="character" w:customStyle="1" w:styleId="BalloonTextChar">
    <w:name w:val="Balloon Text Char"/>
    <w:link w:val="BalloonText"/>
    <w:rsid w:val="00A22FB9"/>
    <w:rPr>
      <w:rFonts w:ascii="Tahoma" w:hAnsi="Tahoma" w:cs="Tahoma"/>
      <w:sz w:val="16"/>
      <w:szCs w:val="16"/>
    </w:rPr>
  </w:style>
  <w:style w:type="character" w:customStyle="1" w:styleId="ParagraphChar">
    <w:name w:val="Paragraph Char"/>
    <w:link w:val="Paragraph"/>
    <w:locked/>
    <w:rsid w:val="00C65B06"/>
    <w:rPr>
      <w:sz w:val="24"/>
    </w:rPr>
  </w:style>
  <w:style w:type="paragraph" w:styleId="NoSpacing">
    <w:name w:val="No Spacing"/>
    <w:basedOn w:val="Normal"/>
    <w:link w:val="NoSpacingChar"/>
    <w:uiPriority w:val="1"/>
    <w:qFormat/>
    <w:rsid w:val="009E475D"/>
    <w:rPr>
      <w:rFonts w:ascii="Calibri" w:hAnsi="Calibri"/>
      <w:sz w:val="22"/>
      <w:szCs w:val="22"/>
    </w:rPr>
  </w:style>
  <w:style w:type="character" w:customStyle="1" w:styleId="NoSpacingChar">
    <w:name w:val="No Spacing Char"/>
    <w:link w:val="NoSpacing"/>
    <w:uiPriority w:val="1"/>
    <w:rsid w:val="009E475D"/>
    <w:rPr>
      <w:rFonts w:ascii="Calibri" w:hAnsi="Calibri"/>
      <w:sz w:val="22"/>
      <w:szCs w:val="22"/>
    </w:rPr>
  </w:style>
  <w:style w:type="character" w:styleId="CommentReference">
    <w:name w:val="annotation reference"/>
    <w:basedOn w:val="DefaultParagraphFont"/>
    <w:rsid w:val="00CB299C"/>
    <w:rPr>
      <w:sz w:val="16"/>
      <w:szCs w:val="16"/>
    </w:rPr>
  </w:style>
  <w:style w:type="paragraph" w:styleId="CommentText">
    <w:name w:val="annotation text"/>
    <w:basedOn w:val="Normal"/>
    <w:link w:val="CommentTextChar"/>
    <w:rsid w:val="00CB299C"/>
    <w:rPr>
      <w:sz w:val="20"/>
    </w:rPr>
  </w:style>
  <w:style w:type="character" w:customStyle="1" w:styleId="CommentTextChar">
    <w:name w:val="Comment Text Char"/>
    <w:basedOn w:val="DefaultParagraphFont"/>
    <w:link w:val="CommentText"/>
    <w:rsid w:val="00CB299C"/>
  </w:style>
  <w:style w:type="paragraph" w:styleId="CommentSubject">
    <w:name w:val="annotation subject"/>
    <w:basedOn w:val="CommentText"/>
    <w:next w:val="CommentText"/>
    <w:link w:val="CommentSubjectChar"/>
    <w:rsid w:val="00C00E3A"/>
    <w:rPr>
      <w:b/>
      <w:bCs/>
    </w:rPr>
  </w:style>
  <w:style w:type="character" w:customStyle="1" w:styleId="CommentSubjectChar">
    <w:name w:val="Comment Subject Char"/>
    <w:basedOn w:val="CommentTextChar"/>
    <w:link w:val="CommentSubject"/>
    <w:rsid w:val="00C00E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4"/>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5"/>
      </w:numPr>
      <w:spacing w:before="240" w:after="60"/>
      <w:outlineLvl w:val="1"/>
    </w:pPr>
    <w:rPr>
      <w:rFonts w:ascii="Arial" w:hAnsi="Arial"/>
      <w:b/>
      <w:i/>
    </w:rPr>
  </w:style>
  <w:style w:type="paragraph" w:styleId="Heading3">
    <w:name w:val="heading 3"/>
    <w:basedOn w:val="Normal"/>
    <w:next w:val="Normal"/>
    <w:qFormat/>
    <w:pPr>
      <w:keepNext/>
      <w:numPr>
        <w:ilvl w:val="2"/>
        <w:numId w:val="6"/>
      </w:numPr>
      <w:spacing w:before="240" w:after="60"/>
      <w:outlineLvl w:val="2"/>
    </w:pPr>
    <w:rPr>
      <w:rFonts w:ascii="Arial" w:hAnsi="Arial"/>
    </w:rPr>
  </w:style>
  <w:style w:type="paragraph" w:styleId="Heading4">
    <w:name w:val="heading 4"/>
    <w:basedOn w:val="Normal"/>
    <w:next w:val="Normal"/>
    <w:qFormat/>
    <w:pPr>
      <w:keepNext/>
      <w:numPr>
        <w:ilvl w:val="3"/>
        <w:numId w:val="7"/>
      </w:numPr>
      <w:spacing w:before="240" w:after="60"/>
      <w:outlineLvl w:val="3"/>
    </w:pPr>
    <w:rPr>
      <w:rFonts w:ascii="Arial" w:hAnsi="Arial"/>
      <w:b/>
    </w:rPr>
  </w:style>
  <w:style w:type="paragraph" w:styleId="Heading5">
    <w:name w:val="heading 5"/>
    <w:basedOn w:val="Normal"/>
    <w:next w:val="Normal"/>
    <w:qFormat/>
    <w:pPr>
      <w:numPr>
        <w:ilvl w:val="4"/>
        <w:numId w:val="8"/>
      </w:numPr>
      <w:spacing w:before="240" w:after="60"/>
      <w:outlineLvl w:val="4"/>
    </w:pPr>
    <w:rPr>
      <w:sz w:val="22"/>
    </w:rPr>
  </w:style>
  <w:style w:type="paragraph" w:styleId="Heading6">
    <w:name w:val="heading 6"/>
    <w:basedOn w:val="Normal"/>
    <w:next w:val="Normal"/>
    <w:qFormat/>
    <w:pPr>
      <w:numPr>
        <w:ilvl w:val="5"/>
        <w:numId w:val="9"/>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rPr>
  </w:style>
  <w:style w:type="paragraph" w:styleId="Heading8">
    <w:name w:val="heading 8"/>
    <w:basedOn w:val="Normal"/>
    <w:next w:val="Normal"/>
    <w:qFormat/>
    <w:pPr>
      <w:numPr>
        <w:ilvl w:val="7"/>
        <w:numId w:val="11"/>
      </w:numPr>
      <w:spacing w:before="240" w:after="60"/>
      <w:outlineLvl w:val="7"/>
    </w:pPr>
    <w:rPr>
      <w:rFonts w:ascii="Arial" w:hAnsi="Arial"/>
      <w:i/>
    </w:rPr>
  </w:style>
  <w:style w:type="paragraph" w:styleId="Heading9">
    <w:name w:val="heading 9"/>
    <w:basedOn w:val="Normal"/>
    <w:next w:val="Normal"/>
    <w:qFormat/>
    <w:pPr>
      <w:numPr>
        <w:ilvl w:val="8"/>
        <w:numId w:val="1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rPr>
  </w:style>
  <w:style w:type="paragraph" w:customStyle="1" w:styleId="ABBR">
    <w:name w:val="ABBR"/>
    <w:basedOn w:val="Annex"/>
  </w:style>
  <w:style w:type="paragraph" w:customStyle="1" w:styleId="AbbrDesc">
    <w:name w:val="AbbrDesc"/>
    <w:basedOn w:val="Normal"/>
    <w:pPr>
      <w:tabs>
        <w:tab w:val="left" w:pos="3060"/>
      </w:tabs>
      <w:jc w:val="both"/>
    </w:pPr>
  </w:style>
  <w:style w:type="paragraph" w:styleId="BodyText">
    <w:name w:val="Body Text"/>
    <w:basedOn w:val="Normal"/>
    <w:pPr>
      <w:tabs>
        <w:tab w:val="left" w:pos="3060"/>
      </w:tabs>
      <w:jc w:val="center"/>
    </w:p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rPr>
      <w:sz w:val="16"/>
    </w:rPr>
  </w:style>
  <w:style w:type="paragraph" w:customStyle="1" w:styleId="Chapter">
    <w:name w:val="Chapter"/>
    <w:basedOn w:val="Normal"/>
    <w:next w:val="Normal"/>
    <w:uiPriority w:val="99"/>
    <w:pPr>
      <w:numPr>
        <w:numId w:val="2"/>
      </w:numPr>
      <w:tabs>
        <w:tab w:val="left" w:pos="1440"/>
      </w:tabs>
      <w:spacing w:before="240" w:after="240"/>
      <w:jc w:val="center"/>
    </w:pPr>
    <w:rPr>
      <w:b/>
      <w:smallCaps/>
      <w:noProof/>
    </w:rPr>
  </w:style>
  <w:style w:type="paragraph" w:styleId="DocumentMap">
    <w:name w:val="Document Map"/>
    <w:basedOn w:val="Normal"/>
    <w:pPr>
      <w:shd w:val="clear" w:color="auto" w:fill="000080"/>
    </w:pPr>
    <w:rPr>
      <w:rFonts w:ascii="Tahoma" w:hAnsi="Tahoma"/>
    </w:rPr>
  </w:style>
  <w:style w:type="paragraph" w:customStyle="1" w:styleId="FirstHeading">
    <w:name w:val="FirstHeading"/>
    <w:basedOn w:val="Normal"/>
    <w:pPr>
      <w:keepNext/>
      <w:numPr>
        <w:numId w:val="3"/>
      </w:numPr>
      <w:tabs>
        <w:tab w:val="left" w:pos="0"/>
        <w:tab w:val="left" w:pos="90"/>
      </w:tabs>
      <w:spacing w:before="120" w:after="120"/>
    </w:pPr>
    <w:rPr>
      <w:b/>
      <w:noProof/>
    </w:rPr>
  </w:style>
  <w:style w:type="paragraph" w:styleId="Footer">
    <w:name w:val="footer"/>
    <w:basedOn w:val="Normal"/>
    <w:link w:val="FooterChar"/>
    <w:pPr>
      <w:tabs>
        <w:tab w:val="center" w:pos="4320"/>
        <w:tab w:val="right" w:pos="8640"/>
      </w:tabs>
    </w:pPr>
  </w:style>
  <w:style w:type="paragraph" w:styleId="FootnoteText">
    <w:name w:val="footnote text"/>
    <w:aliases w:val="fn,texto de nota al pie,Nota a pie/Bibliog,footnote,foottextfra,F,Geneva 9,Font: Geneva 9,Boston 10,f,single space,Fußnotentext Char,Fußnotentextr,Texto nota pie IIRSA,Texto de rodapé,nota_rodapé,nota de rodapé,nota de rodapé Car Car, Car"/>
    <w:basedOn w:val="Normal"/>
    <w:link w:val="FootnoteTextChar"/>
    <w:rPr>
      <w:sz w:val="20"/>
    </w:rPr>
  </w:style>
  <w:style w:type="paragraph" w:styleId="Header">
    <w:name w:val="header"/>
    <w:basedOn w:val="Normal"/>
    <w:link w:val="HeaderChar"/>
    <w:uiPriority w:val="99"/>
    <w:pPr>
      <w:tabs>
        <w:tab w:val="center" w:pos="4320"/>
        <w:tab w:val="right" w:pos="8640"/>
      </w:tabs>
    </w:pPr>
  </w:style>
  <w:style w:type="character" w:styleId="LineNumber">
    <w:name w:val="line number"/>
    <w:basedOn w:val="DefaultParagraphFont"/>
  </w:style>
  <w:style w:type="paragraph" w:customStyle="1" w:styleId="MasterSourceText">
    <w:name w:val="Master_SourceText"/>
    <w:basedOn w:val="Normal"/>
    <w:pPr>
      <w:tabs>
        <w:tab w:val="left" w:pos="1440"/>
      </w:tabs>
      <w:ind w:left="1440" w:hanging="720"/>
      <w:jc w:val="both"/>
    </w:pPr>
    <w:rPr>
      <w:sz w:val="20"/>
    </w:rPr>
  </w:style>
  <w:style w:type="paragraph" w:customStyle="1" w:styleId="Newpage">
    <w:name w:val="Newpage"/>
    <w:basedOn w:val="Chapter"/>
    <w:pPr>
      <w:numPr>
        <w:numId w:val="0"/>
      </w:numPr>
      <w:tabs>
        <w:tab w:val="left" w:pos="3060"/>
      </w:tabs>
      <w:spacing w:after="0"/>
    </w:pPr>
    <w:rPr>
      <w:noProof w:val="0"/>
    </w:r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qFormat/>
    <w:pPr>
      <w:numPr>
        <w:ilvl w:val="1"/>
        <w:numId w:val="2"/>
      </w:numPr>
      <w:spacing w:before="120"/>
      <w:jc w:val="both"/>
      <w:outlineLvl w:val="1"/>
    </w:p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4"/>
      </w:numPr>
      <w:spacing w:before="120" w:after="120"/>
    </w:pPr>
    <w:rPr>
      <w:b/>
    </w:rPr>
  </w:style>
  <w:style w:type="paragraph" w:customStyle="1" w:styleId="SubHeading1">
    <w:name w:val="SubHeading1"/>
    <w:basedOn w:val="SecHeading"/>
    <w:pPr>
      <w:numPr>
        <w:ilvl w:val="2"/>
        <w:numId w:val="15"/>
      </w:numPr>
    </w:pPr>
  </w:style>
  <w:style w:type="paragraph" w:customStyle="1" w:styleId="Subheading2">
    <w:name w:val="Subheading2"/>
    <w:basedOn w:val="SecHeading"/>
    <w:pPr>
      <w:numPr>
        <w:ilvl w:val="3"/>
        <w:numId w:val="16"/>
      </w:numPr>
    </w:pPr>
  </w:style>
  <w:style w:type="paragraph" w:customStyle="1" w:styleId="subpar">
    <w:name w:val="subpar"/>
    <w:basedOn w:val="BodyTextIndent3"/>
    <w:uiPriority w:val="99"/>
    <w:pPr>
      <w:numPr>
        <w:ilvl w:val="2"/>
        <w:numId w:val="2"/>
      </w:numPr>
      <w:spacing w:before="120"/>
      <w:jc w:val="both"/>
      <w:outlineLvl w:val="2"/>
    </w:pPr>
    <w:rPr>
      <w:sz w:val="24"/>
    </w:rPr>
  </w:style>
  <w:style w:type="paragraph" w:customStyle="1" w:styleId="SubSubPar">
    <w:name w:val="SubSubPar"/>
    <w:basedOn w:val="subpar"/>
    <w:uiPriority w:val="99"/>
    <w:pPr>
      <w:numPr>
        <w:ilvl w:val="3"/>
      </w:numPr>
      <w:tabs>
        <w:tab w:val="left" w:pos="0"/>
      </w:tabs>
    </w:pPr>
  </w:style>
  <w:style w:type="paragraph" w:styleId="Title">
    <w:name w:val="Title"/>
    <w:basedOn w:val="Normal"/>
    <w:qFormat/>
    <w:pPr>
      <w:tabs>
        <w:tab w:val="left" w:pos="1440"/>
        <w:tab w:val="left" w:pos="3060"/>
      </w:tabs>
      <w:jc w:val="center"/>
      <w:outlineLvl w:val="0"/>
    </w:pPr>
  </w:style>
  <w:style w:type="paragraph" w:styleId="TOC1">
    <w:name w:val="toc 1"/>
    <w:basedOn w:val="Normal"/>
    <w:next w:val="Normal"/>
    <w:autoRedefine/>
    <w:semiHidden/>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noProof/>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character" w:styleId="FollowedHyperlink">
    <w:name w:val="FollowedHyperlink"/>
    <w:rPr>
      <w:color w:val="800080"/>
      <w:u w:val="single"/>
    </w:rPr>
  </w:style>
  <w:style w:type="character" w:styleId="Hyperlink">
    <w:name w:val="Hyperlink"/>
    <w:rPr>
      <w:color w:val="0000FF"/>
      <w:u w:val="single"/>
    </w:rPr>
  </w:style>
  <w:style w:type="character" w:customStyle="1" w:styleId="FootnoteTextChar">
    <w:name w:val="Footnote Text Char"/>
    <w:aliases w:val="fn Char,texto de nota al pie Char,Nota a pie/Bibliog Char,footnote Char,foottextfra Char,F Char,Geneva 9 Char,Font: Geneva 9 Char,Boston 10 Char,f Char,single space Char,Fußnotentext Char Char,Fußnotentextr Char,Texto de rodapé Char"/>
    <w:basedOn w:val="DefaultParagraphFont"/>
    <w:link w:val="FootnoteText"/>
    <w:locked/>
    <w:rsid w:val="000A4E75"/>
  </w:style>
  <w:style w:type="character" w:styleId="FootnoteReference">
    <w:name w:val="footnote reference"/>
    <w:aliases w:val="FC,16 Point,Superscript 6 Point,(Ref. de nota al pie),referencia nota al pie,Fußnotenzeichen DISS,ftref,Style 24,Ref,de nota al pie"/>
    <w:rsid w:val="000A4E75"/>
    <w:rPr>
      <w:rFonts w:cs="Times New Roman"/>
      <w:vertAlign w:val="superscript"/>
    </w:rPr>
  </w:style>
  <w:style w:type="character" w:customStyle="1" w:styleId="apple-style-span">
    <w:name w:val="apple-style-span"/>
    <w:basedOn w:val="DefaultParagraphFont"/>
    <w:rsid w:val="000A4E75"/>
  </w:style>
  <w:style w:type="character" w:customStyle="1" w:styleId="FooterChar">
    <w:name w:val="Footer Char"/>
    <w:link w:val="Footer"/>
    <w:rsid w:val="00D12823"/>
    <w:rPr>
      <w:sz w:val="24"/>
    </w:rPr>
  </w:style>
  <w:style w:type="numbering" w:customStyle="1" w:styleId="WWOutlineListStyle">
    <w:name w:val="WW_OutlineListStyle"/>
    <w:basedOn w:val="NoList"/>
    <w:rsid w:val="002400C8"/>
    <w:pPr>
      <w:numPr>
        <w:numId w:val="18"/>
      </w:numPr>
    </w:pPr>
  </w:style>
  <w:style w:type="paragraph" w:styleId="ListParagraph">
    <w:name w:val="List Paragraph"/>
    <w:basedOn w:val="Normal"/>
    <w:link w:val="ListParagraphChar"/>
    <w:uiPriority w:val="34"/>
    <w:qFormat/>
    <w:rsid w:val="002400C8"/>
    <w:pPr>
      <w:suppressAutoHyphens/>
      <w:autoSpaceDN w:val="0"/>
      <w:ind w:left="720"/>
      <w:textAlignment w:val="baseline"/>
    </w:pPr>
    <w:rPr>
      <w:rFonts w:eastAsia="Batang"/>
      <w:szCs w:val="24"/>
      <w:lang w:eastAsia="ko-KR"/>
    </w:rPr>
  </w:style>
  <w:style w:type="character" w:customStyle="1" w:styleId="HeaderChar">
    <w:name w:val="Header Char"/>
    <w:link w:val="Header"/>
    <w:uiPriority w:val="99"/>
    <w:rsid w:val="0010786A"/>
    <w:rPr>
      <w:sz w:val="24"/>
    </w:rPr>
  </w:style>
  <w:style w:type="paragraph" w:customStyle="1" w:styleId="Default">
    <w:name w:val="Default"/>
    <w:rsid w:val="00015A98"/>
    <w:pPr>
      <w:autoSpaceDE w:val="0"/>
      <w:autoSpaceDN w:val="0"/>
      <w:adjustRightInd w:val="0"/>
    </w:pPr>
    <w:rPr>
      <w:color w:val="000000"/>
      <w:sz w:val="24"/>
      <w:szCs w:val="24"/>
    </w:rPr>
  </w:style>
  <w:style w:type="table" w:styleId="TableGrid">
    <w:name w:val="Table Grid"/>
    <w:basedOn w:val="TableNormal"/>
    <w:rsid w:val="009F4E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9F4E7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stParagraphChar">
    <w:name w:val="List Paragraph Char"/>
    <w:link w:val="ListParagraph"/>
    <w:uiPriority w:val="99"/>
    <w:rsid w:val="007C63E7"/>
    <w:rPr>
      <w:rFonts w:eastAsia="Batang"/>
      <w:sz w:val="24"/>
      <w:szCs w:val="24"/>
      <w:lang w:eastAsia="ko-KR"/>
    </w:rPr>
  </w:style>
  <w:style w:type="paragraph" w:styleId="BalloonText">
    <w:name w:val="Balloon Text"/>
    <w:basedOn w:val="Normal"/>
    <w:link w:val="BalloonTextChar"/>
    <w:rsid w:val="00A22FB9"/>
    <w:rPr>
      <w:rFonts w:ascii="Tahoma" w:hAnsi="Tahoma" w:cs="Tahoma"/>
      <w:sz w:val="16"/>
      <w:szCs w:val="16"/>
    </w:rPr>
  </w:style>
  <w:style w:type="character" w:customStyle="1" w:styleId="BalloonTextChar">
    <w:name w:val="Balloon Text Char"/>
    <w:link w:val="BalloonText"/>
    <w:rsid w:val="00A22FB9"/>
    <w:rPr>
      <w:rFonts w:ascii="Tahoma" w:hAnsi="Tahoma" w:cs="Tahoma"/>
      <w:sz w:val="16"/>
      <w:szCs w:val="16"/>
    </w:rPr>
  </w:style>
  <w:style w:type="character" w:customStyle="1" w:styleId="ParagraphChar">
    <w:name w:val="Paragraph Char"/>
    <w:link w:val="Paragraph"/>
    <w:locked/>
    <w:rsid w:val="00C65B06"/>
    <w:rPr>
      <w:sz w:val="24"/>
    </w:rPr>
  </w:style>
  <w:style w:type="paragraph" w:styleId="NoSpacing">
    <w:name w:val="No Spacing"/>
    <w:basedOn w:val="Normal"/>
    <w:link w:val="NoSpacingChar"/>
    <w:uiPriority w:val="1"/>
    <w:qFormat/>
    <w:rsid w:val="009E475D"/>
    <w:rPr>
      <w:rFonts w:ascii="Calibri" w:hAnsi="Calibri"/>
      <w:sz w:val="22"/>
      <w:szCs w:val="22"/>
    </w:rPr>
  </w:style>
  <w:style w:type="character" w:customStyle="1" w:styleId="NoSpacingChar">
    <w:name w:val="No Spacing Char"/>
    <w:link w:val="NoSpacing"/>
    <w:uiPriority w:val="1"/>
    <w:rsid w:val="009E475D"/>
    <w:rPr>
      <w:rFonts w:ascii="Calibri" w:hAnsi="Calibri"/>
      <w:sz w:val="22"/>
      <w:szCs w:val="22"/>
    </w:rPr>
  </w:style>
  <w:style w:type="character" w:styleId="CommentReference">
    <w:name w:val="annotation reference"/>
    <w:basedOn w:val="DefaultParagraphFont"/>
    <w:rsid w:val="00CB299C"/>
    <w:rPr>
      <w:sz w:val="16"/>
      <w:szCs w:val="16"/>
    </w:rPr>
  </w:style>
  <w:style w:type="paragraph" w:styleId="CommentText">
    <w:name w:val="annotation text"/>
    <w:basedOn w:val="Normal"/>
    <w:link w:val="CommentTextChar"/>
    <w:rsid w:val="00CB299C"/>
    <w:rPr>
      <w:sz w:val="20"/>
    </w:rPr>
  </w:style>
  <w:style w:type="character" w:customStyle="1" w:styleId="CommentTextChar">
    <w:name w:val="Comment Text Char"/>
    <w:basedOn w:val="DefaultParagraphFont"/>
    <w:link w:val="CommentText"/>
    <w:rsid w:val="00CB299C"/>
  </w:style>
  <w:style w:type="paragraph" w:styleId="CommentSubject">
    <w:name w:val="annotation subject"/>
    <w:basedOn w:val="CommentText"/>
    <w:next w:val="CommentText"/>
    <w:link w:val="CommentSubjectChar"/>
    <w:rsid w:val="00C00E3A"/>
    <w:rPr>
      <w:b/>
      <w:bCs/>
    </w:rPr>
  </w:style>
  <w:style w:type="character" w:customStyle="1" w:styleId="CommentSubjectChar">
    <w:name w:val="Comment Subject Char"/>
    <w:basedOn w:val="CommentTextChar"/>
    <w:link w:val="CommentSubject"/>
    <w:rsid w:val="00C00E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677188">
      <w:bodyDiv w:val="1"/>
      <w:marLeft w:val="0"/>
      <w:marRight w:val="0"/>
      <w:marTop w:val="0"/>
      <w:marBottom w:val="0"/>
      <w:divBdr>
        <w:top w:val="none" w:sz="0" w:space="0" w:color="auto"/>
        <w:left w:val="none" w:sz="0" w:space="0" w:color="auto"/>
        <w:bottom w:val="none" w:sz="0" w:space="0" w:color="auto"/>
        <w:right w:val="none" w:sz="0" w:space="0" w:color="auto"/>
      </w:divBdr>
    </w:div>
    <w:div w:id="117253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Prof1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A6AEC6EFE8F3A42927C72A79930C38C" ma:contentTypeVersion="0" ma:contentTypeDescription="A content type to manage public (operations) IDB documents" ma:contentTypeScope="" ma:versionID="0e227ca5ca457757372cd46fd01ed50d">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38746943</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javiergar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EC-L1122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33CD8BC9-06F2-40E6-B9FE-8F2878191360}"/>
</file>

<file path=customXml/itemProps2.xml><?xml version="1.0" encoding="utf-8"?>
<ds:datastoreItem xmlns:ds="http://schemas.openxmlformats.org/officeDocument/2006/customXml" ds:itemID="{53CA518A-0E6C-4FB8-B7DA-85A6D01F0F12}"/>
</file>

<file path=customXml/itemProps3.xml><?xml version="1.0" encoding="utf-8"?>
<ds:datastoreItem xmlns:ds="http://schemas.openxmlformats.org/officeDocument/2006/customXml" ds:itemID="{332347E1-9AD0-4F2F-A7BB-5A9340CB33E7}"/>
</file>

<file path=customXml/itemProps4.xml><?xml version="1.0" encoding="utf-8"?>
<ds:datastoreItem xmlns:ds="http://schemas.openxmlformats.org/officeDocument/2006/customXml" ds:itemID="{3CBBBB70-3709-441D-B27E-D1B1855F9B90}"/>
</file>

<file path=customXml/itemProps5.xml><?xml version="1.0" encoding="utf-8"?>
<ds:datastoreItem xmlns:ds="http://schemas.openxmlformats.org/officeDocument/2006/customXml" ds:itemID="{A281C38D-5935-401A-A884-B959EFF3F025}"/>
</file>

<file path=customXml/itemProps6.xml><?xml version="1.0" encoding="utf-8"?>
<ds:datastoreItem xmlns:ds="http://schemas.openxmlformats.org/officeDocument/2006/customXml" ds:itemID="{AABA24F4-7388-4DA6-9EC1-BF557E0BABBC}"/>
</file>

<file path=docProps/app.xml><?xml version="1.0" encoding="utf-8"?>
<Properties xmlns="http://schemas.openxmlformats.org/officeDocument/2006/extended-properties" xmlns:vt="http://schemas.openxmlformats.org/officeDocument/2006/docPropsVTypes">
  <Template>Prof1eng.dot</Template>
  <TotalTime>2585</TotalTime>
  <Pages>9</Pages>
  <Words>2698</Words>
  <Characters>15147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PERFIL DE PROYECTO</vt:lpstr>
    </vt:vector>
  </TitlesOfParts>
  <Company>InterAmerican Development Bank</Company>
  <LinksUpToDate>false</LinksUpToDate>
  <CharactersWithSpaces>17810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4 - Análisis de Viabilidad Financiera</dc:title>
  <dc:creator>CLAUDIACOX</dc:creator>
  <cp:lastModifiedBy>Javier Garcia Larumbe</cp:lastModifiedBy>
  <cp:revision>17</cp:revision>
  <cp:lastPrinted>2012-08-29T14:41:00Z</cp:lastPrinted>
  <dcterms:created xsi:type="dcterms:W3CDTF">2012-09-05T16:40:00Z</dcterms:created>
  <dcterms:modified xsi:type="dcterms:W3CDTF">2014-04-22T03:02:00Z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0x01010046CF21643EE8D14686A648AA6DAD089200FA6AEC6EFE8F3A42927C72A79930C38C</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