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  <w:jc w:val="center"/>
      </w:pPr>
    </w:p>
    <w:p w:rsidR="00C44A8B" w:rsidRDefault="00C44A8B" w:rsidP="00C44A8B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</w:rPr>
        <w:drawing>
          <wp:inline distT="0" distB="0" distL="0" distR="0" wp14:anchorId="7A34789D" wp14:editId="4A040EC1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8B" w:rsidRDefault="00C44A8B" w:rsidP="00C44A8B">
      <w:pPr>
        <w:pStyle w:val="yiv1352101618msonormal"/>
        <w:spacing w:before="0" w:beforeAutospacing="0" w:after="0" w:afterAutospacing="0"/>
      </w:pPr>
    </w:p>
    <w:p w:rsidR="00C44A8B" w:rsidRDefault="00C44A8B" w:rsidP="00C44A8B">
      <w:pPr>
        <w:pStyle w:val="yiv1352101618msonormal"/>
        <w:spacing w:before="0" w:beforeAutospacing="0" w:after="0" w:afterAutospacing="0"/>
      </w:pPr>
    </w:p>
    <w:p w:rsidR="00C44A8B" w:rsidRPr="00796D0F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Banco Interamericano de Desarrollo. Esta obra está bajo una licencia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Creative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Commons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9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:rsidR="00C44A8B" w:rsidRPr="00796D0F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C44A8B" w:rsidRPr="00796D0F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:rsidR="00C44A8B" w:rsidRPr="00796D0F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C44A8B" w:rsidRPr="006A0FED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:rsidR="00C44A8B" w:rsidRPr="00796D0F" w:rsidRDefault="00C44A8B" w:rsidP="00C44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C44A8B" w:rsidRPr="00796D0F" w:rsidRDefault="00C44A8B" w:rsidP="00C44A8B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:rsidR="006F5845" w:rsidRDefault="006F5845" w:rsidP="006F5845">
      <w:pPr>
        <w:jc w:val="center"/>
        <w:rPr>
          <w:b/>
          <w:lang w:val="es-ES_tradnl"/>
        </w:rPr>
      </w:pPr>
      <w:bookmarkStart w:id="1" w:name="_GoBack"/>
      <w:bookmarkEnd w:id="1"/>
      <w:r>
        <w:rPr>
          <w:b/>
          <w:lang w:val="es-ES_tradnl"/>
        </w:rPr>
        <w:lastRenderedPageBreak/>
        <w:t xml:space="preserve">Script: </w:t>
      </w:r>
      <w:r w:rsidR="00311240">
        <w:rPr>
          <w:b/>
          <w:lang w:val="es-ES_tradnl"/>
        </w:rPr>
        <w:t>Datos y calidad de las estimaciones</w:t>
      </w:r>
    </w:p>
    <w:p w:rsidR="006F5845" w:rsidRPr="00B94645" w:rsidRDefault="006F5845" w:rsidP="006F5845">
      <w:pPr>
        <w:jc w:val="both"/>
        <w:rPr>
          <w:b/>
          <w:lang w:val="es-ES_tradnl"/>
        </w:rPr>
      </w:pPr>
      <w:r w:rsidRPr="00B94645">
        <w:rPr>
          <w:b/>
          <w:lang w:val="es-ES_tradnl"/>
        </w:rPr>
        <w:t>Diapositiva 1</w:t>
      </w:r>
    </w:p>
    <w:p w:rsidR="006F5845" w:rsidRDefault="00FA3323" w:rsidP="006F5845">
      <w:pPr>
        <w:jc w:val="both"/>
        <w:rPr>
          <w:lang w:val="es-ES_tradnl"/>
        </w:rPr>
      </w:pPr>
      <w:r>
        <w:rPr>
          <w:lang w:val="es-ES_tradnl"/>
        </w:rPr>
        <w:t xml:space="preserve">Hola. Me llamo Patricia </w:t>
      </w:r>
      <w:proofErr w:type="spellStart"/>
      <w:r>
        <w:rPr>
          <w:lang w:val="es-ES_tradnl"/>
        </w:rPr>
        <w:t>Yañez-Pagans</w:t>
      </w:r>
      <w:proofErr w:type="spellEnd"/>
      <w:r w:rsidR="006F5845">
        <w:rPr>
          <w:lang w:val="es-ES_tradnl"/>
        </w:rPr>
        <w:t xml:space="preserve"> y en este video te voy a</w:t>
      </w:r>
      <w:r w:rsidR="008C1D42">
        <w:rPr>
          <w:lang w:val="es-ES_tradnl"/>
        </w:rPr>
        <w:t xml:space="preserve"> explicar</w:t>
      </w:r>
      <w:r w:rsidR="00311240">
        <w:rPr>
          <w:lang w:val="es-ES_tradnl"/>
        </w:rPr>
        <w:t xml:space="preserve"> cómo la recolección de datos afecta a la calidad de las estimaciones</w:t>
      </w:r>
      <w:r w:rsidR="008C1D42">
        <w:rPr>
          <w:lang w:val="es-ES_tradnl"/>
        </w:rPr>
        <w:t xml:space="preserve"> </w:t>
      </w:r>
      <w:r w:rsidR="00311240">
        <w:rPr>
          <w:lang w:val="es-ES_tradnl"/>
        </w:rPr>
        <w:t xml:space="preserve">de impacto. </w:t>
      </w:r>
      <w:r>
        <w:rPr>
          <w:lang w:val="es-ES_tradnl"/>
        </w:rPr>
        <w:t xml:space="preserve"> </w:t>
      </w:r>
    </w:p>
    <w:p w:rsidR="006F5845" w:rsidRDefault="00311240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2</w:t>
      </w:r>
    </w:p>
    <w:p w:rsidR="00861FF8" w:rsidRDefault="0045699B" w:rsidP="006F5845">
      <w:pPr>
        <w:jc w:val="both"/>
        <w:rPr>
          <w:lang w:val="es-ES_tradnl"/>
        </w:rPr>
      </w:pPr>
      <w:r>
        <w:rPr>
          <w:lang w:val="es-ES_tradnl"/>
        </w:rPr>
        <w:t>Una de las</w:t>
      </w:r>
      <w:r w:rsidR="00861FF8" w:rsidRPr="00861FF8">
        <w:rPr>
          <w:lang w:val="es-ES_tradnl"/>
        </w:rPr>
        <w:t xml:space="preserve"> principal</w:t>
      </w:r>
      <w:r>
        <w:rPr>
          <w:lang w:val="es-ES_tradnl"/>
        </w:rPr>
        <w:t>es preocupaciones</w:t>
      </w:r>
      <w:r w:rsidR="00861FF8" w:rsidRPr="00861FF8">
        <w:rPr>
          <w:lang w:val="es-ES_tradnl"/>
        </w:rPr>
        <w:t xml:space="preserve"> del evaluador es incre</w:t>
      </w:r>
      <w:r w:rsidR="0028528D">
        <w:rPr>
          <w:lang w:val="es-ES_tradnl"/>
        </w:rPr>
        <w:t>mentar la precisión de las estimaciones</w:t>
      </w:r>
      <w:r w:rsidR="00861FF8" w:rsidRPr="00861FF8">
        <w:rPr>
          <w:lang w:val="es-ES_tradnl"/>
        </w:rPr>
        <w:t>, esto quiere decir reducir la variación, y reducir el sesgo, esto es la diferencia entre el valor esperado del estimador y el valor real.</w:t>
      </w:r>
      <w:r w:rsidR="00C44A8B">
        <w:rPr>
          <w:lang w:val="es-ES_tradnl"/>
        </w:rPr>
        <w:t xml:space="preserve"> </w:t>
      </w:r>
    </w:p>
    <w:p w:rsidR="00311240" w:rsidRDefault="0045699B" w:rsidP="006F5845">
      <w:pPr>
        <w:jc w:val="both"/>
        <w:rPr>
          <w:lang w:val="es-ES_tradnl"/>
        </w:rPr>
      </w:pPr>
      <w:r>
        <w:rPr>
          <w:lang w:val="es-ES_tradnl"/>
        </w:rPr>
        <w:t>Tres aspectos de la recolección</w:t>
      </w:r>
      <w:r w:rsidR="00311240">
        <w:rPr>
          <w:lang w:val="es-ES_tradnl"/>
        </w:rPr>
        <w:t xml:space="preserve"> y manejo</w:t>
      </w:r>
      <w:r>
        <w:rPr>
          <w:lang w:val="es-ES_tradnl"/>
        </w:rPr>
        <w:t xml:space="preserve"> de datos afectan a la precisión y sesgo. </w:t>
      </w:r>
    </w:p>
    <w:p w:rsidR="00311240" w:rsidRDefault="0045699B" w:rsidP="006F5845">
      <w:pPr>
        <w:jc w:val="both"/>
        <w:rPr>
          <w:lang w:val="es-ES_tradnl"/>
        </w:rPr>
      </w:pPr>
      <w:r>
        <w:rPr>
          <w:lang w:val="es-ES_tradnl"/>
        </w:rPr>
        <w:t>Primero, errores en la medición del indicador de resultado o en los controles. Para esto, podemos utilizar múltiples métodos de recolección de datos y tiempos. Por ejemplo, utilizar distintas preguntas o pruebas para medir los conocimientos de matem</w:t>
      </w:r>
      <w:r w:rsidR="00311240">
        <w:rPr>
          <w:lang w:val="es-ES_tradnl"/>
        </w:rPr>
        <w:t xml:space="preserve">áticas. </w:t>
      </w:r>
    </w:p>
    <w:p w:rsidR="00311240" w:rsidRDefault="00311240" w:rsidP="006F5845">
      <w:pPr>
        <w:jc w:val="both"/>
        <w:rPr>
          <w:lang w:val="es-ES_tradnl"/>
        </w:rPr>
      </w:pPr>
      <w:r>
        <w:rPr>
          <w:lang w:val="es-ES_tradnl"/>
        </w:rPr>
        <w:t>El segundo aspecto</w:t>
      </w:r>
      <w:r w:rsidR="0045699B">
        <w:rPr>
          <w:lang w:val="es-ES_tradnl"/>
        </w:rPr>
        <w:t xml:space="preserve"> es recolectar información sobre controles o factores exógenos que no están correlacionados con el resultado</w:t>
      </w:r>
      <w:r w:rsidR="00A9382D">
        <w:rPr>
          <w:lang w:val="es-ES_tradnl"/>
        </w:rPr>
        <w:t>, esto rede la precisión y además es costoso</w:t>
      </w:r>
      <w:r w:rsidR="0045699B">
        <w:rPr>
          <w:lang w:val="es-ES_tradnl"/>
        </w:rPr>
        <w:t xml:space="preserve">. Para esto, es importante revisar toda la evidencia previa para saber que variables podrían afectar </w:t>
      </w:r>
      <w:r>
        <w:rPr>
          <w:lang w:val="es-ES_tradnl"/>
        </w:rPr>
        <w:t xml:space="preserve">el resultado. </w:t>
      </w:r>
    </w:p>
    <w:p w:rsidR="0045699B" w:rsidRDefault="00311240" w:rsidP="006F5845">
      <w:pPr>
        <w:jc w:val="both"/>
        <w:rPr>
          <w:lang w:val="es-ES_tradnl"/>
        </w:rPr>
      </w:pPr>
      <w:r>
        <w:rPr>
          <w:lang w:val="es-ES_tradnl"/>
        </w:rPr>
        <w:t>El tercer aspecto</w:t>
      </w:r>
      <w:r w:rsidR="00E306D5">
        <w:rPr>
          <w:lang w:val="es-ES_tradnl"/>
        </w:rPr>
        <w:t xml:space="preserve">, es recopilar información sobre controles afectados por la intervención, </w:t>
      </w:r>
      <w:r>
        <w:rPr>
          <w:lang w:val="es-ES_tradnl"/>
        </w:rPr>
        <w:t>si bien esto es útil para entender los cambios que el programa puede originar no deberían ser incluidos co</w:t>
      </w:r>
      <w:r w:rsidR="00354161">
        <w:rPr>
          <w:lang w:val="es-ES_tradnl"/>
        </w:rPr>
        <w:t>mo controles en la estimación. P</w:t>
      </w:r>
      <w:r w:rsidR="00E306D5">
        <w:rPr>
          <w:lang w:val="es-ES_tradnl"/>
        </w:rPr>
        <w:t xml:space="preserve">ara reducir este problema es necesario que recopilemos información sobre factores exógenos antes de la intervención. </w:t>
      </w:r>
    </w:p>
    <w:p w:rsidR="006F5845" w:rsidRDefault="00A9382D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3</w:t>
      </w:r>
    </w:p>
    <w:p w:rsidR="00E306D5" w:rsidRPr="00E306D5" w:rsidRDefault="00A9382D" w:rsidP="006F5845">
      <w:pPr>
        <w:jc w:val="both"/>
        <w:rPr>
          <w:lang w:val="es-ES_tradnl"/>
        </w:rPr>
      </w:pPr>
      <w:r>
        <w:rPr>
          <w:lang w:val="es-ES_tradnl"/>
        </w:rPr>
        <w:t>Veamos primero</w:t>
      </w:r>
      <w:r w:rsidR="00E306D5" w:rsidRPr="00E306D5">
        <w:rPr>
          <w:lang w:val="es-ES_tradnl"/>
        </w:rPr>
        <w:t xml:space="preserve"> como afectan los datos a la preci</w:t>
      </w:r>
      <w:r w:rsidR="00E306D5">
        <w:rPr>
          <w:lang w:val="es-ES_tradnl"/>
        </w:rPr>
        <w:t>si</w:t>
      </w:r>
      <w:r w:rsidR="00E306D5" w:rsidRPr="00E306D5">
        <w:rPr>
          <w:lang w:val="es-ES_tradnl"/>
        </w:rPr>
        <w:t>ón de la estima</w:t>
      </w:r>
      <w:r w:rsidR="00E306D5">
        <w:rPr>
          <w:lang w:val="es-ES_tradnl"/>
        </w:rPr>
        <w:t>ción. En este</w:t>
      </w:r>
      <w:r w:rsidR="00E306D5" w:rsidRPr="00E306D5">
        <w:rPr>
          <w:lang w:val="es-ES_tradnl"/>
        </w:rPr>
        <w:t xml:space="preserve"> gráfico el punto rojo muestra el valor medio del impacto estimado. El intervalo </w:t>
      </w:r>
      <w:r w:rsidR="00E306D5">
        <w:rPr>
          <w:lang w:val="es-ES_tradnl"/>
        </w:rPr>
        <w:t xml:space="preserve">verde </w:t>
      </w:r>
      <w:r w:rsidR="00E306D5" w:rsidRPr="00E306D5">
        <w:rPr>
          <w:lang w:val="es-ES_tradnl"/>
        </w:rPr>
        <w:t>nos mide la precisión de la estimación. En general, decimos que en 95 de cada</w:t>
      </w:r>
      <w:r w:rsidR="00E306D5">
        <w:rPr>
          <w:lang w:val="es-ES_tradnl"/>
        </w:rPr>
        <w:t xml:space="preserve"> 100 casos el valor estimado debería caer</w:t>
      </w:r>
      <w:r w:rsidR="00E306D5" w:rsidRPr="00E306D5">
        <w:rPr>
          <w:lang w:val="es-ES_tradnl"/>
        </w:rPr>
        <w:t xml:space="preserve"> dentro de este intervalo</w:t>
      </w:r>
      <w:r w:rsidR="0048498A">
        <w:rPr>
          <w:lang w:val="es-ES_tradnl"/>
        </w:rPr>
        <w:t>, llamado intervalo de confianza</w:t>
      </w:r>
      <w:r w:rsidR="00E306D5" w:rsidRPr="00E306D5">
        <w:rPr>
          <w:lang w:val="es-ES_tradnl"/>
        </w:rPr>
        <w:t xml:space="preserve">. Cuando el intervalo es pequeño la estimación es más precisa, cuando el intervalo es grande existe más incertidumbre en la estimación. </w:t>
      </w:r>
    </w:p>
    <w:p w:rsidR="006F5845" w:rsidRDefault="006F5845" w:rsidP="006F5845">
      <w:pPr>
        <w:jc w:val="both"/>
        <w:rPr>
          <w:b/>
          <w:lang w:val="es-ES_tradnl"/>
        </w:rPr>
      </w:pPr>
      <w:r w:rsidRPr="002A0EAC">
        <w:rPr>
          <w:b/>
          <w:lang w:val="es-ES_tradnl"/>
        </w:rPr>
        <w:t>Di</w:t>
      </w:r>
      <w:r w:rsidR="0048498A">
        <w:rPr>
          <w:b/>
          <w:lang w:val="es-ES_tradnl"/>
        </w:rPr>
        <w:t>apositiva 4</w:t>
      </w:r>
    </w:p>
    <w:p w:rsidR="00E306D5" w:rsidRPr="00E306D5" w:rsidRDefault="00E306D5" w:rsidP="006F5845">
      <w:pPr>
        <w:jc w:val="both"/>
        <w:rPr>
          <w:lang w:val="es-ES_tradnl"/>
        </w:rPr>
      </w:pPr>
      <w:r w:rsidRPr="00E306D5">
        <w:rPr>
          <w:lang w:val="es-ES_tradnl"/>
        </w:rPr>
        <w:t xml:space="preserve">Veamos ahora como afectan los problemas mencionados a la precisión. Cuando tenemos errores de medición en la variable de resultado aumenta el intervalo y disminuye la precisión. </w:t>
      </w:r>
    </w:p>
    <w:p w:rsidR="006F5845" w:rsidRPr="002A0EAC" w:rsidRDefault="0048498A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5</w:t>
      </w:r>
    </w:p>
    <w:p w:rsidR="00E306D5" w:rsidRDefault="00E306D5" w:rsidP="006F5845">
      <w:pPr>
        <w:jc w:val="both"/>
        <w:rPr>
          <w:lang w:val="es-ES_tradnl"/>
        </w:rPr>
      </w:pPr>
      <w:r>
        <w:rPr>
          <w:lang w:val="es-ES_tradnl"/>
        </w:rPr>
        <w:t>Cuando tenemos errores de medición en los controles o factores exógenos disminuye la precisión.</w:t>
      </w:r>
    </w:p>
    <w:p w:rsidR="00C44A8B" w:rsidRDefault="00C44A8B" w:rsidP="006F5845">
      <w:pPr>
        <w:jc w:val="both"/>
        <w:rPr>
          <w:b/>
          <w:lang w:val="es-ES_tradnl"/>
        </w:rPr>
      </w:pPr>
    </w:p>
    <w:p w:rsidR="00E306D5" w:rsidRPr="00E306D5" w:rsidRDefault="0048498A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6</w:t>
      </w:r>
    </w:p>
    <w:p w:rsidR="00E306D5" w:rsidRDefault="00E306D5" w:rsidP="006F5845">
      <w:pPr>
        <w:jc w:val="both"/>
        <w:rPr>
          <w:lang w:val="es-ES_tradnl"/>
        </w:rPr>
      </w:pPr>
      <w:r>
        <w:rPr>
          <w:lang w:val="es-ES_tradnl"/>
        </w:rPr>
        <w:t>Cuando recopilamos información y utilizamos controles que no están correlaciones con el resultado esperado disminuye la precisión.</w:t>
      </w:r>
    </w:p>
    <w:p w:rsidR="00E306D5" w:rsidRPr="00E306D5" w:rsidRDefault="0048498A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7</w:t>
      </w:r>
    </w:p>
    <w:p w:rsidR="00E306D5" w:rsidRDefault="0048498A" w:rsidP="006F5845">
      <w:pPr>
        <w:jc w:val="both"/>
        <w:rPr>
          <w:lang w:val="es-ES_tradnl"/>
        </w:rPr>
      </w:pPr>
      <w:r>
        <w:rPr>
          <w:lang w:val="es-ES_tradnl"/>
        </w:rPr>
        <w:t>R</w:t>
      </w:r>
      <w:r w:rsidR="00E306D5">
        <w:rPr>
          <w:lang w:val="es-ES_tradnl"/>
        </w:rPr>
        <w:t xml:space="preserve">ecolectar información </w:t>
      </w:r>
      <w:r>
        <w:rPr>
          <w:lang w:val="es-ES_tradnl"/>
        </w:rPr>
        <w:t xml:space="preserve">adecuada </w:t>
      </w:r>
      <w:r w:rsidR="00E306D5">
        <w:rPr>
          <w:lang w:val="es-ES_tradnl"/>
        </w:rPr>
        <w:t>también puede ser bueno para mejorar la estimación, aquí ve</w:t>
      </w:r>
      <w:r>
        <w:rPr>
          <w:lang w:val="es-ES_tradnl"/>
        </w:rPr>
        <w:t>mos que cuando tenemos información sobre factores que no se afectan por el programa pero que están</w:t>
      </w:r>
      <w:r w:rsidR="00E306D5">
        <w:rPr>
          <w:lang w:val="es-ES_tradnl"/>
        </w:rPr>
        <w:t xml:space="preserve"> correlacionados con el resultado ayudamos a reducir el intervalo y aumentamos</w:t>
      </w:r>
      <w:r>
        <w:rPr>
          <w:lang w:val="es-ES_tradnl"/>
        </w:rPr>
        <w:t xml:space="preserve"> la precisión de la estimación.</w:t>
      </w:r>
    </w:p>
    <w:p w:rsidR="00E306D5" w:rsidRPr="00FE6801" w:rsidRDefault="003C1955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8</w:t>
      </w:r>
    </w:p>
    <w:p w:rsidR="00FE6801" w:rsidRDefault="00FE6801" w:rsidP="006F5845">
      <w:pPr>
        <w:jc w:val="both"/>
        <w:rPr>
          <w:lang w:val="es-ES_tradnl"/>
        </w:rPr>
      </w:pPr>
      <w:r>
        <w:rPr>
          <w:lang w:val="es-ES_tradnl"/>
        </w:rPr>
        <w:t xml:space="preserve">Finalmente, veamos cómo afectan los datos al sesgo en la estimación. </w:t>
      </w:r>
      <w:r w:rsidR="0048498A">
        <w:rPr>
          <w:lang w:val="es-ES_tradnl"/>
        </w:rPr>
        <w:t xml:space="preserve">Recordemos que el sesgo no es más que la diferencia entre el valor real del impacto y el valor estimado. </w:t>
      </w:r>
      <w:r>
        <w:rPr>
          <w:lang w:val="es-ES_tradnl"/>
        </w:rPr>
        <w:t xml:space="preserve">Si la línea roja representa el valor real del impacto estimado, vemos que </w:t>
      </w:r>
      <w:r w:rsidR="0048498A">
        <w:rPr>
          <w:lang w:val="es-ES_tradnl"/>
        </w:rPr>
        <w:t xml:space="preserve">cuando tenemos </w:t>
      </w:r>
      <w:r>
        <w:rPr>
          <w:lang w:val="es-ES_tradnl"/>
        </w:rPr>
        <w:t>errores de medició</w:t>
      </w:r>
      <w:r w:rsidR="0048498A">
        <w:rPr>
          <w:lang w:val="es-ES_tradnl"/>
        </w:rPr>
        <w:t>n en el indicador de resultado o</w:t>
      </w:r>
      <w:r>
        <w:rPr>
          <w:lang w:val="es-ES_tradnl"/>
        </w:rPr>
        <w:t xml:space="preserve"> controles no correlacionados con la intervención </w:t>
      </w:r>
      <w:r w:rsidR="0048498A">
        <w:rPr>
          <w:lang w:val="es-ES_tradnl"/>
        </w:rPr>
        <w:t xml:space="preserve">éstos dos aspectos </w:t>
      </w:r>
      <w:r>
        <w:rPr>
          <w:lang w:val="es-ES_tradnl"/>
        </w:rPr>
        <w:t xml:space="preserve">no afectan al valor estimado. Sin embargo, </w:t>
      </w:r>
      <w:r w:rsidR="0048498A">
        <w:rPr>
          <w:lang w:val="es-ES_tradnl"/>
        </w:rPr>
        <w:t xml:space="preserve">cuando tenemos </w:t>
      </w:r>
      <w:r>
        <w:rPr>
          <w:lang w:val="es-ES_tradnl"/>
        </w:rPr>
        <w:t>errores de medición en los controles y controles correlacionados con la intervención</w:t>
      </w:r>
      <w:r w:rsidR="0048498A">
        <w:rPr>
          <w:lang w:val="es-ES_tradnl"/>
        </w:rPr>
        <w:t xml:space="preserve"> éstos</w:t>
      </w:r>
      <w:r>
        <w:rPr>
          <w:lang w:val="es-ES_tradnl"/>
        </w:rPr>
        <w:t xml:space="preserve"> nos llevan a subestimar el impacto. </w:t>
      </w:r>
    </w:p>
    <w:p w:rsidR="00FE6801" w:rsidRPr="00FE6801" w:rsidRDefault="003C1955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9</w:t>
      </w:r>
    </w:p>
    <w:p w:rsidR="003C1955" w:rsidRDefault="00FE6801" w:rsidP="003C1955">
      <w:pPr>
        <w:jc w:val="both"/>
        <w:rPr>
          <w:lang w:val="es-ES_tradnl"/>
        </w:rPr>
      </w:pPr>
      <w:r>
        <w:rPr>
          <w:lang w:val="es-ES_tradnl"/>
        </w:rPr>
        <w:t xml:space="preserve">En resumen, </w:t>
      </w:r>
      <w:r w:rsidR="003C1955">
        <w:rPr>
          <w:lang w:val="es-ES_tradnl"/>
        </w:rPr>
        <w:t>hay tres aspectos relacionados a la recolección y manejo de datos que pueden afectar a las estimaciones de impacto a través de su impacto en la precisión y sesgo de las estimaciones. Primero, son errores en la medición del indicador de resultado o en los controles. Segund</w:t>
      </w:r>
      <w:r w:rsidR="00554C81">
        <w:rPr>
          <w:lang w:val="es-ES_tradnl"/>
        </w:rPr>
        <w:t>o</w:t>
      </w:r>
      <w:r w:rsidR="003C1955">
        <w:rPr>
          <w:lang w:val="es-ES_tradnl"/>
        </w:rPr>
        <w:t xml:space="preserve"> </w:t>
      </w:r>
      <w:r w:rsidR="00554C81">
        <w:rPr>
          <w:lang w:val="es-ES_tradnl"/>
        </w:rPr>
        <w:t>e</w:t>
      </w:r>
      <w:r w:rsidR="003C1955">
        <w:rPr>
          <w:lang w:val="es-ES_tradnl"/>
        </w:rPr>
        <w:t>s recolectar información sobre controles o factores exógenos que no están correlacionados con el resultado.</w:t>
      </w:r>
      <w:r w:rsidR="00554C81">
        <w:rPr>
          <w:lang w:val="es-ES_tradnl"/>
        </w:rPr>
        <w:t xml:space="preserve"> Tercero </w:t>
      </w:r>
      <w:r w:rsidR="003C1955">
        <w:rPr>
          <w:lang w:val="es-ES_tradnl"/>
        </w:rPr>
        <w:t xml:space="preserve">es </w:t>
      </w:r>
      <w:r w:rsidR="00554C81">
        <w:rPr>
          <w:lang w:val="es-ES_tradnl"/>
        </w:rPr>
        <w:t xml:space="preserve">utilizar en la estimación </w:t>
      </w:r>
      <w:r w:rsidR="003C1955">
        <w:rPr>
          <w:lang w:val="es-ES_tradnl"/>
        </w:rPr>
        <w:t>información sobre controles</w:t>
      </w:r>
      <w:r w:rsidR="00554C81">
        <w:rPr>
          <w:lang w:val="es-ES_tradnl"/>
        </w:rPr>
        <w:t xml:space="preserve"> afectados por la intervención. Para reduc</w:t>
      </w:r>
      <w:r w:rsidR="00E84367">
        <w:rPr>
          <w:lang w:val="es-ES_tradnl"/>
        </w:rPr>
        <w:t>ir estos problemas, debemos entender muy bien la intervención y el contexto, utilizar múltiples instrumentos si es necesario para medir las variables importantes, y levantar siempre una línea de base para recolectar información no afectada por la intervención.</w:t>
      </w:r>
    </w:p>
    <w:p w:rsidR="00FD30C7" w:rsidRPr="00FD30C7" w:rsidRDefault="00E84367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10</w:t>
      </w:r>
    </w:p>
    <w:p w:rsidR="00FD30C7" w:rsidRDefault="00FD30C7" w:rsidP="006F5845">
      <w:pPr>
        <w:jc w:val="both"/>
        <w:rPr>
          <w:lang w:val="es-ES_tradnl"/>
        </w:rPr>
      </w:pPr>
      <w:r>
        <w:rPr>
          <w:lang w:val="es-ES_tradnl"/>
        </w:rPr>
        <w:t>Si quieres saber más sobre este tema te recomienda revisar estas referencias.</w:t>
      </w:r>
    </w:p>
    <w:p w:rsidR="006F5845" w:rsidRPr="00F03ACB" w:rsidRDefault="00E84367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11</w:t>
      </w:r>
    </w:p>
    <w:p w:rsidR="006F5845" w:rsidRPr="006F5845" w:rsidRDefault="006F5845" w:rsidP="00241D44">
      <w:pPr>
        <w:jc w:val="both"/>
        <w:rPr>
          <w:lang w:val="es-ES_tradnl"/>
        </w:rPr>
      </w:pPr>
      <w:r>
        <w:rPr>
          <w:lang w:val="es-ES_tradnl"/>
        </w:rPr>
        <w:t>Esto es todo. Espero te sea útil.</w:t>
      </w:r>
    </w:p>
    <w:sectPr w:rsidR="006F5845" w:rsidRPr="006F5845" w:rsidSect="00C44A8B">
      <w:headerReference w:type="default" r:id="rId10"/>
      <w:footerReference w:type="default" r:id="rId11"/>
      <w:pgSz w:w="12240" w:h="15840"/>
      <w:pgMar w:top="2700" w:right="1440" w:bottom="1440" w:left="1440" w:header="0" w:footer="9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45" w:rsidRDefault="006F5845">
      <w:pPr>
        <w:spacing w:after="0" w:line="240" w:lineRule="auto"/>
      </w:pPr>
      <w:r>
        <w:separator/>
      </w:r>
    </w:p>
  </w:endnote>
  <w:endnote w:type="continuationSeparator" w:id="0">
    <w:p w:rsidR="006F5845" w:rsidRDefault="006F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53" w:rsidRDefault="00001C72" w:rsidP="00FE4053">
    <w:pPr>
      <w:pStyle w:val="Footer"/>
      <w:jc w:val="center"/>
    </w:pPr>
    <w:r>
      <w:rPr>
        <w:noProof/>
        <w:lang w:val="en-US"/>
      </w:rPr>
      <w:drawing>
        <wp:inline distT="0" distB="0" distL="0" distR="0" wp14:anchorId="6BD97EAC" wp14:editId="11DD6EA5">
          <wp:extent cx="2781300" cy="165100"/>
          <wp:effectExtent l="25400" t="0" r="0" b="0"/>
          <wp:docPr id="5" name="Picture 4" descr="firma banc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rma banco-we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165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45" w:rsidRDefault="006F5845">
      <w:pPr>
        <w:spacing w:after="0" w:line="240" w:lineRule="auto"/>
      </w:pPr>
      <w:r>
        <w:separator/>
      </w:r>
    </w:p>
  </w:footnote>
  <w:footnote w:type="continuationSeparator" w:id="0">
    <w:p w:rsidR="006F5845" w:rsidRDefault="006F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53" w:rsidRDefault="00C44A8B">
    <w:pPr>
      <w:pStyle w:val="Header"/>
    </w:pPr>
  </w:p>
  <w:p w:rsidR="00FE4053" w:rsidRDefault="00C44A8B">
    <w:pPr>
      <w:pStyle w:val="Header"/>
    </w:pPr>
  </w:p>
  <w:p w:rsidR="00FE4053" w:rsidRDefault="00C44A8B">
    <w:pPr>
      <w:pStyle w:val="Header"/>
    </w:pPr>
  </w:p>
  <w:p w:rsidR="00FE4053" w:rsidRDefault="00C44A8B">
    <w:pPr>
      <w:pStyle w:val="Header"/>
    </w:pPr>
  </w:p>
  <w:p w:rsidR="00FE4053" w:rsidRDefault="00001C72">
    <w:pPr>
      <w:pStyle w:val="Header"/>
    </w:pPr>
    <w:r>
      <w:rPr>
        <w:noProof/>
        <w:lang w:val="en-US"/>
      </w:rPr>
      <w:drawing>
        <wp:inline distT="0" distB="0" distL="0" distR="0" wp14:anchorId="71675646" wp14:editId="2465AE39">
          <wp:extent cx="2286000" cy="812800"/>
          <wp:effectExtent l="25400" t="0" r="0" b="0"/>
          <wp:docPr id="4" name="Picture 4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5"/>
    <w:rsid w:val="00001C72"/>
    <w:rsid w:val="0000649C"/>
    <w:rsid w:val="00014A3E"/>
    <w:rsid w:val="000747F9"/>
    <w:rsid w:val="00093195"/>
    <w:rsid w:val="000C3140"/>
    <w:rsid w:val="000C3384"/>
    <w:rsid w:val="00116C61"/>
    <w:rsid w:val="001A7EAC"/>
    <w:rsid w:val="00241D44"/>
    <w:rsid w:val="0028528D"/>
    <w:rsid w:val="002A0EAC"/>
    <w:rsid w:val="00311240"/>
    <w:rsid w:val="00354161"/>
    <w:rsid w:val="00385459"/>
    <w:rsid w:val="003A0AA0"/>
    <w:rsid w:val="003A3506"/>
    <w:rsid w:val="003C1955"/>
    <w:rsid w:val="003E7883"/>
    <w:rsid w:val="00432EB5"/>
    <w:rsid w:val="0045699B"/>
    <w:rsid w:val="00466044"/>
    <w:rsid w:val="0048498A"/>
    <w:rsid w:val="004B2412"/>
    <w:rsid w:val="00551202"/>
    <w:rsid w:val="00554C81"/>
    <w:rsid w:val="005F6FCB"/>
    <w:rsid w:val="00670B10"/>
    <w:rsid w:val="006F5845"/>
    <w:rsid w:val="007F1C7E"/>
    <w:rsid w:val="00861FF8"/>
    <w:rsid w:val="008A59E4"/>
    <w:rsid w:val="008B046B"/>
    <w:rsid w:val="008C1D42"/>
    <w:rsid w:val="009430E8"/>
    <w:rsid w:val="009847D6"/>
    <w:rsid w:val="00993AD5"/>
    <w:rsid w:val="009A200A"/>
    <w:rsid w:val="00A21E03"/>
    <w:rsid w:val="00A9382D"/>
    <w:rsid w:val="00AA0098"/>
    <w:rsid w:val="00AA3A3D"/>
    <w:rsid w:val="00AB7914"/>
    <w:rsid w:val="00AE273C"/>
    <w:rsid w:val="00B8679C"/>
    <w:rsid w:val="00B94645"/>
    <w:rsid w:val="00BA7DC1"/>
    <w:rsid w:val="00C31AE0"/>
    <w:rsid w:val="00C44A8B"/>
    <w:rsid w:val="00CB70AC"/>
    <w:rsid w:val="00D223D4"/>
    <w:rsid w:val="00D549CA"/>
    <w:rsid w:val="00DB6FFA"/>
    <w:rsid w:val="00DC2F81"/>
    <w:rsid w:val="00E306D5"/>
    <w:rsid w:val="00E544D1"/>
    <w:rsid w:val="00E84367"/>
    <w:rsid w:val="00EF7918"/>
    <w:rsid w:val="00F03ACB"/>
    <w:rsid w:val="00F4774B"/>
    <w:rsid w:val="00F508E1"/>
    <w:rsid w:val="00FA3323"/>
    <w:rsid w:val="00FD30C7"/>
    <w:rsid w:val="00FE68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E622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E622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845"/>
    <w:pPr>
      <w:spacing w:after="0" w:line="240" w:lineRule="auto"/>
    </w:pPr>
    <w:rPr>
      <w:rFonts w:ascii="Tahoma" w:eastAsia="Cambria" w:hAnsi="Tahoma" w:cs="Tahoma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845"/>
    <w:rPr>
      <w:rFonts w:ascii="Tahoma" w:hAnsi="Tahoma" w:cs="Tahoma"/>
      <w:sz w:val="16"/>
      <w:szCs w:val="16"/>
    </w:rPr>
  </w:style>
  <w:style w:type="paragraph" w:customStyle="1" w:styleId="yiv1352101618msonormal">
    <w:name w:val="yiv1352101618msonormal"/>
    <w:basedOn w:val="Normal"/>
    <w:rsid w:val="00C4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E6226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E622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845"/>
    <w:pPr>
      <w:spacing w:after="0" w:line="240" w:lineRule="auto"/>
    </w:pPr>
    <w:rPr>
      <w:rFonts w:ascii="Tahoma" w:eastAsia="Cambria" w:hAnsi="Tahoma" w:cs="Tahoma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845"/>
    <w:rPr>
      <w:rFonts w:ascii="Tahoma" w:hAnsi="Tahoma" w:cs="Tahoma"/>
      <w:sz w:val="16"/>
      <w:szCs w:val="16"/>
    </w:rPr>
  </w:style>
  <w:style w:type="paragraph" w:customStyle="1" w:styleId="yiv1352101618msonormal">
    <w:name w:val="yiv1352101618msonormal"/>
    <w:basedOn w:val="Normal"/>
    <w:rsid w:val="00C4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06307.667B9380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microsoft.com/office/2007/relationships/stylesWithEffects" Target="stylesWithEffect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customXml" Target="../customXml/item6.xm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nd/3.0/igo/legalcode" TargetMode="External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.IDB\Patricia\SPDTEMPLATES\TEMPLATE%20DE-ESPANO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2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39266523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EZSHARE-220527872-3243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https://idbg.sharepoint.com/teams/ez-SPD/_layouts/15/DocIdRedir.aspx?ID=EZSHARE-220527872-3243</Url>
      <Description>EZSHARE-220527872-3243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9D3B9F-7060-4CDD-81F5-05541A676CE8}"/>
</file>

<file path=customXml/itemProps2.xml><?xml version="1.0" encoding="utf-8"?>
<ds:datastoreItem xmlns:ds="http://schemas.openxmlformats.org/officeDocument/2006/customXml" ds:itemID="{68822998-B27F-42E7-B5B9-2DEEAF062337}"/>
</file>

<file path=customXml/itemProps3.xml><?xml version="1.0" encoding="utf-8"?>
<ds:datastoreItem xmlns:ds="http://schemas.openxmlformats.org/officeDocument/2006/customXml" ds:itemID="{2917E815-B1A0-42C2-AC56-EEDEF01D923F}"/>
</file>

<file path=customXml/itemProps4.xml><?xml version="1.0" encoding="utf-8"?>
<ds:datastoreItem xmlns:ds="http://schemas.openxmlformats.org/officeDocument/2006/customXml" ds:itemID="{F4ADC753-917B-4794-9B7E-6489A714B39A}"/>
</file>

<file path=customXml/itemProps5.xml><?xml version="1.0" encoding="utf-8"?>
<ds:datastoreItem xmlns:ds="http://schemas.openxmlformats.org/officeDocument/2006/customXml" ds:itemID="{C89A1845-19CA-4A77-880B-3DF82E22762B}"/>
</file>

<file path=customXml/itemProps6.xml><?xml version="1.0" encoding="utf-8"?>
<ds:datastoreItem xmlns:ds="http://schemas.openxmlformats.org/officeDocument/2006/customXml" ds:itemID="{5186F97A-C9E4-4870-AD72-BF3B8417214E}"/>
</file>

<file path=docProps/app.xml><?xml version="1.0" encoding="utf-8"?>
<Properties xmlns="http://schemas.openxmlformats.org/officeDocument/2006/extended-properties" xmlns:vt="http://schemas.openxmlformats.org/officeDocument/2006/docPropsVTypes">
  <Template>TEMPLATE DE-ESPANOL</Template>
  <TotalTime>41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Calidad Estimaciones_script</dc:title>
  <dc:creator>IADB</dc:creator>
  <cp:lastModifiedBy>IADB</cp:lastModifiedBy>
  <cp:revision>8</cp:revision>
  <dcterms:created xsi:type="dcterms:W3CDTF">2014-07-30T15:50:00Z</dcterms:created>
  <dcterms:modified xsi:type="dcterms:W3CDTF">2015-04-07T08:49:00Z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324300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93353503-2078-4b5f-8faf-dcd817b373e2</vt:lpwstr>
  </property>
</Properties>
</file>