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C81" w:rsidRDefault="005976EC" w:rsidP="00341026">
      <w:pPr>
        <w:pBdr>
          <w:bottom w:val="single" w:sz="8" w:space="4" w:color="4F81BD"/>
        </w:pBdr>
        <w:spacing w:after="300"/>
        <w:contextualSpacing/>
        <w:jc w:val="right"/>
        <w:rPr>
          <w:rFonts w:eastAsia="Calibri" w:cs="Times New Roman"/>
          <w:b/>
          <w:color w:val="17365D"/>
          <w:spacing w:val="5"/>
          <w:kern w:val="28"/>
          <w:sz w:val="28"/>
          <w:lang w:val="es-ES_tradnl" w:eastAsia="es-ES_tradnl"/>
        </w:rPr>
      </w:pPr>
      <w:bookmarkStart w:id="0" w:name="_GoBack"/>
      <w:bookmarkEnd w:id="0"/>
      <w:r w:rsidRPr="005976EC">
        <w:rPr>
          <w:rFonts w:eastAsia="Calibri" w:cs="Times New Roman"/>
          <w:b/>
          <w:color w:val="17365D"/>
          <w:spacing w:val="5"/>
          <w:kern w:val="28"/>
          <w:sz w:val="28"/>
          <w:lang w:val="es-ES_tradnl" w:eastAsia="es-ES_tradnl"/>
        </w:rPr>
        <w:t>PROGRAMA DE EXPLORACIÓN GEOTÉRMICA Y MEJORAS EN TRANSMISIÓN EN EL MARCO DEL PLAN DE INVERSIONES DE NICARAGUA</w:t>
      </w:r>
    </w:p>
    <w:p w:rsidR="0064148C" w:rsidRPr="00761E81" w:rsidRDefault="0094269D" w:rsidP="00341026">
      <w:pPr>
        <w:pBdr>
          <w:bottom w:val="single" w:sz="8" w:space="4" w:color="4F81BD"/>
        </w:pBdr>
        <w:spacing w:after="300"/>
        <w:contextualSpacing/>
        <w:jc w:val="right"/>
        <w:rPr>
          <w:rFonts w:eastAsia="Calibri" w:cs="Times New Roman"/>
          <w:color w:val="17365D"/>
          <w:spacing w:val="5"/>
          <w:kern w:val="28"/>
          <w:sz w:val="28"/>
          <w:lang w:val="es-ES_tradnl" w:eastAsia="es-ES_tradnl"/>
        </w:rPr>
      </w:pPr>
      <w:r w:rsidRPr="00761E81">
        <w:rPr>
          <w:rFonts w:eastAsia="Calibri" w:cs="Times New Roman"/>
          <w:color w:val="17365D"/>
          <w:spacing w:val="5"/>
          <w:kern w:val="28"/>
          <w:sz w:val="28"/>
          <w:lang w:val="es-ES_tradnl" w:eastAsia="es-ES_tradnl"/>
        </w:rPr>
        <w:t xml:space="preserve"> </w:t>
      </w:r>
      <w:r w:rsidR="007100D7" w:rsidRPr="00761E81">
        <w:rPr>
          <w:rFonts w:eastAsia="Calibri" w:cs="Times New Roman"/>
          <w:color w:val="17365D"/>
          <w:spacing w:val="5"/>
          <w:kern w:val="28"/>
          <w:sz w:val="28"/>
          <w:lang w:val="es-ES_tradnl" w:eastAsia="es-ES_tradnl"/>
        </w:rPr>
        <w:t xml:space="preserve">Anexo Técnico </w:t>
      </w:r>
      <w:r w:rsidR="005976EC">
        <w:rPr>
          <w:rFonts w:eastAsia="Calibri" w:cs="Times New Roman"/>
          <w:color w:val="17365D"/>
          <w:spacing w:val="5"/>
          <w:kern w:val="28"/>
          <w:sz w:val="28"/>
          <w:lang w:val="es-ES_tradnl" w:eastAsia="es-ES_tradnl"/>
        </w:rPr>
        <w:t>NI</w:t>
      </w:r>
      <w:r w:rsidR="00202008" w:rsidRPr="00761E81">
        <w:rPr>
          <w:rFonts w:eastAsia="Calibri" w:cs="Times New Roman"/>
          <w:color w:val="17365D"/>
          <w:spacing w:val="5"/>
          <w:kern w:val="28"/>
          <w:sz w:val="28"/>
          <w:lang w:val="es-ES_tradnl" w:eastAsia="es-ES_tradnl"/>
        </w:rPr>
        <w:t>-</w:t>
      </w:r>
      <w:r w:rsidR="00DE0976" w:rsidRPr="00761E81">
        <w:rPr>
          <w:rFonts w:eastAsia="Calibri" w:cs="Times New Roman"/>
          <w:color w:val="17365D"/>
          <w:spacing w:val="5"/>
          <w:kern w:val="28"/>
          <w:sz w:val="28"/>
          <w:lang w:val="es-ES_tradnl" w:eastAsia="es-ES_tradnl"/>
        </w:rPr>
        <w:t>L</w:t>
      </w:r>
      <w:r w:rsidR="005976EC">
        <w:rPr>
          <w:rFonts w:eastAsia="Calibri" w:cs="Times New Roman"/>
          <w:color w:val="17365D"/>
          <w:spacing w:val="5"/>
          <w:kern w:val="28"/>
          <w:sz w:val="28"/>
          <w:lang w:val="es-ES_tradnl" w:eastAsia="es-ES_tradnl"/>
        </w:rPr>
        <w:t>1094</w:t>
      </w:r>
    </w:p>
    <w:p w:rsidR="0064148C" w:rsidRPr="00761E81" w:rsidRDefault="00F17D08" w:rsidP="00341026">
      <w:pPr>
        <w:pBdr>
          <w:bottom w:val="single" w:sz="8" w:space="4" w:color="4F81BD"/>
        </w:pBdr>
        <w:spacing w:after="300"/>
        <w:contextualSpacing/>
        <w:jc w:val="right"/>
        <w:rPr>
          <w:rFonts w:eastAsia="Calibri" w:cs="Times New Roman"/>
          <w:color w:val="17365D"/>
          <w:spacing w:val="5"/>
          <w:kern w:val="28"/>
          <w:sz w:val="28"/>
          <w:lang w:val="es-ES_tradnl" w:eastAsia="es-ES_tradnl"/>
        </w:rPr>
      </w:pPr>
      <w:r>
        <w:rPr>
          <w:rFonts w:eastAsia="Calibri" w:cs="Times New Roman"/>
          <w:color w:val="17365D"/>
          <w:spacing w:val="5"/>
          <w:kern w:val="28"/>
          <w:sz w:val="28"/>
          <w:lang w:val="es-ES_tradnl" w:eastAsia="es-ES_tradnl"/>
        </w:rPr>
        <w:t xml:space="preserve">Alineación con el Desafío Regional de Integración </w:t>
      </w:r>
      <w:r w:rsidR="004F0EA8">
        <w:rPr>
          <w:rFonts w:eastAsia="Calibri" w:cs="Times New Roman"/>
          <w:color w:val="17365D"/>
          <w:spacing w:val="5"/>
          <w:kern w:val="28"/>
          <w:sz w:val="28"/>
          <w:lang w:val="es-ES_tradnl" w:eastAsia="es-ES_tradnl"/>
        </w:rPr>
        <w:t>Económica</w:t>
      </w:r>
    </w:p>
    <w:p w:rsidR="007100D7" w:rsidRPr="00761E81" w:rsidRDefault="007100D7" w:rsidP="00341026">
      <w:pPr>
        <w:ind w:left="720"/>
        <w:contextualSpacing/>
        <w:jc w:val="both"/>
        <w:rPr>
          <w:rFonts w:eastAsia="Calibri"/>
          <w:lang w:val="es-ES_tradnl"/>
        </w:rPr>
      </w:pPr>
    </w:p>
    <w:p w:rsidR="0094269D" w:rsidRPr="00F26D17" w:rsidRDefault="0094269D" w:rsidP="00711751">
      <w:pPr>
        <w:keepNext/>
        <w:keepLines/>
        <w:numPr>
          <w:ilvl w:val="0"/>
          <w:numId w:val="2"/>
        </w:numPr>
        <w:spacing w:before="120" w:after="120" w:line="240" w:lineRule="auto"/>
        <w:ind w:left="450" w:hanging="450"/>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Resumen Ejecutivo</w:t>
      </w:r>
    </w:p>
    <w:p w:rsidR="000B75C4" w:rsidRPr="0043790D" w:rsidRDefault="000B75C4" w:rsidP="00D90BB7">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43790D">
        <w:rPr>
          <w:rFonts w:ascii="Times New Roman" w:hAnsi="Times New Roman" w:cs="Times New Roman"/>
          <w:sz w:val="24"/>
          <w:szCs w:val="24"/>
          <w:lang w:val="es-ES"/>
        </w:rPr>
        <w:t>El Banco Interamericano de Desarrollo (BID) ha venido impulsando la integración eléctrica de los países centroamericanos a través de diferentes iniciativas, en especial el Proyecto del Sistema de Interconexión Eléctrica para los países de América Central (SIEPAC), el cual incluyó la creación del Mercado Eléctrico Regional (MER), sus instituciones, y la construcción y puesta en operación del primer sistema de transmisión eléctrica regional, una línea de casi 1.800km de longitud, conocida como Línea SIEPAC, con el objeto de facilitar los intercambios de electricidad entre los países de América Central.</w:t>
      </w:r>
    </w:p>
    <w:p w:rsidR="000B75C4" w:rsidRPr="0043790D" w:rsidRDefault="000B75C4" w:rsidP="00D90BB7">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43790D">
        <w:rPr>
          <w:rFonts w:ascii="Times New Roman" w:hAnsi="Times New Roman" w:cs="Times New Roman"/>
          <w:sz w:val="24"/>
          <w:szCs w:val="24"/>
          <w:lang w:val="es-ES"/>
        </w:rPr>
        <w:t>La arquitectura normativa del MER está definida en una serie de instrumentos jurídicos que incluyen el Tratado Marco del Mercado Eléctrico de América Central, suscrito en diciembre de 1996, el Primer y Segundo Protocolo al Tratado Marco, oficializados en junio de 1997 y abril de 2007 respectivamente, el Reglamento del Mercado Eléctrico Regional (RMER) y las Resoluciones Normativas de la Comisión Regional de Interconexión Eléctrica (CRIE). Estos instrumentos definen las reglas, procedimientos y mecanismos para el funcionamiento del MER. Igualmente, esos instrumentos especifican una estructura institucional que incluye a la CRIE responsable de regular las relaciones comerciales entre las instituciones públicas y privadas (Agentes) que se conectan al sistema eléctrico regional, y de fijar los mecanismos de remuneración y de precios de intercambios; al Ente Operador Regional (EOR) que se encarga del despacho de los intercambios de energía entre los países en su calidad de operador y administrador del sistema eléctrico y el mercado regional; y el Consejo Director del Mercado Eléctrico Regional (CDMER) que es órgano político y la instancia responsable de impulsar el desarrollo del MER y facilitar el cumplimiento de los objetivos del Tratado Marco del Mercado Eléctrico de América Central y sus Protocolos, así como coordinar la interrelación con el resto de los organismos regionales.</w:t>
      </w:r>
    </w:p>
    <w:p w:rsidR="000B75C4" w:rsidRDefault="00D079C5" w:rsidP="00D90BB7">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Pr>
          <w:rFonts w:ascii="Times New Roman" w:eastAsia="MS Mincho" w:hAnsi="Times New Roman" w:cs="Times New Roman"/>
          <w:bCs/>
          <w:sz w:val="24"/>
          <w:szCs w:val="24"/>
          <w:lang w:val="es-ES_tradnl" w:eastAsia="ja-JP"/>
        </w:rPr>
        <w:t>El Tratado Marco del Mercado Eléctrico de América Central y su primer protocolo, ratificados entre los años 1997 y 1998 por el congreso de Nicaragua que dan origen a los organismos regionales de operación y regulación del MER inician la integración de Nicaragua al SIEPAC. El país</w:t>
      </w:r>
      <w:r w:rsidR="000B75C4">
        <w:rPr>
          <w:rFonts w:ascii="Times New Roman" w:eastAsia="MS Mincho" w:hAnsi="Times New Roman" w:cs="Times New Roman"/>
          <w:bCs/>
          <w:sz w:val="24"/>
          <w:szCs w:val="24"/>
          <w:lang w:val="es-ES_tradnl" w:eastAsia="ja-JP"/>
        </w:rPr>
        <w:t xml:space="preserve"> tiene una participación </w:t>
      </w:r>
      <w:r>
        <w:rPr>
          <w:rFonts w:ascii="Times New Roman" w:eastAsia="MS Mincho" w:hAnsi="Times New Roman" w:cs="Times New Roman"/>
          <w:bCs/>
          <w:sz w:val="24"/>
          <w:szCs w:val="24"/>
          <w:lang w:val="es-ES_tradnl" w:eastAsia="ja-JP"/>
        </w:rPr>
        <w:t xml:space="preserve">directa en cuanto a infraestructura </w:t>
      </w:r>
      <w:r w:rsidR="00901F85">
        <w:rPr>
          <w:rFonts w:ascii="Times New Roman" w:eastAsia="MS Mincho" w:hAnsi="Times New Roman" w:cs="Times New Roman"/>
          <w:bCs/>
          <w:sz w:val="24"/>
          <w:szCs w:val="24"/>
          <w:lang w:val="es-ES_tradnl" w:eastAsia="ja-JP"/>
        </w:rPr>
        <w:t>dentro de la lo</w:t>
      </w:r>
      <w:r w:rsidR="00470297">
        <w:rPr>
          <w:rFonts w:ascii="Times New Roman" w:eastAsia="MS Mincho" w:hAnsi="Times New Roman" w:cs="Times New Roman"/>
          <w:bCs/>
          <w:sz w:val="24"/>
          <w:szCs w:val="24"/>
          <w:lang w:val="es-ES_tradnl" w:eastAsia="ja-JP"/>
        </w:rPr>
        <w:t>n</w:t>
      </w:r>
      <w:r w:rsidR="00901F85">
        <w:rPr>
          <w:rFonts w:ascii="Times New Roman" w:eastAsia="MS Mincho" w:hAnsi="Times New Roman" w:cs="Times New Roman"/>
          <w:bCs/>
          <w:sz w:val="24"/>
          <w:szCs w:val="24"/>
          <w:lang w:val="es-ES_tradnl" w:eastAsia="ja-JP"/>
        </w:rPr>
        <w:t>gitud tramos y subestaciones del SIEPAC de 307.5</w:t>
      </w:r>
      <w:r>
        <w:rPr>
          <w:rFonts w:ascii="Times New Roman" w:eastAsia="MS Mincho" w:hAnsi="Times New Roman" w:cs="Times New Roman"/>
          <w:bCs/>
          <w:sz w:val="24"/>
          <w:szCs w:val="24"/>
          <w:lang w:val="es-ES_tradnl" w:eastAsia="ja-JP"/>
        </w:rPr>
        <w:t>km en tres (3) tramos que son: (i) Frontera Honduras-Sandino y (ii) el tramo Sandino-Ticuantepe que entraron en operación el 31 de enero de 2013 y (iii) Ticuantepe-Frontera Costa Rica que entro en operación el 23 de noviembre de 2011; 756 torres y dos (2) subestaciones que son Sandino y Ticuantepe.</w:t>
      </w:r>
    </w:p>
    <w:p w:rsidR="00D90BB7" w:rsidRPr="001A47B1" w:rsidRDefault="00D90BB7" w:rsidP="00D90BB7">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1A47B1">
        <w:rPr>
          <w:rFonts w:ascii="Times New Roman" w:eastAsia="MS Mincho" w:hAnsi="Times New Roman" w:cs="Times New Roman"/>
          <w:bCs/>
          <w:sz w:val="24"/>
          <w:szCs w:val="24"/>
          <w:lang w:val="es-ES_tradnl" w:eastAsia="ja-JP"/>
        </w:rPr>
        <w:t xml:space="preserve">El Sector Energético de Nicaragua se enfrenta al reto del incremento permanente de la demanda energética – resultante del crecimiento económico y la ampliación de la cobertura </w:t>
      </w:r>
      <w:r w:rsidRPr="001A47B1">
        <w:rPr>
          <w:rFonts w:ascii="Times New Roman" w:eastAsia="MS Mincho" w:hAnsi="Times New Roman" w:cs="Times New Roman"/>
          <w:bCs/>
          <w:sz w:val="24"/>
          <w:szCs w:val="24"/>
          <w:lang w:val="es-ES_tradnl" w:eastAsia="ja-JP"/>
        </w:rPr>
        <w:lastRenderedPageBreak/>
        <w:t>eléctrica</w:t>
      </w:r>
      <w:r w:rsidR="000D2253">
        <w:rPr>
          <w:rStyle w:val="FootnoteReference"/>
          <w:rFonts w:ascii="Times New Roman" w:eastAsia="MS Mincho" w:hAnsi="Times New Roman" w:cs="Times New Roman"/>
          <w:bCs/>
          <w:sz w:val="24"/>
          <w:szCs w:val="24"/>
          <w:lang w:val="es-ES_tradnl" w:eastAsia="ja-JP"/>
        </w:rPr>
        <w:footnoteReference w:id="1"/>
      </w:r>
      <w:r w:rsidRPr="001A47B1">
        <w:rPr>
          <w:rFonts w:ascii="Times New Roman" w:eastAsia="MS Mincho" w:hAnsi="Times New Roman" w:cs="Times New Roman"/>
          <w:bCs/>
          <w:sz w:val="24"/>
          <w:szCs w:val="24"/>
          <w:lang w:val="es-ES_tradnl" w:eastAsia="ja-JP"/>
        </w:rPr>
        <w:t xml:space="preserve"> – </w:t>
      </w:r>
      <w:r w:rsidR="00901AE4">
        <w:rPr>
          <w:rFonts w:ascii="Times New Roman" w:eastAsia="MS Mincho" w:hAnsi="Times New Roman" w:cs="Times New Roman"/>
          <w:bCs/>
          <w:sz w:val="24"/>
          <w:szCs w:val="24"/>
          <w:lang w:val="es-ES_tradnl" w:eastAsia="ja-JP"/>
        </w:rPr>
        <w:t xml:space="preserve">que </w:t>
      </w:r>
      <w:r w:rsidRPr="001A47B1">
        <w:rPr>
          <w:rFonts w:ascii="Times New Roman" w:eastAsia="MS Mincho" w:hAnsi="Times New Roman" w:cs="Times New Roman"/>
          <w:bCs/>
          <w:sz w:val="24"/>
          <w:szCs w:val="24"/>
          <w:lang w:val="es-ES_tradnl" w:eastAsia="ja-JP"/>
        </w:rPr>
        <w:t>ocasiona una fuerte presión sobre la generación, y la transmisión como columna vertebral del sistema eléctrico. El Sistema Nacional de Transmisión</w:t>
      </w:r>
      <w:r w:rsidR="00901AE4">
        <w:rPr>
          <w:rFonts w:ascii="Times New Roman" w:eastAsia="MS Mincho" w:hAnsi="Times New Roman" w:cs="Times New Roman"/>
          <w:bCs/>
          <w:sz w:val="24"/>
          <w:szCs w:val="24"/>
          <w:lang w:val="es-ES_tradnl" w:eastAsia="ja-JP"/>
        </w:rPr>
        <w:t xml:space="preserve"> </w:t>
      </w:r>
      <w:r w:rsidR="004F0EA8">
        <w:rPr>
          <w:rFonts w:ascii="Times New Roman" w:eastAsia="MS Mincho" w:hAnsi="Times New Roman" w:cs="Times New Roman"/>
          <w:bCs/>
          <w:sz w:val="24"/>
          <w:szCs w:val="24"/>
          <w:lang w:val="es-ES_tradnl" w:eastAsia="ja-JP"/>
        </w:rPr>
        <w:t>(SNT)</w:t>
      </w:r>
      <w:r w:rsidRPr="001A47B1">
        <w:rPr>
          <w:rFonts w:ascii="Times New Roman" w:eastAsia="MS Mincho" w:hAnsi="Times New Roman" w:cs="Times New Roman"/>
          <w:bCs/>
          <w:sz w:val="24"/>
          <w:szCs w:val="24"/>
          <w:lang w:val="es-ES_tradnl" w:eastAsia="ja-JP"/>
        </w:rPr>
        <w:t xml:space="preserve"> cuenta con 663,2</w:t>
      </w:r>
      <w:r w:rsidR="004F0EA8">
        <w:rPr>
          <w:rFonts w:ascii="Times New Roman" w:eastAsia="MS Mincho" w:hAnsi="Times New Roman" w:cs="Times New Roman"/>
          <w:bCs/>
          <w:sz w:val="24"/>
          <w:szCs w:val="24"/>
          <w:lang w:val="es-ES_tradnl" w:eastAsia="ja-JP"/>
        </w:rPr>
        <w:t xml:space="preserve"> </w:t>
      </w:r>
      <w:r w:rsidRPr="001A47B1">
        <w:rPr>
          <w:rFonts w:ascii="Times New Roman" w:eastAsia="MS Mincho" w:hAnsi="Times New Roman" w:cs="Times New Roman"/>
          <w:bCs/>
          <w:sz w:val="24"/>
          <w:szCs w:val="24"/>
          <w:lang w:val="es-ES_tradnl" w:eastAsia="ja-JP"/>
        </w:rPr>
        <w:t>km de líneas de transmisión en 69kV; aproximadamente 300</w:t>
      </w:r>
      <w:r w:rsidR="000D2253">
        <w:rPr>
          <w:rFonts w:ascii="Times New Roman" w:eastAsia="MS Mincho" w:hAnsi="Times New Roman" w:cs="Times New Roman"/>
          <w:bCs/>
          <w:sz w:val="24"/>
          <w:szCs w:val="24"/>
          <w:lang w:val="es-ES_tradnl" w:eastAsia="ja-JP"/>
        </w:rPr>
        <w:t xml:space="preserve"> </w:t>
      </w:r>
      <w:r w:rsidRPr="001A47B1">
        <w:rPr>
          <w:rFonts w:ascii="Times New Roman" w:eastAsia="MS Mincho" w:hAnsi="Times New Roman" w:cs="Times New Roman"/>
          <w:bCs/>
          <w:sz w:val="24"/>
          <w:szCs w:val="24"/>
          <w:lang w:val="es-ES_tradnl" w:eastAsia="ja-JP"/>
        </w:rPr>
        <w:t xml:space="preserve">km construidos originalmente en estructuras de madera que alcanzan un tiempo de servicio mayor a 20 años, con conductores que </w:t>
      </w:r>
      <w:r w:rsidR="004F0EA8">
        <w:rPr>
          <w:rFonts w:ascii="Times New Roman" w:eastAsia="MS Mincho" w:hAnsi="Times New Roman" w:cs="Times New Roman"/>
          <w:bCs/>
          <w:sz w:val="24"/>
          <w:szCs w:val="24"/>
          <w:lang w:val="es-ES_tradnl" w:eastAsia="ja-JP"/>
        </w:rPr>
        <w:t xml:space="preserve">ya </w:t>
      </w:r>
      <w:r w:rsidRPr="001A47B1">
        <w:rPr>
          <w:rFonts w:ascii="Times New Roman" w:eastAsia="MS Mincho" w:hAnsi="Times New Roman" w:cs="Times New Roman"/>
          <w:bCs/>
          <w:sz w:val="24"/>
          <w:szCs w:val="24"/>
          <w:lang w:val="es-ES_tradnl" w:eastAsia="ja-JP"/>
        </w:rPr>
        <w:t>superaron su vida útil, por lo que las líneas sufren desconexiones constantes, afectando la calidad del servicio. Los esfuerzos para incrementar la cobertura del servicio eléctrico, el incremento de la demanda, la diversificación de la matriz energética y la necesidad de continuar profundizando el compromiso del país con la integración regional, han originado presiones sobre tramos del sistema de transmisión, afectando su confiabilidad, limitando su capacidad e impidiendo la conexión de nuevos usuarios al servicio eléctrico. Estas limitantes hacen necesario efectuar inversiones para reforzar la capacidad de transmisión a fin de garantizar la calidad del servicio a usuarios nuevos y existentes.</w:t>
      </w:r>
    </w:p>
    <w:p w:rsidR="00D90BB7" w:rsidRPr="00D90BB7" w:rsidRDefault="00D90BB7" w:rsidP="00D90BB7">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D90BB7">
        <w:rPr>
          <w:rFonts w:ascii="Times New Roman" w:eastAsia="MS Mincho" w:hAnsi="Times New Roman" w:cs="Times New Roman"/>
          <w:bCs/>
          <w:sz w:val="24"/>
          <w:szCs w:val="24"/>
          <w:lang w:val="es-ES_tradnl" w:eastAsia="ja-JP"/>
        </w:rPr>
        <w:t xml:space="preserve">Por otra parte, en octubre de 2014 entró en total operación la </w:t>
      </w:r>
      <w:r w:rsidR="00964C0C">
        <w:rPr>
          <w:rFonts w:ascii="Times New Roman" w:eastAsia="MS Mincho" w:hAnsi="Times New Roman" w:cs="Times New Roman"/>
          <w:bCs/>
          <w:sz w:val="24"/>
          <w:szCs w:val="24"/>
          <w:lang w:val="es-ES_tradnl" w:eastAsia="ja-JP"/>
        </w:rPr>
        <w:t>línea de transmisión</w:t>
      </w:r>
      <w:r w:rsidRPr="00D90BB7">
        <w:rPr>
          <w:rFonts w:ascii="Times New Roman" w:eastAsia="MS Mincho" w:hAnsi="Times New Roman" w:cs="Times New Roman"/>
          <w:bCs/>
          <w:sz w:val="24"/>
          <w:szCs w:val="24"/>
          <w:lang w:val="es-ES_tradnl" w:eastAsia="ja-JP"/>
        </w:rPr>
        <w:t xml:space="preserve"> regional del </w:t>
      </w:r>
      <w:r w:rsidR="00964C0C">
        <w:rPr>
          <w:rFonts w:ascii="Times New Roman" w:eastAsia="MS Mincho" w:hAnsi="Times New Roman" w:cs="Times New Roman"/>
          <w:bCs/>
          <w:sz w:val="24"/>
          <w:szCs w:val="24"/>
          <w:lang w:val="es-ES_tradnl" w:eastAsia="ja-JP"/>
        </w:rPr>
        <w:t>Sistema de Interconexión Eléctrica de los Países de América Central (</w:t>
      </w:r>
      <w:r w:rsidRPr="00D90BB7">
        <w:rPr>
          <w:rFonts w:ascii="Times New Roman" w:eastAsia="MS Mincho" w:hAnsi="Times New Roman" w:cs="Times New Roman"/>
          <w:bCs/>
          <w:sz w:val="24"/>
          <w:szCs w:val="24"/>
          <w:lang w:val="es-ES_tradnl" w:eastAsia="ja-JP"/>
        </w:rPr>
        <w:t>SIEPAC</w:t>
      </w:r>
      <w:r w:rsidR="00964C0C">
        <w:rPr>
          <w:rFonts w:ascii="Times New Roman" w:eastAsia="MS Mincho" w:hAnsi="Times New Roman" w:cs="Times New Roman"/>
          <w:bCs/>
          <w:sz w:val="24"/>
          <w:szCs w:val="24"/>
          <w:lang w:val="es-ES_tradnl" w:eastAsia="ja-JP"/>
        </w:rPr>
        <w:t>)</w:t>
      </w:r>
      <w:r w:rsidRPr="00D90BB7">
        <w:rPr>
          <w:rFonts w:ascii="Times New Roman" w:eastAsia="MS Mincho" w:hAnsi="Times New Roman" w:cs="Times New Roman"/>
          <w:bCs/>
          <w:sz w:val="24"/>
          <w:szCs w:val="24"/>
          <w:lang w:val="es-ES_tradnl" w:eastAsia="ja-JP"/>
        </w:rPr>
        <w:t xml:space="preserve"> con 1.790</w:t>
      </w:r>
      <w:r w:rsidR="004F0EA8">
        <w:rPr>
          <w:rFonts w:ascii="Times New Roman" w:eastAsia="MS Mincho" w:hAnsi="Times New Roman" w:cs="Times New Roman"/>
          <w:bCs/>
          <w:sz w:val="24"/>
          <w:szCs w:val="24"/>
          <w:lang w:val="es-ES_tradnl" w:eastAsia="ja-JP"/>
        </w:rPr>
        <w:t xml:space="preserve"> </w:t>
      </w:r>
      <w:r w:rsidRPr="00D90BB7">
        <w:rPr>
          <w:rFonts w:ascii="Times New Roman" w:eastAsia="MS Mincho" w:hAnsi="Times New Roman" w:cs="Times New Roman"/>
          <w:bCs/>
          <w:sz w:val="24"/>
          <w:szCs w:val="24"/>
          <w:lang w:val="es-ES_tradnl" w:eastAsia="ja-JP"/>
        </w:rPr>
        <w:t xml:space="preserve">km de longitud, diseñada para transportar 300MW entre los países de la región. Sin embargo, la línea aún no alcanza las condiciones de operación para máxima capacidad debido a que deficiencias en las redes nacionales – 403km en el caso de Nicaragua – producen un desvío de energía que ocupa una porción de la capacidad de transmisión de la línea regional. Esta limitación tiene consecuencias económicas considerables, toda vez que reduce el volumen de energía que es posible transar en el Mercado Eléctrico Regional (MER). </w:t>
      </w:r>
      <w:r w:rsidR="00D627E9">
        <w:rPr>
          <w:rFonts w:ascii="Times New Roman" w:eastAsia="MS Mincho" w:hAnsi="Times New Roman" w:cs="Times New Roman"/>
          <w:bCs/>
          <w:sz w:val="24"/>
          <w:szCs w:val="24"/>
          <w:lang w:val="es-ES_tradnl" w:eastAsia="ja-JP"/>
        </w:rPr>
        <w:t>Por lo cual, s</w:t>
      </w:r>
      <w:r w:rsidRPr="00D90BB7">
        <w:rPr>
          <w:rFonts w:ascii="Times New Roman" w:eastAsia="MS Mincho" w:hAnsi="Times New Roman" w:cs="Times New Roman"/>
          <w:bCs/>
          <w:sz w:val="24"/>
          <w:szCs w:val="24"/>
          <w:lang w:val="es-ES_tradnl" w:eastAsia="ja-JP"/>
        </w:rPr>
        <w:t>e identificó una serie de proyectos de infraestructura eléctrica que refuerzan las redes nacionales para lograr la plena disponibilidad de la Línea del SIEPAC.</w:t>
      </w:r>
    </w:p>
    <w:p w:rsidR="00D90BB7" w:rsidRDefault="00D90BB7" w:rsidP="00D627E9">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D90BB7">
        <w:rPr>
          <w:rFonts w:ascii="Times New Roman" w:eastAsia="MS Mincho" w:hAnsi="Times New Roman" w:cs="Times New Roman"/>
          <w:bCs/>
          <w:sz w:val="24"/>
          <w:szCs w:val="24"/>
          <w:lang w:val="es-ES_tradnl" w:eastAsia="ja-JP"/>
        </w:rPr>
        <w:t xml:space="preserve">Para atender los desafíos presentados anteriormente, el </w:t>
      </w:r>
      <w:r w:rsidR="00D627E9">
        <w:rPr>
          <w:rFonts w:ascii="Times New Roman" w:eastAsia="MS Mincho" w:hAnsi="Times New Roman" w:cs="Times New Roman"/>
          <w:bCs/>
          <w:sz w:val="24"/>
          <w:szCs w:val="24"/>
          <w:lang w:val="es-ES_tradnl" w:eastAsia="ja-JP"/>
        </w:rPr>
        <w:t>P</w:t>
      </w:r>
      <w:r w:rsidRPr="00D90BB7">
        <w:rPr>
          <w:rFonts w:ascii="Times New Roman" w:eastAsia="MS Mincho" w:hAnsi="Times New Roman" w:cs="Times New Roman"/>
          <w:bCs/>
          <w:sz w:val="24"/>
          <w:szCs w:val="24"/>
          <w:lang w:val="es-ES_tradnl" w:eastAsia="ja-JP"/>
        </w:rPr>
        <w:t>rograma</w:t>
      </w:r>
      <w:r w:rsidR="00D627E9">
        <w:rPr>
          <w:rFonts w:ascii="Times New Roman" w:eastAsia="MS Mincho" w:hAnsi="Times New Roman" w:cs="Times New Roman"/>
          <w:bCs/>
          <w:sz w:val="24"/>
          <w:szCs w:val="24"/>
          <w:lang w:val="es-ES_tradnl" w:eastAsia="ja-JP"/>
        </w:rPr>
        <w:t xml:space="preserve"> de Exploración Geotérmica y</w:t>
      </w:r>
      <w:r w:rsidR="00D627E9" w:rsidRPr="00D627E9">
        <w:rPr>
          <w:rFonts w:ascii="Times New Roman" w:eastAsia="MS Mincho" w:hAnsi="Times New Roman" w:cs="Times New Roman"/>
          <w:bCs/>
          <w:sz w:val="24"/>
          <w:szCs w:val="24"/>
          <w:lang w:val="es-ES_tradnl" w:eastAsia="ja-JP"/>
        </w:rPr>
        <w:t xml:space="preserve"> Mejoras </w:t>
      </w:r>
      <w:r w:rsidR="00D627E9">
        <w:rPr>
          <w:rFonts w:ascii="Times New Roman" w:eastAsia="MS Mincho" w:hAnsi="Times New Roman" w:cs="Times New Roman"/>
          <w:bCs/>
          <w:sz w:val="24"/>
          <w:szCs w:val="24"/>
          <w:lang w:val="es-ES_tradnl" w:eastAsia="ja-JP"/>
        </w:rPr>
        <w:t>e</w:t>
      </w:r>
      <w:r w:rsidR="00D627E9" w:rsidRPr="00D627E9">
        <w:rPr>
          <w:rFonts w:ascii="Times New Roman" w:eastAsia="MS Mincho" w:hAnsi="Times New Roman" w:cs="Times New Roman"/>
          <w:bCs/>
          <w:sz w:val="24"/>
          <w:szCs w:val="24"/>
          <w:lang w:val="es-ES_tradnl" w:eastAsia="ja-JP"/>
        </w:rPr>
        <w:t>n Transmisión</w:t>
      </w:r>
      <w:r w:rsidRPr="00D90BB7">
        <w:rPr>
          <w:rFonts w:ascii="Times New Roman" w:eastAsia="MS Mincho" w:hAnsi="Times New Roman" w:cs="Times New Roman"/>
          <w:bCs/>
          <w:sz w:val="24"/>
          <w:szCs w:val="24"/>
          <w:lang w:val="es-ES_tradnl" w:eastAsia="ja-JP"/>
        </w:rPr>
        <w:t xml:space="preserve"> </w:t>
      </w:r>
      <w:r w:rsidR="00D627E9">
        <w:rPr>
          <w:rFonts w:ascii="Times New Roman" w:eastAsia="MS Mincho" w:hAnsi="Times New Roman" w:cs="Times New Roman"/>
          <w:bCs/>
          <w:sz w:val="24"/>
          <w:szCs w:val="24"/>
          <w:lang w:val="es-ES_tradnl" w:eastAsia="ja-JP"/>
        </w:rPr>
        <w:t xml:space="preserve">NI-1094 </w:t>
      </w:r>
      <w:r w:rsidRPr="00D90BB7">
        <w:rPr>
          <w:rFonts w:ascii="Times New Roman" w:eastAsia="MS Mincho" w:hAnsi="Times New Roman" w:cs="Times New Roman"/>
          <w:bCs/>
          <w:sz w:val="24"/>
          <w:szCs w:val="24"/>
          <w:lang w:val="es-ES_tradnl" w:eastAsia="ja-JP"/>
        </w:rPr>
        <w:t>plantea la ejecución de actividades encaminadas a la exploración del potencial geotérmico en el país, así como inversiones en el sistema de transmisión eléctrica que faciliten la entrada de nuevos proyectos de generación</w:t>
      </w:r>
      <w:r w:rsidR="00F46DEC">
        <w:rPr>
          <w:rFonts w:ascii="Times New Roman" w:eastAsia="MS Mincho" w:hAnsi="Times New Roman" w:cs="Times New Roman"/>
          <w:bCs/>
          <w:sz w:val="24"/>
          <w:szCs w:val="24"/>
          <w:lang w:val="es-ES_tradnl" w:eastAsia="ja-JP"/>
        </w:rPr>
        <w:t xml:space="preserve"> y garanticen</w:t>
      </w:r>
      <w:r w:rsidRPr="00D90BB7">
        <w:rPr>
          <w:rFonts w:ascii="Times New Roman" w:eastAsia="MS Mincho" w:hAnsi="Times New Roman" w:cs="Times New Roman"/>
          <w:bCs/>
          <w:sz w:val="24"/>
          <w:szCs w:val="24"/>
          <w:lang w:val="es-ES_tradnl" w:eastAsia="ja-JP"/>
        </w:rPr>
        <w:t xml:space="preserve"> la capacidad de transmisión necesaria para la operatividad del </w:t>
      </w:r>
      <w:r w:rsidR="00F46DEC">
        <w:rPr>
          <w:rFonts w:ascii="Times New Roman" w:eastAsia="MS Mincho" w:hAnsi="Times New Roman" w:cs="Times New Roman"/>
          <w:bCs/>
          <w:sz w:val="24"/>
          <w:szCs w:val="24"/>
          <w:lang w:val="es-ES_tradnl" w:eastAsia="ja-JP"/>
        </w:rPr>
        <w:t>SIEPAC</w:t>
      </w:r>
      <w:r w:rsidRPr="00D90BB7">
        <w:rPr>
          <w:rFonts w:ascii="Times New Roman" w:eastAsia="MS Mincho" w:hAnsi="Times New Roman" w:cs="Times New Roman"/>
          <w:bCs/>
          <w:sz w:val="24"/>
          <w:szCs w:val="24"/>
          <w:lang w:val="es-ES_tradnl" w:eastAsia="ja-JP"/>
        </w:rPr>
        <w:t>. Particularmente</w:t>
      </w:r>
      <w:r w:rsidR="00F46DEC">
        <w:rPr>
          <w:rFonts w:ascii="Times New Roman" w:eastAsia="MS Mincho" w:hAnsi="Times New Roman" w:cs="Times New Roman"/>
          <w:bCs/>
          <w:sz w:val="24"/>
          <w:szCs w:val="24"/>
          <w:lang w:val="es-ES_tradnl" w:eastAsia="ja-JP"/>
        </w:rPr>
        <w:t xml:space="preserve"> los objetivos de este proyecto son</w:t>
      </w:r>
      <w:r w:rsidRPr="00D90BB7">
        <w:rPr>
          <w:rFonts w:ascii="Times New Roman" w:eastAsia="MS Mincho" w:hAnsi="Times New Roman" w:cs="Times New Roman"/>
          <w:bCs/>
          <w:sz w:val="24"/>
          <w:szCs w:val="24"/>
          <w:lang w:val="es-ES_tradnl" w:eastAsia="ja-JP"/>
        </w:rPr>
        <w:t>: (i) garantizar el suministro continuo de energía eléctrica en las zonas beneficiadas por la ampliación de la infraestructura eléctrica  del programa; (i</w:t>
      </w:r>
      <w:r w:rsidR="00C545A9">
        <w:rPr>
          <w:rFonts w:ascii="Times New Roman" w:eastAsia="MS Mincho" w:hAnsi="Times New Roman" w:cs="Times New Roman"/>
          <w:bCs/>
          <w:sz w:val="24"/>
          <w:szCs w:val="24"/>
          <w:lang w:val="es-ES_tradnl" w:eastAsia="ja-JP"/>
        </w:rPr>
        <w:t>i</w:t>
      </w:r>
      <w:r w:rsidRPr="00D90BB7">
        <w:rPr>
          <w:rFonts w:ascii="Times New Roman" w:eastAsia="MS Mincho" w:hAnsi="Times New Roman" w:cs="Times New Roman"/>
          <w:bCs/>
          <w:sz w:val="24"/>
          <w:szCs w:val="24"/>
          <w:lang w:val="es-ES_tradnl" w:eastAsia="ja-JP"/>
        </w:rPr>
        <w:t>) incrementar la capacidad de transmisión de carga para atender la demanda de electricidad y la oferta de generación de energía en la zona de influencia del programa; y (i</w:t>
      </w:r>
      <w:r w:rsidR="00C545A9">
        <w:rPr>
          <w:rFonts w:ascii="Times New Roman" w:eastAsia="MS Mincho" w:hAnsi="Times New Roman" w:cs="Times New Roman"/>
          <w:bCs/>
          <w:sz w:val="24"/>
          <w:szCs w:val="24"/>
          <w:lang w:val="es-ES_tradnl" w:eastAsia="ja-JP"/>
        </w:rPr>
        <w:t>ii</w:t>
      </w:r>
      <w:r w:rsidRPr="00D90BB7">
        <w:rPr>
          <w:rFonts w:ascii="Times New Roman" w:eastAsia="MS Mincho" w:hAnsi="Times New Roman" w:cs="Times New Roman"/>
          <w:bCs/>
          <w:sz w:val="24"/>
          <w:szCs w:val="24"/>
          <w:lang w:val="es-ES_tradnl" w:eastAsia="ja-JP"/>
        </w:rPr>
        <w:t>) optimizar la capacidad de carga de la Línea Transmisión (L/T) regional en los tramos ubicados en Nicaragua.</w:t>
      </w:r>
    </w:p>
    <w:p w:rsidR="00F17D08" w:rsidRDefault="00F17D08" w:rsidP="00D61F73">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Pr>
          <w:rFonts w:ascii="Times New Roman" w:eastAsia="MS Mincho" w:hAnsi="Times New Roman" w:cs="Times New Roman"/>
          <w:bCs/>
          <w:sz w:val="24"/>
          <w:szCs w:val="24"/>
          <w:lang w:val="es-ES_tradnl" w:eastAsia="ja-JP"/>
        </w:rPr>
        <w:t xml:space="preserve">La presente operación contribuirá a </w:t>
      </w:r>
      <w:r w:rsidR="00D61F73">
        <w:rPr>
          <w:rFonts w:ascii="Times New Roman" w:eastAsia="MS Mincho" w:hAnsi="Times New Roman" w:cs="Times New Roman"/>
          <w:bCs/>
          <w:sz w:val="24"/>
          <w:szCs w:val="24"/>
          <w:lang w:val="es-ES_tradnl" w:eastAsia="ja-JP"/>
        </w:rPr>
        <w:t xml:space="preserve">garantizar la capacidad </w:t>
      </w:r>
      <w:r w:rsidR="00D61F73" w:rsidRPr="00D61F73">
        <w:rPr>
          <w:rFonts w:ascii="Times New Roman" w:eastAsia="MS Mincho" w:hAnsi="Times New Roman" w:cs="Times New Roman"/>
          <w:bCs/>
          <w:sz w:val="24"/>
          <w:szCs w:val="24"/>
          <w:lang w:val="es-ES_tradnl" w:eastAsia="ja-JP"/>
        </w:rPr>
        <w:t>de transferencia de 300MW</w:t>
      </w:r>
      <w:r w:rsidR="00D61F73">
        <w:rPr>
          <w:rFonts w:ascii="Times New Roman" w:eastAsia="MS Mincho" w:hAnsi="Times New Roman" w:cs="Times New Roman"/>
          <w:bCs/>
          <w:sz w:val="24"/>
          <w:szCs w:val="24"/>
          <w:lang w:val="es-ES_tradnl" w:eastAsia="ja-JP"/>
        </w:rPr>
        <w:t xml:space="preserve"> con la que todos </w:t>
      </w:r>
      <w:r w:rsidR="00D61F73" w:rsidRPr="00D61F73">
        <w:rPr>
          <w:rFonts w:ascii="Times New Roman" w:eastAsia="MS Mincho" w:hAnsi="Times New Roman" w:cs="Times New Roman"/>
          <w:bCs/>
          <w:sz w:val="24"/>
          <w:szCs w:val="24"/>
          <w:lang w:val="es-ES_tradnl" w:eastAsia="ja-JP"/>
        </w:rPr>
        <w:t>los países que pertenecen al SIEPAC se han comprometido.</w:t>
      </w:r>
      <w:r>
        <w:rPr>
          <w:rFonts w:ascii="Times New Roman" w:eastAsia="MS Mincho" w:hAnsi="Times New Roman" w:cs="Times New Roman"/>
          <w:bCs/>
          <w:sz w:val="24"/>
          <w:szCs w:val="24"/>
          <w:lang w:val="es-ES_tradnl" w:eastAsia="ja-JP"/>
        </w:rPr>
        <w:t xml:space="preserve"> </w:t>
      </w:r>
    </w:p>
    <w:p w:rsidR="007100D7" w:rsidRPr="00F26D17" w:rsidRDefault="007100D7" w:rsidP="00711751">
      <w:pPr>
        <w:keepNext/>
        <w:keepLines/>
        <w:numPr>
          <w:ilvl w:val="0"/>
          <w:numId w:val="2"/>
        </w:numPr>
        <w:spacing w:before="120" w:after="120" w:line="240" w:lineRule="auto"/>
        <w:ind w:left="450" w:hanging="450"/>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Introducción</w:t>
      </w:r>
    </w:p>
    <w:p w:rsidR="00984C7A" w:rsidRPr="00711751" w:rsidRDefault="0064148C" w:rsidP="00711751">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711751">
        <w:rPr>
          <w:rFonts w:ascii="Times New Roman" w:eastAsia="MS Mincho" w:hAnsi="Times New Roman" w:cs="Times New Roman"/>
          <w:bCs/>
          <w:sz w:val="24"/>
          <w:szCs w:val="24"/>
          <w:lang w:val="es-ES_tradnl" w:eastAsia="ja-JP"/>
        </w:rPr>
        <w:t xml:space="preserve">En el marco de la estrategia sectorial del </w:t>
      </w:r>
      <w:r w:rsidR="001F4DED" w:rsidRPr="00711751">
        <w:rPr>
          <w:rFonts w:ascii="Times New Roman" w:eastAsia="MS Mincho" w:hAnsi="Times New Roman" w:cs="Times New Roman"/>
          <w:bCs/>
          <w:sz w:val="24"/>
          <w:szCs w:val="24"/>
          <w:lang w:val="es-ES_tradnl" w:eastAsia="ja-JP"/>
        </w:rPr>
        <w:t>BID</w:t>
      </w:r>
      <w:r w:rsidR="00F24B93">
        <w:rPr>
          <w:rFonts w:ascii="Times New Roman" w:eastAsia="MS Mincho" w:hAnsi="Times New Roman" w:cs="Times New Roman"/>
          <w:bCs/>
          <w:sz w:val="24"/>
          <w:szCs w:val="24"/>
          <w:lang w:val="es-ES_tradnl" w:eastAsia="ja-JP"/>
        </w:rPr>
        <w:t>,</w:t>
      </w:r>
      <w:r w:rsidR="001F4DED" w:rsidRPr="00711751">
        <w:rPr>
          <w:rFonts w:ascii="Times New Roman" w:eastAsia="MS Mincho" w:hAnsi="Times New Roman" w:cs="Times New Roman"/>
          <w:bCs/>
          <w:sz w:val="24"/>
          <w:szCs w:val="24"/>
          <w:lang w:val="es-ES_tradnl" w:eastAsia="ja-JP"/>
        </w:rPr>
        <w:t xml:space="preserve"> </w:t>
      </w:r>
      <w:r w:rsidRPr="00711751">
        <w:rPr>
          <w:rFonts w:ascii="Times New Roman" w:eastAsia="MS Mincho" w:hAnsi="Times New Roman" w:cs="Times New Roman"/>
          <w:bCs/>
          <w:sz w:val="24"/>
          <w:szCs w:val="24"/>
          <w:lang w:val="es-ES_tradnl" w:eastAsia="ja-JP"/>
        </w:rPr>
        <w:t>que apoya la Competitividad Global y Regional para la Integración (GN-2565-4), el presente anexo exp</w:t>
      </w:r>
      <w:r w:rsidR="00CC11EF" w:rsidRPr="00711751">
        <w:rPr>
          <w:rFonts w:ascii="Times New Roman" w:eastAsia="MS Mincho" w:hAnsi="Times New Roman" w:cs="Times New Roman"/>
          <w:bCs/>
          <w:sz w:val="24"/>
          <w:szCs w:val="24"/>
          <w:lang w:val="es-ES_tradnl" w:eastAsia="ja-JP"/>
        </w:rPr>
        <w:t>lica</w:t>
      </w:r>
      <w:r w:rsidRPr="00711751">
        <w:rPr>
          <w:rFonts w:ascii="Times New Roman" w:eastAsia="MS Mincho" w:hAnsi="Times New Roman" w:cs="Times New Roman"/>
          <w:bCs/>
          <w:sz w:val="24"/>
          <w:szCs w:val="24"/>
          <w:lang w:val="es-ES_tradnl" w:eastAsia="ja-JP"/>
        </w:rPr>
        <w:t xml:space="preserve"> los argumentos técnicos</w:t>
      </w:r>
      <w:r w:rsidR="000F59DF" w:rsidRPr="00711751">
        <w:rPr>
          <w:rFonts w:ascii="Times New Roman" w:eastAsia="MS Mincho" w:hAnsi="Times New Roman" w:cs="Times New Roman"/>
          <w:bCs/>
          <w:sz w:val="24"/>
          <w:szCs w:val="24"/>
          <w:lang w:val="es-ES_tradnl" w:eastAsia="ja-JP"/>
        </w:rPr>
        <w:t xml:space="preserve"> </w:t>
      </w:r>
      <w:r w:rsidRPr="00711751">
        <w:rPr>
          <w:rFonts w:ascii="Times New Roman" w:eastAsia="MS Mincho" w:hAnsi="Times New Roman" w:cs="Times New Roman"/>
          <w:bCs/>
          <w:sz w:val="24"/>
          <w:szCs w:val="24"/>
          <w:lang w:val="es-ES_tradnl" w:eastAsia="ja-JP"/>
        </w:rPr>
        <w:t xml:space="preserve">por </w:t>
      </w:r>
      <w:r w:rsidR="007100D7" w:rsidRPr="00711751">
        <w:rPr>
          <w:rFonts w:ascii="Times New Roman" w:eastAsia="MS Mincho" w:hAnsi="Times New Roman" w:cs="Times New Roman"/>
          <w:bCs/>
          <w:sz w:val="24"/>
          <w:szCs w:val="24"/>
          <w:lang w:val="es-ES_tradnl" w:eastAsia="ja-JP"/>
        </w:rPr>
        <w:t xml:space="preserve">los cuales la Operación </w:t>
      </w:r>
      <w:r w:rsidR="005976EC">
        <w:rPr>
          <w:rFonts w:ascii="Times New Roman" w:eastAsia="MS Mincho" w:hAnsi="Times New Roman" w:cs="Times New Roman"/>
          <w:bCs/>
          <w:sz w:val="24"/>
          <w:szCs w:val="24"/>
          <w:lang w:val="es-ES_tradnl" w:eastAsia="ja-JP"/>
        </w:rPr>
        <w:t>NI</w:t>
      </w:r>
      <w:r w:rsidR="00202008" w:rsidRPr="00711751">
        <w:rPr>
          <w:rFonts w:ascii="Times New Roman" w:eastAsia="MS Mincho" w:hAnsi="Times New Roman" w:cs="Times New Roman"/>
          <w:bCs/>
          <w:sz w:val="24"/>
          <w:szCs w:val="24"/>
          <w:lang w:val="es-ES_tradnl" w:eastAsia="ja-JP"/>
        </w:rPr>
        <w:t>-</w:t>
      </w:r>
      <w:r w:rsidR="005976EC">
        <w:rPr>
          <w:rFonts w:ascii="Times New Roman" w:eastAsia="MS Mincho" w:hAnsi="Times New Roman" w:cs="Times New Roman"/>
          <w:bCs/>
          <w:sz w:val="24"/>
          <w:szCs w:val="24"/>
          <w:lang w:val="es-ES_tradnl" w:eastAsia="ja-JP"/>
        </w:rPr>
        <w:t>L</w:t>
      </w:r>
      <w:r w:rsidR="00DE0976" w:rsidRPr="00711751">
        <w:rPr>
          <w:rFonts w:ascii="Times New Roman" w:eastAsia="MS Mincho" w:hAnsi="Times New Roman" w:cs="Times New Roman"/>
          <w:bCs/>
          <w:sz w:val="24"/>
          <w:szCs w:val="24"/>
          <w:lang w:val="es-ES_tradnl" w:eastAsia="ja-JP"/>
        </w:rPr>
        <w:t>1</w:t>
      </w:r>
      <w:r w:rsidR="005976EC">
        <w:rPr>
          <w:rFonts w:ascii="Times New Roman" w:eastAsia="MS Mincho" w:hAnsi="Times New Roman" w:cs="Times New Roman"/>
          <w:bCs/>
          <w:sz w:val="24"/>
          <w:szCs w:val="24"/>
          <w:lang w:val="es-ES_tradnl" w:eastAsia="ja-JP"/>
        </w:rPr>
        <w:t>094</w:t>
      </w:r>
      <w:r w:rsidR="00560704">
        <w:rPr>
          <w:rFonts w:ascii="Times New Roman" w:eastAsia="MS Mincho" w:hAnsi="Times New Roman" w:cs="Times New Roman"/>
          <w:bCs/>
          <w:sz w:val="24"/>
          <w:szCs w:val="24"/>
          <w:lang w:val="es-ES_tradnl" w:eastAsia="ja-JP"/>
        </w:rPr>
        <w:t xml:space="preserve"> </w:t>
      </w:r>
      <w:r w:rsidR="0094109B">
        <w:rPr>
          <w:rFonts w:ascii="Times New Roman" w:eastAsia="MS Mincho" w:hAnsi="Times New Roman" w:cs="Times New Roman"/>
          <w:bCs/>
          <w:sz w:val="24"/>
          <w:szCs w:val="24"/>
          <w:lang w:val="es-ES_tradnl" w:eastAsia="ja-JP"/>
        </w:rPr>
        <w:t>se alinea estratégicamente con el Desafío</w:t>
      </w:r>
      <w:r w:rsidR="00F46DEC">
        <w:rPr>
          <w:rFonts w:ascii="Times New Roman" w:eastAsia="MS Mincho" w:hAnsi="Times New Roman" w:cs="Times New Roman"/>
          <w:bCs/>
          <w:sz w:val="24"/>
          <w:szCs w:val="24"/>
          <w:lang w:val="es-ES_tradnl" w:eastAsia="ja-JP"/>
        </w:rPr>
        <w:t xml:space="preserve"> de</w:t>
      </w:r>
      <w:r w:rsidR="0094109B">
        <w:rPr>
          <w:rFonts w:ascii="Times New Roman" w:eastAsia="MS Mincho" w:hAnsi="Times New Roman" w:cs="Times New Roman"/>
          <w:bCs/>
          <w:sz w:val="24"/>
          <w:szCs w:val="24"/>
          <w:lang w:val="es-ES_tradnl" w:eastAsia="ja-JP"/>
        </w:rPr>
        <w:t xml:space="preserve"> Integración Económica de la Estrategia Institucional Actualizada del Banco  (GN-2828)</w:t>
      </w:r>
      <w:r w:rsidRPr="00711751">
        <w:rPr>
          <w:rFonts w:ascii="Times New Roman" w:eastAsia="MS Mincho" w:hAnsi="Times New Roman" w:cs="Times New Roman"/>
          <w:bCs/>
          <w:sz w:val="24"/>
          <w:szCs w:val="24"/>
          <w:lang w:val="es-ES_tradnl" w:eastAsia="ja-JP"/>
        </w:rPr>
        <w:t>.</w:t>
      </w:r>
    </w:p>
    <w:p w:rsidR="00384073" w:rsidRPr="00377AC5" w:rsidRDefault="00E23E31" w:rsidP="00711751">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sidRPr="00711751">
        <w:rPr>
          <w:rFonts w:ascii="Times New Roman" w:eastAsia="MS Mincho" w:hAnsi="Times New Roman" w:cs="Times New Roman"/>
          <w:bCs/>
          <w:sz w:val="24"/>
          <w:szCs w:val="24"/>
          <w:lang w:val="es-ES_tradnl" w:eastAsia="ja-JP"/>
        </w:rPr>
        <w:lastRenderedPageBreak/>
        <w:t>El presente anexo se estructura en</w:t>
      </w:r>
      <w:r w:rsidR="0064148C" w:rsidRPr="00711751">
        <w:rPr>
          <w:rFonts w:ascii="Times New Roman" w:eastAsia="MS Mincho" w:hAnsi="Times New Roman" w:cs="Times New Roman"/>
          <w:bCs/>
          <w:sz w:val="24"/>
          <w:szCs w:val="24"/>
          <w:lang w:val="es-ES_tradnl" w:eastAsia="ja-JP"/>
        </w:rPr>
        <w:t xml:space="preserve"> tres secciones: </w:t>
      </w:r>
      <w:r w:rsidR="00377AC5" w:rsidRPr="00377AC5">
        <w:rPr>
          <w:rFonts w:ascii="Times New Roman" w:eastAsia="MS Mincho" w:hAnsi="Times New Roman" w:cs="Times New Roman"/>
          <w:bCs/>
          <w:sz w:val="24"/>
          <w:szCs w:val="24"/>
          <w:lang w:val="es-ES_tradnl" w:eastAsia="ja-JP"/>
        </w:rPr>
        <w:t xml:space="preserve">(i) </w:t>
      </w:r>
      <w:r w:rsidR="009C7401" w:rsidRPr="00377AC5">
        <w:rPr>
          <w:rFonts w:ascii="Times New Roman" w:eastAsia="MS Mincho" w:hAnsi="Times New Roman" w:cs="Times New Roman"/>
          <w:bCs/>
          <w:sz w:val="24"/>
          <w:szCs w:val="24"/>
          <w:lang w:val="es-ES_tradnl" w:eastAsia="ja-JP"/>
        </w:rPr>
        <w:t>Antecedentes del proyecto</w:t>
      </w:r>
      <w:r w:rsidR="00F24B93">
        <w:rPr>
          <w:rFonts w:ascii="Times New Roman" w:eastAsia="MS Mincho" w:hAnsi="Times New Roman" w:cs="Times New Roman"/>
          <w:bCs/>
          <w:sz w:val="24"/>
          <w:szCs w:val="24"/>
          <w:lang w:val="es-ES_tradnl" w:eastAsia="ja-JP"/>
        </w:rPr>
        <w:t>,</w:t>
      </w:r>
      <w:r w:rsidR="009C7401" w:rsidRPr="00377AC5">
        <w:rPr>
          <w:rFonts w:ascii="Times New Roman" w:eastAsia="MS Mincho" w:hAnsi="Times New Roman" w:cs="Times New Roman"/>
          <w:bCs/>
          <w:sz w:val="24"/>
          <w:szCs w:val="24"/>
          <w:lang w:val="es-ES_tradnl" w:eastAsia="ja-JP"/>
        </w:rPr>
        <w:t xml:space="preserve"> para su análisis desde la perspectiva de integración regional; </w:t>
      </w:r>
      <w:r w:rsidR="00377AC5" w:rsidRPr="00377AC5">
        <w:rPr>
          <w:rFonts w:ascii="Times New Roman" w:eastAsia="MS Mincho" w:hAnsi="Times New Roman" w:cs="Times New Roman"/>
          <w:bCs/>
          <w:sz w:val="24"/>
          <w:szCs w:val="24"/>
          <w:lang w:val="es-ES_tradnl" w:eastAsia="ja-JP"/>
        </w:rPr>
        <w:t xml:space="preserve">(ii) </w:t>
      </w:r>
      <w:r w:rsidR="00AA1F26" w:rsidRPr="00377AC5">
        <w:rPr>
          <w:rFonts w:ascii="Times New Roman" w:eastAsia="MS Mincho" w:hAnsi="Times New Roman" w:cs="Times New Roman"/>
          <w:bCs/>
          <w:sz w:val="24"/>
          <w:szCs w:val="24"/>
          <w:lang w:val="es-ES_tradnl" w:eastAsia="ja-JP"/>
        </w:rPr>
        <w:t>Aspectos</w:t>
      </w:r>
      <w:r w:rsidR="00F160A4" w:rsidRPr="00377AC5">
        <w:rPr>
          <w:rFonts w:ascii="Times New Roman" w:eastAsia="MS Mincho" w:hAnsi="Times New Roman" w:cs="Times New Roman"/>
          <w:bCs/>
          <w:sz w:val="24"/>
          <w:szCs w:val="24"/>
          <w:lang w:val="es-ES_tradnl" w:eastAsia="ja-JP"/>
        </w:rPr>
        <w:t xml:space="preserve"> </w:t>
      </w:r>
      <w:r w:rsidR="009A631C" w:rsidRPr="00377AC5">
        <w:rPr>
          <w:rFonts w:ascii="Times New Roman" w:eastAsia="MS Mincho" w:hAnsi="Times New Roman" w:cs="Times New Roman"/>
          <w:bCs/>
          <w:sz w:val="24"/>
          <w:szCs w:val="24"/>
          <w:lang w:val="es-ES_tradnl" w:eastAsia="ja-JP"/>
        </w:rPr>
        <w:t xml:space="preserve">considerados para la clasificación de la operación como una </w:t>
      </w:r>
      <w:r w:rsidR="00F24B93">
        <w:rPr>
          <w:rFonts w:ascii="Times New Roman" w:eastAsia="MS Mincho" w:hAnsi="Times New Roman" w:cs="Times New Roman"/>
          <w:bCs/>
          <w:sz w:val="24"/>
          <w:szCs w:val="24"/>
          <w:lang w:val="es-ES_tradnl" w:eastAsia="ja-JP"/>
        </w:rPr>
        <w:t xml:space="preserve">actuación </w:t>
      </w:r>
      <w:r w:rsidRPr="00377AC5">
        <w:rPr>
          <w:rFonts w:ascii="Times New Roman" w:eastAsia="MS Mincho" w:hAnsi="Times New Roman" w:cs="Times New Roman"/>
          <w:bCs/>
          <w:sz w:val="24"/>
          <w:szCs w:val="24"/>
          <w:lang w:val="es-ES_tradnl" w:eastAsia="ja-JP"/>
        </w:rPr>
        <w:t>de int</w:t>
      </w:r>
      <w:r w:rsidR="009B5781" w:rsidRPr="00377AC5">
        <w:rPr>
          <w:rFonts w:ascii="Times New Roman" w:eastAsia="MS Mincho" w:hAnsi="Times New Roman" w:cs="Times New Roman"/>
          <w:bCs/>
          <w:sz w:val="24"/>
          <w:szCs w:val="24"/>
          <w:lang w:val="es-ES_tradnl" w:eastAsia="ja-JP"/>
        </w:rPr>
        <w:t>egración regional</w:t>
      </w:r>
      <w:r w:rsidR="009A631C" w:rsidRPr="00377AC5">
        <w:rPr>
          <w:rFonts w:ascii="Times New Roman" w:eastAsia="MS Mincho" w:hAnsi="Times New Roman" w:cs="Times New Roman"/>
          <w:bCs/>
          <w:sz w:val="24"/>
          <w:szCs w:val="24"/>
          <w:lang w:val="es-ES_tradnl" w:eastAsia="ja-JP"/>
        </w:rPr>
        <w:t xml:space="preserve">; </w:t>
      </w:r>
      <w:r w:rsidR="00377AC5" w:rsidRPr="00377AC5">
        <w:rPr>
          <w:rFonts w:ascii="Times New Roman" w:eastAsia="MS Mincho" w:hAnsi="Times New Roman" w:cs="Times New Roman"/>
          <w:bCs/>
          <w:sz w:val="24"/>
          <w:szCs w:val="24"/>
          <w:lang w:val="es-ES_tradnl" w:eastAsia="ja-JP"/>
        </w:rPr>
        <w:t xml:space="preserve">(iii) </w:t>
      </w:r>
      <w:r w:rsidR="009A631C" w:rsidRPr="00377AC5">
        <w:rPr>
          <w:rFonts w:ascii="Times New Roman" w:eastAsia="MS Mincho" w:hAnsi="Times New Roman" w:cs="Times New Roman"/>
          <w:bCs/>
          <w:sz w:val="24"/>
          <w:szCs w:val="24"/>
          <w:lang w:val="es-ES_tradnl" w:eastAsia="ja-JP"/>
        </w:rPr>
        <w:t xml:space="preserve">Validación de los criterios de </w:t>
      </w:r>
      <w:r w:rsidR="0064148C" w:rsidRPr="00377AC5">
        <w:rPr>
          <w:rFonts w:ascii="Times New Roman" w:eastAsia="MS Mincho" w:hAnsi="Times New Roman" w:cs="Times New Roman"/>
          <w:bCs/>
          <w:sz w:val="24"/>
          <w:szCs w:val="24"/>
          <w:lang w:val="es-ES_tradnl" w:eastAsia="ja-JP"/>
        </w:rPr>
        <w:t>clasifica</w:t>
      </w:r>
      <w:r w:rsidRPr="00377AC5">
        <w:rPr>
          <w:rFonts w:ascii="Times New Roman" w:eastAsia="MS Mincho" w:hAnsi="Times New Roman" w:cs="Times New Roman"/>
          <w:bCs/>
          <w:sz w:val="24"/>
          <w:szCs w:val="24"/>
          <w:lang w:val="es-ES_tradnl" w:eastAsia="ja-JP"/>
        </w:rPr>
        <w:t xml:space="preserve">ción de la operación de acuerdo </w:t>
      </w:r>
      <w:r w:rsidR="00A6133B" w:rsidRPr="00377AC5">
        <w:rPr>
          <w:rFonts w:ascii="Times New Roman" w:eastAsia="MS Mincho" w:hAnsi="Times New Roman" w:cs="Times New Roman"/>
          <w:bCs/>
          <w:sz w:val="24"/>
          <w:szCs w:val="24"/>
          <w:lang w:val="es-ES_tradnl" w:eastAsia="ja-JP"/>
        </w:rPr>
        <w:t>a</w:t>
      </w:r>
      <w:r w:rsidRPr="00377AC5">
        <w:rPr>
          <w:rFonts w:ascii="Times New Roman" w:eastAsia="MS Mincho" w:hAnsi="Times New Roman" w:cs="Times New Roman"/>
          <w:bCs/>
          <w:sz w:val="24"/>
          <w:szCs w:val="24"/>
          <w:lang w:val="es-ES_tradnl" w:eastAsia="ja-JP"/>
        </w:rPr>
        <w:t xml:space="preserve"> lo estipulado en </w:t>
      </w:r>
      <w:r w:rsidR="00A6133B" w:rsidRPr="00377AC5">
        <w:rPr>
          <w:rFonts w:ascii="Times New Roman" w:eastAsia="MS Mincho" w:hAnsi="Times New Roman" w:cs="Times New Roman"/>
          <w:bCs/>
          <w:sz w:val="24"/>
          <w:szCs w:val="24"/>
          <w:lang w:val="es-ES_tradnl" w:eastAsia="ja-JP"/>
        </w:rPr>
        <w:t>los</w:t>
      </w:r>
      <w:r w:rsidRPr="00377AC5">
        <w:rPr>
          <w:rFonts w:ascii="Times New Roman" w:eastAsia="MS Mincho" w:hAnsi="Times New Roman" w:cs="Times New Roman"/>
          <w:bCs/>
          <w:sz w:val="24"/>
          <w:szCs w:val="24"/>
          <w:lang w:val="es-ES_tradnl" w:eastAsia="ja-JP"/>
        </w:rPr>
        <w:t xml:space="preserve"> Lineamientos para la Clasificación de Prioridades en el Programa de Financiamiento</w:t>
      </w:r>
      <w:r w:rsidR="00145A6D">
        <w:rPr>
          <w:rFonts w:ascii="Times New Roman" w:eastAsia="MS Mincho" w:hAnsi="Times New Roman" w:cs="Times New Roman"/>
          <w:bCs/>
          <w:sz w:val="24"/>
          <w:szCs w:val="24"/>
          <w:lang w:val="es-ES_tradnl" w:eastAsia="ja-JP"/>
        </w:rPr>
        <w:t>,</w:t>
      </w:r>
      <w:r w:rsidR="00AA1F26" w:rsidRPr="00377AC5">
        <w:rPr>
          <w:rFonts w:ascii="Times New Roman" w:eastAsia="MS Mincho" w:hAnsi="Times New Roman" w:cs="Times New Roman"/>
          <w:bCs/>
          <w:sz w:val="24"/>
          <w:szCs w:val="24"/>
          <w:lang w:val="es-ES_tradnl" w:eastAsia="ja-JP"/>
        </w:rPr>
        <w:t xml:space="preserve"> conforme las </w:t>
      </w:r>
      <w:r w:rsidR="009401DA" w:rsidRPr="00377AC5">
        <w:rPr>
          <w:rFonts w:ascii="Times New Roman" w:eastAsia="MS Mincho" w:hAnsi="Times New Roman" w:cs="Times New Roman"/>
          <w:bCs/>
          <w:sz w:val="24"/>
          <w:szCs w:val="24"/>
          <w:lang w:val="es-ES_tradnl" w:eastAsia="ja-JP"/>
        </w:rPr>
        <w:t>guías</w:t>
      </w:r>
      <w:r w:rsidR="00AA1F26" w:rsidRPr="00377AC5">
        <w:rPr>
          <w:rFonts w:ascii="Times New Roman" w:eastAsia="MS Mincho" w:hAnsi="Times New Roman" w:cs="Times New Roman"/>
          <w:bCs/>
          <w:sz w:val="24"/>
          <w:szCs w:val="24"/>
          <w:lang w:val="es-ES_tradnl" w:eastAsia="ja-JP"/>
        </w:rPr>
        <w:t xml:space="preserve"> GN-2650 y GN-2733</w:t>
      </w:r>
      <w:r w:rsidRPr="00377AC5">
        <w:rPr>
          <w:rFonts w:ascii="Times New Roman" w:eastAsia="MS Mincho" w:hAnsi="Times New Roman" w:cs="Times New Roman"/>
          <w:bCs/>
          <w:sz w:val="24"/>
          <w:szCs w:val="24"/>
          <w:lang w:val="es-ES_tradnl" w:eastAsia="ja-JP"/>
        </w:rPr>
        <w:t>.</w:t>
      </w:r>
      <w:r w:rsidR="0098114A" w:rsidRPr="00377AC5">
        <w:rPr>
          <w:rFonts w:ascii="Times New Roman" w:eastAsia="MS Mincho" w:hAnsi="Times New Roman" w:cs="Times New Roman"/>
          <w:bCs/>
          <w:sz w:val="24"/>
          <w:szCs w:val="24"/>
          <w:lang w:val="es-ES_tradnl" w:eastAsia="ja-JP"/>
        </w:rPr>
        <w:t xml:space="preserve"> </w:t>
      </w:r>
    </w:p>
    <w:p w:rsidR="0064148C" w:rsidRDefault="009C7401" w:rsidP="00711751">
      <w:pPr>
        <w:keepNext/>
        <w:keepLines/>
        <w:numPr>
          <w:ilvl w:val="0"/>
          <w:numId w:val="2"/>
        </w:numPr>
        <w:spacing w:before="120" w:after="120" w:line="240" w:lineRule="auto"/>
        <w:ind w:left="450" w:hanging="450"/>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Antecedentes del Proyecto</w:t>
      </w:r>
    </w:p>
    <w:tbl>
      <w:tblPr>
        <w:tblStyle w:val="TableGrid"/>
        <w:tblpPr w:leftFromText="180" w:rightFromText="180" w:vertAnchor="text" w:horzAnchor="margin" w:tblpXSpec="right" w:tblpY="1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0"/>
      </w:tblGrid>
      <w:tr w:rsidR="00FF79D5" w:rsidTr="00E27BE5">
        <w:trPr>
          <w:trHeight w:val="86"/>
        </w:trPr>
        <w:tc>
          <w:tcPr>
            <w:tcW w:w="4850" w:type="dxa"/>
          </w:tcPr>
          <w:p w:rsidR="00FF79D5" w:rsidRPr="006709CC" w:rsidRDefault="00FF79D5" w:rsidP="00FF79D5">
            <w:pPr>
              <w:autoSpaceDE w:val="0"/>
              <w:autoSpaceDN w:val="0"/>
              <w:adjustRightInd w:val="0"/>
              <w:jc w:val="center"/>
              <w:rPr>
                <w:rFonts w:eastAsia="MS Mincho"/>
                <w:b/>
                <w:bCs/>
                <w:lang w:val="es-ES_tradnl" w:eastAsia="ja-JP"/>
              </w:rPr>
            </w:pPr>
            <w:r w:rsidRPr="006709CC">
              <w:rPr>
                <w:b/>
              </w:rPr>
              <w:t xml:space="preserve">Figura </w:t>
            </w:r>
            <w:r w:rsidRPr="006709CC">
              <w:rPr>
                <w:b/>
              </w:rPr>
              <w:fldChar w:fldCharType="begin"/>
            </w:r>
            <w:r w:rsidRPr="006709CC">
              <w:rPr>
                <w:b/>
              </w:rPr>
              <w:instrText xml:space="preserve"> SEQ Figure \* ARABIC </w:instrText>
            </w:r>
            <w:r w:rsidRPr="006709CC">
              <w:rPr>
                <w:b/>
              </w:rPr>
              <w:fldChar w:fldCharType="separate"/>
            </w:r>
            <w:r w:rsidRPr="006709CC">
              <w:rPr>
                <w:b/>
                <w:noProof/>
              </w:rPr>
              <w:t>1</w:t>
            </w:r>
            <w:r w:rsidRPr="006709CC">
              <w:rPr>
                <w:b/>
                <w:noProof/>
              </w:rPr>
              <w:fldChar w:fldCharType="end"/>
            </w:r>
            <w:r w:rsidRPr="006709CC">
              <w:rPr>
                <w:b/>
              </w:rPr>
              <w:t xml:space="preserve">: </w:t>
            </w:r>
            <w:r>
              <w:rPr>
                <w:b/>
              </w:rPr>
              <w:t>Infraestructura de SIEPAC</w:t>
            </w:r>
          </w:p>
        </w:tc>
      </w:tr>
      <w:tr w:rsidR="00FF79D5" w:rsidTr="00E27BE5">
        <w:trPr>
          <w:trHeight w:val="3845"/>
        </w:trPr>
        <w:tc>
          <w:tcPr>
            <w:tcW w:w="4850" w:type="dxa"/>
          </w:tcPr>
          <w:p w:rsidR="00FF79D5" w:rsidRDefault="00FF79D5" w:rsidP="00FF79D5">
            <w:pPr>
              <w:autoSpaceDE w:val="0"/>
              <w:autoSpaceDN w:val="0"/>
              <w:adjustRightInd w:val="0"/>
              <w:spacing w:before="120" w:after="120"/>
              <w:jc w:val="both"/>
              <w:rPr>
                <w:rFonts w:eastAsia="MS Mincho"/>
                <w:bCs/>
                <w:lang w:val="es-ES_tradnl" w:eastAsia="ja-JP"/>
              </w:rPr>
            </w:pPr>
            <w:r>
              <w:rPr>
                <w:noProof/>
              </w:rPr>
              <w:drawing>
                <wp:inline distT="0" distB="0" distL="0" distR="0" wp14:anchorId="633D80AD" wp14:editId="497E5958">
                  <wp:extent cx="2942981" cy="2107096"/>
                  <wp:effectExtent l="0" t="0" r="0" b="7620"/>
                  <wp:docPr id="2" name="Picture 2" descr="http://www.argentinaindependent.com/wp-content/uploads/ruta_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gentinaindependent.com/wp-content/uploads/ruta_s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2798" cy="2106965"/>
                          </a:xfrm>
                          <a:prstGeom prst="rect">
                            <a:avLst/>
                          </a:prstGeom>
                          <a:noFill/>
                          <a:ln>
                            <a:noFill/>
                          </a:ln>
                        </pic:spPr>
                      </pic:pic>
                    </a:graphicData>
                  </a:graphic>
                </wp:inline>
              </w:drawing>
            </w:r>
          </w:p>
        </w:tc>
      </w:tr>
    </w:tbl>
    <w:p w:rsidR="006709CC" w:rsidRPr="00EE2CD2" w:rsidRDefault="006709CC" w:rsidP="00EE2CD2">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 w:eastAsia="ja-JP"/>
        </w:rPr>
      </w:pPr>
      <w:r w:rsidRPr="00EE2CD2">
        <w:rPr>
          <w:rFonts w:ascii="Times New Roman" w:eastAsia="MS Mincho" w:hAnsi="Times New Roman" w:cs="Times New Roman"/>
          <w:bCs/>
          <w:sz w:val="24"/>
          <w:szCs w:val="24"/>
          <w:lang w:val="es-ES" w:eastAsia="ja-JP"/>
        </w:rPr>
        <w:t xml:space="preserve">El mercado eléctrico regional (MER) está conformado por Nicaragua, Guatemala, El Salvador, Honduras, Costa Rica y Panamá.  </w:t>
      </w:r>
      <w:r w:rsidRPr="00EE2CD2">
        <w:rPr>
          <w:rFonts w:ascii="Times New Roman" w:eastAsia="MS Mincho" w:hAnsi="Times New Roman" w:cs="Times New Roman"/>
          <w:bCs/>
          <w:sz w:val="24"/>
          <w:szCs w:val="24"/>
          <w:lang w:val="es-ES_tradnl" w:eastAsia="ja-JP"/>
        </w:rPr>
        <w:t xml:space="preserve">El MER se encuentra en pleno funcionamiento y las transacciones comerciales se han venido incrementando desde </w:t>
      </w:r>
      <w:r w:rsidR="00901AE4" w:rsidRPr="00EE2CD2">
        <w:rPr>
          <w:rFonts w:ascii="Times New Roman" w:eastAsia="MS Mincho" w:hAnsi="Times New Roman" w:cs="Times New Roman"/>
          <w:bCs/>
          <w:sz w:val="24"/>
          <w:szCs w:val="24"/>
          <w:lang w:val="es-ES_tradnl" w:eastAsia="ja-JP"/>
        </w:rPr>
        <w:t>su implementación</w:t>
      </w:r>
      <w:r w:rsidRPr="00EE2CD2">
        <w:rPr>
          <w:rFonts w:ascii="Times New Roman" w:eastAsia="MS Mincho" w:hAnsi="Times New Roman" w:cs="Times New Roman"/>
          <w:bCs/>
          <w:sz w:val="24"/>
          <w:szCs w:val="24"/>
          <w:lang w:val="es-ES_tradnl" w:eastAsia="ja-JP"/>
        </w:rPr>
        <w:t xml:space="preserve"> (mostrando</w:t>
      </w:r>
      <w:r w:rsidR="00901AE4" w:rsidRPr="00EE2CD2">
        <w:rPr>
          <w:rFonts w:ascii="Times New Roman" w:eastAsia="MS Mincho" w:hAnsi="Times New Roman" w:cs="Times New Roman"/>
          <w:bCs/>
          <w:sz w:val="24"/>
          <w:szCs w:val="24"/>
          <w:lang w:val="es-ES_tradnl" w:eastAsia="ja-JP"/>
        </w:rPr>
        <w:t xml:space="preserve"> un</w:t>
      </w:r>
      <w:r w:rsidRPr="00EE2CD2">
        <w:rPr>
          <w:rFonts w:ascii="Times New Roman" w:eastAsia="MS Mincho" w:hAnsi="Times New Roman" w:cs="Times New Roman"/>
          <w:bCs/>
          <w:sz w:val="24"/>
          <w:szCs w:val="24"/>
          <w:lang w:val="es-ES_tradnl" w:eastAsia="ja-JP"/>
        </w:rPr>
        <w:t xml:space="preserve"> crecimiento de alrededor de un 355% del volumen de transacciones interanuales en el MER entre junio 2013 y diciembre 2015). </w:t>
      </w:r>
      <w:r w:rsidRPr="00EE2CD2">
        <w:rPr>
          <w:rFonts w:ascii="Times New Roman" w:eastAsia="MS Mincho" w:hAnsi="Times New Roman" w:cs="Times New Roman"/>
          <w:bCs/>
          <w:sz w:val="24"/>
          <w:szCs w:val="24"/>
          <w:lang w:val="es-ES" w:eastAsia="ja-JP"/>
        </w:rPr>
        <w:t xml:space="preserve">Hasta ahora, Guatemala y Costa Rica han sido los exportadores más activos, mientras que El Salvador y Costa Rica se han destacado como los principales importadores. </w:t>
      </w:r>
    </w:p>
    <w:p w:rsidR="00D627E9" w:rsidRDefault="006709CC" w:rsidP="00D627E9">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 w:eastAsia="ja-JP"/>
        </w:rPr>
      </w:pPr>
      <w:r w:rsidRPr="00D627E9">
        <w:rPr>
          <w:rFonts w:ascii="Times New Roman" w:eastAsia="MS Mincho" w:hAnsi="Times New Roman" w:cs="Times New Roman"/>
          <w:bCs/>
          <w:sz w:val="24"/>
          <w:szCs w:val="24"/>
          <w:lang w:val="es-ES" w:eastAsia="ja-JP"/>
        </w:rPr>
        <w:t xml:space="preserve">Nicaragua juega un papel de gran importancia dentro del SIEPAC, puesto que es el punto central para asegurar las transferencias de electricidad entre los países del </w:t>
      </w:r>
      <w:r w:rsidR="00F46DEC">
        <w:rPr>
          <w:rFonts w:ascii="Times New Roman" w:eastAsia="MS Mincho" w:hAnsi="Times New Roman" w:cs="Times New Roman"/>
          <w:bCs/>
          <w:sz w:val="24"/>
          <w:szCs w:val="24"/>
          <w:lang w:val="es-ES" w:eastAsia="ja-JP"/>
        </w:rPr>
        <w:t>N</w:t>
      </w:r>
      <w:r w:rsidRPr="00D627E9">
        <w:rPr>
          <w:rFonts w:ascii="Times New Roman" w:eastAsia="MS Mincho" w:hAnsi="Times New Roman" w:cs="Times New Roman"/>
          <w:bCs/>
          <w:sz w:val="24"/>
          <w:szCs w:val="24"/>
          <w:lang w:val="es-ES" w:eastAsia="ja-JP"/>
        </w:rPr>
        <w:t xml:space="preserve">orte de Centroamérica (Guatemala, El Salvador y Honduras), y los ubicados en el </w:t>
      </w:r>
      <w:r w:rsidR="00F46DEC">
        <w:rPr>
          <w:rFonts w:ascii="Times New Roman" w:eastAsia="MS Mincho" w:hAnsi="Times New Roman" w:cs="Times New Roman"/>
          <w:bCs/>
          <w:sz w:val="24"/>
          <w:szCs w:val="24"/>
          <w:lang w:val="es-ES" w:eastAsia="ja-JP"/>
        </w:rPr>
        <w:t>S</w:t>
      </w:r>
      <w:r w:rsidRPr="00D627E9">
        <w:rPr>
          <w:rFonts w:ascii="Times New Roman" w:eastAsia="MS Mincho" w:hAnsi="Times New Roman" w:cs="Times New Roman"/>
          <w:bCs/>
          <w:sz w:val="24"/>
          <w:szCs w:val="24"/>
          <w:lang w:val="es-ES" w:eastAsia="ja-JP"/>
        </w:rPr>
        <w:t xml:space="preserve">ur (Costa Rica y Panamá).  </w:t>
      </w:r>
      <w:r w:rsidR="00D627E9" w:rsidRPr="00D627E9">
        <w:rPr>
          <w:rFonts w:ascii="Times New Roman" w:eastAsia="MS Mincho" w:hAnsi="Times New Roman" w:cs="Times New Roman"/>
          <w:bCs/>
          <w:sz w:val="24"/>
          <w:szCs w:val="24"/>
          <w:lang w:val="es-ES" w:eastAsia="ja-JP"/>
        </w:rPr>
        <w:t xml:space="preserve">Sin embargo, </w:t>
      </w:r>
      <w:r w:rsidR="00FB673D">
        <w:rPr>
          <w:rFonts w:ascii="Times New Roman" w:eastAsia="MS Mincho" w:hAnsi="Times New Roman" w:cs="Times New Roman"/>
          <w:bCs/>
          <w:sz w:val="24"/>
          <w:szCs w:val="24"/>
          <w:lang w:val="es-ES" w:eastAsia="ja-JP"/>
        </w:rPr>
        <w:t>la</w:t>
      </w:r>
      <w:r w:rsidR="00D627E9" w:rsidRPr="00D627E9">
        <w:rPr>
          <w:rFonts w:ascii="Times New Roman" w:eastAsia="MS Mincho" w:hAnsi="Times New Roman" w:cs="Times New Roman"/>
          <w:bCs/>
          <w:sz w:val="24"/>
          <w:szCs w:val="24"/>
          <w:lang w:val="es-ES" w:eastAsia="ja-JP"/>
        </w:rPr>
        <w:t xml:space="preserve"> </w:t>
      </w:r>
      <w:r w:rsidRPr="00D627E9">
        <w:rPr>
          <w:rFonts w:ascii="Times New Roman" w:eastAsia="MS Mincho" w:hAnsi="Times New Roman" w:cs="Times New Roman"/>
          <w:bCs/>
          <w:sz w:val="24"/>
          <w:szCs w:val="24"/>
          <w:lang w:val="es-ES" w:eastAsia="ja-JP"/>
        </w:rPr>
        <w:t xml:space="preserve">participación de Nicaragua dentro del MER ha sido menor en comparación con sus vecinos centroamericanos, con transacciones por debajo de los 15 GWh por mes, como se observa en las Figura 1 y 2. </w:t>
      </w:r>
    </w:p>
    <w:p w:rsidR="00FF79D5" w:rsidRDefault="00E27BE5" w:rsidP="00E27BE5">
      <w:pPr>
        <w:tabs>
          <w:tab w:val="left" w:pos="6887"/>
        </w:tabs>
        <w:jc w:val="center"/>
        <w:rPr>
          <w:rFonts w:ascii="Times New Roman" w:eastAsia="MS Mincho" w:hAnsi="Times New Roman" w:cs="Times New Roman"/>
          <w:bCs/>
          <w:sz w:val="24"/>
          <w:szCs w:val="24"/>
          <w:lang w:val="es-ES" w:eastAsia="ja-JP"/>
        </w:rPr>
      </w:pPr>
      <w:r w:rsidRPr="00E27BE5">
        <w:rPr>
          <w:rFonts w:ascii="Times New Roman" w:eastAsia="MS Mincho" w:hAnsi="Times New Roman" w:cs="Times New Roman"/>
          <w:b/>
          <w:bCs/>
          <w:noProof/>
          <w:sz w:val="24"/>
          <w:lang w:val="es-ES_tradnl"/>
        </w:rPr>
        <w:t>Figura 2: La participación de Nicaragua en el MER</w:t>
      </w:r>
    </w:p>
    <w:p w:rsidR="00FF79D5" w:rsidRDefault="00E27BE5" w:rsidP="00E27BE5">
      <w:pPr>
        <w:autoSpaceDE w:val="0"/>
        <w:autoSpaceDN w:val="0"/>
        <w:adjustRightInd w:val="0"/>
        <w:spacing w:before="120" w:after="120" w:line="240" w:lineRule="auto"/>
        <w:ind w:left="547"/>
        <w:jc w:val="center"/>
        <w:rPr>
          <w:rFonts w:ascii="Times New Roman" w:eastAsia="MS Mincho" w:hAnsi="Times New Roman" w:cs="Times New Roman"/>
          <w:bCs/>
          <w:sz w:val="24"/>
          <w:szCs w:val="24"/>
          <w:lang w:val="es-ES" w:eastAsia="ja-JP"/>
        </w:rPr>
      </w:pPr>
      <w:r>
        <w:rPr>
          <w:rFonts w:eastAsia="MS Mincho"/>
          <w:bCs/>
          <w:noProof/>
        </w:rPr>
        <w:lastRenderedPageBreak/>
        <w:drawing>
          <wp:inline distT="0" distB="0" distL="0" distR="0" wp14:anchorId="29193AFE" wp14:editId="47F8EB8E">
            <wp:extent cx="4678964" cy="2552369"/>
            <wp:effectExtent l="0" t="0" r="762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2562" cy="2565242"/>
                    </a:xfrm>
                    <a:prstGeom prst="rect">
                      <a:avLst/>
                    </a:prstGeom>
                    <a:noFill/>
                  </pic:spPr>
                </pic:pic>
              </a:graphicData>
            </a:graphic>
          </wp:inline>
        </w:drawing>
      </w:r>
    </w:p>
    <w:p w:rsidR="00FF79D5" w:rsidRDefault="00FF79D5" w:rsidP="00FF79D5">
      <w:pPr>
        <w:autoSpaceDE w:val="0"/>
        <w:autoSpaceDN w:val="0"/>
        <w:adjustRightInd w:val="0"/>
        <w:spacing w:before="120" w:after="120" w:line="240" w:lineRule="auto"/>
        <w:ind w:left="547"/>
        <w:jc w:val="both"/>
        <w:rPr>
          <w:rFonts w:ascii="Times New Roman" w:eastAsia="MS Mincho" w:hAnsi="Times New Roman" w:cs="Times New Roman"/>
          <w:bCs/>
          <w:sz w:val="24"/>
          <w:szCs w:val="24"/>
          <w:lang w:val="es-ES" w:eastAsia="ja-JP"/>
        </w:rPr>
      </w:pPr>
    </w:p>
    <w:p w:rsidR="00377AC5" w:rsidRPr="00E27BE5" w:rsidRDefault="00E27BE5" w:rsidP="00E27BE5">
      <w:pPr>
        <w:tabs>
          <w:tab w:val="left" w:pos="6887"/>
        </w:tabs>
        <w:jc w:val="center"/>
        <w:rPr>
          <w:rFonts w:ascii="Times New Roman" w:eastAsia="MS Mincho" w:hAnsi="Times New Roman" w:cs="Times New Roman"/>
          <w:bCs/>
          <w:sz w:val="28"/>
          <w:szCs w:val="24"/>
          <w:lang w:val="es-ES_tradnl" w:eastAsia="ja-JP"/>
        </w:rPr>
      </w:pPr>
      <w:r w:rsidRPr="00E27BE5">
        <w:rPr>
          <w:rFonts w:ascii="Times New Roman" w:eastAsia="MS Mincho" w:hAnsi="Times New Roman" w:cs="Times New Roman"/>
          <w:b/>
          <w:bCs/>
          <w:noProof/>
          <w:sz w:val="24"/>
          <w:lang w:val="es-ES_tradnl"/>
        </w:rPr>
        <w:t>Figura 3:</w:t>
      </w:r>
      <w:r w:rsidRPr="00E27BE5">
        <w:rPr>
          <w:rFonts w:ascii="Times New Roman" w:hAnsi="Times New Roman" w:cs="Times New Roman"/>
          <w:sz w:val="24"/>
          <w:lang w:val="es-ES_tradnl"/>
        </w:rPr>
        <w:t xml:space="preserve"> </w:t>
      </w:r>
      <w:r w:rsidRPr="00E27BE5">
        <w:rPr>
          <w:rFonts w:ascii="Times New Roman" w:eastAsia="MS Mincho" w:hAnsi="Times New Roman" w:cs="Times New Roman"/>
          <w:b/>
          <w:bCs/>
          <w:noProof/>
          <w:sz w:val="24"/>
          <w:lang w:val="es-ES_tradnl"/>
        </w:rPr>
        <w:t>Utilización del MER por mes 2014 y 2015 (la suma de importaciones y exportaciones al MER)</w:t>
      </w:r>
    </w:p>
    <w:p w:rsidR="00E27BE5" w:rsidRDefault="00E27BE5" w:rsidP="00E27BE5">
      <w:pPr>
        <w:autoSpaceDE w:val="0"/>
        <w:autoSpaceDN w:val="0"/>
        <w:adjustRightInd w:val="0"/>
        <w:spacing w:after="120" w:line="240" w:lineRule="auto"/>
        <w:ind w:left="540"/>
        <w:jc w:val="center"/>
        <w:rPr>
          <w:rFonts w:ascii="Times New Roman" w:eastAsia="MS Mincho" w:hAnsi="Times New Roman" w:cs="Times New Roman"/>
          <w:bCs/>
          <w:sz w:val="24"/>
          <w:szCs w:val="24"/>
          <w:lang w:val="es-ES_tradnl" w:eastAsia="ja-JP"/>
        </w:rPr>
      </w:pPr>
      <w:r>
        <w:rPr>
          <w:rFonts w:eastAsia="MS Mincho"/>
          <w:bCs/>
          <w:noProof/>
        </w:rPr>
        <w:drawing>
          <wp:inline distT="0" distB="0" distL="0" distR="0" wp14:anchorId="337172CA" wp14:editId="224D7ECF">
            <wp:extent cx="4818491" cy="2707172"/>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367" cy="2709350"/>
                    </a:xfrm>
                    <a:prstGeom prst="rect">
                      <a:avLst/>
                    </a:prstGeom>
                    <a:noFill/>
                  </pic:spPr>
                </pic:pic>
              </a:graphicData>
            </a:graphic>
          </wp:inline>
        </w:drawing>
      </w:r>
    </w:p>
    <w:p w:rsidR="00FF79D5" w:rsidRDefault="00FF79D5" w:rsidP="00711751">
      <w:pPr>
        <w:autoSpaceDE w:val="0"/>
        <w:autoSpaceDN w:val="0"/>
        <w:adjustRightInd w:val="0"/>
        <w:spacing w:after="120" w:line="240" w:lineRule="auto"/>
        <w:ind w:left="540"/>
        <w:jc w:val="both"/>
        <w:rPr>
          <w:rFonts w:ascii="Times New Roman" w:eastAsia="MS Mincho" w:hAnsi="Times New Roman" w:cs="Times New Roman"/>
          <w:bCs/>
          <w:sz w:val="24"/>
          <w:szCs w:val="24"/>
          <w:lang w:val="es-ES_tradnl" w:eastAsia="ja-JP"/>
        </w:rPr>
      </w:pPr>
    </w:p>
    <w:p w:rsidR="00FF79D5" w:rsidRPr="00E27BE5" w:rsidRDefault="00FF79D5" w:rsidP="00FF79D5">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 w:eastAsia="ja-JP"/>
        </w:rPr>
      </w:pPr>
      <w:r w:rsidRPr="00FF79D5">
        <w:rPr>
          <w:rFonts w:ascii="Times New Roman" w:eastAsia="MS Mincho" w:hAnsi="Times New Roman" w:cs="Times New Roman"/>
          <w:bCs/>
          <w:sz w:val="24"/>
          <w:szCs w:val="24"/>
          <w:lang w:val="es-ES_tradnl" w:eastAsia="ja-JP"/>
        </w:rPr>
        <w:t xml:space="preserve">De acuerdo con el </w:t>
      </w:r>
      <w:r w:rsidR="00964C0C">
        <w:rPr>
          <w:rFonts w:ascii="Times New Roman" w:eastAsia="MS Mincho" w:hAnsi="Times New Roman" w:cs="Times New Roman"/>
          <w:bCs/>
          <w:sz w:val="24"/>
          <w:szCs w:val="24"/>
          <w:lang w:val="es-ES_tradnl" w:eastAsia="ja-JP"/>
        </w:rPr>
        <w:t xml:space="preserve">Ente Operador </w:t>
      </w:r>
      <w:r w:rsidR="00FF417C">
        <w:rPr>
          <w:rFonts w:ascii="Times New Roman" w:eastAsia="MS Mincho" w:hAnsi="Times New Roman" w:cs="Times New Roman"/>
          <w:bCs/>
          <w:sz w:val="24"/>
          <w:szCs w:val="24"/>
          <w:lang w:val="es-ES_tradnl" w:eastAsia="ja-JP"/>
        </w:rPr>
        <w:t>Regional</w:t>
      </w:r>
      <w:r w:rsidR="00964C0C">
        <w:rPr>
          <w:rFonts w:ascii="Times New Roman" w:eastAsia="MS Mincho" w:hAnsi="Times New Roman" w:cs="Times New Roman"/>
          <w:bCs/>
          <w:sz w:val="24"/>
          <w:szCs w:val="24"/>
          <w:lang w:val="es-ES_tradnl" w:eastAsia="ja-JP"/>
        </w:rPr>
        <w:t xml:space="preserve"> (</w:t>
      </w:r>
      <w:r w:rsidRPr="00FF79D5">
        <w:rPr>
          <w:rFonts w:ascii="Times New Roman" w:eastAsia="MS Mincho" w:hAnsi="Times New Roman" w:cs="Times New Roman"/>
          <w:bCs/>
          <w:sz w:val="24"/>
          <w:szCs w:val="24"/>
          <w:lang w:val="es-ES_tradnl" w:eastAsia="ja-JP"/>
        </w:rPr>
        <w:t>EOR</w:t>
      </w:r>
      <w:r w:rsidR="00964C0C">
        <w:rPr>
          <w:rFonts w:ascii="Times New Roman" w:eastAsia="MS Mincho" w:hAnsi="Times New Roman" w:cs="Times New Roman"/>
          <w:bCs/>
          <w:sz w:val="24"/>
          <w:szCs w:val="24"/>
          <w:lang w:val="es-ES_tradnl" w:eastAsia="ja-JP"/>
        </w:rPr>
        <w:t>)</w:t>
      </w:r>
      <w:r w:rsidRPr="00FF79D5">
        <w:rPr>
          <w:rFonts w:ascii="Times New Roman" w:eastAsia="MS Mincho" w:hAnsi="Times New Roman" w:cs="Times New Roman"/>
          <w:bCs/>
          <w:sz w:val="24"/>
          <w:szCs w:val="24"/>
          <w:lang w:val="es-ES_tradnl" w:eastAsia="ja-JP"/>
        </w:rPr>
        <w:t xml:space="preserve">, durante el segundo semestre de 2014 la capacidad de transporte del SIEPAC entre Honduras y Nicaragua para importar o exportar energía fue 200MW y 210MW, respectivamente, mientras que la capacidad de transacciones entre Nicaragua y Costa Rica se redujo a 210MW para exportar y a 150MW para importar. </w:t>
      </w:r>
      <w:r w:rsidR="00FB673D">
        <w:rPr>
          <w:rFonts w:ascii="Times New Roman" w:eastAsia="MS Mincho" w:hAnsi="Times New Roman" w:cs="Times New Roman"/>
          <w:bCs/>
          <w:sz w:val="24"/>
          <w:szCs w:val="24"/>
          <w:lang w:val="es-ES_tradnl" w:eastAsia="ja-JP"/>
        </w:rPr>
        <w:t>En este contexto s</w:t>
      </w:r>
      <w:r w:rsidRPr="00FF79D5">
        <w:rPr>
          <w:rFonts w:ascii="Times New Roman" w:eastAsia="MS Mincho" w:hAnsi="Times New Roman" w:cs="Times New Roman"/>
          <w:bCs/>
          <w:sz w:val="24"/>
          <w:szCs w:val="24"/>
          <w:lang w:val="es-ES_tradnl" w:eastAsia="ja-JP"/>
        </w:rPr>
        <w:t>e identificó una serie de proyectos de infraestructura eléctrica que refuerzan las redes nacionales para lograr la plena disponibilidad de la Línea del SIEPAC.</w:t>
      </w:r>
    </w:p>
    <w:p w:rsidR="00E27BE5" w:rsidRPr="00FF79D5" w:rsidRDefault="00E27BE5" w:rsidP="00E27BE5">
      <w:pPr>
        <w:autoSpaceDE w:val="0"/>
        <w:autoSpaceDN w:val="0"/>
        <w:adjustRightInd w:val="0"/>
        <w:spacing w:after="120" w:line="240" w:lineRule="auto"/>
        <w:ind w:left="547"/>
        <w:jc w:val="both"/>
        <w:rPr>
          <w:rFonts w:ascii="Times New Roman" w:eastAsia="MS Mincho" w:hAnsi="Times New Roman" w:cs="Times New Roman"/>
          <w:bCs/>
          <w:sz w:val="24"/>
          <w:szCs w:val="24"/>
          <w:lang w:val="es-ES" w:eastAsia="ja-JP"/>
        </w:rPr>
      </w:pPr>
    </w:p>
    <w:p w:rsidR="00B72E00" w:rsidRPr="00F26D17" w:rsidRDefault="005736F0" w:rsidP="00FF79D5">
      <w:pPr>
        <w:keepNext/>
        <w:keepLines/>
        <w:numPr>
          <w:ilvl w:val="0"/>
          <w:numId w:val="2"/>
        </w:numPr>
        <w:spacing w:before="120" w:after="120" w:line="240" w:lineRule="auto"/>
        <w:ind w:left="450" w:hanging="450"/>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lastRenderedPageBreak/>
        <w:t>Principales aspectos</w:t>
      </w:r>
      <w:r w:rsidR="00B31F2A" w:rsidRPr="00F26D17">
        <w:rPr>
          <w:rFonts w:ascii="Times New Roman" w:eastAsia="MS Gothic" w:hAnsi="Times New Roman" w:cs="Times New Roman"/>
          <w:b/>
          <w:bCs/>
          <w:color w:val="4F81BD"/>
          <w:sz w:val="24"/>
          <w:szCs w:val="24"/>
          <w:lang w:val="es-ES_tradnl"/>
        </w:rPr>
        <w:t xml:space="preserve"> considerados para la clasificación </w:t>
      </w:r>
      <w:r w:rsidR="000E0781">
        <w:rPr>
          <w:rFonts w:ascii="Times New Roman" w:eastAsia="MS Gothic" w:hAnsi="Times New Roman" w:cs="Times New Roman"/>
          <w:b/>
          <w:bCs/>
          <w:color w:val="4F81BD"/>
          <w:sz w:val="24"/>
          <w:szCs w:val="24"/>
          <w:lang w:val="es-ES_tradnl"/>
        </w:rPr>
        <w:t xml:space="preserve">de </w:t>
      </w:r>
      <w:r w:rsidR="00D90BB7">
        <w:rPr>
          <w:rFonts w:ascii="Times New Roman" w:eastAsia="MS Gothic" w:hAnsi="Times New Roman" w:cs="Times New Roman"/>
          <w:b/>
          <w:bCs/>
          <w:color w:val="4F81BD"/>
          <w:sz w:val="24"/>
          <w:szCs w:val="24"/>
          <w:lang w:val="es-ES_tradnl"/>
        </w:rPr>
        <w:t>NI</w:t>
      </w:r>
      <w:r w:rsidR="000E0781">
        <w:rPr>
          <w:rFonts w:ascii="Times New Roman" w:eastAsia="MS Gothic" w:hAnsi="Times New Roman" w:cs="Times New Roman"/>
          <w:b/>
          <w:bCs/>
          <w:color w:val="4F81BD"/>
          <w:sz w:val="24"/>
          <w:szCs w:val="24"/>
          <w:lang w:val="es-ES_tradnl"/>
        </w:rPr>
        <w:t>-L1</w:t>
      </w:r>
      <w:r w:rsidR="00D90BB7">
        <w:rPr>
          <w:rFonts w:ascii="Times New Roman" w:eastAsia="MS Gothic" w:hAnsi="Times New Roman" w:cs="Times New Roman"/>
          <w:b/>
          <w:bCs/>
          <w:color w:val="4F81BD"/>
          <w:sz w:val="24"/>
          <w:szCs w:val="24"/>
          <w:lang w:val="es-ES_tradnl"/>
        </w:rPr>
        <w:t>094</w:t>
      </w:r>
      <w:r w:rsidR="000E0781">
        <w:rPr>
          <w:rFonts w:ascii="Times New Roman" w:eastAsia="MS Gothic" w:hAnsi="Times New Roman" w:cs="Times New Roman"/>
          <w:b/>
          <w:bCs/>
          <w:color w:val="4F81BD"/>
          <w:sz w:val="24"/>
          <w:szCs w:val="24"/>
          <w:lang w:val="es-ES_tradnl"/>
        </w:rPr>
        <w:t xml:space="preserve">, como </w:t>
      </w:r>
      <w:r w:rsidR="00B31F2A" w:rsidRPr="00F26D17">
        <w:rPr>
          <w:rFonts w:ascii="Times New Roman" w:eastAsia="MS Gothic" w:hAnsi="Times New Roman" w:cs="Times New Roman"/>
          <w:b/>
          <w:bCs/>
          <w:color w:val="4F81BD"/>
          <w:sz w:val="24"/>
          <w:szCs w:val="24"/>
          <w:lang w:val="es-ES_tradnl"/>
        </w:rPr>
        <w:t xml:space="preserve">operación de integración regional </w:t>
      </w:r>
    </w:p>
    <w:p w:rsidR="00FF79D5" w:rsidRPr="00FB673D" w:rsidRDefault="00FD1AC7" w:rsidP="00FB673D">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
          <w:bCs/>
          <w:sz w:val="24"/>
          <w:szCs w:val="24"/>
          <w:lang w:val="es-ES" w:eastAsia="ja-JP"/>
        </w:rPr>
      </w:pPr>
      <w:r>
        <w:rPr>
          <w:rFonts w:ascii="Times New Roman" w:eastAsia="MS Mincho" w:hAnsi="Times New Roman" w:cs="Times New Roman"/>
          <w:bCs/>
          <w:sz w:val="24"/>
          <w:szCs w:val="24"/>
          <w:lang w:val="es-ES_tradnl" w:eastAsia="ja-JP"/>
        </w:rPr>
        <w:t xml:space="preserve">La operación </w:t>
      </w:r>
      <w:r w:rsidR="00FF79D5">
        <w:rPr>
          <w:rFonts w:ascii="Times New Roman" w:eastAsia="MS Mincho" w:hAnsi="Times New Roman" w:cs="Times New Roman"/>
          <w:bCs/>
          <w:sz w:val="24"/>
          <w:szCs w:val="24"/>
          <w:lang w:val="es-ES_tradnl" w:eastAsia="ja-JP"/>
        </w:rPr>
        <w:t>NI</w:t>
      </w:r>
      <w:r>
        <w:rPr>
          <w:rFonts w:ascii="Times New Roman" w:eastAsia="MS Mincho" w:hAnsi="Times New Roman" w:cs="Times New Roman"/>
          <w:bCs/>
          <w:sz w:val="24"/>
          <w:szCs w:val="24"/>
          <w:lang w:val="es-ES_tradnl" w:eastAsia="ja-JP"/>
        </w:rPr>
        <w:t>-L1</w:t>
      </w:r>
      <w:r w:rsidR="00A90A1E">
        <w:rPr>
          <w:rFonts w:ascii="Times New Roman" w:eastAsia="MS Mincho" w:hAnsi="Times New Roman" w:cs="Times New Roman"/>
          <w:bCs/>
          <w:sz w:val="24"/>
          <w:szCs w:val="24"/>
          <w:lang w:val="es-ES_tradnl" w:eastAsia="ja-JP"/>
        </w:rPr>
        <w:t>094</w:t>
      </w:r>
      <w:r w:rsidR="00761E81" w:rsidRPr="008F1482">
        <w:rPr>
          <w:rFonts w:ascii="Times New Roman" w:eastAsia="MS Mincho" w:hAnsi="Times New Roman" w:cs="Times New Roman"/>
          <w:bCs/>
          <w:sz w:val="24"/>
          <w:szCs w:val="24"/>
          <w:lang w:val="es-ES_tradnl" w:eastAsia="ja-JP"/>
        </w:rPr>
        <w:t xml:space="preserve">, </w:t>
      </w:r>
      <w:r w:rsidR="00FB4727" w:rsidRPr="008F1482">
        <w:rPr>
          <w:rFonts w:ascii="Times New Roman" w:eastAsia="MS Mincho" w:hAnsi="Times New Roman" w:cs="Times New Roman"/>
          <w:bCs/>
          <w:sz w:val="24"/>
          <w:szCs w:val="24"/>
          <w:lang w:val="es-ES_tradnl" w:eastAsia="ja-JP"/>
        </w:rPr>
        <w:t>tiene como objetivo</w:t>
      </w:r>
      <w:r w:rsidR="007D33D7">
        <w:rPr>
          <w:rFonts w:ascii="Times New Roman" w:eastAsia="MS Mincho" w:hAnsi="Times New Roman" w:cs="Times New Roman"/>
          <w:bCs/>
          <w:sz w:val="24"/>
          <w:szCs w:val="24"/>
          <w:lang w:val="es-ES_tradnl" w:eastAsia="ja-JP"/>
        </w:rPr>
        <w:t>:</w:t>
      </w:r>
      <w:r w:rsidR="00FB673D">
        <w:rPr>
          <w:rFonts w:ascii="Times New Roman" w:eastAsia="MS Mincho" w:hAnsi="Times New Roman" w:cs="Times New Roman"/>
          <w:bCs/>
          <w:sz w:val="24"/>
          <w:szCs w:val="24"/>
          <w:lang w:val="es-ES_tradnl" w:eastAsia="ja-JP"/>
        </w:rPr>
        <w:t xml:space="preserve"> </w:t>
      </w:r>
      <w:r w:rsidR="00FF79D5" w:rsidRPr="00FB673D">
        <w:rPr>
          <w:rFonts w:ascii="Times New Roman" w:eastAsia="MS Mincho" w:hAnsi="Times New Roman" w:cs="Times New Roman"/>
          <w:bCs/>
          <w:sz w:val="24"/>
          <w:szCs w:val="24"/>
          <w:lang w:val="es-ES_tradnl" w:eastAsia="ja-JP"/>
        </w:rPr>
        <w:t>contribuir a la sostenibilidad del sector eléctrico de Nicaragua a través de: (i) desarrollar la exploración del potencial geotérmico para diversificar la matriz energética; e (ii) incrementar la capacidad de transmisión nacional y regional mediante refuerzos en la red. Los objetivos específicos del programa incluyen: (i) desarrollar un campo geotérmico explorado a nivel de factibilidad mitigando riesgos y potenciando oportunidades firmes de inversión para su implementación; (ii) diseñar e implementar un mecanismo de mitigación de riesgos para proyectos geotérmicos; (iii) incrementar la capacidad de transmisión de carga para atender la demanda de electricidad, garantizando el suministro continuo de energía eléctrica en zonas donde la infraestructura de transmisión se encuentra al límite de su capacidad; y (v) optimizar la capacidad de carga de la Línea Transmisión (L/T) regional en los tramos ubicados en Nicaragua.</w:t>
      </w:r>
    </w:p>
    <w:p w:rsidR="006A7702" w:rsidRDefault="008F1482" w:rsidP="00A90A1E">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430ACC">
        <w:rPr>
          <w:rFonts w:ascii="Times New Roman" w:eastAsia="MS Mincho" w:hAnsi="Times New Roman" w:cs="Times New Roman"/>
          <w:bCs/>
          <w:sz w:val="24"/>
          <w:szCs w:val="24"/>
          <w:lang w:val="es-ES_tradnl" w:eastAsia="ja-JP"/>
        </w:rPr>
        <w:t xml:space="preserve">Los objetivos del proyecto se reflejan en sus </w:t>
      </w:r>
      <w:r w:rsidR="00A90A1E">
        <w:rPr>
          <w:rFonts w:ascii="Times New Roman" w:eastAsia="MS Mincho" w:hAnsi="Times New Roman" w:cs="Times New Roman"/>
          <w:bCs/>
          <w:sz w:val="24"/>
          <w:szCs w:val="24"/>
          <w:lang w:val="es-ES_tradnl" w:eastAsia="ja-JP"/>
        </w:rPr>
        <w:t>dos</w:t>
      </w:r>
      <w:r w:rsidRPr="00430ACC">
        <w:rPr>
          <w:rFonts w:ascii="Times New Roman" w:eastAsia="MS Mincho" w:hAnsi="Times New Roman" w:cs="Times New Roman"/>
          <w:bCs/>
          <w:sz w:val="24"/>
          <w:szCs w:val="24"/>
          <w:lang w:val="es-ES_tradnl" w:eastAsia="ja-JP"/>
        </w:rPr>
        <w:t xml:space="preserve"> componentes:</w:t>
      </w:r>
      <w:r w:rsidR="000E0781" w:rsidRPr="00430ACC">
        <w:rPr>
          <w:rFonts w:ascii="Times New Roman" w:eastAsia="MS Mincho" w:hAnsi="Times New Roman" w:cs="Times New Roman"/>
          <w:bCs/>
          <w:sz w:val="24"/>
          <w:szCs w:val="24"/>
          <w:lang w:val="es-ES_tradnl" w:eastAsia="ja-JP"/>
        </w:rPr>
        <w:t xml:space="preserve"> </w:t>
      </w:r>
      <w:r w:rsidR="000E0781">
        <w:rPr>
          <w:rFonts w:ascii="Times New Roman" w:eastAsia="MS Mincho" w:hAnsi="Times New Roman" w:cs="Times New Roman"/>
          <w:bCs/>
          <w:sz w:val="24"/>
          <w:szCs w:val="24"/>
          <w:lang w:val="es-ES_tradnl" w:eastAsia="ja-JP"/>
        </w:rPr>
        <w:t xml:space="preserve">(i) </w:t>
      </w:r>
      <w:bookmarkStart w:id="1" w:name="OLE_LINK1"/>
      <w:bookmarkStart w:id="2" w:name="OLE_LINK2"/>
      <w:r w:rsidR="00FB4727" w:rsidRPr="000E0781">
        <w:rPr>
          <w:rFonts w:ascii="Times New Roman" w:eastAsia="MS Mincho" w:hAnsi="Times New Roman" w:cs="Times New Roman"/>
          <w:bCs/>
          <w:sz w:val="24"/>
          <w:szCs w:val="24"/>
          <w:lang w:val="es-ES_tradnl" w:eastAsia="ja-JP"/>
        </w:rPr>
        <w:t>Componente I</w:t>
      </w:r>
      <w:r w:rsidRPr="000E0781">
        <w:rPr>
          <w:rFonts w:ascii="Times New Roman" w:eastAsia="MS Mincho" w:hAnsi="Times New Roman" w:cs="Times New Roman"/>
          <w:bCs/>
          <w:sz w:val="24"/>
          <w:szCs w:val="24"/>
          <w:lang w:val="es-ES_tradnl" w:eastAsia="ja-JP"/>
        </w:rPr>
        <w:t xml:space="preserve"> - </w:t>
      </w:r>
      <w:r w:rsidR="00A90A1E" w:rsidRPr="00A90A1E">
        <w:rPr>
          <w:rFonts w:ascii="Times New Roman" w:eastAsia="MS Mincho" w:hAnsi="Times New Roman" w:cs="Times New Roman"/>
          <w:bCs/>
          <w:sz w:val="24"/>
          <w:szCs w:val="24"/>
          <w:lang w:val="es-ES_tradnl" w:eastAsia="ja-JP"/>
        </w:rPr>
        <w:t>Desarrollo Geotérmico</w:t>
      </w:r>
      <w:r w:rsidR="00A90A1E">
        <w:rPr>
          <w:rFonts w:ascii="Times New Roman" w:eastAsia="MS Mincho" w:hAnsi="Times New Roman" w:cs="Times New Roman"/>
          <w:bCs/>
          <w:sz w:val="24"/>
          <w:szCs w:val="24"/>
          <w:lang w:val="es-ES_tradnl" w:eastAsia="ja-JP"/>
        </w:rPr>
        <w:t xml:space="preserve"> y</w:t>
      </w:r>
      <w:r w:rsidR="000E0781" w:rsidRPr="000E0781">
        <w:rPr>
          <w:rFonts w:ascii="Times New Roman" w:eastAsia="MS Mincho" w:hAnsi="Times New Roman" w:cs="Times New Roman"/>
          <w:bCs/>
          <w:sz w:val="24"/>
          <w:szCs w:val="24"/>
          <w:lang w:val="es-ES_tradnl" w:eastAsia="ja-JP"/>
        </w:rPr>
        <w:t xml:space="preserve"> (ii) </w:t>
      </w:r>
      <w:r w:rsidR="00FB4727" w:rsidRPr="00430ACC">
        <w:rPr>
          <w:rFonts w:ascii="Times New Roman" w:eastAsia="MS Mincho" w:hAnsi="Times New Roman" w:cs="Times New Roman"/>
          <w:bCs/>
          <w:sz w:val="24"/>
          <w:szCs w:val="24"/>
          <w:lang w:val="es-ES_tradnl" w:eastAsia="ja-JP"/>
        </w:rPr>
        <w:t>Componente II</w:t>
      </w:r>
      <w:r w:rsidRPr="00430ACC">
        <w:rPr>
          <w:rFonts w:ascii="Times New Roman" w:eastAsia="MS Mincho" w:hAnsi="Times New Roman" w:cs="Times New Roman"/>
          <w:bCs/>
          <w:sz w:val="24"/>
          <w:szCs w:val="24"/>
          <w:lang w:val="es-ES_tradnl" w:eastAsia="ja-JP"/>
        </w:rPr>
        <w:t xml:space="preserve"> - </w:t>
      </w:r>
      <w:r w:rsidR="00A90A1E" w:rsidRPr="00A90A1E">
        <w:rPr>
          <w:rFonts w:ascii="Times New Roman" w:eastAsia="MS Mincho" w:hAnsi="Times New Roman" w:cs="Times New Roman"/>
          <w:bCs/>
          <w:sz w:val="24"/>
          <w:szCs w:val="24"/>
          <w:lang w:val="es-ES_tradnl" w:eastAsia="ja-JP"/>
        </w:rPr>
        <w:t>Mejoras en la infraestructura eléctrica de transmisión</w:t>
      </w:r>
      <w:bookmarkEnd w:id="1"/>
      <w:bookmarkEnd w:id="2"/>
      <w:r w:rsidR="00560704">
        <w:rPr>
          <w:rFonts w:ascii="Times New Roman" w:eastAsia="MS Mincho" w:hAnsi="Times New Roman" w:cs="Times New Roman"/>
          <w:bCs/>
          <w:sz w:val="24"/>
          <w:szCs w:val="24"/>
          <w:lang w:val="es-ES_tradnl" w:eastAsia="ja-JP"/>
        </w:rPr>
        <w:t xml:space="preserve">. Estando </w:t>
      </w:r>
      <w:r w:rsidR="00A90A1E">
        <w:rPr>
          <w:rFonts w:ascii="Times New Roman" w:eastAsia="MS Mincho" w:hAnsi="Times New Roman" w:cs="Times New Roman"/>
          <w:bCs/>
          <w:sz w:val="24"/>
          <w:szCs w:val="24"/>
          <w:lang w:val="es-ES_tradnl" w:eastAsia="ja-JP"/>
        </w:rPr>
        <w:t>el componente</w:t>
      </w:r>
      <w:r w:rsidR="00560704">
        <w:rPr>
          <w:rFonts w:ascii="Times New Roman" w:eastAsia="MS Mincho" w:hAnsi="Times New Roman" w:cs="Times New Roman"/>
          <w:bCs/>
          <w:sz w:val="24"/>
          <w:szCs w:val="24"/>
          <w:lang w:val="es-ES_tradnl" w:eastAsia="ja-JP"/>
        </w:rPr>
        <w:t xml:space="preserve"> II</w:t>
      </w:r>
      <w:r w:rsidR="00A90A1E">
        <w:rPr>
          <w:rFonts w:ascii="Times New Roman" w:eastAsia="MS Mincho" w:hAnsi="Times New Roman" w:cs="Times New Roman"/>
          <w:bCs/>
          <w:sz w:val="24"/>
          <w:szCs w:val="24"/>
          <w:lang w:val="es-ES_tradnl" w:eastAsia="ja-JP"/>
        </w:rPr>
        <w:t>,</w:t>
      </w:r>
      <w:r w:rsidR="00560704">
        <w:rPr>
          <w:rFonts w:ascii="Times New Roman" w:eastAsia="MS Mincho" w:hAnsi="Times New Roman" w:cs="Times New Roman"/>
          <w:bCs/>
          <w:sz w:val="24"/>
          <w:szCs w:val="24"/>
          <w:lang w:val="es-ES_tradnl" w:eastAsia="ja-JP"/>
        </w:rPr>
        <w:t xml:space="preserve"> orientado a consolidar sistemas de interconexión regional.</w:t>
      </w:r>
    </w:p>
    <w:p w:rsidR="007D33D7" w:rsidRPr="006640B2" w:rsidRDefault="006640B2" w:rsidP="00A90A1E">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43790D">
        <w:rPr>
          <w:rFonts w:ascii="Times New Roman" w:hAnsi="Times New Roman" w:cs="Times New Roman"/>
          <w:sz w:val="24"/>
          <w:szCs w:val="24"/>
          <w:lang w:val="es-ES_tradnl"/>
        </w:rPr>
        <w:t>El Componente I: financiará la</w:t>
      </w:r>
      <w:r w:rsidRPr="0043790D">
        <w:rPr>
          <w:rFonts w:ascii="Times New Roman" w:hAnsi="Times New Roman" w:cs="Times New Roman"/>
          <w:i/>
          <w:sz w:val="24"/>
          <w:szCs w:val="24"/>
          <w:lang w:val="es-ES_tradnl"/>
        </w:rPr>
        <w:t xml:space="preserve"> (</w:t>
      </w:r>
      <w:r w:rsidR="00DA43C0">
        <w:rPr>
          <w:rFonts w:ascii="Times New Roman" w:hAnsi="Times New Roman" w:cs="Times New Roman"/>
          <w:i/>
          <w:sz w:val="24"/>
          <w:szCs w:val="24"/>
          <w:lang w:val="es-ES_tradnl"/>
        </w:rPr>
        <w:t>a</w:t>
      </w:r>
      <w:r w:rsidRPr="0043790D">
        <w:rPr>
          <w:rFonts w:ascii="Times New Roman" w:hAnsi="Times New Roman" w:cs="Times New Roman"/>
          <w:i/>
          <w:sz w:val="24"/>
          <w:szCs w:val="24"/>
          <w:lang w:val="es-ES_tradnl"/>
        </w:rPr>
        <w:t xml:space="preserve">) </w:t>
      </w:r>
      <w:r w:rsidRPr="0043790D">
        <w:rPr>
          <w:rFonts w:ascii="Times New Roman" w:hAnsi="Times New Roman" w:cs="Times New Roman"/>
          <w:b/>
          <w:i/>
          <w:sz w:val="24"/>
          <w:szCs w:val="24"/>
          <w:lang w:val="es-ES_tradnl"/>
        </w:rPr>
        <w:t>Exploración a nivel de factibilidad</w:t>
      </w:r>
      <w:r w:rsidRPr="0043790D">
        <w:rPr>
          <w:rStyle w:val="FootnoteReference"/>
          <w:rFonts w:ascii="Times New Roman" w:hAnsi="Times New Roman" w:cs="Times New Roman"/>
          <w:b/>
          <w:i/>
          <w:sz w:val="24"/>
          <w:szCs w:val="24"/>
        </w:rPr>
        <w:footnoteReference w:id="2"/>
      </w:r>
      <w:r w:rsidRPr="0043790D">
        <w:rPr>
          <w:rFonts w:ascii="Times New Roman" w:hAnsi="Times New Roman" w:cs="Times New Roman"/>
          <w:b/>
          <w:i/>
          <w:sz w:val="24"/>
          <w:szCs w:val="24"/>
          <w:lang w:val="es-ES_tradnl"/>
        </w:rPr>
        <w:t xml:space="preserve"> del campo con potencial geotérmico Cosigüina</w:t>
      </w:r>
      <w:r w:rsidRPr="0043790D">
        <w:rPr>
          <w:rFonts w:ascii="Times New Roman" w:hAnsi="Times New Roman" w:cs="Times New Roman"/>
          <w:b/>
          <w:sz w:val="24"/>
          <w:szCs w:val="24"/>
          <w:lang w:val="es-ES_tradnl"/>
        </w:rPr>
        <w:t xml:space="preserve"> </w:t>
      </w:r>
      <w:r w:rsidRPr="0043790D">
        <w:rPr>
          <w:rFonts w:ascii="Times New Roman" w:hAnsi="Times New Roman" w:cs="Times New Roman"/>
          <w:sz w:val="24"/>
          <w:szCs w:val="24"/>
          <w:lang w:val="es-ES_tradnl"/>
        </w:rPr>
        <w:t>que ya cuenta con investigaciones de superficie y (</w:t>
      </w:r>
      <w:r w:rsidR="00DA43C0">
        <w:rPr>
          <w:rFonts w:ascii="Times New Roman" w:hAnsi="Times New Roman" w:cs="Times New Roman"/>
          <w:sz w:val="24"/>
          <w:szCs w:val="24"/>
          <w:lang w:val="es-ES_tradnl"/>
        </w:rPr>
        <w:t>b</w:t>
      </w:r>
      <w:r w:rsidRPr="0043790D">
        <w:rPr>
          <w:rFonts w:ascii="Times New Roman" w:hAnsi="Times New Roman" w:cs="Times New Roman"/>
          <w:sz w:val="24"/>
          <w:szCs w:val="24"/>
          <w:lang w:val="es-ES_tradnl"/>
        </w:rPr>
        <w:t xml:space="preserve">) el </w:t>
      </w:r>
      <w:r w:rsidRPr="0043790D">
        <w:rPr>
          <w:rFonts w:ascii="Times New Roman" w:hAnsi="Times New Roman" w:cs="Times New Roman"/>
          <w:b/>
          <w:sz w:val="24"/>
          <w:szCs w:val="24"/>
          <w:lang w:val="es-ES_tradnl"/>
        </w:rPr>
        <w:t>d</w:t>
      </w:r>
      <w:r w:rsidRPr="0043790D">
        <w:rPr>
          <w:rFonts w:ascii="Times New Roman" w:hAnsi="Times New Roman" w:cs="Times New Roman"/>
          <w:b/>
          <w:i/>
          <w:sz w:val="24"/>
          <w:szCs w:val="24"/>
          <w:lang w:val="es-ES_tradnl"/>
        </w:rPr>
        <w:t>esarrollo de un mecanismo para atraer inversión privada para la implementación de proyectos geotérmicos</w:t>
      </w:r>
      <w:r w:rsidRPr="0043790D">
        <w:rPr>
          <w:rFonts w:ascii="Times New Roman" w:hAnsi="Times New Roman" w:cs="Times New Roman"/>
          <w:b/>
          <w:sz w:val="24"/>
          <w:szCs w:val="24"/>
          <w:lang w:val="es-ES_tradnl"/>
        </w:rPr>
        <w:t xml:space="preserve">. </w:t>
      </w:r>
      <w:r w:rsidRPr="0043790D">
        <w:rPr>
          <w:rFonts w:ascii="Times New Roman" w:hAnsi="Times New Roman" w:cs="Times New Roman"/>
          <w:sz w:val="24"/>
          <w:szCs w:val="24"/>
          <w:lang w:val="es-ES_tradnl"/>
        </w:rPr>
        <w:t>Este componente apoyará al MEM a llamar a licitación para adjudicar a un inversionista privado la concesión una vez demostrada la factibilidad del recurso geotérmico.</w:t>
      </w:r>
    </w:p>
    <w:p w:rsidR="00A204D7" w:rsidRDefault="008F1482" w:rsidP="00A90A1E">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Pr>
          <w:rFonts w:ascii="Times New Roman" w:eastAsia="MS Mincho" w:hAnsi="Times New Roman" w:cs="Times New Roman"/>
          <w:bCs/>
          <w:sz w:val="24"/>
          <w:szCs w:val="24"/>
          <w:lang w:val="es-ES_tradnl" w:eastAsia="ja-JP"/>
        </w:rPr>
        <w:t>El Componente I</w:t>
      </w:r>
      <w:r w:rsidR="00A90A1E">
        <w:rPr>
          <w:rFonts w:ascii="Times New Roman" w:eastAsia="MS Mincho" w:hAnsi="Times New Roman" w:cs="Times New Roman"/>
          <w:bCs/>
          <w:sz w:val="24"/>
          <w:szCs w:val="24"/>
          <w:lang w:val="es-ES_tradnl" w:eastAsia="ja-JP"/>
        </w:rPr>
        <w:t xml:space="preserve">I: </w:t>
      </w:r>
      <w:r w:rsidR="00A90A1E" w:rsidRPr="00A90A1E">
        <w:rPr>
          <w:rFonts w:ascii="Times New Roman" w:eastAsia="MS Mincho" w:hAnsi="Times New Roman" w:cs="Times New Roman"/>
          <w:bCs/>
          <w:sz w:val="24"/>
          <w:szCs w:val="24"/>
          <w:lang w:val="es-ES_tradnl" w:eastAsia="ja-JP"/>
        </w:rPr>
        <w:t>financiará la construcción y ampliación de líneas de transmisión y subestaciones en 138kV y 230kV  que</w:t>
      </w:r>
      <w:r w:rsidR="00A90A1E">
        <w:rPr>
          <w:rFonts w:ascii="Times New Roman" w:eastAsia="MS Mincho" w:hAnsi="Times New Roman" w:cs="Times New Roman"/>
          <w:bCs/>
          <w:sz w:val="24"/>
          <w:szCs w:val="24"/>
          <w:lang w:val="es-ES_tradnl" w:eastAsia="ja-JP"/>
        </w:rPr>
        <w:t xml:space="preserve">  (a) </w:t>
      </w:r>
      <w:r w:rsidR="00A90A1E" w:rsidRPr="00A90A1E">
        <w:rPr>
          <w:rFonts w:ascii="Times New Roman" w:eastAsia="MS Mincho" w:hAnsi="Times New Roman" w:cs="Times New Roman"/>
          <w:b/>
          <w:bCs/>
          <w:i/>
          <w:sz w:val="24"/>
          <w:szCs w:val="24"/>
          <w:lang w:val="es-ES_tradnl" w:eastAsia="ja-JP"/>
        </w:rPr>
        <w:t>atiendan el crecimiento de demanda y conexión de nueva generación</w:t>
      </w:r>
      <w:r w:rsidR="00A90A1E">
        <w:rPr>
          <w:rFonts w:ascii="Times New Roman" w:eastAsia="MS Mincho" w:hAnsi="Times New Roman" w:cs="Times New Roman"/>
          <w:bCs/>
          <w:sz w:val="24"/>
          <w:szCs w:val="24"/>
          <w:lang w:val="es-ES_tradnl" w:eastAsia="ja-JP"/>
        </w:rPr>
        <w:t xml:space="preserve"> y (b) </w:t>
      </w:r>
      <w:r w:rsidR="006977F6">
        <w:rPr>
          <w:rFonts w:ascii="Times New Roman" w:eastAsia="MS Mincho" w:hAnsi="Times New Roman" w:cs="Times New Roman"/>
          <w:b/>
          <w:bCs/>
          <w:i/>
          <w:sz w:val="24"/>
          <w:szCs w:val="24"/>
          <w:lang w:val="es-ES_tradnl" w:eastAsia="ja-JP"/>
        </w:rPr>
        <w:t>p</w:t>
      </w:r>
      <w:r w:rsidR="00A90A1E" w:rsidRPr="00A90A1E">
        <w:rPr>
          <w:rFonts w:ascii="Times New Roman" w:eastAsia="MS Mincho" w:hAnsi="Times New Roman" w:cs="Times New Roman"/>
          <w:b/>
          <w:bCs/>
          <w:i/>
          <w:sz w:val="24"/>
          <w:szCs w:val="24"/>
          <w:lang w:val="es-ES_tradnl" w:eastAsia="ja-JP"/>
        </w:rPr>
        <w:t>ermitan la adaptación del sistema de transmisión nacional para que el SIEPAC</w:t>
      </w:r>
      <w:r w:rsidR="00A90A1E" w:rsidRPr="00A90A1E" w:rsidDel="003C1E77">
        <w:rPr>
          <w:rFonts w:ascii="Times New Roman" w:eastAsia="MS Mincho" w:hAnsi="Times New Roman" w:cs="Times New Roman"/>
          <w:b/>
          <w:bCs/>
          <w:i/>
          <w:sz w:val="24"/>
          <w:szCs w:val="24"/>
          <w:lang w:val="es-ES_tradnl" w:eastAsia="ja-JP"/>
        </w:rPr>
        <w:t xml:space="preserve"> </w:t>
      </w:r>
      <w:r w:rsidR="00A90A1E" w:rsidRPr="00A90A1E">
        <w:rPr>
          <w:rFonts w:ascii="Times New Roman" w:eastAsia="MS Mincho" w:hAnsi="Times New Roman" w:cs="Times New Roman"/>
          <w:b/>
          <w:bCs/>
          <w:i/>
          <w:sz w:val="24"/>
          <w:szCs w:val="24"/>
          <w:lang w:val="es-ES_tradnl" w:eastAsia="ja-JP"/>
        </w:rPr>
        <w:t>alcance su nivel de transferencia de diseño de 300MW</w:t>
      </w:r>
      <w:r w:rsidR="00A90A1E" w:rsidRPr="00A90A1E">
        <w:rPr>
          <w:rFonts w:ascii="Times New Roman" w:eastAsia="MS Mincho" w:hAnsi="Times New Roman" w:cs="Times New Roman"/>
          <w:bCs/>
          <w:sz w:val="24"/>
          <w:szCs w:val="24"/>
          <w:lang w:val="es-ES_tradnl" w:eastAsia="ja-JP"/>
        </w:rPr>
        <w:t>.</w:t>
      </w:r>
      <w:r>
        <w:rPr>
          <w:rFonts w:ascii="Times New Roman" w:eastAsia="MS Mincho" w:hAnsi="Times New Roman" w:cs="Times New Roman"/>
          <w:bCs/>
          <w:sz w:val="24"/>
          <w:szCs w:val="24"/>
          <w:lang w:val="es-ES_tradnl" w:eastAsia="ja-JP"/>
        </w:rPr>
        <w:t xml:space="preserve"> El fortalecimiento y expansión del Sistema Nacional de Transmisión</w:t>
      </w:r>
      <w:r w:rsidR="004F68DD">
        <w:rPr>
          <w:rFonts w:ascii="Times New Roman" w:eastAsia="MS Mincho" w:hAnsi="Times New Roman" w:cs="Times New Roman"/>
          <w:bCs/>
          <w:sz w:val="24"/>
          <w:szCs w:val="24"/>
          <w:lang w:val="es-ES_tradnl" w:eastAsia="ja-JP"/>
        </w:rPr>
        <w:t>,</w:t>
      </w:r>
      <w:r>
        <w:rPr>
          <w:rFonts w:ascii="Times New Roman" w:eastAsia="MS Mincho" w:hAnsi="Times New Roman" w:cs="Times New Roman"/>
          <w:bCs/>
          <w:sz w:val="24"/>
          <w:szCs w:val="24"/>
          <w:lang w:val="es-ES_tradnl" w:eastAsia="ja-JP"/>
        </w:rPr>
        <w:t xml:space="preserve"> permit</w:t>
      </w:r>
      <w:r w:rsidR="0023357E">
        <w:rPr>
          <w:rFonts w:ascii="Times New Roman" w:eastAsia="MS Mincho" w:hAnsi="Times New Roman" w:cs="Times New Roman"/>
          <w:bCs/>
          <w:sz w:val="24"/>
          <w:szCs w:val="24"/>
          <w:lang w:val="es-ES_tradnl" w:eastAsia="ja-JP"/>
        </w:rPr>
        <w:t xml:space="preserve">irá </w:t>
      </w:r>
      <w:r>
        <w:rPr>
          <w:rFonts w:ascii="Times New Roman" w:eastAsia="MS Mincho" w:hAnsi="Times New Roman" w:cs="Times New Roman"/>
          <w:bCs/>
          <w:sz w:val="24"/>
          <w:szCs w:val="24"/>
          <w:lang w:val="es-ES_tradnl" w:eastAsia="ja-JP"/>
        </w:rPr>
        <w:t xml:space="preserve"> </w:t>
      </w:r>
      <w:r w:rsidR="00FD1AC7">
        <w:rPr>
          <w:rFonts w:ascii="Times New Roman" w:eastAsia="MS Mincho" w:hAnsi="Times New Roman" w:cs="Times New Roman"/>
          <w:bCs/>
          <w:sz w:val="24"/>
          <w:szCs w:val="24"/>
          <w:lang w:val="es-ES_tradnl" w:eastAsia="ja-JP"/>
        </w:rPr>
        <w:t>fortalecer y expandir la infraestructura para el transporte de</w:t>
      </w:r>
      <w:r>
        <w:rPr>
          <w:rFonts w:ascii="Times New Roman" w:eastAsia="MS Mincho" w:hAnsi="Times New Roman" w:cs="Times New Roman"/>
          <w:bCs/>
          <w:sz w:val="24"/>
          <w:szCs w:val="24"/>
          <w:lang w:val="es-ES_tradnl" w:eastAsia="ja-JP"/>
        </w:rPr>
        <w:t xml:space="preserve"> energía de proyectos </w:t>
      </w:r>
      <w:r w:rsidR="00A90A1E">
        <w:rPr>
          <w:rFonts w:ascii="Times New Roman" w:eastAsia="MS Mincho" w:hAnsi="Times New Roman" w:cs="Times New Roman"/>
          <w:bCs/>
          <w:sz w:val="24"/>
          <w:szCs w:val="24"/>
          <w:lang w:val="es-ES_tradnl" w:eastAsia="ja-JP"/>
        </w:rPr>
        <w:t xml:space="preserve">de generación </w:t>
      </w:r>
      <w:r>
        <w:rPr>
          <w:rFonts w:ascii="Times New Roman" w:eastAsia="MS Mincho" w:hAnsi="Times New Roman" w:cs="Times New Roman"/>
          <w:bCs/>
          <w:sz w:val="24"/>
          <w:szCs w:val="24"/>
          <w:lang w:val="es-ES_tradnl" w:eastAsia="ja-JP"/>
        </w:rPr>
        <w:t xml:space="preserve">hidroeléctricos </w:t>
      </w:r>
      <w:r w:rsidR="00A204D7">
        <w:rPr>
          <w:rFonts w:ascii="Times New Roman" w:eastAsia="MS Mincho" w:hAnsi="Times New Roman" w:cs="Times New Roman"/>
          <w:bCs/>
          <w:sz w:val="24"/>
          <w:szCs w:val="24"/>
          <w:lang w:val="es-ES_tradnl" w:eastAsia="ja-JP"/>
        </w:rPr>
        <w:t xml:space="preserve">tanto </w:t>
      </w:r>
      <w:r>
        <w:rPr>
          <w:rFonts w:ascii="Times New Roman" w:eastAsia="MS Mincho" w:hAnsi="Times New Roman" w:cs="Times New Roman"/>
          <w:bCs/>
          <w:sz w:val="24"/>
          <w:szCs w:val="24"/>
          <w:lang w:val="es-ES_tradnl" w:eastAsia="ja-JP"/>
        </w:rPr>
        <w:t xml:space="preserve">al mercado nacional, </w:t>
      </w:r>
      <w:r w:rsidR="00A204D7">
        <w:rPr>
          <w:rFonts w:ascii="Times New Roman" w:eastAsia="MS Mincho" w:hAnsi="Times New Roman" w:cs="Times New Roman"/>
          <w:bCs/>
          <w:sz w:val="24"/>
          <w:szCs w:val="24"/>
          <w:lang w:val="es-ES_tradnl" w:eastAsia="ja-JP"/>
        </w:rPr>
        <w:t xml:space="preserve">como al </w:t>
      </w:r>
      <w:r w:rsidR="00FD1AC7">
        <w:rPr>
          <w:rFonts w:ascii="Times New Roman" w:eastAsia="MS Mincho" w:hAnsi="Times New Roman" w:cs="Times New Roman"/>
          <w:bCs/>
          <w:sz w:val="24"/>
          <w:szCs w:val="24"/>
          <w:lang w:val="es-ES_tradnl" w:eastAsia="ja-JP"/>
        </w:rPr>
        <w:t xml:space="preserve">mercado </w:t>
      </w:r>
      <w:r w:rsidR="00A204D7">
        <w:rPr>
          <w:rFonts w:ascii="Times New Roman" w:eastAsia="MS Mincho" w:hAnsi="Times New Roman" w:cs="Times New Roman"/>
          <w:bCs/>
          <w:sz w:val="24"/>
          <w:szCs w:val="24"/>
          <w:lang w:val="es-ES_tradnl" w:eastAsia="ja-JP"/>
        </w:rPr>
        <w:t>regional</w:t>
      </w:r>
      <w:r w:rsidR="00A90A1E">
        <w:rPr>
          <w:rFonts w:ascii="Times New Roman" w:eastAsia="MS Mincho" w:hAnsi="Times New Roman" w:cs="Times New Roman"/>
          <w:bCs/>
          <w:sz w:val="24"/>
          <w:szCs w:val="24"/>
          <w:lang w:val="es-ES_tradnl" w:eastAsia="ja-JP"/>
        </w:rPr>
        <w:t>.</w:t>
      </w:r>
    </w:p>
    <w:p w:rsidR="00E27BE5" w:rsidRDefault="00E27BE5" w:rsidP="00E27BE5">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E27BE5">
        <w:rPr>
          <w:rFonts w:ascii="Times New Roman" w:eastAsia="MS Mincho" w:hAnsi="Times New Roman" w:cs="Times New Roman"/>
          <w:bCs/>
          <w:sz w:val="24"/>
          <w:szCs w:val="24"/>
          <w:lang w:val="es-ES_tradnl" w:eastAsia="ja-JP"/>
        </w:rPr>
        <w:t xml:space="preserve">La operación mediante el </w:t>
      </w:r>
      <w:r w:rsidR="005D7C81" w:rsidRPr="00E27BE5">
        <w:rPr>
          <w:rFonts w:ascii="Times New Roman" w:eastAsia="MS Mincho" w:hAnsi="Times New Roman" w:cs="Times New Roman"/>
          <w:bCs/>
          <w:sz w:val="24"/>
          <w:szCs w:val="24"/>
          <w:lang w:val="es-ES_tradnl" w:eastAsia="ja-JP"/>
        </w:rPr>
        <w:t xml:space="preserve">Componente II </w:t>
      </w:r>
      <w:r w:rsidRPr="00E27BE5">
        <w:rPr>
          <w:rFonts w:ascii="Times New Roman" w:eastAsia="MS Mincho" w:hAnsi="Times New Roman" w:cs="Times New Roman"/>
          <w:bCs/>
          <w:sz w:val="24"/>
          <w:szCs w:val="24"/>
          <w:lang w:val="es-ES_tradnl" w:eastAsia="ja-JP"/>
        </w:rPr>
        <w:t xml:space="preserve">permitirá solucionar los problemas de </w:t>
      </w:r>
      <w:r w:rsidR="00FB673D" w:rsidRPr="00E27BE5">
        <w:rPr>
          <w:rFonts w:ascii="Times New Roman" w:eastAsia="MS Mincho" w:hAnsi="Times New Roman" w:cs="Times New Roman"/>
          <w:bCs/>
          <w:sz w:val="24"/>
          <w:szCs w:val="24"/>
          <w:lang w:val="es-ES_tradnl" w:eastAsia="ja-JP"/>
        </w:rPr>
        <w:t>disponibilidad</w:t>
      </w:r>
      <w:r w:rsidRPr="00E27BE5">
        <w:rPr>
          <w:rFonts w:ascii="Times New Roman" w:eastAsia="MS Mincho" w:hAnsi="Times New Roman" w:cs="Times New Roman"/>
          <w:bCs/>
          <w:sz w:val="24"/>
          <w:szCs w:val="24"/>
          <w:lang w:val="es-ES_tradnl" w:eastAsia="ja-JP"/>
        </w:rPr>
        <w:t xml:space="preserve"> de infraestructura identificados en el SIEPAC, los cuales están limitando la capacidad de crecimiento del MER. Este </w:t>
      </w:r>
      <w:r w:rsidR="006977F6" w:rsidRPr="00E27BE5">
        <w:rPr>
          <w:rFonts w:ascii="Times New Roman" w:eastAsia="MS Mincho" w:hAnsi="Times New Roman" w:cs="Times New Roman"/>
          <w:bCs/>
          <w:sz w:val="24"/>
          <w:szCs w:val="24"/>
          <w:lang w:val="es-ES_tradnl" w:eastAsia="ja-JP"/>
        </w:rPr>
        <w:t>componente,</w:t>
      </w:r>
      <w:r>
        <w:rPr>
          <w:rFonts w:ascii="Times New Roman" w:eastAsia="MS Mincho" w:hAnsi="Times New Roman" w:cs="Times New Roman"/>
          <w:bCs/>
          <w:sz w:val="24"/>
          <w:szCs w:val="24"/>
          <w:lang w:val="es-ES_tradnl" w:eastAsia="ja-JP"/>
        </w:rPr>
        <w:t xml:space="preserve"> </w:t>
      </w:r>
      <w:r w:rsidRPr="00E27BE5">
        <w:rPr>
          <w:rFonts w:ascii="Times New Roman" w:eastAsia="MS Mincho" w:hAnsi="Times New Roman" w:cs="Times New Roman"/>
          <w:bCs/>
          <w:sz w:val="24"/>
          <w:szCs w:val="24"/>
          <w:lang w:val="es-ES_tradnl" w:eastAsia="ja-JP"/>
        </w:rPr>
        <w:t>financia el aumento de capacidad de las líneas de 230kV existentes en los tramos León-Frontera Honduras y Amayo-Frontera Costa Rica (y de las interconexiones), reemplazando 97km de conductor por otro de mayor capacidad y mejorando la capacidad de transmisión en una longitud de 213km mediante obras complementarias, que junto con otras obras permitirá garantizar la transferencia de 300 MW de energía de norte a sur del país y viceversa.  Dichos obras, permitirán alcanzar el nivel transferencias de 300MW del SIEPAC en el territorio de Nicaragua, dando cumplimiento al reglamento operativo del MER.</w:t>
      </w:r>
    </w:p>
    <w:p w:rsidR="00865888" w:rsidRPr="00EE2CD2" w:rsidRDefault="00865888" w:rsidP="0043790D">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43790D">
        <w:rPr>
          <w:rFonts w:ascii="Times New Roman" w:eastAsia="MS Mincho" w:hAnsi="Times New Roman" w:cs="Times New Roman"/>
          <w:bCs/>
          <w:sz w:val="24"/>
          <w:szCs w:val="24"/>
          <w:lang w:val="es-ES_tradnl" w:eastAsia="ja-JP"/>
        </w:rPr>
        <w:lastRenderedPageBreak/>
        <w:t xml:space="preserve">Como resultado </w:t>
      </w:r>
      <w:r w:rsidRPr="00EE2CD2">
        <w:rPr>
          <w:rFonts w:ascii="Times New Roman" w:eastAsia="MS Mincho" w:hAnsi="Times New Roman" w:cs="Times New Roman"/>
          <w:bCs/>
          <w:sz w:val="24"/>
          <w:szCs w:val="24"/>
          <w:lang w:val="es-ES_tradnl" w:eastAsia="ja-JP"/>
        </w:rPr>
        <w:t>del programa</w:t>
      </w:r>
      <w:r w:rsidRPr="0043790D">
        <w:rPr>
          <w:rFonts w:ascii="Times New Roman" w:eastAsia="MS Mincho" w:hAnsi="Times New Roman" w:cs="Times New Roman"/>
          <w:bCs/>
          <w:sz w:val="24"/>
          <w:szCs w:val="24"/>
          <w:lang w:val="es-ES_tradnl" w:eastAsia="ja-JP"/>
        </w:rPr>
        <w:t xml:space="preserve"> se logrará: (i) </w:t>
      </w:r>
      <w:r w:rsidRPr="00EE2CD2">
        <w:rPr>
          <w:rFonts w:ascii="Times New Roman" w:eastAsia="MS Mincho" w:hAnsi="Times New Roman" w:cs="Times New Roman"/>
          <w:bCs/>
          <w:sz w:val="24"/>
          <w:szCs w:val="24"/>
          <w:lang w:val="es-ES_tradnl" w:eastAsia="ja-JP"/>
        </w:rPr>
        <w:t>d</w:t>
      </w:r>
      <w:r w:rsidRPr="0043790D">
        <w:rPr>
          <w:rFonts w:ascii="Times New Roman" w:eastAsia="MS Mincho" w:hAnsi="Times New Roman" w:cs="Times New Roman"/>
          <w:bCs/>
          <w:sz w:val="24"/>
          <w:szCs w:val="24"/>
          <w:lang w:val="es-ES_tradnl" w:eastAsia="ja-JP"/>
        </w:rPr>
        <w:t>esarrollo del potencial geotérmico de Nicaragua de manera ambiental y fin</w:t>
      </w:r>
      <w:r w:rsidRPr="00EE2CD2">
        <w:rPr>
          <w:rFonts w:ascii="Times New Roman" w:eastAsia="MS Mincho" w:hAnsi="Times New Roman" w:cs="Times New Roman"/>
          <w:bCs/>
          <w:sz w:val="24"/>
          <w:szCs w:val="24"/>
          <w:lang w:val="es-ES_tradnl" w:eastAsia="ja-JP"/>
        </w:rPr>
        <w:t>ancieramente sostenible.; (ii) g</w:t>
      </w:r>
      <w:r w:rsidRPr="0043790D">
        <w:rPr>
          <w:rFonts w:ascii="Times New Roman" w:eastAsia="MS Mincho" w:hAnsi="Times New Roman" w:cs="Times New Roman"/>
          <w:bCs/>
          <w:sz w:val="24"/>
          <w:szCs w:val="24"/>
          <w:lang w:val="es-ES_tradnl" w:eastAsia="ja-JP"/>
        </w:rPr>
        <w:t>eneración de herramientas que reduzcan los impactos de resultantes de los proyectos geotérmicos; (iii) aseguramiento del suministro de energía eléctrica continua, confiable y costo efectiva en las zonas beneficiadas por la ampliación de la cobertura eléctrica bajo el programa PNESER; (iv) incremento en la capacidad de transmisión de carga para atender la demanda de electricidad y la oferta de generación de energías renovables en la zona de ampliación de cobertura eléctrica bajo el programa PNESER. Optimización de la capacidad de carga de energía del Sistema de Interconexión Eléctrica de los Países de América Central (SIEPAC) en los tramos ubicados en Nicaragua.</w:t>
      </w:r>
      <w:r w:rsidRPr="00EE2CD2">
        <w:rPr>
          <w:rFonts w:ascii="Times New Roman" w:eastAsia="MS Mincho" w:hAnsi="Times New Roman" w:cs="Times New Roman"/>
          <w:bCs/>
          <w:sz w:val="24"/>
          <w:szCs w:val="24"/>
          <w:lang w:val="es-ES_tradnl" w:eastAsia="ja-JP"/>
        </w:rPr>
        <w:t xml:space="preserve"> </w:t>
      </w:r>
      <w:r w:rsidR="00EE2CD2">
        <w:rPr>
          <w:rFonts w:ascii="Times New Roman" w:eastAsia="MS Mincho" w:hAnsi="Times New Roman" w:cs="Times New Roman"/>
          <w:bCs/>
          <w:sz w:val="24"/>
          <w:szCs w:val="24"/>
          <w:lang w:val="es-ES_tradnl" w:eastAsia="ja-JP"/>
        </w:rPr>
        <w:t xml:space="preserve"> </w:t>
      </w:r>
      <w:r w:rsidRPr="00EE2CD2">
        <w:rPr>
          <w:rFonts w:ascii="Times New Roman" w:eastAsia="MS Mincho" w:hAnsi="Times New Roman" w:cs="Times New Roman"/>
          <w:bCs/>
          <w:sz w:val="24"/>
          <w:szCs w:val="24"/>
          <w:lang w:val="es-ES_tradnl" w:eastAsia="ja-JP"/>
        </w:rPr>
        <w:t>Los indicadores de resultados respectivos son: (i)</w:t>
      </w:r>
      <w:r w:rsidR="00EE2CD2" w:rsidRPr="00EE2CD2">
        <w:rPr>
          <w:rFonts w:ascii="Times New Roman" w:eastAsia="MS Mincho" w:hAnsi="Times New Roman" w:cs="Times New Roman"/>
          <w:bCs/>
          <w:sz w:val="24"/>
          <w:szCs w:val="24"/>
          <w:lang w:val="es-ES_tradnl" w:eastAsia="ja-JP"/>
        </w:rPr>
        <w:t xml:space="preserve"> c</w:t>
      </w:r>
      <w:r w:rsidRPr="00EE2CD2">
        <w:rPr>
          <w:rFonts w:ascii="Times New Roman" w:eastAsia="MS Mincho" w:hAnsi="Times New Roman" w:cs="Times New Roman"/>
          <w:bCs/>
          <w:sz w:val="24"/>
          <w:szCs w:val="24"/>
          <w:lang w:val="es-ES_tradnl" w:eastAsia="ja-JP"/>
        </w:rPr>
        <w:t>ampo Cosigüina explorado a nivel de factibilidad mitigando riesgos y potenciando su implem</w:t>
      </w:r>
      <w:r w:rsidR="00EE2CD2" w:rsidRPr="00EE2CD2">
        <w:rPr>
          <w:rFonts w:ascii="Times New Roman" w:eastAsia="MS Mincho" w:hAnsi="Times New Roman" w:cs="Times New Roman"/>
          <w:bCs/>
          <w:sz w:val="24"/>
          <w:szCs w:val="24"/>
          <w:lang w:val="es-ES_tradnl" w:eastAsia="ja-JP"/>
        </w:rPr>
        <w:t>entación; (ii) m</w:t>
      </w:r>
      <w:r w:rsidRPr="00EE2CD2">
        <w:rPr>
          <w:rFonts w:ascii="Times New Roman" w:eastAsia="MS Mincho" w:hAnsi="Times New Roman" w:cs="Times New Roman"/>
          <w:bCs/>
          <w:sz w:val="24"/>
          <w:szCs w:val="24"/>
          <w:lang w:val="es-ES_tradnl" w:eastAsia="ja-JP"/>
        </w:rPr>
        <w:t>ecanismo de mitigación de riesgos para el desarrollo de proyectos geotérmicos</w:t>
      </w:r>
      <w:r w:rsidR="00EE2CD2" w:rsidRPr="00EE2CD2">
        <w:rPr>
          <w:rFonts w:ascii="Times New Roman" w:eastAsia="MS Mincho" w:hAnsi="Times New Roman" w:cs="Times New Roman"/>
          <w:bCs/>
          <w:sz w:val="24"/>
          <w:szCs w:val="24"/>
          <w:lang w:val="es-ES_tradnl" w:eastAsia="ja-JP"/>
        </w:rPr>
        <w:t>; (iii) e</w:t>
      </w:r>
      <w:r w:rsidRPr="00EE2CD2">
        <w:rPr>
          <w:rFonts w:ascii="Times New Roman" w:eastAsia="MS Mincho" w:hAnsi="Times New Roman" w:cs="Times New Roman"/>
          <w:bCs/>
          <w:sz w:val="24"/>
          <w:szCs w:val="24"/>
          <w:lang w:val="es-ES_tradnl" w:eastAsia="ja-JP"/>
        </w:rPr>
        <w:t>nergía no servida  en GWh en las zo</w:t>
      </w:r>
      <w:r w:rsidR="00EE2CD2" w:rsidRPr="00EE2CD2">
        <w:rPr>
          <w:rFonts w:ascii="Times New Roman" w:eastAsia="MS Mincho" w:hAnsi="Times New Roman" w:cs="Times New Roman"/>
          <w:bCs/>
          <w:sz w:val="24"/>
          <w:szCs w:val="24"/>
          <w:lang w:val="es-ES_tradnl" w:eastAsia="ja-JP"/>
        </w:rPr>
        <w:t>nas de influencia  del programa; (iv) c</w:t>
      </w:r>
      <w:r w:rsidRPr="00EE2CD2">
        <w:rPr>
          <w:rFonts w:ascii="Times New Roman" w:eastAsia="MS Mincho" w:hAnsi="Times New Roman" w:cs="Times New Roman"/>
          <w:bCs/>
          <w:sz w:val="24"/>
          <w:szCs w:val="24"/>
          <w:lang w:val="es-ES_tradnl" w:eastAsia="ja-JP"/>
        </w:rPr>
        <w:t>apacidad de transferencia en MW para atender la demanda eléctrica en las z</w:t>
      </w:r>
      <w:r w:rsidR="00EE2CD2" w:rsidRPr="00EE2CD2">
        <w:rPr>
          <w:rFonts w:ascii="Times New Roman" w:eastAsia="MS Mincho" w:hAnsi="Times New Roman" w:cs="Times New Roman"/>
          <w:bCs/>
          <w:sz w:val="24"/>
          <w:szCs w:val="24"/>
          <w:lang w:val="es-ES_tradnl" w:eastAsia="ja-JP"/>
        </w:rPr>
        <w:t>onas de influencia del programa; (v)</w:t>
      </w:r>
      <w:r w:rsidR="00EE2CD2">
        <w:rPr>
          <w:rFonts w:ascii="Times New Roman" w:eastAsia="MS Mincho" w:hAnsi="Times New Roman" w:cs="Times New Roman"/>
          <w:bCs/>
          <w:sz w:val="24"/>
          <w:szCs w:val="24"/>
          <w:lang w:val="es-ES_tradnl" w:eastAsia="ja-JP"/>
        </w:rPr>
        <w:t xml:space="preserve"> m</w:t>
      </w:r>
      <w:r w:rsidRPr="00EE2CD2">
        <w:rPr>
          <w:rFonts w:ascii="Times New Roman" w:eastAsia="MS Mincho" w:hAnsi="Times New Roman" w:cs="Times New Roman"/>
          <w:bCs/>
          <w:sz w:val="24"/>
          <w:szCs w:val="24"/>
          <w:lang w:val="es-ES_tradnl" w:eastAsia="ja-JP"/>
        </w:rPr>
        <w:t>áxima Capacidad de Transferencia Regional en MW entre áreas de control aumentada.</w:t>
      </w:r>
    </w:p>
    <w:p w:rsidR="00F46DEC" w:rsidRPr="006977F6" w:rsidRDefault="006977F6" w:rsidP="006977F6">
      <w:pPr>
        <w:numPr>
          <w:ilvl w:val="1"/>
          <w:numId w:val="2"/>
        </w:numPr>
        <w:autoSpaceDE w:val="0"/>
        <w:autoSpaceDN w:val="0"/>
        <w:adjustRightInd w:val="0"/>
        <w:spacing w:before="120" w:after="120" w:line="240" w:lineRule="auto"/>
        <w:ind w:left="547" w:hanging="547"/>
        <w:jc w:val="both"/>
        <w:rPr>
          <w:rFonts w:ascii="Times New Roman" w:eastAsia="MS Mincho" w:hAnsi="Times New Roman" w:cs="Times New Roman"/>
          <w:bCs/>
          <w:sz w:val="24"/>
          <w:szCs w:val="24"/>
          <w:lang w:val="es-ES_tradnl" w:eastAsia="ja-JP"/>
        </w:rPr>
      </w:pPr>
      <w:r>
        <w:rPr>
          <w:rFonts w:ascii="Times New Roman" w:eastAsia="MS Mincho" w:hAnsi="Times New Roman" w:cs="Times New Roman"/>
          <w:bCs/>
          <w:sz w:val="24"/>
          <w:szCs w:val="24"/>
          <w:lang w:val="es-ES_tradnl" w:eastAsia="ja-JP"/>
        </w:rPr>
        <w:t xml:space="preserve">Contribución al Marco de Resultados Corporativo: </w:t>
      </w:r>
      <w:r w:rsidR="00F46DEC" w:rsidRPr="006977F6">
        <w:rPr>
          <w:rFonts w:ascii="Times New Roman" w:eastAsia="MS Mincho" w:hAnsi="Times New Roman" w:cs="Times New Roman"/>
          <w:bCs/>
          <w:sz w:val="24"/>
          <w:szCs w:val="24"/>
          <w:lang w:val="es-ES_tradnl" w:eastAsia="ja-JP"/>
        </w:rPr>
        <w:t>Los resultados esperados</w:t>
      </w:r>
      <w:r>
        <w:rPr>
          <w:rFonts w:ascii="Times New Roman" w:eastAsia="MS Mincho" w:hAnsi="Times New Roman" w:cs="Times New Roman"/>
          <w:bCs/>
          <w:sz w:val="24"/>
          <w:szCs w:val="24"/>
          <w:lang w:val="es-ES_tradnl" w:eastAsia="ja-JP"/>
        </w:rPr>
        <w:t xml:space="preserve"> </w:t>
      </w:r>
      <w:r w:rsidR="00F46DEC" w:rsidRPr="006977F6">
        <w:rPr>
          <w:rFonts w:ascii="Times New Roman" w:eastAsia="MS Mincho" w:hAnsi="Times New Roman" w:cs="Times New Roman"/>
          <w:bCs/>
          <w:sz w:val="24"/>
          <w:szCs w:val="24"/>
          <w:lang w:val="es-ES_tradnl" w:eastAsia="ja-JP"/>
        </w:rPr>
        <w:t>del programa contribuyen a los siguientes productos del marco de resultados del</w:t>
      </w:r>
      <w:r>
        <w:rPr>
          <w:rFonts w:ascii="Times New Roman" w:eastAsia="MS Mincho" w:hAnsi="Times New Roman" w:cs="Times New Roman"/>
          <w:bCs/>
          <w:sz w:val="24"/>
          <w:szCs w:val="24"/>
          <w:lang w:val="es-ES_tradnl" w:eastAsia="ja-JP"/>
        </w:rPr>
        <w:t xml:space="preserve"> </w:t>
      </w:r>
      <w:r w:rsidR="00F46DEC" w:rsidRPr="006977F6">
        <w:rPr>
          <w:rFonts w:ascii="Times New Roman" w:eastAsia="MS Mincho" w:hAnsi="Times New Roman" w:cs="Times New Roman"/>
          <w:bCs/>
          <w:sz w:val="24"/>
          <w:szCs w:val="24"/>
          <w:lang w:val="es-ES_tradnl" w:eastAsia="ja-JP"/>
        </w:rPr>
        <w:t xml:space="preserve">GCI-9: (i) kilómetros de L/T nuevas o mejoradas; </w:t>
      </w:r>
      <w:r w:rsidR="00EE2CD2">
        <w:rPr>
          <w:rFonts w:ascii="Times New Roman" w:eastAsia="MS Mincho" w:hAnsi="Times New Roman" w:cs="Times New Roman"/>
          <w:bCs/>
          <w:sz w:val="24"/>
          <w:szCs w:val="24"/>
          <w:lang w:val="es-ES_tradnl" w:eastAsia="ja-JP"/>
        </w:rPr>
        <w:t xml:space="preserve">y </w:t>
      </w:r>
      <w:r w:rsidR="00F46DEC" w:rsidRPr="006977F6">
        <w:rPr>
          <w:rFonts w:ascii="Times New Roman" w:eastAsia="MS Mincho" w:hAnsi="Times New Roman" w:cs="Times New Roman"/>
          <w:bCs/>
          <w:sz w:val="24"/>
          <w:szCs w:val="24"/>
          <w:lang w:val="es-ES_tradnl" w:eastAsia="ja-JP"/>
        </w:rPr>
        <w:t>(ii) número de proyectos</w:t>
      </w:r>
      <w:r>
        <w:rPr>
          <w:rFonts w:ascii="Times New Roman" w:eastAsia="MS Mincho" w:hAnsi="Times New Roman" w:cs="Times New Roman"/>
          <w:bCs/>
          <w:sz w:val="24"/>
          <w:szCs w:val="24"/>
          <w:lang w:val="es-ES_tradnl" w:eastAsia="ja-JP"/>
        </w:rPr>
        <w:t xml:space="preserve"> </w:t>
      </w:r>
      <w:r w:rsidR="00F46DEC" w:rsidRPr="006977F6">
        <w:rPr>
          <w:rFonts w:ascii="Times New Roman" w:eastAsia="MS Mincho" w:hAnsi="Times New Roman" w:cs="Times New Roman"/>
          <w:bCs/>
          <w:sz w:val="24"/>
          <w:szCs w:val="24"/>
          <w:lang w:val="es-ES_tradnl" w:eastAsia="ja-JP"/>
        </w:rPr>
        <w:t>transfronterizos o transnacionales apoyados</w:t>
      </w:r>
      <w:r w:rsidR="00865888">
        <w:rPr>
          <w:rFonts w:ascii="Times New Roman" w:eastAsia="MS Mincho" w:hAnsi="Times New Roman" w:cs="Times New Roman"/>
          <w:bCs/>
          <w:sz w:val="24"/>
          <w:szCs w:val="24"/>
          <w:lang w:val="es-ES_tradnl" w:eastAsia="ja-JP"/>
        </w:rPr>
        <w:t>.</w:t>
      </w:r>
    </w:p>
    <w:p w:rsidR="00F17D08" w:rsidRPr="00F17D08" w:rsidRDefault="001E311F" w:rsidP="00947F05">
      <w:pPr>
        <w:keepNext/>
        <w:keepLines/>
        <w:numPr>
          <w:ilvl w:val="0"/>
          <w:numId w:val="2"/>
        </w:numPr>
        <w:spacing w:before="120" w:after="120" w:line="240" w:lineRule="auto"/>
        <w:ind w:left="450" w:hanging="450"/>
        <w:outlineLvl w:val="1"/>
        <w:rPr>
          <w:rFonts w:ascii="Times New Roman" w:eastAsia="MS Mincho" w:hAnsi="Times New Roman" w:cs="Times New Roman"/>
          <w:bCs/>
          <w:sz w:val="24"/>
          <w:szCs w:val="24"/>
          <w:lang w:val="es-ES_tradnl" w:eastAsia="ja-JP"/>
        </w:rPr>
      </w:pPr>
      <w:r w:rsidRPr="00F26D17">
        <w:rPr>
          <w:rFonts w:ascii="Times New Roman" w:eastAsia="MS Gothic" w:hAnsi="Times New Roman" w:cs="Times New Roman"/>
          <w:b/>
          <w:bCs/>
          <w:color w:val="4F81BD"/>
          <w:sz w:val="24"/>
          <w:szCs w:val="24"/>
          <w:lang w:val="es-ES_tradnl"/>
        </w:rPr>
        <w:t>Validación de Criterios en el Marco de la Estrategia de Integración</w:t>
      </w:r>
    </w:p>
    <w:p w:rsidR="006F56E0" w:rsidRPr="00F26D17" w:rsidRDefault="006F56E0" w:rsidP="005013E6">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Según la estrategia sectorial del </w:t>
      </w:r>
      <w:r w:rsidR="00164232">
        <w:rPr>
          <w:rFonts w:ascii="Times New Roman" w:eastAsia="MS Mincho" w:hAnsi="Times New Roman" w:cs="Times New Roman"/>
          <w:bCs/>
          <w:sz w:val="24"/>
          <w:szCs w:val="24"/>
          <w:lang w:val="es-ES_tradnl" w:eastAsia="ja-JP"/>
        </w:rPr>
        <w:t>BID</w:t>
      </w:r>
      <w:r w:rsidR="00164232" w:rsidRPr="00F26D17">
        <w:rPr>
          <w:rFonts w:ascii="Times New Roman" w:eastAsia="MS Mincho" w:hAnsi="Times New Roman" w:cs="Times New Roman"/>
          <w:bCs/>
          <w:sz w:val="24"/>
          <w:szCs w:val="24"/>
          <w:lang w:val="es-ES_tradnl" w:eastAsia="ja-JP"/>
        </w:rPr>
        <w:t xml:space="preserve"> </w:t>
      </w:r>
      <w:r w:rsidRPr="00F26D17">
        <w:rPr>
          <w:rFonts w:ascii="Times New Roman" w:eastAsia="MS Mincho" w:hAnsi="Times New Roman" w:cs="Times New Roman"/>
          <w:bCs/>
          <w:sz w:val="24"/>
          <w:szCs w:val="24"/>
          <w:lang w:val="es-ES_tradnl" w:eastAsia="ja-JP"/>
        </w:rPr>
        <w:t xml:space="preserve">de apoyo a la Competitividad Global y Regional para la Integración </w:t>
      </w:r>
      <w:r w:rsidR="00D83A70" w:rsidRPr="00F26D17">
        <w:rPr>
          <w:rFonts w:ascii="Times New Roman" w:eastAsia="MS Mincho" w:hAnsi="Times New Roman" w:cs="Times New Roman"/>
          <w:bCs/>
          <w:sz w:val="24"/>
          <w:szCs w:val="24"/>
          <w:lang w:val="es-ES_tradnl" w:eastAsia="ja-JP"/>
        </w:rPr>
        <w:t>(GN-2565-4)</w:t>
      </w:r>
      <w:r w:rsidRPr="00F26D17">
        <w:rPr>
          <w:rFonts w:ascii="Times New Roman" w:eastAsia="MS Mincho" w:hAnsi="Times New Roman" w:cs="Times New Roman"/>
          <w:bCs/>
          <w:sz w:val="24"/>
          <w:szCs w:val="24"/>
          <w:lang w:val="es-ES_tradnl" w:eastAsia="ja-JP"/>
        </w:rPr>
        <w:t xml:space="preserve">, las operaciones de integración regional serán identificadas de acuerdo a cuatro criterios indicativos que no son mutuamente excluyentes entre sí: (i) Focalización multinacional; (ii) </w:t>
      </w:r>
      <w:r w:rsidR="00682524" w:rsidRPr="00F26D17">
        <w:rPr>
          <w:rFonts w:ascii="Times New Roman" w:eastAsia="MS Mincho" w:hAnsi="Times New Roman" w:cs="Times New Roman"/>
          <w:bCs/>
          <w:sz w:val="24"/>
          <w:szCs w:val="24"/>
          <w:lang w:val="es-ES_tradnl" w:eastAsia="ja-JP"/>
        </w:rPr>
        <w:t>Subsidiariedad nacional</w:t>
      </w:r>
      <w:r w:rsidRPr="00F26D17">
        <w:rPr>
          <w:rFonts w:ascii="Times New Roman" w:eastAsia="MS Mincho" w:hAnsi="Times New Roman" w:cs="Times New Roman"/>
          <w:bCs/>
          <w:sz w:val="24"/>
          <w:szCs w:val="24"/>
          <w:lang w:val="es-ES_tradnl" w:eastAsia="ja-JP"/>
        </w:rPr>
        <w:t xml:space="preserve">; (iii) </w:t>
      </w:r>
      <w:r w:rsidR="00682524" w:rsidRPr="00F26D17">
        <w:rPr>
          <w:rFonts w:ascii="Times New Roman" w:eastAsia="MS Mincho" w:hAnsi="Times New Roman" w:cs="Times New Roman"/>
          <w:bCs/>
          <w:sz w:val="24"/>
          <w:szCs w:val="24"/>
          <w:lang w:val="es-ES_tradnl" w:eastAsia="ja-JP"/>
        </w:rPr>
        <w:t xml:space="preserve">Adicionalidad regional </w:t>
      </w:r>
      <w:r w:rsidRPr="00F26D17">
        <w:rPr>
          <w:rFonts w:ascii="Times New Roman" w:eastAsia="MS Mincho" w:hAnsi="Times New Roman" w:cs="Times New Roman"/>
          <w:bCs/>
          <w:sz w:val="24"/>
          <w:szCs w:val="24"/>
          <w:lang w:val="es-ES_tradnl" w:eastAsia="ja-JP"/>
        </w:rPr>
        <w:t>y; (iv) Compensación de fallas de coordinación</w:t>
      </w:r>
      <w:r w:rsidR="00A624B9" w:rsidRPr="00F26D17">
        <w:rPr>
          <w:rFonts w:ascii="Times New Roman" w:eastAsia="MS Mincho" w:hAnsi="Times New Roman" w:cs="Times New Roman"/>
          <w:bCs/>
          <w:sz w:val="24"/>
          <w:szCs w:val="24"/>
          <w:lang w:val="es-ES_tradnl" w:eastAsia="ja-JP"/>
        </w:rPr>
        <w:t>.</w:t>
      </w:r>
    </w:p>
    <w:p w:rsidR="00D50C50" w:rsidRPr="00711751" w:rsidRDefault="007E4B67" w:rsidP="005013E6">
      <w:pPr>
        <w:numPr>
          <w:ilvl w:val="1"/>
          <w:numId w:val="2"/>
        </w:numPr>
        <w:autoSpaceDE w:val="0"/>
        <w:autoSpaceDN w:val="0"/>
        <w:adjustRightInd w:val="0"/>
        <w:spacing w:after="120" w:line="240" w:lineRule="auto"/>
        <w:ind w:left="547" w:hanging="547"/>
        <w:jc w:val="both"/>
        <w:rPr>
          <w:rFonts w:ascii="Times New Roman" w:eastAsia="MS Mincho" w:hAnsi="Times New Roman" w:cs="Times New Roman"/>
          <w:bCs/>
          <w:sz w:val="24"/>
          <w:szCs w:val="24"/>
          <w:lang w:val="es-ES_tradnl" w:eastAsia="ja-JP"/>
        </w:rPr>
      </w:pPr>
      <w:r w:rsidRPr="00711751">
        <w:rPr>
          <w:rFonts w:ascii="Times New Roman" w:eastAsia="MS Mincho" w:hAnsi="Times New Roman" w:cs="Times New Roman"/>
          <w:bCs/>
          <w:sz w:val="24"/>
          <w:szCs w:val="24"/>
          <w:lang w:val="es-ES_tradnl" w:eastAsia="ja-JP"/>
        </w:rPr>
        <w:t>Con</w:t>
      </w:r>
      <w:r w:rsidR="006F56E0" w:rsidRPr="00711751">
        <w:rPr>
          <w:rFonts w:ascii="Times New Roman" w:eastAsia="MS Mincho" w:hAnsi="Times New Roman" w:cs="Times New Roman"/>
          <w:bCs/>
          <w:sz w:val="24"/>
          <w:szCs w:val="24"/>
          <w:lang w:val="es-ES_tradnl" w:eastAsia="ja-JP"/>
        </w:rPr>
        <w:t xml:space="preserve"> base en el alcance </w:t>
      </w:r>
      <w:r w:rsidR="00164232" w:rsidRPr="00711751">
        <w:rPr>
          <w:rFonts w:ascii="Times New Roman" w:eastAsia="MS Mincho" w:hAnsi="Times New Roman" w:cs="Times New Roman"/>
          <w:bCs/>
          <w:sz w:val="24"/>
          <w:szCs w:val="24"/>
          <w:lang w:val="es-ES_tradnl" w:eastAsia="ja-JP"/>
        </w:rPr>
        <w:t xml:space="preserve">de </w:t>
      </w:r>
      <w:r w:rsidR="00E27BE5">
        <w:rPr>
          <w:rFonts w:ascii="Times New Roman" w:eastAsia="MS Mincho" w:hAnsi="Times New Roman" w:cs="Times New Roman"/>
          <w:bCs/>
          <w:sz w:val="24"/>
          <w:szCs w:val="24"/>
          <w:lang w:val="es-ES_tradnl" w:eastAsia="ja-JP"/>
        </w:rPr>
        <w:t>NI</w:t>
      </w:r>
      <w:r w:rsidR="00164232" w:rsidRPr="00711751">
        <w:rPr>
          <w:rFonts w:ascii="Times New Roman" w:eastAsia="MS Mincho" w:hAnsi="Times New Roman" w:cs="Times New Roman"/>
          <w:bCs/>
          <w:sz w:val="24"/>
          <w:szCs w:val="24"/>
          <w:lang w:val="es-ES_tradnl" w:eastAsia="ja-JP"/>
        </w:rPr>
        <w:t>-L1</w:t>
      </w:r>
      <w:r w:rsidR="00E27BE5">
        <w:rPr>
          <w:rFonts w:ascii="Times New Roman" w:eastAsia="MS Mincho" w:hAnsi="Times New Roman" w:cs="Times New Roman"/>
          <w:bCs/>
          <w:sz w:val="24"/>
          <w:szCs w:val="24"/>
          <w:lang w:val="es-ES_tradnl" w:eastAsia="ja-JP"/>
        </w:rPr>
        <w:t>094</w:t>
      </w:r>
      <w:r w:rsidR="00A1501D" w:rsidRPr="00711751">
        <w:rPr>
          <w:rFonts w:ascii="Times New Roman" w:eastAsia="MS Mincho" w:hAnsi="Times New Roman" w:cs="Times New Roman"/>
          <w:bCs/>
          <w:sz w:val="24"/>
          <w:szCs w:val="24"/>
          <w:lang w:val="es-ES_tradnl" w:eastAsia="ja-JP"/>
        </w:rPr>
        <w:t xml:space="preserve"> </w:t>
      </w:r>
      <w:r w:rsidR="00164232" w:rsidRPr="00711751">
        <w:rPr>
          <w:rFonts w:ascii="Times New Roman" w:eastAsia="MS Mincho" w:hAnsi="Times New Roman" w:cs="Times New Roman"/>
          <w:bCs/>
          <w:sz w:val="24"/>
          <w:szCs w:val="24"/>
          <w:lang w:val="es-ES_tradnl" w:eastAsia="ja-JP"/>
        </w:rPr>
        <w:t xml:space="preserve">antes expuesto, </w:t>
      </w:r>
      <w:r w:rsidR="006F56E0" w:rsidRPr="00711751">
        <w:rPr>
          <w:rFonts w:ascii="Times New Roman" w:eastAsia="MS Mincho" w:hAnsi="Times New Roman" w:cs="Times New Roman"/>
          <w:bCs/>
          <w:sz w:val="24"/>
          <w:szCs w:val="24"/>
          <w:lang w:val="es-ES_tradnl" w:eastAsia="ja-JP"/>
        </w:rPr>
        <w:t xml:space="preserve">se </w:t>
      </w:r>
      <w:r w:rsidR="00164232" w:rsidRPr="00711751">
        <w:rPr>
          <w:rFonts w:ascii="Times New Roman" w:eastAsia="MS Mincho" w:hAnsi="Times New Roman" w:cs="Times New Roman"/>
          <w:bCs/>
          <w:sz w:val="24"/>
          <w:szCs w:val="24"/>
          <w:lang w:val="es-ES_tradnl" w:eastAsia="ja-JP"/>
        </w:rPr>
        <w:t xml:space="preserve">evidencia </w:t>
      </w:r>
      <w:r w:rsidR="006F56E0" w:rsidRPr="00711751">
        <w:rPr>
          <w:rFonts w:ascii="Times New Roman" w:eastAsia="MS Mincho" w:hAnsi="Times New Roman" w:cs="Times New Roman"/>
          <w:bCs/>
          <w:sz w:val="24"/>
          <w:szCs w:val="24"/>
          <w:lang w:val="es-ES_tradnl" w:eastAsia="ja-JP"/>
        </w:rPr>
        <w:t xml:space="preserve">que esta operación contribuye </w:t>
      </w:r>
      <w:r w:rsidR="00164232" w:rsidRPr="00711751">
        <w:rPr>
          <w:rFonts w:ascii="Times New Roman" w:eastAsia="MS Mincho" w:hAnsi="Times New Roman" w:cs="Times New Roman"/>
          <w:bCs/>
          <w:sz w:val="24"/>
          <w:szCs w:val="24"/>
          <w:lang w:val="es-ES_tradnl" w:eastAsia="ja-JP"/>
        </w:rPr>
        <w:t>con lo siguiente</w:t>
      </w:r>
      <w:r w:rsidR="006F56E0" w:rsidRPr="00711751">
        <w:rPr>
          <w:rFonts w:ascii="Times New Roman" w:eastAsia="MS Mincho" w:hAnsi="Times New Roman" w:cs="Times New Roman"/>
          <w:bCs/>
          <w:sz w:val="24"/>
          <w:szCs w:val="24"/>
          <w:lang w:val="es-ES_tradnl" w:eastAsia="ja-JP"/>
        </w:rPr>
        <w:t>:</w:t>
      </w:r>
      <w:r w:rsidR="000E0781" w:rsidRPr="00711751">
        <w:rPr>
          <w:rFonts w:ascii="Times New Roman" w:eastAsia="MS Mincho" w:hAnsi="Times New Roman" w:cs="Times New Roman"/>
          <w:bCs/>
          <w:sz w:val="24"/>
          <w:szCs w:val="24"/>
          <w:lang w:val="es-ES_tradnl" w:eastAsia="ja-JP"/>
        </w:rPr>
        <w:t xml:space="preserve"> </w:t>
      </w:r>
      <w:r w:rsidR="000E0781">
        <w:rPr>
          <w:rFonts w:ascii="Times New Roman" w:eastAsia="MS Mincho" w:hAnsi="Times New Roman" w:cs="Times New Roman"/>
          <w:bCs/>
          <w:sz w:val="24"/>
          <w:szCs w:val="24"/>
          <w:lang w:val="es-ES_tradnl" w:eastAsia="ja-JP"/>
        </w:rPr>
        <w:t xml:space="preserve">(i) </w:t>
      </w:r>
      <w:r w:rsidR="00D50C50" w:rsidRPr="00711751">
        <w:rPr>
          <w:rFonts w:ascii="Times New Roman" w:eastAsia="MS Mincho" w:hAnsi="Times New Roman" w:cs="Times New Roman"/>
          <w:b/>
          <w:bCs/>
          <w:i/>
          <w:sz w:val="24"/>
          <w:szCs w:val="24"/>
          <w:lang w:val="es-ES_tradnl" w:eastAsia="ja-JP"/>
        </w:rPr>
        <w:t>Focalización multinacional</w:t>
      </w:r>
      <w:r w:rsidR="000E0781" w:rsidRPr="00430ACC">
        <w:rPr>
          <w:rFonts w:ascii="Times New Roman" w:eastAsia="MS Mincho" w:hAnsi="Times New Roman" w:cs="Times New Roman"/>
          <w:bCs/>
          <w:sz w:val="24"/>
          <w:szCs w:val="24"/>
          <w:lang w:val="es-ES_tradnl" w:eastAsia="ja-JP"/>
        </w:rPr>
        <w:t>-</w:t>
      </w:r>
      <w:r w:rsidR="00D50C50" w:rsidRPr="00711751">
        <w:rPr>
          <w:rFonts w:ascii="Times New Roman" w:eastAsia="MS Mincho" w:hAnsi="Times New Roman" w:cs="Times New Roman"/>
          <w:bCs/>
          <w:sz w:val="24"/>
          <w:szCs w:val="24"/>
          <w:lang w:val="es-ES_tradnl" w:eastAsia="ja-JP"/>
        </w:rPr>
        <w:t xml:space="preserve"> </w:t>
      </w:r>
      <w:r w:rsidR="00164232" w:rsidRPr="00711751">
        <w:rPr>
          <w:rFonts w:ascii="Times New Roman" w:eastAsia="MS Mincho" w:hAnsi="Times New Roman" w:cs="Times New Roman"/>
          <w:bCs/>
          <w:sz w:val="24"/>
          <w:szCs w:val="24"/>
          <w:lang w:val="es-ES_tradnl" w:eastAsia="ja-JP"/>
        </w:rPr>
        <w:t xml:space="preserve">En línea con los objetivos de </w:t>
      </w:r>
      <w:r w:rsidR="00E27BE5">
        <w:rPr>
          <w:rFonts w:ascii="Times New Roman" w:eastAsia="MS Mincho" w:hAnsi="Times New Roman" w:cs="Times New Roman"/>
          <w:bCs/>
          <w:sz w:val="24"/>
          <w:szCs w:val="24"/>
          <w:lang w:val="es-ES_tradnl" w:eastAsia="ja-JP"/>
        </w:rPr>
        <w:t>SIEPAC</w:t>
      </w:r>
      <w:r w:rsidR="00164232" w:rsidRPr="00711751">
        <w:rPr>
          <w:rFonts w:ascii="Times New Roman" w:eastAsia="MS Mincho" w:hAnsi="Times New Roman" w:cs="Times New Roman"/>
          <w:bCs/>
          <w:sz w:val="24"/>
          <w:szCs w:val="24"/>
          <w:lang w:val="es-ES_tradnl" w:eastAsia="ja-JP"/>
        </w:rPr>
        <w:t xml:space="preserve">, </w:t>
      </w:r>
      <w:r w:rsidR="00E27BE5">
        <w:rPr>
          <w:rFonts w:ascii="Times New Roman" w:eastAsia="MS Mincho" w:hAnsi="Times New Roman" w:cs="Times New Roman"/>
          <w:bCs/>
          <w:sz w:val="24"/>
          <w:szCs w:val="24"/>
          <w:lang w:val="es-ES_tradnl" w:eastAsia="ja-JP"/>
        </w:rPr>
        <w:t xml:space="preserve">el </w:t>
      </w:r>
      <w:r w:rsidR="00D50C50" w:rsidRPr="00711751">
        <w:rPr>
          <w:rFonts w:ascii="Times New Roman" w:eastAsia="MS Mincho" w:hAnsi="Times New Roman" w:cs="Times New Roman"/>
          <w:bCs/>
          <w:sz w:val="24"/>
          <w:szCs w:val="24"/>
          <w:lang w:val="es-ES_tradnl" w:eastAsia="ja-JP"/>
        </w:rPr>
        <w:t>Componente II</w:t>
      </w:r>
      <w:r w:rsidR="005D7C81" w:rsidRPr="00711751">
        <w:rPr>
          <w:rFonts w:ascii="Times New Roman" w:eastAsia="MS Mincho" w:hAnsi="Times New Roman" w:cs="Times New Roman"/>
          <w:bCs/>
          <w:sz w:val="24"/>
          <w:szCs w:val="24"/>
          <w:lang w:val="es-ES_tradnl" w:eastAsia="ja-JP"/>
        </w:rPr>
        <w:t xml:space="preserve"> </w:t>
      </w:r>
      <w:r w:rsidR="00E27BE5">
        <w:rPr>
          <w:rFonts w:ascii="Times New Roman" w:eastAsia="MS Mincho" w:hAnsi="Times New Roman" w:cs="Times New Roman"/>
          <w:bCs/>
          <w:sz w:val="24"/>
          <w:szCs w:val="24"/>
          <w:lang w:val="es-ES_tradnl" w:eastAsia="ja-JP"/>
        </w:rPr>
        <w:t>financia</w:t>
      </w:r>
      <w:r w:rsidR="00164232" w:rsidRPr="00711751">
        <w:rPr>
          <w:rFonts w:ascii="Times New Roman" w:eastAsia="MS Mincho" w:hAnsi="Times New Roman" w:cs="Times New Roman"/>
          <w:bCs/>
          <w:sz w:val="24"/>
          <w:szCs w:val="24"/>
          <w:lang w:val="es-ES_tradnl" w:eastAsia="ja-JP"/>
        </w:rPr>
        <w:t xml:space="preserve"> el desarrollo de infraestructura</w:t>
      </w:r>
      <w:r w:rsidR="005D7C81" w:rsidRPr="00711751">
        <w:rPr>
          <w:rFonts w:ascii="Times New Roman" w:eastAsia="MS Mincho" w:hAnsi="Times New Roman" w:cs="Times New Roman"/>
          <w:bCs/>
          <w:sz w:val="24"/>
          <w:szCs w:val="24"/>
          <w:lang w:val="es-ES_tradnl" w:eastAsia="ja-JP"/>
        </w:rPr>
        <w:t xml:space="preserve"> </w:t>
      </w:r>
      <w:r w:rsidR="0023357E">
        <w:rPr>
          <w:rFonts w:ascii="Times New Roman" w:eastAsia="MS Mincho" w:hAnsi="Times New Roman" w:cs="Times New Roman"/>
          <w:bCs/>
          <w:sz w:val="24"/>
          <w:szCs w:val="24"/>
          <w:lang w:val="es-ES_tradnl" w:eastAsia="ja-JP"/>
        </w:rPr>
        <w:t xml:space="preserve">nacional </w:t>
      </w:r>
      <w:r w:rsidR="005D7C81" w:rsidRPr="00711751">
        <w:rPr>
          <w:rFonts w:ascii="Times New Roman" w:eastAsia="MS Mincho" w:hAnsi="Times New Roman" w:cs="Times New Roman"/>
          <w:bCs/>
          <w:sz w:val="24"/>
          <w:szCs w:val="24"/>
          <w:lang w:val="es-ES_tradnl" w:eastAsia="ja-JP"/>
        </w:rPr>
        <w:t xml:space="preserve">que </w:t>
      </w:r>
      <w:r w:rsidR="00D50C50" w:rsidRPr="00711751">
        <w:rPr>
          <w:rFonts w:ascii="Times New Roman" w:eastAsia="MS Mincho" w:hAnsi="Times New Roman" w:cs="Times New Roman"/>
          <w:bCs/>
          <w:sz w:val="24"/>
          <w:szCs w:val="24"/>
          <w:lang w:val="es-ES_tradnl" w:eastAsia="ja-JP"/>
        </w:rPr>
        <w:t xml:space="preserve">contribuye </w:t>
      </w:r>
      <w:r w:rsidR="00164232" w:rsidRPr="00711751">
        <w:rPr>
          <w:rFonts w:ascii="Times New Roman" w:eastAsia="MS Mincho" w:hAnsi="Times New Roman" w:cs="Times New Roman"/>
          <w:bCs/>
          <w:sz w:val="24"/>
          <w:szCs w:val="24"/>
          <w:lang w:val="es-ES_tradnl" w:eastAsia="ja-JP"/>
        </w:rPr>
        <w:t xml:space="preserve">a la </w:t>
      </w:r>
      <w:r w:rsidR="005D7C81" w:rsidRPr="00711751">
        <w:rPr>
          <w:rFonts w:ascii="Times New Roman" w:eastAsia="MS Mincho" w:hAnsi="Times New Roman" w:cs="Times New Roman"/>
          <w:bCs/>
          <w:sz w:val="24"/>
          <w:szCs w:val="24"/>
          <w:lang w:val="es-ES_tradnl" w:eastAsia="ja-JP"/>
        </w:rPr>
        <w:t xml:space="preserve">internacionalización del sector eléctrico con </w:t>
      </w:r>
      <w:r w:rsidR="00D50C50" w:rsidRPr="00711751">
        <w:rPr>
          <w:rFonts w:ascii="Times New Roman" w:eastAsia="MS Mincho" w:hAnsi="Times New Roman" w:cs="Times New Roman"/>
          <w:bCs/>
          <w:sz w:val="24"/>
          <w:szCs w:val="24"/>
          <w:lang w:val="es-ES_tradnl" w:eastAsia="ja-JP"/>
        </w:rPr>
        <w:t>impactos transfronterizos</w:t>
      </w:r>
      <w:r w:rsidR="00F17D08">
        <w:rPr>
          <w:rFonts w:ascii="Times New Roman" w:eastAsia="MS Mincho" w:hAnsi="Times New Roman" w:cs="Times New Roman"/>
          <w:bCs/>
          <w:sz w:val="24"/>
          <w:szCs w:val="24"/>
          <w:lang w:val="es-ES_tradnl" w:eastAsia="ja-JP"/>
        </w:rPr>
        <w:t xml:space="preserve">, </w:t>
      </w:r>
      <w:r w:rsidR="00A30051">
        <w:rPr>
          <w:rFonts w:ascii="Times New Roman" w:eastAsia="MS Mincho" w:hAnsi="Times New Roman" w:cs="Times New Roman"/>
          <w:bCs/>
          <w:sz w:val="24"/>
          <w:szCs w:val="24"/>
          <w:lang w:val="es-ES_tradnl" w:eastAsia="ja-JP"/>
        </w:rPr>
        <w:t xml:space="preserve">puesto que </w:t>
      </w:r>
      <w:r w:rsidR="00A30051" w:rsidRPr="00E27BE5">
        <w:rPr>
          <w:rFonts w:ascii="Times New Roman" w:eastAsia="MS Mincho" w:hAnsi="Times New Roman" w:cs="Times New Roman"/>
          <w:bCs/>
          <w:sz w:val="24"/>
          <w:szCs w:val="24"/>
          <w:lang w:val="es-ES_tradnl" w:eastAsia="ja-JP"/>
        </w:rPr>
        <w:t>permitirá alcanzar el nivel transferencias de 300MW del SIEPAC</w:t>
      </w:r>
      <w:r w:rsidR="000E0781" w:rsidRPr="000E0781">
        <w:rPr>
          <w:rFonts w:ascii="Times New Roman" w:eastAsia="MS Mincho" w:hAnsi="Times New Roman" w:cs="Times New Roman"/>
          <w:bCs/>
          <w:sz w:val="24"/>
          <w:szCs w:val="24"/>
          <w:lang w:val="es-ES_tradnl" w:eastAsia="ja-JP"/>
        </w:rPr>
        <w:t>;</w:t>
      </w:r>
      <w:r w:rsidR="000E0781">
        <w:rPr>
          <w:rFonts w:ascii="Times New Roman" w:eastAsia="MS Mincho" w:hAnsi="Times New Roman" w:cs="Times New Roman"/>
          <w:bCs/>
          <w:sz w:val="24"/>
          <w:szCs w:val="24"/>
          <w:lang w:val="es-ES_tradnl" w:eastAsia="ja-JP"/>
        </w:rPr>
        <w:t xml:space="preserve"> </w:t>
      </w:r>
      <w:r w:rsidR="00E27BE5">
        <w:rPr>
          <w:rFonts w:ascii="Times New Roman" w:eastAsia="MS Mincho" w:hAnsi="Times New Roman" w:cs="Times New Roman"/>
          <w:bCs/>
          <w:sz w:val="24"/>
          <w:szCs w:val="24"/>
          <w:lang w:val="es-ES_tradnl" w:eastAsia="ja-JP"/>
        </w:rPr>
        <w:t>y</w:t>
      </w:r>
      <w:r w:rsidR="000E0781" w:rsidRPr="00711751">
        <w:rPr>
          <w:rFonts w:ascii="Times New Roman" w:eastAsia="MS Mincho" w:hAnsi="Times New Roman" w:cs="Times New Roman"/>
          <w:bCs/>
          <w:sz w:val="24"/>
          <w:szCs w:val="24"/>
          <w:lang w:val="es-ES_tradnl" w:eastAsia="ja-JP"/>
        </w:rPr>
        <w:t xml:space="preserve"> (</w:t>
      </w:r>
      <w:r w:rsidR="00A30051">
        <w:rPr>
          <w:rFonts w:ascii="Times New Roman" w:eastAsia="MS Mincho" w:hAnsi="Times New Roman" w:cs="Times New Roman"/>
          <w:bCs/>
          <w:sz w:val="24"/>
          <w:szCs w:val="24"/>
          <w:lang w:val="es-ES_tradnl" w:eastAsia="ja-JP"/>
        </w:rPr>
        <w:t>ii</w:t>
      </w:r>
      <w:r w:rsidR="000E0781" w:rsidRPr="00711751">
        <w:rPr>
          <w:rFonts w:ascii="Times New Roman" w:eastAsia="MS Mincho" w:hAnsi="Times New Roman" w:cs="Times New Roman"/>
          <w:bCs/>
          <w:sz w:val="24"/>
          <w:szCs w:val="24"/>
          <w:lang w:val="es-ES_tradnl" w:eastAsia="ja-JP"/>
        </w:rPr>
        <w:t xml:space="preserve">) </w:t>
      </w:r>
      <w:r w:rsidR="00D50C50" w:rsidRPr="00711751">
        <w:rPr>
          <w:rFonts w:ascii="Times New Roman" w:eastAsia="MS Mincho" w:hAnsi="Times New Roman" w:cs="Times New Roman"/>
          <w:b/>
          <w:bCs/>
          <w:i/>
          <w:sz w:val="24"/>
          <w:szCs w:val="24"/>
          <w:lang w:val="es-ES_tradnl" w:eastAsia="ja-JP"/>
        </w:rPr>
        <w:t>Adicionalidad regional</w:t>
      </w:r>
      <w:r w:rsidR="000E0781">
        <w:rPr>
          <w:rFonts w:ascii="Times New Roman" w:eastAsia="MS Mincho" w:hAnsi="Times New Roman" w:cs="Times New Roman"/>
          <w:bCs/>
          <w:sz w:val="24"/>
          <w:szCs w:val="24"/>
          <w:lang w:val="es-ES_tradnl" w:eastAsia="ja-JP"/>
        </w:rPr>
        <w:t>-</w:t>
      </w:r>
      <w:r w:rsidR="00D50C50" w:rsidRPr="00711751">
        <w:rPr>
          <w:rFonts w:ascii="Times New Roman" w:eastAsia="MS Mincho" w:hAnsi="Times New Roman" w:cs="Times New Roman"/>
          <w:bCs/>
          <w:sz w:val="24"/>
          <w:szCs w:val="24"/>
          <w:lang w:val="es-ES_tradnl" w:eastAsia="ja-JP"/>
        </w:rPr>
        <w:t xml:space="preserve"> </w:t>
      </w:r>
      <w:r w:rsidR="00164232" w:rsidRPr="00711751">
        <w:rPr>
          <w:rFonts w:ascii="Times New Roman" w:eastAsia="MS Mincho" w:hAnsi="Times New Roman" w:cs="Times New Roman"/>
          <w:bCs/>
          <w:sz w:val="24"/>
          <w:szCs w:val="24"/>
          <w:lang w:val="es-ES_tradnl" w:eastAsia="ja-JP"/>
        </w:rPr>
        <w:t>Incorpora</w:t>
      </w:r>
      <w:r w:rsidR="00D50C50" w:rsidRPr="00711751">
        <w:rPr>
          <w:rFonts w:ascii="Times New Roman" w:eastAsia="MS Mincho" w:hAnsi="Times New Roman" w:cs="Times New Roman"/>
          <w:bCs/>
          <w:sz w:val="24"/>
          <w:szCs w:val="24"/>
          <w:lang w:val="es-ES_tradnl" w:eastAsia="ja-JP"/>
        </w:rPr>
        <w:t xml:space="preserve"> objetivos internacionales y/o de cooperación regional (</w:t>
      </w:r>
      <w:r w:rsidR="00E27BE5">
        <w:rPr>
          <w:rFonts w:ascii="Times New Roman" w:eastAsia="MS Mincho" w:hAnsi="Times New Roman" w:cs="Times New Roman"/>
          <w:bCs/>
          <w:sz w:val="24"/>
          <w:szCs w:val="24"/>
          <w:lang w:val="es-ES_tradnl" w:eastAsia="ja-JP"/>
        </w:rPr>
        <w:t>SIEPAC</w:t>
      </w:r>
      <w:r w:rsidR="00D50C50" w:rsidRPr="00711751">
        <w:rPr>
          <w:rFonts w:ascii="Times New Roman" w:eastAsia="MS Mincho" w:hAnsi="Times New Roman" w:cs="Times New Roman"/>
          <w:bCs/>
          <w:sz w:val="24"/>
          <w:szCs w:val="24"/>
          <w:lang w:val="es-ES_tradnl" w:eastAsia="ja-JP"/>
        </w:rPr>
        <w:t xml:space="preserve">). </w:t>
      </w:r>
      <w:r w:rsidR="00EE2CD2">
        <w:rPr>
          <w:rFonts w:ascii="Times New Roman" w:eastAsia="MS Mincho" w:hAnsi="Times New Roman" w:cs="Times New Roman"/>
          <w:bCs/>
          <w:sz w:val="24"/>
          <w:szCs w:val="24"/>
          <w:lang w:val="es-ES_tradnl" w:eastAsia="ja-JP"/>
        </w:rPr>
        <w:t xml:space="preserve"> </w:t>
      </w:r>
      <w:r w:rsidR="00D50C50" w:rsidRPr="00711751">
        <w:rPr>
          <w:rFonts w:ascii="Times New Roman" w:eastAsia="MS Mincho" w:hAnsi="Times New Roman" w:cs="Times New Roman"/>
          <w:bCs/>
          <w:sz w:val="24"/>
          <w:szCs w:val="24"/>
          <w:lang w:val="es-ES_tradnl" w:eastAsia="ja-JP"/>
        </w:rPr>
        <w:t xml:space="preserve">Es decir, el alcance de la operación apoya de manera simultánea a un grupo de países que promueven </w:t>
      </w:r>
      <w:r w:rsidR="00A73A4B" w:rsidRPr="00711751">
        <w:rPr>
          <w:rFonts w:ascii="Times New Roman" w:eastAsia="MS Mincho" w:hAnsi="Times New Roman" w:cs="Times New Roman"/>
          <w:bCs/>
          <w:sz w:val="24"/>
          <w:szCs w:val="24"/>
          <w:lang w:val="es-ES_tradnl" w:eastAsia="ja-JP"/>
        </w:rPr>
        <w:t>el mercado eléctrico</w:t>
      </w:r>
      <w:r w:rsidR="00E27BE5">
        <w:rPr>
          <w:rFonts w:ascii="Times New Roman" w:eastAsia="MS Mincho" w:hAnsi="Times New Roman" w:cs="Times New Roman"/>
          <w:bCs/>
          <w:sz w:val="24"/>
          <w:szCs w:val="24"/>
          <w:lang w:val="es-ES_tradnl" w:eastAsia="ja-JP"/>
        </w:rPr>
        <w:t xml:space="preserve"> regional.</w:t>
      </w:r>
    </w:p>
    <w:p w:rsidR="00A719CA" w:rsidRDefault="00A719CA" w:rsidP="005013E6">
      <w:pPr>
        <w:numPr>
          <w:ilvl w:val="1"/>
          <w:numId w:val="2"/>
        </w:numPr>
        <w:autoSpaceDE w:val="0"/>
        <w:autoSpaceDN w:val="0"/>
        <w:adjustRightInd w:val="0"/>
        <w:spacing w:after="120" w:line="240" w:lineRule="auto"/>
        <w:ind w:left="547" w:hanging="547"/>
        <w:jc w:val="both"/>
        <w:rPr>
          <w:rFonts w:ascii="Times New Roman" w:hAnsi="Times New Roman" w:cs="Times New Roman"/>
          <w:b/>
          <w:sz w:val="24"/>
          <w:szCs w:val="24"/>
          <w:lang w:val="es-ES_tradnl"/>
        </w:rPr>
      </w:pPr>
      <w:r w:rsidRPr="00430ACC">
        <w:rPr>
          <w:rFonts w:ascii="Times New Roman" w:hAnsi="Times New Roman" w:cs="Times New Roman"/>
          <w:sz w:val="24"/>
          <w:szCs w:val="24"/>
          <w:lang w:val="es-ES_tradnl"/>
        </w:rPr>
        <w:t>De otra parte, las actividades que apoyan la integración y cooperación regional</w:t>
      </w:r>
      <w:r w:rsidR="001C030E">
        <w:rPr>
          <w:rFonts w:ascii="Times New Roman" w:hAnsi="Times New Roman" w:cs="Times New Roman"/>
          <w:sz w:val="24"/>
          <w:szCs w:val="24"/>
          <w:lang w:val="es-ES_tradnl"/>
        </w:rPr>
        <w:t>,</w:t>
      </w:r>
      <w:r w:rsidRPr="00430ACC">
        <w:rPr>
          <w:rFonts w:ascii="Times New Roman" w:hAnsi="Times New Roman" w:cs="Times New Roman"/>
          <w:sz w:val="24"/>
          <w:szCs w:val="24"/>
          <w:lang w:val="es-ES_tradnl"/>
        </w:rPr>
        <w:t xml:space="preserve"> globales y regionales se pueden clasificar en tres grandes ámbitos principales: i) </w:t>
      </w:r>
      <w:r w:rsidR="00EE2CD2">
        <w:rPr>
          <w:rFonts w:ascii="Times New Roman" w:hAnsi="Times New Roman" w:cs="Times New Roman"/>
          <w:sz w:val="24"/>
          <w:szCs w:val="24"/>
          <w:lang w:val="es-ES_tradnl"/>
        </w:rPr>
        <w:t>i</w:t>
      </w:r>
      <w:r w:rsidRPr="00430ACC">
        <w:rPr>
          <w:rFonts w:ascii="Times New Roman" w:hAnsi="Times New Roman" w:cs="Times New Roman"/>
          <w:sz w:val="24"/>
          <w:szCs w:val="24"/>
          <w:lang w:val="es-ES_tradnl"/>
        </w:rPr>
        <w:t xml:space="preserve">nfraestructura; ii) </w:t>
      </w:r>
      <w:r w:rsidR="00EE2CD2">
        <w:rPr>
          <w:rFonts w:ascii="Times New Roman" w:hAnsi="Times New Roman" w:cs="Times New Roman"/>
          <w:sz w:val="24"/>
          <w:szCs w:val="24"/>
          <w:lang w:val="es-ES_tradnl"/>
        </w:rPr>
        <w:t>f</w:t>
      </w:r>
      <w:r w:rsidRPr="00430ACC">
        <w:rPr>
          <w:rFonts w:ascii="Times New Roman" w:hAnsi="Times New Roman" w:cs="Times New Roman"/>
          <w:sz w:val="24"/>
          <w:szCs w:val="24"/>
          <w:lang w:val="es-ES_tradnl"/>
        </w:rPr>
        <w:t xml:space="preserve">ortalecimiento institucional y </w:t>
      </w:r>
      <w:r w:rsidRPr="001F2C48">
        <w:rPr>
          <w:rFonts w:ascii="Times New Roman" w:hAnsi="Times New Roman" w:cs="Times New Roman"/>
          <w:sz w:val="24"/>
          <w:szCs w:val="24"/>
          <w:lang w:val="es-ES_tradnl"/>
        </w:rPr>
        <w:t xml:space="preserve">desarrollo de la capacidad y; iii) </w:t>
      </w:r>
      <w:r w:rsidR="00EE2CD2">
        <w:rPr>
          <w:rFonts w:ascii="Times New Roman" w:hAnsi="Times New Roman" w:cs="Times New Roman"/>
          <w:sz w:val="24"/>
          <w:szCs w:val="24"/>
          <w:lang w:val="es-ES_tradnl"/>
        </w:rPr>
        <w:t>c</w:t>
      </w:r>
      <w:r w:rsidRPr="001F2C48">
        <w:rPr>
          <w:rFonts w:ascii="Times New Roman" w:hAnsi="Times New Roman" w:cs="Times New Roman"/>
          <w:sz w:val="24"/>
          <w:szCs w:val="24"/>
          <w:lang w:val="es-ES_tradnl"/>
        </w:rPr>
        <w:t xml:space="preserve">ooperación funcional y bienes públicos regionales. De acuerdo a los componentes descritos en la propuesta de préstamo, la operación se clasifica dentro del ámbito </w:t>
      </w:r>
      <w:r w:rsidRPr="0043790D">
        <w:rPr>
          <w:rFonts w:ascii="Times New Roman" w:hAnsi="Times New Roman" w:cs="Times New Roman"/>
          <w:sz w:val="24"/>
          <w:szCs w:val="24"/>
          <w:lang w:val="es-ES_tradnl"/>
        </w:rPr>
        <w:t>de</w:t>
      </w:r>
      <w:r w:rsidRPr="001F2C48">
        <w:rPr>
          <w:rFonts w:ascii="Times New Roman" w:hAnsi="Times New Roman" w:cs="Times New Roman"/>
          <w:b/>
          <w:sz w:val="24"/>
          <w:szCs w:val="24"/>
          <w:lang w:val="es-ES_tradnl"/>
        </w:rPr>
        <w:t xml:space="preserve"> </w:t>
      </w:r>
      <w:r w:rsidR="005D7C81" w:rsidRPr="001F2C48">
        <w:rPr>
          <w:rFonts w:ascii="Times New Roman" w:hAnsi="Times New Roman" w:cs="Times New Roman"/>
          <w:b/>
          <w:sz w:val="24"/>
          <w:szCs w:val="24"/>
          <w:lang w:val="es-ES_tradnl"/>
        </w:rPr>
        <w:t>Infraestructura.</w:t>
      </w:r>
    </w:p>
    <w:p w:rsidR="005D6D47" w:rsidRPr="00EE2CD2" w:rsidRDefault="00F17D08" w:rsidP="0043790D">
      <w:pPr>
        <w:numPr>
          <w:ilvl w:val="1"/>
          <w:numId w:val="2"/>
        </w:numPr>
        <w:autoSpaceDE w:val="0"/>
        <w:autoSpaceDN w:val="0"/>
        <w:adjustRightInd w:val="0"/>
        <w:spacing w:after="120" w:line="240" w:lineRule="auto"/>
        <w:ind w:left="547" w:hanging="547"/>
        <w:jc w:val="both"/>
        <w:rPr>
          <w:rFonts w:ascii="Times New Roman" w:hAnsi="Times New Roman" w:cs="Times New Roman"/>
          <w:sz w:val="24"/>
          <w:szCs w:val="24"/>
          <w:lang w:val="es-ES_tradnl"/>
        </w:rPr>
      </w:pPr>
      <w:r w:rsidRPr="00EE2CD2">
        <w:rPr>
          <w:rFonts w:ascii="Times New Roman" w:hAnsi="Times New Roman" w:cs="Times New Roman"/>
          <w:b/>
          <w:sz w:val="24"/>
          <w:szCs w:val="24"/>
          <w:lang w:val="es-ES_tradnl"/>
        </w:rPr>
        <w:t xml:space="preserve">La consistencia de los objetivos y resultados de la operación con la </w:t>
      </w:r>
      <w:r w:rsidRPr="00EE2CD2">
        <w:rPr>
          <w:rFonts w:ascii="Times New Roman" w:eastAsia="MS Mincho" w:hAnsi="Times New Roman" w:cs="Times New Roman"/>
          <w:bCs/>
          <w:sz w:val="24"/>
          <w:szCs w:val="24"/>
          <w:lang w:val="es-ES_tradnl" w:eastAsia="ja-JP"/>
        </w:rPr>
        <w:t xml:space="preserve">estrategia sectorial del BID de apoyo a la Competitividad Global y Regional para la Integración (GN-2565-4) </w:t>
      </w:r>
      <w:r w:rsidRPr="00EE2CD2">
        <w:rPr>
          <w:rFonts w:ascii="Times New Roman" w:hAnsi="Times New Roman" w:cs="Times New Roman"/>
          <w:b/>
          <w:sz w:val="24"/>
          <w:szCs w:val="24"/>
          <w:lang w:val="es-ES_tradnl"/>
        </w:rPr>
        <w:t>estrategia demuestran su alineación estratégica con el Desafío Regional de Integración Económica  (Número de DOC)</w:t>
      </w:r>
      <w:r w:rsidR="00EE2CD2" w:rsidRPr="00EE2CD2">
        <w:rPr>
          <w:rFonts w:ascii="Times New Roman" w:hAnsi="Times New Roman" w:cs="Times New Roman"/>
          <w:sz w:val="24"/>
          <w:szCs w:val="24"/>
          <w:lang w:val="es-ES_tradnl"/>
        </w:rPr>
        <w:t>.</w:t>
      </w:r>
    </w:p>
    <w:sectPr w:rsidR="005D6D47" w:rsidRPr="00EE2CD2" w:rsidSect="00F468A2">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31B" w:rsidRDefault="002E231B" w:rsidP="0064148C">
      <w:pPr>
        <w:spacing w:after="0" w:line="240" w:lineRule="auto"/>
      </w:pPr>
      <w:r>
        <w:separator/>
      </w:r>
    </w:p>
  </w:endnote>
  <w:endnote w:type="continuationSeparator" w:id="0">
    <w:p w:rsidR="002E231B" w:rsidRDefault="002E231B"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438470"/>
      <w:docPartObj>
        <w:docPartGallery w:val="Page Numbers (Bottom of Page)"/>
        <w:docPartUnique/>
      </w:docPartObj>
    </w:sdtPr>
    <w:sdtEndPr>
      <w:rPr>
        <w:noProof/>
      </w:rPr>
    </w:sdtEndPr>
    <w:sdtContent>
      <w:p w:rsidR="00FF5FA3" w:rsidRDefault="00FF5FA3">
        <w:pPr>
          <w:pStyle w:val="Footer"/>
          <w:jc w:val="center"/>
        </w:pPr>
        <w:r>
          <w:fldChar w:fldCharType="begin"/>
        </w:r>
        <w:r>
          <w:instrText xml:space="preserve"> PAGE   \* MERGEFORMAT </w:instrText>
        </w:r>
        <w:r>
          <w:fldChar w:fldCharType="separate"/>
        </w:r>
        <w:r w:rsidR="000A41E9">
          <w:rPr>
            <w:noProof/>
          </w:rPr>
          <w:t>1</w:t>
        </w:r>
        <w:r>
          <w:rPr>
            <w:noProof/>
          </w:rPr>
          <w:fldChar w:fldCharType="end"/>
        </w:r>
      </w:p>
    </w:sdtContent>
  </w:sdt>
  <w:p w:rsidR="00FF5FA3" w:rsidRDefault="00FF5F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31B" w:rsidRDefault="002E231B" w:rsidP="0064148C">
      <w:pPr>
        <w:spacing w:after="0" w:line="240" w:lineRule="auto"/>
      </w:pPr>
      <w:r>
        <w:separator/>
      </w:r>
    </w:p>
  </w:footnote>
  <w:footnote w:type="continuationSeparator" w:id="0">
    <w:p w:rsidR="002E231B" w:rsidRDefault="002E231B" w:rsidP="0064148C">
      <w:pPr>
        <w:spacing w:after="0" w:line="240" w:lineRule="auto"/>
      </w:pPr>
      <w:r>
        <w:continuationSeparator/>
      </w:r>
    </w:p>
  </w:footnote>
  <w:footnote w:id="1">
    <w:p w:rsidR="000D2253" w:rsidRPr="0023407D" w:rsidRDefault="000D2253" w:rsidP="000D2253">
      <w:pPr>
        <w:pStyle w:val="FootnoteText"/>
        <w:rPr>
          <w:lang w:val="es-ES_tradnl"/>
        </w:rPr>
      </w:pPr>
      <w:r>
        <w:rPr>
          <w:rStyle w:val="FootnoteReference"/>
        </w:rPr>
        <w:footnoteRef/>
      </w:r>
      <w:r w:rsidRPr="0023407D">
        <w:rPr>
          <w:lang w:val="es-ES_tradnl"/>
        </w:rPr>
        <w:t xml:space="preserve"> </w:t>
      </w:r>
      <w:r>
        <w:rPr>
          <w:lang w:val="es-ES_tradnl"/>
        </w:rPr>
        <w:t xml:space="preserve">La </w:t>
      </w:r>
      <w:r w:rsidRPr="0023407D">
        <w:rPr>
          <w:lang w:val="es-ES_tradnl"/>
        </w:rPr>
        <w:t>cobertura eléctrica del país pasó de 73,7% (2012) a 80,4% (2014), con el</w:t>
      </w:r>
      <w:r>
        <w:rPr>
          <w:lang w:val="es-ES_tradnl"/>
        </w:rPr>
        <w:t xml:space="preserve"> </w:t>
      </w:r>
      <w:r w:rsidRPr="0023407D">
        <w:rPr>
          <w:lang w:val="es-ES_tradnl"/>
        </w:rPr>
        <w:t>objetivo de alcanzar 90% en 2020.</w:t>
      </w:r>
    </w:p>
  </w:footnote>
  <w:footnote w:id="2">
    <w:p w:rsidR="006640B2" w:rsidRPr="0043790D" w:rsidRDefault="006640B2" w:rsidP="006640B2">
      <w:pPr>
        <w:pStyle w:val="FootnoteText"/>
        <w:spacing w:after="0"/>
        <w:ind w:left="446" w:hanging="446"/>
        <w:rPr>
          <w:rFonts w:ascii="Arial" w:hAnsi="Arial" w:cs="Arial"/>
          <w:sz w:val="18"/>
          <w:szCs w:val="18"/>
          <w:lang w:val="es-ES_tradnl"/>
        </w:rPr>
      </w:pPr>
      <w:r w:rsidRPr="00FF0B31">
        <w:rPr>
          <w:rFonts w:ascii="Arial" w:hAnsi="Arial" w:cs="Arial"/>
          <w:sz w:val="18"/>
          <w:szCs w:val="18"/>
          <w:vertAlign w:val="superscript"/>
        </w:rPr>
        <w:footnoteRef/>
      </w:r>
      <w:r w:rsidRPr="0043790D">
        <w:rPr>
          <w:rFonts w:ascii="Arial" w:hAnsi="Arial" w:cs="Arial"/>
          <w:sz w:val="18"/>
          <w:szCs w:val="18"/>
          <w:lang w:val="es-ES_tradnl"/>
        </w:rPr>
        <w:t xml:space="preserve"> </w:t>
      </w:r>
      <w:r w:rsidRPr="0043790D">
        <w:rPr>
          <w:rFonts w:ascii="Arial" w:hAnsi="Arial" w:cs="Arial"/>
          <w:sz w:val="18"/>
          <w:szCs w:val="18"/>
          <w:lang w:val="es-ES_tradnl"/>
        </w:rPr>
        <w:tab/>
      </w:r>
      <w:r w:rsidRPr="0043790D">
        <w:rPr>
          <w:rFonts w:ascii="Arial" w:hAnsi="Arial" w:cs="Arial"/>
          <w:sz w:val="18"/>
          <w:szCs w:val="18"/>
          <w:lang w:val="es-ES_tradnl"/>
        </w:rPr>
        <w:tab/>
        <w:t>El sector público realiza la exploración inicial para reducir incertidumbre y atraer inversión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AF4593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55E050A"/>
    <w:multiLevelType w:val="hybridMultilevel"/>
    <w:tmpl w:val="1BCCA2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5">
    <w:nsid w:val="221834D3"/>
    <w:multiLevelType w:val="hybridMultilevel"/>
    <w:tmpl w:val="A26A5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562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00D2DDB"/>
    <w:multiLevelType w:val="multilevel"/>
    <w:tmpl w:val="4E20B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2">
    <w:nsid w:val="359B4991"/>
    <w:multiLevelType w:val="multilevel"/>
    <w:tmpl w:val="2118092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11D3174"/>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7">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E44B88"/>
    <w:multiLevelType w:val="hybridMultilevel"/>
    <w:tmpl w:val="CB724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7">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26"/>
  </w:num>
  <w:num w:numId="3">
    <w:abstractNumId w:val="27"/>
  </w:num>
  <w:num w:numId="4">
    <w:abstractNumId w:val="15"/>
  </w:num>
  <w:num w:numId="5">
    <w:abstractNumId w:val="3"/>
  </w:num>
  <w:num w:numId="6">
    <w:abstractNumId w:val="29"/>
  </w:num>
  <w:num w:numId="7">
    <w:abstractNumId w:val="9"/>
  </w:num>
  <w:num w:numId="8">
    <w:abstractNumId w:val="13"/>
  </w:num>
  <w:num w:numId="9">
    <w:abstractNumId w:val="4"/>
  </w:num>
  <w:num w:numId="10">
    <w:abstractNumId w:val="23"/>
  </w:num>
  <w:num w:numId="11">
    <w:abstractNumId w:val="18"/>
  </w:num>
  <w:num w:numId="12">
    <w:abstractNumId w:val="25"/>
  </w:num>
  <w:num w:numId="13">
    <w:abstractNumId w:val="14"/>
  </w:num>
  <w:num w:numId="14">
    <w:abstractNumId w:val="22"/>
  </w:num>
  <w:num w:numId="15">
    <w:abstractNumId w:val="6"/>
  </w:num>
  <w:num w:numId="16">
    <w:abstractNumId w:val="17"/>
  </w:num>
  <w:num w:numId="17">
    <w:abstractNumId w:val="20"/>
  </w:num>
  <w:num w:numId="18">
    <w:abstractNumId w:val="2"/>
  </w:num>
  <w:num w:numId="19">
    <w:abstractNumId w:val="0"/>
  </w:num>
  <w:num w:numId="20">
    <w:abstractNumId w:val="5"/>
  </w:num>
  <w:num w:numId="21">
    <w:abstractNumId w:val="19"/>
  </w:num>
  <w:num w:numId="22">
    <w:abstractNumId w:val="8"/>
  </w:num>
  <w:num w:numId="23">
    <w:abstractNumId w:val="24"/>
  </w:num>
  <w:num w:numId="24">
    <w:abstractNumId w:val="28"/>
  </w:num>
  <w:num w:numId="25">
    <w:abstractNumId w:val="21"/>
  </w:num>
  <w:num w:numId="26">
    <w:abstractNumId w:val="7"/>
  </w:num>
  <w:num w:numId="27">
    <w:abstractNumId w:val="10"/>
  </w:num>
  <w:num w:numId="28">
    <w:abstractNumId w:val="1"/>
  </w:num>
  <w:num w:numId="29">
    <w:abstractNumId w:val="16"/>
  </w:num>
  <w:num w:numId="30">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briel Duran R">
    <w15:presenceInfo w15:providerId="None" w15:userId="Gabriel Duran 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48C"/>
    <w:rsid w:val="00001776"/>
    <w:rsid w:val="00004DED"/>
    <w:rsid w:val="0000622F"/>
    <w:rsid w:val="00007357"/>
    <w:rsid w:val="00007E57"/>
    <w:rsid w:val="00021E74"/>
    <w:rsid w:val="00027346"/>
    <w:rsid w:val="00027A04"/>
    <w:rsid w:val="00030512"/>
    <w:rsid w:val="0003178B"/>
    <w:rsid w:val="00032AED"/>
    <w:rsid w:val="00037010"/>
    <w:rsid w:val="00044235"/>
    <w:rsid w:val="00045D47"/>
    <w:rsid w:val="00050395"/>
    <w:rsid w:val="00050EF7"/>
    <w:rsid w:val="0005413E"/>
    <w:rsid w:val="00055410"/>
    <w:rsid w:val="00062D35"/>
    <w:rsid w:val="000766CB"/>
    <w:rsid w:val="00086142"/>
    <w:rsid w:val="000866C7"/>
    <w:rsid w:val="000904EB"/>
    <w:rsid w:val="00092FFF"/>
    <w:rsid w:val="000A41E9"/>
    <w:rsid w:val="000A6786"/>
    <w:rsid w:val="000B5216"/>
    <w:rsid w:val="000B6F63"/>
    <w:rsid w:val="000B6F69"/>
    <w:rsid w:val="000B6FA8"/>
    <w:rsid w:val="000B75C4"/>
    <w:rsid w:val="000B75D1"/>
    <w:rsid w:val="000C0712"/>
    <w:rsid w:val="000C1872"/>
    <w:rsid w:val="000C3AE0"/>
    <w:rsid w:val="000C4AA2"/>
    <w:rsid w:val="000C7B45"/>
    <w:rsid w:val="000D08D2"/>
    <w:rsid w:val="000D0CAA"/>
    <w:rsid w:val="000D1916"/>
    <w:rsid w:val="000D2253"/>
    <w:rsid w:val="000D379F"/>
    <w:rsid w:val="000D46AB"/>
    <w:rsid w:val="000D6166"/>
    <w:rsid w:val="000D7514"/>
    <w:rsid w:val="000E0781"/>
    <w:rsid w:val="000F105F"/>
    <w:rsid w:val="000F2A2E"/>
    <w:rsid w:val="000F549E"/>
    <w:rsid w:val="000F59DF"/>
    <w:rsid w:val="00100470"/>
    <w:rsid w:val="0010431D"/>
    <w:rsid w:val="001207DF"/>
    <w:rsid w:val="00121695"/>
    <w:rsid w:val="00122808"/>
    <w:rsid w:val="00126A26"/>
    <w:rsid w:val="0012748A"/>
    <w:rsid w:val="0013005C"/>
    <w:rsid w:val="001352B8"/>
    <w:rsid w:val="001354BB"/>
    <w:rsid w:val="00135C4E"/>
    <w:rsid w:val="00140487"/>
    <w:rsid w:val="00141D4A"/>
    <w:rsid w:val="00144131"/>
    <w:rsid w:val="00145A6D"/>
    <w:rsid w:val="00161BF3"/>
    <w:rsid w:val="00164232"/>
    <w:rsid w:val="00165FED"/>
    <w:rsid w:val="00170556"/>
    <w:rsid w:val="00171E97"/>
    <w:rsid w:val="001738CD"/>
    <w:rsid w:val="00185248"/>
    <w:rsid w:val="0018527E"/>
    <w:rsid w:val="0019456A"/>
    <w:rsid w:val="001A3F9E"/>
    <w:rsid w:val="001A47B1"/>
    <w:rsid w:val="001A4F46"/>
    <w:rsid w:val="001B2D1B"/>
    <w:rsid w:val="001B4689"/>
    <w:rsid w:val="001B50BD"/>
    <w:rsid w:val="001C030E"/>
    <w:rsid w:val="001C0BD0"/>
    <w:rsid w:val="001C621A"/>
    <w:rsid w:val="001D60A0"/>
    <w:rsid w:val="001D6F07"/>
    <w:rsid w:val="001D75AD"/>
    <w:rsid w:val="001D76F2"/>
    <w:rsid w:val="001E311F"/>
    <w:rsid w:val="001E6844"/>
    <w:rsid w:val="001E71C4"/>
    <w:rsid w:val="001F2C48"/>
    <w:rsid w:val="001F4DED"/>
    <w:rsid w:val="00202008"/>
    <w:rsid w:val="002042ED"/>
    <w:rsid w:val="002063F0"/>
    <w:rsid w:val="0020641F"/>
    <w:rsid w:val="0021182B"/>
    <w:rsid w:val="00211AE8"/>
    <w:rsid w:val="00213015"/>
    <w:rsid w:val="002140CD"/>
    <w:rsid w:val="002225BF"/>
    <w:rsid w:val="0022434B"/>
    <w:rsid w:val="00225ACB"/>
    <w:rsid w:val="0023357E"/>
    <w:rsid w:val="00233BA8"/>
    <w:rsid w:val="0023407D"/>
    <w:rsid w:val="0025220D"/>
    <w:rsid w:val="002523E5"/>
    <w:rsid w:val="0025288A"/>
    <w:rsid w:val="00255BBC"/>
    <w:rsid w:val="002568F8"/>
    <w:rsid w:val="002576F8"/>
    <w:rsid w:val="00265612"/>
    <w:rsid w:val="0026677F"/>
    <w:rsid w:val="002702D6"/>
    <w:rsid w:val="002754F8"/>
    <w:rsid w:val="0028775E"/>
    <w:rsid w:val="002921A3"/>
    <w:rsid w:val="002949F8"/>
    <w:rsid w:val="00296C73"/>
    <w:rsid w:val="002A0A03"/>
    <w:rsid w:val="002A53C4"/>
    <w:rsid w:val="002B54F9"/>
    <w:rsid w:val="002B5605"/>
    <w:rsid w:val="002B764D"/>
    <w:rsid w:val="002B7A03"/>
    <w:rsid w:val="002C1A7E"/>
    <w:rsid w:val="002C21D0"/>
    <w:rsid w:val="002D06AE"/>
    <w:rsid w:val="002D28BA"/>
    <w:rsid w:val="002D3939"/>
    <w:rsid w:val="002D4575"/>
    <w:rsid w:val="002D59AC"/>
    <w:rsid w:val="002E231B"/>
    <w:rsid w:val="002E3ADC"/>
    <w:rsid w:val="002E491A"/>
    <w:rsid w:val="002E7FBC"/>
    <w:rsid w:val="002F5698"/>
    <w:rsid w:val="003015B9"/>
    <w:rsid w:val="00303E76"/>
    <w:rsid w:val="0030405A"/>
    <w:rsid w:val="00305ABD"/>
    <w:rsid w:val="00307ECD"/>
    <w:rsid w:val="0031221B"/>
    <w:rsid w:val="00313B84"/>
    <w:rsid w:val="00327E9B"/>
    <w:rsid w:val="00341026"/>
    <w:rsid w:val="00355FD6"/>
    <w:rsid w:val="00371345"/>
    <w:rsid w:val="00374DE7"/>
    <w:rsid w:val="00377AC5"/>
    <w:rsid w:val="003813B5"/>
    <w:rsid w:val="00384073"/>
    <w:rsid w:val="00384953"/>
    <w:rsid w:val="00395548"/>
    <w:rsid w:val="003A28DE"/>
    <w:rsid w:val="003B7057"/>
    <w:rsid w:val="003C2086"/>
    <w:rsid w:val="003D45B0"/>
    <w:rsid w:val="003E1D61"/>
    <w:rsid w:val="003E20D6"/>
    <w:rsid w:val="003E7D6D"/>
    <w:rsid w:val="003F038D"/>
    <w:rsid w:val="003F084F"/>
    <w:rsid w:val="003F2F79"/>
    <w:rsid w:val="0040011E"/>
    <w:rsid w:val="00410D63"/>
    <w:rsid w:val="004112F7"/>
    <w:rsid w:val="00416A8E"/>
    <w:rsid w:val="0042162C"/>
    <w:rsid w:val="00427685"/>
    <w:rsid w:val="00430776"/>
    <w:rsid w:val="00430ACC"/>
    <w:rsid w:val="00432F78"/>
    <w:rsid w:val="00433681"/>
    <w:rsid w:val="00434B88"/>
    <w:rsid w:val="0043790D"/>
    <w:rsid w:val="00441629"/>
    <w:rsid w:val="00444F86"/>
    <w:rsid w:val="004514F5"/>
    <w:rsid w:val="00453652"/>
    <w:rsid w:val="00455BFD"/>
    <w:rsid w:val="00457CD7"/>
    <w:rsid w:val="00463036"/>
    <w:rsid w:val="0046347A"/>
    <w:rsid w:val="00464600"/>
    <w:rsid w:val="00470297"/>
    <w:rsid w:val="00474EA7"/>
    <w:rsid w:val="00475A61"/>
    <w:rsid w:val="00477FC0"/>
    <w:rsid w:val="004802B3"/>
    <w:rsid w:val="00483FC5"/>
    <w:rsid w:val="004865B3"/>
    <w:rsid w:val="004872CF"/>
    <w:rsid w:val="004872ED"/>
    <w:rsid w:val="00493D3A"/>
    <w:rsid w:val="004943EA"/>
    <w:rsid w:val="004961B8"/>
    <w:rsid w:val="004A4B79"/>
    <w:rsid w:val="004B4798"/>
    <w:rsid w:val="004C3FA2"/>
    <w:rsid w:val="004C4416"/>
    <w:rsid w:val="004C73D1"/>
    <w:rsid w:val="004D23F6"/>
    <w:rsid w:val="004E3611"/>
    <w:rsid w:val="004F0EA8"/>
    <w:rsid w:val="004F0EF6"/>
    <w:rsid w:val="004F5060"/>
    <w:rsid w:val="004F68DD"/>
    <w:rsid w:val="004F7C74"/>
    <w:rsid w:val="00500136"/>
    <w:rsid w:val="005013E6"/>
    <w:rsid w:val="00512DA5"/>
    <w:rsid w:val="00517C57"/>
    <w:rsid w:val="00522341"/>
    <w:rsid w:val="00522382"/>
    <w:rsid w:val="00535823"/>
    <w:rsid w:val="0053658F"/>
    <w:rsid w:val="00542D53"/>
    <w:rsid w:val="00542FDE"/>
    <w:rsid w:val="00545100"/>
    <w:rsid w:val="005466AA"/>
    <w:rsid w:val="00547A5B"/>
    <w:rsid w:val="0055127F"/>
    <w:rsid w:val="005513CA"/>
    <w:rsid w:val="005546FB"/>
    <w:rsid w:val="00554A9E"/>
    <w:rsid w:val="00554E73"/>
    <w:rsid w:val="00555E7D"/>
    <w:rsid w:val="0055749F"/>
    <w:rsid w:val="00560704"/>
    <w:rsid w:val="00562B0F"/>
    <w:rsid w:val="00571298"/>
    <w:rsid w:val="005736F0"/>
    <w:rsid w:val="00573F7A"/>
    <w:rsid w:val="005859FC"/>
    <w:rsid w:val="00586EB1"/>
    <w:rsid w:val="0059504D"/>
    <w:rsid w:val="005968B5"/>
    <w:rsid w:val="005976EC"/>
    <w:rsid w:val="005A1741"/>
    <w:rsid w:val="005A2804"/>
    <w:rsid w:val="005A2E37"/>
    <w:rsid w:val="005A53C9"/>
    <w:rsid w:val="005B0D83"/>
    <w:rsid w:val="005B31BA"/>
    <w:rsid w:val="005B4A09"/>
    <w:rsid w:val="005C0FD6"/>
    <w:rsid w:val="005D462A"/>
    <w:rsid w:val="005D65F9"/>
    <w:rsid w:val="005D6D47"/>
    <w:rsid w:val="005D7C81"/>
    <w:rsid w:val="005E0604"/>
    <w:rsid w:val="005E0939"/>
    <w:rsid w:val="005E30EA"/>
    <w:rsid w:val="005F4AAB"/>
    <w:rsid w:val="006015BF"/>
    <w:rsid w:val="006053A0"/>
    <w:rsid w:val="00605E7C"/>
    <w:rsid w:val="006066CD"/>
    <w:rsid w:val="00610B8B"/>
    <w:rsid w:val="00611959"/>
    <w:rsid w:val="006125DD"/>
    <w:rsid w:val="0061368E"/>
    <w:rsid w:val="0061642C"/>
    <w:rsid w:val="00620319"/>
    <w:rsid w:val="006374EA"/>
    <w:rsid w:val="0064148C"/>
    <w:rsid w:val="00641DAF"/>
    <w:rsid w:val="00644FD0"/>
    <w:rsid w:val="006640B2"/>
    <w:rsid w:val="00667A67"/>
    <w:rsid w:val="006709CC"/>
    <w:rsid w:val="00671446"/>
    <w:rsid w:val="00673BEB"/>
    <w:rsid w:val="00676E7B"/>
    <w:rsid w:val="00682524"/>
    <w:rsid w:val="00682730"/>
    <w:rsid w:val="0068437A"/>
    <w:rsid w:val="006875BC"/>
    <w:rsid w:val="006936C3"/>
    <w:rsid w:val="0069453C"/>
    <w:rsid w:val="006977F6"/>
    <w:rsid w:val="006A0711"/>
    <w:rsid w:val="006A11D3"/>
    <w:rsid w:val="006A20BA"/>
    <w:rsid w:val="006A2366"/>
    <w:rsid w:val="006A7702"/>
    <w:rsid w:val="006B2A1A"/>
    <w:rsid w:val="006C0DFA"/>
    <w:rsid w:val="006C449E"/>
    <w:rsid w:val="006C75FF"/>
    <w:rsid w:val="006C7F8E"/>
    <w:rsid w:val="006F2023"/>
    <w:rsid w:val="006F56E0"/>
    <w:rsid w:val="006F6182"/>
    <w:rsid w:val="00701A12"/>
    <w:rsid w:val="007032D2"/>
    <w:rsid w:val="00704708"/>
    <w:rsid w:val="0070612E"/>
    <w:rsid w:val="007100D7"/>
    <w:rsid w:val="00711751"/>
    <w:rsid w:val="00712BAA"/>
    <w:rsid w:val="0071380A"/>
    <w:rsid w:val="007139F9"/>
    <w:rsid w:val="00723295"/>
    <w:rsid w:val="00724451"/>
    <w:rsid w:val="00725038"/>
    <w:rsid w:val="00727716"/>
    <w:rsid w:val="00727B7C"/>
    <w:rsid w:val="007307EF"/>
    <w:rsid w:val="00733052"/>
    <w:rsid w:val="00733255"/>
    <w:rsid w:val="0074207A"/>
    <w:rsid w:val="00755F01"/>
    <w:rsid w:val="007560B8"/>
    <w:rsid w:val="0075736E"/>
    <w:rsid w:val="00757C79"/>
    <w:rsid w:val="0076102B"/>
    <w:rsid w:val="00761E81"/>
    <w:rsid w:val="0076665B"/>
    <w:rsid w:val="0077328C"/>
    <w:rsid w:val="0077461E"/>
    <w:rsid w:val="00777B56"/>
    <w:rsid w:val="007804F2"/>
    <w:rsid w:val="00781CBF"/>
    <w:rsid w:val="00795851"/>
    <w:rsid w:val="007A7903"/>
    <w:rsid w:val="007C3F26"/>
    <w:rsid w:val="007C6CF7"/>
    <w:rsid w:val="007D17D9"/>
    <w:rsid w:val="007D33D7"/>
    <w:rsid w:val="007E194C"/>
    <w:rsid w:val="007E4B67"/>
    <w:rsid w:val="007E6910"/>
    <w:rsid w:val="007E742F"/>
    <w:rsid w:val="007E7CC4"/>
    <w:rsid w:val="007F7EB5"/>
    <w:rsid w:val="00826543"/>
    <w:rsid w:val="00826B6F"/>
    <w:rsid w:val="00840867"/>
    <w:rsid w:val="008421FE"/>
    <w:rsid w:val="0084266F"/>
    <w:rsid w:val="0084385F"/>
    <w:rsid w:val="00844718"/>
    <w:rsid w:val="00847F41"/>
    <w:rsid w:val="00865888"/>
    <w:rsid w:val="00867711"/>
    <w:rsid w:val="00873494"/>
    <w:rsid w:val="008800CC"/>
    <w:rsid w:val="008840F8"/>
    <w:rsid w:val="00886CBB"/>
    <w:rsid w:val="00887CBE"/>
    <w:rsid w:val="00895005"/>
    <w:rsid w:val="00897388"/>
    <w:rsid w:val="008A0C79"/>
    <w:rsid w:val="008A1A00"/>
    <w:rsid w:val="008A489C"/>
    <w:rsid w:val="008A63C7"/>
    <w:rsid w:val="008A6EF3"/>
    <w:rsid w:val="008A7563"/>
    <w:rsid w:val="008A7AA9"/>
    <w:rsid w:val="008B327F"/>
    <w:rsid w:val="008B75CC"/>
    <w:rsid w:val="008C0E32"/>
    <w:rsid w:val="008C1268"/>
    <w:rsid w:val="008C19CF"/>
    <w:rsid w:val="008C3959"/>
    <w:rsid w:val="008D0278"/>
    <w:rsid w:val="008D15DA"/>
    <w:rsid w:val="008D5787"/>
    <w:rsid w:val="008D6FAE"/>
    <w:rsid w:val="008E1285"/>
    <w:rsid w:val="008E2111"/>
    <w:rsid w:val="008E420C"/>
    <w:rsid w:val="008F097E"/>
    <w:rsid w:val="008F1482"/>
    <w:rsid w:val="008F19E7"/>
    <w:rsid w:val="00900671"/>
    <w:rsid w:val="00901AE4"/>
    <w:rsid w:val="00901F85"/>
    <w:rsid w:val="00914798"/>
    <w:rsid w:val="00924B5A"/>
    <w:rsid w:val="00927721"/>
    <w:rsid w:val="00927BC6"/>
    <w:rsid w:val="00936CA7"/>
    <w:rsid w:val="00936F1C"/>
    <w:rsid w:val="009401DA"/>
    <w:rsid w:val="0094109B"/>
    <w:rsid w:val="0094269D"/>
    <w:rsid w:val="00945916"/>
    <w:rsid w:val="00946670"/>
    <w:rsid w:val="00947F05"/>
    <w:rsid w:val="0095215E"/>
    <w:rsid w:val="00952FF7"/>
    <w:rsid w:val="009566B2"/>
    <w:rsid w:val="0095744C"/>
    <w:rsid w:val="00961C6D"/>
    <w:rsid w:val="00964C0C"/>
    <w:rsid w:val="0096573D"/>
    <w:rsid w:val="009724B0"/>
    <w:rsid w:val="00973A37"/>
    <w:rsid w:val="0098114A"/>
    <w:rsid w:val="00983AC3"/>
    <w:rsid w:val="00984C7A"/>
    <w:rsid w:val="00985B86"/>
    <w:rsid w:val="00985C23"/>
    <w:rsid w:val="00985EC5"/>
    <w:rsid w:val="009866DA"/>
    <w:rsid w:val="009A15C5"/>
    <w:rsid w:val="009A2DFA"/>
    <w:rsid w:val="009A631C"/>
    <w:rsid w:val="009A6458"/>
    <w:rsid w:val="009B1829"/>
    <w:rsid w:val="009B18B6"/>
    <w:rsid w:val="009B27A8"/>
    <w:rsid w:val="009B5781"/>
    <w:rsid w:val="009C07B8"/>
    <w:rsid w:val="009C3CB9"/>
    <w:rsid w:val="009C7401"/>
    <w:rsid w:val="009D59C6"/>
    <w:rsid w:val="009E1F0E"/>
    <w:rsid w:val="009E3255"/>
    <w:rsid w:val="009F0CFD"/>
    <w:rsid w:val="009F18F0"/>
    <w:rsid w:val="00A01A3E"/>
    <w:rsid w:val="00A0478E"/>
    <w:rsid w:val="00A07596"/>
    <w:rsid w:val="00A1060E"/>
    <w:rsid w:val="00A11807"/>
    <w:rsid w:val="00A118E6"/>
    <w:rsid w:val="00A12706"/>
    <w:rsid w:val="00A1501D"/>
    <w:rsid w:val="00A204D7"/>
    <w:rsid w:val="00A2150C"/>
    <w:rsid w:val="00A23470"/>
    <w:rsid w:val="00A30051"/>
    <w:rsid w:val="00A3562F"/>
    <w:rsid w:val="00A364FB"/>
    <w:rsid w:val="00A40AF1"/>
    <w:rsid w:val="00A41E4A"/>
    <w:rsid w:val="00A436EE"/>
    <w:rsid w:val="00A543A2"/>
    <w:rsid w:val="00A56C08"/>
    <w:rsid w:val="00A60B98"/>
    <w:rsid w:val="00A60ED5"/>
    <w:rsid w:val="00A6133B"/>
    <w:rsid w:val="00A624B9"/>
    <w:rsid w:val="00A666EE"/>
    <w:rsid w:val="00A6672A"/>
    <w:rsid w:val="00A719CA"/>
    <w:rsid w:val="00A73A4B"/>
    <w:rsid w:val="00A77A82"/>
    <w:rsid w:val="00A820DF"/>
    <w:rsid w:val="00A85F57"/>
    <w:rsid w:val="00A87983"/>
    <w:rsid w:val="00A90A1E"/>
    <w:rsid w:val="00A92662"/>
    <w:rsid w:val="00AA1F26"/>
    <w:rsid w:val="00AA694A"/>
    <w:rsid w:val="00AB77AD"/>
    <w:rsid w:val="00AC1BDE"/>
    <w:rsid w:val="00AC2C9F"/>
    <w:rsid w:val="00AC5605"/>
    <w:rsid w:val="00AC6FE3"/>
    <w:rsid w:val="00AC7AEF"/>
    <w:rsid w:val="00AD00F0"/>
    <w:rsid w:val="00AD5E18"/>
    <w:rsid w:val="00AE069A"/>
    <w:rsid w:val="00AE0D78"/>
    <w:rsid w:val="00AE6A4A"/>
    <w:rsid w:val="00AF5421"/>
    <w:rsid w:val="00AF5A40"/>
    <w:rsid w:val="00B04B8B"/>
    <w:rsid w:val="00B07958"/>
    <w:rsid w:val="00B15400"/>
    <w:rsid w:val="00B2133D"/>
    <w:rsid w:val="00B249E9"/>
    <w:rsid w:val="00B3139C"/>
    <w:rsid w:val="00B31F2A"/>
    <w:rsid w:val="00B45604"/>
    <w:rsid w:val="00B462E1"/>
    <w:rsid w:val="00B57512"/>
    <w:rsid w:val="00B6026E"/>
    <w:rsid w:val="00B67196"/>
    <w:rsid w:val="00B674E5"/>
    <w:rsid w:val="00B67C51"/>
    <w:rsid w:val="00B72E00"/>
    <w:rsid w:val="00B73D3D"/>
    <w:rsid w:val="00B74E87"/>
    <w:rsid w:val="00B75DDD"/>
    <w:rsid w:val="00B822B5"/>
    <w:rsid w:val="00B824A9"/>
    <w:rsid w:val="00B8785E"/>
    <w:rsid w:val="00B94A1F"/>
    <w:rsid w:val="00BA31A1"/>
    <w:rsid w:val="00BA3A8E"/>
    <w:rsid w:val="00BA468C"/>
    <w:rsid w:val="00BA4816"/>
    <w:rsid w:val="00BA600F"/>
    <w:rsid w:val="00BB0443"/>
    <w:rsid w:val="00BB7529"/>
    <w:rsid w:val="00BC5509"/>
    <w:rsid w:val="00BC6163"/>
    <w:rsid w:val="00BD231D"/>
    <w:rsid w:val="00BD26BE"/>
    <w:rsid w:val="00BD5554"/>
    <w:rsid w:val="00BF2C6A"/>
    <w:rsid w:val="00C00B0F"/>
    <w:rsid w:val="00C00B3B"/>
    <w:rsid w:val="00C01C59"/>
    <w:rsid w:val="00C120D2"/>
    <w:rsid w:val="00C1622F"/>
    <w:rsid w:val="00C30C4D"/>
    <w:rsid w:val="00C31DEF"/>
    <w:rsid w:val="00C322D0"/>
    <w:rsid w:val="00C33B10"/>
    <w:rsid w:val="00C33C5A"/>
    <w:rsid w:val="00C375ED"/>
    <w:rsid w:val="00C41D3A"/>
    <w:rsid w:val="00C500C9"/>
    <w:rsid w:val="00C535D4"/>
    <w:rsid w:val="00C53D1E"/>
    <w:rsid w:val="00C545A9"/>
    <w:rsid w:val="00C62D17"/>
    <w:rsid w:val="00C6304F"/>
    <w:rsid w:val="00C64C05"/>
    <w:rsid w:val="00C660AB"/>
    <w:rsid w:val="00C668BA"/>
    <w:rsid w:val="00C76C2D"/>
    <w:rsid w:val="00C81CA7"/>
    <w:rsid w:val="00C82C72"/>
    <w:rsid w:val="00C8646E"/>
    <w:rsid w:val="00CA126A"/>
    <w:rsid w:val="00CA1E2F"/>
    <w:rsid w:val="00CA6077"/>
    <w:rsid w:val="00CB3766"/>
    <w:rsid w:val="00CB6E7C"/>
    <w:rsid w:val="00CB7233"/>
    <w:rsid w:val="00CC11EF"/>
    <w:rsid w:val="00CC138C"/>
    <w:rsid w:val="00CC6B1C"/>
    <w:rsid w:val="00CD14E2"/>
    <w:rsid w:val="00CD1B04"/>
    <w:rsid w:val="00CD45F6"/>
    <w:rsid w:val="00CE254F"/>
    <w:rsid w:val="00CE2E3C"/>
    <w:rsid w:val="00CE36A1"/>
    <w:rsid w:val="00CE7643"/>
    <w:rsid w:val="00CF2A06"/>
    <w:rsid w:val="00CF2BEB"/>
    <w:rsid w:val="00CF4B23"/>
    <w:rsid w:val="00CF63DA"/>
    <w:rsid w:val="00D02CD1"/>
    <w:rsid w:val="00D046A8"/>
    <w:rsid w:val="00D04A1C"/>
    <w:rsid w:val="00D079C5"/>
    <w:rsid w:val="00D07F02"/>
    <w:rsid w:val="00D12A03"/>
    <w:rsid w:val="00D14BA2"/>
    <w:rsid w:val="00D259EE"/>
    <w:rsid w:val="00D26460"/>
    <w:rsid w:val="00D33EC5"/>
    <w:rsid w:val="00D34125"/>
    <w:rsid w:val="00D3725C"/>
    <w:rsid w:val="00D37B2A"/>
    <w:rsid w:val="00D452EA"/>
    <w:rsid w:val="00D50C50"/>
    <w:rsid w:val="00D515D5"/>
    <w:rsid w:val="00D61855"/>
    <w:rsid w:val="00D61F73"/>
    <w:rsid w:val="00D624D5"/>
    <w:rsid w:val="00D626FA"/>
    <w:rsid w:val="00D627E9"/>
    <w:rsid w:val="00D6515A"/>
    <w:rsid w:val="00D65C7F"/>
    <w:rsid w:val="00D663CC"/>
    <w:rsid w:val="00D83A70"/>
    <w:rsid w:val="00D87168"/>
    <w:rsid w:val="00D87D4F"/>
    <w:rsid w:val="00D90BB7"/>
    <w:rsid w:val="00D91816"/>
    <w:rsid w:val="00D91D5E"/>
    <w:rsid w:val="00DA43C0"/>
    <w:rsid w:val="00DA4C8F"/>
    <w:rsid w:val="00DA78A4"/>
    <w:rsid w:val="00DC2CCC"/>
    <w:rsid w:val="00DE0976"/>
    <w:rsid w:val="00DE2818"/>
    <w:rsid w:val="00DE4D8A"/>
    <w:rsid w:val="00DE66ED"/>
    <w:rsid w:val="00E02AA1"/>
    <w:rsid w:val="00E033B2"/>
    <w:rsid w:val="00E06710"/>
    <w:rsid w:val="00E1012B"/>
    <w:rsid w:val="00E17614"/>
    <w:rsid w:val="00E23E31"/>
    <w:rsid w:val="00E27BE5"/>
    <w:rsid w:val="00E453E7"/>
    <w:rsid w:val="00E52935"/>
    <w:rsid w:val="00E60D22"/>
    <w:rsid w:val="00E77EE0"/>
    <w:rsid w:val="00E83253"/>
    <w:rsid w:val="00E8404C"/>
    <w:rsid w:val="00E85798"/>
    <w:rsid w:val="00E8589E"/>
    <w:rsid w:val="00E93FFF"/>
    <w:rsid w:val="00E97BAE"/>
    <w:rsid w:val="00EA371D"/>
    <w:rsid w:val="00EB6D5F"/>
    <w:rsid w:val="00EB6D98"/>
    <w:rsid w:val="00ED36C6"/>
    <w:rsid w:val="00ED4EF2"/>
    <w:rsid w:val="00ED6D97"/>
    <w:rsid w:val="00EE2CD2"/>
    <w:rsid w:val="00EE3502"/>
    <w:rsid w:val="00EE6561"/>
    <w:rsid w:val="00EF77F2"/>
    <w:rsid w:val="00EF787A"/>
    <w:rsid w:val="00F057B6"/>
    <w:rsid w:val="00F07EA6"/>
    <w:rsid w:val="00F110F9"/>
    <w:rsid w:val="00F13E13"/>
    <w:rsid w:val="00F144F4"/>
    <w:rsid w:val="00F160A4"/>
    <w:rsid w:val="00F16669"/>
    <w:rsid w:val="00F17D08"/>
    <w:rsid w:val="00F239B3"/>
    <w:rsid w:val="00F24B93"/>
    <w:rsid w:val="00F26B39"/>
    <w:rsid w:val="00F26D17"/>
    <w:rsid w:val="00F3366A"/>
    <w:rsid w:val="00F355C2"/>
    <w:rsid w:val="00F41320"/>
    <w:rsid w:val="00F4244C"/>
    <w:rsid w:val="00F43778"/>
    <w:rsid w:val="00F43C26"/>
    <w:rsid w:val="00F468A2"/>
    <w:rsid w:val="00F46DEC"/>
    <w:rsid w:val="00F66DBE"/>
    <w:rsid w:val="00F66F44"/>
    <w:rsid w:val="00F71D36"/>
    <w:rsid w:val="00F73C7C"/>
    <w:rsid w:val="00F8355E"/>
    <w:rsid w:val="00F87F12"/>
    <w:rsid w:val="00F9336F"/>
    <w:rsid w:val="00F96C93"/>
    <w:rsid w:val="00FA3B9D"/>
    <w:rsid w:val="00FA43C9"/>
    <w:rsid w:val="00FB0EA8"/>
    <w:rsid w:val="00FB3925"/>
    <w:rsid w:val="00FB4727"/>
    <w:rsid w:val="00FB6136"/>
    <w:rsid w:val="00FB673D"/>
    <w:rsid w:val="00FB6908"/>
    <w:rsid w:val="00FC00C3"/>
    <w:rsid w:val="00FC2672"/>
    <w:rsid w:val="00FC612D"/>
    <w:rsid w:val="00FC7617"/>
    <w:rsid w:val="00FD18B1"/>
    <w:rsid w:val="00FD1AC7"/>
    <w:rsid w:val="00FD3DA7"/>
    <w:rsid w:val="00FD7575"/>
    <w:rsid w:val="00FE4ABC"/>
    <w:rsid w:val="00FF0430"/>
    <w:rsid w:val="00FF20BE"/>
    <w:rsid w:val="00FF3D8D"/>
    <w:rsid w:val="00FF417C"/>
    <w:rsid w:val="00FF5FA3"/>
    <w:rsid w:val="00FF63C4"/>
    <w:rsid w:val="00FF7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D7"/>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rsid w:val="003F084F"/>
    <w:rPr>
      <w:rFonts w:ascii="Times New Roman" w:eastAsia="Times New Roman" w:hAnsi="Times New Roman" w:cs="Times New Roman"/>
      <w:sz w:val="24"/>
      <w:szCs w:val="20"/>
    </w:rPr>
  </w:style>
  <w:style w:type="paragraph" w:customStyle="1" w:styleId="subpar">
    <w:name w:val="subpar"/>
    <w:basedOn w:val="BodyTextIndent3"/>
    <w:link w:val="subparChar"/>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D7"/>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rsid w:val="003F084F"/>
    <w:rPr>
      <w:rFonts w:ascii="Times New Roman" w:eastAsia="Times New Roman" w:hAnsi="Times New Roman" w:cs="Times New Roman"/>
      <w:sz w:val="24"/>
      <w:szCs w:val="20"/>
    </w:rPr>
  </w:style>
  <w:style w:type="paragraph" w:customStyle="1" w:styleId="subpar">
    <w:name w:val="subpar"/>
    <w:basedOn w:val="BodyTextIndent3"/>
    <w:link w:val="subparChar"/>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26"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5" Type="http://schemas.openxmlformats.org/officeDocument/2006/relationships/customXml" Target="../customXml/item2.xml"/><Relationship Id="rId2" Type="http://schemas.openxmlformats.org/officeDocument/2006/relationships/numbering" Target="numbering.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microsoft.com/office/2011/relationships/people" Target="people.xml"/><Relationship Id="rId5" Type="http://schemas.openxmlformats.org/officeDocument/2006/relationships/settings" Target="settings.xml"/><Relationship Id="rId28" Type="http://schemas.openxmlformats.org/officeDocument/2006/relationships/customXml" Target="../customXml/item5.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 Id="rId27"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DEE2E9B0648644E8FA7253BC7B9D772" ma:contentTypeVersion="0" ma:contentTypeDescription="A content type to manage public (operations) IDB documents" ma:contentTypeScope="" ma:versionID="a5685abb9f78d883561da580be03f66f">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40342408</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B651418-0777-428C-B72A-80375924880F}"/>
</file>

<file path=customXml/itemProps2.xml><?xml version="1.0" encoding="utf-8"?>
<ds:datastoreItem xmlns:ds="http://schemas.openxmlformats.org/officeDocument/2006/customXml" ds:itemID="{A05322E5-F761-4EDB-958C-41A0213FD8C1}"/>
</file>

<file path=customXml/itemProps3.xml><?xml version="1.0" encoding="utf-8"?>
<ds:datastoreItem xmlns:ds="http://schemas.openxmlformats.org/officeDocument/2006/customXml" ds:itemID="{48F1E771-378A-4FE1-A0D0-2792B90A61EA}"/>
</file>

<file path=customXml/itemProps4.xml><?xml version="1.0" encoding="utf-8"?>
<ds:datastoreItem xmlns:ds="http://schemas.openxmlformats.org/officeDocument/2006/customXml" ds:itemID="{37E63DDB-599A-4018-9A6E-6201EBD9BBA1}"/>
</file>

<file path=customXml/itemProps5.xml><?xml version="1.0" encoding="utf-8"?>
<ds:datastoreItem xmlns:ds="http://schemas.openxmlformats.org/officeDocument/2006/customXml" ds:itemID="{87BFD01C-9060-4AA5-B5A0-BA64B4B45C2C}"/>
</file>

<file path=customXml/itemProps6.xml><?xml version="1.0" encoding="utf-8"?>
<ds:datastoreItem xmlns:ds="http://schemas.openxmlformats.org/officeDocument/2006/customXml" ds:itemID="{3CB948A9-73CB-4AEF-A2FE-E5B7EF6A3BE2}"/>
</file>

<file path=docProps/app.xml><?xml version="1.0" encoding="utf-8"?>
<Properties xmlns="http://schemas.openxmlformats.org/officeDocument/2006/extended-properties" xmlns:vt="http://schemas.openxmlformats.org/officeDocument/2006/docPropsVTypes">
  <Template>Normal.dotm</Template>
  <TotalTime>3</TotalTime>
  <Pages>6</Pages>
  <Words>2304</Words>
  <Characters>13135</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NI-L1094- Analisis de la Contribucion a la Integracion Regional</dc:title>
  <dc:creator>Test</dc:creator>
  <cp:lastModifiedBy>IADB</cp:lastModifiedBy>
  <cp:revision>5</cp:revision>
  <cp:lastPrinted>2016-03-09T22:44:00Z</cp:lastPrinted>
  <dcterms:created xsi:type="dcterms:W3CDTF">2016-06-14T21:25:00Z</dcterms:created>
  <dcterms:modified xsi:type="dcterms:W3CDTF">2016-08-19T23:57:00Z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0x01010046CF21643EE8D14686A648AA6DAD0892000DEE2E9B0648644E8FA7253BC7B9D772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