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64"/>
        <w:gridCol w:w="1525"/>
        <w:gridCol w:w="443"/>
        <w:gridCol w:w="1003"/>
        <w:gridCol w:w="90"/>
        <w:gridCol w:w="620"/>
        <w:gridCol w:w="1079"/>
        <w:gridCol w:w="719"/>
        <w:gridCol w:w="1002"/>
        <w:gridCol w:w="270"/>
        <w:gridCol w:w="533"/>
      </w:tblGrid>
      <w:tr w:rsidR="000A01FF" w:rsidRPr="00491D87" w14:paraId="57E24AF8" w14:textId="77777777" w:rsidTr="008E47FA">
        <w:trPr>
          <w:cantSplit/>
        </w:trPr>
        <w:tc>
          <w:tcPr>
            <w:tcW w:w="9648" w:type="dxa"/>
            <w:gridSpan w:val="11"/>
            <w:tcBorders>
              <w:top w:val="single" w:sz="4" w:space="0" w:color="auto"/>
              <w:left w:val="single" w:sz="4" w:space="0" w:color="auto"/>
              <w:bottom w:val="single" w:sz="4" w:space="0" w:color="auto"/>
              <w:right w:val="single" w:sz="4" w:space="0" w:color="auto"/>
            </w:tcBorders>
            <w:shd w:val="clear" w:color="auto" w:fill="C2D69B"/>
          </w:tcPr>
          <w:p w14:paraId="31FD2788" w14:textId="54A2E57D" w:rsidR="005653CF" w:rsidRPr="00491D87" w:rsidRDefault="00D5682D" w:rsidP="00805A2C">
            <w:pPr>
              <w:spacing w:before="200" w:after="200"/>
              <w:jc w:val="center"/>
              <w:rPr>
                <w:b/>
                <w:sz w:val="28"/>
                <w:szCs w:val="28"/>
              </w:rPr>
            </w:pPr>
            <w:r w:rsidRPr="00491D87">
              <w:rPr>
                <w:b/>
                <w:sz w:val="28"/>
                <w:szCs w:val="28"/>
              </w:rPr>
              <w:t>Cover Page for</w:t>
            </w:r>
            <w:r w:rsidR="00AE16A9" w:rsidRPr="00491D87">
              <w:rPr>
                <w:b/>
                <w:sz w:val="28"/>
                <w:szCs w:val="28"/>
              </w:rPr>
              <w:t xml:space="preserve"> </w:t>
            </w:r>
            <w:r w:rsidR="00280CAE" w:rsidRPr="00491D87">
              <w:rPr>
                <w:b/>
                <w:sz w:val="28"/>
                <w:szCs w:val="28"/>
              </w:rPr>
              <w:t xml:space="preserve">CTF </w:t>
            </w:r>
            <w:r w:rsidR="000A01FF" w:rsidRPr="00491D87">
              <w:rPr>
                <w:b/>
                <w:sz w:val="28"/>
                <w:szCs w:val="28"/>
              </w:rPr>
              <w:t>Project/Program Approval Request</w:t>
            </w:r>
          </w:p>
        </w:tc>
      </w:tr>
      <w:tr w:rsidR="00472AC1" w:rsidRPr="00491D87" w14:paraId="0975BF77" w14:textId="77777777" w:rsidTr="00CC2D00">
        <w:trPr>
          <w:cantSplit/>
        </w:trPr>
        <w:tc>
          <w:tcPr>
            <w:tcW w:w="3889" w:type="dxa"/>
            <w:gridSpan w:val="2"/>
            <w:shd w:val="clear" w:color="auto" w:fill="FFC000"/>
            <w:vAlign w:val="center"/>
          </w:tcPr>
          <w:p w14:paraId="1F62FFA3" w14:textId="77777777" w:rsidR="00FA2BE8" w:rsidRPr="00491D87" w:rsidRDefault="00FA2BE8" w:rsidP="00C06933">
            <w:pPr>
              <w:numPr>
                <w:ilvl w:val="0"/>
                <w:numId w:val="2"/>
              </w:numPr>
              <w:tabs>
                <w:tab w:val="clear" w:pos="360"/>
                <w:tab w:val="left" w:pos="375"/>
              </w:tabs>
              <w:contextualSpacing/>
              <w:rPr>
                <w:b/>
                <w:szCs w:val="24"/>
              </w:rPr>
            </w:pPr>
            <w:r w:rsidRPr="00491D87">
              <w:rPr>
                <w:b/>
                <w:szCs w:val="24"/>
              </w:rPr>
              <w:t>Country/Region</w:t>
            </w:r>
          </w:p>
        </w:tc>
        <w:tc>
          <w:tcPr>
            <w:tcW w:w="2156" w:type="dxa"/>
            <w:gridSpan w:val="4"/>
            <w:vAlign w:val="center"/>
          </w:tcPr>
          <w:p w14:paraId="33F5C723" w14:textId="43032724" w:rsidR="00FA2BE8" w:rsidRPr="00491D87" w:rsidRDefault="002D28C4" w:rsidP="00C06933">
            <w:pPr>
              <w:contextualSpacing/>
              <w:rPr>
                <w:szCs w:val="24"/>
              </w:rPr>
            </w:pPr>
            <w:r>
              <w:rPr>
                <w:szCs w:val="24"/>
              </w:rPr>
              <w:t>Nicaragua</w:t>
            </w:r>
          </w:p>
        </w:tc>
        <w:tc>
          <w:tcPr>
            <w:tcW w:w="1798" w:type="dxa"/>
            <w:gridSpan w:val="2"/>
            <w:shd w:val="clear" w:color="auto" w:fill="FFC000"/>
          </w:tcPr>
          <w:p w14:paraId="76E56905" w14:textId="77777777" w:rsidR="00FA2BE8" w:rsidRPr="00491D87" w:rsidRDefault="00FA2BE8" w:rsidP="005653CF">
            <w:pPr>
              <w:numPr>
                <w:ilvl w:val="0"/>
                <w:numId w:val="2"/>
              </w:numPr>
              <w:contextualSpacing/>
              <w:rPr>
                <w:b/>
                <w:szCs w:val="24"/>
              </w:rPr>
            </w:pPr>
            <w:r w:rsidRPr="00491D87">
              <w:rPr>
                <w:b/>
                <w:szCs w:val="24"/>
              </w:rPr>
              <w:t>CIF Project ID</w:t>
            </w:r>
            <w:r w:rsidRPr="00491D87">
              <w:rPr>
                <w:szCs w:val="24"/>
              </w:rPr>
              <w:t>#</w:t>
            </w:r>
          </w:p>
        </w:tc>
        <w:tc>
          <w:tcPr>
            <w:tcW w:w="1805" w:type="dxa"/>
            <w:gridSpan w:val="3"/>
            <w:vAlign w:val="center"/>
          </w:tcPr>
          <w:p w14:paraId="59FAE6D1" w14:textId="77777777" w:rsidR="00FA2BE8" w:rsidRPr="00491D87" w:rsidRDefault="00FA2BE8" w:rsidP="00CC2D00">
            <w:pPr>
              <w:contextualSpacing/>
              <w:rPr>
                <w:szCs w:val="24"/>
              </w:rPr>
            </w:pPr>
            <w:r w:rsidRPr="00491D87">
              <w:rPr>
                <w:szCs w:val="24"/>
              </w:rPr>
              <w:t>(CIF AU will assign ID.)</w:t>
            </w:r>
          </w:p>
        </w:tc>
      </w:tr>
      <w:tr w:rsidR="00C06933" w:rsidRPr="00491D87" w14:paraId="0662ACCF" w14:textId="77777777" w:rsidTr="00CC2D00">
        <w:trPr>
          <w:cantSplit/>
          <w:trHeight w:val="413"/>
        </w:trPr>
        <w:tc>
          <w:tcPr>
            <w:tcW w:w="3889" w:type="dxa"/>
            <w:gridSpan w:val="2"/>
            <w:vMerge w:val="restart"/>
            <w:shd w:val="clear" w:color="auto" w:fill="FFC000"/>
          </w:tcPr>
          <w:p w14:paraId="2047925F" w14:textId="1AB9578A" w:rsidR="00C06933" w:rsidRPr="00491D87" w:rsidRDefault="00C06933" w:rsidP="00DD3CE9">
            <w:pPr>
              <w:numPr>
                <w:ilvl w:val="0"/>
                <w:numId w:val="2"/>
              </w:numPr>
              <w:tabs>
                <w:tab w:val="clear" w:pos="360"/>
                <w:tab w:val="left" w:pos="375"/>
              </w:tabs>
              <w:contextualSpacing/>
              <w:rPr>
                <w:b/>
                <w:szCs w:val="24"/>
              </w:rPr>
            </w:pPr>
            <w:r w:rsidRPr="00491D87">
              <w:rPr>
                <w:b/>
                <w:szCs w:val="24"/>
              </w:rPr>
              <w:t>Investment Plan (IP) or Dedicated Private Sector Program (DPSP)</w:t>
            </w:r>
          </w:p>
        </w:tc>
        <w:tc>
          <w:tcPr>
            <w:tcW w:w="1446" w:type="dxa"/>
            <w:gridSpan w:val="2"/>
            <w:shd w:val="clear" w:color="auto" w:fill="D9D9D9" w:themeFill="background1" w:themeFillShade="D9"/>
            <w:vAlign w:val="center"/>
          </w:tcPr>
          <w:p w14:paraId="2F62E204" w14:textId="3FE7213A" w:rsidR="00C06933" w:rsidRPr="00472AC1" w:rsidRDefault="00C06933" w:rsidP="00C06933">
            <w:pPr>
              <w:jc w:val="right"/>
              <w:rPr>
                <w:szCs w:val="24"/>
              </w:rPr>
            </w:pPr>
            <w:r>
              <w:rPr>
                <w:szCs w:val="24"/>
              </w:rPr>
              <w:t>IP</w:t>
            </w:r>
          </w:p>
        </w:tc>
        <w:tc>
          <w:tcPr>
            <w:tcW w:w="710" w:type="dxa"/>
            <w:gridSpan w:val="2"/>
            <w:vAlign w:val="center"/>
          </w:tcPr>
          <w:p w14:paraId="74C71A47" w14:textId="6B40C8C3" w:rsidR="00C06933" w:rsidRPr="00C06933" w:rsidRDefault="00C06933" w:rsidP="00C06933">
            <w:pPr>
              <w:jc w:val="center"/>
              <w:rPr>
                <w:rFonts w:ascii="Arial" w:hAnsi="Arial" w:cs="Arial"/>
                <w:b/>
                <w:szCs w:val="24"/>
              </w:rPr>
            </w:pPr>
          </w:p>
        </w:tc>
        <w:tc>
          <w:tcPr>
            <w:tcW w:w="1798" w:type="dxa"/>
            <w:gridSpan w:val="2"/>
            <w:vMerge w:val="restart"/>
            <w:shd w:val="clear" w:color="auto" w:fill="FFC000"/>
            <w:vAlign w:val="center"/>
          </w:tcPr>
          <w:p w14:paraId="154818D8" w14:textId="091EAB98" w:rsidR="00C06933" w:rsidRPr="00C06933" w:rsidRDefault="00C06933" w:rsidP="00C06933">
            <w:pPr>
              <w:numPr>
                <w:ilvl w:val="0"/>
                <w:numId w:val="2"/>
              </w:numPr>
              <w:contextualSpacing/>
              <w:rPr>
                <w:b/>
                <w:szCs w:val="24"/>
              </w:rPr>
            </w:pPr>
            <w:r w:rsidRPr="00491D87">
              <w:rPr>
                <w:b/>
                <w:szCs w:val="24"/>
              </w:rPr>
              <w:t>Public or Private</w:t>
            </w:r>
          </w:p>
        </w:tc>
        <w:tc>
          <w:tcPr>
            <w:tcW w:w="1272" w:type="dxa"/>
            <w:gridSpan w:val="2"/>
            <w:shd w:val="clear" w:color="auto" w:fill="D9D9D9" w:themeFill="background1" w:themeFillShade="D9"/>
            <w:vAlign w:val="center"/>
          </w:tcPr>
          <w:p w14:paraId="77A63FB6" w14:textId="78A9ABC0" w:rsidR="00C06933" w:rsidRPr="00491D87" w:rsidRDefault="00C06933" w:rsidP="00C06933">
            <w:pPr>
              <w:contextualSpacing/>
              <w:jc w:val="right"/>
              <w:rPr>
                <w:szCs w:val="24"/>
              </w:rPr>
            </w:pPr>
            <w:r>
              <w:rPr>
                <w:szCs w:val="24"/>
              </w:rPr>
              <w:t>Public</w:t>
            </w:r>
          </w:p>
        </w:tc>
        <w:tc>
          <w:tcPr>
            <w:tcW w:w="533" w:type="dxa"/>
            <w:vAlign w:val="center"/>
          </w:tcPr>
          <w:p w14:paraId="09EDE479" w14:textId="78F70011" w:rsidR="00C06933" w:rsidRPr="00C06933" w:rsidRDefault="00CB09BE" w:rsidP="00C06933">
            <w:pPr>
              <w:contextualSpacing/>
              <w:jc w:val="center"/>
              <w:rPr>
                <w:rFonts w:ascii="Arial" w:hAnsi="Arial" w:cs="Arial"/>
                <w:b/>
                <w:szCs w:val="24"/>
              </w:rPr>
            </w:pPr>
            <w:r>
              <w:rPr>
                <w:rFonts w:ascii="Arial" w:hAnsi="Arial" w:cs="Arial"/>
                <w:b/>
                <w:szCs w:val="24"/>
              </w:rPr>
              <w:sym w:font="Wingdings" w:char="F0FC"/>
            </w:r>
          </w:p>
        </w:tc>
      </w:tr>
      <w:tr w:rsidR="00C06933" w:rsidRPr="00491D87" w14:paraId="4B08ECB9" w14:textId="77777777" w:rsidTr="00CC2D00">
        <w:trPr>
          <w:cantSplit/>
        </w:trPr>
        <w:tc>
          <w:tcPr>
            <w:tcW w:w="3889" w:type="dxa"/>
            <w:gridSpan w:val="2"/>
            <w:vMerge/>
            <w:shd w:val="clear" w:color="auto" w:fill="FFC000"/>
          </w:tcPr>
          <w:p w14:paraId="597C8E6D" w14:textId="77777777" w:rsidR="00C06933" w:rsidRPr="00491D87" w:rsidRDefault="00C06933" w:rsidP="00DD3CE9">
            <w:pPr>
              <w:numPr>
                <w:ilvl w:val="0"/>
                <w:numId w:val="2"/>
              </w:numPr>
              <w:tabs>
                <w:tab w:val="clear" w:pos="360"/>
                <w:tab w:val="left" w:pos="375"/>
              </w:tabs>
              <w:contextualSpacing/>
              <w:rPr>
                <w:b/>
                <w:szCs w:val="24"/>
              </w:rPr>
            </w:pPr>
          </w:p>
        </w:tc>
        <w:tc>
          <w:tcPr>
            <w:tcW w:w="1446" w:type="dxa"/>
            <w:gridSpan w:val="2"/>
            <w:shd w:val="clear" w:color="auto" w:fill="D9D9D9" w:themeFill="background1" w:themeFillShade="D9"/>
            <w:vAlign w:val="center"/>
          </w:tcPr>
          <w:p w14:paraId="2E4013B5" w14:textId="20F28E81" w:rsidR="00C06933" w:rsidRPr="00472AC1" w:rsidRDefault="00C06933" w:rsidP="00C06933">
            <w:pPr>
              <w:jc w:val="right"/>
              <w:rPr>
                <w:szCs w:val="24"/>
              </w:rPr>
            </w:pPr>
            <w:r>
              <w:rPr>
                <w:szCs w:val="24"/>
              </w:rPr>
              <w:t>DPSP</w:t>
            </w:r>
          </w:p>
        </w:tc>
        <w:tc>
          <w:tcPr>
            <w:tcW w:w="710" w:type="dxa"/>
            <w:gridSpan w:val="2"/>
            <w:vAlign w:val="center"/>
          </w:tcPr>
          <w:p w14:paraId="1A70C1B1" w14:textId="7A428274" w:rsidR="00C06933" w:rsidRPr="00C06933" w:rsidRDefault="00CB09BE" w:rsidP="00C06933">
            <w:pPr>
              <w:jc w:val="center"/>
              <w:rPr>
                <w:rFonts w:ascii="Arial" w:hAnsi="Arial" w:cs="Arial"/>
                <w:b/>
                <w:szCs w:val="24"/>
              </w:rPr>
            </w:pPr>
            <w:r>
              <w:rPr>
                <w:rFonts w:ascii="Arial" w:hAnsi="Arial" w:cs="Arial"/>
                <w:b/>
                <w:szCs w:val="24"/>
              </w:rPr>
              <w:sym w:font="Wingdings" w:char="F0FC"/>
            </w:r>
          </w:p>
        </w:tc>
        <w:tc>
          <w:tcPr>
            <w:tcW w:w="1798" w:type="dxa"/>
            <w:gridSpan w:val="2"/>
            <w:vMerge/>
            <w:shd w:val="clear" w:color="auto" w:fill="FFC000"/>
          </w:tcPr>
          <w:p w14:paraId="72C371D3" w14:textId="77777777" w:rsidR="00C06933" w:rsidRPr="00491D87" w:rsidRDefault="00C06933" w:rsidP="005653CF">
            <w:pPr>
              <w:numPr>
                <w:ilvl w:val="0"/>
                <w:numId w:val="2"/>
              </w:numPr>
              <w:contextualSpacing/>
              <w:rPr>
                <w:b/>
                <w:szCs w:val="24"/>
              </w:rPr>
            </w:pPr>
          </w:p>
        </w:tc>
        <w:tc>
          <w:tcPr>
            <w:tcW w:w="1272" w:type="dxa"/>
            <w:gridSpan w:val="2"/>
            <w:shd w:val="clear" w:color="auto" w:fill="D9D9D9" w:themeFill="background1" w:themeFillShade="D9"/>
            <w:vAlign w:val="center"/>
          </w:tcPr>
          <w:p w14:paraId="1218B455" w14:textId="202ED42C" w:rsidR="00C06933" w:rsidRPr="00491D87" w:rsidRDefault="00C06933" w:rsidP="00C06933">
            <w:pPr>
              <w:contextualSpacing/>
              <w:jc w:val="right"/>
              <w:rPr>
                <w:szCs w:val="24"/>
              </w:rPr>
            </w:pPr>
            <w:r>
              <w:rPr>
                <w:szCs w:val="24"/>
              </w:rPr>
              <w:t>Private</w:t>
            </w:r>
          </w:p>
        </w:tc>
        <w:tc>
          <w:tcPr>
            <w:tcW w:w="533" w:type="dxa"/>
            <w:vAlign w:val="center"/>
          </w:tcPr>
          <w:p w14:paraId="4EF29347" w14:textId="46D5C5F9" w:rsidR="00C06933" w:rsidRPr="00C06933" w:rsidRDefault="00C06933" w:rsidP="00C06933">
            <w:pPr>
              <w:contextualSpacing/>
              <w:jc w:val="center"/>
              <w:rPr>
                <w:rFonts w:ascii="Arial" w:hAnsi="Arial" w:cs="Arial"/>
                <w:b/>
                <w:szCs w:val="24"/>
              </w:rPr>
            </w:pPr>
          </w:p>
        </w:tc>
      </w:tr>
      <w:tr w:rsidR="000A01FF" w:rsidRPr="00491D87" w14:paraId="428A3153" w14:textId="77777777" w:rsidTr="00CC2D00">
        <w:trPr>
          <w:cantSplit/>
        </w:trPr>
        <w:tc>
          <w:tcPr>
            <w:tcW w:w="3889" w:type="dxa"/>
            <w:gridSpan w:val="2"/>
            <w:tcBorders>
              <w:bottom w:val="dotted" w:sz="4" w:space="0" w:color="auto"/>
            </w:tcBorders>
            <w:shd w:val="clear" w:color="auto" w:fill="FFC000"/>
            <w:vAlign w:val="center"/>
          </w:tcPr>
          <w:p w14:paraId="7C3E781F" w14:textId="0F0FBE5B" w:rsidR="000A01FF" w:rsidRPr="00491D87" w:rsidRDefault="000A01FF" w:rsidP="00FC0C54">
            <w:pPr>
              <w:numPr>
                <w:ilvl w:val="0"/>
                <w:numId w:val="2"/>
              </w:numPr>
              <w:spacing w:before="120" w:after="120"/>
              <w:rPr>
                <w:b/>
                <w:szCs w:val="24"/>
              </w:rPr>
            </w:pPr>
            <w:r w:rsidRPr="00491D87">
              <w:rPr>
                <w:b/>
                <w:szCs w:val="24"/>
              </w:rPr>
              <w:t>Project/Program Title</w:t>
            </w:r>
          </w:p>
        </w:tc>
        <w:tc>
          <w:tcPr>
            <w:tcW w:w="5759" w:type="dxa"/>
            <w:gridSpan w:val="9"/>
            <w:tcBorders>
              <w:bottom w:val="dotted" w:sz="4" w:space="0" w:color="auto"/>
            </w:tcBorders>
            <w:vAlign w:val="center"/>
          </w:tcPr>
          <w:p w14:paraId="03933CA5" w14:textId="78CC46C0" w:rsidR="009F5708" w:rsidRPr="00491D87" w:rsidRDefault="00BB0E60" w:rsidP="0015067A">
            <w:pPr>
              <w:contextualSpacing/>
              <w:rPr>
                <w:szCs w:val="24"/>
              </w:rPr>
            </w:pPr>
            <w:r>
              <w:rPr>
                <w:szCs w:val="24"/>
              </w:rPr>
              <w:t xml:space="preserve">Nicaragua </w:t>
            </w:r>
            <w:r w:rsidRPr="00175339">
              <w:rPr>
                <w:szCs w:val="24"/>
              </w:rPr>
              <w:t>Geothermal Explorati</w:t>
            </w:r>
            <w:r>
              <w:rPr>
                <w:szCs w:val="24"/>
              </w:rPr>
              <w:t>on and Transmission Improvement Program</w:t>
            </w:r>
            <w:r w:rsidDel="00BB0E60">
              <w:rPr>
                <w:szCs w:val="24"/>
              </w:rPr>
              <w:t xml:space="preserve"> </w:t>
            </w:r>
            <w:r w:rsidR="00AC52B0">
              <w:rPr>
                <w:szCs w:val="24"/>
              </w:rPr>
              <w:t>under the PINIC</w:t>
            </w:r>
          </w:p>
        </w:tc>
      </w:tr>
      <w:tr w:rsidR="00C06933" w:rsidRPr="00491D87" w14:paraId="48EE712E" w14:textId="77777777" w:rsidTr="00CC2D00">
        <w:trPr>
          <w:cantSplit/>
          <w:trHeight w:val="278"/>
        </w:trPr>
        <w:tc>
          <w:tcPr>
            <w:tcW w:w="3889" w:type="dxa"/>
            <w:gridSpan w:val="2"/>
            <w:vMerge w:val="restart"/>
            <w:shd w:val="clear" w:color="auto" w:fill="FFC000"/>
          </w:tcPr>
          <w:p w14:paraId="430419E5" w14:textId="538A1E4C" w:rsidR="00C06933" w:rsidRPr="00491D87" w:rsidRDefault="00C06933" w:rsidP="005653CF">
            <w:pPr>
              <w:numPr>
                <w:ilvl w:val="0"/>
                <w:numId w:val="2"/>
              </w:numPr>
              <w:contextualSpacing/>
              <w:rPr>
                <w:b/>
                <w:szCs w:val="24"/>
              </w:rPr>
            </w:pPr>
            <w:r>
              <w:rPr>
                <w:b/>
                <w:szCs w:val="24"/>
              </w:rPr>
              <w:t xml:space="preserve">Is this a </w:t>
            </w:r>
            <w:r w:rsidRPr="00472AC1">
              <w:rPr>
                <w:b/>
                <w:szCs w:val="24"/>
              </w:rPr>
              <w:t>private sector program composed of sub-projects?</w:t>
            </w:r>
          </w:p>
        </w:tc>
        <w:tc>
          <w:tcPr>
            <w:tcW w:w="4956" w:type="dxa"/>
            <w:gridSpan w:val="7"/>
            <w:tcBorders>
              <w:bottom w:val="dotted" w:sz="4" w:space="0" w:color="auto"/>
            </w:tcBorders>
            <w:shd w:val="clear" w:color="auto" w:fill="D9D9D9" w:themeFill="background1" w:themeFillShade="D9"/>
          </w:tcPr>
          <w:p w14:paraId="23B637DB" w14:textId="208990AC" w:rsidR="00C06933" w:rsidRPr="00491D87" w:rsidRDefault="00C06933" w:rsidP="00C06933">
            <w:pPr>
              <w:contextualSpacing/>
              <w:jc w:val="right"/>
              <w:rPr>
                <w:szCs w:val="24"/>
              </w:rPr>
            </w:pPr>
            <w:r>
              <w:rPr>
                <w:szCs w:val="24"/>
              </w:rPr>
              <w:t>Yes</w:t>
            </w:r>
          </w:p>
        </w:tc>
        <w:tc>
          <w:tcPr>
            <w:tcW w:w="803" w:type="dxa"/>
            <w:gridSpan w:val="2"/>
            <w:tcBorders>
              <w:bottom w:val="dotted" w:sz="4" w:space="0" w:color="auto"/>
            </w:tcBorders>
            <w:vAlign w:val="center"/>
          </w:tcPr>
          <w:p w14:paraId="0F624B46" w14:textId="6DF323ED" w:rsidR="00C06933" w:rsidRPr="00C06933" w:rsidRDefault="00C06933" w:rsidP="00C06933">
            <w:pPr>
              <w:contextualSpacing/>
              <w:jc w:val="center"/>
              <w:rPr>
                <w:rFonts w:ascii="Arial" w:hAnsi="Arial" w:cs="Arial"/>
                <w:b/>
                <w:szCs w:val="24"/>
              </w:rPr>
            </w:pPr>
          </w:p>
        </w:tc>
      </w:tr>
      <w:tr w:rsidR="00C06933" w:rsidRPr="00491D87" w14:paraId="62A76B3B" w14:textId="77777777" w:rsidTr="00CC2D00">
        <w:trPr>
          <w:cantSplit/>
          <w:trHeight w:val="277"/>
        </w:trPr>
        <w:tc>
          <w:tcPr>
            <w:tcW w:w="3889" w:type="dxa"/>
            <w:gridSpan w:val="2"/>
            <w:vMerge/>
            <w:tcBorders>
              <w:bottom w:val="dotted" w:sz="4" w:space="0" w:color="auto"/>
            </w:tcBorders>
            <w:shd w:val="clear" w:color="auto" w:fill="FFC000"/>
          </w:tcPr>
          <w:p w14:paraId="7AAAF884" w14:textId="77777777" w:rsidR="00C06933" w:rsidRDefault="00C06933" w:rsidP="005653CF">
            <w:pPr>
              <w:numPr>
                <w:ilvl w:val="0"/>
                <w:numId w:val="2"/>
              </w:numPr>
              <w:contextualSpacing/>
              <w:rPr>
                <w:b/>
                <w:szCs w:val="24"/>
              </w:rPr>
            </w:pPr>
          </w:p>
        </w:tc>
        <w:tc>
          <w:tcPr>
            <w:tcW w:w="4956" w:type="dxa"/>
            <w:gridSpan w:val="7"/>
            <w:tcBorders>
              <w:bottom w:val="dotted" w:sz="4" w:space="0" w:color="auto"/>
            </w:tcBorders>
            <w:shd w:val="clear" w:color="auto" w:fill="D9D9D9" w:themeFill="background1" w:themeFillShade="D9"/>
          </w:tcPr>
          <w:p w14:paraId="5EE40DD2" w14:textId="587FCE3B" w:rsidR="00C06933" w:rsidRPr="00491D87" w:rsidRDefault="00C06933" w:rsidP="00C06933">
            <w:pPr>
              <w:contextualSpacing/>
              <w:jc w:val="right"/>
              <w:rPr>
                <w:szCs w:val="24"/>
              </w:rPr>
            </w:pPr>
            <w:r>
              <w:rPr>
                <w:szCs w:val="24"/>
              </w:rPr>
              <w:t>No</w:t>
            </w:r>
          </w:p>
        </w:tc>
        <w:tc>
          <w:tcPr>
            <w:tcW w:w="803" w:type="dxa"/>
            <w:gridSpan w:val="2"/>
            <w:tcBorders>
              <w:bottom w:val="dotted" w:sz="4" w:space="0" w:color="auto"/>
            </w:tcBorders>
            <w:vAlign w:val="center"/>
          </w:tcPr>
          <w:p w14:paraId="0C0CD080" w14:textId="7EFD951B" w:rsidR="00C06933" w:rsidRPr="00C06933" w:rsidRDefault="00CB09BE" w:rsidP="00C06933">
            <w:pPr>
              <w:contextualSpacing/>
              <w:jc w:val="center"/>
              <w:rPr>
                <w:rFonts w:ascii="Arial" w:hAnsi="Arial" w:cs="Arial"/>
                <w:b/>
                <w:szCs w:val="24"/>
              </w:rPr>
            </w:pPr>
            <w:r>
              <w:rPr>
                <w:rFonts w:ascii="Arial" w:hAnsi="Arial" w:cs="Arial"/>
                <w:b/>
                <w:szCs w:val="24"/>
              </w:rPr>
              <w:sym w:font="Wingdings" w:char="F0FC"/>
            </w:r>
          </w:p>
        </w:tc>
      </w:tr>
      <w:tr w:rsidR="009F5708" w:rsidRPr="00491D87" w14:paraId="0352F2E3" w14:textId="77777777" w:rsidTr="008E47FA">
        <w:trPr>
          <w:cantSplit/>
        </w:trPr>
        <w:tc>
          <w:tcPr>
            <w:tcW w:w="9648" w:type="dxa"/>
            <w:gridSpan w:val="11"/>
            <w:shd w:val="clear" w:color="auto" w:fill="FFC000"/>
          </w:tcPr>
          <w:p w14:paraId="6828E12A" w14:textId="1005BD79" w:rsidR="009F5708" w:rsidRPr="00491D87" w:rsidRDefault="009F5708" w:rsidP="00472AC1">
            <w:pPr>
              <w:numPr>
                <w:ilvl w:val="0"/>
                <w:numId w:val="2"/>
              </w:numPr>
              <w:contextualSpacing/>
              <w:rPr>
                <w:szCs w:val="24"/>
              </w:rPr>
            </w:pPr>
            <w:r w:rsidRPr="00491D87">
              <w:rPr>
                <w:b/>
                <w:szCs w:val="24"/>
              </w:rPr>
              <w:t>Financial Products, Terms and Amount</w:t>
            </w:r>
            <w:r w:rsidR="008E47FA">
              <w:rPr>
                <w:b/>
                <w:szCs w:val="24"/>
              </w:rPr>
              <w:t>s</w:t>
            </w:r>
          </w:p>
        </w:tc>
      </w:tr>
      <w:tr w:rsidR="00FA6B78" w:rsidRPr="00491D87" w14:paraId="77D2A293" w14:textId="77777777" w:rsidTr="00CC2D00">
        <w:trPr>
          <w:cantSplit/>
        </w:trPr>
        <w:tc>
          <w:tcPr>
            <w:tcW w:w="6045" w:type="dxa"/>
            <w:gridSpan w:val="6"/>
            <w:tcBorders>
              <w:bottom w:val="single" w:sz="4" w:space="0" w:color="auto"/>
            </w:tcBorders>
            <w:shd w:val="clear" w:color="auto" w:fill="D9D9D9" w:themeFill="background1" w:themeFillShade="D9"/>
            <w:vAlign w:val="center"/>
          </w:tcPr>
          <w:p w14:paraId="4A931D83" w14:textId="1941E548" w:rsidR="00FA6B78" w:rsidRPr="00491D87" w:rsidRDefault="008E47FA" w:rsidP="008E47FA">
            <w:pPr>
              <w:ind w:right="144"/>
              <w:contextualSpacing/>
              <w:jc w:val="center"/>
              <w:rPr>
                <w:b/>
                <w:szCs w:val="24"/>
              </w:rPr>
            </w:pPr>
            <w:r>
              <w:rPr>
                <w:b/>
                <w:szCs w:val="24"/>
              </w:rPr>
              <w:t>Financial Product</w:t>
            </w:r>
          </w:p>
        </w:tc>
        <w:tc>
          <w:tcPr>
            <w:tcW w:w="1798" w:type="dxa"/>
            <w:gridSpan w:val="2"/>
            <w:shd w:val="clear" w:color="auto" w:fill="D9D9D9" w:themeFill="background1" w:themeFillShade="D9"/>
          </w:tcPr>
          <w:p w14:paraId="741914FB" w14:textId="5B8C2A6B" w:rsidR="00472AC1" w:rsidRPr="00472AC1" w:rsidRDefault="00FA6B78" w:rsidP="008E47FA">
            <w:pPr>
              <w:ind w:right="144"/>
              <w:contextualSpacing/>
              <w:jc w:val="center"/>
              <w:rPr>
                <w:szCs w:val="24"/>
              </w:rPr>
            </w:pPr>
            <w:r w:rsidRPr="00491D87">
              <w:rPr>
                <w:b/>
                <w:szCs w:val="24"/>
              </w:rPr>
              <w:t>USD</w:t>
            </w:r>
            <w:r w:rsidR="008E47FA">
              <w:rPr>
                <w:b/>
                <w:szCs w:val="24"/>
              </w:rPr>
              <w:br/>
            </w:r>
            <w:r w:rsidR="00472AC1" w:rsidRPr="00472AC1">
              <w:rPr>
                <w:szCs w:val="24"/>
              </w:rPr>
              <w:t>(million)</w:t>
            </w:r>
          </w:p>
        </w:tc>
        <w:tc>
          <w:tcPr>
            <w:tcW w:w="1805" w:type="dxa"/>
            <w:gridSpan w:val="3"/>
            <w:shd w:val="clear" w:color="auto" w:fill="D9D9D9" w:themeFill="background1" w:themeFillShade="D9"/>
          </w:tcPr>
          <w:p w14:paraId="0B6D368E" w14:textId="250CFC20" w:rsidR="00FA6B78" w:rsidRPr="00491D87" w:rsidRDefault="00FA6B78" w:rsidP="00805A2C">
            <w:pPr>
              <w:ind w:right="144"/>
              <w:contextualSpacing/>
              <w:jc w:val="center"/>
              <w:rPr>
                <w:b/>
                <w:szCs w:val="24"/>
              </w:rPr>
            </w:pPr>
            <w:r w:rsidRPr="00491D87">
              <w:rPr>
                <w:b/>
                <w:szCs w:val="24"/>
              </w:rPr>
              <w:t>EUR</w:t>
            </w:r>
            <w:r w:rsidR="00472AC1">
              <w:rPr>
                <w:b/>
                <w:szCs w:val="24"/>
              </w:rPr>
              <w:br/>
            </w:r>
            <w:r w:rsidR="00A50F19">
              <w:rPr>
                <w:szCs w:val="24"/>
              </w:rPr>
              <w:t>(million)</w:t>
            </w:r>
          </w:p>
        </w:tc>
      </w:tr>
      <w:tr w:rsidR="00FA6B78" w:rsidRPr="00491D87" w14:paraId="360F7A57"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CB296" w14:textId="10FEA4BA" w:rsidR="00FA6B78" w:rsidRPr="00472AC1" w:rsidRDefault="00472AC1" w:rsidP="00472AC1">
            <w:pPr>
              <w:ind w:right="144"/>
              <w:rPr>
                <w:szCs w:val="24"/>
              </w:rPr>
            </w:pPr>
            <w:r w:rsidRPr="00472AC1">
              <w:rPr>
                <w:szCs w:val="24"/>
              </w:rPr>
              <w:t>Grant</w:t>
            </w:r>
          </w:p>
        </w:tc>
        <w:tc>
          <w:tcPr>
            <w:tcW w:w="1798" w:type="dxa"/>
            <w:gridSpan w:val="2"/>
            <w:tcBorders>
              <w:left w:val="single" w:sz="4" w:space="0" w:color="auto"/>
            </w:tcBorders>
          </w:tcPr>
          <w:p w14:paraId="66CC145C" w14:textId="07B1F51C" w:rsidR="00FA6B78" w:rsidRPr="008E47FA" w:rsidRDefault="00FA6B78" w:rsidP="008E47FA">
            <w:pPr>
              <w:ind w:right="144"/>
              <w:contextualSpacing/>
              <w:jc w:val="right"/>
              <w:rPr>
                <w:szCs w:val="24"/>
              </w:rPr>
            </w:pPr>
          </w:p>
        </w:tc>
        <w:tc>
          <w:tcPr>
            <w:tcW w:w="1805" w:type="dxa"/>
            <w:gridSpan w:val="3"/>
            <w:shd w:val="clear" w:color="auto" w:fill="D9D9D9" w:themeFill="background1" w:themeFillShade="D9"/>
          </w:tcPr>
          <w:p w14:paraId="3E35EE9B" w14:textId="77777777" w:rsidR="00FA6B78" w:rsidRPr="00491D87" w:rsidRDefault="00FA6B78" w:rsidP="00FC0C54">
            <w:pPr>
              <w:ind w:right="144"/>
              <w:contextualSpacing/>
              <w:jc w:val="right"/>
              <w:rPr>
                <w:b/>
                <w:szCs w:val="24"/>
              </w:rPr>
            </w:pPr>
          </w:p>
        </w:tc>
      </w:tr>
      <w:tr w:rsidR="00FA6B78" w:rsidRPr="00491D87" w14:paraId="0163F76B"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00211F" w14:textId="589CCB21" w:rsidR="00FA6B78" w:rsidRPr="00472AC1" w:rsidRDefault="00472AC1" w:rsidP="00472AC1">
            <w:pPr>
              <w:ind w:right="144"/>
              <w:rPr>
                <w:szCs w:val="24"/>
              </w:rPr>
            </w:pPr>
            <w:r>
              <w:rPr>
                <w:szCs w:val="24"/>
              </w:rPr>
              <w:t>Fee on grant</w:t>
            </w:r>
          </w:p>
        </w:tc>
        <w:tc>
          <w:tcPr>
            <w:tcW w:w="1798" w:type="dxa"/>
            <w:gridSpan w:val="2"/>
            <w:tcBorders>
              <w:left w:val="single" w:sz="4" w:space="0" w:color="auto"/>
            </w:tcBorders>
          </w:tcPr>
          <w:p w14:paraId="3103817F" w14:textId="7D656F2F" w:rsidR="00FA6B78" w:rsidRPr="008E47FA" w:rsidRDefault="002D28C4" w:rsidP="008E47FA">
            <w:pPr>
              <w:ind w:right="144"/>
              <w:contextualSpacing/>
              <w:jc w:val="right"/>
              <w:rPr>
                <w:szCs w:val="24"/>
              </w:rPr>
            </w:pPr>
            <w:r>
              <w:rPr>
                <w:szCs w:val="24"/>
              </w:rPr>
              <w:t>0.476</w:t>
            </w:r>
          </w:p>
        </w:tc>
        <w:tc>
          <w:tcPr>
            <w:tcW w:w="1805" w:type="dxa"/>
            <w:gridSpan w:val="3"/>
            <w:shd w:val="clear" w:color="auto" w:fill="D9D9D9" w:themeFill="background1" w:themeFillShade="D9"/>
          </w:tcPr>
          <w:p w14:paraId="6E8BB9CE" w14:textId="77777777" w:rsidR="00FA6B78" w:rsidRPr="00491D87" w:rsidRDefault="00FA6B78" w:rsidP="00FC0C54">
            <w:pPr>
              <w:ind w:right="144"/>
              <w:contextualSpacing/>
              <w:jc w:val="right"/>
              <w:rPr>
                <w:b/>
                <w:szCs w:val="24"/>
              </w:rPr>
            </w:pPr>
          </w:p>
        </w:tc>
      </w:tr>
      <w:tr w:rsidR="00FA6B78" w:rsidRPr="00491D87" w14:paraId="6EC72E94"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5E4E32" w14:textId="63320579" w:rsidR="00FA6B78" w:rsidRPr="00472AC1" w:rsidRDefault="00472AC1" w:rsidP="00472AC1">
            <w:pPr>
              <w:ind w:right="144"/>
              <w:rPr>
                <w:szCs w:val="24"/>
              </w:rPr>
            </w:pPr>
            <w:r>
              <w:rPr>
                <w:szCs w:val="24"/>
              </w:rPr>
              <w:t>MPIS (for private sector only)</w:t>
            </w:r>
          </w:p>
        </w:tc>
        <w:tc>
          <w:tcPr>
            <w:tcW w:w="1798" w:type="dxa"/>
            <w:gridSpan w:val="2"/>
            <w:tcBorders>
              <w:left w:val="single" w:sz="4" w:space="0" w:color="auto"/>
            </w:tcBorders>
          </w:tcPr>
          <w:p w14:paraId="22EA8E89" w14:textId="77777777" w:rsidR="00FA6B78" w:rsidRPr="008E47FA" w:rsidRDefault="00FA6B78" w:rsidP="008E47FA">
            <w:pPr>
              <w:ind w:right="144"/>
              <w:contextualSpacing/>
              <w:jc w:val="right"/>
              <w:rPr>
                <w:szCs w:val="24"/>
              </w:rPr>
            </w:pPr>
          </w:p>
        </w:tc>
        <w:tc>
          <w:tcPr>
            <w:tcW w:w="1805" w:type="dxa"/>
            <w:gridSpan w:val="3"/>
            <w:shd w:val="clear" w:color="auto" w:fill="D9D9D9" w:themeFill="background1" w:themeFillShade="D9"/>
          </w:tcPr>
          <w:p w14:paraId="1B6AE45B" w14:textId="77777777" w:rsidR="00FA6B78" w:rsidRPr="00491D87" w:rsidRDefault="00FA6B78" w:rsidP="00FC0C54">
            <w:pPr>
              <w:ind w:right="144"/>
              <w:contextualSpacing/>
              <w:jc w:val="right"/>
              <w:rPr>
                <w:b/>
                <w:szCs w:val="24"/>
              </w:rPr>
            </w:pPr>
          </w:p>
        </w:tc>
      </w:tr>
      <w:tr w:rsidR="00FA6B78" w:rsidRPr="00C06933" w14:paraId="71356B7D" w14:textId="77777777" w:rsidTr="00C06933">
        <w:trPr>
          <w:cantSplit/>
        </w:trPr>
        <w:tc>
          <w:tcPr>
            <w:tcW w:w="6045" w:type="dxa"/>
            <w:gridSpan w:val="6"/>
            <w:tcBorders>
              <w:top w:val="single" w:sz="4" w:space="0" w:color="auto"/>
              <w:bottom w:val="single" w:sz="4" w:space="0" w:color="auto"/>
            </w:tcBorders>
            <w:shd w:val="clear" w:color="auto" w:fill="C2D69B" w:themeFill="accent3" w:themeFillTint="99"/>
          </w:tcPr>
          <w:p w14:paraId="0698957A" w14:textId="77777777" w:rsidR="00FA6B78" w:rsidRPr="00C06933" w:rsidRDefault="00FA6B78" w:rsidP="00FA6B78">
            <w:pPr>
              <w:ind w:right="144"/>
              <w:rPr>
                <w:color w:val="9BBB59" w:themeColor="accent3"/>
                <w:sz w:val="10"/>
                <w:szCs w:val="10"/>
              </w:rPr>
            </w:pPr>
          </w:p>
        </w:tc>
        <w:tc>
          <w:tcPr>
            <w:tcW w:w="1798" w:type="dxa"/>
            <w:gridSpan w:val="2"/>
            <w:tcBorders>
              <w:bottom w:val="single" w:sz="4" w:space="0" w:color="auto"/>
            </w:tcBorders>
            <w:shd w:val="clear" w:color="auto" w:fill="C2D69B" w:themeFill="accent3" w:themeFillTint="99"/>
          </w:tcPr>
          <w:p w14:paraId="26AB0EC9" w14:textId="77777777" w:rsidR="00FA6B78" w:rsidRPr="00C06933" w:rsidRDefault="00FA6B78" w:rsidP="005653CF">
            <w:pPr>
              <w:ind w:right="144"/>
              <w:contextualSpacing/>
              <w:rPr>
                <w:b/>
                <w:color w:val="9BBB59" w:themeColor="accent3"/>
                <w:sz w:val="10"/>
                <w:szCs w:val="10"/>
              </w:rPr>
            </w:pPr>
          </w:p>
        </w:tc>
        <w:tc>
          <w:tcPr>
            <w:tcW w:w="1805" w:type="dxa"/>
            <w:gridSpan w:val="3"/>
            <w:tcBorders>
              <w:bottom w:val="single" w:sz="4" w:space="0" w:color="auto"/>
            </w:tcBorders>
            <w:shd w:val="clear" w:color="auto" w:fill="C2D69B" w:themeFill="accent3" w:themeFillTint="99"/>
          </w:tcPr>
          <w:p w14:paraId="0B6307F8" w14:textId="77777777" w:rsidR="00FA6B78" w:rsidRPr="00C06933" w:rsidRDefault="00FA6B78" w:rsidP="005653CF">
            <w:pPr>
              <w:ind w:right="144"/>
              <w:contextualSpacing/>
              <w:rPr>
                <w:b/>
                <w:color w:val="9BBB59" w:themeColor="accent3"/>
                <w:sz w:val="10"/>
                <w:szCs w:val="10"/>
              </w:rPr>
            </w:pPr>
          </w:p>
        </w:tc>
      </w:tr>
      <w:tr w:rsidR="008E47FA" w:rsidRPr="00491D87" w14:paraId="4C6BB494" w14:textId="77777777" w:rsidTr="00CC2D00">
        <w:trPr>
          <w:cantSplit/>
        </w:trPr>
        <w:tc>
          <w:tcPr>
            <w:tcW w:w="236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13C998" w14:textId="3167288A" w:rsidR="008E47FA" w:rsidRPr="00472AC1" w:rsidRDefault="008E47FA" w:rsidP="008E47FA">
            <w:r>
              <w:rPr>
                <w:szCs w:val="24"/>
              </w:rPr>
              <w:t>Public sector loan</w:t>
            </w:r>
          </w:p>
        </w:tc>
        <w:tc>
          <w:tcPr>
            <w:tcW w:w="3681"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5DAE88" w14:textId="7610D838" w:rsidR="008E47FA" w:rsidRPr="00472AC1" w:rsidRDefault="008E47FA" w:rsidP="008E47FA">
            <w:r>
              <w:rPr>
                <w:szCs w:val="24"/>
              </w:rPr>
              <w:t>Harder terms</w:t>
            </w:r>
          </w:p>
        </w:tc>
        <w:tc>
          <w:tcPr>
            <w:tcW w:w="1798" w:type="dxa"/>
            <w:gridSpan w:val="2"/>
            <w:tcBorders>
              <w:top w:val="single" w:sz="4" w:space="0" w:color="auto"/>
              <w:left w:val="single" w:sz="4" w:space="0" w:color="auto"/>
            </w:tcBorders>
          </w:tcPr>
          <w:p w14:paraId="5CFD5F43" w14:textId="77777777" w:rsidR="008E47FA" w:rsidRPr="008E47FA" w:rsidRDefault="008E47FA" w:rsidP="008E47FA">
            <w:pPr>
              <w:ind w:right="144"/>
              <w:contextualSpacing/>
              <w:jc w:val="right"/>
              <w:rPr>
                <w:szCs w:val="24"/>
              </w:rPr>
            </w:pPr>
          </w:p>
        </w:tc>
        <w:tc>
          <w:tcPr>
            <w:tcW w:w="1805" w:type="dxa"/>
            <w:gridSpan w:val="3"/>
            <w:tcBorders>
              <w:top w:val="single" w:sz="4" w:space="0" w:color="auto"/>
            </w:tcBorders>
          </w:tcPr>
          <w:p w14:paraId="7F3C6E98" w14:textId="77777777" w:rsidR="008E47FA" w:rsidRPr="008E47FA" w:rsidRDefault="008E47FA" w:rsidP="008E47FA">
            <w:pPr>
              <w:ind w:right="144"/>
              <w:contextualSpacing/>
              <w:jc w:val="right"/>
              <w:rPr>
                <w:szCs w:val="24"/>
              </w:rPr>
            </w:pPr>
          </w:p>
        </w:tc>
      </w:tr>
      <w:tr w:rsidR="008E47FA" w:rsidRPr="00491D87" w14:paraId="1BAB2B34" w14:textId="77777777" w:rsidTr="00CC2D00">
        <w:trPr>
          <w:cantSplit/>
        </w:trPr>
        <w:tc>
          <w:tcPr>
            <w:tcW w:w="2364"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200DF" w14:textId="7F0CE275" w:rsidR="008E47FA" w:rsidRPr="00472AC1" w:rsidRDefault="008E47FA" w:rsidP="008E47FA"/>
        </w:tc>
        <w:tc>
          <w:tcPr>
            <w:tcW w:w="3681"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484263" w14:textId="2C588D34" w:rsidR="008E47FA" w:rsidRPr="00472AC1" w:rsidRDefault="008E47FA" w:rsidP="008E47FA">
            <w:r>
              <w:rPr>
                <w:szCs w:val="24"/>
              </w:rPr>
              <w:t>Softer terms</w:t>
            </w:r>
          </w:p>
        </w:tc>
        <w:tc>
          <w:tcPr>
            <w:tcW w:w="1798" w:type="dxa"/>
            <w:gridSpan w:val="2"/>
            <w:tcBorders>
              <w:left w:val="single" w:sz="4" w:space="0" w:color="auto"/>
            </w:tcBorders>
          </w:tcPr>
          <w:p w14:paraId="54279845" w14:textId="77777777" w:rsidR="008E47FA" w:rsidRPr="008E47FA" w:rsidRDefault="008E47FA" w:rsidP="008E47FA">
            <w:pPr>
              <w:ind w:right="144"/>
              <w:contextualSpacing/>
              <w:jc w:val="right"/>
              <w:rPr>
                <w:szCs w:val="24"/>
              </w:rPr>
            </w:pPr>
          </w:p>
        </w:tc>
        <w:tc>
          <w:tcPr>
            <w:tcW w:w="1805" w:type="dxa"/>
            <w:gridSpan w:val="3"/>
          </w:tcPr>
          <w:p w14:paraId="0E0973C6" w14:textId="77777777" w:rsidR="008E47FA" w:rsidRPr="008E47FA" w:rsidRDefault="008E47FA" w:rsidP="008E47FA">
            <w:pPr>
              <w:ind w:right="144"/>
              <w:contextualSpacing/>
              <w:jc w:val="right"/>
              <w:rPr>
                <w:szCs w:val="24"/>
              </w:rPr>
            </w:pPr>
          </w:p>
        </w:tc>
      </w:tr>
      <w:tr w:rsidR="00472AC1" w:rsidRPr="00C06933" w14:paraId="0FEF706D" w14:textId="77777777" w:rsidTr="00C06933">
        <w:trPr>
          <w:cantSplit/>
        </w:trPr>
        <w:tc>
          <w:tcPr>
            <w:tcW w:w="6045" w:type="dxa"/>
            <w:gridSpan w:val="6"/>
            <w:tcBorders>
              <w:top w:val="single" w:sz="4" w:space="0" w:color="auto"/>
              <w:bottom w:val="single" w:sz="4" w:space="0" w:color="auto"/>
            </w:tcBorders>
            <w:shd w:val="clear" w:color="auto" w:fill="C2D69B" w:themeFill="accent3" w:themeFillTint="99"/>
          </w:tcPr>
          <w:p w14:paraId="586665DB" w14:textId="77777777" w:rsidR="00472AC1" w:rsidRPr="00C06933" w:rsidRDefault="00472AC1" w:rsidP="0076559A">
            <w:pPr>
              <w:ind w:right="144"/>
              <w:rPr>
                <w:sz w:val="10"/>
                <w:szCs w:val="10"/>
              </w:rPr>
            </w:pPr>
          </w:p>
        </w:tc>
        <w:tc>
          <w:tcPr>
            <w:tcW w:w="1798" w:type="dxa"/>
            <w:gridSpan w:val="2"/>
            <w:shd w:val="clear" w:color="auto" w:fill="C2D69B" w:themeFill="accent3" w:themeFillTint="99"/>
          </w:tcPr>
          <w:p w14:paraId="6B5E5B7F" w14:textId="77777777" w:rsidR="00472AC1" w:rsidRPr="00C06933" w:rsidRDefault="00472AC1" w:rsidP="008E47FA">
            <w:pPr>
              <w:ind w:right="144"/>
              <w:contextualSpacing/>
              <w:jc w:val="right"/>
              <w:rPr>
                <w:sz w:val="10"/>
                <w:szCs w:val="10"/>
              </w:rPr>
            </w:pPr>
          </w:p>
        </w:tc>
        <w:tc>
          <w:tcPr>
            <w:tcW w:w="1805" w:type="dxa"/>
            <w:gridSpan w:val="3"/>
            <w:shd w:val="clear" w:color="auto" w:fill="C2D69B" w:themeFill="accent3" w:themeFillTint="99"/>
          </w:tcPr>
          <w:p w14:paraId="1DE90848" w14:textId="77777777" w:rsidR="00472AC1" w:rsidRPr="00C06933" w:rsidRDefault="00472AC1" w:rsidP="008E47FA">
            <w:pPr>
              <w:ind w:right="144"/>
              <w:contextualSpacing/>
              <w:jc w:val="right"/>
              <w:rPr>
                <w:sz w:val="10"/>
                <w:szCs w:val="10"/>
              </w:rPr>
            </w:pPr>
          </w:p>
        </w:tc>
      </w:tr>
      <w:tr w:rsidR="00472AC1" w:rsidRPr="00491D87" w14:paraId="45F80F41"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8D09A9" w14:textId="2E19FF97" w:rsidR="00472AC1" w:rsidRPr="00491D87" w:rsidRDefault="00472AC1" w:rsidP="00472AC1">
            <w:pPr>
              <w:pStyle w:val="Default"/>
              <w:jc w:val="both"/>
            </w:pPr>
            <w:r>
              <w:t>Senior loan</w:t>
            </w:r>
          </w:p>
        </w:tc>
        <w:tc>
          <w:tcPr>
            <w:tcW w:w="1798" w:type="dxa"/>
            <w:gridSpan w:val="2"/>
            <w:tcBorders>
              <w:left w:val="single" w:sz="4" w:space="0" w:color="auto"/>
            </w:tcBorders>
            <w:vAlign w:val="center"/>
          </w:tcPr>
          <w:p w14:paraId="7EB86AD1" w14:textId="77777777" w:rsidR="00472AC1" w:rsidRPr="008E47FA" w:rsidRDefault="00472AC1" w:rsidP="008E47FA">
            <w:pPr>
              <w:ind w:right="144"/>
              <w:contextualSpacing/>
              <w:jc w:val="right"/>
              <w:rPr>
                <w:szCs w:val="24"/>
              </w:rPr>
            </w:pPr>
          </w:p>
        </w:tc>
        <w:tc>
          <w:tcPr>
            <w:tcW w:w="1805" w:type="dxa"/>
            <w:gridSpan w:val="3"/>
            <w:vAlign w:val="center"/>
          </w:tcPr>
          <w:p w14:paraId="03E6BD47" w14:textId="77777777" w:rsidR="00472AC1" w:rsidRPr="008E47FA" w:rsidRDefault="00472AC1" w:rsidP="008E47FA">
            <w:pPr>
              <w:ind w:right="144"/>
              <w:contextualSpacing/>
              <w:jc w:val="right"/>
              <w:rPr>
                <w:szCs w:val="24"/>
              </w:rPr>
            </w:pPr>
          </w:p>
        </w:tc>
      </w:tr>
      <w:tr w:rsidR="00FA6B78" w:rsidRPr="00491D87" w14:paraId="7E08F0C6"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85937" w14:textId="5930F794" w:rsidR="00FA6B78" w:rsidRPr="00491D87" w:rsidRDefault="00FA6B78" w:rsidP="00472AC1">
            <w:pPr>
              <w:pStyle w:val="Default"/>
              <w:jc w:val="both"/>
            </w:pPr>
            <w:r w:rsidRPr="00491D87">
              <w:t>Senior</w:t>
            </w:r>
            <w:r w:rsidR="00472AC1">
              <w:t xml:space="preserve"> loans in local currency hedged</w:t>
            </w:r>
          </w:p>
        </w:tc>
        <w:tc>
          <w:tcPr>
            <w:tcW w:w="1798" w:type="dxa"/>
            <w:gridSpan w:val="2"/>
            <w:tcBorders>
              <w:left w:val="single" w:sz="4" w:space="0" w:color="auto"/>
            </w:tcBorders>
            <w:vAlign w:val="center"/>
          </w:tcPr>
          <w:p w14:paraId="47439D5F" w14:textId="77777777" w:rsidR="00FA6B78" w:rsidRPr="008E47FA" w:rsidRDefault="00FA6B78" w:rsidP="008E47FA">
            <w:pPr>
              <w:ind w:right="144"/>
              <w:contextualSpacing/>
              <w:jc w:val="right"/>
              <w:rPr>
                <w:szCs w:val="24"/>
              </w:rPr>
            </w:pPr>
          </w:p>
        </w:tc>
        <w:tc>
          <w:tcPr>
            <w:tcW w:w="1805" w:type="dxa"/>
            <w:gridSpan w:val="3"/>
            <w:vAlign w:val="center"/>
          </w:tcPr>
          <w:p w14:paraId="07F9323D" w14:textId="77777777" w:rsidR="00FA6B78" w:rsidRPr="008E47FA" w:rsidRDefault="00FA6B78" w:rsidP="008E47FA">
            <w:pPr>
              <w:ind w:right="144"/>
              <w:contextualSpacing/>
              <w:jc w:val="right"/>
              <w:rPr>
                <w:szCs w:val="24"/>
              </w:rPr>
            </w:pPr>
          </w:p>
        </w:tc>
      </w:tr>
      <w:tr w:rsidR="00FA6B78" w:rsidRPr="00491D87" w14:paraId="22944DE1"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2059A4" w14:textId="38F68491" w:rsidR="00FA6B78" w:rsidRPr="00472AC1" w:rsidRDefault="00FA6B78" w:rsidP="008E47FA">
            <w:pPr>
              <w:ind w:left="288" w:right="144" w:hanging="288"/>
              <w:rPr>
                <w:szCs w:val="24"/>
              </w:rPr>
            </w:pPr>
            <w:r w:rsidRPr="00472AC1">
              <w:rPr>
                <w:szCs w:val="24"/>
              </w:rPr>
              <w:t>Subordinated debt / mezzanine instrument</w:t>
            </w:r>
            <w:r w:rsidR="00472AC1">
              <w:rPr>
                <w:szCs w:val="24"/>
              </w:rPr>
              <w:t>s with income participation</w:t>
            </w:r>
          </w:p>
        </w:tc>
        <w:tc>
          <w:tcPr>
            <w:tcW w:w="1798" w:type="dxa"/>
            <w:gridSpan w:val="2"/>
            <w:tcBorders>
              <w:left w:val="single" w:sz="4" w:space="0" w:color="auto"/>
            </w:tcBorders>
            <w:vAlign w:val="center"/>
          </w:tcPr>
          <w:p w14:paraId="0A1BAF3D" w14:textId="77777777" w:rsidR="00FA6B78" w:rsidRPr="008E47FA" w:rsidRDefault="00FA6B78" w:rsidP="008E47FA">
            <w:pPr>
              <w:ind w:right="144"/>
              <w:contextualSpacing/>
              <w:jc w:val="right"/>
              <w:rPr>
                <w:szCs w:val="24"/>
              </w:rPr>
            </w:pPr>
          </w:p>
        </w:tc>
        <w:tc>
          <w:tcPr>
            <w:tcW w:w="1805" w:type="dxa"/>
            <w:gridSpan w:val="3"/>
            <w:vAlign w:val="center"/>
          </w:tcPr>
          <w:p w14:paraId="631E75A6" w14:textId="77777777" w:rsidR="00FA6B78" w:rsidRPr="008E47FA" w:rsidRDefault="00FA6B78" w:rsidP="008E47FA">
            <w:pPr>
              <w:ind w:right="144"/>
              <w:contextualSpacing/>
              <w:jc w:val="right"/>
              <w:rPr>
                <w:szCs w:val="24"/>
              </w:rPr>
            </w:pPr>
          </w:p>
        </w:tc>
      </w:tr>
      <w:tr w:rsidR="00FA6B78" w:rsidRPr="00491D87" w14:paraId="3B285138"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56CD27" w14:textId="5E7B54A6" w:rsidR="00FA6B78" w:rsidRPr="00472AC1" w:rsidRDefault="00472AC1" w:rsidP="00472AC1">
            <w:pPr>
              <w:ind w:right="144"/>
              <w:rPr>
                <w:szCs w:val="24"/>
              </w:rPr>
            </w:pPr>
            <w:r>
              <w:rPr>
                <w:szCs w:val="24"/>
              </w:rPr>
              <w:t xml:space="preserve">Second loss </w:t>
            </w:r>
            <w:r w:rsidR="008E47FA">
              <w:rPr>
                <w:szCs w:val="24"/>
              </w:rPr>
              <w:t>guarantees</w:t>
            </w:r>
          </w:p>
        </w:tc>
        <w:tc>
          <w:tcPr>
            <w:tcW w:w="1798" w:type="dxa"/>
            <w:gridSpan w:val="2"/>
            <w:tcBorders>
              <w:left w:val="single" w:sz="4" w:space="0" w:color="auto"/>
            </w:tcBorders>
            <w:vAlign w:val="center"/>
          </w:tcPr>
          <w:p w14:paraId="080938DF" w14:textId="77777777" w:rsidR="00FA6B78" w:rsidRPr="008E47FA" w:rsidRDefault="00FA6B78" w:rsidP="008E47FA">
            <w:pPr>
              <w:ind w:right="144"/>
              <w:contextualSpacing/>
              <w:jc w:val="right"/>
              <w:rPr>
                <w:szCs w:val="24"/>
              </w:rPr>
            </w:pPr>
          </w:p>
        </w:tc>
        <w:tc>
          <w:tcPr>
            <w:tcW w:w="1805" w:type="dxa"/>
            <w:gridSpan w:val="3"/>
            <w:vAlign w:val="center"/>
          </w:tcPr>
          <w:p w14:paraId="64D78579" w14:textId="77777777" w:rsidR="00FA6B78" w:rsidRPr="008E47FA" w:rsidRDefault="00FA6B78" w:rsidP="008E47FA">
            <w:pPr>
              <w:ind w:right="144"/>
              <w:contextualSpacing/>
              <w:jc w:val="right"/>
              <w:rPr>
                <w:szCs w:val="24"/>
              </w:rPr>
            </w:pPr>
          </w:p>
        </w:tc>
      </w:tr>
      <w:tr w:rsidR="00FA6B78" w:rsidRPr="00C06933" w14:paraId="028E489B" w14:textId="77777777" w:rsidTr="00C06933">
        <w:trPr>
          <w:cantSplit/>
        </w:trPr>
        <w:tc>
          <w:tcPr>
            <w:tcW w:w="6045" w:type="dxa"/>
            <w:gridSpan w:val="6"/>
            <w:tcBorders>
              <w:top w:val="single" w:sz="4" w:space="0" w:color="auto"/>
              <w:bottom w:val="single" w:sz="4" w:space="0" w:color="auto"/>
            </w:tcBorders>
            <w:shd w:val="clear" w:color="auto" w:fill="C2D69B" w:themeFill="accent3" w:themeFillTint="99"/>
          </w:tcPr>
          <w:p w14:paraId="49B2B804" w14:textId="77777777" w:rsidR="00FA6B78" w:rsidRPr="00C06933" w:rsidRDefault="00FA6B78" w:rsidP="00FA6B78">
            <w:pPr>
              <w:ind w:right="144"/>
              <w:rPr>
                <w:sz w:val="10"/>
                <w:szCs w:val="10"/>
              </w:rPr>
            </w:pPr>
          </w:p>
        </w:tc>
        <w:tc>
          <w:tcPr>
            <w:tcW w:w="1798" w:type="dxa"/>
            <w:gridSpan w:val="2"/>
            <w:shd w:val="clear" w:color="auto" w:fill="C2D69B" w:themeFill="accent3" w:themeFillTint="99"/>
          </w:tcPr>
          <w:p w14:paraId="684A4958" w14:textId="77777777" w:rsidR="00FA6B78" w:rsidRPr="00C06933" w:rsidRDefault="00FA6B78" w:rsidP="008E47FA">
            <w:pPr>
              <w:ind w:right="144"/>
              <w:contextualSpacing/>
              <w:jc w:val="right"/>
              <w:rPr>
                <w:sz w:val="10"/>
                <w:szCs w:val="10"/>
              </w:rPr>
            </w:pPr>
          </w:p>
        </w:tc>
        <w:tc>
          <w:tcPr>
            <w:tcW w:w="1805" w:type="dxa"/>
            <w:gridSpan w:val="3"/>
            <w:shd w:val="clear" w:color="auto" w:fill="C2D69B" w:themeFill="accent3" w:themeFillTint="99"/>
          </w:tcPr>
          <w:p w14:paraId="04EC9149" w14:textId="77777777" w:rsidR="00FA6B78" w:rsidRPr="00C06933" w:rsidRDefault="00FA6B78" w:rsidP="008E47FA">
            <w:pPr>
              <w:ind w:right="144"/>
              <w:contextualSpacing/>
              <w:jc w:val="right"/>
              <w:rPr>
                <w:sz w:val="10"/>
                <w:szCs w:val="10"/>
              </w:rPr>
            </w:pPr>
          </w:p>
        </w:tc>
      </w:tr>
      <w:tr w:rsidR="00FA6B78" w:rsidRPr="00491D87" w14:paraId="6D222237"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8F46DA" w14:textId="67BB28F6" w:rsidR="00FA6B78" w:rsidRPr="00472AC1" w:rsidRDefault="00472AC1" w:rsidP="00472AC1">
            <w:pPr>
              <w:ind w:right="144"/>
              <w:rPr>
                <w:szCs w:val="24"/>
              </w:rPr>
            </w:pPr>
            <w:r>
              <w:rPr>
                <w:szCs w:val="24"/>
              </w:rPr>
              <w:t>Equity</w:t>
            </w:r>
          </w:p>
        </w:tc>
        <w:tc>
          <w:tcPr>
            <w:tcW w:w="1798" w:type="dxa"/>
            <w:gridSpan w:val="2"/>
            <w:tcBorders>
              <w:left w:val="single" w:sz="4" w:space="0" w:color="auto"/>
            </w:tcBorders>
          </w:tcPr>
          <w:p w14:paraId="1C9DEBFE" w14:textId="77777777" w:rsidR="00FA6B78" w:rsidRPr="008E47FA" w:rsidRDefault="00FA6B78" w:rsidP="008E47FA">
            <w:pPr>
              <w:ind w:right="144"/>
              <w:contextualSpacing/>
              <w:jc w:val="right"/>
              <w:rPr>
                <w:szCs w:val="24"/>
              </w:rPr>
            </w:pPr>
          </w:p>
        </w:tc>
        <w:tc>
          <w:tcPr>
            <w:tcW w:w="1805" w:type="dxa"/>
            <w:gridSpan w:val="3"/>
          </w:tcPr>
          <w:p w14:paraId="71733E18" w14:textId="77777777" w:rsidR="00FA6B78" w:rsidRPr="008E47FA" w:rsidRDefault="00FA6B78" w:rsidP="008E47FA">
            <w:pPr>
              <w:ind w:right="144"/>
              <w:contextualSpacing/>
              <w:jc w:val="right"/>
              <w:rPr>
                <w:szCs w:val="24"/>
              </w:rPr>
            </w:pPr>
          </w:p>
        </w:tc>
      </w:tr>
      <w:tr w:rsidR="00FA6B78" w:rsidRPr="00491D87" w14:paraId="41744671"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83FB2" w14:textId="01D98101" w:rsidR="00FA6B78" w:rsidRPr="00472AC1" w:rsidRDefault="00FA6B78" w:rsidP="008E47FA">
            <w:pPr>
              <w:ind w:left="288" w:right="144" w:hanging="288"/>
              <w:rPr>
                <w:szCs w:val="24"/>
              </w:rPr>
            </w:pPr>
            <w:r w:rsidRPr="00472AC1">
              <w:rPr>
                <w:szCs w:val="24"/>
              </w:rPr>
              <w:t>Subordinated debt/mezzanine instru</w:t>
            </w:r>
            <w:r w:rsidR="00472AC1">
              <w:rPr>
                <w:szCs w:val="24"/>
              </w:rPr>
              <w:t>ments with convertible features</w:t>
            </w:r>
          </w:p>
        </w:tc>
        <w:tc>
          <w:tcPr>
            <w:tcW w:w="1798" w:type="dxa"/>
            <w:gridSpan w:val="2"/>
            <w:tcBorders>
              <w:left w:val="single" w:sz="4" w:space="0" w:color="auto"/>
            </w:tcBorders>
            <w:vAlign w:val="center"/>
          </w:tcPr>
          <w:p w14:paraId="60908CF1" w14:textId="77777777" w:rsidR="00FA6B78" w:rsidRPr="008E47FA" w:rsidRDefault="00FA6B78" w:rsidP="00FC0C54">
            <w:pPr>
              <w:ind w:right="144"/>
              <w:contextualSpacing/>
              <w:jc w:val="right"/>
              <w:rPr>
                <w:szCs w:val="24"/>
              </w:rPr>
            </w:pPr>
          </w:p>
        </w:tc>
        <w:tc>
          <w:tcPr>
            <w:tcW w:w="1805" w:type="dxa"/>
            <w:gridSpan w:val="3"/>
            <w:vAlign w:val="center"/>
          </w:tcPr>
          <w:p w14:paraId="247BEE5E" w14:textId="77777777" w:rsidR="00FA6B78" w:rsidRPr="008E47FA" w:rsidRDefault="00FA6B78" w:rsidP="00FC0C54">
            <w:pPr>
              <w:ind w:right="144"/>
              <w:contextualSpacing/>
              <w:jc w:val="right"/>
              <w:rPr>
                <w:szCs w:val="24"/>
              </w:rPr>
            </w:pPr>
          </w:p>
        </w:tc>
      </w:tr>
      <w:tr w:rsidR="00FA6B78" w:rsidRPr="00491D87" w14:paraId="36B11D7B"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22EE6" w14:textId="312B33F0" w:rsidR="00FA6B78" w:rsidRPr="00472AC1" w:rsidRDefault="00FA6B78" w:rsidP="00472AC1">
            <w:pPr>
              <w:ind w:right="144"/>
              <w:rPr>
                <w:szCs w:val="24"/>
              </w:rPr>
            </w:pPr>
            <w:r w:rsidRPr="00472AC1">
              <w:rPr>
                <w:szCs w:val="24"/>
              </w:rPr>
              <w:t>Convertible grants</w:t>
            </w:r>
            <w:r w:rsidR="00472AC1">
              <w:rPr>
                <w:szCs w:val="24"/>
              </w:rPr>
              <w:t xml:space="preserve"> and contingent recovery grants</w:t>
            </w:r>
          </w:p>
        </w:tc>
        <w:tc>
          <w:tcPr>
            <w:tcW w:w="1798" w:type="dxa"/>
            <w:gridSpan w:val="2"/>
            <w:tcBorders>
              <w:left w:val="single" w:sz="4" w:space="0" w:color="auto"/>
            </w:tcBorders>
          </w:tcPr>
          <w:p w14:paraId="6FCE249D" w14:textId="7AFFF3D1" w:rsidR="00FA6B78" w:rsidRPr="008E47FA" w:rsidRDefault="002D28C4" w:rsidP="008E47FA">
            <w:pPr>
              <w:ind w:right="144"/>
              <w:contextualSpacing/>
              <w:jc w:val="right"/>
              <w:rPr>
                <w:szCs w:val="24"/>
              </w:rPr>
            </w:pPr>
            <w:r>
              <w:rPr>
                <w:szCs w:val="24"/>
              </w:rPr>
              <w:t>9.524</w:t>
            </w:r>
          </w:p>
        </w:tc>
        <w:tc>
          <w:tcPr>
            <w:tcW w:w="1805" w:type="dxa"/>
            <w:gridSpan w:val="3"/>
          </w:tcPr>
          <w:p w14:paraId="525F8D00" w14:textId="77777777" w:rsidR="00FA6B78" w:rsidRPr="008E47FA" w:rsidRDefault="00FA6B78" w:rsidP="008E47FA">
            <w:pPr>
              <w:ind w:right="144"/>
              <w:contextualSpacing/>
              <w:jc w:val="right"/>
              <w:rPr>
                <w:szCs w:val="24"/>
              </w:rPr>
            </w:pPr>
          </w:p>
        </w:tc>
      </w:tr>
      <w:tr w:rsidR="00FA6B78" w:rsidRPr="00491D87" w14:paraId="7878FD1F"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0A7A0" w14:textId="1EDD6800" w:rsidR="00FA6B78" w:rsidRPr="00472AC1" w:rsidRDefault="00472AC1" w:rsidP="00472AC1">
            <w:pPr>
              <w:ind w:right="144"/>
              <w:rPr>
                <w:szCs w:val="24"/>
              </w:rPr>
            </w:pPr>
            <w:r>
              <w:rPr>
                <w:szCs w:val="24"/>
              </w:rPr>
              <w:t>Contingent recovery loans</w:t>
            </w:r>
          </w:p>
        </w:tc>
        <w:tc>
          <w:tcPr>
            <w:tcW w:w="1798" w:type="dxa"/>
            <w:gridSpan w:val="2"/>
            <w:tcBorders>
              <w:left w:val="single" w:sz="4" w:space="0" w:color="auto"/>
            </w:tcBorders>
          </w:tcPr>
          <w:p w14:paraId="16FB66C4" w14:textId="77777777" w:rsidR="00FA6B78" w:rsidRPr="008E47FA" w:rsidRDefault="00FA6B78" w:rsidP="008E47FA">
            <w:pPr>
              <w:ind w:right="144"/>
              <w:contextualSpacing/>
              <w:jc w:val="right"/>
              <w:rPr>
                <w:szCs w:val="24"/>
              </w:rPr>
            </w:pPr>
          </w:p>
        </w:tc>
        <w:tc>
          <w:tcPr>
            <w:tcW w:w="1805" w:type="dxa"/>
            <w:gridSpan w:val="3"/>
          </w:tcPr>
          <w:p w14:paraId="45A2252D" w14:textId="77777777" w:rsidR="00FA6B78" w:rsidRPr="008E47FA" w:rsidRDefault="00FA6B78" w:rsidP="008E47FA">
            <w:pPr>
              <w:ind w:right="144"/>
              <w:contextualSpacing/>
              <w:jc w:val="right"/>
              <w:rPr>
                <w:szCs w:val="24"/>
              </w:rPr>
            </w:pPr>
          </w:p>
        </w:tc>
      </w:tr>
      <w:tr w:rsidR="00FA6B78" w:rsidRPr="00491D87" w14:paraId="5F84AA85" w14:textId="77777777" w:rsidTr="00CC2D00">
        <w:trPr>
          <w:cantSplit/>
        </w:trPr>
        <w:tc>
          <w:tcPr>
            <w:tcW w:w="604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F6165E" w14:textId="23A28880" w:rsidR="00FA6B78" w:rsidRPr="00472AC1" w:rsidRDefault="00472AC1" w:rsidP="00472AC1">
            <w:pPr>
              <w:ind w:right="144"/>
              <w:rPr>
                <w:szCs w:val="24"/>
              </w:rPr>
            </w:pPr>
            <w:r w:rsidRPr="00472AC1">
              <w:rPr>
                <w:szCs w:val="24"/>
              </w:rPr>
              <w:t xml:space="preserve">First loss </w:t>
            </w:r>
            <w:r w:rsidR="008E47FA" w:rsidRPr="00472AC1">
              <w:rPr>
                <w:szCs w:val="24"/>
              </w:rPr>
              <w:t>guarantees</w:t>
            </w:r>
          </w:p>
        </w:tc>
        <w:tc>
          <w:tcPr>
            <w:tcW w:w="1798" w:type="dxa"/>
            <w:gridSpan w:val="2"/>
            <w:tcBorders>
              <w:left w:val="single" w:sz="4" w:space="0" w:color="auto"/>
            </w:tcBorders>
          </w:tcPr>
          <w:p w14:paraId="31C4F2C9" w14:textId="77777777" w:rsidR="00FA6B78" w:rsidRPr="008E47FA" w:rsidRDefault="00FA6B78" w:rsidP="008E47FA">
            <w:pPr>
              <w:ind w:right="144"/>
              <w:contextualSpacing/>
              <w:jc w:val="right"/>
              <w:rPr>
                <w:szCs w:val="24"/>
              </w:rPr>
            </w:pPr>
          </w:p>
        </w:tc>
        <w:tc>
          <w:tcPr>
            <w:tcW w:w="1805" w:type="dxa"/>
            <w:gridSpan w:val="3"/>
          </w:tcPr>
          <w:p w14:paraId="6BA2CC4E" w14:textId="77777777" w:rsidR="00FA6B78" w:rsidRPr="008E47FA" w:rsidRDefault="00FA6B78" w:rsidP="008E47FA">
            <w:pPr>
              <w:ind w:right="144"/>
              <w:contextualSpacing/>
              <w:jc w:val="right"/>
              <w:rPr>
                <w:szCs w:val="24"/>
              </w:rPr>
            </w:pPr>
          </w:p>
        </w:tc>
      </w:tr>
      <w:tr w:rsidR="00472AC1" w:rsidRPr="00C06933" w14:paraId="1CE5C12B" w14:textId="77777777" w:rsidTr="00C06933">
        <w:trPr>
          <w:cantSplit/>
        </w:trPr>
        <w:tc>
          <w:tcPr>
            <w:tcW w:w="6045" w:type="dxa"/>
            <w:gridSpan w:val="6"/>
            <w:tcBorders>
              <w:top w:val="single" w:sz="4" w:space="0" w:color="auto"/>
              <w:bottom w:val="single" w:sz="4" w:space="0" w:color="auto"/>
            </w:tcBorders>
            <w:shd w:val="clear" w:color="auto" w:fill="C2D69B" w:themeFill="accent3" w:themeFillTint="99"/>
          </w:tcPr>
          <w:p w14:paraId="2F51225F" w14:textId="77777777" w:rsidR="00472AC1" w:rsidRPr="00C06933" w:rsidRDefault="00472AC1" w:rsidP="0076559A">
            <w:pPr>
              <w:ind w:right="144"/>
              <w:rPr>
                <w:sz w:val="10"/>
                <w:szCs w:val="10"/>
              </w:rPr>
            </w:pPr>
          </w:p>
        </w:tc>
        <w:tc>
          <w:tcPr>
            <w:tcW w:w="1798" w:type="dxa"/>
            <w:gridSpan w:val="2"/>
            <w:shd w:val="clear" w:color="auto" w:fill="C2D69B" w:themeFill="accent3" w:themeFillTint="99"/>
          </w:tcPr>
          <w:p w14:paraId="56A07359" w14:textId="77777777" w:rsidR="00472AC1" w:rsidRPr="00C06933" w:rsidRDefault="00472AC1" w:rsidP="008E47FA">
            <w:pPr>
              <w:ind w:right="144"/>
              <w:contextualSpacing/>
              <w:jc w:val="right"/>
              <w:rPr>
                <w:sz w:val="10"/>
                <w:szCs w:val="10"/>
              </w:rPr>
            </w:pPr>
          </w:p>
        </w:tc>
        <w:tc>
          <w:tcPr>
            <w:tcW w:w="1805" w:type="dxa"/>
            <w:gridSpan w:val="3"/>
            <w:shd w:val="clear" w:color="auto" w:fill="C2D69B" w:themeFill="accent3" w:themeFillTint="99"/>
          </w:tcPr>
          <w:p w14:paraId="6475F931" w14:textId="77777777" w:rsidR="00472AC1" w:rsidRPr="00C06933" w:rsidRDefault="00472AC1" w:rsidP="008E47FA">
            <w:pPr>
              <w:ind w:right="144"/>
              <w:contextualSpacing/>
              <w:jc w:val="right"/>
              <w:rPr>
                <w:sz w:val="10"/>
                <w:szCs w:val="10"/>
              </w:rPr>
            </w:pPr>
          </w:p>
        </w:tc>
      </w:tr>
      <w:tr w:rsidR="00FC0C54" w:rsidRPr="00491D87" w14:paraId="673B9FCB" w14:textId="77777777" w:rsidTr="00CC2D00">
        <w:trPr>
          <w:cantSplit/>
        </w:trPr>
        <w:tc>
          <w:tcPr>
            <w:tcW w:w="2364" w:type="dxa"/>
            <w:tcBorders>
              <w:top w:val="nil"/>
              <w:left w:val="single" w:sz="4" w:space="0" w:color="auto"/>
              <w:bottom w:val="single" w:sz="4" w:space="0" w:color="auto"/>
              <w:right w:val="single" w:sz="4" w:space="0" w:color="auto"/>
            </w:tcBorders>
            <w:shd w:val="clear" w:color="auto" w:fill="D9D9D9" w:themeFill="background1" w:themeFillShade="D9"/>
          </w:tcPr>
          <w:p w14:paraId="2F91065C" w14:textId="77777777" w:rsidR="00FC0C54" w:rsidRPr="00472AC1" w:rsidRDefault="00FC0C54" w:rsidP="00472AC1">
            <w:pPr>
              <w:ind w:right="144"/>
              <w:rPr>
                <w:szCs w:val="24"/>
              </w:rPr>
            </w:pPr>
            <w:r w:rsidRPr="00472AC1">
              <w:rPr>
                <w:szCs w:val="24"/>
              </w:rPr>
              <w:t>Other</w:t>
            </w:r>
            <w:r w:rsidRPr="00FC0C54">
              <w:rPr>
                <w:sz w:val="20"/>
                <w:szCs w:val="24"/>
              </w:rPr>
              <w:t xml:space="preserve"> (please specify)</w:t>
            </w:r>
          </w:p>
        </w:tc>
        <w:tc>
          <w:tcPr>
            <w:tcW w:w="3681" w:type="dxa"/>
            <w:gridSpan w:val="5"/>
            <w:tcBorders>
              <w:top w:val="nil"/>
              <w:left w:val="single" w:sz="4" w:space="0" w:color="auto"/>
              <w:bottom w:val="single" w:sz="4" w:space="0" w:color="auto"/>
              <w:right w:val="single" w:sz="4" w:space="0" w:color="auto"/>
            </w:tcBorders>
            <w:shd w:val="clear" w:color="auto" w:fill="auto"/>
          </w:tcPr>
          <w:p w14:paraId="1259300B" w14:textId="6BEAF39F" w:rsidR="00FC0C54" w:rsidRPr="00472AC1" w:rsidRDefault="00FC0C54" w:rsidP="00472AC1">
            <w:pPr>
              <w:ind w:right="144"/>
              <w:rPr>
                <w:szCs w:val="24"/>
              </w:rPr>
            </w:pPr>
          </w:p>
        </w:tc>
        <w:tc>
          <w:tcPr>
            <w:tcW w:w="1798" w:type="dxa"/>
            <w:gridSpan w:val="2"/>
            <w:tcBorders>
              <w:left w:val="single" w:sz="4" w:space="0" w:color="auto"/>
            </w:tcBorders>
            <w:vAlign w:val="center"/>
          </w:tcPr>
          <w:p w14:paraId="0294D89D" w14:textId="77777777" w:rsidR="00FC0C54" w:rsidRPr="008E47FA" w:rsidRDefault="00FC0C54" w:rsidP="00FC0C54">
            <w:pPr>
              <w:ind w:right="144"/>
              <w:contextualSpacing/>
              <w:jc w:val="right"/>
              <w:rPr>
                <w:szCs w:val="24"/>
              </w:rPr>
            </w:pPr>
          </w:p>
        </w:tc>
        <w:tc>
          <w:tcPr>
            <w:tcW w:w="1805" w:type="dxa"/>
            <w:gridSpan w:val="3"/>
            <w:vAlign w:val="center"/>
          </w:tcPr>
          <w:p w14:paraId="23469E82" w14:textId="77777777" w:rsidR="00FC0C54" w:rsidRPr="008E47FA" w:rsidRDefault="00FC0C54" w:rsidP="00FC0C54">
            <w:pPr>
              <w:ind w:right="144"/>
              <w:contextualSpacing/>
              <w:jc w:val="right"/>
              <w:rPr>
                <w:szCs w:val="24"/>
              </w:rPr>
            </w:pPr>
          </w:p>
        </w:tc>
      </w:tr>
      <w:tr w:rsidR="00472AC1" w:rsidRPr="00C06933" w14:paraId="5A8CB5FF" w14:textId="77777777" w:rsidTr="00C06933">
        <w:trPr>
          <w:cantSplit/>
        </w:trPr>
        <w:tc>
          <w:tcPr>
            <w:tcW w:w="6045" w:type="dxa"/>
            <w:gridSpan w:val="6"/>
            <w:tcBorders>
              <w:top w:val="single" w:sz="4" w:space="0" w:color="auto"/>
              <w:bottom w:val="single" w:sz="4" w:space="0" w:color="auto"/>
            </w:tcBorders>
            <w:shd w:val="clear" w:color="auto" w:fill="C2D69B" w:themeFill="accent3" w:themeFillTint="99"/>
          </w:tcPr>
          <w:p w14:paraId="49382FB6" w14:textId="77777777" w:rsidR="00472AC1" w:rsidRPr="00C06933" w:rsidRDefault="00472AC1" w:rsidP="0076559A">
            <w:pPr>
              <w:ind w:right="144"/>
              <w:rPr>
                <w:sz w:val="10"/>
                <w:szCs w:val="10"/>
              </w:rPr>
            </w:pPr>
          </w:p>
        </w:tc>
        <w:tc>
          <w:tcPr>
            <w:tcW w:w="1798" w:type="dxa"/>
            <w:gridSpan w:val="2"/>
            <w:shd w:val="clear" w:color="auto" w:fill="C2D69B" w:themeFill="accent3" w:themeFillTint="99"/>
          </w:tcPr>
          <w:p w14:paraId="0B8B44F1" w14:textId="77777777" w:rsidR="00472AC1" w:rsidRPr="00C06933" w:rsidRDefault="00472AC1" w:rsidP="008E47FA">
            <w:pPr>
              <w:ind w:right="144"/>
              <w:contextualSpacing/>
              <w:jc w:val="right"/>
              <w:rPr>
                <w:sz w:val="10"/>
                <w:szCs w:val="10"/>
              </w:rPr>
            </w:pPr>
          </w:p>
        </w:tc>
        <w:tc>
          <w:tcPr>
            <w:tcW w:w="1805" w:type="dxa"/>
            <w:gridSpan w:val="3"/>
            <w:shd w:val="clear" w:color="auto" w:fill="C2D69B" w:themeFill="accent3" w:themeFillTint="99"/>
          </w:tcPr>
          <w:p w14:paraId="78E093A2" w14:textId="77777777" w:rsidR="00472AC1" w:rsidRPr="00C06933" w:rsidRDefault="00472AC1" w:rsidP="008E47FA">
            <w:pPr>
              <w:ind w:right="144"/>
              <w:contextualSpacing/>
              <w:jc w:val="right"/>
              <w:rPr>
                <w:sz w:val="10"/>
                <w:szCs w:val="10"/>
              </w:rPr>
            </w:pPr>
          </w:p>
        </w:tc>
      </w:tr>
      <w:tr w:rsidR="00FA6B78" w:rsidRPr="00491D87" w14:paraId="4B8CF25D" w14:textId="77777777" w:rsidTr="00CC2D00">
        <w:trPr>
          <w:cantSplit/>
        </w:trPr>
        <w:tc>
          <w:tcPr>
            <w:tcW w:w="6045" w:type="dxa"/>
            <w:gridSpan w:val="6"/>
            <w:tcBorders>
              <w:top w:val="single" w:sz="4" w:space="0" w:color="auto"/>
            </w:tcBorders>
            <w:shd w:val="clear" w:color="auto" w:fill="D9D9D9" w:themeFill="background1" w:themeFillShade="D9"/>
          </w:tcPr>
          <w:p w14:paraId="08A9EA74" w14:textId="13FE5C99" w:rsidR="00832B53" w:rsidRPr="00832B53" w:rsidRDefault="00A50F19" w:rsidP="00832B53">
            <w:pPr>
              <w:ind w:right="144"/>
              <w:jc w:val="center"/>
              <w:rPr>
                <w:b/>
                <w:szCs w:val="24"/>
              </w:rPr>
            </w:pPr>
            <w:r>
              <w:rPr>
                <w:b/>
                <w:szCs w:val="24"/>
              </w:rPr>
              <w:t>Total</w:t>
            </w:r>
          </w:p>
        </w:tc>
        <w:tc>
          <w:tcPr>
            <w:tcW w:w="1798" w:type="dxa"/>
            <w:gridSpan w:val="2"/>
          </w:tcPr>
          <w:p w14:paraId="799418BD" w14:textId="703CB7CF" w:rsidR="00FA6B78" w:rsidRPr="008E47FA" w:rsidRDefault="002D28C4" w:rsidP="008E47FA">
            <w:pPr>
              <w:ind w:right="144"/>
              <w:contextualSpacing/>
              <w:jc w:val="right"/>
              <w:rPr>
                <w:szCs w:val="24"/>
              </w:rPr>
            </w:pPr>
            <w:r>
              <w:rPr>
                <w:szCs w:val="24"/>
              </w:rPr>
              <w:t>10.000</w:t>
            </w:r>
          </w:p>
        </w:tc>
        <w:tc>
          <w:tcPr>
            <w:tcW w:w="1805" w:type="dxa"/>
            <w:gridSpan w:val="3"/>
          </w:tcPr>
          <w:p w14:paraId="4185F821" w14:textId="77777777" w:rsidR="00FA6B78" w:rsidRPr="008E47FA" w:rsidRDefault="00FA6B78" w:rsidP="008E47FA">
            <w:pPr>
              <w:ind w:right="144"/>
              <w:contextualSpacing/>
              <w:jc w:val="right"/>
              <w:rPr>
                <w:szCs w:val="24"/>
              </w:rPr>
            </w:pPr>
          </w:p>
        </w:tc>
      </w:tr>
      <w:tr w:rsidR="000A01FF" w:rsidRPr="00491D87" w14:paraId="48F0A02E" w14:textId="77777777" w:rsidTr="00C06933">
        <w:trPr>
          <w:cantSplit/>
        </w:trPr>
        <w:tc>
          <w:tcPr>
            <w:tcW w:w="4332" w:type="dxa"/>
            <w:gridSpan w:val="3"/>
            <w:tcBorders>
              <w:bottom w:val="dotted" w:sz="4" w:space="0" w:color="auto"/>
            </w:tcBorders>
            <w:shd w:val="clear" w:color="auto" w:fill="FFC000"/>
          </w:tcPr>
          <w:p w14:paraId="326027D6" w14:textId="2D1FBD60" w:rsidR="000A01FF" w:rsidRPr="00491D87" w:rsidRDefault="000A01FF" w:rsidP="005653CF">
            <w:pPr>
              <w:numPr>
                <w:ilvl w:val="0"/>
                <w:numId w:val="2"/>
              </w:numPr>
              <w:contextualSpacing/>
              <w:rPr>
                <w:b/>
                <w:szCs w:val="24"/>
              </w:rPr>
            </w:pPr>
            <w:r w:rsidRPr="00491D87">
              <w:rPr>
                <w:b/>
                <w:szCs w:val="24"/>
              </w:rPr>
              <w:t>Implementing MDB(s)</w:t>
            </w:r>
          </w:p>
        </w:tc>
        <w:tc>
          <w:tcPr>
            <w:tcW w:w="5316" w:type="dxa"/>
            <w:gridSpan w:val="8"/>
            <w:tcBorders>
              <w:bottom w:val="dotted" w:sz="4" w:space="0" w:color="auto"/>
            </w:tcBorders>
          </w:tcPr>
          <w:p w14:paraId="2DE518AE" w14:textId="6AA75096" w:rsidR="00940CFA" w:rsidRPr="00491D87" w:rsidRDefault="008E47FA" w:rsidP="005653CF">
            <w:pPr>
              <w:contextualSpacing/>
              <w:rPr>
                <w:szCs w:val="24"/>
              </w:rPr>
            </w:pPr>
            <w:r>
              <w:rPr>
                <w:szCs w:val="24"/>
              </w:rPr>
              <w:t>Inter-American Development Bank (IDB</w:t>
            </w:r>
            <w:r w:rsidR="00CC2D00">
              <w:rPr>
                <w:szCs w:val="24"/>
              </w:rPr>
              <w:t>)</w:t>
            </w:r>
          </w:p>
        </w:tc>
      </w:tr>
      <w:tr w:rsidR="000A01FF" w:rsidRPr="00491D87" w14:paraId="13293FAD" w14:textId="77777777" w:rsidTr="00C06933">
        <w:trPr>
          <w:cantSplit/>
        </w:trPr>
        <w:tc>
          <w:tcPr>
            <w:tcW w:w="4332" w:type="dxa"/>
            <w:gridSpan w:val="3"/>
            <w:tcBorders>
              <w:bottom w:val="dotted" w:sz="4" w:space="0" w:color="auto"/>
            </w:tcBorders>
            <w:shd w:val="clear" w:color="auto" w:fill="FFC000"/>
          </w:tcPr>
          <w:p w14:paraId="523DDDCD" w14:textId="77777777" w:rsidR="000A01FF" w:rsidRPr="00491D87" w:rsidRDefault="000A01FF" w:rsidP="005653CF">
            <w:pPr>
              <w:numPr>
                <w:ilvl w:val="0"/>
                <w:numId w:val="2"/>
              </w:numPr>
              <w:contextualSpacing/>
              <w:rPr>
                <w:b/>
                <w:szCs w:val="24"/>
              </w:rPr>
            </w:pPr>
            <w:r w:rsidRPr="00491D87">
              <w:rPr>
                <w:b/>
                <w:szCs w:val="24"/>
              </w:rPr>
              <w:t>National Implementing Agency</w:t>
            </w:r>
          </w:p>
        </w:tc>
        <w:tc>
          <w:tcPr>
            <w:tcW w:w="5316" w:type="dxa"/>
            <w:gridSpan w:val="8"/>
            <w:tcBorders>
              <w:bottom w:val="dotted" w:sz="4" w:space="0" w:color="auto"/>
            </w:tcBorders>
          </w:tcPr>
          <w:p w14:paraId="2A72DA30" w14:textId="797E81A7" w:rsidR="000A01FF" w:rsidRPr="00491D87" w:rsidRDefault="002D28C4" w:rsidP="00CB09BE">
            <w:pPr>
              <w:contextualSpacing/>
              <w:rPr>
                <w:szCs w:val="24"/>
              </w:rPr>
            </w:pPr>
            <w:r>
              <w:rPr>
                <w:szCs w:val="24"/>
              </w:rPr>
              <w:t>Ministry of Energy and Mining (MEM)</w:t>
            </w:r>
            <w:r w:rsidR="00CB09BE">
              <w:rPr>
                <w:szCs w:val="24"/>
              </w:rPr>
              <w:t>,</w:t>
            </w:r>
            <w:r w:rsidR="005F58C1">
              <w:rPr>
                <w:szCs w:val="24"/>
              </w:rPr>
              <w:t xml:space="preserve"> with </w:t>
            </w:r>
            <w:r w:rsidR="00CB09BE">
              <w:rPr>
                <w:szCs w:val="24"/>
              </w:rPr>
              <w:t xml:space="preserve">the </w:t>
            </w:r>
            <w:r w:rsidR="005F58C1">
              <w:rPr>
                <w:szCs w:val="24"/>
              </w:rPr>
              <w:t xml:space="preserve">support from </w:t>
            </w:r>
            <w:r w:rsidR="00F07CC1">
              <w:rPr>
                <w:szCs w:val="24"/>
              </w:rPr>
              <w:t xml:space="preserve">the </w:t>
            </w:r>
            <w:r w:rsidR="00F07CC1" w:rsidRPr="00F07CC1">
              <w:rPr>
                <w:szCs w:val="24"/>
              </w:rPr>
              <w:t>Nicaraguan Electricity Company (</w:t>
            </w:r>
            <w:proofErr w:type="spellStart"/>
            <w:r w:rsidR="00F07CC1" w:rsidRPr="00F07CC1">
              <w:rPr>
                <w:szCs w:val="24"/>
              </w:rPr>
              <w:t>Empresa</w:t>
            </w:r>
            <w:proofErr w:type="spellEnd"/>
            <w:r w:rsidR="00F07CC1" w:rsidRPr="00F07CC1">
              <w:rPr>
                <w:szCs w:val="24"/>
              </w:rPr>
              <w:t xml:space="preserve"> </w:t>
            </w:r>
            <w:proofErr w:type="spellStart"/>
            <w:r w:rsidR="00F07CC1" w:rsidRPr="00F07CC1">
              <w:rPr>
                <w:szCs w:val="24"/>
              </w:rPr>
              <w:t>Nicaragüense</w:t>
            </w:r>
            <w:proofErr w:type="spellEnd"/>
            <w:r w:rsidR="00F07CC1" w:rsidRPr="00F07CC1">
              <w:rPr>
                <w:szCs w:val="24"/>
              </w:rPr>
              <w:t xml:space="preserve"> de </w:t>
            </w:r>
            <w:proofErr w:type="spellStart"/>
            <w:r w:rsidR="00CB09BE">
              <w:rPr>
                <w:szCs w:val="24"/>
              </w:rPr>
              <w:t>Electricidad</w:t>
            </w:r>
            <w:proofErr w:type="spellEnd"/>
            <w:r w:rsidR="00CB09BE">
              <w:rPr>
                <w:szCs w:val="24"/>
              </w:rPr>
              <w:t>, ENEL), and the National Electricity Transmission Company</w:t>
            </w:r>
            <w:r w:rsidR="00F07CC1" w:rsidRPr="00F07CC1">
              <w:rPr>
                <w:szCs w:val="24"/>
              </w:rPr>
              <w:t xml:space="preserve"> </w:t>
            </w:r>
            <w:r w:rsidR="00CB09BE">
              <w:rPr>
                <w:szCs w:val="24"/>
              </w:rPr>
              <w:t>(</w:t>
            </w:r>
            <w:proofErr w:type="spellStart"/>
            <w:r w:rsidR="00F07CC1" w:rsidRPr="00F07CC1">
              <w:rPr>
                <w:szCs w:val="24"/>
              </w:rPr>
              <w:t>Empresa</w:t>
            </w:r>
            <w:proofErr w:type="spellEnd"/>
            <w:r w:rsidR="00F07CC1" w:rsidRPr="00F07CC1">
              <w:rPr>
                <w:szCs w:val="24"/>
              </w:rPr>
              <w:t xml:space="preserve"> Nac</w:t>
            </w:r>
            <w:r w:rsidR="00CB09BE">
              <w:rPr>
                <w:szCs w:val="24"/>
              </w:rPr>
              <w:t xml:space="preserve">ional de </w:t>
            </w:r>
            <w:proofErr w:type="spellStart"/>
            <w:r w:rsidR="00CB09BE">
              <w:rPr>
                <w:szCs w:val="24"/>
              </w:rPr>
              <w:t>Transmisión</w:t>
            </w:r>
            <w:proofErr w:type="spellEnd"/>
            <w:r w:rsidR="00CB09BE">
              <w:rPr>
                <w:szCs w:val="24"/>
              </w:rPr>
              <w:t xml:space="preserve"> </w:t>
            </w:r>
            <w:proofErr w:type="spellStart"/>
            <w:r w:rsidR="00CB09BE">
              <w:rPr>
                <w:szCs w:val="24"/>
              </w:rPr>
              <w:t>Eléctrica</w:t>
            </w:r>
            <w:proofErr w:type="spellEnd"/>
            <w:r w:rsidR="00CB09BE">
              <w:rPr>
                <w:szCs w:val="24"/>
              </w:rPr>
              <w:t>, ENATREL)</w:t>
            </w:r>
          </w:p>
        </w:tc>
      </w:tr>
      <w:tr w:rsidR="00BB437F" w:rsidRPr="00491D87" w14:paraId="2CE9EC7A" w14:textId="77777777" w:rsidTr="00C06933">
        <w:trPr>
          <w:cantSplit/>
        </w:trPr>
        <w:tc>
          <w:tcPr>
            <w:tcW w:w="4332" w:type="dxa"/>
            <w:gridSpan w:val="3"/>
            <w:tcBorders>
              <w:bottom w:val="dotted" w:sz="4" w:space="0" w:color="auto"/>
            </w:tcBorders>
            <w:shd w:val="clear" w:color="auto" w:fill="FFC000"/>
          </w:tcPr>
          <w:p w14:paraId="307C9A54" w14:textId="77777777" w:rsidR="00BB437F" w:rsidRPr="00491D87" w:rsidRDefault="00BB437F" w:rsidP="005653CF">
            <w:pPr>
              <w:numPr>
                <w:ilvl w:val="0"/>
                <w:numId w:val="2"/>
              </w:numPr>
              <w:contextualSpacing/>
              <w:rPr>
                <w:b/>
                <w:szCs w:val="24"/>
              </w:rPr>
            </w:pPr>
            <w:r w:rsidRPr="00491D87">
              <w:rPr>
                <w:b/>
                <w:szCs w:val="24"/>
              </w:rPr>
              <w:t>MDB Focal Point</w:t>
            </w:r>
          </w:p>
        </w:tc>
        <w:tc>
          <w:tcPr>
            <w:tcW w:w="5316" w:type="dxa"/>
            <w:gridSpan w:val="8"/>
            <w:tcBorders>
              <w:bottom w:val="dotted" w:sz="4" w:space="0" w:color="auto"/>
            </w:tcBorders>
          </w:tcPr>
          <w:p w14:paraId="3739511F" w14:textId="14800623" w:rsidR="00940CFA" w:rsidRPr="00491D87" w:rsidRDefault="008E47FA" w:rsidP="005653CF">
            <w:pPr>
              <w:contextualSpacing/>
              <w:rPr>
                <w:szCs w:val="24"/>
              </w:rPr>
            </w:pPr>
            <w:r>
              <w:rPr>
                <w:szCs w:val="24"/>
              </w:rPr>
              <w:t>Claudio Alatorre (calatorre@iadb.org)</w:t>
            </w:r>
          </w:p>
        </w:tc>
      </w:tr>
      <w:tr w:rsidR="000A01FF" w:rsidRPr="00491D87" w14:paraId="1D9430BE" w14:textId="77777777" w:rsidTr="008E47FA">
        <w:trPr>
          <w:cantSplit/>
        </w:trPr>
        <w:tc>
          <w:tcPr>
            <w:tcW w:w="9648" w:type="dxa"/>
            <w:gridSpan w:val="11"/>
            <w:shd w:val="clear" w:color="auto" w:fill="FFC000"/>
          </w:tcPr>
          <w:p w14:paraId="2521D279" w14:textId="5A1BC451" w:rsidR="000A01FF" w:rsidRPr="00491D87" w:rsidRDefault="00F32344" w:rsidP="00805A2C">
            <w:pPr>
              <w:keepNext/>
              <w:numPr>
                <w:ilvl w:val="0"/>
                <w:numId w:val="2"/>
              </w:numPr>
              <w:contextualSpacing/>
              <w:rPr>
                <w:b/>
                <w:szCs w:val="24"/>
              </w:rPr>
            </w:pPr>
            <w:r w:rsidRPr="00491D87">
              <w:rPr>
                <w:b/>
                <w:szCs w:val="24"/>
              </w:rPr>
              <w:t xml:space="preserve">Brief </w:t>
            </w:r>
            <w:r w:rsidR="00E1564C" w:rsidRPr="00491D87">
              <w:rPr>
                <w:b/>
                <w:szCs w:val="24"/>
              </w:rPr>
              <w:t>Description of Project/Program</w:t>
            </w:r>
            <w:r w:rsidRPr="00491D87">
              <w:rPr>
                <w:b/>
                <w:szCs w:val="24"/>
              </w:rPr>
              <w:t xml:space="preserve"> (including objectives and expected outcomes)</w:t>
            </w:r>
          </w:p>
        </w:tc>
      </w:tr>
      <w:tr w:rsidR="009F4F0D" w:rsidRPr="005E05F4" w14:paraId="7F265E8B" w14:textId="77777777" w:rsidTr="00C5163A">
        <w:tc>
          <w:tcPr>
            <w:tcW w:w="9648" w:type="dxa"/>
            <w:gridSpan w:val="11"/>
            <w:shd w:val="clear" w:color="auto" w:fill="auto"/>
          </w:tcPr>
          <w:p w14:paraId="33D3885F" w14:textId="53B0DBB8" w:rsidR="00A3765F" w:rsidRDefault="00DF188A" w:rsidP="00C26312">
            <w:pPr>
              <w:spacing w:before="60" w:after="60"/>
              <w:jc w:val="both"/>
            </w:pPr>
            <w:r>
              <w:t>In 2015</w:t>
            </w:r>
            <w:r w:rsidR="00CB09BE">
              <w:t xml:space="preserve"> electricity demand reached 665.</w:t>
            </w:r>
            <w:r>
              <w:t>4</w:t>
            </w:r>
            <w:r w:rsidR="00CB09BE">
              <w:t> </w:t>
            </w:r>
            <w:r>
              <w:t>MW</w:t>
            </w:r>
            <w:r w:rsidR="00CB09BE">
              <w:t xml:space="preserve">, and </w:t>
            </w:r>
            <w:r w:rsidR="0026243E">
              <w:t>it is projected to reach</w:t>
            </w:r>
            <w:r w:rsidR="00CB09BE">
              <w:t xml:space="preserve"> 896 to 1,</w:t>
            </w:r>
            <w:r>
              <w:t>038</w:t>
            </w:r>
            <w:r w:rsidR="00CB09BE">
              <w:t> </w:t>
            </w:r>
            <w:r>
              <w:t xml:space="preserve">MW by </w:t>
            </w:r>
            <w:r>
              <w:lastRenderedPageBreak/>
              <w:t xml:space="preserve">2026. </w:t>
            </w:r>
            <w:r w:rsidR="00885EC3">
              <w:t>A</w:t>
            </w:r>
            <w:r w:rsidR="00A3765F">
              <w:t>round 80% of all electricity is produced by the p</w:t>
            </w:r>
            <w:r w:rsidR="00CB09BE">
              <w:t>rivate sector in Nicaragua and g</w:t>
            </w:r>
            <w:r w:rsidR="00A3765F">
              <w:t xml:space="preserve">eothermal power for electricity production is solely developed by the private sector through exploration and exploitation concessions granted by the government. Despite having a good legal framework for </w:t>
            </w:r>
            <w:r>
              <w:t>geothermal energy</w:t>
            </w:r>
            <w:r w:rsidR="00CB09BE">
              <w:t>,</w:t>
            </w:r>
            <w:r w:rsidR="00A3765F">
              <w:t xml:space="preserve"> there is uncerta</w:t>
            </w:r>
            <w:r>
              <w:t>inty regarding the availability</w:t>
            </w:r>
            <w:r w:rsidR="00A3765F">
              <w:t>,</w:t>
            </w:r>
            <w:r>
              <w:t xml:space="preserve"> </w:t>
            </w:r>
            <w:r w:rsidR="00A3765F">
              <w:t>long-term durability, and cost of extracting it for power generation,</w:t>
            </w:r>
            <w:r>
              <w:t xml:space="preserve"> </w:t>
            </w:r>
            <w:r w:rsidR="00A3765F">
              <w:t>that limit private investment, especially in the initial stage of exploration.</w:t>
            </w:r>
            <w:r>
              <w:t xml:space="preserve"> F</w:t>
            </w:r>
            <w:r w:rsidR="00A3765F">
              <w:t xml:space="preserve">inancing mechanisms </w:t>
            </w:r>
            <w:r>
              <w:t xml:space="preserve">need be developed </w:t>
            </w:r>
            <w:r w:rsidR="00A3765F">
              <w:t xml:space="preserve">to mitigate </w:t>
            </w:r>
            <w:r>
              <w:t xml:space="preserve">this </w:t>
            </w:r>
            <w:r w:rsidR="00A3765F">
              <w:t>risk and</w:t>
            </w:r>
            <w:r>
              <w:t xml:space="preserve"> </w:t>
            </w:r>
            <w:r w:rsidR="00CB09BE">
              <w:t xml:space="preserve">to </w:t>
            </w:r>
            <w:r w:rsidR="00A3765F">
              <w:t>stimulate competition in the development of the resource</w:t>
            </w:r>
            <w:r w:rsidR="00CB09BE">
              <w:t xml:space="preserve">, in order to </w:t>
            </w:r>
            <w:r>
              <w:t xml:space="preserve">bring in private investors. </w:t>
            </w:r>
          </w:p>
          <w:p w14:paraId="3F134E6D" w14:textId="031B1450" w:rsidR="009F4F0D" w:rsidRDefault="00DF188A" w:rsidP="00C26312">
            <w:pPr>
              <w:spacing w:before="60" w:after="60"/>
              <w:jc w:val="both"/>
            </w:pPr>
            <w:r>
              <w:t xml:space="preserve">The IDB has developed this Program with </w:t>
            </w:r>
            <w:r w:rsidR="00CB09BE">
              <w:t>two components. The first one seeks to</w:t>
            </w:r>
            <w:r w:rsidR="00AD14A6">
              <w:t xml:space="preserve"> </w:t>
            </w:r>
            <w:r w:rsidR="00E117E8" w:rsidRPr="0015067A">
              <w:t>diversif</w:t>
            </w:r>
            <w:r w:rsidR="00CB09BE">
              <w:t xml:space="preserve">y </w:t>
            </w:r>
            <w:r w:rsidR="00E117E8">
              <w:t xml:space="preserve">Nicaragua’s </w:t>
            </w:r>
            <w:r w:rsidR="00E117E8" w:rsidRPr="0015067A">
              <w:t>energy matrix</w:t>
            </w:r>
            <w:r w:rsidR="00E117E8">
              <w:t xml:space="preserve"> by</w:t>
            </w:r>
            <w:r w:rsidR="00AD14A6">
              <w:t xml:space="preserve"> develop</w:t>
            </w:r>
            <w:r w:rsidR="00E117E8">
              <w:t xml:space="preserve">ing </w:t>
            </w:r>
            <w:r w:rsidR="001767E1">
              <w:t xml:space="preserve">additional </w:t>
            </w:r>
            <w:r w:rsidR="0015067A" w:rsidRPr="0015067A">
              <w:t xml:space="preserve">geothermal </w:t>
            </w:r>
            <w:r w:rsidR="001767E1">
              <w:t xml:space="preserve">capacity </w:t>
            </w:r>
            <w:r w:rsidR="00E117E8">
              <w:t>through</w:t>
            </w:r>
            <w:r w:rsidR="00B16FC1">
              <w:t xml:space="preserve"> supporting early exploration activities</w:t>
            </w:r>
            <w:r w:rsidR="0015067A" w:rsidRPr="0015067A">
              <w:t xml:space="preserve">; and </w:t>
            </w:r>
            <w:r w:rsidR="00CB09BE">
              <w:t xml:space="preserve">the second component seeks to increase </w:t>
            </w:r>
            <w:r w:rsidR="00F32B2B">
              <w:t xml:space="preserve">access </w:t>
            </w:r>
            <w:r w:rsidR="00CB09BE">
              <w:t xml:space="preserve">to electricity and improve </w:t>
            </w:r>
            <w:r w:rsidR="008826A7">
              <w:t xml:space="preserve">service </w:t>
            </w:r>
            <w:r w:rsidR="00F32B2B">
              <w:t xml:space="preserve">reliability by </w:t>
            </w:r>
            <w:r w:rsidR="0015067A" w:rsidRPr="0015067A">
              <w:t xml:space="preserve">increasing </w:t>
            </w:r>
            <w:r w:rsidR="008826A7">
              <w:t xml:space="preserve">the </w:t>
            </w:r>
            <w:r w:rsidR="0015067A" w:rsidRPr="0015067A">
              <w:t xml:space="preserve">national and regional transmission </w:t>
            </w:r>
            <w:r w:rsidR="00F32B2B" w:rsidRPr="0015067A">
              <w:t>capacity</w:t>
            </w:r>
            <w:r w:rsidR="00F32B2B">
              <w:t xml:space="preserve"> through n</w:t>
            </w:r>
            <w:r w:rsidR="0015067A" w:rsidRPr="0015067A">
              <w:t>etwork reinforcements</w:t>
            </w:r>
            <w:r w:rsidR="00F32B2B">
              <w:t>.</w:t>
            </w:r>
          </w:p>
          <w:p w14:paraId="7800BB24" w14:textId="5A514353" w:rsidR="008826A7" w:rsidRDefault="008826A7" w:rsidP="00C26312">
            <w:pPr>
              <w:spacing w:before="60" w:after="60"/>
              <w:jc w:val="both"/>
            </w:pPr>
            <w:r>
              <w:t>CTF and SREP resources are being requested in parallel to support the first Component (a separate submission is being sent to the SREP Trust-Fund Subcommittee).</w:t>
            </w:r>
          </w:p>
          <w:p w14:paraId="512342C6" w14:textId="2435A816" w:rsidR="00780B74" w:rsidRDefault="008826A7" w:rsidP="003D4783">
            <w:pPr>
              <w:spacing w:before="60" w:after="60"/>
              <w:jc w:val="both"/>
            </w:pPr>
            <w:r w:rsidRPr="008826A7">
              <w:t>The</w:t>
            </w:r>
            <w:r>
              <w:rPr>
                <w:b/>
              </w:rPr>
              <w:t xml:space="preserve"> </w:t>
            </w:r>
            <w:r w:rsidR="00D37A5C" w:rsidRPr="003D4783">
              <w:t>Geothermal Development</w:t>
            </w:r>
            <w:r w:rsidR="000D3F71">
              <w:rPr>
                <w:b/>
              </w:rPr>
              <w:t xml:space="preserve"> </w:t>
            </w:r>
            <w:r w:rsidRPr="008826A7">
              <w:t>component</w:t>
            </w:r>
            <w:r>
              <w:rPr>
                <w:b/>
              </w:rPr>
              <w:t xml:space="preserve"> </w:t>
            </w:r>
            <w:r>
              <w:t>consists</w:t>
            </w:r>
            <w:r w:rsidR="000D3F71" w:rsidRPr="000D3F71">
              <w:t xml:space="preserve"> of</w:t>
            </w:r>
            <w:r w:rsidR="000D3F71">
              <w:t xml:space="preserve"> </w:t>
            </w:r>
            <w:r w:rsidR="0076559A">
              <w:t>feasibility e</w:t>
            </w:r>
            <w:r w:rsidR="0076559A" w:rsidRPr="005F657D">
              <w:t>xploration</w:t>
            </w:r>
            <w:r w:rsidR="0076559A">
              <w:t xml:space="preserve"> </w:t>
            </w:r>
            <w:r w:rsidR="00007B2E">
              <w:t xml:space="preserve">activities </w:t>
            </w:r>
            <w:r w:rsidR="0076559A">
              <w:t xml:space="preserve">at the </w:t>
            </w:r>
            <w:proofErr w:type="spellStart"/>
            <w:r w:rsidR="00621744" w:rsidRPr="005F657D">
              <w:t>Cosigüina</w:t>
            </w:r>
            <w:proofErr w:type="spellEnd"/>
            <w:r w:rsidR="00621744" w:rsidRPr="005F657D">
              <w:t xml:space="preserve"> </w:t>
            </w:r>
            <w:r w:rsidR="00621744">
              <w:t>geothermal field</w:t>
            </w:r>
            <w:r>
              <w:t>,</w:t>
            </w:r>
            <w:r w:rsidR="00621744">
              <w:t xml:space="preserve"> </w:t>
            </w:r>
            <w:r w:rsidR="0076559A">
              <w:t xml:space="preserve">including drilling of </w:t>
            </w:r>
            <w:r w:rsidR="00334350">
              <w:t xml:space="preserve">5 commercial diameter explorations wells, road infrastructure and a feasibility evaluation report, all </w:t>
            </w:r>
            <w:r w:rsidR="005F58C1">
              <w:t xml:space="preserve">to be </w:t>
            </w:r>
            <w:r>
              <w:t xml:space="preserve">carried out </w:t>
            </w:r>
            <w:r w:rsidR="005F58C1">
              <w:t xml:space="preserve">by </w:t>
            </w:r>
            <w:r w:rsidR="0076559A">
              <w:t xml:space="preserve">the </w:t>
            </w:r>
            <w:r>
              <w:rPr>
                <w:szCs w:val="24"/>
              </w:rPr>
              <w:t>Ministry of Energy and Mining (</w:t>
            </w:r>
            <w:r w:rsidR="00334350">
              <w:t>MEM</w:t>
            </w:r>
            <w:r>
              <w:t>)</w:t>
            </w:r>
            <w:r w:rsidR="00F07CC1">
              <w:t xml:space="preserve">. In case </w:t>
            </w:r>
            <w:r w:rsidR="005F58C1">
              <w:t xml:space="preserve">the </w:t>
            </w:r>
            <w:r w:rsidR="00F07CC1">
              <w:t>field</w:t>
            </w:r>
            <w:r>
              <w:t xml:space="preserve">, with an expected capacity of 40MW, </w:t>
            </w:r>
            <w:r w:rsidR="00F07CC1">
              <w:t xml:space="preserve">is considered feasible for further development, </w:t>
            </w:r>
            <w:r w:rsidR="000D3F71">
              <w:t xml:space="preserve">this component will also support </w:t>
            </w:r>
            <w:r w:rsidR="00F07CC1">
              <w:t xml:space="preserve">the </w:t>
            </w:r>
            <w:r w:rsidR="00334350">
              <w:t>MEM</w:t>
            </w:r>
            <w:r w:rsidR="00F07CC1">
              <w:t xml:space="preserve"> </w:t>
            </w:r>
            <w:r w:rsidR="00334350">
              <w:t>in designing and implementing an international bidding process</w:t>
            </w:r>
            <w:r w:rsidR="00334350" w:rsidRPr="00334350">
              <w:t xml:space="preserve"> to award </w:t>
            </w:r>
            <w:r w:rsidR="000D3F71">
              <w:t>a</w:t>
            </w:r>
            <w:r w:rsidR="001B05C1">
              <w:t>n</w:t>
            </w:r>
            <w:r w:rsidR="00334350" w:rsidRPr="00334350">
              <w:t xml:space="preserve"> </w:t>
            </w:r>
            <w:r w:rsidR="001B05C1">
              <w:t xml:space="preserve">exploitation </w:t>
            </w:r>
            <w:r w:rsidR="00334350" w:rsidRPr="00334350">
              <w:t xml:space="preserve">concession to a private investor </w:t>
            </w:r>
            <w:r w:rsidR="00F07CC1">
              <w:t xml:space="preserve">for </w:t>
            </w:r>
            <w:r w:rsidR="003D0FE5">
              <w:t xml:space="preserve">the commercial development </w:t>
            </w:r>
            <w:r w:rsidR="000D3F71">
              <w:t xml:space="preserve">at the </w:t>
            </w:r>
            <w:proofErr w:type="spellStart"/>
            <w:r w:rsidR="000D3F71">
              <w:t>Cosigüina</w:t>
            </w:r>
            <w:proofErr w:type="spellEnd"/>
            <w:r w:rsidR="000D3F71">
              <w:t xml:space="preserve"> </w:t>
            </w:r>
            <w:r w:rsidR="0026243E">
              <w:t xml:space="preserve">geothermal </w:t>
            </w:r>
            <w:r w:rsidR="000D3F71">
              <w:t>field</w:t>
            </w:r>
            <w:r w:rsidR="00F07CC1">
              <w:t xml:space="preserve">. </w:t>
            </w:r>
            <w:r w:rsidR="00621744">
              <w:t xml:space="preserve"> </w:t>
            </w:r>
            <w:r w:rsidR="00334350">
              <w:t>In addition,</w:t>
            </w:r>
            <w:r w:rsidR="000D3F71">
              <w:t xml:space="preserve"> the design of</w:t>
            </w:r>
            <w:r w:rsidR="00334350">
              <w:t xml:space="preserve"> </w:t>
            </w:r>
            <w:r w:rsidR="00334350" w:rsidRPr="005F657D">
              <w:t>a</w:t>
            </w:r>
            <w:r w:rsidR="00334350">
              <w:t>n</w:t>
            </w:r>
            <w:r w:rsidR="00334350" w:rsidRPr="005F657D">
              <w:t xml:space="preserve"> </w:t>
            </w:r>
            <w:r w:rsidR="00334350">
              <w:t xml:space="preserve">early exploration risk mitigation </w:t>
            </w:r>
            <w:r w:rsidR="000D3F71" w:rsidRPr="005F657D">
              <w:t>mechanism</w:t>
            </w:r>
            <w:r w:rsidR="000D3F71">
              <w:t xml:space="preserve"> will be financed </w:t>
            </w:r>
            <w:r w:rsidR="00334350" w:rsidRPr="005F657D">
              <w:t xml:space="preserve">to attract private investment for the implementation of </w:t>
            </w:r>
            <w:r w:rsidR="00334350">
              <w:t>f</w:t>
            </w:r>
            <w:r w:rsidR="000D3F71">
              <w:t>uture geothermal projects. The revenues from the bidding process will provide the funding for this mitigation mechanism</w:t>
            </w:r>
            <w:r w:rsidR="0076559A">
              <w:t>.</w:t>
            </w:r>
          </w:p>
          <w:p w14:paraId="1B30D92A" w14:textId="77777777" w:rsidR="003D4783" w:rsidRDefault="003D4783" w:rsidP="003D4783">
            <w:pPr>
              <w:spacing w:before="60" w:after="60"/>
              <w:jc w:val="both"/>
            </w:pPr>
            <w:r>
              <w:t>The Nicaraguan Government will repeatedly reinvest the resources from the mitigation mechanism in subsequent projec</w:t>
            </w:r>
            <w:r w:rsidR="00CF2826">
              <w:t>ts during a period of 30 years.</w:t>
            </w:r>
          </w:p>
          <w:p w14:paraId="10D2B996" w14:textId="5879763C" w:rsidR="00CF2826" w:rsidRPr="005E05F4" w:rsidRDefault="00CF2826" w:rsidP="00CF2826">
            <w:pPr>
              <w:spacing w:before="60" w:after="60"/>
              <w:jc w:val="both"/>
            </w:pPr>
            <w:r>
              <w:t xml:space="preserve">For procedural reasons, the IDB is requesting </w:t>
            </w:r>
            <w:r>
              <w:t>a “fee” of USD 476</w:t>
            </w:r>
            <w:r>
              <w:t>,000</w:t>
            </w:r>
            <w:r>
              <w:t xml:space="preserve">. This amount </w:t>
            </w:r>
            <w:r>
              <w:t xml:space="preserve">will be used </w:t>
            </w:r>
            <w:r>
              <w:t xml:space="preserve">mainly </w:t>
            </w:r>
            <w:r>
              <w:t>to support the implementation of the Program through specialized consultants and other technical assistance activities.</w:t>
            </w:r>
          </w:p>
        </w:tc>
      </w:tr>
      <w:tr w:rsidR="009F4F0D" w:rsidRPr="00491D87" w14:paraId="763D2F24" w14:textId="77777777" w:rsidTr="008E47FA">
        <w:trPr>
          <w:cantSplit/>
        </w:trPr>
        <w:tc>
          <w:tcPr>
            <w:tcW w:w="9648" w:type="dxa"/>
            <w:gridSpan w:val="11"/>
            <w:shd w:val="clear" w:color="auto" w:fill="FFC000"/>
          </w:tcPr>
          <w:p w14:paraId="21E8ACE2" w14:textId="54AA4FE4" w:rsidR="009F4F0D" w:rsidRPr="00491D87" w:rsidRDefault="009F4F0D" w:rsidP="00805A2C">
            <w:pPr>
              <w:keepNext/>
              <w:numPr>
                <w:ilvl w:val="0"/>
                <w:numId w:val="2"/>
              </w:numPr>
              <w:contextualSpacing/>
              <w:rPr>
                <w:b/>
                <w:szCs w:val="24"/>
              </w:rPr>
            </w:pPr>
            <w:r w:rsidRPr="00491D87">
              <w:rPr>
                <w:b/>
                <w:szCs w:val="24"/>
              </w:rPr>
              <w:lastRenderedPageBreak/>
              <w:t>Consistency with CTF investment criteria</w:t>
            </w:r>
          </w:p>
        </w:tc>
      </w:tr>
      <w:tr w:rsidR="009F4F0D" w:rsidRPr="00491D87" w14:paraId="3E827A55" w14:textId="77777777" w:rsidTr="00CC2D00">
        <w:trPr>
          <w:cantSplit/>
        </w:trPr>
        <w:tc>
          <w:tcPr>
            <w:tcW w:w="3889" w:type="dxa"/>
            <w:gridSpan w:val="2"/>
            <w:shd w:val="clear" w:color="auto" w:fill="D9D9D9" w:themeFill="background1" w:themeFillShade="D9"/>
          </w:tcPr>
          <w:p w14:paraId="24467E80" w14:textId="77777777" w:rsidR="009F4F0D" w:rsidRPr="00491D87" w:rsidRDefault="009F4F0D" w:rsidP="009F4F0D">
            <w:pPr>
              <w:pStyle w:val="ListParagraph"/>
              <w:keepNext/>
              <w:numPr>
                <w:ilvl w:val="0"/>
                <w:numId w:val="7"/>
              </w:numPr>
              <w:ind w:left="432" w:hanging="432"/>
              <w:rPr>
                <w:szCs w:val="24"/>
              </w:rPr>
            </w:pPr>
            <w:r w:rsidRPr="00491D87">
              <w:rPr>
                <w:szCs w:val="24"/>
              </w:rPr>
              <w:t>Potential GHG emissions savings</w:t>
            </w:r>
          </w:p>
        </w:tc>
        <w:tc>
          <w:tcPr>
            <w:tcW w:w="5759" w:type="dxa"/>
            <w:gridSpan w:val="9"/>
            <w:shd w:val="clear" w:color="auto" w:fill="auto"/>
            <w:vAlign w:val="center"/>
          </w:tcPr>
          <w:p w14:paraId="3F6FC918" w14:textId="74D0C72B" w:rsidR="00BA16D3" w:rsidRPr="00491D87" w:rsidRDefault="00855F24" w:rsidP="00805A2C">
            <w:pPr>
              <w:spacing w:before="40" w:after="40"/>
            </w:pPr>
            <w:r>
              <w:t>F</w:t>
            </w:r>
            <w:r w:rsidR="0047126D">
              <w:t>or CTF the potential GHG emissions savings are as follows:</w:t>
            </w:r>
            <w:r w:rsidR="00BA16D3">
              <w:t xml:space="preserve"> 89,</w:t>
            </w:r>
            <w:r w:rsidR="0047126D">
              <w:t>906 tons CO</w:t>
            </w:r>
            <w:r w:rsidR="0047126D" w:rsidRPr="00F279EC">
              <w:rPr>
                <w:vertAlign w:val="subscript"/>
              </w:rPr>
              <w:t>2</w:t>
            </w:r>
            <w:r w:rsidR="0047126D">
              <w:t xml:space="preserve">e/year and </w:t>
            </w:r>
            <w:r w:rsidR="0047126D" w:rsidRPr="0047126D">
              <w:t xml:space="preserve">2,697,191 </w:t>
            </w:r>
            <w:r w:rsidR="0047126D">
              <w:t>tons CO</w:t>
            </w:r>
            <w:r w:rsidR="0047126D" w:rsidRPr="00F279EC">
              <w:rPr>
                <w:vertAlign w:val="subscript"/>
              </w:rPr>
              <w:t>2</w:t>
            </w:r>
            <w:r w:rsidR="0047126D">
              <w:t>e during the lifetime of the Project (30 years)</w:t>
            </w:r>
            <w:r w:rsidR="00BA16D3">
              <w:t>.</w:t>
            </w:r>
            <w:r w:rsidRPr="00855F24">
              <w:rPr>
                <w:vertAlign w:val="superscript"/>
              </w:rPr>
              <w:t>[a]</w:t>
            </w:r>
          </w:p>
        </w:tc>
      </w:tr>
      <w:tr w:rsidR="009F4F0D" w:rsidRPr="00491D87" w14:paraId="3505E0E5" w14:textId="77777777" w:rsidTr="00CC2D00">
        <w:trPr>
          <w:cantSplit/>
        </w:trPr>
        <w:tc>
          <w:tcPr>
            <w:tcW w:w="3889" w:type="dxa"/>
            <w:gridSpan w:val="2"/>
            <w:shd w:val="clear" w:color="auto" w:fill="D9D9D9" w:themeFill="background1" w:themeFillShade="D9"/>
          </w:tcPr>
          <w:p w14:paraId="2E9BD5D6" w14:textId="70BF4F08" w:rsidR="009F4F0D" w:rsidRPr="00491D87" w:rsidRDefault="009F4F0D" w:rsidP="009F4F0D">
            <w:pPr>
              <w:pStyle w:val="ListParagraph"/>
              <w:numPr>
                <w:ilvl w:val="0"/>
                <w:numId w:val="7"/>
              </w:numPr>
              <w:ind w:left="432" w:hanging="432"/>
              <w:rPr>
                <w:szCs w:val="24"/>
              </w:rPr>
            </w:pPr>
            <w:r w:rsidRPr="00491D87">
              <w:rPr>
                <w:szCs w:val="24"/>
              </w:rPr>
              <w:t>Cost-effectiveness</w:t>
            </w:r>
          </w:p>
        </w:tc>
        <w:tc>
          <w:tcPr>
            <w:tcW w:w="5759" w:type="dxa"/>
            <w:gridSpan w:val="9"/>
            <w:shd w:val="clear" w:color="auto" w:fill="auto"/>
            <w:vAlign w:val="center"/>
          </w:tcPr>
          <w:p w14:paraId="1942246A" w14:textId="42C9F4E1" w:rsidR="003D4783" w:rsidRDefault="00EF1B69" w:rsidP="00EF1B69">
            <w:r>
              <w:t xml:space="preserve">The cost effectiveness of </w:t>
            </w:r>
            <w:r w:rsidR="003D4783">
              <w:t>the project is:</w:t>
            </w:r>
          </w:p>
          <w:p w14:paraId="7FED502E" w14:textId="3519F689" w:rsidR="009F4F0D" w:rsidRDefault="003D4783" w:rsidP="003D4783">
            <w:pPr>
              <w:pStyle w:val="ListParagraph"/>
              <w:numPr>
                <w:ilvl w:val="0"/>
                <w:numId w:val="21"/>
              </w:numPr>
            </w:pPr>
            <w:r>
              <w:t>Considering only CTF resources</w:t>
            </w:r>
            <w:r w:rsidR="00BA16D3">
              <w:t xml:space="preserve"> and emission savings</w:t>
            </w:r>
            <w:r w:rsidR="00855F24" w:rsidRPr="00855F24">
              <w:rPr>
                <w:vertAlign w:val="superscript"/>
              </w:rPr>
              <w:t>[a]</w:t>
            </w:r>
            <w:r>
              <w:t xml:space="preserve">: </w:t>
            </w:r>
            <w:r w:rsidR="00EF1B69">
              <w:t>0.</w:t>
            </w:r>
            <w:r w:rsidR="00BA16D3">
              <w:t>27</w:t>
            </w:r>
            <w:r w:rsidR="00EF1B69">
              <w:t xml:space="preserve"> tons CO</w:t>
            </w:r>
            <w:r w:rsidR="00EF1B69" w:rsidRPr="00F279EC">
              <w:rPr>
                <w:vertAlign w:val="subscript"/>
              </w:rPr>
              <w:t>2</w:t>
            </w:r>
            <w:r w:rsidR="00EF1B69">
              <w:t>e/USD</w:t>
            </w:r>
            <w:r>
              <w:t xml:space="preserve">, or </w:t>
            </w:r>
            <w:r w:rsidR="00BA16D3">
              <w:t>3</w:t>
            </w:r>
            <w:r w:rsidR="008826A7">
              <w:t>.7</w:t>
            </w:r>
            <w:r w:rsidR="00BA16D3">
              <w:t>1</w:t>
            </w:r>
            <w:r w:rsidR="008826A7">
              <w:t xml:space="preserve"> USD/ton CO</w:t>
            </w:r>
            <w:r w:rsidR="008826A7" w:rsidRPr="00F279EC">
              <w:rPr>
                <w:vertAlign w:val="subscript"/>
              </w:rPr>
              <w:t>2</w:t>
            </w:r>
            <w:r>
              <w:t>e</w:t>
            </w:r>
          </w:p>
          <w:p w14:paraId="2B674D1B" w14:textId="4013B8DE" w:rsidR="003D4783" w:rsidRPr="00491D87" w:rsidRDefault="003D4783" w:rsidP="00BA16D3">
            <w:pPr>
              <w:pStyle w:val="ListParagraph"/>
              <w:numPr>
                <w:ilvl w:val="0"/>
                <w:numId w:val="21"/>
              </w:numPr>
            </w:pPr>
            <w:r>
              <w:t>Considering all resources (CIF</w:t>
            </w:r>
            <w:r w:rsidR="00BA16D3">
              <w:t>,</w:t>
            </w:r>
            <w:r>
              <w:t xml:space="preserve"> IDB and Government resources)</w:t>
            </w:r>
            <w:r w:rsidR="00BA16D3">
              <w:t xml:space="preserve"> and all emission savings</w:t>
            </w:r>
            <w:r w:rsidR="00855F24" w:rsidRPr="00855F24">
              <w:rPr>
                <w:vertAlign w:val="superscript"/>
              </w:rPr>
              <w:t>[a]</w:t>
            </w:r>
            <w:r>
              <w:t>: 0.13 tons CO</w:t>
            </w:r>
            <w:r w:rsidRPr="00F279EC">
              <w:rPr>
                <w:vertAlign w:val="subscript"/>
              </w:rPr>
              <w:t>2</w:t>
            </w:r>
            <w:r>
              <w:t>e/USD, or 7.8 USD/ton CO</w:t>
            </w:r>
            <w:r w:rsidRPr="00F279EC">
              <w:rPr>
                <w:vertAlign w:val="subscript"/>
              </w:rPr>
              <w:t>2</w:t>
            </w:r>
            <w:r>
              <w:t>e</w:t>
            </w:r>
          </w:p>
        </w:tc>
      </w:tr>
      <w:tr w:rsidR="009F4F0D" w:rsidRPr="00491D87" w14:paraId="22FFAAED" w14:textId="77777777" w:rsidTr="00CC2D00">
        <w:trPr>
          <w:cantSplit/>
        </w:trPr>
        <w:tc>
          <w:tcPr>
            <w:tcW w:w="3889" w:type="dxa"/>
            <w:gridSpan w:val="2"/>
            <w:shd w:val="clear" w:color="auto" w:fill="D9D9D9" w:themeFill="background1" w:themeFillShade="D9"/>
          </w:tcPr>
          <w:p w14:paraId="3D919419" w14:textId="197BC616" w:rsidR="009F4F0D" w:rsidRPr="00491D87" w:rsidRDefault="009F4F0D" w:rsidP="009F4F0D">
            <w:pPr>
              <w:pStyle w:val="ListParagraph"/>
              <w:numPr>
                <w:ilvl w:val="0"/>
                <w:numId w:val="7"/>
              </w:numPr>
              <w:ind w:left="432" w:hanging="432"/>
              <w:rPr>
                <w:szCs w:val="24"/>
              </w:rPr>
            </w:pPr>
            <w:r w:rsidRPr="00491D87">
              <w:rPr>
                <w:szCs w:val="24"/>
              </w:rPr>
              <w:lastRenderedPageBreak/>
              <w:t>Demonstration potential at scale</w:t>
            </w:r>
          </w:p>
        </w:tc>
        <w:tc>
          <w:tcPr>
            <w:tcW w:w="5759" w:type="dxa"/>
            <w:gridSpan w:val="9"/>
            <w:shd w:val="clear" w:color="auto" w:fill="auto"/>
            <w:vAlign w:val="center"/>
          </w:tcPr>
          <w:p w14:paraId="34EF4FD2" w14:textId="341D8958" w:rsidR="001A42DA" w:rsidRDefault="001A42DA" w:rsidP="00C26312">
            <w:pPr>
              <w:spacing w:before="60" w:after="60"/>
              <w:jc w:val="both"/>
            </w:pPr>
            <w:r>
              <w:t>In Nicaragua there are 12 geothermal fields with an estimated potential of 1,500MW, but only two, San</w:t>
            </w:r>
            <w:r w:rsidR="008826A7">
              <w:t xml:space="preserve"> </w:t>
            </w:r>
            <w:r>
              <w:t>Jacinto-</w:t>
            </w:r>
            <w:proofErr w:type="spellStart"/>
            <w:r>
              <w:t>Tizate</w:t>
            </w:r>
            <w:proofErr w:type="spellEnd"/>
            <w:r>
              <w:t xml:space="preserve"> and </w:t>
            </w:r>
            <w:proofErr w:type="spellStart"/>
            <w:r>
              <w:t>Momotombo</w:t>
            </w:r>
            <w:proofErr w:type="spellEnd"/>
            <w:r>
              <w:t xml:space="preserve"> with a </w:t>
            </w:r>
            <w:r w:rsidR="009F5552">
              <w:t xml:space="preserve">total </w:t>
            </w:r>
            <w:r w:rsidR="00C26312">
              <w:t>capacity of 154.</w:t>
            </w:r>
            <w:r>
              <w:t>5</w:t>
            </w:r>
            <w:r w:rsidR="008826A7">
              <w:t> </w:t>
            </w:r>
            <w:r>
              <w:t>MW</w:t>
            </w:r>
            <w:r w:rsidR="008826A7">
              <w:t>,</w:t>
            </w:r>
            <w:r>
              <w:t xml:space="preserve"> have been developed so far</w:t>
            </w:r>
            <w:r w:rsidR="00A3765F">
              <w:t xml:space="preserve"> by the private sector</w:t>
            </w:r>
            <w:r>
              <w:t xml:space="preserve">. </w:t>
            </w:r>
            <w:r w:rsidR="005B2913">
              <w:t xml:space="preserve">Development of additional fields </w:t>
            </w:r>
            <w:r w:rsidR="003B5C1E">
              <w:t>is mainly hindered by uncertainty related to the availability, long-term durability and cost of geothermal resource explo</w:t>
            </w:r>
            <w:r w:rsidR="001B05C1">
              <w:t>r</w:t>
            </w:r>
            <w:r w:rsidR="00813B2D">
              <w:t>atio</w:t>
            </w:r>
            <w:r w:rsidR="003B5C1E">
              <w:t xml:space="preserve">n for power generation. </w:t>
            </w:r>
          </w:p>
          <w:p w14:paraId="14EB53EF" w14:textId="0ADE8F94" w:rsidR="00A474D3" w:rsidRPr="00491D87" w:rsidRDefault="000E6F11" w:rsidP="00C26312">
            <w:pPr>
              <w:spacing w:before="60" w:after="60"/>
              <w:jc w:val="both"/>
            </w:pPr>
            <w:r>
              <w:t>T</w:t>
            </w:r>
            <w:r w:rsidR="00F23F1C">
              <w:t xml:space="preserve">he proposed bidding process </w:t>
            </w:r>
            <w:r w:rsidR="00656097">
              <w:t xml:space="preserve">to award a concession for the </w:t>
            </w:r>
            <w:proofErr w:type="spellStart"/>
            <w:r w:rsidR="00656097">
              <w:t>Cosigüina</w:t>
            </w:r>
            <w:proofErr w:type="spellEnd"/>
            <w:r w:rsidR="00656097">
              <w:t xml:space="preserve"> field will attract international developers to Nicaragua. The design and implementation of a risk mitigation mechanism will support future project development</w:t>
            </w:r>
            <w:r w:rsidR="00A474D3">
              <w:t xml:space="preserve"> activities and therefore support scaling up </w:t>
            </w:r>
            <w:r w:rsidR="008826A7">
              <w:t xml:space="preserve">geothermal </w:t>
            </w:r>
            <w:r w:rsidR="00A474D3">
              <w:t>power in Nicaragua.</w:t>
            </w:r>
          </w:p>
        </w:tc>
      </w:tr>
      <w:tr w:rsidR="009F4F0D" w:rsidRPr="00C40844" w14:paraId="7EF92B16" w14:textId="77777777" w:rsidTr="002568D0">
        <w:trPr>
          <w:cantSplit/>
        </w:trPr>
        <w:tc>
          <w:tcPr>
            <w:tcW w:w="3889" w:type="dxa"/>
            <w:gridSpan w:val="2"/>
            <w:shd w:val="clear" w:color="auto" w:fill="D9D9D9" w:themeFill="background1" w:themeFillShade="D9"/>
          </w:tcPr>
          <w:p w14:paraId="454D1B4B" w14:textId="5396B74C" w:rsidR="009F4F0D" w:rsidRPr="00491D87" w:rsidRDefault="009F4F0D" w:rsidP="009F4F0D">
            <w:pPr>
              <w:pStyle w:val="ListParagraph"/>
              <w:numPr>
                <w:ilvl w:val="0"/>
                <w:numId w:val="7"/>
              </w:numPr>
              <w:ind w:left="432" w:hanging="432"/>
              <w:rPr>
                <w:szCs w:val="24"/>
              </w:rPr>
            </w:pPr>
            <w:r w:rsidRPr="00491D87">
              <w:rPr>
                <w:szCs w:val="24"/>
              </w:rPr>
              <w:t>Development impact</w:t>
            </w:r>
          </w:p>
        </w:tc>
        <w:tc>
          <w:tcPr>
            <w:tcW w:w="5759" w:type="dxa"/>
            <w:gridSpan w:val="9"/>
            <w:shd w:val="clear" w:color="auto" w:fill="auto"/>
            <w:vAlign w:val="center"/>
          </w:tcPr>
          <w:p w14:paraId="3A1CD3E1" w14:textId="1901A767" w:rsidR="009F4F0D" w:rsidRPr="00C40844" w:rsidRDefault="002568D0" w:rsidP="002568D0">
            <w:pPr>
              <w:jc w:val="both"/>
            </w:pPr>
            <w:r>
              <w:t>Apart from Geothermal power being a low carbon renewable energy source with positive impacts on the electricity grid, it also offers positive development impacts such as high quality labor during exploration, construction and operation of the plant (estimated at 45 during exploration, 160 during construction and 68 during operation)</w:t>
            </w:r>
            <w:proofErr w:type="gramStart"/>
            <w:r>
              <w:t>.</w:t>
            </w:r>
            <w:r w:rsidR="00855F24" w:rsidRPr="00855F24">
              <w:rPr>
                <w:vertAlign w:val="superscript"/>
              </w:rPr>
              <w:t>[</w:t>
            </w:r>
            <w:proofErr w:type="gramEnd"/>
            <w:r w:rsidR="00855F24" w:rsidRPr="00855F24">
              <w:rPr>
                <w:vertAlign w:val="superscript"/>
              </w:rPr>
              <w:t>a]</w:t>
            </w:r>
            <w:r>
              <w:t xml:space="preserve">  In addition, fossil fuel imports and related spending can be reduced. Finally, the fact that the early exploration activities, as well as the design and implementation of the bidding process and the risk mitigation instrument, will be developed by the public sector creates important capacities in the relevant public sector institutions, which can be applied with other infrastructure projects.  It also creates important links of collaboration between the public and private stakeholders which can be beneficial for the sector as a whole.</w:t>
            </w:r>
          </w:p>
        </w:tc>
      </w:tr>
      <w:tr w:rsidR="009F4F0D" w:rsidRPr="007600C0" w14:paraId="459291FE" w14:textId="77777777" w:rsidTr="002568D0">
        <w:trPr>
          <w:cantSplit/>
        </w:trPr>
        <w:tc>
          <w:tcPr>
            <w:tcW w:w="3889" w:type="dxa"/>
            <w:gridSpan w:val="2"/>
            <w:shd w:val="clear" w:color="auto" w:fill="D9D9D9" w:themeFill="background1" w:themeFillShade="D9"/>
          </w:tcPr>
          <w:p w14:paraId="37F6EEB8" w14:textId="77777777" w:rsidR="009F4F0D" w:rsidRPr="00491D87" w:rsidRDefault="009F4F0D" w:rsidP="009F4F0D">
            <w:pPr>
              <w:pStyle w:val="ListParagraph"/>
              <w:numPr>
                <w:ilvl w:val="0"/>
                <w:numId w:val="7"/>
              </w:numPr>
              <w:ind w:left="432" w:hanging="432"/>
              <w:rPr>
                <w:szCs w:val="24"/>
              </w:rPr>
            </w:pPr>
            <w:r w:rsidRPr="00491D87">
              <w:rPr>
                <w:szCs w:val="24"/>
              </w:rPr>
              <w:t>Implementation potential</w:t>
            </w:r>
          </w:p>
        </w:tc>
        <w:tc>
          <w:tcPr>
            <w:tcW w:w="5759" w:type="dxa"/>
            <w:gridSpan w:val="9"/>
            <w:shd w:val="clear" w:color="auto" w:fill="auto"/>
            <w:vAlign w:val="center"/>
          </w:tcPr>
          <w:p w14:paraId="1730C8C3" w14:textId="2A24A254" w:rsidR="005678FB" w:rsidRPr="007600C0" w:rsidRDefault="002568D0" w:rsidP="0069246F">
            <w:pPr>
              <w:jc w:val="both"/>
            </w:pPr>
            <w:r>
              <w:t>The implementation potential for the project is good due to several reasons: (i) Geothermal energy has a long operating history in Nicaragua, with the first plant—</w:t>
            </w:r>
            <w:proofErr w:type="spellStart"/>
            <w:r>
              <w:t>Momotombo</w:t>
            </w:r>
            <w:proofErr w:type="spellEnd"/>
            <w:r>
              <w:t>—starting operation in 1983 and the second one—San Jacinto—in 2005; (ii) a solid legal framework for geothermal energy has been in place since 2002 and has already been updated twice; and (iii) the IDB has a track record with Nicaragua’s energy sector that dates back to 1973. The IDB has supported a number of investments in electricity infrastructure, as well as reform processes that have promoted the institutional strengthening of the country’s energy sector.</w:t>
            </w:r>
          </w:p>
        </w:tc>
      </w:tr>
      <w:tr w:rsidR="009F4F0D" w:rsidRPr="00491D87" w14:paraId="5A6EB2E5" w14:textId="77777777" w:rsidTr="00CC2D00">
        <w:trPr>
          <w:cantSplit/>
        </w:trPr>
        <w:tc>
          <w:tcPr>
            <w:tcW w:w="3889" w:type="dxa"/>
            <w:gridSpan w:val="2"/>
            <w:shd w:val="clear" w:color="auto" w:fill="D9D9D9" w:themeFill="background1" w:themeFillShade="D9"/>
          </w:tcPr>
          <w:p w14:paraId="22F79D1C" w14:textId="77777777" w:rsidR="009F4F0D" w:rsidRPr="00491D87" w:rsidRDefault="009F4F0D" w:rsidP="009F4F0D">
            <w:pPr>
              <w:pStyle w:val="ListParagraph"/>
              <w:numPr>
                <w:ilvl w:val="0"/>
                <w:numId w:val="7"/>
              </w:numPr>
              <w:ind w:left="432" w:hanging="432"/>
              <w:rPr>
                <w:szCs w:val="24"/>
              </w:rPr>
            </w:pPr>
            <w:r w:rsidRPr="00491D87">
              <w:rPr>
                <w:szCs w:val="24"/>
              </w:rPr>
              <w:lastRenderedPageBreak/>
              <w:t>Additional costs and risk premium</w:t>
            </w:r>
          </w:p>
        </w:tc>
        <w:tc>
          <w:tcPr>
            <w:tcW w:w="5759" w:type="dxa"/>
            <w:gridSpan w:val="9"/>
            <w:shd w:val="clear" w:color="auto" w:fill="auto"/>
            <w:vAlign w:val="center"/>
          </w:tcPr>
          <w:p w14:paraId="1A79173D" w14:textId="397E19FA" w:rsidR="0069246F" w:rsidRDefault="00A3765F" w:rsidP="00C26312">
            <w:pPr>
              <w:spacing w:before="60" w:after="60"/>
              <w:jc w:val="both"/>
            </w:pPr>
            <w:r>
              <w:t xml:space="preserve">Geothermal resource risks are perceived as significant by lenders during the exploratory drilling stage, significantly limiting debt financing </w:t>
            </w:r>
            <w:r w:rsidR="00787C55">
              <w:t xml:space="preserve">to private sector </w:t>
            </w:r>
            <w:r>
              <w:t xml:space="preserve">to corporate lending backed by a strong balance sheet, or concessional financing by public sector </w:t>
            </w:r>
            <w:r w:rsidR="0069246F">
              <w:t xml:space="preserve">institutions. </w:t>
            </w:r>
            <w:r>
              <w:t xml:space="preserve">When project debt financing is not available, and </w:t>
            </w:r>
            <w:r w:rsidR="00787C55">
              <w:t xml:space="preserve">private </w:t>
            </w:r>
            <w:r>
              <w:t>sponsors need to finance this stage with equity, the cost of cap</w:t>
            </w:r>
            <w:r w:rsidR="00885EC3">
              <w:t>ital is often times prohibitive</w:t>
            </w:r>
            <w:r>
              <w:t xml:space="preserve">. </w:t>
            </w:r>
          </w:p>
          <w:p w14:paraId="7E68B29F" w14:textId="70C49C3C" w:rsidR="0069246F" w:rsidRDefault="0069246F" w:rsidP="00C26312">
            <w:pPr>
              <w:spacing w:before="60" w:after="60"/>
              <w:jc w:val="both"/>
            </w:pPr>
            <w:r>
              <w:t>In the face of these constraints for the access to finance for private developers, the Nicaraguan government has opted for a model where it carries out the exploration activities and then offers a concession to a private developer.</w:t>
            </w:r>
          </w:p>
          <w:p w14:paraId="1052FADD" w14:textId="73475EC6" w:rsidR="009F4F0D" w:rsidRPr="00491D87" w:rsidRDefault="0069246F" w:rsidP="00C26312">
            <w:pPr>
              <w:spacing w:before="60" w:after="60"/>
              <w:jc w:val="both"/>
            </w:pPr>
            <w:r>
              <w:t xml:space="preserve">Limited public resources are however needed for other competing uses. Contingent recovery </w:t>
            </w:r>
            <w:r w:rsidR="00A3765F">
              <w:t xml:space="preserve">CTF </w:t>
            </w:r>
            <w:r>
              <w:t xml:space="preserve">and SREP </w:t>
            </w:r>
            <w:r w:rsidR="00A3765F">
              <w:t xml:space="preserve">resources </w:t>
            </w:r>
            <w:r>
              <w:t xml:space="preserve">will therefore </w:t>
            </w:r>
            <w:r w:rsidR="00A3765F">
              <w:t>provide the missing financing</w:t>
            </w:r>
            <w:r>
              <w:t>.</w:t>
            </w:r>
          </w:p>
        </w:tc>
      </w:tr>
      <w:tr w:rsidR="009F4F0D" w:rsidRPr="00491D87" w14:paraId="06A6A5E6" w14:textId="77777777" w:rsidTr="008E47FA">
        <w:trPr>
          <w:cantSplit/>
        </w:trPr>
        <w:tc>
          <w:tcPr>
            <w:tcW w:w="9648" w:type="dxa"/>
            <w:gridSpan w:val="11"/>
            <w:shd w:val="clear" w:color="auto" w:fill="C2D69B"/>
          </w:tcPr>
          <w:p w14:paraId="139EB53D" w14:textId="77777777" w:rsidR="009517AD" w:rsidRDefault="009F4F0D" w:rsidP="009517AD">
            <w:pPr>
              <w:keepNext/>
              <w:rPr>
                <w:b/>
                <w:szCs w:val="24"/>
              </w:rPr>
            </w:pPr>
            <w:r w:rsidRPr="00491D87">
              <w:rPr>
                <w:b/>
                <w:szCs w:val="24"/>
              </w:rPr>
              <w:t>Additional CTF investment criteria for private sector projects/ programs</w:t>
            </w:r>
          </w:p>
          <w:p w14:paraId="63D1E763" w14:textId="475CB063" w:rsidR="009517AD" w:rsidRPr="009517AD" w:rsidRDefault="009517AD" w:rsidP="009517AD">
            <w:pPr>
              <w:keepNext/>
            </w:pPr>
            <w:r w:rsidRPr="009517AD">
              <w:rPr>
                <w:sz w:val="21"/>
              </w:rPr>
              <w:t>(The following items are filled out for this public sector operation because it is using DPSP resources)</w:t>
            </w:r>
          </w:p>
        </w:tc>
      </w:tr>
      <w:tr w:rsidR="009F4F0D" w:rsidRPr="00491D87" w14:paraId="48478FA2" w14:textId="77777777" w:rsidTr="00CC2D00">
        <w:trPr>
          <w:cantSplit/>
        </w:trPr>
        <w:tc>
          <w:tcPr>
            <w:tcW w:w="3889" w:type="dxa"/>
            <w:gridSpan w:val="2"/>
            <w:shd w:val="clear" w:color="auto" w:fill="D9D9D9" w:themeFill="background1" w:themeFillShade="D9"/>
          </w:tcPr>
          <w:p w14:paraId="42370F5E" w14:textId="77777777" w:rsidR="009F4F0D" w:rsidRPr="00491D87" w:rsidRDefault="009F4F0D" w:rsidP="009F4F0D">
            <w:pPr>
              <w:pStyle w:val="ListParagraph"/>
              <w:keepNext/>
              <w:numPr>
                <w:ilvl w:val="0"/>
                <w:numId w:val="7"/>
              </w:numPr>
              <w:ind w:left="432" w:hanging="432"/>
              <w:rPr>
                <w:szCs w:val="24"/>
              </w:rPr>
            </w:pPr>
            <w:r w:rsidRPr="00491D87">
              <w:rPr>
                <w:szCs w:val="24"/>
              </w:rPr>
              <w:t>Financial sustainability</w:t>
            </w:r>
          </w:p>
        </w:tc>
        <w:tc>
          <w:tcPr>
            <w:tcW w:w="5759" w:type="dxa"/>
            <w:gridSpan w:val="9"/>
            <w:shd w:val="clear" w:color="auto" w:fill="auto"/>
            <w:vAlign w:val="center"/>
          </w:tcPr>
          <w:p w14:paraId="5555666F" w14:textId="2A51545C" w:rsidR="009F4F0D" w:rsidRPr="00491D87" w:rsidRDefault="00E42793" w:rsidP="009517AD">
            <w:pPr>
              <w:jc w:val="both"/>
            </w:pPr>
            <w:r>
              <w:t xml:space="preserve">The project </w:t>
            </w:r>
            <w:r w:rsidR="009517AD">
              <w:t xml:space="preserve">seeks to </w:t>
            </w:r>
            <w:r>
              <w:t xml:space="preserve">recover CTF </w:t>
            </w:r>
            <w:r w:rsidR="009517AD">
              <w:t xml:space="preserve">and SREP </w:t>
            </w:r>
            <w:r>
              <w:t xml:space="preserve">resources through revenues from the award of the exploitation concession for the </w:t>
            </w:r>
            <w:proofErr w:type="spellStart"/>
            <w:r>
              <w:t>Cosigüina</w:t>
            </w:r>
            <w:proofErr w:type="spellEnd"/>
            <w:r>
              <w:t xml:space="preserve"> field</w:t>
            </w:r>
            <w:r w:rsidR="009517AD">
              <w:t>,</w:t>
            </w:r>
            <w:r>
              <w:t xml:space="preserve"> and </w:t>
            </w:r>
            <w:r w:rsidR="009517AD">
              <w:t xml:space="preserve">to </w:t>
            </w:r>
            <w:r>
              <w:t xml:space="preserve">make these resources available for a new risk mitigation scheme supporting additional projects. </w:t>
            </w:r>
          </w:p>
        </w:tc>
      </w:tr>
      <w:tr w:rsidR="009F4F0D" w:rsidRPr="00491D87" w14:paraId="6CE49D38" w14:textId="77777777" w:rsidTr="00CC2D00">
        <w:trPr>
          <w:cantSplit/>
        </w:trPr>
        <w:tc>
          <w:tcPr>
            <w:tcW w:w="3889" w:type="dxa"/>
            <w:gridSpan w:val="2"/>
            <w:shd w:val="clear" w:color="auto" w:fill="D9D9D9" w:themeFill="background1" w:themeFillShade="D9"/>
          </w:tcPr>
          <w:p w14:paraId="7C5E157C" w14:textId="77777777" w:rsidR="009F4F0D" w:rsidRPr="00491D87" w:rsidRDefault="009F4F0D" w:rsidP="009F4F0D">
            <w:pPr>
              <w:pStyle w:val="ListParagraph"/>
              <w:numPr>
                <w:ilvl w:val="0"/>
                <w:numId w:val="7"/>
              </w:numPr>
              <w:ind w:left="432" w:hanging="432"/>
              <w:rPr>
                <w:szCs w:val="24"/>
              </w:rPr>
            </w:pPr>
            <w:r w:rsidRPr="00491D87">
              <w:rPr>
                <w:szCs w:val="24"/>
              </w:rPr>
              <w:t>Effective utilization of concessional finance</w:t>
            </w:r>
          </w:p>
        </w:tc>
        <w:tc>
          <w:tcPr>
            <w:tcW w:w="5759" w:type="dxa"/>
            <w:gridSpan w:val="9"/>
            <w:shd w:val="clear" w:color="auto" w:fill="auto"/>
            <w:vAlign w:val="center"/>
          </w:tcPr>
          <w:p w14:paraId="406B3BDE" w14:textId="348A7921" w:rsidR="009F4F0D" w:rsidRPr="00491D87" w:rsidRDefault="009517AD" w:rsidP="009517AD">
            <w:pPr>
              <w:autoSpaceDE w:val="0"/>
              <w:autoSpaceDN w:val="0"/>
              <w:adjustRightInd w:val="0"/>
              <w:jc w:val="both"/>
            </w:pPr>
            <w:r w:rsidRPr="009517AD">
              <w:t>Consistent with its principles and objectives, CTF funding will take risks</w:t>
            </w:r>
            <w:r>
              <w:t xml:space="preserve"> </w:t>
            </w:r>
            <w:r w:rsidRPr="009517AD">
              <w:t>that commercial lenders or investors are not able to bear, crowding in the private sector by</w:t>
            </w:r>
            <w:r>
              <w:t xml:space="preserve"> </w:t>
            </w:r>
            <w:r w:rsidRPr="009517AD">
              <w:t xml:space="preserve">catalyzing investment that would not </w:t>
            </w:r>
            <w:r>
              <w:t>happen</w:t>
            </w:r>
            <w:r w:rsidRPr="009517AD">
              <w:t xml:space="preserve"> otherwise</w:t>
            </w:r>
            <w:r>
              <w:t>.</w:t>
            </w:r>
          </w:p>
        </w:tc>
      </w:tr>
      <w:tr w:rsidR="009F4F0D" w:rsidRPr="00491D87" w14:paraId="33CE71A0" w14:textId="77777777" w:rsidTr="00CC2D00">
        <w:trPr>
          <w:cantSplit/>
        </w:trPr>
        <w:tc>
          <w:tcPr>
            <w:tcW w:w="3889" w:type="dxa"/>
            <w:gridSpan w:val="2"/>
            <w:shd w:val="clear" w:color="auto" w:fill="D9D9D9" w:themeFill="background1" w:themeFillShade="D9"/>
          </w:tcPr>
          <w:p w14:paraId="19706AED" w14:textId="77777777" w:rsidR="009F4F0D" w:rsidRPr="00491D87" w:rsidRDefault="009F4F0D" w:rsidP="009F4F0D">
            <w:pPr>
              <w:pStyle w:val="ListParagraph"/>
              <w:numPr>
                <w:ilvl w:val="0"/>
                <w:numId w:val="7"/>
              </w:numPr>
              <w:ind w:left="432" w:hanging="432"/>
              <w:rPr>
                <w:szCs w:val="24"/>
              </w:rPr>
            </w:pPr>
            <w:r w:rsidRPr="00491D87">
              <w:rPr>
                <w:szCs w:val="24"/>
              </w:rPr>
              <w:t>Mitigation of market distortions</w:t>
            </w:r>
          </w:p>
        </w:tc>
        <w:tc>
          <w:tcPr>
            <w:tcW w:w="5759" w:type="dxa"/>
            <w:gridSpan w:val="9"/>
            <w:shd w:val="clear" w:color="auto" w:fill="auto"/>
            <w:vAlign w:val="center"/>
          </w:tcPr>
          <w:p w14:paraId="08C2CA10" w14:textId="6A7123F2" w:rsidR="009F4F0D" w:rsidRPr="00491D87" w:rsidRDefault="009517AD" w:rsidP="009517AD">
            <w:pPr>
              <w:jc w:val="both"/>
            </w:pPr>
            <w:r>
              <w:t xml:space="preserve">The </w:t>
            </w:r>
            <w:r w:rsidR="00AE1510" w:rsidRPr="00F95A55">
              <w:t>IDB will target a segment and certain types of financing modalities that currently are not being served</w:t>
            </w:r>
            <w:r>
              <w:t xml:space="preserve"> by the private sector</w:t>
            </w:r>
            <w:r w:rsidR="00AE1510" w:rsidRPr="00F95A55">
              <w:t xml:space="preserve">. </w:t>
            </w:r>
          </w:p>
        </w:tc>
      </w:tr>
      <w:tr w:rsidR="009F4F0D" w:rsidRPr="00491D87" w14:paraId="161109E4" w14:textId="77777777" w:rsidTr="00CC2D00">
        <w:trPr>
          <w:cantSplit/>
        </w:trPr>
        <w:tc>
          <w:tcPr>
            <w:tcW w:w="3889" w:type="dxa"/>
            <w:gridSpan w:val="2"/>
            <w:shd w:val="clear" w:color="auto" w:fill="D9D9D9" w:themeFill="background1" w:themeFillShade="D9"/>
          </w:tcPr>
          <w:p w14:paraId="11E9C83E" w14:textId="77777777" w:rsidR="009F4F0D" w:rsidRPr="00491D87" w:rsidRDefault="009F4F0D" w:rsidP="009F4F0D">
            <w:pPr>
              <w:pStyle w:val="ListParagraph"/>
              <w:numPr>
                <w:ilvl w:val="0"/>
                <w:numId w:val="7"/>
              </w:numPr>
              <w:ind w:left="432" w:hanging="432"/>
              <w:rPr>
                <w:szCs w:val="24"/>
              </w:rPr>
            </w:pPr>
            <w:r w:rsidRPr="00491D87">
              <w:rPr>
                <w:szCs w:val="24"/>
              </w:rPr>
              <w:t>Risks</w:t>
            </w:r>
          </w:p>
        </w:tc>
        <w:tc>
          <w:tcPr>
            <w:tcW w:w="5759" w:type="dxa"/>
            <w:gridSpan w:val="9"/>
            <w:shd w:val="clear" w:color="auto" w:fill="auto"/>
            <w:vAlign w:val="center"/>
          </w:tcPr>
          <w:p w14:paraId="50B3A014" w14:textId="435E8EAC" w:rsidR="00CB169B" w:rsidRPr="00491D87" w:rsidRDefault="00AC52B0" w:rsidP="007B78DE">
            <w:r>
              <w:t>See S</w:t>
            </w:r>
            <w:r w:rsidR="00E6669F">
              <w:t xml:space="preserve">ection </w:t>
            </w:r>
            <w:r w:rsidR="007B78DE">
              <w:t>II of the main document</w:t>
            </w:r>
            <w:r>
              <w:t xml:space="preserve"> (pages 13 to 18).</w:t>
            </w:r>
          </w:p>
        </w:tc>
      </w:tr>
      <w:tr w:rsidR="001B1074" w:rsidRPr="00491D87" w14:paraId="7C1F842E" w14:textId="77777777" w:rsidTr="008E47FA">
        <w:trPr>
          <w:cantSplit/>
        </w:trPr>
        <w:tc>
          <w:tcPr>
            <w:tcW w:w="9648" w:type="dxa"/>
            <w:gridSpan w:val="11"/>
            <w:shd w:val="clear" w:color="auto" w:fill="FFC000"/>
          </w:tcPr>
          <w:p w14:paraId="1D3457F8" w14:textId="63AE92A9" w:rsidR="001B1074" w:rsidRPr="00491D87" w:rsidRDefault="006C25C4" w:rsidP="00CC2D00">
            <w:pPr>
              <w:pStyle w:val="ListParagraph"/>
              <w:keepNext/>
              <w:numPr>
                <w:ilvl w:val="0"/>
                <w:numId w:val="2"/>
              </w:numPr>
              <w:rPr>
                <w:b/>
                <w:szCs w:val="24"/>
              </w:rPr>
            </w:pPr>
            <w:r w:rsidRPr="00491D87">
              <w:rPr>
                <w:b/>
                <w:szCs w:val="24"/>
              </w:rPr>
              <w:t>Fo</w:t>
            </w:r>
            <w:r w:rsidR="00DF1E0D" w:rsidRPr="00491D87">
              <w:rPr>
                <w:b/>
                <w:szCs w:val="24"/>
              </w:rPr>
              <w:t xml:space="preserve">r DPSP projects/programs in </w:t>
            </w:r>
            <w:r w:rsidRPr="00491D87">
              <w:rPr>
                <w:b/>
                <w:szCs w:val="24"/>
              </w:rPr>
              <w:t>non-CTF countries, explain consistency with FIP, PPCR, or SREP Investment Criteria and/or national energy policy and strategy</w:t>
            </w:r>
          </w:p>
        </w:tc>
      </w:tr>
      <w:tr w:rsidR="001B1074" w:rsidRPr="001E7C96" w14:paraId="108A15C1" w14:textId="77777777" w:rsidTr="008E47FA">
        <w:trPr>
          <w:cantSplit/>
        </w:trPr>
        <w:tc>
          <w:tcPr>
            <w:tcW w:w="9648" w:type="dxa"/>
            <w:gridSpan w:val="11"/>
            <w:shd w:val="clear" w:color="auto" w:fill="auto"/>
          </w:tcPr>
          <w:p w14:paraId="1A1E1EA3" w14:textId="70F4E0FF" w:rsidR="001E7C96" w:rsidRPr="001E7C96" w:rsidRDefault="009517AD" w:rsidP="009517AD">
            <w:r w:rsidRPr="00FA2E3D">
              <w:t xml:space="preserve">This </w:t>
            </w:r>
            <w:r w:rsidR="00FA2E3D" w:rsidRPr="00FA2E3D">
              <w:t xml:space="preserve">Project </w:t>
            </w:r>
            <w:r>
              <w:t xml:space="preserve">is seeking resources from both SREP and CTF (DPSP). It is part of the Nicaragua SREP Investment Plan </w:t>
            </w:r>
            <w:r w:rsidR="00804990">
              <w:t xml:space="preserve">(PINIC) </w:t>
            </w:r>
            <w:r>
              <w:t xml:space="preserve">and is fully </w:t>
            </w:r>
            <w:r w:rsidR="00FA2E3D">
              <w:t xml:space="preserve">consistent with SREP investment </w:t>
            </w:r>
            <w:r>
              <w:t>criteria.</w:t>
            </w:r>
          </w:p>
        </w:tc>
      </w:tr>
      <w:tr w:rsidR="00E342E3" w:rsidRPr="00491D87" w14:paraId="417C9EDF" w14:textId="77777777" w:rsidTr="008E47FA">
        <w:trPr>
          <w:cantSplit/>
        </w:trPr>
        <w:tc>
          <w:tcPr>
            <w:tcW w:w="9648" w:type="dxa"/>
            <w:gridSpan w:val="11"/>
            <w:shd w:val="clear" w:color="auto" w:fill="FFC000"/>
          </w:tcPr>
          <w:p w14:paraId="1C714BFB" w14:textId="3218F6A7" w:rsidR="00E342E3" w:rsidRPr="00491D87" w:rsidRDefault="00F32344" w:rsidP="00805A2C">
            <w:pPr>
              <w:pStyle w:val="ListParagraph"/>
              <w:keepNext/>
              <w:numPr>
                <w:ilvl w:val="0"/>
                <w:numId w:val="2"/>
              </w:numPr>
              <w:rPr>
                <w:b/>
                <w:szCs w:val="24"/>
              </w:rPr>
            </w:pPr>
            <w:r w:rsidRPr="00491D87">
              <w:rPr>
                <w:b/>
                <w:szCs w:val="24"/>
              </w:rPr>
              <w:lastRenderedPageBreak/>
              <w:t>Stakeholder E</w:t>
            </w:r>
            <w:r w:rsidR="00E342E3" w:rsidRPr="00491D87">
              <w:rPr>
                <w:b/>
                <w:szCs w:val="24"/>
              </w:rPr>
              <w:t>ngagement</w:t>
            </w:r>
          </w:p>
        </w:tc>
      </w:tr>
      <w:tr w:rsidR="00C15CA9" w:rsidRPr="007572DE" w14:paraId="5FA6AB10" w14:textId="77777777" w:rsidTr="008E47FA">
        <w:trPr>
          <w:cantSplit/>
        </w:trPr>
        <w:tc>
          <w:tcPr>
            <w:tcW w:w="9648" w:type="dxa"/>
            <w:gridSpan w:val="11"/>
            <w:shd w:val="clear" w:color="auto" w:fill="auto"/>
          </w:tcPr>
          <w:p w14:paraId="0924FFC4" w14:textId="6D31322D" w:rsidR="0004438D" w:rsidRDefault="0004438D" w:rsidP="00C26312">
            <w:pPr>
              <w:pStyle w:val="ListParagraph"/>
              <w:numPr>
                <w:ilvl w:val="0"/>
                <w:numId w:val="20"/>
              </w:numPr>
              <w:spacing w:before="40" w:after="40"/>
              <w:ind w:left="450"/>
              <w:contextualSpacing w:val="0"/>
              <w:jc w:val="both"/>
            </w:pPr>
            <w:r>
              <w:t>O</w:t>
            </w:r>
            <w:r w:rsidRPr="00463C10">
              <w:t>n March 17, 2016</w:t>
            </w:r>
            <w:r w:rsidR="00C26312">
              <w:t>, the workshop “</w:t>
            </w:r>
            <w:r w:rsidRPr="00463C10">
              <w:t xml:space="preserve">Development of </w:t>
            </w:r>
            <w:r w:rsidR="00C26312" w:rsidRPr="00463C10">
              <w:t xml:space="preserve">Geothermal Energy </w:t>
            </w:r>
            <w:r w:rsidRPr="00463C10">
              <w:t>in Nicaragua</w:t>
            </w:r>
            <w:r w:rsidR="00C26312">
              <w:t>”</w:t>
            </w:r>
            <w:r>
              <w:t xml:space="preserve"> </w:t>
            </w:r>
            <w:r w:rsidR="00C26312">
              <w:t xml:space="preserve">was </w:t>
            </w:r>
            <w:r>
              <w:t>organized by MEM and IDB</w:t>
            </w:r>
            <w:r w:rsidR="00C26312">
              <w:t>,</w:t>
            </w:r>
            <w:r w:rsidRPr="00463C10">
              <w:t xml:space="preserve"> w</w:t>
            </w:r>
            <w:r>
              <w:t xml:space="preserve">ith </w:t>
            </w:r>
            <w:r w:rsidR="00C26312">
              <w:t xml:space="preserve">the </w:t>
            </w:r>
            <w:r>
              <w:t>participation o</w:t>
            </w:r>
            <w:r w:rsidRPr="00463C10">
              <w:t xml:space="preserve">f </w:t>
            </w:r>
            <w:r>
              <w:t xml:space="preserve">public </w:t>
            </w:r>
            <w:r w:rsidRPr="00463C10">
              <w:t>and private sector</w:t>
            </w:r>
            <w:r>
              <w:t xml:space="preserve"> organizations active in </w:t>
            </w:r>
            <w:r w:rsidR="00385D1E">
              <w:t>Nicaragua</w:t>
            </w:r>
            <w:r w:rsidR="00C26312">
              <w:t>’</w:t>
            </w:r>
            <w:r w:rsidR="00385D1E">
              <w:t xml:space="preserve">s </w:t>
            </w:r>
            <w:r w:rsidR="00C26312">
              <w:t xml:space="preserve">geothermal </w:t>
            </w:r>
            <w:r>
              <w:t>sector</w:t>
            </w:r>
            <w:r w:rsidR="00385D1E">
              <w:t>,</w:t>
            </w:r>
            <w:r>
              <w:t xml:space="preserve"> as well as international organizations. The objective of the workshop was to receive feedback on the proposed SREP</w:t>
            </w:r>
            <w:r w:rsidR="00C26312">
              <w:t>/CTF</w:t>
            </w:r>
            <w:r>
              <w:t xml:space="preserve"> program regarding funding amounts, timing, management and sustainability models, mitigation of impacts and the possibility of scale up. </w:t>
            </w:r>
          </w:p>
          <w:p w14:paraId="3B44E153" w14:textId="24063034" w:rsidR="007C0FE6" w:rsidRDefault="0004438D" w:rsidP="00C26312">
            <w:pPr>
              <w:pStyle w:val="ListParagraph"/>
              <w:numPr>
                <w:ilvl w:val="0"/>
                <w:numId w:val="20"/>
              </w:numPr>
              <w:spacing w:before="40" w:after="40"/>
              <w:ind w:left="450"/>
              <w:contextualSpacing w:val="0"/>
              <w:jc w:val="both"/>
            </w:pPr>
            <w:r>
              <w:t xml:space="preserve">On April </w:t>
            </w:r>
            <w:r w:rsidR="007C0FE6">
              <w:t>27 and 28</w:t>
            </w:r>
            <w:r w:rsidR="00C26312">
              <w:t>,</w:t>
            </w:r>
            <w:r w:rsidR="007C0FE6">
              <w:t xml:space="preserve"> 2016</w:t>
            </w:r>
            <w:r w:rsidR="00C26312">
              <w:t>,</w:t>
            </w:r>
            <w:r w:rsidR="007C0FE6">
              <w:t xml:space="preserve"> information </w:t>
            </w:r>
            <w:r>
              <w:t>about the scope of the Project</w:t>
            </w:r>
            <w:r w:rsidR="00C26312">
              <w:t xml:space="preserve"> was provided to cooperatives,</w:t>
            </w:r>
            <w:r w:rsidR="007C0FE6">
              <w:t xml:space="preserve"> rep</w:t>
            </w:r>
            <w:r w:rsidR="00C26312">
              <w:t>resentatives of the municipality</w:t>
            </w:r>
            <w:r w:rsidR="007C0FE6">
              <w:t xml:space="preserve"> in the area of influence of the project</w:t>
            </w:r>
            <w:r w:rsidR="00C26312">
              <w:t>,</w:t>
            </w:r>
            <w:r w:rsidR="007C0FE6">
              <w:t xml:space="preserve"> and </w:t>
            </w:r>
            <w:r w:rsidR="00C26312">
              <w:t xml:space="preserve">to </w:t>
            </w:r>
            <w:r w:rsidR="00385D1E">
              <w:t>the Ministry of Environment and Natural Resources (MARENA).</w:t>
            </w:r>
          </w:p>
          <w:p w14:paraId="249E155F" w14:textId="70220372" w:rsidR="007572DE" w:rsidRPr="007572DE" w:rsidRDefault="0004438D" w:rsidP="00C26312">
            <w:pPr>
              <w:pStyle w:val="ListParagraph"/>
              <w:numPr>
                <w:ilvl w:val="0"/>
                <w:numId w:val="20"/>
              </w:numPr>
              <w:spacing w:before="40" w:after="40"/>
              <w:ind w:left="450"/>
              <w:contextualSpacing w:val="0"/>
              <w:jc w:val="both"/>
            </w:pPr>
            <w:r>
              <w:t xml:space="preserve">On </w:t>
            </w:r>
            <w:r w:rsidR="007C0FE6">
              <w:t>Jun</w:t>
            </w:r>
            <w:r w:rsidR="00C26312">
              <w:t>e</w:t>
            </w:r>
            <w:r>
              <w:t xml:space="preserve"> 2, </w:t>
            </w:r>
            <w:r w:rsidR="007C0FE6">
              <w:t>2016</w:t>
            </w:r>
            <w:r w:rsidR="00C26312">
              <w:t xml:space="preserve">, a </w:t>
            </w:r>
            <w:r w:rsidR="007C0FE6">
              <w:t xml:space="preserve">public consultation </w:t>
            </w:r>
            <w:r w:rsidR="00385D1E">
              <w:t xml:space="preserve">about the Project </w:t>
            </w:r>
            <w:r w:rsidR="00C26312">
              <w:t xml:space="preserve">was carried out </w:t>
            </w:r>
            <w:r w:rsidR="007C0FE6">
              <w:t xml:space="preserve">with the participation of residents of the municipality in the area of influence of the project, representatives of the </w:t>
            </w:r>
            <w:r w:rsidR="00385D1E">
              <w:t>municipalities</w:t>
            </w:r>
            <w:r w:rsidR="00C26312">
              <w:t>’</w:t>
            </w:r>
            <w:r w:rsidR="00385D1E">
              <w:t xml:space="preserve"> </w:t>
            </w:r>
            <w:r w:rsidR="007C0FE6">
              <w:t xml:space="preserve">environmental management unit, the </w:t>
            </w:r>
            <w:proofErr w:type="spellStart"/>
            <w:r w:rsidR="00385D1E">
              <w:t>Cosigüina</w:t>
            </w:r>
            <w:proofErr w:type="spellEnd"/>
            <w:r w:rsidR="00385D1E">
              <w:t xml:space="preserve"> </w:t>
            </w:r>
            <w:r w:rsidR="007C0FE6">
              <w:t>natur</w:t>
            </w:r>
            <w:r w:rsidR="00385D1E">
              <w:t xml:space="preserve">al </w:t>
            </w:r>
            <w:r w:rsidR="007C0FE6">
              <w:t xml:space="preserve">reserve </w:t>
            </w:r>
            <w:r w:rsidR="00385D1E">
              <w:t xml:space="preserve">management committee </w:t>
            </w:r>
            <w:r w:rsidR="007C0FE6">
              <w:t xml:space="preserve">and MARENA. </w:t>
            </w:r>
          </w:p>
        </w:tc>
      </w:tr>
      <w:tr w:rsidR="00C15CA9" w:rsidRPr="00491D87" w14:paraId="6E221E77" w14:textId="77777777" w:rsidTr="008E47FA">
        <w:trPr>
          <w:cantSplit/>
        </w:trPr>
        <w:tc>
          <w:tcPr>
            <w:tcW w:w="9648" w:type="dxa"/>
            <w:gridSpan w:val="11"/>
            <w:shd w:val="clear" w:color="auto" w:fill="FFC000"/>
          </w:tcPr>
          <w:p w14:paraId="17FD5E94" w14:textId="6EBD497A" w:rsidR="00C15CA9" w:rsidRPr="00491D87" w:rsidRDefault="00F32344" w:rsidP="00805A2C">
            <w:pPr>
              <w:pStyle w:val="ListParagraph"/>
              <w:keepNext/>
              <w:numPr>
                <w:ilvl w:val="0"/>
                <w:numId w:val="2"/>
              </w:numPr>
              <w:rPr>
                <w:b/>
                <w:szCs w:val="24"/>
              </w:rPr>
            </w:pPr>
            <w:r w:rsidRPr="00491D87">
              <w:rPr>
                <w:b/>
                <w:szCs w:val="24"/>
              </w:rPr>
              <w:t>Gender C</w:t>
            </w:r>
            <w:r w:rsidR="00C15CA9" w:rsidRPr="00491D87">
              <w:rPr>
                <w:b/>
                <w:szCs w:val="24"/>
              </w:rPr>
              <w:t>onsiderations</w:t>
            </w:r>
          </w:p>
        </w:tc>
      </w:tr>
      <w:tr w:rsidR="00E342E3" w:rsidRPr="00491D87" w14:paraId="146B3CA9" w14:textId="77777777" w:rsidTr="008E47FA">
        <w:trPr>
          <w:cantSplit/>
        </w:trPr>
        <w:tc>
          <w:tcPr>
            <w:tcW w:w="9648" w:type="dxa"/>
            <w:gridSpan w:val="11"/>
            <w:shd w:val="clear" w:color="auto" w:fill="auto"/>
          </w:tcPr>
          <w:p w14:paraId="2DF7BF1B" w14:textId="5FE11A80" w:rsidR="00E744C0" w:rsidRPr="00491D87" w:rsidRDefault="00E744C0" w:rsidP="00C26312">
            <w:pPr>
              <w:jc w:val="both"/>
            </w:pPr>
            <w:r>
              <w:t xml:space="preserve">The project will include a </w:t>
            </w:r>
            <w:r w:rsidRPr="00E744C0">
              <w:t xml:space="preserve">gender perspective </w:t>
            </w:r>
            <w:r>
              <w:t xml:space="preserve">by </w:t>
            </w:r>
            <w:r w:rsidRPr="00E744C0">
              <w:t>integrat</w:t>
            </w:r>
            <w:r>
              <w:t>ing activitie</w:t>
            </w:r>
            <w:r w:rsidRPr="00E744C0">
              <w:t xml:space="preserve">s that promote job creation and training among women. Also, incentives for access of women to technical careers or technical studies with career opportunities in the field of geothermal energy and / or creation of partnerships with technical schools and universities to promote </w:t>
            </w:r>
            <w:r>
              <w:t xml:space="preserve">internship </w:t>
            </w:r>
            <w:r w:rsidRPr="00E744C0">
              <w:t>programs for female students will be created</w:t>
            </w:r>
            <w:r>
              <w:t xml:space="preserve">. The </w:t>
            </w:r>
            <w:r w:rsidR="00C26312">
              <w:t>i</w:t>
            </w:r>
            <w:r w:rsidR="00C26312" w:rsidRPr="00E744C0">
              <w:t xml:space="preserve">nstitutions </w:t>
            </w:r>
            <w:r w:rsidRPr="00E744C0">
              <w:t xml:space="preserve">responsible for coordinating the </w:t>
            </w:r>
            <w:r w:rsidR="00C26312">
              <w:t xml:space="preserve">geothermal </w:t>
            </w:r>
            <w:r>
              <w:t xml:space="preserve">project will be strengthened in order to </w:t>
            </w:r>
            <w:r w:rsidRPr="00E744C0">
              <w:t>inclu</w:t>
            </w:r>
            <w:r>
              <w:t>de a</w:t>
            </w:r>
            <w:r w:rsidRPr="00E744C0">
              <w:t xml:space="preserve"> gender </w:t>
            </w:r>
            <w:r>
              <w:t xml:space="preserve">perspective in the project. </w:t>
            </w:r>
          </w:p>
        </w:tc>
      </w:tr>
      <w:tr w:rsidR="000A01FF" w:rsidRPr="00491D87" w14:paraId="188AF6B5" w14:textId="77777777" w:rsidTr="008E47FA">
        <w:trPr>
          <w:cantSplit/>
        </w:trPr>
        <w:tc>
          <w:tcPr>
            <w:tcW w:w="9648" w:type="dxa"/>
            <w:gridSpan w:val="11"/>
            <w:shd w:val="clear" w:color="auto" w:fill="FFC000"/>
          </w:tcPr>
          <w:p w14:paraId="7102EEAA" w14:textId="790FD632" w:rsidR="000A01FF" w:rsidRPr="00491D87" w:rsidRDefault="00832B53" w:rsidP="00CC2D00">
            <w:pPr>
              <w:keepNext/>
              <w:ind w:left="360" w:hanging="360"/>
              <w:contextualSpacing/>
              <w:rPr>
                <w:szCs w:val="24"/>
              </w:rPr>
            </w:pPr>
            <w:r>
              <w:rPr>
                <w:szCs w:val="24"/>
              </w:rPr>
              <w:t>16</w:t>
            </w:r>
            <w:r w:rsidR="001522CA" w:rsidRPr="00491D87">
              <w:rPr>
                <w:szCs w:val="24"/>
              </w:rPr>
              <w:t>.</w:t>
            </w:r>
            <w:r w:rsidR="00DF1E0D" w:rsidRPr="00491D87">
              <w:rPr>
                <w:szCs w:val="24"/>
              </w:rPr>
              <w:t xml:space="preserve"> </w:t>
            </w:r>
            <w:r w:rsidR="000A01FF" w:rsidRPr="00491D87">
              <w:rPr>
                <w:b/>
                <w:szCs w:val="24"/>
              </w:rPr>
              <w:t>Indicators and Targets</w:t>
            </w:r>
          </w:p>
        </w:tc>
      </w:tr>
      <w:tr w:rsidR="009F4F0D" w:rsidRPr="00491D87" w14:paraId="18650234" w14:textId="77777777" w:rsidTr="008E47FA">
        <w:trPr>
          <w:cantSplit/>
        </w:trPr>
        <w:tc>
          <w:tcPr>
            <w:tcW w:w="9648" w:type="dxa"/>
            <w:gridSpan w:val="11"/>
            <w:shd w:val="clear" w:color="auto" w:fill="C2D69B" w:themeFill="accent3" w:themeFillTint="99"/>
          </w:tcPr>
          <w:p w14:paraId="2D11A148" w14:textId="710872BB" w:rsidR="009F4F0D" w:rsidRPr="00D845C4" w:rsidRDefault="009F4F0D" w:rsidP="00CC2D00">
            <w:pPr>
              <w:keepNext/>
              <w:contextualSpacing/>
              <w:rPr>
                <w:b/>
                <w:szCs w:val="24"/>
              </w:rPr>
            </w:pPr>
            <w:r w:rsidRPr="00D845C4">
              <w:rPr>
                <w:b/>
                <w:szCs w:val="24"/>
              </w:rPr>
              <w:t>Project/Program Timeline</w:t>
            </w:r>
          </w:p>
        </w:tc>
      </w:tr>
      <w:tr w:rsidR="00491D87" w:rsidRPr="00491D87" w14:paraId="031C33A0" w14:textId="77777777" w:rsidTr="00CC2D00">
        <w:trPr>
          <w:cantSplit/>
        </w:trPr>
        <w:tc>
          <w:tcPr>
            <w:tcW w:w="7124" w:type="dxa"/>
            <w:gridSpan w:val="7"/>
            <w:shd w:val="clear" w:color="auto" w:fill="D9D9D9" w:themeFill="background1" w:themeFillShade="D9"/>
          </w:tcPr>
          <w:p w14:paraId="54C0D605" w14:textId="4765390F" w:rsidR="00491D87" w:rsidRPr="00491D87" w:rsidRDefault="00491D87" w:rsidP="00805A2C">
            <w:pPr>
              <w:keepNext/>
              <w:contextualSpacing/>
              <w:rPr>
                <w:szCs w:val="24"/>
              </w:rPr>
            </w:pPr>
            <w:r w:rsidRPr="00491D87">
              <w:rPr>
                <w:szCs w:val="24"/>
              </w:rPr>
              <w:t>Expected start</w:t>
            </w:r>
            <w:r w:rsidR="00B51704">
              <w:rPr>
                <w:szCs w:val="24"/>
              </w:rPr>
              <w:t xml:space="preserve"> </w:t>
            </w:r>
            <w:r w:rsidRPr="00491D87">
              <w:rPr>
                <w:szCs w:val="24"/>
              </w:rPr>
              <w:t xml:space="preserve">date of </w:t>
            </w:r>
            <w:r w:rsidR="00472AC1">
              <w:rPr>
                <w:szCs w:val="24"/>
              </w:rPr>
              <w:t>implementation</w:t>
            </w:r>
          </w:p>
        </w:tc>
        <w:tc>
          <w:tcPr>
            <w:tcW w:w="2524" w:type="dxa"/>
            <w:gridSpan w:val="4"/>
            <w:shd w:val="clear" w:color="auto" w:fill="auto"/>
            <w:vAlign w:val="center"/>
          </w:tcPr>
          <w:p w14:paraId="0DF174D8" w14:textId="360DE9F8" w:rsidR="00491D87" w:rsidRPr="000937E9" w:rsidRDefault="000937E9" w:rsidP="00CC2D00">
            <w:pPr>
              <w:contextualSpacing/>
              <w:jc w:val="center"/>
              <w:rPr>
                <w:szCs w:val="24"/>
                <w:highlight w:val="yellow"/>
              </w:rPr>
            </w:pPr>
            <w:r w:rsidRPr="00FA2E3D">
              <w:rPr>
                <w:szCs w:val="24"/>
              </w:rPr>
              <w:t>October 2016</w:t>
            </w:r>
          </w:p>
        </w:tc>
      </w:tr>
      <w:tr w:rsidR="00491D87" w:rsidRPr="00491D87" w14:paraId="3E937C29" w14:textId="77777777" w:rsidTr="00CC2D00">
        <w:trPr>
          <w:cantSplit/>
        </w:trPr>
        <w:tc>
          <w:tcPr>
            <w:tcW w:w="7124" w:type="dxa"/>
            <w:gridSpan w:val="7"/>
            <w:shd w:val="clear" w:color="auto" w:fill="D9D9D9" w:themeFill="background1" w:themeFillShade="D9"/>
          </w:tcPr>
          <w:p w14:paraId="0E072E50" w14:textId="3A7109EC" w:rsidR="00491D87" w:rsidRPr="00491D87" w:rsidRDefault="00491D87" w:rsidP="00805A2C">
            <w:pPr>
              <w:keepNext/>
              <w:contextualSpacing/>
              <w:rPr>
                <w:szCs w:val="24"/>
              </w:rPr>
            </w:pPr>
            <w:r w:rsidRPr="00491D87">
              <w:rPr>
                <w:szCs w:val="24"/>
              </w:rPr>
              <w:t>Expected end date of implementation</w:t>
            </w:r>
          </w:p>
        </w:tc>
        <w:tc>
          <w:tcPr>
            <w:tcW w:w="2524" w:type="dxa"/>
            <w:gridSpan w:val="4"/>
            <w:shd w:val="clear" w:color="auto" w:fill="auto"/>
            <w:vAlign w:val="center"/>
          </w:tcPr>
          <w:p w14:paraId="44885E39" w14:textId="0FAEC8CB" w:rsidR="00491D87" w:rsidRPr="00FA2E3D" w:rsidRDefault="00FA2E3D" w:rsidP="00CC2D00">
            <w:pPr>
              <w:contextualSpacing/>
              <w:jc w:val="center"/>
              <w:rPr>
                <w:szCs w:val="24"/>
              </w:rPr>
            </w:pPr>
            <w:r w:rsidRPr="00FA2E3D">
              <w:rPr>
                <w:szCs w:val="24"/>
              </w:rPr>
              <w:t>October 2021</w:t>
            </w:r>
          </w:p>
        </w:tc>
      </w:tr>
      <w:tr w:rsidR="00491D87" w:rsidRPr="00491D87" w14:paraId="1027DA95" w14:textId="77777777" w:rsidTr="00CC2D00">
        <w:trPr>
          <w:cantSplit/>
        </w:trPr>
        <w:tc>
          <w:tcPr>
            <w:tcW w:w="7124" w:type="dxa"/>
            <w:gridSpan w:val="7"/>
            <w:shd w:val="clear" w:color="auto" w:fill="D9D9D9" w:themeFill="background1" w:themeFillShade="D9"/>
          </w:tcPr>
          <w:p w14:paraId="1B742968" w14:textId="0DF15336" w:rsidR="00491D87" w:rsidRPr="00491D87" w:rsidRDefault="00491D87" w:rsidP="00472AC1">
            <w:pPr>
              <w:contextualSpacing/>
              <w:rPr>
                <w:szCs w:val="24"/>
              </w:rPr>
            </w:pPr>
            <w:r w:rsidRPr="00491D87">
              <w:rPr>
                <w:szCs w:val="24"/>
              </w:rPr>
              <w:t xml:space="preserve">Expected </w:t>
            </w:r>
            <w:r w:rsidR="00472AC1">
              <w:rPr>
                <w:szCs w:val="24"/>
              </w:rPr>
              <w:t>investment lifetime in years</w:t>
            </w:r>
            <w:r w:rsidR="00472AC1" w:rsidRPr="00491D87">
              <w:rPr>
                <w:szCs w:val="24"/>
              </w:rPr>
              <w:t xml:space="preserve"> </w:t>
            </w:r>
            <w:r w:rsidRPr="00491D87">
              <w:rPr>
                <w:szCs w:val="24"/>
              </w:rPr>
              <w:t xml:space="preserve">(for estimating </w:t>
            </w:r>
            <w:r w:rsidR="00472AC1">
              <w:rPr>
                <w:szCs w:val="24"/>
              </w:rPr>
              <w:t>lifetime targets</w:t>
            </w:r>
            <w:r w:rsidRPr="00491D87">
              <w:rPr>
                <w:szCs w:val="24"/>
              </w:rPr>
              <w:t>)</w:t>
            </w:r>
            <w:r>
              <w:rPr>
                <w:szCs w:val="24"/>
              </w:rPr>
              <w:t xml:space="preserve"> </w:t>
            </w:r>
          </w:p>
        </w:tc>
        <w:tc>
          <w:tcPr>
            <w:tcW w:w="2524" w:type="dxa"/>
            <w:gridSpan w:val="4"/>
            <w:shd w:val="clear" w:color="auto" w:fill="auto"/>
            <w:vAlign w:val="center"/>
          </w:tcPr>
          <w:p w14:paraId="52653826" w14:textId="5DD97F73" w:rsidR="00491D87" w:rsidRPr="00FA2E3D" w:rsidRDefault="000937E9" w:rsidP="00CC2D00">
            <w:pPr>
              <w:contextualSpacing/>
              <w:jc w:val="center"/>
              <w:rPr>
                <w:szCs w:val="24"/>
              </w:rPr>
            </w:pPr>
            <w:r w:rsidRPr="00FA2E3D">
              <w:rPr>
                <w:szCs w:val="24"/>
              </w:rPr>
              <w:t>30</w:t>
            </w:r>
          </w:p>
        </w:tc>
      </w:tr>
      <w:tr w:rsidR="000A01FF" w:rsidRPr="00491D87" w14:paraId="4338B78B" w14:textId="77777777" w:rsidTr="00C06933">
        <w:trPr>
          <w:cantSplit/>
        </w:trPr>
        <w:tc>
          <w:tcPr>
            <w:tcW w:w="7124" w:type="dxa"/>
            <w:gridSpan w:val="7"/>
            <w:shd w:val="clear" w:color="auto" w:fill="C2D69B"/>
          </w:tcPr>
          <w:p w14:paraId="2627367A" w14:textId="77777777" w:rsidR="000A01FF" w:rsidRPr="00491D87" w:rsidRDefault="000A01FF" w:rsidP="00CC2D00">
            <w:pPr>
              <w:keepNext/>
              <w:contextualSpacing/>
              <w:rPr>
                <w:b/>
                <w:szCs w:val="24"/>
              </w:rPr>
            </w:pPr>
            <w:r w:rsidRPr="00491D87">
              <w:rPr>
                <w:b/>
                <w:szCs w:val="24"/>
              </w:rPr>
              <w:t>Core Indicator</w:t>
            </w:r>
            <w:r w:rsidR="001A1274" w:rsidRPr="00491D87">
              <w:rPr>
                <w:b/>
                <w:szCs w:val="24"/>
              </w:rPr>
              <w:t>s</w:t>
            </w:r>
          </w:p>
        </w:tc>
        <w:tc>
          <w:tcPr>
            <w:tcW w:w="2524" w:type="dxa"/>
            <w:gridSpan w:val="4"/>
            <w:shd w:val="clear" w:color="auto" w:fill="C2D69B"/>
          </w:tcPr>
          <w:p w14:paraId="4961AD0D" w14:textId="797CC503" w:rsidR="000A01FF" w:rsidRPr="00491D87" w:rsidRDefault="000A01FF" w:rsidP="00805A2C">
            <w:pPr>
              <w:contextualSpacing/>
              <w:jc w:val="center"/>
              <w:rPr>
                <w:b/>
                <w:szCs w:val="24"/>
              </w:rPr>
            </w:pPr>
            <w:r w:rsidRPr="00491D87">
              <w:rPr>
                <w:b/>
                <w:szCs w:val="24"/>
              </w:rPr>
              <w:t>Target</w:t>
            </w:r>
            <w:r w:rsidR="001A1274" w:rsidRPr="00491D87">
              <w:rPr>
                <w:b/>
                <w:szCs w:val="24"/>
              </w:rPr>
              <w:t>s</w:t>
            </w:r>
          </w:p>
        </w:tc>
      </w:tr>
      <w:tr w:rsidR="000A01FF" w:rsidRPr="00491D87" w14:paraId="34DC2827" w14:textId="77777777" w:rsidTr="00CC2D00">
        <w:trPr>
          <w:cantSplit/>
        </w:trPr>
        <w:tc>
          <w:tcPr>
            <w:tcW w:w="7124" w:type="dxa"/>
            <w:gridSpan w:val="7"/>
            <w:shd w:val="clear" w:color="auto" w:fill="D9D9D9" w:themeFill="background1" w:themeFillShade="D9"/>
          </w:tcPr>
          <w:p w14:paraId="71E637F2" w14:textId="2AF4D1D5" w:rsidR="000A01FF" w:rsidRPr="00491D87" w:rsidRDefault="004C45B0" w:rsidP="00CC2D00">
            <w:pPr>
              <w:keepNext/>
              <w:contextualSpacing/>
              <w:rPr>
                <w:szCs w:val="24"/>
              </w:rPr>
            </w:pPr>
            <w:r w:rsidRPr="00491D87">
              <w:rPr>
                <w:color w:val="000000"/>
                <w:szCs w:val="24"/>
                <w:lang w:val="en"/>
              </w:rPr>
              <w:t>GHG emissions</w:t>
            </w:r>
            <w:r w:rsidR="0034774E" w:rsidRPr="00491D87">
              <w:rPr>
                <w:color w:val="000000"/>
                <w:szCs w:val="24"/>
                <w:lang w:val="en"/>
              </w:rPr>
              <w:t xml:space="preserve"> reduced or avoided</w:t>
            </w:r>
            <w:r w:rsidR="0034774E" w:rsidRPr="00491D87">
              <w:rPr>
                <w:szCs w:val="24"/>
                <w:lang w:val="en"/>
              </w:rPr>
              <w:t xml:space="preserve"> </w:t>
            </w:r>
            <w:r w:rsidR="0012727B" w:rsidRPr="00491D87">
              <w:rPr>
                <w:szCs w:val="24"/>
              </w:rPr>
              <w:t>over lifetime (</w:t>
            </w:r>
            <w:r w:rsidR="00C06933">
              <w:rPr>
                <w:szCs w:val="24"/>
              </w:rPr>
              <w:t>ton</w:t>
            </w:r>
            <w:r w:rsidRPr="00491D87">
              <w:rPr>
                <w:szCs w:val="24"/>
              </w:rPr>
              <w:t>s of</w:t>
            </w:r>
            <w:r w:rsidR="0034774E" w:rsidRPr="00491D87">
              <w:rPr>
                <w:szCs w:val="24"/>
              </w:rPr>
              <w:t xml:space="preserve"> CO</w:t>
            </w:r>
            <w:r w:rsidR="0034774E" w:rsidRPr="00491D87">
              <w:rPr>
                <w:szCs w:val="24"/>
                <w:vertAlign w:val="subscript"/>
              </w:rPr>
              <w:t>2</w:t>
            </w:r>
            <w:r w:rsidRPr="00491D87">
              <w:rPr>
                <w:szCs w:val="24"/>
              </w:rPr>
              <w:t>-</w:t>
            </w:r>
            <w:r w:rsidR="00472AC1">
              <w:rPr>
                <w:szCs w:val="24"/>
              </w:rPr>
              <w:t>eq)</w:t>
            </w:r>
          </w:p>
        </w:tc>
        <w:tc>
          <w:tcPr>
            <w:tcW w:w="2524" w:type="dxa"/>
            <w:gridSpan w:val="4"/>
            <w:shd w:val="clear" w:color="auto" w:fill="auto"/>
            <w:vAlign w:val="center"/>
          </w:tcPr>
          <w:p w14:paraId="27FD20B3" w14:textId="5F95BE87" w:rsidR="000A01FF" w:rsidRPr="00CC2D00" w:rsidRDefault="00BA16D3" w:rsidP="00BA16D3">
            <w:pPr>
              <w:contextualSpacing/>
              <w:jc w:val="center"/>
              <w:rPr>
                <w:szCs w:val="24"/>
              </w:rPr>
            </w:pPr>
            <w:r>
              <w:t>2,697,191</w:t>
            </w:r>
            <w:r w:rsidR="00805A2C" w:rsidRPr="00805A2C">
              <w:rPr>
                <w:vertAlign w:val="superscript"/>
              </w:rPr>
              <w:t>[a]</w:t>
            </w:r>
          </w:p>
        </w:tc>
      </w:tr>
      <w:tr w:rsidR="00CC2D00" w:rsidRPr="00491D87" w14:paraId="6D70A8A7" w14:textId="77777777" w:rsidTr="00CC2D00">
        <w:trPr>
          <w:cantSplit/>
        </w:trPr>
        <w:tc>
          <w:tcPr>
            <w:tcW w:w="5425" w:type="dxa"/>
            <w:gridSpan w:val="5"/>
            <w:shd w:val="clear" w:color="auto" w:fill="D9D9D9" w:themeFill="background1" w:themeFillShade="D9"/>
          </w:tcPr>
          <w:p w14:paraId="2DD0F6DA" w14:textId="58ECBB68" w:rsidR="00CC2D00" w:rsidRPr="00491D87" w:rsidRDefault="00FA2E3D" w:rsidP="00FA2E3D">
            <w:pPr>
              <w:keepNext/>
              <w:contextualSpacing/>
              <w:rPr>
                <w:color w:val="000000"/>
                <w:szCs w:val="24"/>
                <w:lang w:val="en"/>
              </w:rPr>
            </w:pPr>
            <w:r>
              <w:rPr>
                <w:color w:val="000000"/>
                <w:szCs w:val="24"/>
                <w:lang w:val="en"/>
              </w:rPr>
              <w:t>Potential a</w:t>
            </w:r>
            <w:r w:rsidR="00CC2D00" w:rsidRPr="00491D87">
              <w:rPr>
                <w:color w:val="000000"/>
                <w:szCs w:val="24"/>
                <w:lang w:val="en"/>
              </w:rPr>
              <w:t>nnual GHG emi</w:t>
            </w:r>
            <w:r w:rsidR="00CC2D00">
              <w:rPr>
                <w:color w:val="000000"/>
                <w:szCs w:val="24"/>
                <w:lang w:val="en"/>
              </w:rPr>
              <w:t>ssions reduced or avoided (ton</w:t>
            </w:r>
            <w:r w:rsidR="00CC2D00" w:rsidRPr="00491D87">
              <w:rPr>
                <w:color w:val="000000"/>
                <w:szCs w:val="24"/>
                <w:lang w:val="en"/>
              </w:rPr>
              <w:t>s of CO</w:t>
            </w:r>
            <w:r w:rsidR="00CC2D00" w:rsidRPr="00491D87">
              <w:rPr>
                <w:color w:val="000000"/>
                <w:szCs w:val="24"/>
                <w:vertAlign w:val="subscript"/>
                <w:lang w:val="en"/>
              </w:rPr>
              <w:t>2</w:t>
            </w:r>
            <w:r w:rsidR="00CC2D00" w:rsidRPr="00491D87">
              <w:rPr>
                <w:color w:val="000000"/>
                <w:szCs w:val="24"/>
                <w:lang w:val="en"/>
              </w:rPr>
              <w:t>-eq/year)</w:t>
            </w:r>
            <w:r w:rsidR="00CC2D00">
              <w:t xml:space="preserve"> </w:t>
            </w:r>
            <w:r w:rsidR="00CC2D00" w:rsidRPr="00CC2D00">
              <w:rPr>
                <w:sz w:val="18"/>
              </w:rPr>
              <w:t>(specify: upon completion of the project/program / on the maximum year / on a representative year)</w:t>
            </w:r>
          </w:p>
        </w:tc>
        <w:tc>
          <w:tcPr>
            <w:tcW w:w="1699" w:type="dxa"/>
            <w:gridSpan w:val="2"/>
            <w:shd w:val="clear" w:color="auto" w:fill="auto"/>
            <w:vAlign w:val="center"/>
          </w:tcPr>
          <w:p w14:paraId="7CFD31B0" w14:textId="5E567429" w:rsidR="00CC2D00" w:rsidRPr="00491D87" w:rsidRDefault="008D61E9" w:rsidP="008D61E9">
            <w:pPr>
              <w:keepNext/>
              <w:contextualSpacing/>
              <w:rPr>
                <w:color w:val="000000"/>
                <w:szCs w:val="24"/>
                <w:lang w:val="en"/>
              </w:rPr>
            </w:pPr>
            <w:r>
              <w:rPr>
                <w:color w:val="000000"/>
                <w:szCs w:val="24"/>
                <w:lang w:val="en"/>
              </w:rPr>
              <w:t>Once project is in operation</w:t>
            </w:r>
          </w:p>
        </w:tc>
        <w:tc>
          <w:tcPr>
            <w:tcW w:w="2524" w:type="dxa"/>
            <w:gridSpan w:val="4"/>
            <w:shd w:val="clear" w:color="auto" w:fill="auto"/>
            <w:vAlign w:val="center"/>
          </w:tcPr>
          <w:p w14:paraId="18681EC2" w14:textId="4713D996" w:rsidR="00CC2D00" w:rsidRPr="00CC2D00" w:rsidRDefault="00BA16D3" w:rsidP="00BA16D3">
            <w:pPr>
              <w:contextualSpacing/>
              <w:jc w:val="center"/>
              <w:rPr>
                <w:szCs w:val="24"/>
              </w:rPr>
            </w:pPr>
            <w:r w:rsidRPr="00BA16D3">
              <w:rPr>
                <w:szCs w:val="24"/>
              </w:rPr>
              <w:t>89,906</w:t>
            </w:r>
            <w:r w:rsidR="00805A2C" w:rsidRPr="00805A2C">
              <w:rPr>
                <w:vertAlign w:val="superscript"/>
              </w:rPr>
              <w:t>[a]</w:t>
            </w:r>
          </w:p>
        </w:tc>
      </w:tr>
      <w:tr w:rsidR="0034774E" w:rsidRPr="00491D87" w14:paraId="58551686" w14:textId="77777777" w:rsidTr="00CC2D00">
        <w:trPr>
          <w:cantSplit/>
        </w:trPr>
        <w:tc>
          <w:tcPr>
            <w:tcW w:w="7124" w:type="dxa"/>
            <w:gridSpan w:val="7"/>
            <w:shd w:val="clear" w:color="auto" w:fill="D9D9D9" w:themeFill="background1" w:themeFillShade="D9"/>
          </w:tcPr>
          <w:p w14:paraId="1180C14D" w14:textId="0DDA8043" w:rsidR="0034774E" w:rsidRPr="00491D87" w:rsidRDefault="00FA2E3D" w:rsidP="00CC2D00">
            <w:pPr>
              <w:keepNext/>
              <w:contextualSpacing/>
              <w:rPr>
                <w:color w:val="000000"/>
                <w:szCs w:val="24"/>
                <w:lang w:val="en"/>
              </w:rPr>
            </w:pPr>
            <w:r>
              <w:rPr>
                <w:color w:val="000000"/>
                <w:szCs w:val="24"/>
                <w:lang w:val="en"/>
              </w:rPr>
              <w:t>Feasible</w:t>
            </w:r>
            <w:r w:rsidR="0034774E" w:rsidRPr="00491D87">
              <w:rPr>
                <w:color w:val="000000"/>
                <w:szCs w:val="24"/>
                <w:lang w:val="en"/>
              </w:rPr>
              <w:t xml:space="preserve"> ca</w:t>
            </w:r>
            <w:r w:rsidR="00472AC1">
              <w:rPr>
                <w:color w:val="000000"/>
                <w:szCs w:val="24"/>
                <w:lang w:val="en"/>
              </w:rPr>
              <w:t>pacity of renewable energy (MW)</w:t>
            </w:r>
          </w:p>
        </w:tc>
        <w:tc>
          <w:tcPr>
            <w:tcW w:w="2524" w:type="dxa"/>
            <w:gridSpan w:val="4"/>
            <w:shd w:val="clear" w:color="auto" w:fill="auto"/>
            <w:vAlign w:val="center"/>
          </w:tcPr>
          <w:p w14:paraId="13845F9F" w14:textId="5F8F2715" w:rsidR="0034774E" w:rsidRPr="00CC2D00" w:rsidRDefault="00BA16D3" w:rsidP="00CC2D00">
            <w:pPr>
              <w:contextualSpacing/>
              <w:jc w:val="center"/>
              <w:rPr>
                <w:szCs w:val="24"/>
              </w:rPr>
            </w:pPr>
            <w:r>
              <w:rPr>
                <w:szCs w:val="24"/>
              </w:rPr>
              <w:t>18</w:t>
            </w:r>
            <w:r w:rsidR="00805A2C" w:rsidRPr="00805A2C">
              <w:rPr>
                <w:vertAlign w:val="superscript"/>
              </w:rPr>
              <w:t>[a]</w:t>
            </w:r>
          </w:p>
        </w:tc>
      </w:tr>
      <w:tr w:rsidR="001A1274" w:rsidRPr="00491D87" w14:paraId="12FEBB05" w14:textId="77777777" w:rsidTr="00CC2D00">
        <w:trPr>
          <w:cantSplit/>
        </w:trPr>
        <w:tc>
          <w:tcPr>
            <w:tcW w:w="7124" w:type="dxa"/>
            <w:gridSpan w:val="7"/>
            <w:shd w:val="clear" w:color="auto" w:fill="D9D9D9" w:themeFill="background1" w:themeFillShade="D9"/>
          </w:tcPr>
          <w:p w14:paraId="5FE7AC72" w14:textId="17CD9641" w:rsidR="00F55168" w:rsidRPr="00491D87" w:rsidRDefault="0034774E" w:rsidP="00CC2D00">
            <w:pPr>
              <w:keepNext/>
              <w:contextualSpacing/>
              <w:rPr>
                <w:szCs w:val="24"/>
              </w:rPr>
            </w:pPr>
            <w:r w:rsidRPr="00491D87">
              <w:rPr>
                <w:color w:val="000000"/>
                <w:szCs w:val="24"/>
                <w:lang w:val="en"/>
              </w:rPr>
              <w:t xml:space="preserve">Number of </w:t>
            </w:r>
            <w:r w:rsidR="004C45B0" w:rsidRPr="00491D87">
              <w:rPr>
                <w:color w:val="000000"/>
                <w:szCs w:val="24"/>
                <w:lang w:val="en"/>
              </w:rPr>
              <w:t>additional passengers using low-</w:t>
            </w:r>
            <w:r w:rsidR="00472AC1">
              <w:rPr>
                <w:color w:val="000000"/>
                <w:szCs w:val="24"/>
                <w:lang w:val="en"/>
              </w:rPr>
              <w:t>carbon transport per day</w:t>
            </w:r>
          </w:p>
        </w:tc>
        <w:tc>
          <w:tcPr>
            <w:tcW w:w="2524" w:type="dxa"/>
            <w:gridSpan w:val="4"/>
            <w:shd w:val="clear" w:color="auto" w:fill="auto"/>
            <w:vAlign w:val="center"/>
          </w:tcPr>
          <w:p w14:paraId="55CF766B" w14:textId="4F7C8591" w:rsidR="001A1274" w:rsidRPr="00CC2D00" w:rsidRDefault="003D4783" w:rsidP="00CC2D00">
            <w:pPr>
              <w:contextualSpacing/>
              <w:jc w:val="center"/>
              <w:rPr>
                <w:szCs w:val="24"/>
              </w:rPr>
            </w:pPr>
            <w:r>
              <w:rPr>
                <w:szCs w:val="24"/>
              </w:rPr>
              <w:t>N/A</w:t>
            </w:r>
          </w:p>
        </w:tc>
      </w:tr>
      <w:tr w:rsidR="0034774E" w:rsidRPr="00491D87" w14:paraId="321BCD5D" w14:textId="77777777" w:rsidTr="00CC2D00">
        <w:trPr>
          <w:cantSplit/>
        </w:trPr>
        <w:tc>
          <w:tcPr>
            <w:tcW w:w="7124" w:type="dxa"/>
            <w:gridSpan w:val="7"/>
            <w:shd w:val="clear" w:color="auto" w:fill="D9D9D9" w:themeFill="background1" w:themeFillShade="D9"/>
          </w:tcPr>
          <w:p w14:paraId="03D316E4" w14:textId="2B849BBE" w:rsidR="0034774E" w:rsidRPr="00491D87" w:rsidRDefault="0034774E" w:rsidP="00CC2D00">
            <w:pPr>
              <w:keepNext/>
              <w:contextualSpacing/>
              <w:rPr>
                <w:b/>
                <w:bCs/>
                <w:szCs w:val="24"/>
              </w:rPr>
            </w:pPr>
            <w:r w:rsidRPr="00491D87">
              <w:rPr>
                <w:color w:val="000000"/>
                <w:szCs w:val="24"/>
                <w:lang w:val="en"/>
              </w:rPr>
              <w:t>Energy savings cumulative over life</w:t>
            </w:r>
            <w:r w:rsidR="004C45B0" w:rsidRPr="00491D87">
              <w:rPr>
                <w:color w:val="000000"/>
                <w:szCs w:val="24"/>
                <w:lang w:val="en"/>
              </w:rPr>
              <w:t>time</w:t>
            </w:r>
            <w:r w:rsidR="0078557F" w:rsidRPr="00491D87">
              <w:rPr>
                <w:color w:val="000000"/>
                <w:szCs w:val="24"/>
                <w:lang w:val="en"/>
              </w:rPr>
              <w:t xml:space="preserve"> of investment (M</w:t>
            </w:r>
            <w:r w:rsidR="00472AC1">
              <w:rPr>
                <w:color w:val="000000"/>
                <w:szCs w:val="24"/>
                <w:lang w:val="en"/>
              </w:rPr>
              <w:t>Wh)</w:t>
            </w:r>
          </w:p>
        </w:tc>
        <w:tc>
          <w:tcPr>
            <w:tcW w:w="2524" w:type="dxa"/>
            <w:gridSpan w:val="4"/>
            <w:shd w:val="clear" w:color="auto" w:fill="auto"/>
            <w:vAlign w:val="center"/>
          </w:tcPr>
          <w:p w14:paraId="5421DCAD" w14:textId="771CD866" w:rsidR="0034774E" w:rsidRPr="00CC2D00" w:rsidRDefault="003D4783" w:rsidP="00CC2D00">
            <w:pPr>
              <w:contextualSpacing/>
              <w:jc w:val="center"/>
              <w:rPr>
                <w:szCs w:val="24"/>
              </w:rPr>
            </w:pPr>
            <w:r>
              <w:rPr>
                <w:szCs w:val="24"/>
              </w:rPr>
              <w:t>N/A</w:t>
            </w:r>
          </w:p>
        </w:tc>
      </w:tr>
      <w:tr w:rsidR="00CC2D00" w:rsidRPr="00491D87" w14:paraId="63C44824" w14:textId="77777777" w:rsidTr="00CC2D00">
        <w:trPr>
          <w:cantSplit/>
        </w:trPr>
        <w:tc>
          <w:tcPr>
            <w:tcW w:w="5425" w:type="dxa"/>
            <w:gridSpan w:val="5"/>
            <w:shd w:val="clear" w:color="auto" w:fill="D9D9D9" w:themeFill="background1" w:themeFillShade="D9"/>
          </w:tcPr>
          <w:p w14:paraId="08826E71" w14:textId="57218469" w:rsidR="00CC2D00" w:rsidRPr="00491D87" w:rsidRDefault="00CC2D00" w:rsidP="00CC2D00">
            <w:pPr>
              <w:contextualSpacing/>
              <w:rPr>
                <w:color w:val="000000"/>
                <w:szCs w:val="24"/>
                <w:lang w:val="en"/>
              </w:rPr>
            </w:pPr>
            <w:r w:rsidRPr="00491D87">
              <w:rPr>
                <w:color w:val="000000"/>
                <w:szCs w:val="24"/>
                <w:lang w:val="en"/>
              </w:rPr>
              <w:t>Annual energy savings (MWh/year)</w:t>
            </w:r>
            <w:r>
              <w:t xml:space="preserve"> </w:t>
            </w:r>
            <w:r w:rsidRPr="00CC2D00">
              <w:rPr>
                <w:sz w:val="18"/>
              </w:rPr>
              <w:t>(specify: upon completion of the project/program / on the maximum year / on a representative year)</w:t>
            </w:r>
          </w:p>
        </w:tc>
        <w:tc>
          <w:tcPr>
            <w:tcW w:w="1699" w:type="dxa"/>
            <w:gridSpan w:val="2"/>
            <w:shd w:val="clear" w:color="auto" w:fill="auto"/>
            <w:vAlign w:val="center"/>
          </w:tcPr>
          <w:p w14:paraId="48928882" w14:textId="7F6CB5AB" w:rsidR="00CC2D00" w:rsidRPr="00491D87" w:rsidRDefault="00CC2D00" w:rsidP="00CC2D00">
            <w:pPr>
              <w:contextualSpacing/>
              <w:rPr>
                <w:color w:val="000000"/>
                <w:szCs w:val="24"/>
                <w:lang w:val="en"/>
              </w:rPr>
            </w:pPr>
          </w:p>
        </w:tc>
        <w:tc>
          <w:tcPr>
            <w:tcW w:w="2524" w:type="dxa"/>
            <w:gridSpan w:val="4"/>
            <w:shd w:val="clear" w:color="auto" w:fill="auto"/>
            <w:vAlign w:val="center"/>
          </w:tcPr>
          <w:p w14:paraId="388BBC51" w14:textId="28A6C142" w:rsidR="00CC2D00" w:rsidRPr="00CC2D00" w:rsidRDefault="003D4783" w:rsidP="00CC2D00">
            <w:pPr>
              <w:contextualSpacing/>
              <w:jc w:val="center"/>
              <w:rPr>
                <w:szCs w:val="24"/>
              </w:rPr>
            </w:pPr>
            <w:r>
              <w:rPr>
                <w:szCs w:val="24"/>
              </w:rPr>
              <w:t>N/A</w:t>
            </w:r>
          </w:p>
        </w:tc>
      </w:tr>
      <w:tr w:rsidR="0034774E" w:rsidRPr="00491D87" w14:paraId="1A0F3D25" w14:textId="77777777" w:rsidTr="00C06933">
        <w:trPr>
          <w:cantSplit/>
        </w:trPr>
        <w:tc>
          <w:tcPr>
            <w:tcW w:w="7124" w:type="dxa"/>
            <w:gridSpan w:val="7"/>
            <w:shd w:val="clear" w:color="auto" w:fill="C2D69B"/>
          </w:tcPr>
          <w:p w14:paraId="14DB6CD7" w14:textId="02F0A4DC" w:rsidR="0034774E" w:rsidRPr="00491D87" w:rsidRDefault="0034774E" w:rsidP="00CC2D00">
            <w:pPr>
              <w:keepNext/>
              <w:contextualSpacing/>
              <w:rPr>
                <w:b/>
                <w:szCs w:val="24"/>
              </w:rPr>
            </w:pPr>
            <w:r w:rsidRPr="00491D87">
              <w:rPr>
                <w:b/>
                <w:bCs/>
                <w:szCs w:val="24"/>
              </w:rPr>
              <w:t xml:space="preserve">Identify relevant </w:t>
            </w:r>
            <w:r w:rsidR="00A50F19">
              <w:rPr>
                <w:b/>
                <w:bCs/>
                <w:szCs w:val="24"/>
              </w:rPr>
              <w:t>development impact indicator(s)</w:t>
            </w:r>
          </w:p>
        </w:tc>
        <w:tc>
          <w:tcPr>
            <w:tcW w:w="2524" w:type="dxa"/>
            <w:gridSpan w:val="4"/>
            <w:shd w:val="clear" w:color="auto" w:fill="C2D69B"/>
          </w:tcPr>
          <w:p w14:paraId="40EB32F8" w14:textId="77777777" w:rsidR="0034774E" w:rsidRPr="00491D87" w:rsidRDefault="0034774E" w:rsidP="0076559A">
            <w:pPr>
              <w:contextualSpacing/>
              <w:jc w:val="center"/>
              <w:rPr>
                <w:b/>
                <w:szCs w:val="24"/>
              </w:rPr>
            </w:pPr>
            <w:r w:rsidRPr="00491D87">
              <w:rPr>
                <w:b/>
                <w:szCs w:val="24"/>
              </w:rPr>
              <w:t>Targets</w:t>
            </w:r>
          </w:p>
        </w:tc>
      </w:tr>
      <w:tr w:rsidR="00401631" w:rsidRPr="00491D87" w14:paraId="1E096364" w14:textId="77777777" w:rsidTr="00C06933">
        <w:trPr>
          <w:cantSplit/>
        </w:trPr>
        <w:tc>
          <w:tcPr>
            <w:tcW w:w="7124" w:type="dxa"/>
            <w:gridSpan w:val="7"/>
            <w:shd w:val="clear" w:color="auto" w:fill="auto"/>
          </w:tcPr>
          <w:p w14:paraId="0524B15C" w14:textId="4274BF8D" w:rsidR="00401631" w:rsidRPr="00491D87" w:rsidRDefault="000937E9" w:rsidP="00CC2D00">
            <w:r>
              <w:t>Jobs</w:t>
            </w:r>
            <w:r w:rsidR="004F0AE2">
              <w:t xml:space="preserve"> created</w:t>
            </w:r>
          </w:p>
        </w:tc>
        <w:tc>
          <w:tcPr>
            <w:tcW w:w="2524" w:type="dxa"/>
            <w:gridSpan w:val="4"/>
            <w:shd w:val="clear" w:color="auto" w:fill="auto"/>
          </w:tcPr>
          <w:p w14:paraId="0D129C78" w14:textId="11DB376F" w:rsidR="00401631" w:rsidRPr="00491D87" w:rsidRDefault="00805A2C" w:rsidP="00250105">
            <w:pPr>
              <w:jc w:val="center"/>
            </w:pPr>
            <w:r>
              <w:t>20</w:t>
            </w:r>
            <w:r w:rsidRPr="00805A2C">
              <w:rPr>
                <w:vertAlign w:val="superscript"/>
              </w:rPr>
              <w:t>[a]</w:t>
            </w:r>
          </w:p>
        </w:tc>
      </w:tr>
      <w:tr w:rsidR="000A01FF" w:rsidRPr="00491D87" w14:paraId="3EA6D02E" w14:textId="77777777" w:rsidTr="008E47FA">
        <w:trPr>
          <w:cantSplit/>
        </w:trPr>
        <w:tc>
          <w:tcPr>
            <w:tcW w:w="9648" w:type="dxa"/>
            <w:gridSpan w:val="11"/>
            <w:shd w:val="clear" w:color="auto" w:fill="FFC000"/>
          </w:tcPr>
          <w:p w14:paraId="1FACAE48" w14:textId="4BD2429B" w:rsidR="000A01FF" w:rsidRPr="00832B53" w:rsidRDefault="00832B53" w:rsidP="00CC2D00">
            <w:pPr>
              <w:keepNext/>
              <w:tabs>
                <w:tab w:val="left" w:pos="390"/>
              </w:tabs>
              <w:rPr>
                <w:b/>
                <w:szCs w:val="24"/>
              </w:rPr>
            </w:pPr>
            <w:r w:rsidRPr="00832B53">
              <w:rPr>
                <w:szCs w:val="24"/>
              </w:rPr>
              <w:lastRenderedPageBreak/>
              <w:t>17.</w:t>
            </w:r>
            <w:r w:rsidRPr="00832B53">
              <w:rPr>
                <w:b/>
                <w:szCs w:val="24"/>
              </w:rPr>
              <w:t xml:space="preserve"> </w:t>
            </w:r>
            <w:r w:rsidR="001A1274" w:rsidRPr="00832B53">
              <w:rPr>
                <w:b/>
                <w:szCs w:val="24"/>
              </w:rPr>
              <w:t>Co-f</w:t>
            </w:r>
            <w:r w:rsidR="000A01FF" w:rsidRPr="00832B53">
              <w:rPr>
                <w:b/>
                <w:szCs w:val="24"/>
              </w:rPr>
              <w:t>inancing</w:t>
            </w:r>
          </w:p>
        </w:tc>
      </w:tr>
      <w:tr w:rsidR="00653E5E" w:rsidRPr="00491D87" w14:paraId="2B53AB8B" w14:textId="77777777" w:rsidTr="00CC2D00">
        <w:trPr>
          <w:cantSplit/>
        </w:trPr>
        <w:tc>
          <w:tcPr>
            <w:tcW w:w="4332" w:type="dxa"/>
            <w:gridSpan w:val="3"/>
            <w:shd w:val="clear" w:color="auto" w:fill="D9D9D9" w:themeFill="background1" w:themeFillShade="D9"/>
          </w:tcPr>
          <w:p w14:paraId="208D4E41" w14:textId="77777777" w:rsidR="00653E5E" w:rsidRPr="00491D87" w:rsidRDefault="00653E5E" w:rsidP="00CC2D00">
            <w:pPr>
              <w:keepNext/>
              <w:contextualSpacing/>
              <w:rPr>
                <w:bCs/>
                <w:szCs w:val="24"/>
              </w:rPr>
            </w:pPr>
          </w:p>
        </w:tc>
        <w:tc>
          <w:tcPr>
            <w:tcW w:w="2792" w:type="dxa"/>
            <w:gridSpan w:val="4"/>
            <w:shd w:val="clear" w:color="auto" w:fill="D9D9D9" w:themeFill="background1" w:themeFillShade="D9"/>
          </w:tcPr>
          <w:p w14:paraId="67FFC969" w14:textId="77777777" w:rsidR="00653E5E" w:rsidRPr="00491D87" w:rsidRDefault="00653E5E" w:rsidP="005653CF">
            <w:pPr>
              <w:contextualSpacing/>
              <w:jc w:val="center"/>
              <w:rPr>
                <w:szCs w:val="24"/>
              </w:rPr>
            </w:pPr>
            <w:r w:rsidRPr="00491D87">
              <w:rPr>
                <w:szCs w:val="24"/>
              </w:rPr>
              <w:t>Please specify as appropriate</w:t>
            </w:r>
          </w:p>
        </w:tc>
        <w:tc>
          <w:tcPr>
            <w:tcW w:w="2524" w:type="dxa"/>
            <w:gridSpan w:val="4"/>
            <w:shd w:val="clear" w:color="auto" w:fill="D9D9D9" w:themeFill="background1" w:themeFillShade="D9"/>
          </w:tcPr>
          <w:p w14:paraId="15D494F4" w14:textId="77777777" w:rsidR="00D845C4" w:rsidRDefault="00D845C4" w:rsidP="005653CF">
            <w:pPr>
              <w:contextualSpacing/>
              <w:jc w:val="center"/>
              <w:rPr>
                <w:szCs w:val="24"/>
              </w:rPr>
            </w:pPr>
            <w:r>
              <w:rPr>
                <w:szCs w:val="24"/>
              </w:rPr>
              <w:t>Amount</w:t>
            </w:r>
          </w:p>
          <w:p w14:paraId="5ADEAB04" w14:textId="17630C8A" w:rsidR="00653E5E" w:rsidRPr="00491D87" w:rsidRDefault="00653E5E" w:rsidP="005653CF">
            <w:pPr>
              <w:contextualSpacing/>
              <w:jc w:val="center"/>
              <w:rPr>
                <w:szCs w:val="24"/>
              </w:rPr>
            </w:pPr>
            <w:r w:rsidRPr="00491D87">
              <w:rPr>
                <w:szCs w:val="24"/>
              </w:rPr>
              <w:t>(in million USD)</w:t>
            </w:r>
          </w:p>
        </w:tc>
      </w:tr>
      <w:tr w:rsidR="00653E5E" w:rsidRPr="00491D87" w14:paraId="50066E47" w14:textId="77777777" w:rsidTr="00CC2D00">
        <w:trPr>
          <w:cantSplit/>
        </w:trPr>
        <w:tc>
          <w:tcPr>
            <w:tcW w:w="4332" w:type="dxa"/>
            <w:gridSpan w:val="3"/>
            <w:shd w:val="clear" w:color="auto" w:fill="D9D9D9" w:themeFill="background1" w:themeFillShade="D9"/>
          </w:tcPr>
          <w:p w14:paraId="43E8CD56" w14:textId="5E2D2902" w:rsidR="00653E5E" w:rsidRPr="00491D87" w:rsidRDefault="00A45D3E" w:rsidP="00CC2D00">
            <w:pPr>
              <w:keepNext/>
            </w:pPr>
            <w:r w:rsidRPr="00491D87">
              <w:t>MDB 1</w:t>
            </w:r>
          </w:p>
        </w:tc>
        <w:tc>
          <w:tcPr>
            <w:tcW w:w="2792" w:type="dxa"/>
            <w:gridSpan w:val="4"/>
          </w:tcPr>
          <w:p w14:paraId="551A2DEA" w14:textId="323622C9" w:rsidR="00653E5E" w:rsidRPr="00491D87" w:rsidRDefault="000937E9" w:rsidP="005653CF">
            <w:pPr>
              <w:contextualSpacing/>
              <w:jc w:val="center"/>
              <w:rPr>
                <w:szCs w:val="24"/>
              </w:rPr>
            </w:pPr>
            <w:r>
              <w:rPr>
                <w:szCs w:val="24"/>
              </w:rPr>
              <w:t>IDB</w:t>
            </w:r>
          </w:p>
        </w:tc>
        <w:tc>
          <w:tcPr>
            <w:tcW w:w="2524" w:type="dxa"/>
            <w:gridSpan w:val="4"/>
          </w:tcPr>
          <w:p w14:paraId="68604365" w14:textId="1A2D3E20" w:rsidR="00653E5E" w:rsidRPr="00491D87" w:rsidRDefault="00855F24" w:rsidP="00855F24">
            <w:pPr>
              <w:contextualSpacing/>
              <w:jc w:val="center"/>
              <w:rPr>
                <w:szCs w:val="24"/>
              </w:rPr>
            </w:pPr>
            <w:r>
              <w:rPr>
                <w:szCs w:val="24"/>
              </w:rPr>
              <w:t>10.11</w:t>
            </w:r>
          </w:p>
        </w:tc>
      </w:tr>
      <w:tr w:rsidR="00A45D3E" w:rsidRPr="00491D87" w14:paraId="3A12D9B0" w14:textId="77777777" w:rsidTr="00CC2D00">
        <w:trPr>
          <w:cantSplit/>
        </w:trPr>
        <w:tc>
          <w:tcPr>
            <w:tcW w:w="4332" w:type="dxa"/>
            <w:gridSpan w:val="3"/>
            <w:shd w:val="clear" w:color="auto" w:fill="D9D9D9" w:themeFill="background1" w:themeFillShade="D9"/>
          </w:tcPr>
          <w:p w14:paraId="18BE37D0" w14:textId="00360C3C" w:rsidR="00A45D3E" w:rsidRPr="00491D87" w:rsidRDefault="00A45D3E" w:rsidP="00CC2D00">
            <w:pPr>
              <w:keepNext/>
            </w:pPr>
            <w:r w:rsidRPr="00491D87">
              <w:t>MDB 2 (if any)</w:t>
            </w:r>
          </w:p>
        </w:tc>
        <w:tc>
          <w:tcPr>
            <w:tcW w:w="2792" w:type="dxa"/>
            <w:gridSpan w:val="4"/>
          </w:tcPr>
          <w:p w14:paraId="546FEB32" w14:textId="77777777" w:rsidR="00A45D3E" w:rsidRPr="00491D87" w:rsidRDefault="00A45D3E" w:rsidP="005653CF">
            <w:pPr>
              <w:contextualSpacing/>
              <w:jc w:val="center"/>
              <w:rPr>
                <w:szCs w:val="24"/>
              </w:rPr>
            </w:pPr>
          </w:p>
        </w:tc>
        <w:tc>
          <w:tcPr>
            <w:tcW w:w="2524" w:type="dxa"/>
            <w:gridSpan w:val="4"/>
          </w:tcPr>
          <w:p w14:paraId="649EC5B0" w14:textId="77777777" w:rsidR="00A45D3E" w:rsidRPr="00491D87" w:rsidRDefault="00A45D3E" w:rsidP="005653CF">
            <w:pPr>
              <w:contextualSpacing/>
              <w:jc w:val="center"/>
              <w:rPr>
                <w:szCs w:val="24"/>
              </w:rPr>
            </w:pPr>
          </w:p>
        </w:tc>
      </w:tr>
      <w:tr w:rsidR="00653E5E" w:rsidRPr="00491D87" w14:paraId="34668F76" w14:textId="77777777" w:rsidTr="00CC2D00">
        <w:trPr>
          <w:cantSplit/>
        </w:trPr>
        <w:tc>
          <w:tcPr>
            <w:tcW w:w="4332" w:type="dxa"/>
            <w:gridSpan w:val="3"/>
            <w:shd w:val="clear" w:color="auto" w:fill="D9D9D9" w:themeFill="background1" w:themeFillShade="D9"/>
          </w:tcPr>
          <w:p w14:paraId="21C18BE9" w14:textId="18D24831" w:rsidR="00653E5E" w:rsidRPr="00491D87" w:rsidRDefault="00A45D3E" w:rsidP="00CC2D00">
            <w:pPr>
              <w:keepNext/>
            </w:pPr>
            <w:r w:rsidRPr="00491D87">
              <w:t>Government</w:t>
            </w:r>
          </w:p>
        </w:tc>
        <w:tc>
          <w:tcPr>
            <w:tcW w:w="2792" w:type="dxa"/>
            <w:gridSpan w:val="4"/>
          </w:tcPr>
          <w:p w14:paraId="192135A0" w14:textId="77777777" w:rsidR="00653E5E" w:rsidRPr="00491D87" w:rsidRDefault="00653E5E" w:rsidP="005653CF">
            <w:pPr>
              <w:contextualSpacing/>
              <w:jc w:val="center"/>
              <w:rPr>
                <w:szCs w:val="24"/>
              </w:rPr>
            </w:pPr>
          </w:p>
        </w:tc>
        <w:tc>
          <w:tcPr>
            <w:tcW w:w="2524" w:type="dxa"/>
            <w:gridSpan w:val="4"/>
          </w:tcPr>
          <w:p w14:paraId="2A12F5A5" w14:textId="3A274258" w:rsidR="00653E5E" w:rsidRPr="00491D87" w:rsidRDefault="00855F24" w:rsidP="00855F24">
            <w:pPr>
              <w:contextualSpacing/>
              <w:jc w:val="center"/>
              <w:rPr>
                <w:szCs w:val="24"/>
              </w:rPr>
            </w:pPr>
            <w:r>
              <w:rPr>
                <w:szCs w:val="24"/>
              </w:rPr>
              <w:t>1.015</w:t>
            </w:r>
          </w:p>
        </w:tc>
      </w:tr>
      <w:tr w:rsidR="00653E5E" w:rsidRPr="00491D87" w14:paraId="145482C9" w14:textId="77777777" w:rsidTr="00CC2D00">
        <w:trPr>
          <w:cantSplit/>
        </w:trPr>
        <w:tc>
          <w:tcPr>
            <w:tcW w:w="4332" w:type="dxa"/>
            <w:gridSpan w:val="3"/>
            <w:shd w:val="clear" w:color="auto" w:fill="D9D9D9" w:themeFill="background1" w:themeFillShade="D9"/>
          </w:tcPr>
          <w:p w14:paraId="5D9A7782" w14:textId="77777777" w:rsidR="00653E5E" w:rsidRPr="00491D87" w:rsidRDefault="00653E5E" w:rsidP="00CC2D00">
            <w:pPr>
              <w:keepNext/>
            </w:pPr>
            <w:r w:rsidRPr="00491D87">
              <w:t>Private Sector</w:t>
            </w:r>
          </w:p>
        </w:tc>
        <w:tc>
          <w:tcPr>
            <w:tcW w:w="2792" w:type="dxa"/>
            <w:gridSpan w:val="4"/>
          </w:tcPr>
          <w:p w14:paraId="09E7A7AC" w14:textId="77777777" w:rsidR="00653E5E" w:rsidRPr="00491D87" w:rsidRDefault="00653E5E" w:rsidP="005653CF">
            <w:pPr>
              <w:contextualSpacing/>
              <w:jc w:val="center"/>
              <w:rPr>
                <w:szCs w:val="24"/>
              </w:rPr>
            </w:pPr>
          </w:p>
        </w:tc>
        <w:tc>
          <w:tcPr>
            <w:tcW w:w="2524" w:type="dxa"/>
            <w:gridSpan w:val="4"/>
          </w:tcPr>
          <w:p w14:paraId="1718251D" w14:textId="77777777" w:rsidR="00653E5E" w:rsidRPr="00491D87" w:rsidRDefault="00653E5E" w:rsidP="005653CF">
            <w:pPr>
              <w:contextualSpacing/>
              <w:jc w:val="center"/>
              <w:rPr>
                <w:szCs w:val="24"/>
              </w:rPr>
            </w:pPr>
          </w:p>
        </w:tc>
      </w:tr>
      <w:tr w:rsidR="00653E5E" w:rsidRPr="00491D87" w14:paraId="1FDB5A90" w14:textId="77777777" w:rsidTr="00CC2D00">
        <w:trPr>
          <w:cantSplit/>
        </w:trPr>
        <w:tc>
          <w:tcPr>
            <w:tcW w:w="4332" w:type="dxa"/>
            <w:gridSpan w:val="3"/>
            <w:shd w:val="clear" w:color="auto" w:fill="D9D9D9" w:themeFill="background1" w:themeFillShade="D9"/>
          </w:tcPr>
          <w:p w14:paraId="092A03CF" w14:textId="77777777" w:rsidR="00653E5E" w:rsidRPr="00491D87" w:rsidRDefault="00653E5E" w:rsidP="00CC2D00">
            <w:pPr>
              <w:keepNext/>
            </w:pPr>
            <w:r w:rsidRPr="00491D87">
              <w:t>Bilateral</w:t>
            </w:r>
          </w:p>
        </w:tc>
        <w:tc>
          <w:tcPr>
            <w:tcW w:w="2792" w:type="dxa"/>
            <w:gridSpan w:val="4"/>
          </w:tcPr>
          <w:p w14:paraId="2BE0C4D0" w14:textId="77777777" w:rsidR="00653E5E" w:rsidRPr="00491D87" w:rsidRDefault="00653E5E" w:rsidP="005653CF">
            <w:pPr>
              <w:contextualSpacing/>
              <w:jc w:val="center"/>
              <w:rPr>
                <w:szCs w:val="24"/>
              </w:rPr>
            </w:pPr>
          </w:p>
        </w:tc>
        <w:tc>
          <w:tcPr>
            <w:tcW w:w="2524" w:type="dxa"/>
            <w:gridSpan w:val="4"/>
          </w:tcPr>
          <w:p w14:paraId="68EB2445" w14:textId="77777777" w:rsidR="00653E5E" w:rsidRPr="00491D87" w:rsidRDefault="00653E5E" w:rsidP="005653CF">
            <w:pPr>
              <w:contextualSpacing/>
              <w:jc w:val="center"/>
              <w:rPr>
                <w:szCs w:val="24"/>
              </w:rPr>
            </w:pPr>
          </w:p>
        </w:tc>
      </w:tr>
      <w:tr w:rsidR="00653E5E" w:rsidRPr="00491D87" w14:paraId="27A409BF" w14:textId="77777777" w:rsidTr="00CC2D00">
        <w:trPr>
          <w:cantSplit/>
        </w:trPr>
        <w:tc>
          <w:tcPr>
            <w:tcW w:w="4332" w:type="dxa"/>
            <w:gridSpan w:val="3"/>
            <w:shd w:val="clear" w:color="auto" w:fill="D9D9D9" w:themeFill="background1" w:themeFillShade="D9"/>
          </w:tcPr>
          <w:p w14:paraId="3D2E0494" w14:textId="586D8AE7" w:rsidR="00653E5E" w:rsidRPr="00491D87" w:rsidRDefault="00653E5E" w:rsidP="00CC2D00">
            <w:pPr>
              <w:keepNext/>
            </w:pPr>
            <w:r w:rsidRPr="00491D87">
              <w:t>Others</w:t>
            </w:r>
            <w:r w:rsidR="00954156">
              <w:t xml:space="preserve"> (please specify)</w:t>
            </w:r>
          </w:p>
        </w:tc>
        <w:tc>
          <w:tcPr>
            <w:tcW w:w="2792" w:type="dxa"/>
            <w:gridSpan w:val="4"/>
          </w:tcPr>
          <w:p w14:paraId="2972796F" w14:textId="406FB5D1" w:rsidR="00653E5E" w:rsidRPr="00491D87" w:rsidRDefault="00653E5E" w:rsidP="005653CF">
            <w:pPr>
              <w:contextualSpacing/>
              <w:jc w:val="center"/>
              <w:rPr>
                <w:szCs w:val="24"/>
              </w:rPr>
            </w:pPr>
          </w:p>
        </w:tc>
        <w:tc>
          <w:tcPr>
            <w:tcW w:w="2524" w:type="dxa"/>
            <w:gridSpan w:val="4"/>
            <w:tcBorders>
              <w:bottom w:val="single" w:sz="4" w:space="0" w:color="auto"/>
            </w:tcBorders>
          </w:tcPr>
          <w:p w14:paraId="27A95EBC" w14:textId="7F68CAFD" w:rsidR="00653E5E" w:rsidRPr="00491D87" w:rsidRDefault="00855F24" w:rsidP="00855F24">
            <w:pPr>
              <w:contextualSpacing/>
              <w:jc w:val="center"/>
              <w:rPr>
                <w:szCs w:val="24"/>
              </w:rPr>
            </w:pPr>
            <w:r>
              <w:rPr>
                <w:bCs/>
                <w:sz w:val="18"/>
                <w:szCs w:val="24"/>
              </w:rPr>
              <w:t>(SREP</w:t>
            </w:r>
            <w:r w:rsidRPr="002E31E3">
              <w:rPr>
                <w:bCs/>
                <w:sz w:val="18"/>
                <w:szCs w:val="24"/>
              </w:rPr>
              <w:t xml:space="preserve"> co-financing excluded to avoid double-counting)</w:t>
            </w:r>
          </w:p>
        </w:tc>
      </w:tr>
      <w:tr w:rsidR="002C0E4B" w:rsidRPr="00491D87" w14:paraId="069C45E8" w14:textId="77777777" w:rsidTr="00CC2D00">
        <w:trPr>
          <w:cantSplit/>
        </w:trPr>
        <w:tc>
          <w:tcPr>
            <w:tcW w:w="4332" w:type="dxa"/>
            <w:gridSpan w:val="3"/>
            <w:shd w:val="clear" w:color="auto" w:fill="D9D9D9" w:themeFill="background1" w:themeFillShade="D9"/>
          </w:tcPr>
          <w:p w14:paraId="5B16A7BF" w14:textId="77777777" w:rsidR="002C0E4B" w:rsidRPr="00491D87" w:rsidRDefault="002C0E4B" w:rsidP="00954156">
            <w:pPr>
              <w:contextualSpacing/>
              <w:jc w:val="center"/>
              <w:rPr>
                <w:b/>
                <w:bCs/>
                <w:szCs w:val="24"/>
              </w:rPr>
            </w:pPr>
            <w:r w:rsidRPr="00491D87">
              <w:rPr>
                <w:b/>
                <w:bCs/>
                <w:szCs w:val="24"/>
              </w:rPr>
              <w:t>Total</w:t>
            </w:r>
          </w:p>
        </w:tc>
        <w:tc>
          <w:tcPr>
            <w:tcW w:w="2792" w:type="dxa"/>
            <w:gridSpan w:val="4"/>
            <w:tcBorders>
              <w:right w:val="nil"/>
            </w:tcBorders>
          </w:tcPr>
          <w:p w14:paraId="0F2E2F8B" w14:textId="77777777" w:rsidR="002C0E4B" w:rsidRPr="00491D87" w:rsidRDefault="002C0E4B" w:rsidP="005653CF">
            <w:pPr>
              <w:contextualSpacing/>
              <w:jc w:val="center"/>
              <w:rPr>
                <w:szCs w:val="24"/>
              </w:rPr>
            </w:pPr>
          </w:p>
        </w:tc>
        <w:tc>
          <w:tcPr>
            <w:tcW w:w="2524" w:type="dxa"/>
            <w:gridSpan w:val="4"/>
            <w:tcBorders>
              <w:left w:val="nil"/>
              <w:right w:val="single" w:sz="4" w:space="0" w:color="auto"/>
            </w:tcBorders>
          </w:tcPr>
          <w:p w14:paraId="79E2A336" w14:textId="6CDA9D50" w:rsidR="002C0E4B" w:rsidRPr="00491D87" w:rsidRDefault="00855F24" w:rsidP="00855F24">
            <w:pPr>
              <w:contextualSpacing/>
              <w:jc w:val="center"/>
              <w:rPr>
                <w:szCs w:val="24"/>
              </w:rPr>
            </w:pPr>
            <w:r>
              <w:rPr>
                <w:szCs w:val="24"/>
              </w:rPr>
              <w:t>11.125</w:t>
            </w:r>
          </w:p>
        </w:tc>
      </w:tr>
      <w:tr w:rsidR="003D57B9" w:rsidRPr="00491D87" w14:paraId="12B240C5" w14:textId="77777777" w:rsidTr="008E47FA">
        <w:trPr>
          <w:cantSplit/>
        </w:trPr>
        <w:tc>
          <w:tcPr>
            <w:tcW w:w="9648" w:type="dxa"/>
            <w:gridSpan w:val="11"/>
            <w:shd w:val="clear" w:color="auto" w:fill="FFC000"/>
          </w:tcPr>
          <w:p w14:paraId="34328F5A" w14:textId="7A1E539A" w:rsidR="003D57B9" w:rsidRPr="00832B53" w:rsidRDefault="00F03B60" w:rsidP="00CC2D00">
            <w:pPr>
              <w:pStyle w:val="ListParagraph"/>
              <w:keepNext/>
              <w:numPr>
                <w:ilvl w:val="0"/>
                <w:numId w:val="14"/>
              </w:numPr>
              <w:ind w:left="360"/>
              <w:rPr>
                <w:b/>
                <w:szCs w:val="24"/>
              </w:rPr>
            </w:pPr>
            <w:r w:rsidRPr="00832B53">
              <w:rPr>
                <w:b/>
                <w:szCs w:val="24"/>
              </w:rPr>
              <w:t>Expected Date of MDB Approval</w:t>
            </w:r>
          </w:p>
        </w:tc>
      </w:tr>
      <w:tr w:rsidR="003D57B9" w:rsidRPr="00491D87" w14:paraId="03260B8E" w14:textId="77777777" w:rsidTr="008E47FA">
        <w:trPr>
          <w:cantSplit/>
        </w:trPr>
        <w:tc>
          <w:tcPr>
            <w:tcW w:w="9648" w:type="dxa"/>
            <w:gridSpan w:val="11"/>
          </w:tcPr>
          <w:p w14:paraId="4823093C" w14:textId="13E55B38" w:rsidR="00850C58" w:rsidRPr="00491D87" w:rsidRDefault="00870168" w:rsidP="005653CF">
            <w:pPr>
              <w:contextualSpacing/>
              <w:rPr>
                <w:szCs w:val="24"/>
              </w:rPr>
            </w:pPr>
            <w:r w:rsidRPr="000C4901">
              <w:rPr>
                <w:szCs w:val="24"/>
              </w:rPr>
              <w:t>September 2016</w:t>
            </w:r>
          </w:p>
        </w:tc>
      </w:tr>
    </w:tbl>
    <w:p w14:paraId="7240448B" w14:textId="77777777" w:rsidR="00855F24" w:rsidRDefault="00855F24" w:rsidP="00FC0C54">
      <w:pPr>
        <w:contextualSpacing/>
        <w:rPr>
          <w:b/>
          <w:sz w:val="20"/>
          <w:szCs w:val="20"/>
        </w:rPr>
      </w:pPr>
    </w:p>
    <w:p w14:paraId="26A96CB6" w14:textId="77777777" w:rsidR="00FC0C54" w:rsidRPr="007951F6" w:rsidRDefault="00FC0C54" w:rsidP="00FC0C54">
      <w:pPr>
        <w:contextualSpacing/>
        <w:rPr>
          <w:b/>
          <w:sz w:val="20"/>
          <w:szCs w:val="20"/>
        </w:rPr>
      </w:pPr>
      <w:r w:rsidRPr="007951F6">
        <w:rPr>
          <w:b/>
          <w:sz w:val="20"/>
          <w:szCs w:val="20"/>
        </w:rPr>
        <w:t>NOTES:</w:t>
      </w:r>
    </w:p>
    <w:p w14:paraId="4CBC58A9" w14:textId="5D2ED98D" w:rsidR="00805A2C" w:rsidRPr="00CF2826" w:rsidRDefault="00FC0C54" w:rsidP="00805A2C">
      <w:pPr>
        <w:contextualSpacing/>
        <w:rPr>
          <w:szCs w:val="24"/>
        </w:rPr>
      </w:pPr>
      <w:r w:rsidRPr="00CF2826">
        <w:rPr>
          <w:szCs w:val="24"/>
        </w:rPr>
        <w:t>[</w:t>
      </w:r>
      <w:proofErr w:type="gramStart"/>
      <w:r w:rsidRPr="00CF2826">
        <w:rPr>
          <w:szCs w:val="24"/>
        </w:rPr>
        <w:t>a</w:t>
      </w:r>
      <w:proofErr w:type="gramEnd"/>
      <w:r w:rsidRPr="00CF2826">
        <w:rPr>
          <w:szCs w:val="24"/>
        </w:rPr>
        <w:t xml:space="preserve">] </w:t>
      </w:r>
      <w:r w:rsidR="00970477" w:rsidRPr="00CF2826">
        <w:rPr>
          <w:szCs w:val="24"/>
        </w:rPr>
        <w:t xml:space="preserve">Note on </w:t>
      </w:r>
      <w:r w:rsidR="00CF2826">
        <w:rPr>
          <w:szCs w:val="24"/>
        </w:rPr>
        <w:t xml:space="preserve">the </w:t>
      </w:r>
      <w:r w:rsidR="00970477" w:rsidRPr="00CF2826">
        <w:rPr>
          <w:szCs w:val="24"/>
        </w:rPr>
        <w:t>attribution of results between CTF and SREP</w:t>
      </w:r>
      <w:r w:rsidR="00CF2826" w:rsidRPr="00CF2826">
        <w:rPr>
          <w:szCs w:val="24"/>
        </w:rPr>
        <w:t>:</w:t>
      </w:r>
    </w:p>
    <w:p w14:paraId="292D11C2" w14:textId="77777777" w:rsidR="00CF2826" w:rsidRDefault="00CF2826" w:rsidP="00CF2826">
      <w:pPr>
        <w:jc w:val="both"/>
        <w:rPr>
          <w:szCs w:val="24"/>
        </w:rPr>
      </w:pPr>
      <w:r>
        <w:rPr>
          <w:szCs w:val="24"/>
        </w:rPr>
        <w:t>S</w:t>
      </w:r>
      <w:r w:rsidRPr="005D623E">
        <w:rPr>
          <w:szCs w:val="24"/>
        </w:rPr>
        <w:t xml:space="preserve">ince the Program is requesting </w:t>
      </w:r>
      <w:r>
        <w:rPr>
          <w:szCs w:val="24"/>
        </w:rPr>
        <w:t xml:space="preserve">both </w:t>
      </w:r>
      <w:r w:rsidRPr="005D623E">
        <w:rPr>
          <w:szCs w:val="24"/>
        </w:rPr>
        <w:t xml:space="preserve">CTF </w:t>
      </w:r>
      <w:r>
        <w:rPr>
          <w:szCs w:val="24"/>
        </w:rPr>
        <w:t xml:space="preserve">and SREP </w:t>
      </w:r>
      <w:r w:rsidRPr="005D623E">
        <w:rPr>
          <w:szCs w:val="24"/>
        </w:rPr>
        <w:t>resources, in order to avoid double-counting in CIF-level reporting, the expected and actual results of the program will be divided between both funds commensurately to the amount of funding (USD 10 million from CTF and USD 12 million from SREP)</w:t>
      </w:r>
      <w:r>
        <w:rPr>
          <w:szCs w:val="24"/>
        </w:rPr>
        <w:t>. The expected results are therefore as follows:</w:t>
      </w:r>
    </w:p>
    <w:tbl>
      <w:tblPr>
        <w:tblStyle w:val="TableGrid"/>
        <w:tblW w:w="0" w:type="auto"/>
        <w:tblCellMar>
          <w:left w:w="43" w:type="dxa"/>
          <w:right w:w="43" w:type="dxa"/>
        </w:tblCellMar>
        <w:tblLook w:val="04A0" w:firstRow="1" w:lastRow="0" w:firstColumn="1" w:lastColumn="0" w:noHBand="0" w:noVBand="1"/>
      </w:tblPr>
      <w:tblGrid>
        <w:gridCol w:w="5395"/>
        <w:gridCol w:w="1296"/>
        <w:gridCol w:w="1296"/>
        <w:gridCol w:w="1296"/>
      </w:tblGrid>
      <w:tr w:rsidR="00CF2826" w14:paraId="7C70782E" w14:textId="77777777" w:rsidTr="00D31E3D">
        <w:tc>
          <w:tcPr>
            <w:tcW w:w="5395" w:type="dxa"/>
            <w:vAlign w:val="center"/>
          </w:tcPr>
          <w:p w14:paraId="410F0D07" w14:textId="77777777" w:rsidR="00CF2826" w:rsidRPr="00FA77DB" w:rsidRDefault="00CF2826" w:rsidP="00D31E3D">
            <w:pPr>
              <w:jc w:val="center"/>
              <w:rPr>
                <w:rFonts w:ascii="Arial" w:hAnsi="Arial" w:cs="Arial"/>
                <w:b/>
                <w:sz w:val="18"/>
                <w:szCs w:val="18"/>
              </w:rPr>
            </w:pPr>
            <w:r w:rsidRPr="00FA77DB">
              <w:rPr>
                <w:rFonts w:ascii="Arial" w:hAnsi="Arial" w:cs="Arial"/>
                <w:b/>
                <w:sz w:val="18"/>
                <w:szCs w:val="18"/>
              </w:rPr>
              <w:t>Indicator</w:t>
            </w:r>
          </w:p>
        </w:tc>
        <w:tc>
          <w:tcPr>
            <w:tcW w:w="1296" w:type="dxa"/>
            <w:vAlign w:val="center"/>
          </w:tcPr>
          <w:p w14:paraId="79739F4E" w14:textId="77777777" w:rsidR="00CF2826" w:rsidRPr="00FA77DB" w:rsidRDefault="00CF2826" w:rsidP="00D31E3D">
            <w:pPr>
              <w:jc w:val="center"/>
              <w:rPr>
                <w:rFonts w:ascii="Arial" w:hAnsi="Arial" w:cs="Arial"/>
                <w:b/>
                <w:sz w:val="18"/>
                <w:szCs w:val="18"/>
              </w:rPr>
            </w:pPr>
            <w:r w:rsidRPr="00FA77DB">
              <w:rPr>
                <w:rFonts w:ascii="Arial" w:hAnsi="Arial" w:cs="Arial"/>
                <w:b/>
                <w:sz w:val="18"/>
                <w:szCs w:val="18"/>
              </w:rPr>
              <w:t>Total</w:t>
            </w:r>
          </w:p>
        </w:tc>
        <w:tc>
          <w:tcPr>
            <w:tcW w:w="1296" w:type="dxa"/>
            <w:vAlign w:val="center"/>
          </w:tcPr>
          <w:p w14:paraId="63B36467" w14:textId="77777777" w:rsidR="00CF2826" w:rsidRPr="00FA77DB" w:rsidRDefault="00CF2826" w:rsidP="00D31E3D">
            <w:pPr>
              <w:jc w:val="center"/>
              <w:rPr>
                <w:rFonts w:ascii="Arial" w:hAnsi="Arial" w:cs="Arial"/>
                <w:b/>
                <w:sz w:val="18"/>
                <w:szCs w:val="18"/>
              </w:rPr>
            </w:pPr>
            <w:r w:rsidRPr="00FA77DB">
              <w:rPr>
                <w:rFonts w:ascii="Arial" w:hAnsi="Arial" w:cs="Arial"/>
                <w:b/>
                <w:sz w:val="18"/>
                <w:szCs w:val="18"/>
              </w:rPr>
              <w:t>Attributable to CTF</w:t>
            </w:r>
          </w:p>
        </w:tc>
        <w:tc>
          <w:tcPr>
            <w:tcW w:w="1296" w:type="dxa"/>
            <w:vAlign w:val="center"/>
          </w:tcPr>
          <w:p w14:paraId="741FA100" w14:textId="77777777" w:rsidR="00CF2826" w:rsidRPr="00FA77DB" w:rsidRDefault="00CF2826" w:rsidP="00D31E3D">
            <w:pPr>
              <w:jc w:val="center"/>
              <w:rPr>
                <w:rFonts w:ascii="Arial" w:hAnsi="Arial" w:cs="Arial"/>
                <w:b/>
                <w:sz w:val="18"/>
                <w:szCs w:val="18"/>
              </w:rPr>
            </w:pPr>
            <w:r w:rsidRPr="00FA77DB">
              <w:rPr>
                <w:rFonts w:ascii="Arial" w:hAnsi="Arial" w:cs="Arial"/>
                <w:b/>
                <w:sz w:val="18"/>
                <w:szCs w:val="18"/>
              </w:rPr>
              <w:t>Attributable to SREP</w:t>
            </w:r>
          </w:p>
        </w:tc>
      </w:tr>
      <w:tr w:rsidR="00CF2826" w14:paraId="0EC553EB" w14:textId="77777777" w:rsidTr="00D31E3D">
        <w:tc>
          <w:tcPr>
            <w:tcW w:w="5395" w:type="dxa"/>
          </w:tcPr>
          <w:p w14:paraId="01BF6E3B" w14:textId="77777777" w:rsidR="00CF2826" w:rsidRPr="00FA77DB" w:rsidRDefault="00CF2826" w:rsidP="00D31E3D">
            <w:pPr>
              <w:rPr>
                <w:rFonts w:ascii="Arial" w:hAnsi="Arial" w:cs="Arial"/>
                <w:sz w:val="18"/>
                <w:szCs w:val="18"/>
              </w:rPr>
            </w:pPr>
            <w:r w:rsidRPr="00FA77DB">
              <w:rPr>
                <w:rFonts w:ascii="Arial" w:hAnsi="Arial" w:cs="Arial"/>
                <w:sz w:val="18"/>
                <w:szCs w:val="18"/>
              </w:rPr>
              <w:t>Capacity (MW)</w:t>
            </w:r>
          </w:p>
        </w:tc>
        <w:tc>
          <w:tcPr>
            <w:tcW w:w="1296" w:type="dxa"/>
          </w:tcPr>
          <w:p w14:paraId="27F4881B"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40</w:t>
            </w:r>
          </w:p>
        </w:tc>
        <w:tc>
          <w:tcPr>
            <w:tcW w:w="1296" w:type="dxa"/>
          </w:tcPr>
          <w:p w14:paraId="6B162FE7"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18</w:t>
            </w:r>
          </w:p>
        </w:tc>
        <w:tc>
          <w:tcPr>
            <w:tcW w:w="1296" w:type="dxa"/>
          </w:tcPr>
          <w:p w14:paraId="4D389552"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22</w:t>
            </w:r>
          </w:p>
        </w:tc>
      </w:tr>
      <w:tr w:rsidR="00CF2826" w14:paraId="204E0B0C" w14:textId="77777777" w:rsidTr="00D31E3D">
        <w:tc>
          <w:tcPr>
            <w:tcW w:w="5395" w:type="dxa"/>
          </w:tcPr>
          <w:p w14:paraId="43310BC7" w14:textId="77777777" w:rsidR="00CF2826" w:rsidRPr="00FA77DB" w:rsidRDefault="00CF2826" w:rsidP="00D31E3D">
            <w:pPr>
              <w:rPr>
                <w:rFonts w:ascii="Arial" w:hAnsi="Arial" w:cs="Arial"/>
                <w:sz w:val="18"/>
                <w:szCs w:val="18"/>
              </w:rPr>
            </w:pPr>
            <w:r w:rsidRPr="00FA77DB">
              <w:rPr>
                <w:rFonts w:ascii="Arial" w:hAnsi="Arial" w:cs="Arial"/>
                <w:sz w:val="18"/>
                <w:szCs w:val="18"/>
              </w:rPr>
              <w:t xml:space="preserve">Emission reductions over lifetime </w:t>
            </w:r>
            <w:r>
              <w:rPr>
                <w:rFonts w:ascii="Arial" w:hAnsi="Arial" w:cs="Arial"/>
                <w:sz w:val="18"/>
                <w:szCs w:val="18"/>
              </w:rPr>
              <w:t xml:space="preserve">of 30 years </w:t>
            </w:r>
            <w:r w:rsidRPr="00FA77DB">
              <w:rPr>
                <w:rFonts w:ascii="Arial" w:hAnsi="Arial" w:cs="Arial"/>
                <w:sz w:val="18"/>
                <w:szCs w:val="18"/>
              </w:rPr>
              <w:t>(tons CO</w:t>
            </w:r>
            <w:r w:rsidRPr="00FA77DB">
              <w:rPr>
                <w:rFonts w:ascii="Arial" w:hAnsi="Arial" w:cs="Arial"/>
                <w:sz w:val="18"/>
                <w:szCs w:val="18"/>
                <w:vertAlign w:val="subscript"/>
              </w:rPr>
              <w:t>2</w:t>
            </w:r>
            <w:r w:rsidRPr="00FA77DB">
              <w:rPr>
                <w:rFonts w:ascii="Arial" w:hAnsi="Arial" w:cs="Arial"/>
                <w:sz w:val="18"/>
                <w:szCs w:val="18"/>
              </w:rPr>
              <w:t>e)</w:t>
            </w:r>
          </w:p>
        </w:tc>
        <w:tc>
          <w:tcPr>
            <w:tcW w:w="1296" w:type="dxa"/>
          </w:tcPr>
          <w:p w14:paraId="4B9DADFB"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5,933,820</w:t>
            </w:r>
          </w:p>
        </w:tc>
        <w:tc>
          <w:tcPr>
            <w:tcW w:w="1296" w:type="dxa"/>
          </w:tcPr>
          <w:p w14:paraId="7B28441B"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2,697,191</w:t>
            </w:r>
          </w:p>
        </w:tc>
        <w:tc>
          <w:tcPr>
            <w:tcW w:w="1296" w:type="dxa"/>
          </w:tcPr>
          <w:p w14:paraId="52C9BC6A"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3,236,629</w:t>
            </w:r>
          </w:p>
        </w:tc>
      </w:tr>
      <w:tr w:rsidR="00CF2826" w14:paraId="75E0DDEB" w14:textId="77777777" w:rsidTr="00D31E3D">
        <w:tc>
          <w:tcPr>
            <w:tcW w:w="5395" w:type="dxa"/>
          </w:tcPr>
          <w:p w14:paraId="6D0A8B59" w14:textId="77777777" w:rsidR="00CF2826" w:rsidRPr="00FA77DB" w:rsidRDefault="00CF2826" w:rsidP="00D31E3D">
            <w:pPr>
              <w:rPr>
                <w:rFonts w:ascii="Arial" w:hAnsi="Arial" w:cs="Arial"/>
                <w:sz w:val="18"/>
                <w:szCs w:val="18"/>
              </w:rPr>
            </w:pPr>
            <w:r w:rsidRPr="00FA77DB">
              <w:rPr>
                <w:rFonts w:ascii="Arial" w:hAnsi="Arial" w:cs="Arial"/>
                <w:sz w:val="18"/>
                <w:szCs w:val="18"/>
              </w:rPr>
              <w:t>Annual emission reductions (tons CO</w:t>
            </w:r>
            <w:r w:rsidRPr="00FA77DB">
              <w:rPr>
                <w:rFonts w:ascii="Arial" w:hAnsi="Arial" w:cs="Arial"/>
                <w:sz w:val="18"/>
                <w:szCs w:val="18"/>
                <w:vertAlign w:val="subscript"/>
              </w:rPr>
              <w:t>2</w:t>
            </w:r>
            <w:r w:rsidRPr="00FA77DB">
              <w:rPr>
                <w:rFonts w:ascii="Arial" w:hAnsi="Arial" w:cs="Arial"/>
                <w:sz w:val="18"/>
                <w:szCs w:val="18"/>
              </w:rPr>
              <w:t>e / year)</w:t>
            </w:r>
          </w:p>
        </w:tc>
        <w:tc>
          <w:tcPr>
            <w:tcW w:w="1296" w:type="dxa"/>
          </w:tcPr>
          <w:p w14:paraId="4890B3D1"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197,794</w:t>
            </w:r>
          </w:p>
        </w:tc>
        <w:tc>
          <w:tcPr>
            <w:tcW w:w="1296" w:type="dxa"/>
          </w:tcPr>
          <w:p w14:paraId="724F34B6"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89,906</w:t>
            </w:r>
          </w:p>
        </w:tc>
        <w:tc>
          <w:tcPr>
            <w:tcW w:w="1296" w:type="dxa"/>
          </w:tcPr>
          <w:p w14:paraId="63A61783"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107,888</w:t>
            </w:r>
          </w:p>
        </w:tc>
      </w:tr>
      <w:tr w:rsidR="00CF2826" w14:paraId="10B16390" w14:textId="77777777" w:rsidTr="00D31E3D">
        <w:tc>
          <w:tcPr>
            <w:tcW w:w="5395" w:type="dxa"/>
          </w:tcPr>
          <w:p w14:paraId="4EAE7EB3" w14:textId="77777777" w:rsidR="00CF2826" w:rsidRPr="00FA77DB" w:rsidRDefault="00CF2826" w:rsidP="00D31E3D">
            <w:pPr>
              <w:rPr>
                <w:rFonts w:ascii="Arial" w:hAnsi="Arial" w:cs="Arial"/>
                <w:sz w:val="18"/>
                <w:szCs w:val="18"/>
              </w:rPr>
            </w:pPr>
            <w:r w:rsidRPr="00FA77DB">
              <w:rPr>
                <w:rFonts w:ascii="Arial" w:hAnsi="Arial" w:cs="Arial"/>
                <w:sz w:val="18"/>
                <w:szCs w:val="18"/>
              </w:rPr>
              <w:t>Jobs created</w:t>
            </w:r>
          </w:p>
        </w:tc>
        <w:tc>
          <w:tcPr>
            <w:tcW w:w="1296" w:type="dxa"/>
          </w:tcPr>
          <w:p w14:paraId="173F7C4F"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45</w:t>
            </w:r>
          </w:p>
        </w:tc>
        <w:tc>
          <w:tcPr>
            <w:tcW w:w="1296" w:type="dxa"/>
          </w:tcPr>
          <w:p w14:paraId="7990B006"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20</w:t>
            </w:r>
          </w:p>
        </w:tc>
        <w:tc>
          <w:tcPr>
            <w:tcW w:w="1296" w:type="dxa"/>
          </w:tcPr>
          <w:p w14:paraId="3EBDC167"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25</w:t>
            </w:r>
          </w:p>
        </w:tc>
      </w:tr>
      <w:tr w:rsidR="00CF2826" w14:paraId="2F5296A5" w14:textId="77777777" w:rsidTr="00D31E3D">
        <w:tc>
          <w:tcPr>
            <w:tcW w:w="5395" w:type="dxa"/>
          </w:tcPr>
          <w:p w14:paraId="0045484F" w14:textId="77777777" w:rsidR="00CF2826" w:rsidRPr="00FA77DB" w:rsidRDefault="00CF2826" w:rsidP="00D31E3D">
            <w:pPr>
              <w:rPr>
                <w:rFonts w:ascii="Arial" w:hAnsi="Arial" w:cs="Arial"/>
                <w:sz w:val="18"/>
                <w:szCs w:val="18"/>
              </w:rPr>
            </w:pPr>
            <w:r w:rsidRPr="00FA77DB">
              <w:rPr>
                <w:rFonts w:ascii="Arial" w:hAnsi="Arial" w:cs="Arial"/>
                <w:sz w:val="18"/>
                <w:szCs w:val="18"/>
              </w:rPr>
              <w:t>IDB co-financing (USD million)</w:t>
            </w:r>
          </w:p>
        </w:tc>
        <w:tc>
          <w:tcPr>
            <w:tcW w:w="1296" w:type="dxa"/>
          </w:tcPr>
          <w:p w14:paraId="7CF3ACA0"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22.25</w:t>
            </w:r>
          </w:p>
        </w:tc>
        <w:tc>
          <w:tcPr>
            <w:tcW w:w="1296" w:type="dxa"/>
          </w:tcPr>
          <w:p w14:paraId="2B328398"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10.11</w:t>
            </w:r>
          </w:p>
        </w:tc>
        <w:tc>
          <w:tcPr>
            <w:tcW w:w="1296" w:type="dxa"/>
          </w:tcPr>
          <w:p w14:paraId="4BEF1DAF"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12.14</w:t>
            </w:r>
          </w:p>
        </w:tc>
      </w:tr>
      <w:tr w:rsidR="00CF2826" w14:paraId="4AFE7B57" w14:textId="77777777" w:rsidTr="00D31E3D">
        <w:tc>
          <w:tcPr>
            <w:tcW w:w="5395" w:type="dxa"/>
          </w:tcPr>
          <w:p w14:paraId="0E6A0A24" w14:textId="77777777" w:rsidR="00CF2826" w:rsidRPr="00FA77DB" w:rsidRDefault="00CF2826" w:rsidP="00D31E3D">
            <w:pPr>
              <w:rPr>
                <w:rFonts w:ascii="Arial" w:hAnsi="Arial" w:cs="Arial"/>
                <w:sz w:val="18"/>
                <w:szCs w:val="18"/>
              </w:rPr>
            </w:pPr>
            <w:r w:rsidRPr="00FA77DB">
              <w:rPr>
                <w:rFonts w:ascii="Arial" w:hAnsi="Arial" w:cs="Arial"/>
                <w:sz w:val="18"/>
                <w:szCs w:val="18"/>
              </w:rPr>
              <w:t>Government co-financing (USD million)</w:t>
            </w:r>
          </w:p>
        </w:tc>
        <w:tc>
          <w:tcPr>
            <w:tcW w:w="1296" w:type="dxa"/>
          </w:tcPr>
          <w:p w14:paraId="1513C486"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2.234</w:t>
            </w:r>
          </w:p>
        </w:tc>
        <w:tc>
          <w:tcPr>
            <w:tcW w:w="1296" w:type="dxa"/>
          </w:tcPr>
          <w:p w14:paraId="3266FA0F"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1.015</w:t>
            </w:r>
          </w:p>
        </w:tc>
        <w:tc>
          <w:tcPr>
            <w:tcW w:w="1296" w:type="dxa"/>
          </w:tcPr>
          <w:p w14:paraId="3393DFD3" w14:textId="77777777" w:rsidR="00CF2826" w:rsidRPr="00FA77DB" w:rsidRDefault="00CF2826" w:rsidP="00D31E3D">
            <w:pPr>
              <w:jc w:val="center"/>
              <w:rPr>
                <w:rFonts w:ascii="Arial" w:hAnsi="Arial" w:cs="Arial"/>
                <w:sz w:val="18"/>
                <w:szCs w:val="18"/>
              </w:rPr>
            </w:pPr>
            <w:r w:rsidRPr="00FA77DB">
              <w:rPr>
                <w:rFonts w:ascii="Arial" w:hAnsi="Arial" w:cs="Arial"/>
                <w:sz w:val="18"/>
                <w:szCs w:val="18"/>
              </w:rPr>
              <w:t>1.219</w:t>
            </w:r>
          </w:p>
        </w:tc>
      </w:tr>
    </w:tbl>
    <w:p w14:paraId="7A79AE9F" w14:textId="77777777" w:rsidR="00CF2826" w:rsidRPr="00970477" w:rsidRDefault="00CF2826" w:rsidP="00CF2826">
      <w:bookmarkStart w:id="0" w:name="_GoBack"/>
      <w:bookmarkEnd w:id="0"/>
    </w:p>
    <w:sectPr w:rsidR="00CF2826" w:rsidRPr="009704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69E1F" w14:textId="77777777" w:rsidR="001B05C1" w:rsidRDefault="001B05C1" w:rsidP="000A01FF">
      <w:r>
        <w:separator/>
      </w:r>
    </w:p>
  </w:endnote>
  <w:endnote w:type="continuationSeparator" w:id="0">
    <w:p w14:paraId="39102A81" w14:textId="77777777" w:rsidR="001B05C1" w:rsidRDefault="001B05C1" w:rsidP="000A0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80E52" w14:textId="77777777" w:rsidR="001B05C1" w:rsidRDefault="001B05C1" w:rsidP="000A01FF">
      <w:r>
        <w:separator/>
      </w:r>
    </w:p>
  </w:footnote>
  <w:footnote w:type="continuationSeparator" w:id="0">
    <w:p w14:paraId="4DAA6C21" w14:textId="77777777" w:rsidR="001B05C1" w:rsidRDefault="001B05C1" w:rsidP="000A0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75838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FC39A8"/>
    <w:multiLevelType w:val="hybridMultilevel"/>
    <w:tmpl w:val="9CA84CDA"/>
    <w:lvl w:ilvl="0" w:tplc="8560514A">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568660B"/>
    <w:multiLevelType w:val="hybridMultilevel"/>
    <w:tmpl w:val="1A26A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716F6"/>
    <w:multiLevelType w:val="hybridMultilevel"/>
    <w:tmpl w:val="1B061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6E4D67"/>
    <w:multiLevelType w:val="hybridMultilevel"/>
    <w:tmpl w:val="39725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DD1493"/>
    <w:multiLevelType w:val="hybridMultilevel"/>
    <w:tmpl w:val="0614AD22"/>
    <w:lvl w:ilvl="0" w:tplc="54221884">
      <w:start w:val="1"/>
      <w:numFmt w:val="decimal"/>
      <w:lvlText w:val="(%1)"/>
      <w:lvlJc w:val="left"/>
      <w:pPr>
        <w:ind w:left="4770" w:hanging="360"/>
      </w:pPr>
      <w:rPr>
        <w:rFonts w:hint="default"/>
      </w:rPr>
    </w:lvl>
    <w:lvl w:ilvl="1" w:tplc="04090019" w:tentative="1">
      <w:start w:val="1"/>
      <w:numFmt w:val="lowerLetter"/>
      <w:lvlText w:val="%2."/>
      <w:lvlJc w:val="left"/>
      <w:pPr>
        <w:ind w:left="5490" w:hanging="360"/>
      </w:pPr>
    </w:lvl>
    <w:lvl w:ilvl="2" w:tplc="0409001B" w:tentative="1">
      <w:start w:val="1"/>
      <w:numFmt w:val="lowerRoman"/>
      <w:lvlText w:val="%3."/>
      <w:lvlJc w:val="right"/>
      <w:pPr>
        <w:ind w:left="6210" w:hanging="180"/>
      </w:pPr>
    </w:lvl>
    <w:lvl w:ilvl="3" w:tplc="0409000F" w:tentative="1">
      <w:start w:val="1"/>
      <w:numFmt w:val="decimal"/>
      <w:lvlText w:val="%4."/>
      <w:lvlJc w:val="left"/>
      <w:pPr>
        <w:ind w:left="6930" w:hanging="360"/>
      </w:pPr>
    </w:lvl>
    <w:lvl w:ilvl="4" w:tplc="04090019" w:tentative="1">
      <w:start w:val="1"/>
      <w:numFmt w:val="lowerLetter"/>
      <w:lvlText w:val="%5."/>
      <w:lvlJc w:val="left"/>
      <w:pPr>
        <w:ind w:left="7650" w:hanging="360"/>
      </w:pPr>
    </w:lvl>
    <w:lvl w:ilvl="5" w:tplc="0409001B" w:tentative="1">
      <w:start w:val="1"/>
      <w:numFmt w:val="lowerRoman"/>
      <w:lvlText w:val="%6."/>
      <w:lvlJc w:val="right"/>
      <w:pPr>
        <w:ind w:left="8370" w:hanging="180"/>
      </w:pPr>
    </w:lvl>
    <w:lvl w:ilvl="6" w:tplc="0409000F" w:tentative="1">
      <w:start w:val="1"/>
      <w:numFmt w:val="decimal"/>
      <w:lvlText w:val="%7."/>
      <w:lvlJc w:val="left"/>
      <w:pPr>
        <w:ind w:left="9090" w:hanging="360"/>
      </w:pPr>
    </w:lvl>
    <w:lvl w:ilvl="7" w:tplc="04090019" w:tentative="1">
      <w:start w:val="1"/>
      <w:numFmt w:val="lowerLetter"/>
      <w:lvlText w:val="%8."/>
      <w:lvlJc w:val="left"/>
      <w:pPr>
        <w:ind w:left="9810" w:hanging="360"/>
      </w:pPr>
    </w:lvl>
    <w:lvl w:ilvl="8" w:tplc="0409001B" w:tentative="1">
      <w:start w:val="1"/>
      <w:numFmt w:val="lowerRoman"/>
      <w:lvlText w:val="%9."/>
      <w:lvlJc w:val="right"/>
      <w:pPr>
        <w:ind w:left="10530" w:hanging="180"/>
      </w:pPr>
    </w:lvl>
  </w:abstractNum>
  <w:abstractNum w:abstractNumId="6">
    <w:nsid w:val="36CA2517"/>
    <w:multiLevelType w:val="hybridMultilevel"/>
    <w:tmpl w:val="B72C9AA0"/>
    <w:lvl w:ilvl="0" w:tplc="FF7E36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BB623A"/>
    <w:multiLevelType w:val="hybridMultilevel"/>
    <w:tmpl w:val="FC7C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D108C4"/>
    <w:multiLevelType w:val="hybridMultilevel"/>
    <w:tmpl w:val="006C7F32"/>
    <w:lvl w:ilvl="0" w:tplc="8F9487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61966"/>
    <w:multiLevelType w:val="hybridMultilevel"/>
    <w:tmpl w:val="439C2B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BE5D41"/>
    <w:multiLevelType w:val="hybridMultilevel"/>
    <w:tmpl w:val="7FC2CE4A"/>
    <w:lvl w:ilvl="0" w:tplc="F6305240">
      <w:start w:val="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E91B55"/>
    <w:multiLevelType w:val="hybridMultilevel"/>
    <w:tmpl w:val="39BE7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BE3B61"/>
    <w:multiLevelType w:val="hybridMultilevel"/>
    <w:tmpl w:val="F6945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F31F29"/>
    <w:multiLevelType w:val="hybridMultilevel"/>
    <w:tmpl w:val="410A81B8"/>
    <w:lvl w:ilvl="0" w:tplc="133E98F8">
      <w:start w:val="13"/>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75013D"/>
    <w:multiLevelType w:val="hybridMultilevel"/>
    <w:tmpl w:val="5C7A33A8"/>
    <w:lvl w:ilvl="0" w:tplc="8B941E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217521"/>
    <w:multiLevelType w:val="hybridMultilevel"/>
    <w:tmpl w:val="C230275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737980"/>
    <w:multiLevelType w:val="hybridMultilevel"/>
    <w:tmpl w:val="3EC68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79031F"/>
    <w:multiLevelType w:val="hybridMultilevel"/>
    <w:tmpl w:val="47E0B676"/>
    <w:lvl w:ilvl="0" w:tplc="63E6D470">
      <w:start w:val="1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4E1005"/>
    <w:multiLevelType w:val="hybridMultilevel"/>
    <w:tmpl w:val="76F6610C"/>
    <w:lvl w:ilvl="0" w:tplc="7554A1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644C99"/>
    <w:multiLevelType w:val="hybridMultilevel"/>
    <w:tmpl w:val="D5C2138C"/>
    <w:lvl w:ilvl="0" w:tplc="5472FDB2">
      <w:start w:val="1"/>
      <w:numFmt w:val="decimal"/>
      <w:lvlText w:val="%1."/>
      <w:lvlJc w:val="left"/>
      <w:pPr>
        <w:tabs>
          <w:tab w:val="num" w:pos="360"/>
        </w:tabs>
        <w:ind w:left="360" w:hanging="360"/>
      </w:pPr>
      <w:rPr>
        <w:rFonts w:cs="Times New Roman"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D34C0C"/>
    <w:multiLevelType w:val="hybridMultilevel"/>
    <w:tmpl w:val="1FAE9FBC"/>
    <w:lvl w:ilvl="0" w:tplc="1D743C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14"/>
  </w:num>
  <w:num w:numId="4">
    <w:abstractNumId w:val="12"/>
  </w:num>
  <w:num w:numId="5">
    <w:abstractNumId w:val="6"/>
  </w:num>
  <w:num w:numId="6">
    <w:abstractNumId w:val="5"/>
  </w:num>
  <w:num w:numId="7">
    <w:abstractNumId w:val="20"/>
  </w:num>
  <w:num w:numId="8">
    <w:abstractNumId w:val="8"/>
  </w:num>
  <w:num w:numId="9">
    <w:abstractNumId w:val="13"/>
  </w:num>
  <w:num w:numId="10">
    <w:abstractNumId w:val="0"/>
  </w:num>
  <w:num w:numId="11">
    <w:abstractNumId w:val="15"/>
  </w:num>
  <w:num w:numId="12">
    <w:abstractNumId w:val="1"/>
  </w:num>
  <w:num w:numId="13">
    <w:abstractNumId w:val="11"/>
  </w:num>
  <w:num w:numId="14">
    <w:abstractNumId w:val="17"/>
  </w:num>
  <w:num w:numId="15">
    <w:abstractNumId w:val="10"/>
  </w:num>
  <w:num w:numId="16">
    <w:abstractNumId w:val="2"/>
  </w:num>
  <w:num w:numId="17">
    <w:abstractNumId w:val="18"/>
  </w:num>
  <w:num w:numId="18">
    <w:abstractNumId w:val="4"/>
  </w:num>
  <w:num w:numId="19">
    <w:abstractNumId w:val="3"/>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1FF"/>
    <w:rsid w:val="00000FAF"/>
    <w:rsid w:val="00001688"/>
    <w:rsid w:val="00004F53"/>
    <w:rsid w:val="00006E20"/>
    <w:rsid w:val="00007A37"/>
    <w:rsid w:val="00007B2E"/>
    <w:rsid w:val="0001054C"/>
    <w:rsid w:val="000137B3"/>
    <w:rsid w:val="000152FA"/>
    <w:rsid w:val="00023926"/>
    <w:rsid w:val="00026397"/>
    <w:rsid w:val="00027362"/>
    <w:rsid w:val="00033245"/>
    <w:rsid w:val="00033983"/>
    <w:rsid w:val="00043D91"/>
    <w:rsid w:val="00043FE7"/>
    <w:rsid w:val="0004438D"/>
    <w:rsid w:val="00044DAB"/>
    <w:rsid w:val="00047B99"/>
    <w:rsid w:val="000600C3"/>
    <w:rsid w:val="000615E9"/>
    <w:rsid w:val="00061E82"/>
    <w:rsid w:val="00063098"/>
    <w:rsid w:val="00064A8D"/>
    <w:rsid w:val="00067E63"/>
    <w:rsid w:val="00073167"/>
    <w:rsid w:val="000737E1"/>
    <w:rsid w:val="00076070"/>
    <w:rsid w:val="0007736C"/>
    <w:rsid w:val="00077760"/>
    <w:rsid w:val="0008051E"/>
    <w:rsid w:val="00080EE3"/>
    <w:rsid w:val="0008167C"/>
    <w:rsid w:val="00081D93"/>
    <w:rsid w:val="000822BE"/>
    <w:rsid w:val="000832F7"/>
    <w:rsid w:val="00086AD7"/>
    <w:rsid w:val="00086EA2"/>
    <w:rsid w:val="00090682"/>
    <w:rsid w:val="00091224"/>
    <w:rsid w:val="000937E9"/>
    <w:rsid w:val="00094E1F"/>
    <w:rsid w:val="00094FF9"/>
    <w:rsid w:val="000969A1"/>
    <w:rsid w:val="00096DDC"/>
    <w:rsid w:val="000A01FF"/>
    <w:rsid w:val="000A4538"/>
    <w:rsid w:val="000B0DE0"/>
    <w:rsid w:val="000B232B"/>
    <w:rsid w:val="000B4144"/>
    <w:rsid w:val="000B4755"/>
    <w:rsid w:val="000B6474"/>
    <w:rsid w:val="000B78A3"/>
    <w:rsid w:val="000B7947"/>
    <w:rsid w:val="000C2018"/>
    <w:rsid w:val="000C4901"/>
    <w:rsid w:val="000C7E77"/>
    <w:rsid w:val="000D30CC"/>
    <w:rsid w:val="000D3ACF"/>
    <w:rsid w:val="000D3F71"/>
    <w:rsid w:val="000D48D8"/>
    <w:rsid w:val="000D69A5"/>
    <w:rsid w:val="000E6684"/>
    <w:rsid w:val="000E6F11"/>
    <w:rsid w:val="000F06F4"/>
    <w:rsid w:val="000F155D"/>
    <w:rsid w:val="000F194A"/>
    <w:rsid w:val="000F1A8D"/>
    <w:rsid w:val="00103BC0"/>
    <w:rsid w:val="00104D20"/>
    <w:rsid w:val="001056B6"/>
    <w:rsid w:val="0010704D"/>
    <w:rsid w:val="001077AF"/>
    <w:rsid w:val="00107CDD"/>
    <w:rsid w:val="001201BE"/>
    <w:rsid w:val="001226DF"/>
    <w:rsid w:val="00122A5E"/>
    <w:rsid w:val="00122D1B"/>
    <w:rsid w:val="0012727B"/>
    <w:rsid w:val="00127C88"/>
    <w:rsid w:val="0013271E"/>
    <w:rsid w:val="001331CE"/>
    <w:rsid w:val="00133738"/>
    <w:rsid w:val="00134307"/>
    <w:rsid w:val="0013645D"/>
    <w:rsid w:val="00136D15"/>
    <w:rsid w:val="0014250D"/>
    <w:rsid w:val="00146B28"/>
    <w:rsid w:val="0015067A"/>
    <w:rsid w:val="001522CA"/>
    <w:rsid w:val="00153345"/>
    <w:rsid w:val="00156524"/>
    <w:rsid w:val="00161818"/>
    <w:rsid w:val="00162F75"/>
    <w:rsid w:val="00164461"/>
    <w:rsid w:val="00172076"/>
    <w:rsid w:val="001749E1"/>
    <w:rsid w:val="001767E1"/>
    <w:rsid w:val="00177F5B"/>
    <w:rsid w:val="001802AB"/>
    <w:rsid w:val="00182875"/>
    <w:rsid w:val="00182C96"/>
    <w:rsid w:val="00192400"/>
    <w:rsid w:val="00193AE9"/>
    <w:rsid w:val="0019586C"/>
    <w:rsid w:val="001978F8"/>
    <w:rsid w:val="00197BA2"/>
    <w:rsid w:val="001A0058"/>
    <w:rsid w:val="001A06E9"/>
    <w:rsid w:val="001A1274"/>
    <w:rsid w:val="001A3AD2"/>
    <w:rsid w:val="001A42DA"/>
    <w:rsid w:val="001A79AA"/>
    <w:rsid w:val="001B05C1"/>
    <w:rsid w:val="001B1074"/>
    <w:rsid w:val="001B64B0"/>
    <w:rsid w:val="001C0700"/>
    <w:rsid w:val="001C376E"/>
    <w:rsid w:val="001C640B"/>
    <w:rsid w:val="001C6670"/>
    <w:rsid w:val="001C7D8D"/>
    <w:rsid w:val="001D435C"/>
    <w:rsid w:val="001D4D53"/>
    <w:rsid w:val="001D7B53"/>
    <w:rsid w:val="001E0F92"/>
    <w:rsid w:val="001E2A60"/>
    <w:rsid w:val="001E33F7"/>
    <w:rsid w:val="001E570E"/>
    <w:rsid w:val="001E68EA"/>
    <w:rsid w:val="001E70F7"/>
    <w:rsid w:val="001E71BF"/>
    <w:rsid w:val="001E7908"/>
    <w:rsid w:val="001E7C96"/>
    <w:rsid w:val="001F5F7A"/>
    <w:rsid w:val="001F7766"/>
    <w:rsid w:val="00203BEE"/>
    <w:rsid w:val="00204BC1"/>
    <w:rsid w:val="00204EFB"/>
    <w:rsid w:val="002055CD"/>
    <w:rsid w:val="0020613E"/>
    <w:rsid w:val="00206821"/>
    <w:rsid w:val="002102BE"/>
    <w:rsid w:val="002113C1"/>
    <w:rsid w:val="00211F95"/>
    <w:rsid w:val="002123BE"/>
    <w:rsid w:val="00212EA5"/>
    <w:rsid w:val="00220177"/>
    <w:rsid w:val="002224E9"/>
    <w:rsid w:val="002256B6"/>
    <w:rsid w:val="002336B8"/>
    <w:rsid w:val="00240AB8"/>
    <w:rsid w:val="002423E4"/>
    <w:rsid w:val="0024276C"/>
    <w:rsid w:val="00250105"/>
    <w:rsid w:val="00252447"/>
    <w:rsid w:val="0025260C"/>
    <w:rsid w:val="00254C0D"/>
    <w:rsid w:val="00254E70"/>
    <w:rsid w:val="00254F8C"/>
    <w:rsid w:val="002568D0"/>
    <w:rsid w:val="00257129"/>
    <w:rsid w:val="00261B8E"/>
    <w:rsid w:val="0026243E"/>
    <w:rsid w:val="00262ABC"/>
    <w:rsid w:val="00263705"/>
    <w:rsid w:val="0026410D"/>
    <w:rsid w:val="00266753"/>
    <w:rsid w:val="00266990"/>
    <w:rsid w:val="00276322"/>
    <w:rsid w:val="00276433"/>
    <w:rsid w:val="00276BE4"/>
    <w:rsid w:val="00280CAE"/>
    <w:rsid w:val="002811CA"/>
    <w:rsid w:val="002829C6"/>
    <w:rsid w:val="00283032"/>
    <w:rsid w:val="00284006"/>
    <w:rsid w:val="002845DA"/>
    <w:rsid w:val="00293BA2"/>
    <w:rsid w:val="002969DF"/>
    <w:rsid w:val="002A28E4"/>
    <w:rsid w:val="002A3F2C"/>
    <w:rsid w:val="002B1FCB"/>
    <w:rsid w:val="002B2643"/>
    <w:rsid w:val="002B2845"/>
    <w:rsid w:val="002B29A3"/>
    <w:rsid w:val="002B5922"/>
    <w:rsid w:val="002B7142"/>
    <w:rsid w:val="002C0E4B"/>
    <w:rsid w:val="002D1418"/>
    <w:rsid w:val="002D1819"/>
    <w:rsid w:val="002D1EE2"/>
    <w:rsid w:val="002D28C4"/>
    <w:rsid w:val="002D4BC9"/>
    <w:rsid w:val="002D4C29"/>
    <w:rsid w:val="002D5DC5"/>
    <w:rsid w:val="002D60A3"/>
    <w:rsid w:val="002E2DAA"/>
    <w:rsid w:val="002E2FA6"/>
    <w:rsid w:val="002E32C9"/>
    <w:rsid w:val="002F0C7D"/>
    <w:rsid w:val="002F1890"/>
    <w:rsid w:val="002F6E5A"/>
    <w:rsid w:val="003051BB"/>
    <w:rsid w:val="0030675E"/>
    <w:rsid w:val="00307160"/>
    <w:rsid w:val="00310707"/>
    <w:rsid w:val="00311443"/>
    <w:rsid w:val="00317398"/>
    <w:rsid w:val="003216CD"/>
    <w:rsid w:val="00321B27"/>
    <w:rsid w:val="003221CB"/>
    <w:rsid w:val="003245EA"/>
    <w:rsid w:val="00325722"/>
    <w:rsid w:val="003263CB"/>
    <w:rsid w:val="00330C29"/>
    <w:rsid w:val="00334350"/>
    <w:rsid w:val="00334F66"/>
    <w:rsid w:val="00337A25"/>
    <w:rsid w:val="0034008D"/>
    <w:rsid w:val="00341DC0"/>
    <w:rsid w:val="00342FCF"/>
    <w:rsid w:val="00346EAF"/>
    <w:rsid w:val="00347262"/>
    <w:rsid w:val="0034774E"/>
    <w:rsid w:val="00353719"/>
    <w:rsid w:val="0035563C"/>
    <w:rsid w:val="00355C3F"/>
    <w:rsid w:val="0036198E"/>
    <w:rsid w:val="00363857"/>
    <w:rsid w:val="0036694A"/>
    <w:rsid w:val="00374016"/>
    <w:rsid w:val="0037470E"/>
    <w:rsid w:val="00377E0F"/>
    <w:rsid w:val="0038156D"/>
    <w:rsid w:val="0038475E"/>
    <w:rsid w:val="00385532"/>
    <w:rsid w:val="00385D1E"/>
    <w:rsid w:val="00387B00"/>
    <w:rsid w:val="00390CBF"/>
    <w:rsid w:val="003925A5"/>
    <w:rsid w:val="00396434"/>
    <w:rsid w:val="003A056B"/>
    <w:rsid w:val="003B31EE"/>
    <w:rsid w:val="003B3231"/>
    <w:rsid w:val="003B5C1E"/>
    <w:rsid w:val="003B5D86"/>
    <w:rsid w:val="003C42CE"/>
    <w:rsid w:val="003C6BC4"/>
    <w:rsid w:val="003D0FE5"/>
    <w:rsid w:val="003D3555"/>
    <w:rsid w:val="003D4783"/>
    <w:rsid w:val="003D4DE2"/>
    <w:rsid w:val="003D57B9"/>
    <w:rsid w:val="003E3B67"/>
    <w:rsid w:val="003E4075"/>
    <w:rsid w:val="003E625F"/>
    <w:rsid w:val="003F1649"/>
    <w:rsid w:val="003F1B2B"/>
    <w:rsid w:val="003F1BF4"/>
    <w:rsid w:val="003F298E"/>
    <w:rsid w:val="003F4CD1"/>
    <w:rsid w:val="003F7797"/>
    <w:rsid w:val="00401631"/>
    <w:rsid w:val="00401ED7"/>
    <w:rsid w:val="004026B4"/>
    <w:rsid w:val="004030E5"/>
    <w:rsid w:val="004053E7"/>
    <w:rsid w:val="004129B1"/>
    <w:rsid w:val="00414F92"/>
    <w:rsid w:val="00420725"/>
    <w:rsid w:val="00421344"/>
    <w:rsid w:val="00424AD8"/>
    <w:rsid w:val="00425D5D"/>
    <w:rsid w:val="00425E77"/>
    <w:rsid w:val="00437320"/>
    <w:rsid w:val="00440A96"/>
    <w:rsid w:val="004423F4"/>
    <w:rsid w:val="00446ACD"/>
    <w:rsid w:val="00457465"/>
    <w:rsid w:val="004579DE"/>
    <w:rsid w:val="0046054F"/>
    <w:rsid w:val="00462F8F"/>
    <w:rsid w:val="004634F6"/>
    <w:rsid w:val="00463C10"/>
    <w:rsid w:val="00465046"/>
    <w:rsid w:val="0047126D"/>
    <w:rsid w:val="00472AC1"/>
    <w:rsid w:val="00473B84"/>
    <w:rsid w:val="00476FDB"/>
    <w:rsid w:val="00483136"/>
    <w:rsid w:val="00485559"/>
    <w:rsid w:val="00485DD9"/>
    <w:rsid w:val="00487BF6"/>
    <w:rsid w:val="00491D87"/>
    <w:rsid w:val="004946DE"/>
    <w:rsid w:val="00495728"/>
    <w:rsid w:val="00496AA6"/>
    <w:rsid w:val="00497CE7"/>
    <w:rsid w:val="004A02CF"/>
    <w:rsid w:val="004A6430"/>
    <w:rsid w:val="004A6A0B"/>
    <w:rsid w:val="004A6BD3"/>
    <w:rsid w:val="004B1D3A"/>
    <w:rsid w:val="004C0B58"/>
    <w:rsid w:val="004C45B0"/>
    <w:rsid w:val="004C7686"/>
    <w:rsid w:val="004D1B2F"/>
    <w:rsid w:val="004D26C4"/>
    <w:rsid w:val="004D4416"/>
    <w:rsid w:val="004E0D32"/>
    <w:rsid w:val="004E7A86"/>
    <w:rsid w:val="004F0AE2"/>
    <w:rsid w:val="004F24BC"/>
    <w:rsid w:val="004F7065"/>
    <w:rsid w:val="00503794"/>
    <w:rsid w:val="0050392A"/>
    <w:rsid w:val="00504005"/>
    <w:rsid w:val="00504DF4"/>
    <w:rsid w:val="00506062"/>
    <w:rsid w:val="00512374"/>
    <w:rsid w:val="00512F54"/>
    <w:rsid w:val="0051750E"/>
    <w:rsid w:val="00523A59"/>
    <w:rsid w:val="005249EE"/>
    <w:rsid w:val="0052582A"/>
    <w:rsid w:val="0053177C"/>
    <w:rsid w:val="00546642"/>
    <w:rsid w:val="005468A4"/>
    <w:rsid w:val="005514FF"/>
    <w:rsid w:val="0055229E"/>
    <w:rsid w:val="00552341"/>
    <w:rsid w:val="00556258"/>
    <w:rsid w:val="005608E7"/>
    <w:rsid w:val="00561319"/>
    <w:rsid w:val="00561E17"/>
    <w:rsid w:val="00562F10"/>
    <w:rsid w:val="005635F0"/>
    <w:rsid w:val="005653CF"/>
    <w:rsid w:val="005678FB"/>
    <w:rsid w:val="00570D25"/>
    <w:rsid w:val="00575554"/>
    <w:rsid w:val="00581A56"/>
    <w:rsid w:val="00581E1E"/>
    <w:rsid w:val="005840BD"/>
    <w:rsid w:val="00585615"/>
    <w:rsid w:val="005864AF"/>
    <w:rsid w:val="00590FE0"/>
    <w:rsid w:val="005917E2"/>
    <w:rsid w:val="005940EC"/>
    <w:rsid w:val="0059664D"/>
    <w:rsid w:val="00596E2F"/>
    <w:rsid w:val="005A5B5B"/>
    <w:rsid w:val="005A625D"/>
    <w:rsid w:val="005A6AE9"/>
    <w:rsid w:val="005B1260"/>
    <w:rsid w:val="005B1EE2"/>
    <w:rsid w:val="005B2913"/>
    <w:rsid w:val="005B2C06"/>
    <w:rsid w:val="005B3186"/>
    <w:rsid w:val="005C15DF"/>
    <w:rsid w:val="005C1BD2"/>
    <w:rsid w:val="005C7E53"/>
    <w:rsid w:val="005D2AA3"/>
    <w:rsid w:val="005D4252"/>
    <w:rsid w:val="005E05F4"/>
    <w:rsid w:val="005E0DB9"/>
    <w:rsid w:val="005E22FC"/>
    <w:rsid w:val="005E44C0"/>
    <w:rsid w:val="005F0286"/>
    <w:rsid w:val="005F06B5"/>
    <w:rsid w:val="005F4E32"/>
    <w:rsid w:val="005F508D"/>
    <w:rsid w:val="005F58C1"/>
    <w:rsid w:val="005F657D"/>
    <w:rsid w:val="00600F2A"/>
    <w:rsid w:val="006013BD"/>
    <w:rsid w:val="00603D7C"/>
    <w:rsid w:val="00604A0C"/>
    <w:rsid w:val="006058A4"/>
    <w:rsid w:val="00614366"/>
    <w:rsid w:val="00621744"/>
    <w:rsid w:val="00622ED3"/>
    <w:rsid w:val="006274C3"/>
    <w:rsid w:val="00627DE9"/>
    <w:rsid w:val="00630796"/>
    <w:rsid w:val="006320AF"/>
    <w:rsid w:val="0063597F"/>
    <w:rsid w:val="00636AAE"/>
    <w:rsid w:val="006379D4"/>
    <w:rsid w:val="006506F6"/>
    <w:rsid w:val="0065255E"/>
    <w:rsid w:val="00653E5E"/>
    <w:rsid w:val="00654B73"/>
    <w:rsid w:val="00656097"/>
    <w:rsid w:val="00673799"/>
    <w:rsid w:val="006868B3"/>
    <w:rsid w:val="00687E82"/>
    <w:rsid w:val="006902E6"/>
    <w:rsid w:val="0069120C"/>
    <w:rsid w:val="0069246F"/>
    <w:rsid w:val="00692D43"/>
    <w:rsid w:val="006932DA"/>
    <w:rsid w:val="006965A0"/>
    <w:rsid w:val="006A0888"/>
    <w:rsid w:val="006A5102"/>
    <w:rsid w:val="006A56AE"/>
    <w:rsid w:val="006A6D7C"/>
    <w:rsid w:val="006B0224"/>
    <w:rsid w:val="006B100C"/>
    <w:rsid w:val="006B1659"/>
    <w:rsid w:val="006B294C"/>
    <w:rsid w:val="006B4440"/>
    <w:rsid w:val="006B688E"/>
    <w:rsid w:val="006C0C4D"/>
    <w:rsid w:val="006C1115"/>
    <w:rsid w:val="006C25C4"/>
    <w:rsid w:val="006C4D60"/>
    <w:rsid w:val="006D1CEE"/>
    <w:rsid w:val="006E0C94"/>
    <w:rsid w:val="006E3739"/>
    <w:rsid w:val="006E3DD6"/>
    <w:rsid w:val="006E51D4"/>
    <w:rsid w:val="006E545C"/>
    <w:rsid w:val="006E56F4"/>
    <w:rsid w:val="006F2A99"/>
    <w:rsid w:val="006F2F35"/>
    <w:rsid w:val="006F4C26"/>
    <w:rsid w:val="006F6F6B"/>
    <w:rsid w:val="00701E58"/>
    <w:rsid w:val="00703706"/>
    <w:rsid w:val="00705FA2"/>
    <w:rsid w:val="00710C70"/>
    <w:rsid w:val="0071265B"/>
    <w:rsid w:val="007132A3"/>
    <w:rsid w:val="00716A2E"/>
    <w:rsid w:val="00716A75"/>
    <w:rsid w:val="00726BB0"/>
    <w:rsid w:val="0073160D"/>
    <w:rsid w:val="007351B4"/>
    <w:rsid w:val="00736264"/>
    <w:rsid w:val="00737F87"/>
    <w:rsid w:val="007421B9"/>
    <w:rsid w:val="00743061"/>
    <w:rsid w:val="00744C55"/>
    <w:rsid w:val="00747A72"/>
    <w:rsid w:val="00750377"/>
    <w:rsid w:val="0075226B"/>
    <w:rsid w:val="0075397B"/>
    <w:rsid w:val="0075511D"/>
    <w:rsid w:val="007558E1"/>
    <w:rsid w:val="00756088"/>
    <w:rsid w:val="007572DE"/>
    <w:rsid w:val="007600C0"/>
    <w:rsid w:val="00763470"/>
    <w:rsid w:val="0076402C"/>
    <w:rsid w:val="0076559A"/>
    <w:rsid w:val="00765939"/>
    <w:rsid w:val="00767775"/>
    <w:rsid w:val="0077132B"/>
    <w:rsid w:val="00771859"/>
    <w:rsid w:val="00772E91"/>
    <w:rsid w:val="00774E11"/>
    <w:rsid w:val="00776339"/>
    <w:rsid w:val="00777550"/>
    <w:rsid w:val="007801CA"/>
    <w:rsid w:val="00780B74"/>
    <w:rsid w:val="00782710"/>
    <w:rsid w:val="00784B33"/>
    <w:rsid w:val="0078557F"/>
    <w:rsid w:val="00786539"/>
    <w:rsid w:val="00787C55"/>
    <w:rsid w:val="00787CFB"/>
    <w:rsid w:val="00795AAB"/>
    <w:rsid w:val="007961E6"/>
    <w:rsid w:val="00796426"/>
    <w:rsid w:val="007967EF"/>
    <w:rsid w:val="007A0D6F"/>
    <w:rsid w:val="007A1DB4"/>
    <w:rsid w:val="007A3F59"/>
    <w:rsid w:val="007A456C"/>
    <w:rsid w:val="007A7258"/>
    <w:rsid w:val="007B5325"/>
    <w:rsid w:val="007B5E67"/>
    <w:rsid w:val="007B74CD"/>
    <w:rsid w:val="007B78DE"/>
    <w:rsid w:val="007C00A4"/>
    <w:rsid w:val="007C07E7"/>
    <w:rsid w:val="007C0FE6"/>
    <w:rsid w:val="007C151B"/>
    <w:rsid w:val="007C6C1D"/>
    <w:rsid w:val="007D02D7"/>
    <w:rsid w:val="007D1F15"/>
    <w:rsid w:val="007D3017"/>
    <w:rsid w:val="007D36F4"/>
    <w:rsid w:val="007D61AE"/>
    <w:rsid w:val="007D6D38"/>
    <w:rsid w:val="007D7F71"/>
    <w:rsid w:val="007E068E"/>
    <w:rsid w:val="007E1D95"/>
    <w:rsid w:val="007E530C"/>
    <w:rsid w:val="007F1C69"/>
    <w:rsid w:val="007F21E4"/>
    <w:rsid w:val="007F2B4A"/>
    <w:rsid w:val="007F42AD"/>
    <w:rsid w:val="007F502A"/>
    <w:rsid w:val="007F6BF1"/>
    <w:rsid w:val="0080040C"/>
    <w:rsid w:val="00800F06"/>
    <w:rsid w:val="0080376E"/>
    <w:rsid w:val="00804604"/>
    <w:rsid w:val="00804990"/>
    <w:rsid w:val="00804E71"/>
    <w:rsid w:val="00805A2C"/>
    <w:rsid w:val="00813298"/>
    <w:rsid w:val="008132F0"/>
    <w:rsid w:val="00813B2D"/>
    <w:rsid w:val="0081657A"/>
    <w:rsid w:val="00821B10"/>
    <w:rsid w:val="00824CA3"/>
    <w:rsid w:val="00825085"/>
    <w:rsid w:val="00825747"/>
    <w:rsid w:val="00825B97"/>
    <w:rsid w:val="008264D6"/>
    <w:rsid w:val="00832B53"/>
    <w:rsid w:val="00833857"/>
    <w:rsid w:val="00834100"/>
    <w:rsid w:val="008347D7"/>
    <w:rsid w:val="00834EEB"/>
    <w:rsid w:val="008360D9"/>
    <w:rsid w:val="00846D3F"/>
    <w:rsid w:val="00850C58"/>
    <w:rsid w:val="0085161A"/>
    <w:rsid w:val="00855F24"/>
    <w:rsid w:val="00860784"/>
    <w:rsid w:val="00863A43"/>
    <w:rsid w:val="00863AF1"/>
    <w:rsid w:val="00867DA0"/>
    <w:rsid w:val="00870168"/>
    <w:rsid w:val="008717D7"/>
    <w:rsid w:val="00872019"/>
    <w:rsid w:val="0087228D"/>
    <w:rsid w:val="00874322"/>
    <w:rsid w:val="00874E1D"/>
    <w:rsid w:val="0087512A"/>
    <w:rsid w:val="0088268E"/>
    <w:rsid w:val="008826A7"/>
    <w:rsid w:val="00884449"/>
    <w:rsid w:val="00884E21"/>
    <w:rsid w:val="00885EC3"/>
    <w:rsid w:val="00886CD0"/>
    <w:rsid w:val="00887C6F"/>
    <w:rsid w:val="00887CCC"/>
    <w:rsid w:val="00894D73"/>
    <w:rsid w:val="008A0BE9"/>
    <w:rsid w:val="008A0D6F"/>
    <w:rsid w:val="008A2C10"/>
    <w:rsid w:val="008A6C78"/>
    <w:rsid w:val="008A75A6"/>
    <w:rsid w:val="008B1864"/>
    <w:rsid w:val="008B45E7"/>
    <w:rsid w:val="008B502B"/>
    <w:rsid w:val="008B5502"/>
    <w:rsid w:val="008B6AE4"/>
    <w:rsid w:val="008C19F2"/>
    <w:rsid w:val="008C22B5"/>
    <w:rsid w:val="008C5A47"/>
    <w:rsid w:val="008D0B27"/>
    <w:rsid w:val="008D16FA"/>
    <w:rsid w:val="008D2027"/>
    <w:rsid w:val="008D4CC8"/>
    <w:rsid w:val="008D5B76"/>
    <w:rsid w:val="008D61E9"/>
    <w:rsid w:val="008D6830"/>
    <w:rsid w:val="008E1579"/>
    <w:rsid w:val="008E1F4B"/>
    <w:rsid w:val="008E2C21"/>
    <w:rsid w:val="008E3083"/>
    <w:rsid w:val="008E401D"/>
    <w:rsid w:val="008E47FA"/>
    <w:rsid w:val="008E5E54"/>
    <w:rsid w:val="008E73D6"/>
    <w:rsid w:val="008F0407"/>
    <w:rsid w:val="008F1385"/>
    <w:rsid w:val="008F6702"/>
    <w:rsid w:val="00900EA3"/>
    <w:rsid w:val="00901B07"/>
    <w:rsid w:val="00901BD6"/>
    <w:rsid w:val="00901C56"/>
    <w:rsid w:val="00902706"/>
    <w:rsid w:val="00903196"/>
    <w:rsid w:val="009036D7"/>
    <w:rsid w:val="00904966"/>
    <w:rsid w:val="0090775C"/>
    <w:rsid w:val="009130B7"/>
    <w:rsid w:val="00922D2D"/>
    <w:rsid w:val="00923ED5"/>
    <w:rsid w:val="00937BFC"/>
    <w:rsid w:val="00940CFA"/>
    <w:rsid w:val="00941192"/>
    <w:rsid w:val="00942484"/>
    <w:rsid w:val="00951702"/>
    <w:rsid w:val="009517AD"/>
    <w:rsid w:val="00951FAD"/>
    <w:rsid w:val="00953307"/>
    <w:rsid w:val="00954156"/>
    <w:rsid w:val="0095612F"/>
    <w:rsid w:val="00957263"/>
    <w:rsid w:val="00960846"/>
    <w:rsid w:val="00962AFC"/>
    <w:rsid w:val="00965E32"/>
    <w:rsid w:val="00970477"/>
    <w:rsid w:val="00974692"/>
    <w:rsid w:val="00976582"/>
    <w:rsid w:val="009771C0"/>
    <w:rsid w:val="009805A2"/>
    <w:rsid w:val="009814F4"/>
    <w:rsid w:val="0098222E"/>
    <w:rsid w:val="0098344E"/>
    <w:rsid w:val="00983CED"/>
    <w:rsid w:val="0098437E"/>
    <w:rsid w:val="009A09CE"/>
    <w:rsid w:val="009A2763"/>
    <w:rsid w:val="009A556F"/>
    <w:rsid w:val="009A6455"/>
    <w:rsid w:val="009A6616"/>
    <w:rsid w:val="009A6851"/>
    <w:rsid w:val="009A6AE2"/>
    <w:rsid w:val="009B58E6"/>
    <w:rsid w:val="009B5FB3"/>
    <w:rsid w:val="009B7A7B"/>
    <w:rsid w:val="009C05E5"/>
    <w:rsid w:val="009C1A48"/>
    <w:rsid w:val="009C26FC"/>
    <w:rsid w:val="009C39FF"/>
    <w:rsid w:val="009C5D75"/>
    <w:rsid w:val="009C65F3"/>
    <w:rsid w:val="009C7C01"/>
    <w:rsid w:val="009D27FE"/>
    <w:rsid w:val="009D290E"/>
    <w:rsid w:val="009D3DC4"/>
    <w:rsid w:val="009D435F"/>
    <w:rsid w:val="009E1E6C"/>
    <w:rsid w:val="009E244F"/>
    <w:rsid w:val="009E7526"/>
    <w:rsid w:val="009F0F97"/>
    <w:rsid w:val="009F21E5"/>
    <w:rsid w:val="009F3091"/>
    <w:rsid w:val="009F4F0D"/>
    <w:rsid w:val="009F5552"/>
    <w:rsid w:val="009F5708"/>
    <w:rsid w:val="009F72FD"/>
    <w:rsid w:val="00A03CE9"/>
    <w:rsid w:val="00A128EC"/>
    <w:rsid w:val="00A167FF"/>
    <w:rsid w:val="00A169B8"/>
    <w:rsid w:val="00A17BAB"/>
    <w:rsid w:val="00A21424"/>
    <w:rsid w:val="00A3068A"/>
    <w:rsid w:val="00A328CA"/>
    <w:rsid w:val="00A32D31"/>
    <w:rsid w:val="00A33A2B"/>
    <w:rsid w:val="00A344DB"/>
    <w:rsid w:val="00A372D3"/>
    <w:rsid w:val="00A3765F"/>
    <w:rsid w:val="00A44C25"/>
    <w:rsid w:val="00A45D3E"/>
    <w:rsid w:val="00A4618E"/>
    <w:rsid w:val="00A474D3"/>
    <w:rsid w:val="00A506A6"/>
    <w:rsid w:val="00A50F19"/>
    <w:rsid w:val="00A52269"/>
    <w:rsid w:val="00A577A1"/>
    <w:rsid w:val="00A61522"/>
    <w:rsid w:val="00A621EB"/>
    <w:rsid w:val="00A6422D"/>
    <w:rsid w:val="00A655A5"/>
    <w:rsid w:val="00A708EB"/>
    <w:rsid w:val="00A71543"/>
    <w:rsid w:val="00A72DCF"/>
    <w:rsid w:val="00A76130"/>
    <w:rsid w:val="00A85DAD"/>
    <w:rsid w:val="00A87C7A"/>
    <w:rsid w:val="00A87DC9"/>
    <w:rsid w:val="00A87EF6"/>
    <w:rsid w:val="00A919A5"/>
    <w:rsid w:val="00A92C0C"/>
    <w:rsid w:val="00A944D0"/>
    <w:rsid w:val="00A94D5F"/>
    <w:rsid w:val="00A94D61"/>
    <w:rsid w:val="00A9789D"/>
    <w:rsid w:val="00AA0583"/>
    <w:rsid w:val="00AA216F"/>
    <w:rsid w:val="00AA5119"/>
    <w:rsid w:val="00AB00C3"/>
    <w:rsid w:val="00AB0625"/>
    <w:rsid w:val="00AB0772"/>
    <w:rsid w:val="00AC01D8"/>
    <w:rsid w:val="00AC104F"/>
    <w:rsid w:val="00AC32F7"/>
    <w:rsid w:val="00AC4A82"/>
    <w:rsid w:val="00AC5221"/>
    <w:rsid w:val="00AC52B0"/>
    <w:rsid w:val="00AD14A6"/>
    <w:rsid w:val="00AD5978"/>
    <w:rsid w:val="00AD7D4F"/>
    <w:rsid w:val="00AE1510"/>
    <w:rsid w:val="00AE16A9"/>
    <w:rsid w:val="00AE47E5"/>
    <w:rsid w:val="00AE6173"/>
    <w:rsid w:val="00AE7887"/>
    <w:rsid w:val="00AF0C7F"/>
    <w:rsid w:val="00AF218D"/>
    <w:rsid w:val="00AF4A2F"/>
    <w:rsid w:val="00AF5CA3"/>
    <w:rsid w:val="00AF68C1"/>
    <w:rsid w:val="00AF7316"/>
    <w:rsid w:val="00B02050"/>
    <w:rsid w:val="00B021E0"/>
    <w:rsid w:val="00B02D5F"/>
    <w:rsid w:val="00B053E7"/>
    <w:rsid w:val="00B1045D"/>
    <w:rsid w:val="00B16FC1"/>
    <w:rsid w:val="00B170DF"/>
    <w:rsid w:val="00B2107A"/>
    <w:rsid w:val="00B234AA"/>
    <w:rsid w:val="00B277E1"/>
    <w:rsid w:val="00B31E14"/>
    <w:rsid w:val="00B32232"/>
    <w:rsid w:val="00B34E05"/>
    <w:rsid w:val="00B3601A"/>
    <w:rsid w:val="00B41BE6"/>
    <w:rsid w:val="00B42368"/>
    <w:rsid w:val="00B42645"/>
    <w:rsid w:val="00B430AA"/>
    <w:rsid w:val="00B44850"/>
    <w:rsid w:val="00B44D17"/>
    <w:rsid w:val="00B479B2"/>
    <w:rsid w:val="00B47D67"/>
    <w:rsid w:val="00B51704"/>
    <w:rsid w:val="00B542D4"/>
    <w:rsid w:val="00B54777"/>
    <w:rsid w:val="00B55D99"/>
    <w:rsid w:val="00B601C2"/>
    <w:rsid w:val="00B6260F"/>
    <w:rsid w:val="00B64523"/>
    <w:rsid w:val="00B72419"/>
    <w:rsid w:val="00B829EC"/>
    <w:rsid w:val="00B846F4"/>
    <w:rsid w:val="00BA03D7"/>
    <w:rsid w:val="00BA16D3"/>
    <w:rsid w:val="00BA3876"/>
    <w:rsid w:val="00BA44EA"/>
    <w:rsid w:val="00BA6C8A"/>
    <w:rsid w:val="00BA76CF"/>
    <w:rsid w:val="00BB0E60"/>
    <w:rsid w:val="00BB437F"/>
    <w:rsid w:val="00BC13A5"/>
    <w:rsid w:val="00BC2277"/>
    <w:rsid w:val="00BC27E9"/>
    <w:rsid w:val="00BC4138"/>
    <w:rsid w:val="00BD06A5"/>
    <w:rsid w:val="00BD2D77"/>
    <w:rsid w:val="00BD487E"/>
    <w:rsid w:val="00BD4D18"/>
    <w:rsid w:val="00BD4E6A"/>
    <w:rsid w:val="00BD5344"/>
    <w:rsid w:val="00BD6F6D"/>
    <w:rsid w:val="00BE18C9"/>
    <w:rsid w:val="00BE5867"/>
    <w:rsid w:val="00BE714C"/>
    <w:rsid w:val="00BE7575"/>
    <w:rsid w:val="00BE7AB2"/>
    <w:rsid w:val="00BF567B"/>
    <w:rsid w:val="00C021BC"/>
    <w:rsid w:val="00C03DEF"/>
    <w:rsid w:val="00C05667"/>
    <w:rsid w:val="00C06933"/>
    <w:rsid w:val="00C06A88"/>
    <w:rsid w:val="00C11359"/>
    <w:rsid w:val="00C12A10"/>
    <w:rsid w:val="00C15CA9"/>
    <w:rsid w:val="00C166FC"/>
    <w:rsid w:val="00C1770A"/>
    <w:rsid w:val="00C2073C"/>
    <w:rsid w:val="00C208A5"/>
    <w:rsid w:val="00C21B43"/>
    <w:rsid w:val="00C21EEF"/>
    <w:rsid w:val="00C22D26"/>
    <w:rsid w:val="00C23764"/>
    <w:rsid w:val="00C23C40"/>
    <w:rsid w:val="00C25C0C"/>
    <w:rsid w:val="00C26312"/>
    <w:rsid w:val="00C307CF"/>
    <w:rsid w:val="00C30BEC"/>
    <w:rsid w:val="00C32CBD"/>
    <w:rsid w:val="00C34B62"/>
    <w:rsid w:val="00C40844"/>
    <w:rsid w:val="00C40A29"/>
    <w:rsid w:val="00C46F86"/>
    <w:rsid w:val="00C508D4"/>
    <w:rsid w:val="00C5163A"/>
    <w:rsid w:val="00C51DB6"/>
    <w:rsid w:val="00C534B8"/>
    <w:rsid w:val="00C53A36"/>
    <w:rsid w:val="00C55A49"/>
    <w:rsid w:val="00C57515"/>
    <w:rsid w:val="00C57BD4"/>
    <w:rsid w:val="00C638C8"/>
    <w:rsid w:val="00C6531C"/>
    <w:rsid w:val="00C65E5C"/>
    <w:rsid w:val="00C70C8E"/>
    <w:rsid w:val="00C710F1"/>
    <w:rsid w:val="00C7445B"/>
    <w:rsid w:val="00C81738"/>
    <w:rsid w:val="00C8411A"/>
    <w:rsid w:val="00C85C4E"/>
    <w:rsid w:val="00C87B17"/>
    <w:rsid w:val="00C90D45"/>
    <w:rsid w:val="00CA0FBB"/>
    <w:rsid w:val="00CA4506"/>
    <w:rsid w:val="00CA72EE"/>
    <w:rsid w:val="00CA7B8E"/>
    <w:rsid w:val="00CA7D02"/>
    <w:rsid w:val="00CB06D0"/>
    <w:rsid w:val="00CB09BE"/>
    <w:rsid w:val="00CB144C"/>
    <w:rsid w:val="00CB169B"/>
    <w:rsid w:val="00CB2554"/>
    <w:rsid w:val="00CB3E82"/>
    <w:rsid w:val="00CB66DC"/>
    <w:rsid w:val="00CB7CC8"/>
    <w:rsid w:val="00CC1AC7"/>
    <w:rsid w:val="00CC2D00"/>
    <w:rsid w:val="00CC6A6C"/>
    <w:rsid w:val="00CD0B42"/>
    <w:rsid w:val="00CD17C0"/>
    <w:rsid w:val="00CD1FB7"/>
    <w:rsid w:val="00CD3655"/>
    <w:rsid w:val="00CD3AEB"/>
    <w:rsid w:val="00CD4C14"/>
    <w:rsid w:val="00CD653C"/>
    <w:rsid w:val="00CD7D67"/>
    <w:rsid w:val="00CE2770"/>
    <w:rsid w:val="00CE476C"/>
    <w:rsid w:val="00CF2826"/>
    <w:rsid w:val="00CF4725"/>
    <w:rsid w:val="00D012BB"/>
    <w:rsid w:val="00D0174A"/>
    <w:rsid w:val="00D036E7"/>
    <w:rsid w:val="00D12B13"/>
    <w:rsid w:val="00D1326E"/>
    <w:rsid w:val="00D14C31"/>
    <w:rsid w:val="00D16212"/>
    <w:rsid w:val="00D246FF"/>
    <w:rsid w:val="00D27F81"/>
    <w:rsid w:val="00D326F9"/>
    <w:rsid w:val="00D341C7"/>
    <w:rsid w:val="00D34D8C"/>
    <w:rsid w:val="00D35B34"/>
    <w:rsid w:val="00D37262"/>
    <w:rsid w:val="00D37A5C"/>
    <w:rsid w:val="00D37BD9"/>
    <w:rsid w:val="00D37FB3"/>
    <w:rsid w:val="00D4340F"/>
    <w:rsid w:val="00D54172"/>
    <w:rsid w:val="00D5682D"/>
    <w:rsid w:val="00D6037B"/>
    <w:rsid w:val="00D6276E"/>
    <w:rsid w:val="00D67822"/>
    <w:rsid w:val="00D7423A"/>
    <w:rsid w:val="00D76C20"/>
    <w:rsid w:val="00D81383"/>
    <w:rsid w:val="00D813FF"/>
    <w:rsid w:val="00D81EFF"/>
    <w:rsid w:val="00D82DA2"/>
    <w:rsid w:val="00D83A0E"/>
    <w:rsid w:val="00D83B2D"/>
    <w:rsid w:val="00D845C4"/>
    <w:rsid w:val="00D85893"/>
    <w:rsid w:val="00D8720B"/>
    <w:rsid w:val="00D87895"/>
    <w:rsid w:val="00D92B26"/>
    <w:rsid w:val="00D93C9B"/>
    <w:rsid w:val="00DA005F"/>
    <w:rsid w:val="00DA49DF"/>
    <w:rsid w:val="00DA51B0"/>
    <w:rsid w:val="00DB078F"/>
    <w:rsid w:val="00DB2345"/>
    <w:rsid w:val="00DB2848"/>
    <w:rsid w:val="00DB3209"/>
    <w:rsid w:val="00DC1178"/>
    <w:rsid w:val="00DC5E26"/>
    <w:rsid w:val="00DC66D3"/>
    <w:rsid w:val="00DC7A2B"/>
    <w:rsid w:val="00DD1A58"/>
    <w:rsid w:val="00DD2769"/>
    <w:rsid w:val="00DD31D1"/>
    <w:rsid w:val="00DD3CE9"/>
    <w:rsid w:val="00DD4708"/>
    <w:rsid w:val="00DD6499"/>
    <w:rsid w:val="00DE1CCC"/>
    <w:rsid w:val="00DE42EF"/>
    <w:rsid w:val="00DF188A"/>
    <w:rsid w:val="00DF196A"/>
    <w:rsid w:val="00DF1E0D"/>
    <w:rsid w:val="00E01FB4"/>
    <w:rsid w:val="00E04171"/>
    <w:rsid w:val="00E06B88"/>
    <w:rsid w:val="00E07ED2"/>
    <w:rsid w:val="00E10CF8"/>
    <w:rsid w:val="00E11683"/>
    <w:rsid w:val="00E117E8"/>
    <w:rsid w:val="00E1564C"/>
    <w:rsid w:val="00E17820"/>
    <w:rsid w:val="00E17906"/>
    <w:rsid w:val="00E212B1"/>
    <w:rsid w:val="00E22B13"/>
    <w:rsid w:val="00E257E6"/>
    <w:rsid w:val="00E26749"/>
    <w:rsid w:val="00E27AA3"/>
    <w:rsid w:val="00E300B7"/>
    <w:rsid w:val="00E302CB"/>
    <w:rsid w:val="00E30D2E"/>
    <w:rsid w:val="00E342E3"/>
    <w:rsid w:val="00E37DF6"/>
    <w:rsid w:val="00E406BA"/>
    <w:rsid w:val="00E4142F"/>
    <w:rsid w:val="00E42793"/>
    <w:rsid w:val="00E42BB9"/>
    <w:rsid w:val="00E43095"/>
    <w:rsid w:val="00E43607"/>
    <w:rsid w:val="00E43882"/>
    <w:rsid w:val="00E44A89"/>
    <w:rsid w:val="00E47087"/>
    <w:rsid w:val="00E475B6"/>
    <w:rsid w:val="00E508D7"/>
    <w:rsid w:val="00E509CA"/>
    <w:rsid w:val="00E522C7"/>
    <w:rsid w:val="00E535F5"/>
    <w:rsid w:val="00E62B97"/>
    <w:rsid w:val="00E6304D"/>
    <w:rsid w:val="00E6669F"/>
    <w:rsid w:val="00E67260"/>
    <w:rsid w:val="00E744C0"/>
    <w:rsid w:val="00E74772"/>
    <w:rsid w:val="00E75AE5"/>
    <w:rsid w:val="00E76F3B"/>
    <w:rsid w:val="00E8173B"/>
    <w:rsid w:val="00E831E8"/>
    <w:rsid w:val="00E85A39"/>
    <w:rsid w:val="00E85D72"/>
    <w:rsid w:val="00E873D2"/>
    <w:rsid w:val="00EA4E68"/>
    <w:rsid w:val="00EA5777"/>
    <w:rsid w:val="00EB0A22"/>
    <w:rsid w:val="00EB266B"/>
    <w:rsid w:val="00EB5C47"/>
    <w:rsid w:val="00EC04C9"/>
    <w:rsid w:val="00EC4993"/>
    <w:rsid w:val="00ED18A8"/>
    <w:rsid w:val="00EE0211"/>
    <w:rsid w:val="00EE066D"/>
    <w:rsid w:val="00EE3062"/>
    <w:rsid w:val="00EE64AC"/>
    <w:rsid w:val="00EE7D52"/>
    <w:rsid w:val="00EF0058"/>
    <w:rsid w:val="00EF1B69"/>
    <w:rsid w:val="00EF1EEB"/>
    <w:rsid w:val="00EF311A"/>
    <w:rsid w:val="00EF4A2A"/>
    <w:rsid w:val="00F02377"/>
    <w:rsid w:val="00F03B60"/>
    <w:rsid w:val="00F0657B"/>
    <w:rsid w:val="00F0693E"/>
    <w:rsid w:val="00F07CC1"/>
    <w:rsid w:val="00F10DC9"/>
    <w:rsid w:val="00F11160"/>
    <w:rsid w:val="00F11C99"/>
    <w:rsid w:val="00F14596"/>
    <w:rsid w:val="00F152BA"/>
    <w:rsid w:val="00F20B2B"/>
    <w:rsid w:val="00F23F1C"/>
    <w:rsid w:val="00F31295"/>
    <w:rsid w:val="00F31418"/>
    <w:rsid w:val="00F32344"/>
    <w:rsid w:val="00F32B2B"/>
    <w:rsid w:val="00F32E9B"/>
    <w:rsid w:val="00F33B48"/>
    <w:rsid w:val="00F35F64"/>
    <w:rsid w:val="00F360BB"/>
    <w:rsid w:val="00F3798A"/>
    <w:rsid w:val="00F42765"/>
    <w:rsid w:val="00F42C80"/>
    <w:rsid w:val="00F44EB0"/>
    <w:rsid w:val="00F47E7D"/>
    <w:rsid w:val="00F515B2"/>
    <w:rsid w:val="00F55168"/>
    <w:rsid w:val="00F573CF"/>
    <w:rsid w:val="00F62626"/>
    <w:rsid w:val="00F751B2"/>
    <w:rsid w:val="00F7660A"/>
    <w:rsid w:val="00F7741C"/>
    <w:rsid w:val="00F82BFC"/>
    <w:rsid w:val="00F8325B"/>
    <w:rsid w:val="00F852FE"/>
    <w:rsid w:val="00F91324"/>
    <w:rsid w:val="00F92BA1"/>
    <w:rsid w:val="00F9798A"/>
    <w:rsid w:val="00FA0A9F"/>
    <w:rsid w:val="00FA2BE8"/>
    <w:rsid w:val="00FA2E3D"/>
    <w:rsid w:val="00FA6B78"/>
    <w:rsid w:val="00FA6E0E"/>
    <w:rsid w:val="00FA7667"/>
    <w:rsid w:val="00FC0190"/>
    <w:rsid w:val="00FC0C54"/>
    <w:rsid w:val="00FC1457"/>
    <w:rsid w:val="00FD1C17"/>
    <w:rsid w:val="00FD2988"/>
    <w:rsid w:val="00FD7E7D"/>
    <w:rsid w:val="00FE1554"/>
    <w:rsid w:val="00FE1FA3"/>
    <w:rsid w:val="00FE205B"/>
    <w:rsid w:val="00FE32E9"/>
    <w:rsid w:val="00FE7FBC"/>
    <w:rsid w:val="00FF0A64"/>
    <w:rsid w:val="00FF2331"/>
    <w:rsid w:val="00FF6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2C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7FA"/>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Footnote Text Char Char1 Char,Footnote Text Char Char Char Char,FOOTNOTES Char Char Char,fn Char Char Char,single space Char Char Char,footnote text Char Char Char,fn Char2,Footnote Text Char1,fn,Geneva 9,Boston 1"/>
    <w:basedOn w:val="Normal"/>
    <w:link w:val="FootnoteTextChar"/>
    <w:uiPriority w:val="99"/>
    <w:unhideWhenUsed/>
    <w:rsid w:val="000A01FF"/>
    <w:rPr>
      <w:rFonts w:eastAsia="Times New Roman"/>
      <w:sz w:val="20"/>
      <w:szCs w:val="20"/>
    </w:rPr>
  </w:style>
  <w:style w:type="character" w:customStyle="1" w:styleId="FootnoteTextChar">
    <w:name w:val="Footnote Text Char"/>
    <w:aliases w:val="Footnote Text Char1 Char Char,Footnote Text Char Char1 Char Char,Footnote Text Char Char Char Char Char,FOOTNOTES Char Char Char Char,fn Char Char Char Char,single space Char Char Char Char,footnote text Char Char Char Char,fn Char"/>
    <w:link w:val="FootnoteText"/>
    <w:uiPriority w:val="99"/>
    <w:rsid w:val="000A01FF"/>
    <w:rPr>
      <w:rFonts w:ascii="Times New Roman" w:eastAsia="Times New Roman" w:hAnsi="Times New Roman" w:cs="Times New Roman"/>
      <w:sz w:val="20"/>
      <w:szCs w:val="20"/>
    </w:rPr>
  </w:style>
  <w:style w:type="character" w:styleId="FootnoteReference">
    <w:name w:val="footnote reference"/>
    <w:aliases w:val="16 Point,Superscript 6 Point,ftref,fr,(NECG) Footnote Reference,Ref,de nota al pie,footnote ref,Footnote Reference Number,Footnote Ref in FtNote"/>
    <w:uiPriority w:val="99"/>
    <w:unhideWhenUsed/>
    <w:rsid w:val="000A01FF"/>
    <w:rPr>
      <w:vertAlign w:val="superscript"/>
    </w:rPr>
  </w:style>
  <w:style w:type="paragraph" w:styleId="BalloonText">
    <w:name w:val="Balloon Text"/>
    <w:basedOn w:val="Normal"/>
    <w:link w:val="BalloonTextChar"/>
    <w:uiPriority w:val="99"/>
    <w:semiHidden/>
    <w:unhideWhenUsed/>
    <w:rsid w:val="00E342E3"/>
    <w:rPr>
      <w:rFonts w:ascii="Tahoma" w:hAnsi="Tahoma" w:cs="Tahoma"/>
      <w:sz w:val="16"/>
      <w:szCs w:val="16"/>
    </w:rPr>
  </w:style>
  <w:style w:type="character" w:customStyle="1" w:styleId="BalloonTextChar">
    <w:name w:val="Balloon Text Char"/>
    <w:link w:val="BalloonText"/>
    <w:uiPriority w:val="99"/>
    <w:semiHidden/>
    <w:rsid w:val="00E342E3"/>
    <w:rPr>
      <w:rFonts w:ascii="Tahoma" w:hAnsi="Tahoma" w:cs="Tahoma"/>
      <w:sz w:val="16"/>
      <w:szCs w:val="16"/>
    </w:rPr>
  </w:style>
  <w:style w:type="paragraph" w:styleId="ListParagraph">
    <w:name w:val="List Paragraph"/>
    <w:basedOn w:val="Normal"/>
    <w:uiPriority w:val="34"/>
    <w:qFormat/>
    <w:rsid w:val="00E342E3"/>
    <w:pPr>
      <w:ind w:left="720"/>
      <w:contextualSpacing/>
    </w:pPr>
  </w:style>
  <w:style w:type="paragraph" w:customStyle="1" w:styleId="Default">
    <w:name w:val="Default"/>
    <w:rsid w:val="00A655A5"/>
    <w:pPr>
      <w:autoSpaceDE w:val="0"/>
      <w:autoSpaceDN w:val="0"/>
      <w:adjustRightInd w:val="0"/>
    </w:pPr>
    <w:rPr>
      <w:rFonts w:ascii="Times New Roman" w:eastAsiaTheme="minorHAnsi" w:hAnsi="Times New Roman"/>
      <w:color w:val="000000"/>
      <w:sz w:val="24"/>
      <w:szCs w:val="24"/>
    </w:rPr>
  </w:style>
  <w:style w:type="character" w:styleId="CommentReference">
    <w:name w:val="annotation reference"/>
    <w:basedOn w:val="DefaultParagraphFont"/>
    <w:uiPriority w:val="99"/>
    <w:semiHidden/>
    <w:unhideWhenUsed/>
    <w:rsid w:val="000969A1"/>
    <w:rPr>
      <w:sz w:val="16"/>
      <w:szCs w:val="16"/>
    </w:rPr>
  </w:style>
  <w:style w:type="paragraph" w:styleId="CommentText">
    <w:name w:val="annotation text"/>
    <w:basedOn w:val="Normal"/>
    <w:link w:val="CommentTextChar"/>
    <w:uiPriority w:val="99"/>
    <w:semiHidden/>
    <w:unhideWhenUsed/>
    <w:rsid w:val="000969A1"/>
    <w:rPr>
      <w:sz w:val="20"/>
      <w:szCs w:val="20"/>
    </w:rPr>
  </w:style>
  <w:style w:type="character" w:customStyle="1" w:styleId="CommentTextChar">
    <w:name w:val="Comment Text Char"/>
    <w:basedOn w:val="DefaultParagraphFont"/>
    <w:link w:val="CommentText"/>
    <w:uiPriority w:val="99"/>
    <w:semiHidden/>
    <w:rsid w:val="000969A1"/>
  </w:style>
  <w:style w:type="paragraph" w:styleId="CommentSubject">
    <w:name w:val="annotation subject"/>
    <w:basedOn w:val="CommentText"/>
    <w:next w:val="CommentText"/>
    <w:link w:val="CommentSubjectChar"/>
    <w:uiPriority w:val="99"/>
    <w:semiHidden/>
    <w:unhideWhenUsed/>
    <w:rsid w:val="000969A1"/>
    <w:rPr>
      <w:b/>
      <w:bCs/>
    </w:rPr>
  </w:style>
  <w:style w:type="character" w:customStyle="1" w:styleId="CommentSubjectChar">
    <w:name w:val="Comment Subject Char"/>
    <w:basedOn w:val="CommentTextChar"/>
    <w:link w:val="CommentSubject"/>
    <w:uiPriority w:val="99"/>
    <w:semiHidden/>
    <w:rsid w:val="000969A1"/>
    <w:rPr>
      <w:b/>
      <w:bCs/>
    </w:rPr>
  </w:style>
  <w:style w:type="table" w:styleId="TableGrid">
    <w:name w:val="Table Grid"/>
    <w:basedOn w:val="TableNormal"/>
    <w:uiPriority w:val="59"/>
    <w:rsid w:val="00970477"/>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7FA"/>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Footnote Text Char Char1 Char,Footnote Text Char Char Char Char,FOOTNOTES Char Char Char,fn Char Char Char,single space Char Char Char,footnote text Char Char Char,fn Char2,Footnote Text Char1,fn,Geneva 9,Boston 1"/>
    <w:basedOn w:val="Normal"/>
    <w:link w:val="FootnoteTextChar"/>
    <w:uiPriority w:val="99"/>
    <w:unhideWhenUsed/>
    <w:rsid w:val="000A01FF"/>
    <w:rPr>
      <w:rFonts w:eastAsia="Times New Roman"/>
      <w:sz w:val="20"/>
      <w:szCs w:val="20"/>
    </w:rPr>
  </w:style>
  <w:style w:type="character" w:customStyle="1" w:styleId="FootnoteTextChar">
    <w:name w:val="Footnote Text Char"/>
    <w:aliases w:val="Footnote Text Char1 Char Char,Footnote Text Char Char1 Char Char,Footnote Text Char Char Char Char Char,FOOTNOTES Char Char Char Char,fn Char Char Char Char,single space Char Char Char Char,footnote text Char Char Char Char,fn Char"/>
    <w:link w:val="FootnoteText"/>
    <w:uiPriority w:val="99"/>
    <w:rsid w:val="000A01FF"/>
    <w:rPr>
      <w:rFonts w:ascii="Times New Roman" w:eastAsia="Times New Roman" w:hAnsi="Times New Roman" w:cs="Times New Roman"/>
      <w:sz w:val="20"/>
      <w:szCs w:val="20"/>
    </w:rPr>
  </w:style>
  <w:style w:type="character" w:styleId="FootnoteReference">
    <w:name w:val="footnote reference"/>
    <w:aliases w:val="16 Point,Superscript 6 Point,ftref,fr,(NECG) Footnote Reference,Ref,de nota al pie,footnote ref,Footnote Reference Number,Footnote Ref in FtNote"/>
    <w:uiPriority w:val="99"/>
    <w:unhideWhenUsed/>
    <w:rsid w:val="000A01FF"/>
    <w:rPr>
      <w:vertAlign w:val="superscript"/>
    </w:rPr>
  </w:style>
  <w:style w:type="paragraph" w:styleId="BalloonText">
    <w:name w:val="Balloon Text"/>
    <w:basedOn w:val="Normal"/>
    <w:link w:val="BalloonTextChar"/>
    <w:uiPriority w:val="99"/>
    <w:semiHidden/>
    <w:unhideWhenUsed/>
    <w:rsid w:val="00E342E3"/>
    <w:rPr>
      <w:rFonts w:ascii="Tahoma" w:hAnsi="Tahoma" w:cs="Tahoma"/>
      <w:sz w:val="16"/>
      <w:szCs w:val="16"/>
    </w:rPr>
  </w:style>
  <w:style w:type="character" w:customStyle="1" w:styleId="BalloonTextChar">
    <w:name w:val="Balloon Text Char"/>
    <w:link w:val="BalloonText"/>
    <w:uiPriority w:val="99"/>
    <w:semiHidden/>
    <w:rsid w:val="00E342E3"/>
    <w:rPr>
      <w:rFonts w:ascii="Tahoma" w:hAnsi="Tahoma" w:cs="Tahoma"/>
      <w:sz w:val="16"/>
      <w:szCs w:val="16"/>
    </w:rPr>
  </w:style>
  <w:style w:type="paragraph" w:styleId="ListParagraph">
    <w:name w:val="List Paragraph"/>
    <w:basedOn w:val="Normal"/>
    <w:uiPriority w:val="34"/>
    <w:qFormat/>
    <w:rsid w:val="00E342E3"/>
    <w:pPr>
      <w:ind w:left="720"/>
      <w:contextualSpacing/>
    </w:pPr>
  </w:style>
  <w:style w:type="paragraph" w:customStyle="1" w:styleId="Default">
    <w:name w:val="Default"/>
    <w:rsid w:val="00A655A5"/>
    <w:pPr>
      <w:autoSpaceDE w:val="0"/>
      <w:autoSpaceDN w:val="0"/>
      <w:adjustRightInd w:val="0"/>
    </w:pPr>
    <w:rPr>
      <w:rFonts w:ascii="Times New Roman" w:eastAsiaTheme="minorHAnsi" w:hAnsi="Times New Roman"/>
      <w:color w:val="000000"/>
      <w:sz w:val="24"/>
      <w:szCs w:val="24"/>
    </w:rPr>
  </w:style>
  <w:style w:type="character" w:styleId="CommentReference">
    <w:name w:val="annotation reference"/>
    <w:basedOn w:val="DefaultParagraphFont"/>
    <w:uiPriority w:val="99"/>
    <w:semiHidden/>
    <w:unhideWhenUsed/>
    <w:rsid w:val="000969A1"/>
    <w:rPr>
      <w:sz w:val="16"/>
      <w:szCs w:val="16"/>
    </w:rPr>
  </w:style>
  <w:style w:type="paragraph" w:styleId="CommentText">
    <w:name w:val="annotation text"/>
    <w:basedOn w:val="Normal"/>
    <w:link w:val="CommentTextChar"/>
    <w:uiPriority w:val="99"/>
    <w:semiHidden/>
    <w:unhideWhenUsed/>
    <w:rsid w:val="000969A1"/>
    <w:rPr>
      <w:sz w:val="20"/>
      <w:szCs w:val="20"/>
    </w:rPr>
  </w:style>
  <w:style w:type="character" w:customStyle="1" w:styleId="CommentTextChar">
    <w:name w:val="Comment Text Char"/>
    <w:basedOn w:val="DefaultParagraphFont"/>
    <w:link w:val="CommentText"/>
    <w:uiPriority w:val="99"/>
    <w:semiHidden/>
    <w:rsid w:val="000969A1"/>
  </w:style>
  <w:style w:type="paragraph" w:styleId="CommentSubject">
    <w:name w:val="annotation subject"/>
    <w:basedOn w:val="CommentText"/>
    <w:next w:val="CommentText"/>
    <w:link w:val="CommentSubjectChar"/>
    <w:uiPriority w:val="99"/>
    <w:semiHidden/>
    <w:unhideWhenUsed/>
    <w:rsid w:val="000969A1"/>
    <w:rPr>
      <w:b/>
      <w:bCs/>
    </w:rPr>
  </w:style>
  <w:style w:type="character" w:customStyle="1" w:styleId="CommentSubjectChar">
    <w:name w:val="Comment Subject Char"/>
    <w:basedOn w:val="CommentTextChar"/>
    <w:link w:val="CommentSubject"/>
    <w:uiPriority w:val="99"/>
    <w:semiHidden/>
    <w:rsid w:val="000969A1"/>
    <w:rPr>
      <w:b/>
      <w:bCs/>
    </w:rPr>
  </w:style>
  <w:style w:type="table" w:styleId="TableGrid">
    <w:name w:val="Table Grid"/>
    <w:basedOn w:val="TableNormal"/>
    <w:uiPriority w:val="59"/>
    <w:rsid w:val="00970477"/>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00579">
      <w:bodyDiv w:val="1"/>
      <w:marLeft w:val="0"/>
      <w:marRight w:val="0"/>
      <w:marTop w:val="0"/>
      <w:marBottom w:val="0"/>
      <w:divBdr>
        <w:top w:val="none" w:sz="0" w:space="0" w:color="auto"/>
        <w:left w:val="none" w:sz="0" w:space="0" w:color="auto"/>
        <w:bottom w:val="none" w:sz="0" w:space="0" w:color="auto"/>
        <w:right w:val="none" w:sz="0" w:space="0" w:color="auto"/>
      </w:divBdr>
    </w:div>
    <w:div w:id="1533229152">
      <w:bodyDiv w:val="1"/>
      <w:marLeft w:val="0"/>
      <w:marRight w:val="0"/>
      <w:marTop w:val="0"/>
      <w:marBottom w:val="0"/>
      <w:divBdr>
        <w:top w:val="none" w:sz="0" w:space="0" w:color="auto"/>
        <w:left w:val="none" w:sz="0" w:space="0" w:color="auto"/>
        <w:bottom w:val="none" w:sz="0" w:space="0" w:color="auto"/>
        <w:right w:val="none" w:sz="0" w:space="0" w:color="auto"/>
      </w:divBdr>
    </w:div>
    <w:div w:id="1644583902">
      <w:bodyDiv w:val="1"/>
      <w:marLeft w:val="0"/>
      <w:marRight w:val="0"/>
      <w:marTop w:val="0"/>
      <w:marBottom w:val="0"/>
      <w:divBdr>
        <w:top w:val="none" w:sz="0" w:space="0" w:color="auto"/>
        <w:left w:val="none" w:sz="0" w:space="0" w:color="auto"/>
        <w:bottom w:val="none" w:sz="0" w:space="0" w:color="auto"/>
        <w:right w:val="none" w:sz="0" w:space="0" w:color="auto"/>
      </w:divBdr>
    </w:div>
    <w:div w:id="19468818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40386595</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Baldivieso, Hector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NI-L1094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DEE2E9B0648644E8FA7253BC7B9D772" ma:contentTypeVersion="0" ma:contentTypeDescription="A content type to manage public (operations) IDB documents" ma:contentTypeScope="" ma:versionID="a5685abb9f78d883561da580be03f66f">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209391-6195-4D51-B9AA-30FA3684D933}"/>
</file>

<file path=customXml/itemProps2.xml><?xml version="1.0" encoding="utf-8"?>
<ds:datastoreItem xmlns:ds="http://schemas.openxmlformats.org/officeDocument/2006/customXml" ds:itemID="{D1CAC8EC-FB38-4E78-B57D-3522A2881B78}"/>
</file>

<file path=customXml/itemProps3.xml><?xml version="1.0" encoding="utf-8"?>
<ds:datastoreItem xmlns:ds="http://schemas.openxmlformats.org/officeDocument/2006/customXml" ds:itemID="{91F41B04-3FFE-4A64-8155-CDB4A40E9B3E}"/>
</file>

<file path=customXml/itemProps4.xml><?xml version="1.0" encoding="utf-8"?>
<ds:datastoreItem xmlns:ds="http://schemas.openxmlformats.org/officeDocument/2006/customXml" ds:itemID="{4C8FA47C-7CC7-49DF-955F-E501B42CE2D4}"/>
</file>

<file path=customXml/itemProps5.xml><?xml version="1.0" encoding="utf-8"?>
<ds:datastoreItem xmlns:ds="http://schemas.openxmlformats.org/officeDocument/2006/customXml" ds:itemID="{19EB3229-2B79-4311-AA98-43A75BBD4D6C}"/>
</file>

<file path=customXml/itemProps6.xml><?xml version="1.0" encoding="utf-8"?>
<ds:datastoreItem xmlns:ds="http://schemas.openxmlformats.org/officeDocument/2006/customXml" ds:itemID="{E8EF4309-27F1-4F05-AF35-8DE44E1392F7}"/>
</file>

<file path=docProps/app.xml><?xml version="1.0" encoding="utf-8"?>
<Properties xmlns="http://schemas.openxmlformats.org/officeDocument/2006/extended-properties" xmlns:vt="http://schemas.openxmlformats.org/officeDocument/2006/docPropsVTypes">
  <Template>Normal.dotm</Template>
  <TotalTime>22</TotalTime>
  <Pages>6</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NI-L1094_CTF cover page 2013_06_30-v5</dc:title>
  <dc:creator>Pablo Torres</dc:creator>
  <cp:lastModifiedBy>Claudio Alatorre Frenk</cp:lastModifiedBy>
  <cp:revision>5</cp:revision>
  <cp:lastPrinted>2016-07-07T21:44:00Z</cp:lastPrinted>
  <dcterms:created xsi:type="dcterms:W3CDTF">2016-07-07T03:44:00Z</dcterms:created>
  <dcterms:modified xsi:type="dcterms:W3CDTF">2016-07-07T21:44:00Z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0x01010046CF21643EE8D14686A648AA6DAD0892000DEE2E9B0648644E8FA7253BC7B9D772</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