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FE6" w:rsidRPr="00726FE6" w:rsidRDefault="00726FE6" w:rsidP="00726FE6">
      <w:pPr>
        <w:tabs>
          <w:tab w:val="left" w:pos="1739"/>
          <w:tab w:val="center" w:pos="6786"/>
        </w:tabs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  <w:color w:val="FF0000"/>
        </w:rPr>
        <w:t>v1</w:t>
      </w:r>
      <w:r w:rsidR="00241D01">
        <w:rPr>
          <w:rFonts w:ascii="Calibri" w:hAnsi="Calibri"/>
          <w:b/>
          <w:color w:val="FF0000"/>
        </w:rPr>
        <w:t>6 21</w:t>
      </w:r>
      <w:r>
        <w:rPr>
          <w:rFonts w:ascii="Calibri" w:hAnsi="Calibri"/>
          <w:b/>
          <w:color w:val="FF0000"/>
        </w:rPr>
        <w:t>Mar</w:t>
      </w:r>
      <w:r w:rsidRPr="001A4B91">
        <w:rPr>
          <w:rFonts w:ascii="Calibri" w:hAnsi="Calibri"/>
          <w:b/>
          <w:color w:val="FF0000"/>
        </w:rPr>
        <w:t>2013</w:t>
      </w:r>
      <w:r>
        <w:rPr>
          <w:rFonts w:ascii="Calibri" w:hAnsi="Calibri"/>
          <w:b/>
          <w:color w:val="FF0000"/>
        </w:rPr>
        <w:t xml:space="preserve"> –</w:t>
      </w:r>
      <w:r w:rsidR="00393D2A">
        <w:rPr>
          <w:rFonts w:ascii="Calibri" w:hAnsi="Calibri"/>
          <w:b/>
          <w:color w:val="FF0000"/>
        </w:rPr>
        <w:t xml:space="preserve"> </w:t>
      </w:r>
      <w:r>
        <w:rPr>
          <w:rFonts w:ascii="Calibri" w:hAnsi="Calibri"/>
          <w:b/>
          <w:color w:val="FF0000"/>
        </w:rPr>
        <w:t>Missão Análise</w:t>
      </w:r>
    </w:p>
    <w:p w:rsidR="00C2406E" w:rsidRDefault="00C2406E">
      <w:pPr>
        <w:rPr>
          <w:rFonts w:asciiTheme="minorHAnsi" w:hAnsiTheme="minorHAnsi" w:cstheme="minorHAnsi"/>
          <w:b/>
        </w:rPr>
      </w:pPr>
      <w:r w:rsidRPr="00C2406E">
        <w:rPr>
          <w:rFonts w:asciiTheme="minorHAnsi" w:hAnsiTheme="minorHAnsi" w:cstheme="minorHAnsi"/>
          <w:b/>
          <w:highlight w:val="yellow"/>
        </w:rPr>
        <w:t>AMARELO</w:t>
      </w:r>
      <w:r w:rsidRPr="00C2406E">
        <w:rPr>
          <w:rFonts w:asciiTheme="minorHAnsi" w:hAnsiTheme="minorHAnsi" w:cstheme="minorHAnsi"/>
          <w:b/>
        </w:rPr>
        <w:t>: PENDÊNCIAS</w:t>
      </w:r>
    </w:p>
    <w:p w:rsidR="00B1205D" w:rsidRDefault="00B1205D">
      <w:pPr>
        <w:rPr>
          <w:rFonts w:asciiTheme="minorHAnsi" w:hAnsiTheme="minorHAnsi" w:cstheme="minorHAnsi"/>
        </w:rPr>
      </w:pPr>
      <w:r w:rsidRPr="00B1205D">
        <w:rPr>
          <w:rFonts w:asciiTheme="minorHAnsi" w:hAnsiTheme="minorHAnsi" w:cstheme="minorHAnsi"/>
          <w:b/>
          <w:highlight w:val="green"/>
        </w:rPr>
        <w:t>VERDE</w:t>
      </w:r>
      <w:r>
        <w:rPr>
          <w:rFonts w:asciiTheme="minorHAnsi" w:hAnsiTheme="minorHAnsi" w:cstheme="minorHAnsi"/>
          <w:b/>
        </w:rPr>
        <w:t>: COMENT</w:t>
      </w:r>
      <w:bookmarkStart w:id="0" w:name="_GoBack"/>
      <w:bookmarkEnd w:id="0"/>
      <w:r>
        <w:rPr>
          <w:rFonts w:asciiTheme="minorHAnsi" w:hAnsiTheme="minorHAnsi" w:cstheme="minorHAnsi"/>
          <w:b/>
        </w:rPr>
        <w:t>ÁRIOS BID</w:t>
      </w:r>
      <w:r w:rsidR="009871D8">
        <w:rPr>
          <w:rFonts w:asciiTheme="minorHAnsi" w:hAnsiTheme="minorHAnsi" w:cstheme="minorHAnsi"/>
          <w:b/>
        </w:rPr>
        <w:t xml:space="preserve"> e/ou PGE/BID</w:t>
      </w:r>
    </w:p>
    <w:tbl>
      <w:tblPr>
        <w:tblW w:w="14743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2977"/>
        <w:gridCol w:w="2695"/>
        <w:gridCol w:w="5385"/>
      </w:tblGrid>
      <w:tr w:rsidR="00726FE6" w:rsidRPr="00694862" w:rsidTr="00880CD7">
        <w:trPr>
          <w:tblHeader/>
        </w:trPr>
        <w:tc>
          <w:tcPr>
            <w:tcW w:w="3686" w:type="dxa"/>
            <w:shd w:val="clear" w:color="auto" w:fill="F2F2F2"/>
            <w:vAlign w:val="center"/>
          </w:tcPr>
          <w:p w:rsidR="00726FE6" w:rsidRPr="00694862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 xml:space="preserve">PROBLEMAS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>/ EVIDÊNCIAS /</w:t>
            </w: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 xml:space="preserve"> LINHA DE BASE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726FE6" w:rsidRPr="00694862" w:rsidRDefault="00726FE6" w:rsidP="00880CD7">
            <w:pPr>
              <w:pStyle w:val="Contedodatabela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CAUSAS DOS PROBLEMAS</w:t>
            </w:r>
          </w:p>
        </w:tc>
        <w:tc>
          <w:tcPr>
            <w:tcW w:w="2695" w:type="dxa"/>
            <w:shd w:val="clear" w:color="auto" w:fill="F2F2F2"/>
            <w:vAlign w:val="center"/>
          </w:tcPr>
          <w:p w:rsidR="00726FE6" w:rsidRPr="00694862" w:rsidRDefault="00726FE6" w:rsidP="00880CD7">
            <w:pPr>
              <w:pStyle w:val="Contedodatabela"/>
              <w:ind w:right="229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PRODUTO / SOLUÇÃO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/INDICADORES / </w:t>
            </w: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RESULTADOS</w:t>
            </w:r>
          </w:p>
        </w:tc>
        <w:tc>
          <w:tcPr>
            <w:tcW w:w="5385" w:type="dxa"/>
            <w:shd w:val="clear" w:color="auto" w:fill="F2F2F2"/>
            <w:vAlign w:val="center"/>
          </w:tcPr>
          <w:p w:rsidR="00726FE6" w:rsidRPr="00694862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>MEDIDA DE POLÍTICA E MEIO DE VERIFICAÇÃO</w:t>
            </w:r>
          </w:p>
        </w:tc>
      </w:tr>
      <w:tr w:rsidR="00726FE6" w:rsidRPr="00694862" w:rsidTr="00880CD7">
        <w:tc>
          <w:tcPr>
            <w:tcW w:w="14743" w:type="dxa"/>
            <w:gridSpan w:val="4"/>
            <w:shd w:val="clear" w:color="auto" w:fill="F2F2F2"/>
            <w:vAlign w:val="center"/>
          </w:tcPr>
          <w:p w:rsidR="00726FE6" w:rsidRPr="00694862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 xml:space="preserve">COMPONENTE I - ESTABILIDADE MACROECONÔMICA E SUSTENTABILIDADE FISCAL </w:t>
            </w:r>
          </w:p>
        </w:tc>
      </w:tr>
      <w:tr w:rsidR="00726FE6" w:rsidRPr="00694862" w:rsidTr="00880CD7">
        <w:tc>
          <w:tcPr>
            <w:tcW w:w="14743" w:type="dxa"/>
            <w:gridSpan w:val="4"/>
          </w:tcPr>
          <w:p w:rsidR="00726FE6" w:rsidRPr="00694862" w:rsidRDefault="00726FE6" w:rsidP="00E87FA3">
            <w:pPr>
              <w:pStyle w:val="BodyText"/>
              <w:tabs>
                <w:tab w:val="left" w:pos="938"/>
              </w:tabs>
              <w:spacing w:before="6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>PROBLEMA:</w:t>
            </w: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>umprimento dos acordos firmados com o governo federal no âmbito do P</w:t>
            </w:r>
            <w:r w:rsidR="00E87FA3">
              <w:rPr>
                <w:rFonts w:asciiTheme="minorHAnsi" w:hAnsiTheme="minorHAnsi" w:cstheme="minorHAnsi"/>
                <w:sz w:val="18"/>
                <w:szCs w:val="18"/>
              </w:rPr>
              <w:t>rograma de Ajuste Fiscal (PAF).</w:t>
            </w:r>
          </w:p>
        </w:tc>
      </w:tr>
      <w:tr w:rsidR="00726FE6" w:rsidRPr="00694862" w:rsidTr="00880CD7">
        <w:tc>
          <w:tcPr>
            <w:tcW w:w="3686" w:type="dxa"/>
            <w:shd w:val="clear" w:color="auto" w:fill="F2F2F2"/>
          </w:tcPr>
          <w:p w:rsidR="00726FE6" w:rsidRPr="00694862" w:rsidRDefault="00726FE6" w:rsidP="00880CD7">
            <w:pPr>
              <w:pStyle w:val="Paragraph"/>
              <w:numPr>
                <w:ilvl w:val="0"/>
                <w:numId w:val="46"/>
              </w:num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n/a</w:t>
            </w:r>
          </w:p>
        </w:tc>
        <w:tc>
          <w:tcPr>
            <w:tcW w:w="2977" w:type="dxa"/>
            <w:shd w:val="clear" w:color="auto" w:fill="F2F2F2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5" w:type="dxa"/>
            <w:shd w:val="clear" w:color="auto" w:fill="F2F2F2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85" w:type="dxa"/>
            <w:shd w:val="clear" w:color="auto" w:fill="F2F2F2"/>
          </w:tcPr>
          <w:p w:rsidR="00726FE6" w:rsidRPr="00DC6248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DC6248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1 e 2ª Tranches: 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Manutenção de uma conjuntura macroeconômica favorável do Estado para o alcance dos objetivos do Programa.</w:t>
            </w:r>
          </w:p>
          <w:p w:rsidR="00726FE6" w:rsidRPr="00DC6248" w:rsidRDefault="00726FE6" w:rsidP="00880CD7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DC6248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726FE6" w:rsidRPr="00DC6248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</w:rPr>
              <w:t>IMA (Independent Macroeconomic Assessment) elaborada pelo Banco.</w:t>
            </w:r>
          </w:p>
        </w:tc>
      </w:tr>
      <w:tr w:rsidR="00726FE6" w:rsidRPr="00694862" w:rsidTr="00880CD7">
        <w:tc>
          <w:tcPr>
            <w:tcW w:w="3686" w:type="dxa"/>
            <w:shd w:val="clear" w:color="auto" w:fill="auto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Problema:</w:t>
            </w:r>
          </w:p>
          <w:p w:rsidR="00726FE6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(I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I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) </w:t>
            </w:r>
            <w:r w:rsidRPr="00E9212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Necessidade de manter uma trajetória sustentável da relação dívida financeira sobre  Receita Líquida Real (RLR), conforme parâmetros previstos no Programa de Ajuste Fiscal (PAF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).</w:t>
            </w:r>
          </w:p>
          <w:p w:rsidR="00880CD7" w:rsidRDefault="00880CD7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74347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Evidência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:</w:t>
            </w:r>
          </w:p>
          <w:p w:rsidR="00880CD7" w:rsidRPr="00694862" w:rsidRDefault="00880CD7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Resultado primário: Negativo devido a um ambicioso programa de investimentos.  trajetória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Indicador:</w:t>
            </w:r>
          </w:p>
          <w:p w:rsidR="00880CD7" w:rsidRDefault="00880CD7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880CD7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Resultado primário 2012</w:t>
            </w:r>
          </w:p>
          <w:p w:rsidR="00880CD7" w:rsidRDefault="00880CD7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Projetado = (1.128)</w:t>
            </w:r>
          </w:p>
          <w:p w:rsidR="00726FE6" w:rsidRPr="00880CD7" w:rsidRDefault="00880CD7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Alcançado = </w:t>
            </w:r>
            <w:r w:rsidRPr="00880CD7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(1.058)</w:t>
            </w:r>
          </w:p>
          <w:p w:rsidR="00EC6F72" w:rsidRPr="00E93047" w:rsidRDefault="00726FE6" w:rsidP="0085715A">
            <w:pPr>
              <w:pStyle w:val="Paragraph"/>
              <w:numPr>
                <w:ilvl w:val="0"/>
                <w:numId w:val="0"/>
              </w:numPr>
              <w:spacing w:before="0" w:after="6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</w:pPr>
            <w:r w:rsidRPr="00B42C78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 xml:space="preserve">Ver </w:t>
            </w:r>
            <w:r w:rsidR="0085715A" w:rsidRPr="00B42C78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>Anexos do</w:t>
            </w:r>
            <w:r w:rsidRPr="00B42C78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 xml:space="preserve"> Relatório do PAF-STN</w:t>
            </w:r>
            <w:r w:rsidR="0085715A" w:rsidRPr="00B42C78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>: Realizado 2009-2011 e Projetado 2012-2014</w:t>
            </w:r>
          </w:p>
        </w:tc>
        <w:tc>
          <w:tcPr>
            <w:tcW w:w="2977" w:type="dxa"/>
            <w:shd w:val="clear" w:color="auto" w:fill="auto"/>
          </w:tcPr>
          <w:p w:rsidR="00726FE6" w:rsidRPr="00694862" w:rsidRDefault="00726FE6" w:rsidP="00880CD7">
            <w:pPr>
              <w:pStyle w:val="Paragraph"/>
              <w:numPr>
                <w:ilvl w:val="0"/>
                <w:numId w:val="23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Grande necessidade de investimentos públicos para manutenção do crescimento do Estado;</w:t>
            </w:r>
          </w:p>
          <w:p w:rsidR="00726FE6" w:rsidRPr="00694862" w:rsidRDefault="00726FE6" w:rsidP="00880CD7">
            <w:pPr>
              <w:pStyle w:val="Paragraph"/>
              <w:numPr>
                <w:ilvl w:val="0"/>
                <w:numId w:val="23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Investimentos já realizados nas áreas de saúde, educação e segurança representam aumento das despesas de custeio do Estado;</w:t>
            </w:r>
          </w:p>
          <w:p w:rsidR="00726FE6" w:rsidRPr="00694862" w:rsidRDefault="00726FE6" w:rsidP="00880CD7">
            <w:pPr>
              <w:pStyle w:val="Paragraph"/>
              <w:numPr>
                <w:ilvl w:val="0"/>
                <w:numId w:val="23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Estado não possui suficiente capacidade de investimento com fontes próprias – necessidade de operações de crédito.</w:t>
            </w:r>
          </w:p>
        </w:tc>
        <w:tc>
          <w:tcPr>
            <w:tcW w:w="2695" w:type="dxa"/>
            <w:shd w:val="clear" w:color="auto" w:fill="auto"/>
          </w:tcPr>
          <w:p w:rsidR="00726FE6" w:rsidRPr="00964337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964337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Solução:</w:t>
            </w:r>
          </w:p>
          <w:p w:rsidR="00726FE6" w:rsidRPr="00EC6F72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964337">
              <w:rPr>
                <w:rFonts w:asciiTheme="minorHAnsi" w:hAnsiTheme="minorHAnsi" w:cstheme="minorHAnsi"/>
                <w:b/>
                <w:sz w:val="18"/>
                <w:szCs w:val="18"/>
              </w:rPr>
              <w:t>Atendim</w:t>
            </w:r>
            <w:r w:rsidR="00E87FA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ento dos limites previstos para um </w:t>
            </w:r>
            <w:r w:rsidR="00E87FA3" w:rsidRPr="00EC6F72">
              <w:rPr>
                <w:rFonts w:asciiTheme="minorHAnsi" w:hAnsiTheme="minorHAnsi"/>
                <w:b/>
                <w:bCs/>
                <w:sz w:val="18"/>
                <w:szCs w:val="18"/>
              </w:rPr>
              <w:t>resultado</w:t>
            </w:r>
            <w:r w:rsidRPr="00EC6F7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primário </w:t>
            </w:r>
            <w:r w:rsidR="00EC6F72" w:rsidRPr="00EC6F72">
              <w:rPr>
                <w:rFonts w:asciiTheme="minorHAnsi" w:hAnsiTheme="minorHAnsi"/>
                <w:b/>
                <w:bCs/>
                <w:sz w:val="18"/>
                <w:szCs w:val="18"/>
              </w:rPr>
              <w:t>nos termos acordados com a STN no âmbito do PAF</w:t>
            </w:r>
          </w:p>
          <w:p w:rsidR="00726FE6" w:rsidRPr="004204B8" w:rsidRDefault="00726FE6" w:rsidP="00E87FA3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6FE6" w:rsidRPr="004204B8" w:rsidRDefault="00880CD7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Resultados (2014</w:t>
            </w:r>
            <w:r w:rsidR="00726FE6" w:rsidRPr="004204B8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):</w:t>
            </w:r>
          </w:p>
          <w:p w:rsidR="00726FE6" w:rsidRPr="004204B8" w:rsidRDefault="00880CD7" w:rsidP="00880CD7">
            <w:pPr>
              <w:pStyle w:val="BodyText"/>
              <w:numPr>
                <w:ilvl w:val="0"/>
                <w:numId w:val="54"/>
              </w:num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Meta pactuada no PAF: (607)</w:t>
            </w:r>
          </w:p>
        </w:tc>
        <w:tc>
          <w:tcPr>
            <w:tcW w:w="5385" w:type="dxa"/>
            <w:shd w:val="clear" w:color="auto" w:fill="auto"/>
          </w:tcPr>
          <w:p w:rsidR="00726FE6" w:rsidRPr="00B17EF7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17EF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1 e 2ª Tranches: </w:t>
            </w:r>
            <w:r w:rsidRPr="00B17EF7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Cumprimento da meta fisca</w:t>
            </w:r>
            <w:r w:rsidR="00880CD7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l</w:t>
            </w:r>
            <w:r w:rsidR="00E87FA3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de </w:t>
            </w:r>
            <w:r w:rsidRPr="00B17EF7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resultado primário, acordadas com o Governo Federal no âmbito do Programa de Reestruturação e Ajuste Fiscal (PAF) dos últimos 12 meses</w:t>
            </w:r>
            <w:r w:rsidRPr="00B17EF7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.</w:t>
            </w:r>
          </w:p>
          <w:p w:rsidR="00726FE6" w:rsidRPr="00B17EF7" w:rsidRDefault="00726FE6" w:rsidP="00880CD7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17EF7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726FE6" w:rsidRPr="00B17EF7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7EF7">
              <w:rPr>
                <w:rFonts w:asciiTheme="minorHAnsi" w:hAnsiTheme="minorHAnsi" w:cstheme="minorHAnsi"/>
                <w:noProof/>
                <w:sz w:val="18"/>
                <w:szCs w:val="18"/>
              </w:rPr>
              <w:t>Último Relatório Especial da Secretaría do Tesouro Nacional (STN), complementado por relatório de gestão da SEFAZ/PE para os meses não contemplados no relatório da STN, o qual deverá observar as mesmas informações do Relatório Especial da STN</w:t>
            </w:r>
          </w:p>
        </w:tc>
      </w:tr>
      <w:tr w:rsidR="00726FE6" w:rsidRPr="00694862" w:rsidTr="00880CD7">
        <w:tc>
          <w:tcPr>
            <w:tcW w:w="14743" w:type="dxa"/>
            <w:gridSpan w:val="4"/>
            <w:shd w:val="clear" w:color="auto" w:fill="F2F2F2"/>
          </w:tcPr>
          <w:p w:rsidR="00726FE6" w:rsidRPr="00694862" w:rsidRDefault="00726FE6" w:rsidP="00880CD7">
            <w:pPr>
              <w:pStyle w:val="Contedodatabel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COMPONENTE II - GESTÃO DA RECEITA PÚBLICA </w:t>
            </w:r>
          </w:p>
        </w:tc>
      </w:tr>
      <w:tr w:rsidR="00726FE6" w:rsidRPr="006E2D06" w:rsidTr="00880CD7">
        <w:tc>
          <w:tcPr>
            <w:tcW w:w="14743" w:type="dxa"/>
            <w:gridSpan w:val="4"/>
          </w:tcPr>
          <w:p w:rsidR="00726FE6" w:rsidRPr="004204B8" w:rsidRDefault="00726FE6" w:rsidP="00880CD7">
            <w:pPr>
              <w:pStyle w:val="BodyText"/>
              <w:tabs>
                <w:tab w:val="left" w:pos="938"/>
              </w:tabs>
              <w:spacing w:before="60" w:after="0"/>
              <w:ind w:left="938" w:hanging="938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1" w:name="OLE_LINK2"/>
            <w:r w:rsidRPr="004204B8">
              <w:rPr>
                <w:rFonts w:asciiTheme="minorHAnsi" w:hAnsiTheme="minorHAnsi" w:cstheme="minorHAnsi"/>
                <w:b/>
                <w:sz w:val="18"/>
                <w:szCs w:val="18"/>
              </w:rPr>
              <w:t>PROBLEMA::</w:t>
            </w:r>
            <w:r w:rsidRPr="004204B8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Ní</w:t>
            </w:r>
            <w:r w:rsidRPr="004204B8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 xml:space="preserve">vel de receita </w:t>
            </w:r>
            <w:r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 xml:space="preserve">insuficiente </w:t>
            </w:r>
            <w:r w:rsidRPr="004204B8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para manter uma trajetória sustentá</w:t>
            </w:r>
            <w:r w:rsidR="00DB0077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vel dos investimentos do Estado</w:t>
            </w:r>
          </w:p>
          <w:p w:rsidR="00726FE6" w:rsidRPr="009E4652" w:rsidRDefault="00726FE6" w:rsidP="00880CD7">
            <w:pPr>
              <w:pStyle w:val="BodyText"/>
              <w:spacing w:before="6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6E2D06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lastRenderedPageBreak/>
              <w:t>Indicador do Componente</w:t>
            </w:r>
            <w:r w:rsidRPr="006E2D06">
              <w:rPr>
                <w:rFonts w:asciiTheme="minorHAnsi" w:hAnsiTheme="minorHAnsi" w:cs="Arial"/>
                <w:bCs/>
                <w:sz w:val="18"/>
                <w:szCs w:val="18"/>
              </w:rPr>
              <w:t xml:space="preserve"> Índice de desempenho (</w:t>
            </w:r>
            <w:r w:rsidRPr="006E2D0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ID=ICMS/PIB</w:t>
            </w:r>
            <w:r w:rsidRPr="006E2D06">
              <w:rPr>
                <w:rFonts w:asciiTheme="minorHAnsi" w:hAnsiTheme="minorHAnsi" w:cs="Arial"/>
                <w:bCs/>
                <w:sz w:val="18"/>
                <w:szCs w:val="18"/>
              </w:rPr>
              <w:t xml:space="preserve">) </w:t>
            </w:r>
            <w:r w:rsidR="00576567" w:rsidRPr="009E4652">
              <w:rPr>
                <w:rFonts w:asciiTheme="minorHAnsi" w:hAnsiTheme="minorHAnsi" w:cs="Arial"/>
                <w:bCs/>
                <w:sz w:val="18"/>
                <w:szCs w:val="18"/>
              </w:rPr>
              <w:t xml:space="preserve">- </w:t>
            </w:r>
            <w:r w:rsidR="00576567" w:rsidRPr="009E465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ADRIANO</w:t>
            </w:r>
          </w:p>
          <w:p w:rsidR="00726FE6" w:rsidRPr="009E4652" w:rsidRDefault="00726FE6" w:rsidP="00880CD7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E465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Linha de Base (2009 – 2010): </w:t>
            </w:r>
            <w:r w:rsidRPr="009E4652">
              <w:rPr>
                <w:rFonts w:asciiTheme="minorHAnsi" w:hAnsiTheme="minorHAnsi" w:cs="Arial"/>
                <w:b/>
                <w:sz w:val="18"/>
                <w:szCs w:val="18"/>
              </w:rPr>
              <w:t xml:space="preserve">8,76 % e 8,84 %. </w:t>
            </w:r>
            <w:r w:rsidR="00CD5301" w:rsidRPr="009E4652">
              <w:rPr>
                <w:rFonts w:asciiTheme="minorHAnsi" w:hAnsiTheme="minorHAnsi" w:cs="Arial"/>
                <w:b/>
                <w:sz w:val="18"/>
                <w:szCs w:val="18"/>
              </w:rPr>
              <w:t xml:space="preserve"> – 2012 -  9,06% - MÉDIA 2010-2012</w:t>
            </w:r>
          </w:p>
          <w:p w:rsidR="00726FE6" w:rsidRPr="009E4652" w:rsidRDefault="00726FE6" w:rsidP="00880CD7">
            <w:pPr>
              <w:pStyle w:val="BodyTex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E4652">
              <w:rPr>
                <w:rFonts w:asciiTheme="minorHAnsi" w:hAnsiTheme="minorHAnsi" w:cstheme="minorHAnsi"/>
                <w:sz w:val="18"/>
                <w:szCs w:val="18"/>
              </w:rPr>
              <w:t xml:space="preserve">Fonte: </w:t>
            </w:r>
            <w:r w:rsidRPr="009E4652">
              <w:rPr>
                <w:rFonts w:asciiTheme="minorHAnsi" w:hAnsiTheme="minorHAnsi" w:cstheme="minorHAnsi"/>
                <w:b/>
                <w:sz w:val="18"/>
                <w:szCs w:val="18"/>
              </w:rPr>
              <w:t>Vide Nota Técnica SEFAZ 1 - Arrecadação Índice de Desempenho e Apresentação da SEFAZ PE Índice Desempenho Arrecadação v07Mar2013</w:t>
            </w:r>
            <w:r w:rsidR="00804AC8" w:rsidRPr="009E465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:rsidR="00CD5301" w:rsidRPr="006E2D06" w:rsidRDefault="00CD5301" w:rsidP="00576567">
            <w:pPr>
              <w:pStyle w:val="BodyText"/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4652">
              <w:rPr>
                <w:rFonts w:asciiTheme="minorHAnsi" w:hAnsiTheme="minorHAnsi" w:cs="Arial"/>
                <w:b/>
                <w:sz w:val="18"/>
                <w:szCs w:val="18"/>
              </w:rPr>
              <w:t xml:space="preserve">Resultado esperado (2014): Incremento de 0,1 </w:t>
            </w:r>
            <w:r w:rsidR="00576567" w:rsidRPr="009E4652">
              <w:rPr>
                <w:rFonts w:asciiTheme="minorHAnsi" w:hAnsiTheme="minorHAnsi" w:cs="Arial"/>
                <w:b/>
                <w:sz w:val="18"/>
                <w:szCs w:val="18"/>
              </w:rPr>
              <w:t>– 9,1%</w:t>
            </w:r>
            <w:r w:rsidRPr="009E4652">
              <w:rPr>
                <w:rFonts w:asciiTheme="minorHAnsi" w:hAnsiTheme="minorHAnsi" w:cs="Arial"/>
                <w:b/>
                <w:sz w:val="18"/>
                <w:szCs w:val="18"/>
              </w:rPr>
              <w:t xml:space="preserve"> (HIPÓESE)</w:t>
            </w:r>
          </w:p>
        </w:tc>
      </w:tr>
      <w:bookmarkEnd w:id="1"/>
      <w:tr w:rsidR="00726FE6" w:rsidRPr="00694862" w:rsidTr="00880CD7">
        <w:tc>
          <w:tcPr>
            <w:tcW w:w="3686" w:type="dxa"/>
            <w:shd w:val="clear" w:color="auto" w:fill="auto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(I) </w:t>
            </w:r>
            <w:r w:rsidRPr="00694862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Ineficiência da ação fiscal nos diversos segmentos econômicos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base: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>Inexistência de unidade específica para execução da ação fiscal dos setores econômicos mais relevantes para arrecadação estadual, afetando o desempenho dos demais setores em relação aos de maior potencial de arrecadação.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>Resultados:</w:t>
            </w:r>
          </w:p>
          <w:p w:rsidR="00726FE6" w:rsidRPr="00C963CD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i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>(2012) Grupo A</w:t>
            </w:r>
            <w:r w:rsidRPr="00694862">
              <w:rPr>
                <w:rFonts w:asciiTheme="minorHAnsi" w:hAnsiTheme="minorHAnsi" w:cstheme="minorHAnsi"/>
                <w:i/>
                <w:noProof/>
                <w:sz w:val="18"/>
                <w:szCs w:val="18"/>
                <w:lang w:eastAsia="en-US"/>
              </w:rPr>
              <w:t xml:space="preserve"> – Combustível, energia e </w:t>
            </w:r>
            <w:r w:rsidRPr="00C963CD">
              <w:rPr>
                <w:rFonts w:asciiTheme="minorHAnsi" w:hAnsiTheme="minorHAnsi" w:cstheme="minorHAnsi"/>
                <w:i/>
                <w:noProof/>
                <w:sz w:val="18"/>
                <w:szCs w:val="18"/>
                <w:lang w:eastAsia="en-US"/>
              </w:rPr>
              <w:t xml:space="preserve">telecomunicações – Crédito tributário decorrente de ação fiscal = </w:t>
            </w:r>
            <w:r w:rsidRPr="00C963C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>R$ 476</w:t>
            </w:r>
            <w:r w:rsidR="00C34D9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 xml:space="preserve"> </w:t>
            </w:r>
            <w:r w:rsidRPr="00C963C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>milhões</w:t>
            </w:r>
            <w:r>
              <w:rPr>
                <w:rFonts w:asciiTheme="minorHAnsi" w:hAnsiTheme="minorHAnsi" w:cstheme="minorHAnsi"/>
                <w:i/>
                <w:noProof/>
                <w:sz w:val="18"/>
                <w:szCs w:val="18"/>
                <w:lang w:eastAsia="en-US"/>
              </w:rPr>
              <w:t xml:space="preserve"> dos quais R$46 millhões efetivamente pagos.</w:t>
            </w:r>
          </w:p>
          <w:p w:rsidR="00726FE6" w:rsidRPr="00C963CD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i/>
                <w:noProof/>
                <w:sz w:val="18"/>
                <w:szCs w:val="18"/>
                <w:lang w:eastAsia="en-US"/>
              </w:rPr>
            </w:pPr>
            <w:r w:rsidRPr="00C963C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>(2012) Grupo B</w:t>
            </w:r>
            <w:r w:rsidRPr="00C963CD">
              <w:rPr>
                <w:rFonts w:asciiTheme="minorHAnsi" w:hAnsiTheme="minorHAnsi" w:cstheme="minorHAnsi"/>
                <w:i/>
                <w:noProof/>
                <w:sz w:val="18"/>
                <w:szCs w:val="18"/>
                <w:lang w:eastAsia="en-US"/>
              </w:rPr>
              <w:t xml:space="preserve"> – Demais segmentos econômicos - Crédito tributário decorrente de ação fiscal = </w:t>
            </w:r>
            <w:r w:rsidR="00C34D9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 xml:space="preserve">R$ 834 </w:t>
            </w:r>
            <w:r w:rsidRPr="00C963C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>milhões</w:t>
            </w:r>
            <w:r w:rsidR="00C34D9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i/>
                <w:noProof/>
                <w:sz w:val="18"/>
                <w:szCs w:val="18"/>
                <w:lang w:eastAsia="en-US"/>
              </w:rPr>
              <w:t xml:space="preserve">dos quais </w:t>
            </w:r>
            <w:r w:rsidRPr="00340A69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>R$24 millhões efetivamente pago</w:t>
            </w:r>
            <w:r>
              <w:rPr>
                <w:rFonts w:asciiTheme="minorHAnsi" w:hAnsiTheme="minorHAnsi" w:cstheme="minorHAnsi"/>
                <w:i/>
                <w:noProof/>
                <w:sz w:val="18"/>
                <w:szCs w:val="18"/>
                <w:lang w:eastAsia="en-US"/>
              </w:rPr>
              <w:t>s.</w:t>
            </w:r>
          </w:p>
          <w:p w:rsidR="00726FE6" w:rsidRPr="00726FE6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726FE6" w:rsidRPr="00097C6A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726FE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Vide Nota Técnica SEFAZ 2 - </w:t>
            </w:r>
            <w:r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Reestruturação SEFAZ vf 04Mar2013</w:t>
            </w:r>
          </w:p>
        </w:tc>
        <w:tc>
          <w:tcPr>
            <w:tcW w:w="2977" w:type="dxa"/>
            <w:shd w:val="clear" w:color="auto" w:fill="auto"/>
          </w:tcPr>
          <w:p w:rsidR="00726FE6" w:rsidRPr="00694862" w:rsidRDefault="00726FE6" w:rsidP="00880CD7">
            <w:pPr>
              <w:pStyle w:val="Paragraph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A Estrutura fiscal é organizada por critério apenas geográfico;</w:t>
            </w:r>
          </w:p>
          <w:p w:rsidR="00726FE6" w:rsidRPr="00694862" w:rsidRDefault="00726FE6" w:rsidP="00880CD7">
            <w:pPr>
              <w:pStyle w:val="Paragraph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Organização administrativa atual privilegia controle dos principais segmentos econômicos (Grupo A) – já fortemente acompanhados, em detrimento dos segmentos secundários (Grupo B) - onde a capacidade de expansão da receita é maior;</w:t>
            </w:r>
          </w:p>
          <w:p w:rsidR="00726FE6" w:rsidRPr="00694862" w:rsidRDefault="00726FE6" w:rsidP="00880CD7">
            <w:pPr>
              <w:pStyle w:val="Paragraph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Pouca especialização das equipes nas peculiaridades de cada segmento econômico contribuinte.</w:t>
            </w:r>
          </w:p>
        </w:tc>
        <w:tc>
          <w:tcPr>
            <w:tcW w:w="2695" w:type="dxa"/>
            <w:shd w:val="clear" w:color="auto" w:fill="auto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Solução:</w:t>
            </w:r>
          </w:p>
          <w:p w:rsidR="00726FE6" w:rsidRPr="00694862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>Reestruturação administrativa da Secretaria da Fazenda de Pernambuco (SEFAZ</w:t>
            </w: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>), a fim de:</w:t>
            </w:r>
          </w:p>
          <w:p w:rsidR="00726FE6" w:rsidRPr="00694862" w:rsidRDefault="00726FE6" w:rsidP="00880CD7">
            <w:pPr>
              <w:pStyle w:val="BodyText"/>
              <w:numPr>
                <w:ilvl w:val="0"/>
                <w:numId w:val="40"/>
              </w:num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92128">
              <w:rPr>
                <w:rFonts w:asciiTheme="minorHAnsi" w:hAnsiTheme="minorHAnsi" w:cstheme="minorHAnsi"/>
                <w:sz w:val="16"/>
                <w:szCs w:val="16"/>
              </w:rPr>
              <w:t>Otimizar a execução da ação fiscal por meio da criação de equipes especializadas nos principais segmentos econômicos de arrecadação estadual (Grupo A), e ampliação da capacidade de execução para os demais segmentos (Grupo B), com consequente aumento da base contributiva do Estado</w:t>
            </w: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Indicador: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Produto (201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3</w:t>
            </w: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)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02 equipes especializadas em fiscalização dos segmentos mais relevantes em termos de arrecadação estadual</w:t>
            </w:r>
            <w: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instaladas</w:t>
            </w:r>
          </w:p>
          <w:p w:rsidR="00726FE6" w:rsidRPr="00694862" w:rsidRDefault="00726FE6" w:rsidP="00880CD7">
            <w:pPr>
              <w:pStyle w:val="BodyText"/>
              <w:tabs>
                <w:tab w:val="right" w:pos="2585"/>
              </w:tabs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Resultado (2014):</w:t>
            </w:r>
          </w:p>
          <w:p w:rsidR="00726FE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 xml:space="preserve">Incremento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 25% na recuperação </w:t>
            </w: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>do crédito tributário decorrente de ação fiscal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726FE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12437">
              <w:rPr>
                <w:rFonts w:asciiTheme="minorHAnsi" w:hAnsiTheme="minorHAnsi" w:cstheme="minorHAnsi"/>
                <w:sz w:val="18"/>
                <w:szCs w:val="18"/>
              </w:rPr>
              <w:t>Constituído = R$1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,050 milhões</w:t>
            </w:r>
          </w:p>
          <w:p w:rsidR="00726FE6" w:rsidRPr="00D97C0E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97C0E">
              <w:rPr>
                <w:rFonts w:asciiTheme="minorHAnsi" w:hAnsiTheme="minorHAnsi" w:cstheme="minorHAnsi"/>
                <w:b/>
                <w:sz w:val="18"/>
                <w:szCs w:val="18"/>
              </w:rPr>
              <w:t>Pago = R$33 milhões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color w:val="002060"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694862">
              <w:rPr>
                <w:rFonts w:asciiTheme="minorHAnsi" w:hAnsiTheme="minorHAnsi" w:cstheme="minorHAnsi"/>
                <w:i/>
                <w:noProof/>
                <w:sz w:val="18"/>
                <w:szCs w:val="18"/>
                <w:lang w:eastAsia="en-US"/>
              </w:rPr>
              <w:t>Grupo B – Demais segmentos econômicos)</w:t>
            </w:r>
          </w:p>
        </w:tc>
        <w:tc>
          <w:tcPr>
            <w:tcW w:w="5385" w:type="dxa"/>
            <w:shd w:val="clear" w:color="auto" w:fill="auto"/>
          </w:tcPr>
          <w:p w:rsidR="00726FE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6248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1ª tranche: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1A4728">
              <w:rPr>
                <w:rFonts w:asciiTheme="minorHAnsi" w:hAnsiTheme="minorHAnsi" w:cstheme="minorHAnsi"/>
                <w:b/>
                <w:sz w:val="18"/>
                <w:szCs w:val="18"/>
              </w:rPr>
              <w:t>Criação de novo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modelo de fiscalização de contribuintes por segmentos econômicos </w:t>
            </w:r>
          </w:p>
          <w:p w:rsidR="00726FE6" w:rsidRPr="00DC6248" w:rsidRDefault="00726FE6" w:rsidP="00880CD7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DC6248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726FE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A2E71">
              <w:rPr>
                <w:rFonts w:asciiTheme="minorHAnsi" w:hAnsiTheme="minorHAnsi" w:cstheme="minorHAnsi"/>
                <w:noProof/>
                <w:sz w:val="18"/>
                <w:szCs w:val="18"/>
              </w:rPr>
              <w:t>Decreto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do Poder Executivo E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</w:rPr>
              <w:t>stadual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Diário Oficial do Estado (DOE)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criando e reestruturando 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diretorias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na área tributária, direcionadas à fiscalização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em setores econômicos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. </w:t>
            </w:r>
          </w:p>
          <w:p w:rsidR="00726FE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lang w:eastAsia="en-US"/>
              </w:rPr>
            </w:pPr>
            <w:r w:rsidRPr="008939DC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  <w:lang w:eastAsia="en-US"/>
              </w:rPr>
              <w:t>PGE/DANILO: Confirmar a criação e a reestruturação das demais diretorias por meio de decreto</w:t>
            </w:r>
          </w:p>
          <w:p w:rsidR="001871D8" w:rsidRDefault="00E30FE8" w:rsidP="00880CD7">
            <w:pPr>
              <w:pStyle w:val="BodyText"/>
              <w:spacing w:after="60"/>
              <w:jc w:val="both"/>
              <w:rPr>
                <w:rFonts w:ascii="Calibri" w:hAnsi="Calibri" w:cs="Calibri"/>
                <w:b/>
                <w:sz w:val="18"/>
                <w:szCs w:val="18"/>
                <w:lang w:eastAsia="pt-BR"/>
              </w:rPr>
            </w:pPr>
            <w:r w:rsidRPr="009E15A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SEFAZ: </w:t>
            </w:r>
            <w:r w:rsidRPr="009E15A6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 xml:space="preserve">Criação de novos cargos através de Lei – duas DAS4 – Diretores Executivos </w:t>
            </w:r>
            <w:r w:rsidR="001871D8" w:rsidRPr="00DA2E71">
              <w:rPr>
                <w:rFonts w:ascii="Calibri" w:hAnsi="Calibri" w:cs="Calibri"/>
                <w:b/>
                <w:color w:val="FF0000"/>
                <w:sz w:val="18"/>
                <w:szCs w:val="18"/>
                <w:lang w:eastAsia="pt-BR"/>
              </w:rPr>
              <w:t>(Lei em andamento na Assembleia)</w:t>
            </w:r>
            <w:r w:rsidR="001871D8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 xml:space="preserve"> </w:t>
            </w:r>
            <w:r w:rsidRPr="009E15A6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>e quatro CAS2 – Gerências e reestruturação será por meio de decreto</w:t>
            </w:r>
          </w:p>
          <w:p w:rsidR="00466CC4" w:rsidRPr="00F64354" w:rsidRDefault="00466CC4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color w:val="FF0000"/>
                <w:sz w:val="18"/>
                <w:szCs w:val="18"/>
                <w:lang w:eastAsia="en-US"/>
              </w:rPr>
            </w:pPr>
            <w:r w:rsidRPr="00F64354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PGE: Como não haverá incremento de despesa com a criação de novos cargos, entendemos legal a criação de diretorias, coordenações e câmaras especializadas por intermédio de decreto (neste ponto, a Constituição Federal prescreve que é possível organizar a Administração Pública via decreto, desde que não implique a criação de órgãos ou aumento de despesa)</w:t>
            </w:r>
          </w:p>
          <w:p w:rsidR="00F12C90" w:rsidRPr="00F12C90" w:rsidRDefault="008E73F8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97676A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 xml:space="preserve">BID: </w:t>
            </w:r>
            <w:r w:rsidR="0097676A" w:rsidRPr="0097676A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>Estrutura poderá ser criada por Decreto e esta é a condição. Os cargos poderão ser cirados por Lei (aumento de despesa) ou remanejados.</w:t>
            </w:r>
          </w:p>
          <w:p w:rsidR="00F12C90" w:rsidRPr="00F12C90" w:rsidRDefault="00F12C90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:rsidR="00726FE6" w:rsidRPr="00DC6248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C6248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2ª tranche:</w:t>
            </w:r>
            <w:r w:rsidR="00597615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1A4728">
              <w:rPr>
                <w:rFonts w:asciiTheme="minorHAnsi" w:hAnsiTheme="minorHAnsi" w:cstheme="minorHAnsi"/>
                <w:b/>
                <w:sz w:val="18"/>
                <w:szCs w:val="18"/>
              </w:rPr>
              <w:t>Operacionalização do novo modelo de fiscalização de contribuintes por segmentos econômicos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726FE6" w:rsidRPr="00DC6248" w:rsidRDefault="00726FE6" w:rsidP="00880CD7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DC6248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726FE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A13E1">
              <w:rPr>
                <w:rFonts w:asciiTheme="minorHAnsi" w:hAnsiTheme="minorHAnsi" w:cstheme="minorHAnsi"/>
                <w:noProof/>
                <w:sz w:val="18"/>
                <w:szCs w:val="18"/>
              </w:rPr>
              <w:t>Ato do Governador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designando as equipes técnicas da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s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Diretoria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s criadas e reestruturadas publicado no DOE</w:t>
            </w:r>
          </w:p>
          <w:p w:rsidR="00726FE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8939DC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  <w:lang w:eastAsia="en-US"/>
              </w:rPr>
              <w:t>PGE/DANILO</w:t>
            </w:r>
            <w:r w:rsidRPr="008939DC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  <w:t xml:space="preserve">: Confirmar a possibilidade de ser ato do Secretário da </w:t>
            </w:r>
            <w:r w:rsidRPr="008939DC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  <w:lastRenderedPageBreak/>
              <w:t>Fazenda</w:t>
            </w:r>
          </w:p>
          <w:p w:rsidR="00466CC4" w:rsidRDefault="00466CC4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F64354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SEFAZ: Não pode ser ato do Secretário por se tratar de designação para cargo comissionado.</w:t>
            </w:r>
          </w:p>
          <w:p w:rsidR="00A4061B" w:rsidRPr="00A4061B" w:rsidRDefault="00A4061B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color w:val="FF0000"/>
                <w:sz w:val="18"/>
                <w:szCs w:val="18"/>
              </w:rPr>
            </w:pPr>
            <w:r w:rsidRPr="00A4061B">
              <w:rPr>
                <w:rFonts w:asciiTheme="minorHAnsi" w:hAnsiTheme="minorHAnsi" w:cstheme="minorHAnsi"/>
                <w:b/>
                <w:noProof/>
                <w:color w:val="FF0000"/>
                <w:sz w:val="18"/>
                <w:szCs w:val="18"/>
              </w:rPr>
              <w:t>PGE: Não existe regulamentação para quem pode designar para os cargos comissionados</w:t>
            </w:r>
            <w:r>
              <w:rPr>
                <w:rFonts w:asciiTheme="minorHAnsi" w:hAnsiTheme="minorHAnsi" w:cstheme="minorHAnsi"/>
                <w:b/>
                <w:noProof/>
                <w:color w:val="FF0000"/>
                <w:sz w:val="18"/>
                <w:szCs w:val="18"/>
              </w:rPr>
              <w:t>. Por segurança solicita seja ato do governandor.</w:t>
            </w:r>
          </w:p>
          <w:p w:rsidR="00A4061B" w:rsidRPr="00466CC4" w:rsidRDefault="00A4061B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066E95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 xml:space="preserve">BID: </w:t>
            </w:r>
            <w:r w:rsidR="00066E95" w:rsidRPr="00066E95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>O governador designará as equipes técnicas das novas diretorias seja por meio de remanejamento ou acúmulo de funções ou seja por meio da designação para os novos cargos criados por Lei</w:t>
            </w:r>
          </w:p>
        </w:tc>
      </w:tr>
      <w:tr w:rsidR="00726FE6" w:rsidRPr="00694862" w:rsidTr="00880CD7">
        <w:tc>
          <w:tcPr>
            <w:tcW w:w="3686" w:type="dxa"/>
            <w:shd w:val="clear" w:color="auto" w:fill="auto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726FE6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(II) </w:t>
            </w:r>
            <w:r w:rsidRPr="00694862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Ineficiência das rotinas fiscalizatórias dos Postos Fiscais.</w:t>
            </w:r>
          </w:p>
          <w:p w:rsidR="00726FE6" w:rsidRPr="00BA3848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BA384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Evidência</w:t>
            </w: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s</w:t>
            </w:r>
            <w:r w:rsidRPr="00BA384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 – Posto Fiscal de SUAPE/2012:</w:t>
            </w:r>
          </w:p>
          <w:p w:rsidR="00726FE6" w:rsidRPr="00BA3848" w:rsidRDefault="00726FE6" w:rsidP="00880CD7">
            <w:pPr>
              <w:pStyle w:val="ListParagraph"/>
              <w:numPr>
                <w:ilvl w:val="0"/>
                <w:numId w:val="52"/>
              </w:numPr>
              <w:spacing w:after="60"/>
              <w:jc w:val="both"/>
              <w:rPr>
                <w:rFonts w:asciiTheme="minorHAnsi" w:hAnsiTheme="minorHAnsi"/>
                <w:bCs/>
                <w:sz w:val="18"/>
                <w:szCs w:val="18"/>
                <w:lang w:eastAsia="pt-BR"/>
              </w:rPr>
            </w:pPr>
            <w:r w:rsidRPr="00BA3848">
              <w:rPr>
                <w:rFonts w:asciiTheme="minorHAnsi" w:hAnsiTheme="minorHAnsi"/>
                <w:bCs/>
                <w:sz w:val="18"/>
                <w:szCs w:val="18"/>
                <w:lang w:eastAsia="pt-BR"/>
              </w:rPr>
              <w:t>Volume de carga registrada = 301.510 (14,7% do total de cargas dos Postos Fiscais)</w:t>
            </w:r>
          </w:p>
          <w:p w:rsidR="00726FE6" w:rsidRPr="00C34D9D" w:rsidRDefault="00726FE6" w:rsidP="00C34D9D">
            <w:pPr>
              <w:spacing w:after="60"/>
              <w:jc w:val="both"/>
              <w:rPr>
                <w:rFonts w:asciiTheme="minorHAnsi" w:hAnsiTheme="minorHAnsi"/>
                <w:bCs/>
                <w:sz w:val="18"/>
                <w:szCs w:val="18"/>
                <w:lang w:eastAsia="pt-BR"/>
              </w:rPr>
            </w:pPr>
            <w:r w:rsidRPr="00C34D9D">
              <w:rPr>
                <w:rFonts w:asciiTheme="minorHAnsi" w:hAnsiTheme="minorHAnsi"/>
                <w:bCs/>
                <w:sz w:val="18"/>
                <w:szCs w:val="18"/>
                <w:lang w:eastAsia="pt-BR"/>
              </w:rPr>
              <w:t>Valor total das notas fiscais registradas = R$28.525 milhões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(2012):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>Inexistência de posto fiscal utilizando metodologia de fiscalização por exclusão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 (2012):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 xml:space="preserve">Volume de crédito tributário lançado proveniente de ações fiscais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 posto fiscal de SUAPE</w:t>
            </w: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 xml:space="preserve"> = </w:t>
            </w:r>
            <w:r w:rsidRPr="00FC7783">
              <w:rPr>
                <w:rFonts w:asciiTheme="minorHAnsi" w:hAnsiTheme="minorHAnsi" w:cstheme="minorHAnsi"/>
                <w:sz w:val="18"/>
                <w:szCs w:val="18"/>
              </w:rPr>
              <w:t>R$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737 mil</w:t>
            </w:r>
          </w:p>
          <w:p w:rsidR="00726FE6" w:rsidRPr="00097C6A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6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</w:pPr>
            <w:r w:rsidRPr="00726FE6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>Vide Nota Técnica SEFAZ 3– Fiscalização por Exclusão nos Postos Fiscais vf04Mar2013</w:t>
            </w:r>
            <w:r w:rsidRPr="00CA5E6D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726FE6" w:rsidRPr="00694862" w:rsidRDefault="00726FE6" w:rsidP="00880CD7">
            <w:pPr>
              <w:pStyle w:val="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Atividades burocráticas e procedimentos aleatórios requerem grande parte do tempo das equipes fiscais alocadas nos postos;</w:t>
            </w:r>
          </w:p>
          <w:p w:rsidR="00726FE6" w:rsidRPr="00694862" w:rsidRDefault="00726FE6" w:rsidP="00880CD7">
            <w:pPr>
              <w:pStyle w:val="Paragraph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color w:val="FF0000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Grande movimento de caminhões nos Postos inviabilizam ação fiscal mais detalhada nas cargas de maior risco de sonegação.</w:t>
            </w:r>
          </w:p>
        </w:tc>
        <w:tc>
          <w:tcPr>
            <w:tcW w:w="2695" w:type="dxa"/>
            <w:shd w:val="clear" w:color="auto" w:fill="auto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Solução:</w:t>
            </w:r>
          </w:p>
          <w:p w:rsidR="00726FE6" w:rsidRPr="00694862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>Metodologia de fiscalização por exclusão nos postos fiscais do Estado implementada</w:t>
            </w: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 xml:space="preserve"> com suporte de ferramental tecnológico específico.</w:t>
            </w:r>
          </w:p>
          <w:p w:rsidR="00726FE6" w:rsidRPr="00694862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</w:t>
            </w:r>
          </w:p>
          <w:p w:rsidR="00726FE6" w:rsidRPr="00694862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(2013)</w:t>
            </w: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</w:p>
          <w:p w:rsidR="00726FE6" w:rsidRPr="00694862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>02 Postos Fiscais com metodologia de fiscalização por exclusão implantada.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Resultados (2015):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FC7783">
              <w:rPr>
                <w:rFonts w:asciiTheme="minorHAnsi" w:hAnsiTheme="minorHAnsi" w:cstheme="minorHAnsi"/>
                <w:sz w:val="18"/>
                <w:szCs w:val="18"/>
              </w:rPr>
              <w:t xml:space="preserve">Incremento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 50% </w:t>
            </w:r>
            <w:r w:rsidRPr="00FC7783">
              <w:rPr>
                <w:rFonts w:asciiTheme="minorHAnsi" w:hAnsiTheme="minorHAnsi" w:cstheme="minorHAnsi"/>
                <w:sz w:val="18"/>
                <w:szCs w:val="18"/>
              </w:rPr>
              <w:t>no volume de crédito lançado provenientes de ações no posto fiscal de SUAPE em R$ 1.100 mil.</w:t>
            </w:r>
            <w:r w:rsidRPr="006948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385" w:type="dxa"/>
            <w:shd w:val="clear" w:color="auto" w:fill="auto"/>
          </w:tcPr>
          <w:p w:rsidR="00466CC4" w:rsidRPr="00A4061B" w:rsidRDefault="00466CC4" w:rsidP="00466CC4">
            <w:pPr>
              <w:jc w:val="both"/>
              <w:rPr>
                <w:rFonts w:asciiTheme="minorHAnsi" w:eastAsiaTheme="minorEastAsia" w:hAnsiTheme="minorHAnsi" w:cs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A4061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1ª tranche: </w:t>
            </w:r>
            <w:r w:rsidRPr="00A4061B">
              <w:rPr>
                <w:rStyle w:val="HTMLTypewriter"/>
                <w:rFonts w:asciiTheme="minorHAnsi" w:eastAsiaTheme="minorHAnsi" w:hAnsiTheme="minorHAnsi"/>
                <w:sz w:val="18"/>
                <w:szCs w:val="18"/>
              </w:rPr>
              <w:t xml:space="preserve">Regulamentação da metodologia de fiscalização por exclusão para os postos fiscais do Estado </w:t>
            </w:r>
            <w:r w:rsidRPr="00A4061B">
              <w:rPr>
                <w:rFonts w:asciiTheme="minorHAnsi" w:hAnsiTheme="minorHAnsi" w:cs="Courier New"/>
                <w:sz w:val="18"/>
                <w:szCs w:val="18"/>
              </w:rPr>
              <w:br/>
            </w:r>
            <w:r w:rsidRPr="00A4061B">
              <w:rPr>
                <w:rFonts w:asciiTheme="minorHAnsi" w:eastAsiaTheme="minorEastAsia" w:hAnsiTheme="minorHAnsi" w:cs="Calibri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Meio de verificação: </w:t>
            </w:r>
          </w:p>
          <w:p w:rsidR="00466CC4" w:rsidRPr="00A4061B" w:rsidRDefault="00466CC4" w:rsidP="00466CC4">
            <w:pPr>
              <w:pStyle w:val="BodyText"/>
              <w:spacing w:after="60"/>
              <w:jc w:val="both"/>
              <w:rPr>
                <w:rFonts w:asciiTheme="minorHAnsi" w:eastAsiaTheme="minorEastAsia" w:hAnsiTheme="minorHAnsi" w:cs="Calibri"/>
                <w:noProof/>
                <w:sz w:val="18"/>
                <w:szCs w:val="18"/>
                <w:lang w:eastAsia="en-US"/>
              </w:rPr>
            </w:pPr>
            <w:r w:rsidRPr="00A4061B">
              <w:rPr>
                <w:rStyle w:val="HTMLTypewriter"/>
                <w:rFonts w:asciiTheme="minorHAnsi" w:eastAsiaTheme="minorHAnsi" w:hAnsiTheme="minorHAnsi"/>
                <w:sz w:val="18"/>
                <w:szCs w:val="18"/>
              </w:rPr>
              <w:t>Portaria do Secretário da Fazenda, publicada do Diário Oficial do Estado (DOE), institucionalizando a nova forma de fiscalização por exclusão para os postos fiscais do Estado.</w:t>
            </w:r>
          </w:p>
          <w:p w:rsidR="00726FE6" w:rsidRPr="00A4061B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466CC4" w:rsidRPr="00A4061B" w:rsidRDefault="00466CC4" w:rsidP="00466CC4">
            <w:pPr>
              <w:jc w:val="both"/>
              <w:rPr>
                <w:rFonts w:asciiTheme="minorHAnsi" w:eastAsiaTheme="minorEastAsia" w:hAnsiTheme="minorHAnsi" w:cs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A4061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2ª tranche: </w:t>
            </w:r>
            <w:r w:rsidRPr="00A4061B">
              <w:rPr>
                <w:rStyle w:val="HTMLTypewriter"/>
                <w:rFonts w:asciiTheme="minorHAnsi" w:eastAsiaTheme="minorHAnsi" w:hAnsiTheme="minorHAnsi"/>
                <w:sz w:val="18"/>
                <w:szCs w:val="18"/>
              </w:rPr>
              <w:t xml:space="preserve">Implementação das ações de fiscalização por exclusão por meio de projeto piloto no Posto Fiscal de SUAPE </w:t>
            </w:r>
            <w:r w:rsidRPr="00A4061B">
              <w:rPr>
                <w:rFonts w:asciiTheme="minorHAnsi" w:hAnsiTheme="minorHAnsi" w:cs="Courier New"/>
                <w:sz w:val="18"/>
                <w:szCs w:val="18"/>
              </w:rPr>
              <w:br/>
            </w:r>
            <w:r w:rsidRPr="00A4061B">
              <w:rPr>
                <w:rFonts w:asciiTheme="minorHAnsi" w:eastAsiaTheme="minorEastAsia" w:hAnsiTheme="minorHAnsi" w:cs="Calibri"/>
                <w:b/>
                <w:bCs/>
                <w:i/>
                <w:iCs/>
                <w:sz w:val="18"/>
                <w:szCs w:val="18"/>
                <w:lang w:eastAsia="ar-SA"/>
              </w:rPr>
              <w:t>Meio de verificação:</w:t>
            </w:r>
          </w:p>
          <w:p w:rsidR="00466CC4" w:rsidRDefault="00466CC4" w:rsidP="00880CD7">
            <w:pPr>
              <w:pStyle w:val="BodyText"/>
              <w:spacing w:after="0"/>
              <w:jc w:val="both"/>
              <w:rPr>
                <w:rStyle w:val="HTMLTypewriter"/>
                <w:rFonts w:asciiTheme="minorHAnsi" w:eastAsiaTheme="minorHAnsi" w:hAnsiTheme="minorHAnsi"/>
                <w:sz w:val="18"/>
                <w:szCs w:val="18"/>
              </w:rPr>
            </w:pPr>
            <w:r w:rsidRPr="00A4061B">
              <w:rPr>
                <w:rStyle w:val="HTMLTypewriter"/>
                <w:rFonts w:asciiTheme="minorHAnsi" w:eastAsiaTheme="minorHAnsi" w:hAnsiTheme="minorHAnsi"/>
                <w:sz w:val="18"/>
                <w:szCs w:val="18"/>
              </w:rPr>
              <w:t>Relatório da SEFAZ comprovando a implementação das ações fiscalização por exclusão no Posto Fiscal de SUAPE</w:t>
            </w:r>
          </w:p>
          <w:p w:rsidR="00A4061B" w:rsidRDefault="00A4061B" w:rsidP="00880CD7">
            <w:pPr>
              <w:pStyle w:val="BodyText"/>
              <w:spacing w:after="0"/>
              <w:jc w:val="both"/>
              <w:rPr>
                <w:rStyle w:val="HTMLTypewriter"/>
                <w:rFonts w:asciiTheme="minorHAnsi" w:eastAsiaTheme="minorHAnsi" w:hAnsiTheme="minorHAnsi"/>
                <w:sz w:val="18"/>
                <w:szCs w:val="18"/>
              </w:rPr>
            </w:pPr>
          </w:p>
          <w:p w:rsidR="00A4061B" w:rsidRPr="00A4061B" w:rsidRDefault="00A4061B" w:rsidP="00880CD7">
            <w:pPr>
              <w:pStyle w:val="BodyText"/>
              <w:spacing w:after="0"/>
              <w:jc w:val="both"/>
              <w:rPr>
                <w:rStyle w:val="HTMLTypewriter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A4061B">
              <w:rPr>
                <w:rStyle w:val="HTMLTypewriter"/>
                <w:rFonts w:asciiTheme="minorHAnsi" w:eastAsiaTheme="minorHAnsi" w:hAnsiTheme="minorHAnsi"/>
                <w:b/>
                <w:sz w:val="18"/>
                <w:szCs w:val="18"/>
                <w:highlight w:val="green"/>
              </w:rPr>
              <w:t>PGE E BID: OK</w:t>
            </w:r>
          </w:p>
          <w:p w:rsidR="00A4061B" w:rsidRPr="00A4061B" w:rsidRDefault="00A4061B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6"/>
                <w:szCs w:val="18"/>
              </w:rPr>
            </w:pPr>
            <w:r w:rsidRPr="00A4061B">
              <w:rPr>
                <w:rStyle w:val="HTMLTypewriter"/>
                <w:rFonts w:asciiTheme="minorHAnsi" w:eastAsiaTheme="minorHAnsi" w:hAnsiTheme="minorHAnsi"/>
                <w:b/>
                <w:sz w:val="18"/>
                <w:szCs w:val="18"/>
                <w:highlight w:val="yellow"/>
              </w:rPr>
              <w:t>SEFAZ: PENDENTE</w:t>
            </w:r>
          </w:p>
        </w:tc>
      </w:tr>
      <w:tr w:rsidR="00726FE6" w:rsidRPr="00694862" w:rsidTr="00880CD7">
        <w:trPr>
          <w:cantSplit/>
          <w:tblHeader/>
        </w:trPr>
        <w:tc>
          <w:tcPr>
            <w:tcW w:w="3686" w:type="dxa"/>
            <w:shd w:val="clear" w:color="auto" w:fill="auto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726FE6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(III) </w:t>
            </w:r>
            <w:r w:rsidRPr="00277A6E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Sonegação fiscal do segmento de produção e comercialização de álcool combustível no Estado.</w:t>
            </w:r>
          </w:p>
          <w:p w:rsidR="00726FE6" w:rsidRPr="00D82885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D82885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Evidências:</w:t>
            </w:r>
          </w:p>
          <w:p w:rsidR="00726FE6" w:rsidRPr="00D82885" w:rsidRDefault="00726FE6" w:rsidP="00880CD7">
            <w:pPr>
              <w:pStyle w:val="ListParagraph"/>
              <w:numPr>
                <w:ilvl w:val="0"/>
                <w:numId w:val="47"/>
              </w:num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D82885">
              <w:rPr>
                <w:rFonts w:asciiTheme="minorHAnsi" w:hAnsiTheme="minorHAnsi" w:cstheme="minorHAnsi"/>
                <w:b/>
                <w:sz w:val="18"/>
                <w:szCs w:val="18"/>
              </w:rPr>
              <w:t>Setor de combustíveis que representa 20% da arrecadação do ICMS</w:t>
            </w:r>
          </w:p>
          <w:p w:rsidR="00726FE6" w:rsidRPr="00D82885" w:rsidRDefault="00726FE6" w:rsidP="00880CD7">
            <w:pPr>
              <w:pStyle w:val="ListParagraph"/>
              <w:numPr>
                <w:ilvl w:val="0"/>
                <w:numId w:val="47"/>
              </w:num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D82885">
              <w:rPr>
                <w:rFonts w:asciiTheme="minorHAnsi" w:hAnsiTheme="minorHAnsi" w:cs="Arial"/>
                <w:b/>
                <w:sz w:val="18"/>
                <w:szCs w:val="18"/>
              </w:rPr>
              <w:t>Relação de consumo entre etanol hidratado e gasolina  (2012):</w:t>
            </w:r>
          </w:p>
          <w:p w:rsidR="00726FE6" w:rsidRPr="00D82885" w:rsidRDefault="00726FE6" w:rsidP="00880CD7">
            <w:pPr>
              <w:pStyle w:val="ListParagraph"/>
              <w:numPr>
                <w:ilvl w:val="1"/>
                <w:numId w:val="47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8288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Brasil = 24,02%</w:t>
            </w:r>
          </w:p>
          <w:p w:rsidR="00726FE6" w:rsidRPr="00D82885" w:rsidRDefault="00726FE6" w:rsidP="00880CD7">
            <w:pPr>
              <w:pStyle w:val="ListParagraph"/>
              <w:numPr>
                <w:ilvl w:val="1"/>
                <w:numId w:val="47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8288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Pernambuco = 12,72%</w:t>
            </w:r>
          </w:p>
          <w:p w:rsidR="00726FE6" w:rsidRPr="00D82885" w:rsidRDefault="00726FE6" w:rsidP="00880CD7">
            <w:pPr>
              <w:pStyle w:val="ListParagraph"/>
              <w:numPr>
                <w:ilvl w:val="1"/>
                <w:numId w:val="47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8288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São Paulo = 57,02%</w:t>
            </w:r>
          </w:p>
          <w:p w:rsidR="00726FE6" w:rsidRPr="00D82885" w:rsidRDefault="00726FE6" w:rsidP="00880CD7">
            <w:pPr>
              <w:pStyle w:val="ListParagraph"/>
              <w:numPr>
                <w:ilvl w:val="0"/>
                <w:numId w:val="47"/>
              </w:num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D82885">
              <w:rPr>
                <w:rFonts w:asciiTheme="minorHAnsi" w:hAnsiTheme="minorHAnsi" w:cs="Arial"/>
                <w:b/>
                <w:sz w:val="18"/>
                <w:szCs w:val="18"/>
                <w:lang w:eastAsia="pt-BR"/>
              </w:rPr>
              <w:t>Evolução da frota flex em PE nos últimos 5 anos foi superior à evolução do mercado de combustíveis:</w:t>
            </w:r>
          </w:p>
          <w:p w:rsidR="00726FE6" w:rsidRPr="00D82885" w:rsidRDefault="00726FE6" w:rsidP="00880CD7">
            <w:pPr>
              <w:pStyle w:val="ListParagraph"/>
              <w:numPr>
                <w:ilvl w:val="1"/>
                <w:numId w:val="47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82885">
              <w:rPr>
                <w:rFonts w:asciiTheme="minorHAnsi" w:hAnsiTheme="minorHAnsi" w:cs="Arial"/>
                <w:sz w:val="18"/>
                <w:szCs w:val="18"/>
                <w:lang w:eastAsia="pt-BR"/>
              </w:rPr>
              <w:t xml:space="preserve">2008 = 47,26% frota </w:t>
            </w:r>
            <w:r w:rsidRPr="00D82885">
              <w:rPr>
                <w:rFonts w:asciiTheme="minorHAnsi" w:hAnsiTheme="minorHAnsi" w:cs="Arial"/>
                <w:i/>
                <w:sz w:val="18"/>
                <w:szCs w:val="18"/>
                <w:lang w:eastAsia="pt-BR"/>
              </w:rPr>
              <w:t>versus</w:t>
            </w:r>
            <w:r w:rsidRPr="00D82885">
              <w:rPr>
                <w:rFonts w:asciiTheme="minorHAnsi" w:hAnsiTheme="minorHAnsi" w:cs="Arial"/>
                <w:sz w:val="18"/>
                <w:szCs w:val="18"/>
                <w:lang w:eastAsia="pt-BR"/>
              </w:rPr>
              <w:t xml:space="preserve"> 18,63% consumo</w:t>
            </w:r>
          </w:p>
          <w:p w:rsidR="00726FE6" w:rsidRPr="0082532E" w:rsidRDefault="00726FE6" w:rsidP="00880CD7">
            <w:pPr>
              <w:pStyle w:val="ListParagraph"/>
              <w:numPr>
                <w:ilvl w:val="1"/>
                <w:numId w:val="47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82885">
              <w:rPr>
                <w:rFonts w:asciiTheme="minorHAnsi" w:hAnsiTheme="minorHAnsi" w:cs="Arial"/>
                <w:sz w:val="18"/>
                <w:szCs w:val="18"/>
                <w:lang w:eastAsia="pt-BR"/>
              </w:rPr>
              <w:t xml:space="preserve">2011: 35,74% frota </w:t>
            </w:r>
            <w:r w:rsidRPr="00D82885">
              <w:rPr>
                <w:rFonts w:asciiTheme="minorHAnsi" w:hAnsiTheme="minorHAnsi" w:cs="Arial"/>
                <w:i/>
                <w:sz w:val="18"/>
                <w:szCs w:val="18"/>
                <w:lang w:eastAsia="pt-BR"/>
              </w:rPr>
              <w:t>versus</w:t>
            </w:r>
            <w:r w:rsidRPr="00D82885">
              <w:rPr>
                <w:rFonts w:asciiTheme="minorHAnsi" w:hAnsiTheme="minorHAnsi" w:cs="Arial"/>
                <w:sz w:val="18"/>
                <w:szCs w:val="18"/>
                <w:lang w:eastAsia="pt-BR"/>
              </w:rPr>
              <w:t xml:space="preserve"> 10,41% consumo</w:t>
            </w:r>
          </w:p>
          <w:p w:rsidR="0082532E" w:rsidRPr="00D82885" w:rsidRDefault="0082532E" w:rsidP="0082532E">
            <w:pPr>
              <w:pStyle w:val="ListParagraph"/>
              <w:numPr>
                <w:ilvl w:val="0"/>
                <w:numId w:val="47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eastAsia="pt-BR"/>
              </w:rPr>
              <w:t>Total de usinas do Estado = 24. Instalação de medidor de vazão = de 14 a 16 usinas. Custo unitário do equipamento = R$600 mil</w:t>
            </w:r>
          </w:p>
          <w:p w:rsidR="00726FE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Linha de Base </w:t>
            </w:r>
          </w:p>
          <w:p w:rsidR="00726FE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(2012):</w:t>
            </w:r>
          </w:p>
          <w:p w:rsidR="00726FE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77A6E">
              <w:rPr>
                <w:rFonts w:asciiTheme="minorHAnsi" w:hAnsiTheme="minorHAnsi" w:cstheme="minorHAnsi"/>
                <w:sz w:val="18"/>
                <w:szCs w:val="18"/>
              </w:rPr>
              <w:t>Nenhuma usina utiliza medido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277A6E">
              <w:rPr>
                <w:rFonts w:asciiTheme="minorHAnsi" w:hAnsiTheme="minorHAnsi" w:cstheme="minorHAnsi"/>
                <w:sz w:val="18"/>
                <w:szCs w:val="18"/>
              </w:rPr>
              <w:t xml:space="preserve"> de vazão para controle do álcool combustível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(Total = 17 usinas)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 (</w:t>
            </w: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2012):</w:t>
            </w:r>
          </w:p>
          <w:p w:rsidR="00726FE6" w:rsidRPr="00AE7318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60"/>
              <w:jc w:val="left"/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</w:pPr>
            <w:r w:rsidRPr="00AE7318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Volume de arrecadação do ICMS do segmento de produção e comercialização de álcool </w:t>
            </w:r>
            <w:r w:rsidRPr="00AE7318"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  <w:t xml:space="preserve">hidratado </w:t>
            </w:r>
            <w:r w:rsidRPr="00AE7318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combustível R$126 milhões (</w: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  <w:t>R$ 64</w:t>
            </w:r>
            <w:r w:rsidRPr="00AE7318"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  <w:t xml:space="preserve"> milhões arrecadados + R$ 6</w: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  <w:t>2 milhões</w:t>
            </w:r>
            <w:r w:rsidRPr="00AE7318"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  <w:t xml:space="preserve"> sonegado</w: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  <w:t>s</w:t>
            </w:r>
            <w:r w:rsidRPr="00AE7318"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  <w:t xml:space="preserve"> e recuperado</w: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  <w:t>s</w:t>
            </w:r>
            <w:r w:rsidRPr="00AE7318">
              <w:rPr>
                <w:rFonts w:asciiTheme="minorHAnsi" w:hAnsiTheme="minorHAnsi" w:cs="Arial"/>
                <w:noProof/>
                <w:sz w:val="18"/>
                <w:szCs w:val="18"/>
                <w:lang w:val="pt-BR" w:eastAsia="en-US"/>
              </w:rPr>
              <w:t xml:space="preserve">) </w:t>
            </w:r>
          </w:p>
          <w:p w:rsidR="00726FE6" w:rsidRPr="003F419B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highlight w:val="green"/>
                <w:lang w:val="pt-BR"/>
              </w:rPr>
            </w:pPr>
            <w:r w:rsidRPr="00726FE6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>Vide Nota Técnica (financeira) SEFAZ 4 – Medidor de Vazão álcool combustível vf04Mar2013</w:t>
            </w:r>
          </w:p>
        </w:tc>
        <w:tc>
          <w:tcPr>
            <w:tcW w:w="2977" w:type="dxa"/>
            <w:shd w:val="clear" w:color="auto" w:fill="auto"/>
          </w:tcPr>
          <w:p w:rsidR="00726FE6" w:rsidRPr="00694862" w:rsidRDefault="00726FE6" w:rsidP="00880CD7">
            <w:pPr>
              <w:pStyle w:val="Paragraph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Falta de controle sobre os volumes de álcool produzidos pelas usinas no Estado.</w:t>
            </w:r>
          </w:p>
          <w:p w:rsidR="00726FE6" w:rsidRPr="00694862" w:rsidRDefault="00726FE6" w:rsidP="00880CD7">
            <w:pPr>
              <w:pStyle w:val="Paragraph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</w:p>
        </w:tc>
        <w:tc>
          <w:tcPr>
            <w:tcW w:w="2695" w:type="dxa"/>
            <w:shd w:val="clear" w:color="auto" w:fill="auto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Solução:</w:t>
            </w:r>
          </w:p>
          <w:p w:rsidR="00726FE6" w:rsidRPr="00277A6E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277A6E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Aprimoramento da fiscalização da produção e comercialização de álcool combustível, com o suporte de equipamentos e regulação específicos</w:t>
            </w:r>
            <w:r w:rsidRPr="00277A6E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726FE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>Indicador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:rsidR="00726FE6" w:rsidRPr="00694862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>roduto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(2014)</w:t>
            </w: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:rsidR="00726FE6" w:rsidRPr="00277A6E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277A6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Pelo menos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03</w:t>
            </w:r>
            <w:r w:rsidRPr="00277A6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usinas com medidores de vazão instalados ou mudança de regime de tributação</w:t>
            </w:r>
          </w:p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Resultados (2014):</w:t>
            </w:r>
          </w:p>
          <w:p w:rsidR="00726FE6" w:rsidRPr="00761667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6F7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Incremento de 36% na arrecadação do ICMS do </w:t>
            </w:r>
            <w:r w:rsidRPr="00AB6F7E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segmento de produção e comercialização de álcool combustível (</w:t>
            </w:r>
            <w:r w:rsidRPr="00AB6F7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RS48 milhões</w:t>
            </w:r>
            <w: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= R$174 milhões</w:t>
            </w:r>
            <w:r w:rsidRPr="00AB6F7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).</w:t>
            </w:r>
          </w:p>
        </w:tc>
        <w:tc>
          <w:tcPr>
            <w:tcW w:w="5385" w:type="dxa"/>
            <w:shd w:val="clear" w:color="auto" w:fill="auto"/>
          </w:tcPr>
          <w:p w:rsidR="00726FE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504B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1ª tranche:</w:t>
            </w:r>
            <w:r w:rsidR="00D036B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Regulamentação de modelo específico para controle da arrecadação tributária do setor de álcool combustível </w:t>
            </w:r>
          </w:p>
          <w:p w:rsidR="00726FE6" w:rsidRPr="00F504B4" w:rsidRDefault="00726FE6" w:rsidP="00880CD7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F504B4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066E95" w:rsidRDefault="00066E95" w:rsidP="00066E95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A2E71">
              <w:rPr>
                <w:rFonts w:asciiTheme="minorHAnsi" w:hAnsiTheme="minorHAnsi" w:cstheme="minorHAnsi"/>
                <w:noProof/>
                <w:sz w:val="18"/>
                <w:szCs w:val="18"/>
              </w:rPr>
              <w:t>Decreto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do Poder Executivo E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</w:rPr>
              <w:t>stadual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DC6248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Diário Oficial do Estado (DOE)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F504B4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regulamentando a instalação dos medidores de vasão nas usinas produtoras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de </w:t>
            </w:r>
            <w:r w:rsidRPr="00F504B4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álcool combustível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. </w:t>
            </w:r>
          </w:p>
          <w:p w:rsidR="00066E95" w:rsidRDefault="00066E95" w:rsidP="00066E95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</w:p>
          <w:p w:rsidR="00066E95" w:rsidRPr="00FA1472" w:rsidRDefault="00066E95" w:rsidP="00066E95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lang w:eastAsia="en-US"/>
              </w:rPr>
            </w:pPr>
            <w:r w:rsidRPr="00FA1472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  <w:lang w:eastAsia="en-US"/>
              </w:rPr>
              <w:t>PGE/DANILO: Verificar o Decreto</w:t>
            </w:r>
          </w:p>
          <w:p w:rsidR="00066E95" w:rsidRPr="00F64354" w:rsidRDefault="00066E95" w:rsidP="00066E95">
            <w:pPr>
              <w:pStyle w:val="BodyText"/>
              <w:spacing w:after="60"/>
              <w:jc w:val="both"/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</w:pPr>
            <w:r w:rsidRPr="00F64354">
              <w:rPr>
                <w:rFonts w:asciiTheme="minorHAnsi" w:hAnsiTheme="minorHAnsi" w:cstheme="minorHAnsi"/>
                <w:b/>
                <w:noProof/>
                <w:color w:val="FF0000"/>
                <w:sz w:val="18"/>
                <w:szCs w:val="18"/>
                <w:lang w:eastAsia="en-US"/>
              </w:rPr>
              <w:t xml:space="preserve">PERGUNTA PGE para a SEFAZ: </w:t>
            </w:r>
            <w:r w:rsidRPr="00F64354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não seria o caso de o item III do componente II fazer referência ao Decreto n.º 21.755/1999</w:t>
            </w:r>
            <w:r w:rsidR="00192101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 xml:space="preserve">, que foi alterado pelo </w:t>
            </w:r>
            <w:r w:rsidR="00192101" w:rsidRPr="003E71EF">
              <w:rPr>
                <w:rFonts w:asciiTheme="minorHAnsi" w:hAnsiTheme="minorHAnsi" w:cstheme="minorHAnsi"/>
                <w:b/>
                <w:noProof/>
                <w:color w:val="FF0000"/>
                <w:sz w:val="18"/>
                <w:szCs w:val="18"/>
                <w:lang w:eastAsia="en-US"/>
              </w:rPr>
              <w:t>Decreto Estadual 35.113/2010</w:t>
            </w:r>
            <w:r w:rsidRPr="00F64354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?</w:t>
            </w:r>
          </w:p>
          <w:p w:rsidR="00066E95" w:rsidRPr="003E71EF" w:rsidRDefault="00066E95" w:rsidP="00066E95">
            <w:pPr>
              <w:pStyle w:val="BodyText"/>
              <w:spacing w:after="60"/>
              <w:jc w:val="both"/>
              <w:rPr>
                <w:rFonts w:asciiTheme="minorHAnsi" w:hAnsiTheme="minorHAnsi" w:cs="Calibri"/>
                <w:b/>
                <w:sz w:val="18"/>
                <w:szCs w:val="18"/>
                <w:lang w:eastAsia="pt-BR"/>
              </w:rPr>
            </w:pPr>
            <w:r w:rsidRPr="003E71EF">
              <w:rPr>
                <w:rFonts w:asciiTheme="minorHAnsi" w:hAnsiTheme="minorHAnsi"/>
                <w:b/>
                <w:sz w:val="18"/>
                <w:szCs w:val="18"/>
                <w:lang w:eastAsia="pt-BR"/>
              </w:rPr>
              <w:t xml:space="preserve">SEFAZ: </w:t>
            </w:r>
            <w:r w:rsidRPr="003E71EF">
              <w:rPr>
                <w:rFonts w:asciiTheme="minorHAnsi" w:hAnsiTheme="minorHAnsi" w:cs="Calibri"/>
                <w:b/>
                <w:sz w:val="18"/>
                <w:szCs w:val="18"/>
                <w:lang w:eastAsia="pt-BR"/>
              </w:rPr>
              <w:t>Haverá novo Decreto regulamentando o sistema medidor de vazão, características e forma de utilização</w:t>
            </w:r>
          </w:p>
          <w:p w:rsidR="00066E95" w:rsidRPr="003E71EF" w:rsidRDefault="00066E95" w:rsidP="00066E95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color w:val="FF0000"/>
                <w:sz w:val="18"/>
                <w:szCs w:val="18"/>
              </w:rPr>
            </w:pPr>
            <w:r w:rsidRPr="003E71EF">
              <w:rPr>
                <w:rFonts w:asciiTheme="minorHAnsi" w:hAnsiTheme="minorHAnsi" w:cstheme="minorHAnsi"/>
                <w:b/>
                <w:noProof/>
                <w:color w:val="FF0000"/>
                <w:sz w:val="18"/>
                <w:szCs w:val="18"/>
                <w:lang w:eastAsia="en-US"/>
              </w:rPr>
              <w:t xml:space="preserve">PGE: </w:t>
            </w:r>
            <w:r w:rsidR="00192101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E</w:t>
            </w:r>
            <w:r w:rsidRPr="003E71EF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ntendemos que não são suficientes a obstar o trâmite do presente processo</w:t>
            </w:r>
          </w:p>
          <w:p w:rsidR="005055FF" w:rsidRDefault="00066E95" w:rsidP="00066E95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FF28B7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 xml:space="preserve">BID: </w:t>
            </w:r>
            <w:r w:rsidR="00FF28B7" w:rsidRPr="00FF28B7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 xml:space="preserve">Mudança do meio de verificação de Portaria da SEFAZ para publicação de novo </w:t>
            </w:r>
            <w:r w:rsidRPr="00FF28B7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 xml:space="preserve">Decreto </w:t>
            </w:r>
            <w:r w:rsidR="00FF28B7" w:rsidRPr="00FF28B7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>regulamentando a matéria</w:t>
            </w:r>
          </w:p>
          <w:p w:rsidR="003E71EF" w:rsidRPr="003E71EF" w:rsidRDefault="003E71EF" w:rsidP="00D5740B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6"/>
                <w:szCs w:val="18"/>
              </w:rPr>
            </w:pPr>
          </w:p>
        </w:tc>
      </w:tr>
      <w:tr w:rsidR="00726FE6" w:rsidRPr="002419AF" w:rsidTr="00880CD7">
        <w:tc>
          <w:tcPr>
            <w:tcW w:w="3686" w:type="dxa"/>
            <w:shd w:val="clear" w:color="auto" w:fill="auto"/>
          </w:tcPr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726FE6" w:rsidRPr="002419AF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(IV) </w:t>
            </w:r>
            <w:r w:rsidRPr="002419A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Sonegação fiscal no segmento de envasamento e comercialização de água mineral.</w:t>
            </w:r>
          </w:p>
          <w:p w:rsidR="00726FE6" w:rsidRPr="002419AF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2419A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Evidência:</w:t>
            </w:r>
          </w:p>
          <w:p w:rsidR="00726FE6" w:rsidRPr="002419AF" w:rsidRDefault="00726FE6" w:rsidP="00880CD7">
            <w:pPr>
              <w:pStyle w:val="ListParagraph"/>
              <w:numPr>
                <w:ilvl w:val="0"/>
                <w:numId w:val="48"/>
              </w:num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2419A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Arrecadação do setor de bebidas em 2012 = </w:t>
            </w:r>
            <w:r w:rsidRPr="002419AF">
              <w:rPr>
                <w:rFonts w:asciiTheme="minorHAnsi" w:hAnsiTheme="minorHAnsi" w:cs="Arial"/>
                <w:bCs/>
                <w:sz w:val="18"/>
                <w:szCs w:val="18"/>
              </w:rPr>
              <w:t>R$ 667 milhões</w:t>
            </w:r>
          </w:p>
          <w:p w:rsidR="00726FE6" w:rsidRPr="002419AF" w:rsidRDefault="00726FE6" w:rsidP="00880CD7">
            <w:pPr>
              <w:pStyle w:val="ListParagraph"/>
              <w:numPr>
                <w:ilvl w:val="0"/>
                <w:numId w:val="48"/>
              </w:numPr>
              <w:spacing w:after="6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Setor</w:t>
            </w:r>
            <w:r w:rsidRPr="002419AF">
              <w:rPr>
                <w:rFonts w:asciiTheme="minorHAnsi" w:hAnsiTheme="minorHAnsi" w:cs="Arial"/>
                <w:bCs/>
                <w:sz w:val="18"/>
                <w:szCs w:val="18"/>
              </w:rPr>
              <w:t xml:space="preserve"> de águas não possui um controle efetivo, por parte da Receita Federal, via SICOBE (Sistema de Controle de Bebidas). (Instrução Normativa RFB nº 869 de 12/08/2008)</w:t>
            </w:r>
          </w:p>
          <w:p w:rsidR="00726FE6" w:rsidRPr="002419AF" w:rsidRDefault="00726FE6" w:rsidP="00880CD7">
            <w:pPr>
              <w:pStyle w:val="ListParagraph"/>
              <w:numPr>
                <w:ilvl w:val="0"/>
                <w:numId w:val="48"/>
              </w:numPr>
              <w:spacing w:after="6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419AF">
              <w:rPr>
                <w:rFonts w:asciiTheme="minorHAnsi" w:hAnsiTheme="minorHAnsi" w:cs="Arial"/>
                <w:bCs/>
                <w:sz w:val="18"/>
                <w:szCs w:val="18"/>
              </w:rPr>
              <w:t>O SICOBE é composto por equipamentos contadores de produção, bem como de aparelhos para o controle, registro, gravação e transmissão destes quantitativos medidos à Secretaria da Receita Federal do Brasil e Estados conveniados.</w:t>
            </w:r>
          </w:p>
          <w:p w:rsidR="00726FE6" w:rsidRPr="002419AF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Base:</w:t>
            </w:r>
          </w:p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(2012):</w:t>
            </w:r>
          </w:p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2419AF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forma de controle do envasamento com certificação / selo fiscal implantada (20 litros)</w:t>
            </w:r>
          </w:p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Resultado (</w:t>
            </w: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2012):</w:t>
            </w:r>
          </w:p>
          <w:p w:rsidR="00726FE6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Volume de arrecadação de ICMS do setor de envasamento e comercialização de água mineral R$ </w:t>
            </w:r>
            <w:r w:rsidRPr="002419AF">
              <w:rPr>
                <w:rFonts w:asciiTheme="minorHAnsi" w:hAnsiTheme="minorHAnsi" w:cs="Arial"/>
                <w:bCs/>
                <w:sz w:val="18"/>
                <w:szCs w:val="18"/>
              </w:rPr>
              <w:t>R$ 14,9 milhões</w:t>
            </w: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 (Fonte: SEFAZ)</w:t>
            </w:r>
          </w:p>
          <w:p w:rsidR="00726FE6" w:rsidRPr="002419AF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</w:pPr>
            <w:r w:rsidRPr="00726FE6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 xml:space="preserve">Vide Nota Técnica (financeira) SEFAZ 5–Controle do </w:t>
            </w:r>
            <w:r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  <w:t>envasamento e comercialização de água mineral vf04Mar2013</w:t>
            </w:r>
          </w:p>
        </w:tc>
        <w:tc>
          <w:tcPr>
            <w:tcW w:w="2977" w:type="dxa"/>
            <w:shd w:val="clear" w:color="auto" w:fill="auto"/>
          </w:tcPr>
          <w:p w:rsidR="00726FE6" w:rsidRPr="002419AF" w:rsidRDefault="00726FE6" w:rsidP="00880CD7">
            <w:pPr>
              <w:pStyle w:val="Paragraph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2419AF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Falta de controle sobre os volumes de água mineral produzidos e distribuídos, nas mais diversas formas de envasamento.</w:t>
            </w:r>
          </w:p>
          <w:p w:rsidR="00726FE6" w:rsidRPr="002419AF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0"/>
              <w:ind w:left="36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</w:p>
        </w:tc>
        <w:tc>
          <w:tcPr>
            <w:tcW w:w="2695" w:type="dxa"/>
            <w:shd w:val="clear" w:color="auto" w:fill="auto"/>
          </w:tcPr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Solução:</w:t>
            </w:r>
          </w:p>
          <w:p w:rsidR="00726FE6" w:rsidRPr="002419AF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2419A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Implantação de novos procedimentos de certificação e controle de vasilhames e do produto distribuído, com  utilização de selos fiscais que comprovem a correta procedência e registro dos vasilhamens comercializados </w:t>
            </w:r>
          </w:p>
          <w:p w:rsidR="00726FE6" w:rsidRPr="002419AF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</w:p>
          <w:p w:rsidR="00726FE6" w:rsidRPr="002419AF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b/>
                <w:sz w:val="18"/>
                <w:szCs w:val="18"/>
              </w:rPr>
              <w:t>Indicador</w:t>
            </w:r>
          </w:p>
          <w:p w:rsidR="00726FE6" w:rsidRPr="002419AF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b/>
                <w:sz w:val="18"/>
                <w:szCs w:val="18"/>
              </w:rPr>
              <w:t>Produto (2013):</w:t>
            </w:r>
          </w:p>
          <w:p w:rsidR="00726FE6" w:rsidRPr="002419AF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1 nova forma de controle do envasamento com certificação / selo fiscal implantada (vasilhames 10 litros)</w:t>
            </w:r>
          </w:p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Resultados (2014):</w:t>
            </w:r>
          </w:p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Incremento de 50% da arrecadação de ICMS do setor de envasamento e comercialização de água mineral (R$6 milhões)</w:t>
            </w:r>
          </w:p>
        </w:tc>
        <w:tc>
          <w:tcPr>
            <w:tcW w:w="5385" w:type="dxa"/>
            <w:shd w:val="clear" w:color="auto" w:fill="auto"/>
          </w:tcPr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1ª tranche: </w:t>
            </w: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Fortalecimento do controle da arrecadação tributária do setor de bebidas por meio da regulamentação dos novos procedimentos de certificação e controle fiscal da comercialização da água mineral.</w:t>
            </w:r>
          </w:p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</w:p>
          <w:p w:rsidR="00726FE6" w:rsidRPr="002419AF" w:rsidRDefault="00726FE6" w:rsidP="00880CD7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726FE6" w:rsidRPr="002419AF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</w:rPr>
              <w:t>Decreto do Poder Executivo Estadual, publicado do DOE, regulamentando os novos procedimentos de certificação e controle fiscal da comercialização de água mineral.</w:t>
            </w:r>
          </w:p>
          <w:p w:rsidR="00726FE6" w:rsidRPr="002419AF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726FE6" w:rsidRPr="002419A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2ª tranche: </w:t>
            </w: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Operacionalização do novo modelo de controle fiscal da comercialização de água mineral.</w:t>
            </w:r>
          </w:p>
          <w:p w:rsidR="00726FE6" w:rsidRPr="002419AF" w:rsidRDefault="00726FE6" w:rsidP="00880CD7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2419AF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726FE6" w:rsidRPr="002419AF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419AF">
              <w:rPr>
                <w:rFonts w:asciiTheme="minorHAnsi" w:hAnsiTheme="minorHAnsi" w:cstheme="minorHAnsi"/>
                <w:noProof/>
                <w:sz w:val="18"/>
                <w:szCs w:val="18"/>
              </w:rPr>
              <w:t>Relatório extraído do sistema de controle de fornecimento de selos de água mineral, emitido pela SEFAZ, comprovando o incremento na emissão de selos após vigência do novo regulamento</w:t>
            </w:r>
          </w:p>
        </w:tc>
      </w:tr>
      <w:tr w:rsidR="00726FE6" w:rsidRPr="00CE3AC6" w:rsidTr="00880CD7">
        <w:tc>
          <w:tcPr>
            <w:tcW w:w="3686" w:type="dxa"/>
            <w:shd w:val="clear" w:color="auto" w:fill="auto"/>
          </w:tcPr>
          <w:p w:rsidR="00726FE6" w:rsidRPr="00CE3AC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3AC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Problema:</w:t>
            </w:r>
          </w:p>
          <w:p w:rsidR="00726FE6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CE3AC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(V) </w:t>
            </w:r>
            <w:r w:rsidRPr="00CE3AC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Ocorrência de ações com grande risco de sonegação, praticadas por determinados </w:t>
            </w:r>
            <w:r w:rsidRPr="00CE3AC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lastRenderedPageBreak/>
              <w:t>contribuintes</w:t>
            </w:r>
            <w:r w:rsidRPr="00CE3AC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855F6A" w:rsidRDefault="00855F6A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Evidência:</w:t>
            </w:r>
          </w:p>
          <w:p w:rsidR="00855F6A" w:rsidRPr="00CE3AC6" w:rsidRDefault="00855F6A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Sanção cadastral suspensão.</w:t>
            </w:r>
          </w:p>
          <w:p w:rsidR="00726FE6" w:rsidRPr="00CE3AC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3AC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</w:t>
            </w:r>
          </w:p>
          <w:p w:rsidR="00726FE6" w:rsidRPr="00CE3AC6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</w:pPr>
            <w:r w:rsidRPr="00CE3AC6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  <w:t>Produto (2012):</w:t>
            </w:r>
          </w:p>
          <w:p w:rsidR="00726FE6" w:rsidRPr="00CE3AC6" w:rsidRDefault="00855F6A" w:rsidP="00880CD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Não existe correlação entre as sanções administrativas e as categorias de riscos para enquadramento de contribuintes de alto risco</w:t>
            </w:r>
          </w:p>
          <w:p w:rsidR="00726FE6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</w:pPr>
          </w:p>
          <w:p w:rsidR="00726FE6" w:rsidRPr="00CE3AC6" w:rsidRDefault="00726FE6" w:rsidP="00880CD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</w:pPr>
            <w:r w:rsidRPr="00726FE6"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  <w:t>Vide Nota Técnica (financeira) SEFAZ 6 – Matriz de Riscos vf04Mar2013</w:t>
            </w:r>
          </w:p>
        </w:tc>
        <w:tc>
          <w:tcPr>
            <w:tcW w:w="2977" w:type="dxa"/>
            <w:shd w:val="clear" w:color="auto" w:fill="auto"/>
          </w:tcPr>
          <w:p w:rsidR="00726FE6" w:rsidRPr="00CE3AC6" w:rsidRDefault="00726FE6" w:rsidP="00880CD7">
            <w:pPr>
              <w:pStyle w:val="Paragraph"/>
              <w:numPr>
                <w:ilvl w:val="0"/>
                <w:numId w:val="6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CE3AC6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lastRenderedPageBreak/>
              <w:t>Presunção de impunidade por parte de determinados contribuintes sonegadores.</w:t>
            </w:r>
          </w:p>
          <w:p w:rsidR="00726FE6" w:rsidRPr="00CE3AC6" w:rsidRDefault="00726FE6" w:rsidP="00880CD7">
            <w:pPr>
              <w:pStyle w:val="Paragraph"/>
              <w:numPr>
                <w:ilvl w:val="0"/>
                <w:numId w:val="6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CE3AC6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lastRenderedPageBreak/>
              <w:t>Baixo risco subjetivo pelo não cumprimento das obrigações tributárias</w:t>
            </w:r>
          </w:p>
        </w:tc>
        <w:tc>
          <w:tcPr>
            <w:tcW w:w="2695" w:type="dxa"/>
            <w:shd w:val="clear" w:color="auto" w:fill="auto"/>
          </w:tcPr>
          <w:p w:rsidR="00726FE6" w:rsidRPr="00CE3AC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3AC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Solução:</w:t>
            </w:r>
          </w:p>
          <w:p w:rsidR="00726FE6" w:rsidRPr="00CE3AC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CE3AC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Implantação de mecanismos de gestão de risco e de </w:t>
            </w:r>
            <w:r w:rsidRPr="00CE3AC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lastRenderedPageBreak/>
              <w:t>monitoramento do comportamento fiscal do contribuinte, por perfil e faixa de risco</w:t>
            </w:r>
          </w:p>
          <w:p w:rsidR="00726FE6" w:rsidRPr="00CE3AC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726FE6" w:rsidRPr="00CE3AC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E3AC6">
              <w:rPr>
                <w:rFonts w:asciiTheme="minorHAnsi" w:hAnsiTheme="minorHAnsi" w:cstheme="minorHAnsi"/>
                <w:b/>
                <w:sz w:val="18"/>
                <w:szCs w:val="18"/>
              </w:rPr>
              <w:t>Indicador</w:t>
            </w:r>
          </w:p>
          <w:p w:rsidR="00726FE6" w:rsidRPr="00CE3AC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E3AC6">
              <w:rPr>
                <w:rFonts w:asciiTheme="minorHAnsi" w:hAnsiTheme="minorHAnsi" w:cstheme="minorHAnsi"/>
                <w:b/>
                <w:sz w:val="18"/>
                <w:szCs w:val="18"/>
              </w:rPr>
              <w:t>Produto (2013):</w:t>
            </w:r>
          </w:p>
          <w:p w:rsidR="00726FE6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CE3AC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2 novas </w:t>
            </w:r>
            <w:r w:rsidR="00855F6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categorias</w:t>
            </w:r>
            <w:r w:rsidRPr="00CE3AC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</w:t>
            </w:r>
            <w:r w:rsidR="00855F6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de monitoramento de</w:t>
            </w:r>
            <w:r w:rsidRPr="00CE3AC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contribuintes com </w:t>
            </w:r>
            <w:r w:rsidR="00066E9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alto risco de sonegação </w:t>
            </w:r>
          </w:p>
          <w:p w:rsidR="00B5056A" w:rsidRDefault="00B5056A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726FE6" w:rsidRPr="00CE3AC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3AC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Resultados (2014):</w:t>
            </w:r>
          </w:p>
          <w:p w:rsidR="00726FE6" w:rsidRPr="00CE3AC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CE3AC6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Não se aplica</w:t>
            </w:r>
          </w:p>
        </w:tc>
        <w:tc>
          <w:tcPr>
            <w:tcW w:w="5385" w:type="dxa"/>
            <w:shd w:val="clear" w:color="auto" w:fill="auto"/>
          </w:tcPr>
          <w:p w:rsidR="00726FE6" w:rsidRPr="00CE3AC6" w:rsidRDefault="00726FE6" w:rsidP="00880CD7">
            <w:pPr>
              <w:spacing w:after="60"/>
              <w:jc w:val="both"/>
              <w:rPr>
                <w:rFonts w:ascii="Calibri" w:eastAsiaTheme="minorEastAsia" w:hAnsi="Calibri" w:cs="Calibri"/>
                <w:noProof/>
                <w:sz w:val="18"/>
                <w:szCs w:val="18"/>
                <w:lang w:eastAsia="en-US"/>
              </w:rPr>
            </w:pPr>
            <w:r w:rsidRPr="00CE3AC6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lastRenderedPageBreak/>
              <w:t xml:space="preserve">1ª tranche: </w:t>
            </w:r>
            <w:r w:rsidRPr="00CE3AC6">
              <w:rPr>
                <w:rFonts w:ascii="Calibri" w:eastAsiaTheme="minorEastAsia" w:hAnsi="Calibri" w:cs="Calibri"/>
                <w:noProof/>
                <w:sz w:val="18"/>
                <w:szCs w:val="18"/>
                <w:lang w:eastAsia="en-US"/>
              </w:rPr>
              <w:t>Regulamentação de novo sistema de gestão de risco, a fim de tornar mais efetivas as sanções impostas aos contribuintes de maior risco de sonegação.</w:t>
            </w:r>
          </w:p>
          <w:p w:rsidR="00726FE6" w:rsidRPr="00CE3AC6" w:rsidRDefault="00726FE6" w:rsidP="00880CD7">
            <w:pPr>
              <w:jc w:val="both"/>
              <w:rPr>
                <w:rFonts w:ascii="Calibri" w:eastAsiaTheme="minorEastAsia" w:hAnsi="Calibri" w:cs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CE3AC6">
              <w:rPr>
                <w:rFonts w:ascii="Calibri" w:eastAsiaTheme="minorEastAsia" w:hAnsi="Calibri" w:cs="Calibri"/>
                <w:b/>
                <w:bCs/>
                <w:i/>
                <w:iCs/>
                <w:sz w:val="18"/>
                <w:szCs w:val="18"/>
                <w:lang w:eastAsia="ar-SA"/>
              </w:rPr>
              <w:lastRenderedPageBreak/>
              <w:t xml:space="preserve">Meio de verificação: </w:t>
            </w:r>
          </w:p>
          <w:p w:rsidR="00726FE6" w:rsidRPr="00CE3AC6" w:rsidRDefault="00726FE6" w:rsidP="00880CD7">
            <w:pPr>
              <w:pStyle w:val="BodyText"/>
              <w:spacing w:after="60"/>
              <w:jc w:val="both"/>
              <w:rPr>
                <w:rFonts w:ascii="Calibri" w:eastAsiaTheme="minorEastAsia" w:hAnsi="Calibri" w:cs="Calibri"/>
                <w:noProof/>
                <w:sz w:val="18"/>
                <w:szCs w:val="18"/>
              </w:rPr>
            </w:pPr>
            <w:r w:rsidRPr="0097676A">
              <w:rPr>
                <w:rFonts w:ascii="Calibri" w:eastAsiaTheme="minorEastAsia" w:hAnsi="Calibri" w:cs="Calibri"/>
                <w:noProof/>
                <w:sz w:val="18"/>
                <w:szCs w:val="18"/>
              </w:rPr>
              <w:t>Portaria do Secretário da Fazenda</w:t>
            </w:r>
            <w:r w:rsidRPr="00CE3AC6">
              <w:rPr>
                <w:rFonts w:ascii="Calibri" w:eastAsiaTheme="minorEastAsia" w:hAnsi="Calibri" w:cs="Calibri"/>
                <w:noProof/>
                <w:sz w:val="18"/>
                <w:szCs w:val="18"/>
              </w:rPr>
              <w:t xml:space="preserve">, publicada no DOE, instituindo novas categorias e procedimentos para monitoramento de risco, com </w:t>
            </w:r>
            <w:r w:rsidR="00855F6A">
              <w:rPr>
                <w:rFonts w:ascii="Calibri" w:eastAsiaTheme="minorEastAsia" w:hAnsi="Calibri" w:cs="Calibri"/>
                <w:noProof/>
                <w:sz w:val="18"/>
                <w:szCs w:val="18"/>
              </w:rPr>
              <w:t>vincu</w:t>
            </w:r>
            <w:r w:rsidR="0006593B">
              <w:rPr>
                <w:rFonts w:ascii="Calibri" w:eastAsiaTheme="minorEastAsia" w:hAnsi="Calibri" w:cs="Calibri"/>
                <w:noProof/>
                <w:sz w:val="18"/>
                <w:szCs w:val="18"/>
              </w:rPr>
              <w:t>lação</w:t>
            </w:r>
            <w:r w:rsidRPr="00CE3AC6">
              <w:rPr>
                <w:rFonts w:ascii="Calibri" w:eastAsiaTheme="minorEastAsia" w:hAnsi="Calibri" w:cs="Calibri"/>
                <w:noProof/>
                <w:sz w:val="18"/>
                <w:szCs w:val="18"/>
              </w:rPr>
              <w:t xml:space="preserve"> </w:t>
            </w:r>
            <w:r w:rsidR="0006593B">
              <w:rPr>
                <w:rFonts w:ascii="Calibri" w:eastAsiaTheme="minorEastAsia" w:hAnsi="Calibri" w:cs="Calibri"/>
                <w:noProof/>
                <w:sz w:val="18"/>
                <w:szCs w:val="18"/>
              </w:rPr>
              <w:t>à</w:t>
            </w:r>
            <w:r w:rsidRPr="00CE3AC6">
              <w:rPr>
                <w:rFonts w:ascii="Calibri" w:eastAsiaTheme="minorEastAsia" w:hAnsi="Calibri" w:cs="Calibri"/>
                <w:noProof/>
                <w:sz w:val="18"/>
                <w:szCs w:val="18"/>
              </w:rPr>
              <w:t>s respectivas sanções, conforme perfil de comportamento tributário dos contribuintes.</w:t>
            </w:r>
          </w:p>
          <w:p w:rsidR="00726FE6" w:rsidRPr="00E30FE8" w:rsidRDefault="00726FE6" w:rsidP="00880CD7">
            <w:pPr>
              <w:pStyle w:val="BodyText"/>
              <w:spacing w:after="60"/>
              <w:jc w:val="both"/>
              <w:rPr>
                <w:rFonts w:ascii="Calibri" w:eastAsiaTheme="minorEastAsia" w:hAnsi="Calibri" w:cs="Calibri"/>
                <w:noProof/>
                <w:color w:val="FF0000"/>
                <w:sz w:val="18"/>
                <w:szCs w:val="18"/>
              </w:rPr>
            </w:pPr>
            <w:r w:rsidRPr="00E30FE8">
              <w:rPr>
                <w:rFonts w:ascii="Calibri" w:eastAsiaTheme="minorEastAsia" w:hAnsi="Calibri" w:cs="Calibri"/>
                <w:noProof/>
                <w:color w:val="FF0000"/>
                <w:sz w:val="18"/>
                <w:szCs w:val="18"/>
                <w:highlight w:val="yellow"/>
              </w:rPr>
              <w:t>PGE/DANILO: Estas sanções têm substrato legal ou são previstas somente em Portaria (novo questionamento da PGE)</w:t>
            </w:r>
          </w:p>
          <w:p w:rsidR="00E30FE8" w:rsidRPr="009E15A6" w:rsidRDefault="00E30FE8" w:rsidP="00880CD7">
            <w:pPr>
              <w:pStyle w:val="BodyText"/>
              <w:spacing w:after="60"/>
              <w:jc w:val="both"/>
              <w:rPr>
                <w:rFonts w:ascii="Calibri" w:eastAsiaTheme="minorEastAsia" w:hAnsi="Calibri" w:cs="Calibri"/>
                <w:b/>
                <w:noProof/>
                <w:sz w:val="18"/>
                <w:szCs w:val="18"/>
              </w:rPr>
            </w:pPr>
            <w:r w:rsidRPr="009E15A6">
              <w:rPr>
                <w:rFonts w:ascii="Calibri" w:eastAsiaTheme="minorEastAsia" w:hAnsi="Calibri" w:cs="Calibri"/>
                <w:b/>
                <w:noProof/>
                <w:sz w:val="18"/>
                <w:szCs w:val="18"/>
              </w:rPr>
              <w:t xml:space="preserve">SEFAZ: </w:t>
            </w:r>
            <w:r w:rsidRPr="009E15A6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>Tem substrato legal, deve ser alterada tanto a Lei do ICMS, Decreto e possivelmente uma Portaria regulamentando</w:t>
            </w:r>
          </w:p>
          <w:p w:rsidR="00726FE6" w:rsidRPr="00F64354" w:rsidRDefault="00E30FE8" w:rsidP="00880CD7">
            <w:pPr>
              <w:pStyle w:val="BodyText"/>
              <w:spacing w:after="60"/>
              <w:jc w:val="both"/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</w:pPr>
            <w:r w:rsidRPr="00F64354">
              <w:rPr>
                <w:rFonts w:ascii="Calibri" w:eastAsiaTheme="minorEastAsia" w:hAnsi="Calibri" w:cs="Calibri"/>
                <w:b/>
                <w:noProof/>
                <w:color w:val="FF0000"/>
                <w:sz w:val="18"/>
                <w:szCs w:val="18"/>
              </w:rPr>
              <w:t xml:space="preserve">PGE: </w:t>
            </w:r>
            <w:r w:rsidR="00192101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E</w:t>
            </w:r>
            <w:r w:rsidRPr="00F64354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ntendemos que não são suficientes a obstar o trâmite do presente processo</w:t>
            </w:r>
          </w:p>
          <w:p w:rsidR="00E30FE8" w:rsidRDefault="0006593B" w:rsidP="00880CD7">
            <w:pPr>
              <w:pStyle w:val="BodyText"/>
              <w:spacing w:after="60"/>
              <w:jc w:val="both"/>
              <w:rPr>
                <w:rFonts w:ascii="Calibri" w:eastAsiaTheme="minorEastAsia" w:hAnsi="Calibri" w:cs="Calibri"/>
                <w:noProof/>
                <w:color w:val="FF0000"/>
                <w:sz w:val="18"/>
                <w:szCs w:val="18"/>
              </w:rPr>
            </w:pPr>
            <w:r w:rsidRPr="0006593B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>PGE E BID: A Portaria vai associar as categorias de monitoramento de riscos às sansões vigentes.</w:t>
            </w:r>
          </w:p>
          <w:p w:rsidR="00726FE6" w:rsidRPr="00CE3AC6" w:rsidRDefault="00726FE6" w:rsidP="00880CD7">
            <w:pPr>
              <w:spacing w:after="60"/>
              <w:jc w:val="both"/>
              <w:rPr>
                <w:rFonts w:ascii="Calibri" w:eastAsiaTheme="minorEastAsia" w:hAnsi="Calibri" w:cs="Calibri"/>
                <w:sz w:val="18"/>
                <w:szCs w:val="18"/>
                <w:lang w:eastAsia="ar-SA"/>
              </w:rPr>
            </w:pPr>
            <w:r w:rsidRPr="00CE3AC6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2ª tranche: </w:t>
            </w:r>
            <w:r w:rsidRPr="00CE3AC6">
              <w:rPr>
                <w:rFonts w:ascii="Calibri" w:eastAsiaTheme="minorEastAsia" w:hAnsi="Calibri" w:cs="Calibri"/>
                <w:sz w:val="18"/>
                <w:szCs w:val="18"/>
                <w:lang w:eastAsia="ar-SA"/>
              </w:rPr>
              <w:t xml:space="preserve">Implementação das novas rotinas </w:t>
            </w:r>
            <w:r w:rsidR="0006593B">
              <w:rPr>
                <w:rFonts w:ascii="Calibri" w:eastAsiaTheme="minorEastAsia" w:hAnsi="Calibri" w:cs="Calibri"/>
                <w:sz w:val="18"/>
                <w:szCs w:val="18"/>
                <w:lang w:eastAsia="ar-SA"/>
              </w:rPr>
              <w:t xml:space="preserve">de monitoramento de riscos </w:t>
            </w:r>
            <w:r w:rsidRPr="00CE3AC6">
              <w:rPr>
                <w:rFonts w:ascii="Calibri" w:eastAsiaTheme="minorEastAsia" w:hAnsi="Calibri" w:cs="Calibri"/>
                <w:sz w:val="18"/>
                <w:szCs w:val="18"/>
                <w:lang w:eastAsia="ar-SA"/>
              </w:rPr>
              <w:t>no âmbito da administração fazendária.</w:t>
            </w:r>
          </w:p>
          <w:p w:rsidR="00726FE6" w:rsidRPr="00CE3AC6" w:rsidRDefault="00726FE6" w:rsidP="00880CD7">
            <w:pPr>
              <w:jc w:val="both"/>
              <w:rPr>
                <w:rFonts w:ascii="Calibri" w:eastAsiaTheme="minorEastAsia" w:hAnsi="Calibri" w:cs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CE3AC6">
              <w:rPr>
                <w:rFonts w:ascii="Calibri" w:eastAsiaTheme="minorEastAsia" w:hAnsi="Calibri" w:cs="Calibri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Meio de verificação: </w:t>
            </w:r>
          </w:p>
          <w:p w:rsidR="00726FE6" w:rsidRPr="00CE3AC6" w:rsidRDefault="00726FE6" w:rsidP="0006593B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CE3AC6">
              <w:rPr>
                <w:rFonts w:ascii="Calibri" w:eastAsiaTheme="minorEastAsia" w:hAnsi="Calibri" w:cs="Calibri"/>
                <w:noProof/>
                <w:sz w:val="18"/>
                <w:szCs w:val="18"/>
              </w:rPr>
              <w:t xml:space="preserve">Relatório da SEFAZ, demonstrando os resultados da aplicação da nova sistemática de monitoramento de risco, com a indicação das sanções </w:t>
            </w:r>
            <w:r w:rsidR="0006593B">
              <w:rPr>
                <w:rFonts w:ascii="Calibri" w:eastAsiaTheme="minorEastAsia" w:hAnsi="Calibri" w:cs="Calibri"/>
                <w:noProof/>
                <w:sz w:val="18"/>
                <w:szCs w:val="18"/>
              </w:rPr>
              <w:t>aplicadas.</w:t>
            </w:r>
          </w:p>
        </w:tc>
      </w:tr>
      <w:tr w:rsidR="00726FE6" w:rsidRPr="00694862" w:rsidTr="00880CD7">
        <w:tc>
          <w:tcPr>
            <w:tcW w:w="3686" w:type="dxa"/>
            <w:shd w:val="clear" w:color="auto" w:fill="auto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726FE6" w:rsidRPr="00694862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(VI) </w:t>
            </w:r>
            <w:r w:rsidRPr="00CD1BFA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Existência de contribuintes com histórico de sonegação recorrente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726FE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72684">
              <w:rPr>
                <w:rFonts w:asciiTheme="minorHAnsi" w:hAnsiTheme="minorHAnsi" w:cstheme="minorHAnsi"/>
                <w:b/>
                <w:sz w:val="18"/>
                <w:szCs w:val="18"/>
              </w:rPr>
              <w:t>Evidência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</w:p>
          <w:p w:rsidR="00726FE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72684">
              <w:rPr>
                <w:rFonts w:asciiTheme="minorHAnsi" w:hAnsiTheme="minorHAnsi" w:cstheme="minorHAnsi"/>
                <w:sz w:val="18"/>
                <w:szCs w:val="18"/>
              </w:rPr>
              <w:t xml:space="preserve">Total de dívida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ativa </w:t>
            </w:r>
            <w:r w:rsidRPr="00C72684">
              <w:rPr>
                <w:rFonts w:asciiTheme="minorHAnsi" w:hAnsiTheme="minorHAnsi" w:cstheme="minorHAnsi"/>
                <w:sz w:val="18"/>
                <w:szCs w:val="18"/>
              </w:rPr>
              <w:t>inscrita = R$10.600 milhões</w:t>
            </w:r>
          </w:p>
          <w:p w:rsidR="00726FE6" w:rsidRPr="00C72684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Total de processos = </w:t>
            </w:r>
            <w:r w:rsidRPr="00C726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314.157</w:t>
            </w:r>
          </w:p>
          <w:p w:rsidR="00726FE6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</w:t>
            </w: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</w:p>
          <w:p w:rsidR="00726FE6" w:rsidRPr="00CD1BFA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1BFA">
              <w:rPr>
                <w:rFonts w:asciiTheme="minorHAnsi" w:hAnsiTheme="minorHAnsi" w:cstheme="minorHAnsi"/>
                <w:b/>
                <w:sz w:val="18"/>
                <w:szCs w:val="18"/>
              </w:rPr>
              <w:t>Produto (2012)</w:t>
            </w:r>
          </w:p>
          <w:p w:rsidR="00726FE6" w:rsidRPr="00FE2B57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E2B57">
              <w:rPr>
                <w:rFonts w:asciiTheme="minorHAnsi" w:hAnsiTheme="minorHAnsi" w:cstheme="minorHAnsi"/>
                <w:sz w:val="18"/>
                <w:szCs w:val="18"/>
              </w:rPr>
              <w:t xml:space="preserve">28 contribuintes devedores contumazes negativados no </w:t>
            </w:r>
            <w:r w:rsidRPr="00FE2B57">
              <w:rPr>
                <w:rFonts w:asciiTheme="minorHAnsi" w:hAnsiTheme="minorHAnsi" w:cstheme="minorHAnsi"/>
                <w:b/>
                <w:sz w:val="18"/>
                <w:szCs w:val="18"/>
              </w:rPr>
              <w:t>SERASA</w:t>
            </w:r>
            <w:r w:rsidRPr="00FE2B57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FE2B57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Valor Negativado Total = R$14.876.904,58</w:t>
            </w:r>
            <w:r w:rsidRPr="00FE2B5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726FE6" w:rsidRPr="00FE2B57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2B57">
              <w:rPr>
                <w:rFonts w:asciiTheme="minorHAnsi" w:hAnsiTheme="minorHAnsi" w:cstheme="minorHAnsi"/>
                <w:b/>
                <w:sz w:val="18"/>
                <w:szCs w:val="18"/>
              </w:rPr>
              <w:t>Resultado (2012)</w:t>
            </w:r>
          </w:p>
          <w:p w:rsidR="00726FE6" w:rsidRPr="00FE2B57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FE2B57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Volume de arrecadação de ICMS dos </w:t>
            </w:r>
            <w:r w:rsidRPr="00FE2B57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lastRenderedPageBreak/>
              <w:t>contribuintes enquadrados como devedores contumazes =</w:t>
            </w:r>
            <w:r w:rsidRPr="00FE2B57">
              <w:rPr>
                <w:rFonts w:ascii="Arial" w:hAnsi="Arial" w:cs="Arial"/>
                <w:b/>
                <w:bCs/>
              </w:rPr>
              <w:t xml:space="preserve"> </w:t>
            </w:r>
            <w:r w:rsidRPr="00FE2B57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R$79 mil</w:t>
            </w:r>
            <w:r w:rsidRPr="00FE2B57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(2 contribuintes)</w:t>
            </w:r>
          </w:p>
          <w:p w:rsidR="00726FE6" w:rsidRPr="00FA761F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FE2B57">
              <w:rPr>
                <w:rFonts w:asciiTheme="minorHAnsi" w:hAnsiTheme="minorHAnsi" w:cstheme="minorHAnsi"/>
                <w:b/>
                <w:sz w:val="18"/>
                <w:szCs w:val="18"/>
              </w:rPr>
              <w:t>Vide Nota Técnica (financeira) SEFAZ 7 – Devedores Contumazes v07Mar2013</w:t>
            </w:r>
          </w:p>
        </w:tc>
        <w:tc>
          <w:tcPr>
            <w:tcW w:w="2977" w:type="dxa"/>
            <w:shd w:val="clear" w:color="auto" w:fill="auto"/>
          </w:tcPr>
          <w:p w:rsidR="00726FE6" w:rsidRPr="00694862" w:rsidRDefault="00726FE6" w:rsidP="00880CD7">
            <w:pPr>
              <w:pStyle w:val="Paragraph"/>
              <w:numPr>
                <w:ilvl w:val="0"/>
                <w:numId w:val="7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lastRenderedPageBreak/>
              <w:t>Impossibilidade da implementação de ações preventivas e de maior rigor junto aos</w:t>
            </w:r>
            <w:r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 xml:space="preserve"> </w:t>
            </w: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devedores contumazes, pela inexistência de marco regulatório.</w:t>
            </w:r>
          </w:p>
          <w:p w:rsidR="00726FE6" w:rsidRPr="00694862" w:rsidRDefault="00726FE6" w:rsidP="00880CD7">
            <w:pPr>
              <w:pStyle w:val="Paragraph"/>
              <w:numPr>
                <w:ilvl w:val="0"/>
                <w:numId w:val="7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Falta de definição normativa para o conceito de devedor contumaz</w:t>
            </w:r>
          </w:p>
          <w:p w:rsidR="00726FE6" w:rsidRPr="00694862" w:rsidRDefault="00726FE6" w:rsidP="00880CD7">
            <w:pPr>
              <w:pStyle w:val="Paragraph"/>
              <w:numPr>
                <w:ilvl w:val="0"/>
                <w:numId w:val="7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Falta de capacidade para liberação no banco do SERASA quando da regularização pelo contribuinte</w:t>
            </w:r>
          </w:p>
        </w:tc>
        <w:tc>
          <w:tcPr>
            <w:tcW w:w="2695" w:type="dxa"/>
            <w:shd w:val="clear" w:color="auto" w:fill="auto"/>
          </w:tcPr>
          <w:p w:rsidR="00726FE6" w:rsidRPr="00694862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Solução:</w:t>
            </w:r>
          </w:p>
          <w:p w:rsidR="00726FE6" w:rsidRPr="00CD1BFA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CD1BFA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Implantação de </w:t>
            </w:r>
            <w:r w:rsidRPr="00CD1BFA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Regime Especial de fiscalização para devedores contumazes</w:t>
            </w:r>
          </w:p>
          <w:p w:rsidR="00726FE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Indicador</w:t>
            </w:r>
          </w:p>
          <w:p w:rsidR="00726FE6" w:rsidRPr="00694862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>roduto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(2013)</w:t>
            </w: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:rsidR="00726FE6" w:rsidRPr="00231BDF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231BD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5.180 processos de devedores contumazes negativados no SERASA (em torno de R$205 milhões)</w:t>
            </w:r>
          </w:p>
          <w:p w:rsidR="00726FE6" w:rsidRPr="00231BD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31BD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Resultados (2014):</w:t>
            </w:r>
          </w:p>
          <w:p w:rsidR="00726FE6" w:rsidRPr="00231BDF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31BD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Incremento da arrecadação de </w:t>
            </w:r>
            <w:r w:rsidRPr="00231BD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lastRenderedPageBreak/>
              <w:t xml:space="preserve">ICMS dos contribuintes enquadrados como devedores contumazes para </w:t>
            </w:r>
            <w:r w:rsidRPr="00231BDF">
              <w:rPr>
                <w:rFonts w:asciiTheme="minorHAnsi" w:hAnsiTheme="minorHAnsi" w:cs="Arial"/>
                <w:b/>
                <w:iCs/>
                <w:sz w:val="18"/>
                <w:szCs w:val="18"/>
              </w:rPr>
              <w:t>R$ 5.125</w:t>
            </w:r>
            <w:r w:rsidRPr="00231BDF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 xml:space="preserve"> milhões</w:t>
            </w:r>
            <w:r w:rsidRPr="00231BDF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.</w:t>
            </w:r>
          </w:p>
          <w:p w:rsidR="00231BDF" w:rsidRPr="00231BDF" w:rsidRDefault="00231BDF" w:rsidP="00231BDF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31BD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Resultados (a partir de 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2015</w:t>
            </w:r>
            <w:r w:rsidRPr="00231BD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):</w:t>
            </w:r>
          </w:p>
          <w:p w:rsidR="00231BDF" w:rsidRPr="00694862" w:rsidRDefault="00231BDF" w:rsidP="00231BDF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31BDF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Incremento da arrecadação de ICMS dos contribuintes enquadrados como devedores contumazes em </w:t>
            </w:r>
            <w:r w:rsidRPr="00231BDF">
              <w:rPr>
                <w:rFonts w:asciiTheme="minorHAnsi" w:hAnsiTheme="minorHAnsi" w:cs="Arial"/>
                <w:b/>
                <w:iCs/>
                <w:sz w:val="18"/>
                <w:szCs w:val="18"/>
              </w:rPr>
              <w:t>R$ 260</w:t>
            </w:r>
            <w:r w:rsidRPr="00231BDF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 xml:space="preserve"> milhões</w:t>
            </w:r>
            <w:r w:rsidRPr="00231BDF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.</w:t>
            </w:r>
          </w:p>
          <w:p w:rsidR="00231BDF" w:rsidRPr="00694862" w:rsidRDefault="00231BDF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:rsidR="005F28E7" w:rsidRPr="00033527" w:rsidRDefault="00726FE6" w:rsidP="00880CD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033527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Comparação com resultados do Estado de SE</w:t>
            </w:r>
          </w:p>
        </w:tc>
        <w:tc>
          <w:tcPr>
            <w:tcW w:w="5385" w:type="dxa"/>
            <w:shd w:val="clear" w:color="auto" w:fill="auto"/>
          </w:tcPr>
          <w:p w:rsidR="00726FE6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F504B4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lastRenderedPageBreak/>
              <w:t>1ª tranche: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 </w:t>
            </w:r>
            <w:r w:rsidRPr="00732277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Ampliação do risco subjetivo </w:t>
            </w:r>
            <w: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do contribuinte </w:t>
            </w:r>
            <w:r w:rsidRPr="00732277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pelo não cumprimento da obrigação tributária</w:t>
            </w:r>
            <w: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,</w:t>
            </w:r>
            <w:r w:rsidRPr="00732277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por meio da r</w:t>
            </w:r>
            <w:r w:rsidRPr="00732277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egulamentação</w:t>
            </w:r>
            <w:r w:rsidRPr="00F504B4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de novo regime especial de fiscalização para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devedores contumazes </w:t>
            </w:r>
          </w:p>
          <w:p w:rsidR="00726FE6" w:rsidRPr="00F504B4" w:rsidRDefault="00726FE6" w:rsidP="00880CD7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F504B4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726FE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Decreto</w:t>
            </w:r>
            <w:r w:rsidRPr="00F504B4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do Poder Executivo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F504B4">
              <w:rPr>
                <w:rFonts w:asciiTheme="minorHAnsi" w:hAnsiTheme="minorHAnsi" w:cstheme="minorHAnsi"/>
                <w:noProof/>
                <w:sz w:val="18"/>
                <w:szCs w:val="18"/>
              </w:rPr>
              <w:t>stadual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, publicado no DOE,</w:t>
            </w:r>
            <w:r w:rsidRPr="00F504B4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instituindo o Regime Especial de fiscali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zação para devedores contumazes publicado no DOE</w:t>
            </w:r>
          </w:p>
          <w:p w:rsidR="00726FE6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8939DC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  <w:lang w:eastAsia="en-US"/>
              </w:rPr>
              <w:t>PGE/DANILO</w:t>
            </w:r>
            <w:r w:rsidRPr="008939DC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  <w:t>: Verificar a constitucionalidade de o Estado inscrever o contribuinte no SERASA através de Decreto.</w:t>
            </w:r>
          </w:p>
          <w:p w:rsidR="009E15A6" w:rsidRPr="009E15A6" w:rsidRDefault="009E15A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9E15A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SEFAZ: </w:t>
            </w:r>
            <w:r w:rsidRPr="009E15A6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>Lembramos que estamos normatizando o Regime Especial de Fiscalização e que a divulgação pelo SERASA é constitucional e já existe norma regulamentando Lei Complementar 105/2007 –</w:t>
            </w:r>
            <w:r w:rsidR="001E181B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 xml:space="preserve"> lei de transação da PGE e De</w:t>
            </w:r>
            <w:r w:rsidRPr="009E15A6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>creto</w:t>
            </w:r>
            <w:r w:rsidR="001E181B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 xml:space="preserve"> </w:t>
            </w:r>
            <w:r w:rsidRPr="009E15A6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 xml:space="preserve">32.549/ 2008, e Portaria Conjunta nº 050 </w:t>
            </w:r>
            <w:r w:rsidRPr="009E15A6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lastRenderedPageBreak/>
              <w:t>SEFAZ/ PGE de 24.05.2010. No regime especial de fiscalização são medidas que vão além da inscrição no SERASA podendo ser esta inscrição um passo inicial para a efetivação do REF</w:t>
            </w:r>
            <w:r w:rsidR="001E181B">
              <w:rPr>
                <w:rFonts w:ascii="Calibri" w:hAnsi="Calibri" w:cs="Calibri"/>
                <w:b/>
                <w:sz w:val="18"/>
                <w:szCs w:val="18"/>
                <w:lang w:eastAsia="pt-BR"/>
              </w:rPr>
              <w:t>.</w:t>
            </w:r>
          </w:p>
          <w:p w:rsidR="00726FE6" w:rsidRDefault="003275FE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3275FE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green"/>
              </w:rPr>
              <w:t>PGE E BID: OK</w:t>
            </w:r>
          </w:p>
          <w:p w:rsidR="001E181B" w:rsidRDefault="001E181B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</w:p>
          <w:p w:rsidR="00726FE6" w:rsidRPr="00E17A82" w:rsidRDefault="00726FE6" w:rsidP="00880CD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F504B4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2ª tranche: </w:t>
            </w:r>
            <w:r w:rsidRPr="00E17A8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Implantação do novo regime especial </w:t>
            </w:r>
            <w: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de fiscalização </w:t>
            </w:r>
            <w:r w:rsidRPr="00E17A8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em um grupo de contribuintes pré-selecionados </w:t>
            </w:r>
          </w:p>
          <w:p w:rsidR="00726FE6" w:rsidRPr="00F504B4" w:rsidRDefault="00726FE6" w:rsidP="00880CD7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F504B4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726FE6" w:rsidRPr="00706114" w:rsidRDefault="00726FE6" w:rsidP="00880CD7">
            <w:pPr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Edital da</w:t>
            </w:r>
            <w:r w:rsidRPr="00F504B4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SEFAZ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, publicado no DOE,</w:t>
            </w:r>
            <w:r w:rsidRPr="00F504B4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divulgando a relação dos contribuintes sujeitos ao regime especial de fiscalização. </w:t>
            </w:r>
          </w:p>
        </w:tc>
      </w:tr>
    </w:tbl>
    <w:p w:rsidR="00726FE6" w:rsidRDefault="00726FE6">
      <w:pPr>
        <w:rPr>
          <w:rFonts w:asciiTheme="minorHAnsi" w:hAnsiTheme="minorHAnsi" w:cstheme="minorHAnsi"/>
        </w:rPr>
      </w:pPr>
      <w:r w:rsidRPr="00694862">
        <w:rPr>
          <w:rFonts w:asciiTheme="minorHAnsi" w:hAnsiTheme="minorHAnsi" w:cstheme="minorHAnsi"/>
        </w:rPr>
        <w:lastRenderedPageBreak/>
        <w:br w:type="page"/>
      </w:r>
    </w:p>
    <w:p w:rsidR="00726FE6" w:rsidRPr="00694862" w:rsidRDefault="00726FE6">
      <w:pPr>
        <w:rPr>
          <w:rFonts w:asciiTheme="minorHAnsi" w:hAnsiTheme="minorHAnsi" w:cstheme="minorHAnsi"/>
        </w:rPr>
      </w:pPr>
    </w:p>
    <w:tbl>
      <w:tblPr>
        <w:tblW w:w="14743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5"/>
        <w:gridCol w:w="2976"/>
        <w:gridCol w:w="2696"/>
        <w:gridCol w:w="5386"/>
      </w:tblGrid>
      <w:tr w:rsidR="00E92128" w:rsidRPr="00694862" w:rsidTr="00A554CF">
        <w:trPr>
          <w:tblHeader/>
        </w:trPr>
        <w:tc>
          <w:tcPr>
            <w:tcW w:w="3685" w:type="dxa"/>
            <w:shd w:val="clear" w:color="auto" w:fill="F2F2F2"/>
            <w:vAlign w:val="center"/>
          </w:tcPr>
          <w:p w:rsidR="00E92128" w:rsidRPr="00694862" w:rsidRDefault="00E92128" w:rsidP="009D1968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 xml:space="preserve">PROBLEMAS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>/ EVIDÊNCIAS /</w:t>
            </w: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 xml:space="preserve"> LINHA DE BASE</w:t>
            </w:r>
          </w:p>
        </w:tc>
        <w:tc>
          <w:tcPr>
            <w:tcW w:w="2976" w:type="dxa"/>
            <w:shd w:val="clear" w:color="auto" w:fill="F2F2F2"/>
            <w:vAlign w:val="center"/>
          </w:tcPr>
          <w:p w:rsidR="00E92128" w:rsidRPr="00694862" w:rsidRDefault="00E92128" w:rsidP="009D1968">
            <w:pPr>
              <w:pStyle w:val="Contedodatabela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CAUSAS DOS PROBLEMAS</w:t>
            </w:r>
          </w:p>
        </w:tc>
        <w:tc>
          <w:tcPr>
            <w:tcW w:w="2696" w:type="dxa"/>
            <w:shd w:val="clear" w:color="auto" w:fill="F2F2F2"/>
            <w:vAlign w:val="center"/>
          </w:tcPr>
          <w:p w:rsidR="00E92128" w:rsidRPr="00694862" w:rsidRDefault="00E92128" w:rsidP="009D1968">
            <w:pPr>
              <w:pStyle w:val="Contedodatabela"/>
              <w:ind w:right="229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PRODUTO / SOLUÇÃO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/INDICADORES / </w:t>
            </w: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RESULTADOS</w:t>
            </w:r>
          </w:p>
        </w:tc>
        <w:tc>
          <w:tcPr>
            <w:tcW w:w="5386" w:type="dxa"/>
            <w:shd w:val="clear" w:color="auto" w:fill="F2F2F2"/>
            <w:vAlign w:val="center"/>
          </w:tcPr>
          <w:p w:rsidR="00E92128" w:rsidRPr="00694862" w:rsidRDefault="00E92128" w:rsidP="009D1968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>MEDIDA DE POLÍTICA E MEIO DE VERIFICAÇÃO</w:t>
            </w:r>
          </w:p>
        </w:tc>
      </w:tr>
      <w:tr w:rsidR="00E13F25" w:rsidRPr="00694862" w:rsidTr="00A554CF">
        <w:tc>
          <w:tcPr>
            <w:tcW w:w="14743" w:type="dxa"/>
            <w:gridSpan w:val="4"/>
            <w:shd w:val="clear" w:color="auto" w:fill="F2F2F2"/>
          </w:tcPr>
          <w:p w:rsidR="00E13F25" w:rsidRPr="00694862" w:rsidRDefault="00E13F25" w:rsidP="009E76DA">
            <w:pPr>
              <w:pStyle w:val="Contedodatabel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COMPONENTE III – </w:t>
            </w:r>
            <w:r w:rsidR="00AB6D76" w:rsidRPr="00694862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GESTÃO FINANCEIRA E CONTROLE DOS GASTOS PÚBLICOS</w:t>
            </w:r>
          </w:p>
        </w:tc>
      </w:tr>
      <w:tr w:rsidR="00A554CF" w:rsidRPr="00A475B7" w:rsidTr="00A554CF">
        <w:tc>
          <w:tcPr>
            <w:tcW w:w="14743" w:type="dxa"/>
            <w:gridSpan w:val="4"/>
          </w:tcPr>
          <w:p w:rsidR="00A554CF" w:rsidRPr="00DB0077" w:rsidRDefault="00A554CF" w:rsidP="00A554CF">
            <w:pPr>
              <w:pStyle w:val="BodyText"/>
              <w:tabs>
                <w:tab w:val="left" w:pos="938"/>
              </w:tabs>
              <w:spacing w:before="60" w:after="0"/>
              <w:ind w:left="938" w:hanging="938"/>
              <w:rPr>
                <w:rFonts w:asciiTheme="minorHAnsi" w:hAnsiTheme="minorHAnsi" w:cstheme="minorHAnsi"/>
                <w:sz w:val="18"/>
                <w:szCs w:val="18"/>
              </w:rPr>
            </w:pPr>
            <w:r w:rsidRPr="00DB0077">
              <w:rPr>
                <w:rFonts w:asciiTheme="minorHAnsi" w:hAnsiTheme="minorHAnsi" w:cstheme="minorHAnsi"/>
                <w:b/>
                <w:sz w:val="18"/>
                <w:szCs w:val="18"/>
              </w:rPr>
              <w:t>PROBLEMA:</w:t>
            </w:r>
            <w:r w:rsidRPr="00DB0077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="00DB0077" w:rsidRPr="00DB0077">
              <w:rPr>
                <w:rFonts w:asciiTheme="minorHAnsi" w:hAnsiTheme="minorHAnsi" w:cstheme="minorHAnsi"/>
                <w:b/>
                <w:sz w:val="18"/>
                <w:szCs w:val="18"/>
              </w:rPr>
              <w:t>Baixa eficiência na gestão do gasto público</w:t>
            </w:r>
            <w:r w:rsidRPr="00DB007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A554CF" w:rsidRDefault="00A554CF" w:rsidP="00A554CF">
            <w:pPr>
              <w:pStyle w:val="BodyText"/>
              <w:spacing w:before="6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A475B7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Indicador do Componente</w:t>
            </w:r>
            <w:r w:rsidRPr="00A475B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  <w:r w:rsidR="001F1D4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="00982D9C" w:rsidRPr="0000498F">
              <w:rPr>
                <w:rFonts w:asciiTheme="minorHAnsi" w:hAnsiTheme="minorHAnsi" w:cstheme="minorHAnsi"/>
                <w:sz w:val="18"/>
                <w:szCs w:val="18"/>
              </w:rPr>
              <w:t>Melhorar a r</w:t>
            </w:r>
            <w:r w:rsidRPr="0000498F">
              <w:rPr>
                <w:rFonts w:asciiTheme="minorHAnsi" w:hAnsiTheme="minorHAnsi" w:cstheme="minorHAnsi"/>
                <w:sz w:val="18"/>
                <w:szCs w:val="18"/>
              </w:rPr>
              <w:t xml:space="preserve">elação </w:t>
            </w:r>
            <w:r w:rsidR="004D0FC6">
              <w:rPr>
                <w:rFonts w:asciiTheme="minorHAnsi" w:hAnsiTheme="minorHAnsi" w:cstheme="minorHAnsi"/>
                <w:sz w:val="18"/>
                <w:szCs w:val="18"/>
              </w:rPr>
              <w:t xml:space="preserve">percentual </w:t>
            </w:r>
            <w:r w:rsidRPr="0000498F">
              <w:rPr>
                <w:rFonts w:asciiTheme="minorHAnsi" w:hAnsiTheme="minorHAnsi" w:cstheme="minorHAnsi"/>
                <w:sz w:val="18"/>
                <w:szCs w:val="18"/>
              </w:rPr>
              <w:t xml:space="preserve">entre o Valor Total </w:t>
            </w:r>
            <w:r w:rsidR="000937B5" w:rsidRPr="0000498F">
              <w:rPr>
                <w:rFonts w:asciiTheme="minorHAnsi" w:hAnsiTheme="minorHAnsi" w:cstheme="minorHAnsi"/>
                <w:sz w:val="18"/>
                <w:szCs w:val="18"/>
              </w:rPr>
              <w:t xml:space="preserve">das </w:t>
            </w:r>
            <w:r w:rsidR="0000498F" w:rsidRPr="0000498F">
              <w:rPr>
                <w:rFonts w:asciiTheme="minorHAnsi" w:hAnsiTheme="minorHAnsi" w:cstheme="minorHAnsi"/>
                <w:sz w:val="18"/>
                <w:szCs w:val="18"/>
              </w:rPr>
              <w:t xml:space="preserve">Receitas </w:t>
            </w:r>
            <w:r w:rsidR="000937B5" w:rsidRPr="0000498F">
              <w:rPr>
                <w:rFonts w:asciiTheme="minorHAnsi" w:hAnsiTheme="minorHAnsi" w:cstheme="minorHAnsi"/>
                <w:sz w:val="18"/>
                <w:szCs w:val="18"/>
              </w:rPr>
              <w:t xml:space="preserve">Correntes e das </w:t>
            </w:r>
            <w:r w:rsidR="0000498F" w:rsidRPr="0000498F">
              <w:rPr>
                <w:rFonts w:asciiTheme="minorHAnsi" w:hAnsiTheme="minorHAnsi" w:cstheme="minorHAnsi"/>
                <w:sz w:val="18"/>
                <w:szCs w:val="18"/>
              </w:rPr>
              <w:t xml:space="preserve">Despesas </w:t>
            </w:r>
            <w:r w:rsidR="000937B5" w:rsidRPr="0000498F">
              <w:rPr>
                <w:rFonts w:asciiTheme="minorHAnsi" w:hAnsiTheme="minorHAnsi" w:cstheme="minorHAnsi"/>
                <w:sz w:val="18"/>
                <w:szCs w:val="18"/>
              </w:rPr>
              <w:t>Correntes.</w:t>
            </w:r>
          </w:p>
          <w:p w:rsidR="0000498F" w:rsidRPr="0000498F" w:rsidRDefault="0000498F" w:rsidP="00A554CF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0498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Linha de base 2012: 118, 6%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Sendo: </w:t>
            </w:r>
            <w:r w:rsidRPr="0000498F">
              <w:rPr>
                <w:rFonts w:asciiTheme="minorHAnsi" w:hAnsiTheme="minorHAnsi" w:cstheme="minorHAnsi"/>
                <w:b/>
                <w:sz w:val="18"/>
                <w:szCs w:val="18"/>
              </w:rPr>
              <w:t>Receita (R$21.778 milhões) Despesa (R$18.359 milhões)</w:t>
            </w:r>
          </w:p>
          <w:p w:rsidR="00A554CF" w:rsidRPr="00A475B7" w:rsidRDefault="00A554CF" w:rsidP="004D0FC6">
            <w:pPr>
              <w:pStyle w:val="BodyText"/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75B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 Esperado (</w:t>
            </w:r>
            <w:r w:rsidRPr="009E465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2015):</w:t>
            </w:r>
            <w:r w:rsidR="00982D9C" w:rsidRPr="009E465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F46BF" w:rsidRPr="009E465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 definir </w:t>
            </w:r>
            <w:r w:rsidR="004D0FC6" w:rsidRPr="009E465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5F46BF" w:rsidRPr="009E4652">
              <w:rPr>
                <w:rFonts w:asciiTheme="minorHAnsi" w:hAnsiTheme="minorHAnsi" w:cstheme="minorHAnsi"/>
                <w:b/>
                <w:sz w:val="18"/>
                <w:szCs w:val="18"/>
              </w:rPr>
              <w:t>- EDILBERTO</w:t>
            </w:r>
          </w:p>
        </w:tc>
      </w:tr>
      <w:tr w:rsidR="003E3690" w:rsidRPr="00883C85" w:rsidTr="00A554CF">
        <w:tc>
          <w:tcPr>
            <w:tcW w:w="3685" w:type="dxa"/>
            <w:shd w:val="clear" w:color="auto" w:fill="auto"/>
          </w:tcPr>
          <w:p w:rsidR="00883C85" w:rsidRPr="00FA761F" w:rsidRDefault="006B50FE" w:rsidP="00883C85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Problema:</w:t>
            </w:r>
          </w:p>
          <w:p w:rsidR="006B50FE" w:rsidRPr="00FA761F" w:rsidRDefault="0004445D" w:rsidP="00883C85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(I)</w:t>
            </w:r>
            <w:r w:rsidR="001F1D42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B80C92" w:rsidRPr="00FA761F">
              <w:rPr>
                <w:rFonts w:asciiTheme="minorHAnsi" w:hAnsiTheme="minorHAnsi" w:cs="Arial"/>
                <w:b/>
                <w:sz w:val="18"/>
                <w:szCs w:val="18"/>
                <w:lang w:eastAsia="pt-BR"/>
              </w:rPr>
              <w:t xml:space="preserve">Deficiência do processo de planejamento Organizacional da SCGE para realizar </w:t>
            </w:r>
            <w:r w:rsidR="00B80C92" w:rsidRPr="00FA761F">
              <w:rPr>
                <w:rFonts w:asciiTheme="minorHAnsi" w:hAnsiTheme="minorHAnsi" w:cs="Arial"/>
                <w:b/>
                <w:i/>
                <w:sz w:val="18"/>
                <w:szCs w:val="18"/>
                <w:lang w:eastAsia="pt-BR"/>
              </w:rPr>
              <w:t>ações preventivas</w:t>
            </w:r>
            <w:r w:rsidR="00B80C92" w:rsidRPr="00FA761F">
              <w:rPr>
                <w:rFonts w:asciiTheme="minorHAnsi" w:hAnsiTheme="minorHAnsi" w:cs="Arial"/>
                <w:b/>
                <w:sz w:val="18"/>
                <w:szCs w:val="18"/>
                <w:lang w:eastAsia="pt-BR"/>
              </w:rPr>
              <w:t xml:space="preserve"> de Controle interno na Administração Pública Estadual</w:t>
            </w:r>
            <w:r w:rsidR="006B50FE"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6B50FE" w:rsidRPr="00FA761F" w:rsidRDefault="006B50FE" w:rsidP="0004445D">
            <w:pPr>
              <w:suppressAutoHyphens w:val="0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883C85" w:rsidRPr="00FA761F" w:rsidRDefault="00883C85" w:rsidP="00883C85">
            <w:pPr>
              <w:suppressAutoHyphens w:val="0"/>
              <w:spacing w:after="6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Linha de base:</w:t>
            </w:r>
          </w:p>
          <w:p w:rsidR="00883C85" w:rsidRPr="00FA761F" w:rsidRDefault="006B50FE" w:rsidP="00883C85">
            <w:pPr>
              <w:suppressAutoHyphens w:val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</w:t>
            </w:r>
            <w:r w:rsidR="00883C85"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(2012)</w:t>
            </w:r>
          </w:p>
          <w:p w:rsidR="00883C85" w:rsidRPr="00FA761F" w:rsidRDefault="00E92128" w:rsidP="00883C85">
            <w:pPr>
              <w:suppressAutoHyphens w:val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N</w:t>
            </w:r>
            <w:r w:rsidR="0004445D"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enhuma u</w:t>
            </w: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nidade gestora selecionada e inexistência de critérios para selecionar os órgãos (dentre 64) que serão analisados por oferecerem maior risco em controles internos</w:t>
            </w:r>
          </w:p>
          <w:p w:rsidR="00883C85" w:rsidRPr="00FA761F" w:rsidRDefault="00883C85" w:rsidP="00883C85">
            <w:pPr>
              <w:suppressAutoHyphens w:val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3E3690" w:rsidRPr="00FA761F" w:rsidRDefault="001934CC" w:rsidP="00E0654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Vide Nota Técnica SGCE 1 – Reestruturação Planejamento</w:t>
            </w:r>
            <w:r w:rsidR="005A74A3"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</w:t>
            </w:r>
            <w:r w:rsidR="00123A9B"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vf04Mar2013</w:t>
            </w:r>
          </w:p>
        </w:tc>
        <w:tc>
          <w:tcPr>
            <w:tcW w:w="2976" w:type="dxa"/>
            <w:shd w:val="clear" w:color="auto" w:fill="auto"/>
          </w:tcPr>
          <w:p w:rsidR="006B50FE" w:rsidRPr="00FA761F" w:rsidRDefault="006B50FE" w:rsidP="00BD4D6A">
            <w:pPr>
              <w:pStyle w:val="ListParagraph"/>
              <w:numPr>
                <w:ilvl w:val="0"/>
                <w:numId w:val="24"/>
              </w:numPr>
              <w:suppressAutoHyphens w:val="0"/>
              <w:spacing w:before="100" w:beforeAutospacing="1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Aumento das demandas externas exige alta eficiência da equipe</w:t>
            </w:r>
          </w:p>
          <w:p w:rsidR="006B50FE" w:rsidRPr="00FA761F" w:rsidRDefault="006B50FE" w:rsidP="00BD4D6A">
            <w:pPr>
              <w:pStyle w:val="ListParagraph"/>
              <w:numPr>
                <w:ilvl w:val="0"/>
                <w:numId w:val="24"/>
              </w:numPr>
              <w:suppressAutoHyphens w:val="0"/>
              <w:spacing w:before="100" w:beforeAutospacing="1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Falta de uma visão sistêmica sobre as várias atividades finalísticas da Controladoria consonante com as demandas de Controle Interno do Estado. </w:t>
            </w:r>
          </w:p>
          <w:p w:rsidR="006B50FE" w:rsidRPr="00FA761F" w:rsidRDefault="006B50FE" w:rsidP="00BD4D6A">
            <w:pPr>
              <w:pStyle w:val="ListParagraph"/>
              <w:numPr>
                <w:ilvl w:val="0"/>
                <w:numId w:val="24"/>
              </w:numPr>
              <w:suppressAutoHyphens w:val="0"/>
              <w:spacing w:before="100" w:beforeAutospacing="1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Inexistência de critérios para apoiar o planejamento das atividades considerando os diferentes graus de maturidade administrativa dos órgãos da administração pública Estadual. </w:t>
            </w:r>
          </w:p>
          <w:p w:rsidR="006B50FE" w:rsidRPr="00FA761F" w:rsidRDefault="006B50FE" w:rsidP="006B50FE">
            <w:pPr>
              <w:pStyle w:val="ListParagraph"/>
              <w:spacing w:before="100" w:beforeAutospacing="1"/>
              <w:ind w:left="447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3E3690" w:rsidRPr="00FA761F" w:rsidRDefault="003E3690" w:rsidP="006B50FE">
            <w:pPr>
              <w:pStyle w:val="Paragraph"/>
              <w:numPr>
                <w:ilvl w:val="0"/>
                <w:numId w:val="0"/>
              </w:numPr>
              <w:spacing w:before="0" w:after="0"/>
              <w:ind w:left="360" w:hanging="36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</w:p>
        </w:tc>
        <w:tc>
          <w:tcPr>
            <w:tcW w:w="2696" w:type="dxa"/>
            <w:shd w:val="clear" w:color="auto" w:fill="auto"/>
          </w:tcPr>
          <w:p w:rsidR="006B50FE" w:rsidRPr="00FA761F" w:rsidRDefault="006B50FE" w:rsidP="006B50FE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Solução:</w:t>
            </w:r>
          </w:p>
          <w:p w:rsidR="006B50FE" w:rsidRPr="00FA761F" w:rsidRDefault="00B80C92" w:rsidP="006B50FE">
            <w:pPr>
              <w:pStyle w:val="BodyText"/>
              <w:spacing w:before="60"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Implantação de </w:t>
            </w:r>
            <w:r w:rsidR="00DC757B" w:rsidRPr="00FA761F">
              <w:rPr>
                <w:rFonts w:asciiTheme="minorHAnsi" w:hAnsiTheme="minorHAnsi" w:cs="Arial"/>
                <w:b/>
                <w:sz w:val="18"/>
                <w:szCs w:val="18"/>
                <w:lang w:eastAsia="pt-BR"/>
              </w:rPr>
              <w:t>processo</w:t>
            </w:r>
            <w:r w:rsidRPr="00FA761F">
              <w:rPr>
                <w:rFonts w:asciiTheme="minorHAnsi" w:hAnsiTheme="minorHAnsi" w:cs="Arial"/>
                <w:b/>
                <w:sz w:val="18"/>
                <w:szCs w:val="18"/>
                <w:lang w:eastAsia="pt-BR"/>
              </w:rPr>
              <w:t xml:space="preserve"> de seleção das unidades gestoras baseado em critérios previamente definidos, </w:t>
            </w:r>
            <w:r w:rsidRPr="006F09E5">
              <w:rPr>
                <w:rFonts w:asciiTheme="minorHAnsi" w:eastAsiaTheme="minorHAnsi" w:hAnsiTheme="minorHAnsi"/>
                <w:b/>
                <w:sz w:val="18"/>
                <w:szCs w:val="18"/>
              </w:rPr>
              <w:t>para realizar ações preventivas de Controle Interno</w:t>
            </w:r>
            <w:r w:rsidRPr="00FA761F">
              <w:rPr>
                <w:rFonts w:asciiTheme="minorHAnsi" w:eastAsiaTheme="minorHAnsi" w:hAnsiTheme="minorHAnsi"/>
                <w:b/>
                <w:sz w:val="18"/>
                <w:szCs w:val="18"/>
              </w:rPr>
              <w:t xml:space="preserve"> na Administração Pública Estadual</w:t>
            </w:r>
            <w:r w:rsidR="00823817">
              <w:rPr>
                <w:rFonts w:asciiTheme="minorHAnsi" w:eastAsiaTheme="minorHAnsi" w:hAnsiTheme="minorHAnsi"/>
                <w:b/>
                <w:sz w:val="18"/>
                <w:szCs w:val="18"/>
              </w:rPr>
              <w:t xml:space="preserve"> </w:t>
            </w:r>
            <w:r w:rsidRPr="00FA761F">
              <w:rPr>
                <w:rFonts w:asciiTheme="minorHAnsi" w:hAnsiTheme="minorHAnsi" w:cs="Arial"/>
                <w:sz w:val="18"/>
                <w:szCs w:val="18"/>
                <w:lang w:eastAsia="pt-BR"/>
              </w:rPr>
              <w:t>envolvendo</w:t>
            </w:r>
          </w:p>
          <w:p w:rsidR="006B50FE" w:rsidRPr="00FA761F" w:rsidRDefault="006B50FE" w:rsidP="00BD4D6A">
            <w:pPr>
              <w:pStyle w:val="BodyText"/>
              <w:numPr>
                <w:ilvl w:val="0"/>
                <w:numId w:val="40"/>
              </w:numPr>
              <w:spacing w:before="60" w:after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A761F">
              <w:rPr>
                <w:rFonts w:asciiTheme="minorHAnsi" w:hAnsiTheme="minorHAnsi" w:cstheme="minorHAnsi"/>
                <w:noProof/>
                <w:sz w:val="16"/>
                <w:szCs w:val="16"/>
              </w:rPr>
              <w:t>Levantamentos de informações e diagnósticos estruturados pela SCGE em relação aos órgãos objeto de sua atuação.</w:t>
            </w:r>
          </w:p>
          <w:p w:rsidR="0004445D" w:rsidRPr="00FA761F" w:rsidRDefault="0004445D" w:rsidP="006B50FE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</w:p>
          <w:p w:rsidR="006B50FE" w:rsidRPr="00FA761F" w:rsidRDefault="0004445D" w:rsidP="006B50FE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</w:t>
            </w:r>
            <w:r w:rsidR="006B50FE"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roduto</w:t>
            </w: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(2013)</w:t>
            </w:r>
            <w:r w:rsidR="006B50FE"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3E3690" w:rsidRPr="00FA761F" w:rsidRDefault="006B50FE" w:rsidP="006B50FE">
            <w:pPr>
              <w:pStyle w:val="BodyText"/>
              <w:spacing w:before="60"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1</w:t>
            </w:r>
            <w:r w:rsidR="00BA490C"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1</w:t>
            </w: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unidades gestoras selecionada para as ações preventivas de controle por critérios de materialidade, relevância e vulnerabilidade</w:t>
            </w:r>
          </w:p>
          <w:p w:rsidR="006B50FE" w:rsidRDefault="006B50FE" w:rsidP="006B50FE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Resultados:</w:t>
            </w:r>
          </w:p>
          <w:p w:rsidR="006B50FE" w:rsidRPr="003D1173" w:rsidRDefault="003D1173" w:rsidP="008C65B9">
            <w:pPr>
              <w:pStyle w:val="BodyText"/>
              <w:spacing w:before="6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D1173">
              <w:rPr>
                <w:rFonts w:asciiTheme="minorHAnsi" w:hAnsiTheme="minorHAnsi" w:cstheme="minorHAnsi"/>
                <w:noProof/>
                <w:sz w:val="18"/>
                <w:szCs w:val="18"/>
              </w:rPr>
              <w:t>NÃO SE APLICA</w:t>
            </w:r>
          </w:p>
        </w:tc>
        <w:tc>
          <w:tcPr>
            <w:tcW w:w="5386" w:type="dxa"/>
            <w:shd w:val="clear" w:color="auto" w:fill="auto"/>
          </w:tcPr>
          <w:p w:rsidR="006B50FE" w:rsidRPr="00941825" w:rsidRDefault="006B50FE" w:rsidP="006B50FE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1ª tranche: 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Reestruturação da SCGE, para fortalecimento da área responsável pela atividade de Planejamento Organizacional.</w:t>
            </w:r>
          </w:p>
          <w:p w:rsidR="006B50FE" w:rsidRPr="00941825" w:rsidRDefault="006B50FE" w:rsidP="00941825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6B50FE" w:rsidRPr="00941825" w:rsidRDefault="006B50FE" w:rsidP="00941825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Decreto</w:t>
            </w:r>
            <w:r w:rsidR="0082381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do Poder Executivo Estadual, publicado no DOE,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883C85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alterando o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823817">
              <w:rPr>
                <w:rFonts w:asciiTheme="minorHAnsi" w:hAnsiTheme="minorHAnsi" w:cstheme="minorHAnsi"/>
                <w:noProof/>
                <w:sz w:val="18"/>
                <w:szCs w:val="18"/>
              </w:rPr>
              <w:t>r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egulamento da Secretaria da Controladoria Geral do </w:t>
            </w:r>
            <w:r w:rsidRPr="0004195F">
              <w:rPr>
                <w:rFonts w:asciiTheme="minorHAnsi" w:hAnsiTheme="minorHAnsi" w:cstheme="minorHAnsi"/>
                <w:noProof/>
                <w:sz w:val="18"/>
                <w:szCs w:val="18"/>
              </w:rPr>
              <w:t>Estado</w:t>
            </w:r>
            <w:r w:rsidR="00823817" w:rsidRPr="0004195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(</w:t>
            </w:r>
            <w:r w:rsidR="0004195F" w:rsidRPr="0004195F">
              <w:rPr>
                <w:rFonts w:asciiTheme="minorHAnsi" w:hAnsiTheme="minorHAnsi" w:cstheme="minorHAnsi"/>
                <w:noProof/>
                <w:sz w:val="18"/>
                <w:szCs w:val="18"/>
              </w:rPr>
              <w:t>Decreto</w:t>
            </w:r>
            <w:r w:rsidR="0004195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Etadual </w:t>
            </w:r>
            <w:r w:rsidR="001933EC">
              <w:rPr>
                <w:rFonts w:asciiTheme="minorHAnsi" w:hAnsiTheme="minorHAnsi" w:cstheme="minorHAnsi"/>
                <w:noProof/>
                <w:sz w:val="18"/>
                <w:szCs w:val="18"/>
              </w:rPr>
              <w:t>36.673/2011</w:t>
            </w:r>
            <w:r w:rsidR="00823817">
              <w:rPr>
                <w:rFonts w:asciiTheme="minorHAnsi" w:hAnsiTheme="minorHAnsi" w:cstheme="minorHAnsi"/>
                <w:noProof/>
                <w:sz w:val="18"/>
                <w:szCs w:val="18"/>
              </w:rPr>
              <w:t>)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</w:t>
            </w:r>
            <w:r w:rsidR="00823817">
              <w:rPr>
                <w:rFonts w:asciiTheme="minorHAnsi" w:hAnsiTheme="minorHAnsi" w:cstheme="minorHAnsi"/>
                <w:noProof/>
                <w:sz w:val="18"/>
                <w:szCs w:val="18"/>
              </w:rPr>
              <w:t>de forma a redefinir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as atribuições da área de Planejamento Finalístico da SCGE.</w:t>
            </w:r>
          </w:p>
          <w:p w:rsidR="006B50FE" w:rsidRPr="00941825" w:rsidRDefault="006B50FE" w:rsidP="00941825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6B50FE" w:rsidRPr="00941825" w:rsidRDefault="006B50FE" w:rsidP="006B50FE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2ª tranche: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Regulamentação do Plano Anual de Atuação Integrada da SCGE nas Unidades Gestoras do Governo do Estado.</w:t>
            </w:r>
          </w:p>
          <w:p w:rsidR="006B50FE" w:rsidRPr="00941825" w:rsidRDefault="006B50FE" w:rsidP="00941825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6B50FE" w:rsidRPr="00941825" w:rsidRDefault="006B50FE" w:rsidP="00941825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do Secretário da Controladoria Geral do Estado</w:t>
            </w:r>
            <w:r w:rsidR="00823817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DOE, instituindo o Plano Anual de Atuação Integrada</w:t>
            </w:r>
            <w:r w:rsidR="00823817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6E44F0" w:rsidRPr="00883C85" w:rsidRDefault="006E44F0" w:rsidP="00883C85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5A74A3" w:rsidRPr="00694862" w:rsidTr="000F29C9">
        <w:tc>
          <w:tcPr>
            <w:tcW w:w="3685" w:type="dxa"/>
            <w:shd w:val="clear" w:color="auto" w:fill="auto"/>
          </w:tcPr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Problema</w:t>
            </w:r>
            <w:r w:rsidRPr="00A6304E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A6304E">
              <w:rPr>
                <w:rFonts w:asciiTheme="minorHAnsi" w:hAnsiTheme="minorHAnsi" w:cstheme="minorHAnsi"/>
                <w:noProof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II</w:t>
            </w:r>
            <w:r w:rsidRPr="00A6304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) </w:t>
            </w:r>
            <w:r w:rsidRPr="00A6304E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Falta de sistematização no levantamento dos riscos inerentes as ações de Controle </w:t>
            </w:r>
            <w:r w:rsidRPr="00A6304E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lastRenderedPageBreak/>
              <w:t>Interno</w:t>
            </w:r>
          </w:p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5A74A3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A6304E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Linha de Base:</w:t>
            </w:r>
          </w:p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Produto</w:t>
            </w:r>
          </w:p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A6304E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2011 </w:t>
            </w:r>
            <w:r w:rsidRPr="00A6304E">
              <w:rPr>
                <w:rFonts w:asciiTheme="minorHAnsi" w:hAnsiTheme="minorHAnsi" w:cstheme="minorHAnsi"/>
                <w:noProof/>
                <w:sz w:val="18"/>
                <w:szCs w:val="18"/>
              </w:rPr>
              <w:t>– Nenhum trabalho realizado,</w:t>
            </w:r>
          </w:p>
          <w:p w:rsidR="005A74A3" w:rsidRDefault="005A74A3" w:rsidP="000F29C9">
            <w:pPr>
              <w:pStyle w:val="BodyTex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A6304E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2012 </w:t>
            </w:r>
            <w:r w:rsidRPr="00A6304E">
              <w:rPr>
                <w:rFonts w:asciiTheme="minorHAnsi" w:hAnsiTheme="minorHAnsi" w:cstheme="minorHAnsi"/>
                <w:noProof/>
                <w:sz w:val="18"/>
                <w:szCs w:val="18"/>
              </w:rPr>
              <w:t>– Trabalhos eventuais com a Metodologia de Risco.</w:t>
            </w:r>
          </w:p>
          <w:p w:rsidR="00B34549" w:rsidRPr="00A6304E" w:rsidRDefault="00B34549" w:rsidP="003D1173">
            <w:pPr>
              <w:pStyle w:val="BodyTex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Vide Nota Técnica SGCE 2 – Metodologia de Riscos </w:t>
            </w:r>
            <w:r w:rsidR="00123A9B"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vf04Mar2013</w:t>
            </w:r>
          </w:p>
        </w:tc>
        <w:tc>
          <w:tcPr>
            <w:tcW w:w="2976" w:type="dxa"/>
            <w:shd w:val="clear" w:color="auto" w:fill="auto"/>
          </w:tcPr>
          <w:p w:rsidR="005A74A3" w:rsidRPr="00A6304E" w:rsidRDefault="005A74A3" w:rsidP="000F29C9">
            <w:pPr>
              <w:pStyle w:val="Paragraph"/>
              <w:numPr>
                <w:ilvl w:val="0"/>
                <w:numId w:val="3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A6304E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lastRenderedPageBreak/>
              <w:t xml:space="preserve">Pouca parametrização no direcionamento das ações de controle interno,  gerando ações </w:t>
            </w:r>
            <w:r w:rsidRPr="00A6304E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lastRenderedPageBreak/>
              <w:t>em situações de pouca relevância.</w:t>
            </w:r>
          </w:p>
        </w:tc>
        <w:tc>
          <w:tcPr>
            <w:tcW w:w="2696" w:type="dxa"/>
            <w:shd w:val="clear" w:color="auto" w:fill="auto"/>
          </w:tcPr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Solução</w:t>
            </w:r>
            <w:r w:rsidRPr="00A6304E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5A74A3" w:rsidRPr="00A6304E" w:rsidRDefault="008D592C" w:rsidP="000F29C9">
            <w:pPr>
              <w:pStyle w:val="BodyText"/>
              <w:spacing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Implantação da </w:t>
            </w:r>
            <w:r w:rsidR="005A74A3" w:rsidRPr="00A6304E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Metodologia de Monitoramento e Análise de </w:t>
            </w:r>
            <w:r w:rsidR="005A74A3" w:rsidRPr="00A6304E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lastRenderedPageBreak/>
              <w:t xml:space="preserve">Riscos e Apuração de Indícios de </w:t>
            </w: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I</w:t>
            </w:r>
            <w:r w:rsidR="005A74A3" w:rsidRPr="00A6304E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rregularidades</w:t>
            </w:r>
            <w:r w:rsidR="005A74A3" w:rsidRPr="00A6304E">
              <w:rPr>
                <w:rFonts w:asciiTheme="minorHAnsi" w:hAnsiTheme="minorHAnsi" w:cstheme="minorHAnsi"/>
                <w:noProof/>
                <w:sz w:val="18"/>
                <w:szCs w:val="18"/>
              </w:rPr>
              <w:t>, direcionando as ações de controle interno a partir de indícios emergidos das bases de dados.</w:t>
            </w:r>
          </w:p>
          <w:p w:rsidR="005A74A3" w:rsidRPr="00A6304E" w:rsidRDefault="005A74A3" w:rsidP="000F29C9">
            <w:pPr>
              <w:pStyle w:val="BodyText"/>
              <w:spacing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5A74A3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</w:p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A6304E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 (2014):</w:t>
            </w:r>
          </w:p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11 Unidades Gestoras com apliacação trimestral </w:t>
            </w:r>
            <w:r w:rsidRPr="00A6304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da metodologia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de riscos </w:t>
            </w:r>
          </w:p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A6304E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Resultados:</w:t>
            </w:r>
          </w:p>
          <w:p w:rsidR="005A74A3" w:rsidRPr="00A6304E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A6304E">
              <w:rPr>
                <w:rFonts w:asciiTheme="minorHAnsi" w:hAnsiTheme="minorHAnsi" w:cstheme="minorHAnsi"/>
                <w:noProof/>
                <w:sz w:val="18"/>
                <w:szCs w:val="18"/>
              </w:rPr>
              <w:t>NÃO SE APLICA</w:t>
            </w:r>
          </w:p>
        </w:tc>
        <w:tc>
          <w:tcPr>
            <w:tcW w:w="5386" w:type="dxa"/>
            <w:shd w:val="clear" w:color="auto" w:fill="auto"/>
          </w:tcPr>
          <w:p w:rsidR="005A74A3" w:rsidRPr="00941825" w:rsidRDefault="005A74A3" w:rsidP="000F29C9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 xml:space="preserve">1ª tranche: 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Instituição, na SCGE, de Metodologia de Monitoramento e Análise de Riscos e Apuração de Indícios de </w:t>
            </w:r>
            <w:r w:rsidR="008D592C">
              <w:rPr>
                <w:rFonts w:asciiTheme="minorHAnsi" w:hAnsiTheme="minorHAnsi" w:cstheme="minorHAnsi"/>
                <w:noProof/>
                <w:sz w:val="18"/>
                <w:szCs w:val="18"/>
              </w:rPr>
              <w:t>I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rregularidades na Gestão Pública Estadual.</w:t>
            </w:r>
          </w:p>
          <w:p w:rsidR="005A74A3" w:rsidRPr="00941825" w:rsidRDefault="005A74A3" w:rsidP="000F29C9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 xml:space="preserve">Meio de verificação: </w:t>
            </w:r>
          </w:p>
          <w:p w:rsidR="005A74A3" w:rsidRDefault="005A74A3" w:rsidP="000F29C9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do Secretário da Controladoria Geral do Estado</w:t>
            </w:r>
            <w:r w:rsidR="008D592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DOE, aprovando o Manual da Metodologia.</w:t>
            </w:r>
          </w:p>
          <w:p w:rsidR="00941825" w:rsidRPr="00941825" w:rsidRDefault="00941825" w:rsidP="000F29C9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5A74A3" w:rsidRPr="00941825" w:rsidRDefault="005A74A3" w:rsidP="000F29C9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Implantação da Metodologia de Monitoramento e Análise de Riscos e Apuração de Indícios de </w:t>
            </w:r>
            <w:r w:rsidR="008D592C">
              <w:rPr>
                <w:rFonts w:asciiTheme="minorHAnsi" w:hAnsiTheme="minorHAnsi" w:cstheme="minorHAnsi"/>
                <w:noProof/>
                <w:sz w:val="18"/>
                <w:szCs w:val="18"/>
              </w:rPr>
              <w:t>I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rregularidades, em uma unidade da SCGE.</w:t>
            </w:r>
          </w:p>
          <w:p w:rsidR="005A74A3" w:rsidRPr="00941825" w:rsidRDefault="005A74A3" w:rsidP="000F29C9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Meio de verificação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: </w:t>
            </w:r>
          </w:p>
          <w:p w:rsidR="005A74A3" w:rsidRPr="00694862" w:rsidRDefault="005A74A3" w:rsidP="005F2D6D">
            <w:pPr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Relatório</w:t>
            </w:r>
            <w:r w:rsidR="008D592C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emitido pela SCGE, demonstrando a implementação e aplicação da </w:t>
            </w:r>
            <w:r w:rsidR="008D592C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Metodologia de Monitoramento e Análise de Riscos e Apuração de Indícios de </w:t>
            </w:r>
            <w:r w:rsidR="008D592C">
              <w:rPr>
                <w:rFonts w:asciiTheme="minorHAnsi" w:hAnsiTheme="minorHAnsi" w:cstheme="minorHAnsi"/>
                <w:noProof/>
                <w:sz w:val="18"/>
                <w:szCs w:val="18"/>
              </w:rPr>
              <w:t>I</w:t>
            </w:r>
            <w:r w:rsidR="008D592C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rregularidades</w:t>
            </w:r>
            <w:r w:rsidR="003D1173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</w:tc>
      </w:tr>
      <w:tr w:rsidR="006E44F0" w:rsidRPr="00694862" w:rsidTr="00A554CF">
        <w:tc>
          <w:tcPr>
            <w:tcW w:w="3685" w:type="dxa"/>
            <w:shd w:val="clear" w:color="auto" w:fill="auto"/>
          </w:tcPr>
          <w:p w:rsidR="006E44F0" w:rsidRPr="0004445D" w:rsidRDefault="006E44F0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Problema</w:t>
            </w:r>
            <w:r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6E44F0" w:rsidRPr="0004445D" w:rsidRDefault="00F73C19" w:rsidP="00B55E7C">
            <w:pPr>
              <w:pStyle w:val="ListParagraph"/>
              <w:spacing w:before="60" w:after="60"/>
              <w:ind w:left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04445D">
              <w:rPr>
                <w:rFonts w:asciiTheme="minorHAnsi" w:hAnsiTheme="minorHAnsi" w:cstheme="minorHAnsi"/>
                <w:noProof/>
                <w:sz w:val="18"/>
                <w:szCs w:val="18"/>
              </w:rPr>
              <w:t>(</w:t>
            </w:r>
            <w:r w:rsidR="005A74A3">
              <w:rPr>
                <w:rFonts w:asciiTheme="minorHAnsi" w:hAnsiTheme="minorHAnsi" w:cstheme="minorHAnsi"/>
                <w:noProof/>
                <w:sz w:val="18"/>
                <w:szCs w:val="18"/>
              </w:rPr>
              <w:t>I</w:t>
            </w:r>
            <w:r w:rsidRPr="0004445D">
              <w:rPr>
                <w:rFonts w:asciiTheme="minorHAnsi" w:hAnsiTheme="minorHAnsi" w:cstheme="minorHAnsi"/>
                <w:noProof/>
                <w:sz w:val="18"/>
                <w:szCs w:val="18"/>
              </w:rPr>
              <w:t>II</w:t>
            </w:r>
            <w:r w:rsidR="006E44F0" w:rsidRPr="0004445D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) </w:t>
            </w:r>
            <w:r w:rsidR="006E44F0" w:rsidRPr="0004445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Deficiência na análise feita pela SCGE das prestações de contas da Administração Direta</w:t>
            </w:r>
            <w:r w:rsidR="006E44F0" w:rsidRPr="0004445D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2579C4" w:rsidRPr="002579C4" w:rsidRDefault="002579C4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579C4">
              <w:rPr>
                <w:rFonts w:asciiTheme="minorHAnsi" w:hAnsiTheme="minorHAnsi" w:cstheme="minorHAnsi"/>
                <w:noProof/>
                <w:sz w:val="18"/>
                <w:szCs w:val="18"/>
              </w:rPr>
              <w:t>Evidências (2008 a 2012):</w:t>
            </w:r>
          </w:p>
          <w:p w:rsidR="002579C4" w:rsidRPr="002579C4" w:rsidRDefault="002579C4" w:rsidP="002579C4">
            <w:pPr>
              <w:pStyle w:val="BodyText"/>
              <w:numPr>
                <w:ilvl w:val="0"/>
                <w:numId w:val="50"/>
              </w:numPr>
              <w:spacing w:before="60"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579C4">
              <w:rPr>
                <w:rFonts w:asciiTheme="minorHAnsi" w:hAnsiTheme="minorHAnsi"/>
                <w:sz w:val="18"/>
                <w:szCs w:val="18"/>
              </w:rPr>
              <w:t>Quantidade média de servidores disponibilizados para análise (3 servidores) e quantidade média anual de processos de prestação de contas recebidos (122.318 processos).</w:t>
            </w:r>
          </w:p>
          <w:p w:rsidR="002579C4" w:rsidRPr="002579C4" w:rsidRDefault="002579C4" w:rsidP="002579C4">
            <w:pPr>
              <w:pStyle w:val="BodyText"/>
              <w:numPr>
                <w:ilvl w:val="0"/>
                <w:numId w:val="50"/>
              </w:numPr>
              <w:spacing w:before="60"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579C4">
              <w:rPr>
                <w:rFonts w:asciiTheme="minorHAnsi" w:hAnsiTheme="minorHAnsi"/>
                <w:sz w:val="18"/>
                <w:szCs w:val="18"/>
              </w:rPr>
              <w:t>Média anual de 2.670 processos de prestação de contas analisados</w:t>
            </w:r>
          </w:p>
          <w:p w:rsidR="002579C4" w:rsidRPr="002579C4" w:rsidRDefault="002579C4" w:rsidP="002579C4">
            <w:pPr>
              <w:pStyle w:val="BodyText"/>
              <w:numPr>
                <w:ilvl w:val="0"/>
                <w:numId w:val="50"/>
              </w:numPr>
              <w:spacing w:before="60"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579C4">
              <w:rPr>
                <w:rFonts w:asciiTheme="minorHAnsi" w:hAnsiTheme="minorHAnsi"/>
                <w:sz w:val="18"/>
                <w:szCs w:val="18"/>
              </w:rPr>
              <w:t>Média anual dos valores analisados correspondeu à R$ 302.948.641,51</w:t>
            </w:r>
          </w:p>
          <w:p w:rsidR="006E44F0" w:rsidRPr="0004445D" w:rsidRDefault="0004445D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Linha de Base:</w:t>
            </w:r>
          </w:p>
          <w:p w:rsidR="006E44F0" w:rsidRPr="0004445D" w:rsidRDefault="006E44F0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</w:t>
            </w:r>
            <w:r w:rsid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(2012)</w:t>
            </w:r>
          </w:p>
          <w:p w:rsidR="006E44F0" w:rsidRPr="0004445D" w:rsidRDefault="006E44F0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04445D">
              <w:rPr>
                <w:rFonts w:asciiTheme="minorHAnsi" w:hAnsiTheme="minorHAnsi" w:cstheme="minorHAnsi"/>
                <w:noProof/>
                <w:sz w:val="18"/>
                <w:szCs w:val="18"/>
              </w:rPr>
              <w:t>Não existe Unidade de Auditoria de Prestação de Contas.</w:t>
            </w:r>
          </w:p>
          <w:p w:rsidR="006E44F0" w:rsidRDefault="006E44F0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</w:t>
            </w:r>
            <w:r w:rsidR="00C559EB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(2012)</w:t>
            </w:r>
            <w:r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C559EB" w:rsidRDefault="00C559EB" w:rsidP="00C559EB">
            <w:pPr>
              <w:pStyle w:val="BodyText"/>
              <w:spacing w:after="0"/>
              <w:jc w:val="both"/>
              <w:rPr>
                <w:rFonts w:asciiTheme="minorHAnsi" w:hAnsiTheme="minorHAnsi" w:cs="Arial"/>
                <w:noProof/>
                <w:sz w:val="18"/>
                <w:szCs w:val="18"/>
                <w:lang w:eastAsia="en-US"/>
              </w:rPr>
            </w:pPr>
            <w:r w:rsidRPr="00C559EB">
              <w:rPr>
                <w:rFonts w:asciiTheme="minorHAnsi" w:hAnsiTheme="minorHAnsi" w:cs="Arial"/>
                <w:noProof/>
                <w:sz w:val="18"/>
                <w:szCs w:val="18"/>
                <w:lang w:eastAsia="en-US"/>
              </w:rPr>
              <w:lastRenderedPageBreak/>
              <w:t>Índice de acrescimo do valor envolvido: 0</w:t>
            </w:r>
          </w:p>
          <w:p w:rsidR="00726FE6" w:rsidRPr="00C559EB" w:rsidRDefault="00726FE6" w:rsidP="00C559EB">
            <w:pPr>
              <w:pStyle w:val="BodyText"/>
              <w:spacing w:after="0"/>
              <w:jc w:val="both"/>
              <w:rPr>
                <w:rFonts w:asciiTheme="minorHAnsi" w:hAnsiTheme="minorHAnsi" w:cs="Arial"/>
                <w:noProof/>
                <w:sz w:val="18"/>
                <w:szCs w:val="18"/>
                <w:lang w:eastAsia="en-US"/>
              </w:rPr>
            </w:pPr>
          </w:p>
          <w:p w:rsidR="000F29C9" w:rsidRPr="001934CC" w:rsidRDefault="006E44F0" w:rsidP="00C1702F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Vide Nota Técnica</w:t>
            </w:r>
            <w:r w:rsidR="00B34549"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SGCE 3</w:t>
            </w:r>
            <w:r w:rsidR="001934CC"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–Prestação de Contas</w:t>
            </w:r>
            <w:r w:rsidR="00123A9B"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vf04Mar2013</w:t>
            </w:r>
          </w:p>
        </w:tc>
        <w:tc>
          <w:tcPr>
            <w:tcW w:w="2976" w:type="dxa"/>
            <w:shd w:val="clear" w:color="auto" w:fill="auto"/>
          </w:tcPr>
          <w:p w:rsidR="006E44F0" w:rsidRPr="008D40CE" w:rsidRDefault="006E44F0" w:rsidP="00BD4D6A">
            <w:pPr>
              <w:pStyle w:val="Paragraph"/>
              <w:numPr>
                <w:ilvl w:val="0"/>
                <w:numId w:val="25"/>
              </w:numPr>
              <w:spacing w:before="60" w:after="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8D40CE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lastRenderedPageBreak/>
              <w:t>Análise da Prestação de Contas do Estado feita de forma meramente cartorial, com foco na conformidade processual;</w:t>
            </w:r>
          </w:p>
          <w:p w:rsidR="006E44F0" w:rsidRPr="008D40CE" w:rsidRDefault="006E44F0" w:rsidP="00BD4D6A">
            <w:pPr>
              <w:pStyle w:val="Paragraph"/>
              <w:numPr>
                <w:ilvl w:val="0"/>
                <w:numId w:val="25"/>
              </w:numPr>
              <w:spacing w:before="60" w:after="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8D40CE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Análise não fornece informações de suporte à tomada de decisão;</w:t>
            </w:r>
          </w:p>
          <w:p w:rsidR="006E44F0" w:rsidRPr="008D40CE" w:rsidRDefault="006E44F0" w:rsidP="00BD4D6A">
            <w:pPr>
              <w:pStyle w:val="Paragraph"/>
              <w:numPr>
                <w:ilvl w:val="0"/>
                <w:numId w:val="25"/>
              </w:numPr>
              <w:spacing w:before="60" w:after="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8D40CE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Não há metodologia para definir a amostra a ser analisada;</w:t>
            </w:r>
          </w:p>
          <w:p w:rsidR="00BB2A29" w:rsidRPr="00520F2B" w:rsidRDefault="00BB2A29" w:rsidP="008D40CE">
            <w:pPr>
              <w:pStyle w:val="Paragraph"/>
              <w:numPr>
                <w:ilvl w:val="0"/>
                <w:numId w:val="25"/>
              </w:numPr>
              <w:spacing w:before="60" w:after="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520F2B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 xml:space="preserve">Quantitativo anual </w:t>
            </w:r>
            <w:r w:rsidR="008D40CE" w:rsidRPr="00520F2B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 xml:space="preserve">elevado </w:t>
            </w:r>
            <w:r w:rsidRPr="00520F2B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 xml:space="preserve">de </w:t>
            </w:r>
            <w:r w:rsidRPr="008D40CE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prestações</w:t>
            </w:r>
            <w:r w:rsidRPr="00520F2B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 xml:space="preserve"> de contas  desproporcional ao quadro de pessoal responsável pela análise</w:t>
            </w:r>
          </w:p>
          <w:p w:rsidR="006E44F0" w:rsidRPr="0004445D" w:rsidRDefault="006E44F0" w:rsidP="00BB2A29">
            <w:pPr>
              <w:pStyle w:val="Paragraph"/>
              <w:numPr>
                <w:ilvl w:val="0"/>
                <w:numId w:val="0"/>
              </w:numPr>
              <w:spacing w:before="60" w:after="0"/>
              <w:ind w:left="360" w:hanging="36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</w:p>
        </w:tc>
        <w:tc>
          <w:tcPr>
            <w:tcW w:w="2696" w:type="dxa"/>
            <w:shd w:val="clear" w:color="auto" w:fill="auto"/>
          </w:tcPr>
          <w:p w:rsidR="006E44F0" w:rsidRPr="0004445D" w:rsidRDefault="006E44F0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Solução</w:t>
            </w:r>
            <w:r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6E44F0" w:rsidRPr="0004445D" w:rsidRDefault="00952620" w:rsidP="0004445D">
            <w:pPr>
              <w:spacing w:before="60" w:after="6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Implantação de</w:t>
            </w:r>
            <w:r w:rsidRPr="0004445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</w:t>
            </w:r>
            <w:r w:rsidR="006E44F0" w:rsidRPr="0004445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Metodologia de </w:t>
            </w: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</w:t>
            </w:r>
            <w:r w:rsidR="006E44F0" w:rsidRPr="0004445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nálise das </w:t>
            </w: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P</w:t>
            </w:r>
            <w:r w:rsidR="006E44F0" w:rsidRPr="0004445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restações de </w:t>
            </w: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C</w:t>
            </w:r>
            <w:r w:rsidR="006E44F0" w:rsidRPr="0004445D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ontas da Administração Direta do Estado,</w:t>
            </w:r>
            <w:r w:rsidR="006E44F0" w:rsidRPr="0004445D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compreendendo:</w:t>
            </w:r>
          </w:p>
          <w:p w:rsidR="006E44F0" w:rsidRPr="00AD5595" w:rsidRDefault="006E44F0" w:rsidP="00BD4D6A">
            <w:pPr>
              <w:pStyle w:val="ListParagraph"/>
              <w:numPr>
                <w:ilvl w:val="0"/>
                <w:numId w:val="26"/>
              </w:numPr>
              <w:spacing w:before="60" w:after="6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Utilização do relatório de indícios de irregulridades, a fim de permitir uma visão mais geral das áreas mais críticas do processo e definição da amostra a ser analisada;</w:t>
            </w:r>
          </w:p>
          <w:p w:rsidR="006E44F0" w:rsidRPr="00AD5595" w:rsidRDefault="006E44F0" w:rsidP="00BD4D6A">
            <w:pPr>
              <w:pStyle w:val="ListParagraph"/>
              <w:numPr>
                <w:ilvl w:val="0"/>
                <w:numId w:val="26"/>
              </w:numPr>
              <w:spacing w:before="60" w:after="6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Análise por tipo de despesas (Despesa Normal, Suprimento Individual, Suprimento Institucional, Transferências) das Unidades, permitindo o levantamento dos pontos de controle existentes e/ou da necessidade de implantação destes.</w:t>
            </w:r>
          </w:p>
          <w:p w:rsidR="0004445D" w:rsidRDefault="006E44F0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</w:p>
          <w:p w:rsidR="006E44F0" w:rsidRPr="0004445D" w:rsidRDefault="0004445D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P</w:t>
            </w:r>
            <w:r w:rsidR="006E44F0"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roduto</w:t>
            </w: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(2013)</w:t>
            </w:r>
            <w:r w:rsidR="006E44F0"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6E44F0" w:rsidRPr="0004445D" w:rsidRDefault="00821542" w:rsidP="00B55E7C">
            <w:pPr>
              <w:pStyle w:val="BodyText"/>
              <w:spacing w:before="6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1</w:t>
            </w:r>
            <w:r w:rsidR="006E44F0" w:rsidRPr="0004445D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Unidade de Auditoria de Prestação de Contas instalada.</w:t>
            </w:r>
          </w:p>
          <w:p w:rsidR="006E44F0" w:rsidRPr="0004445D" w:rsidRDefault="00C559EB" w:rsidP="00B55E7C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 (2015</w:t>
            </w:r>
            <w:r w:rsidR="006E44F0"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):</w:t>
            </w:r>
          </w:p>
          <w:p w:rsidR="00C559EB" w:rsidRPr="000F29C9" w:rsidRDefault="005A74A3" w:rsidP="000F29C9">
            <w:pPr>
              <w:pStyle w:val="BodyText"/>
              <w:spacing w:after="0"/>
              <w:jc w:val="both"/>
              <w:rPr>
                <w:rFonts w:asciiTheme="minorHAnsi" w:hAnsiTheme="minorHAnsi" w:cs="Arial"/>
                <w:noProof/>
                <w:sz w:val="18"/>
                <w:szCs w:val="18"/>
                <w:lang w:eastAsia="en-US"/>
              </w:rPr>
            </w:pPr>
            <w:r w:rsidRPr="00C559EB">
              <w:rPr>
                <w:rFonts w:asciiTheme="minorHAnsi" w:hAnsiTheme="minorHAnsi" w:cs="Arial"/>
                <w:noProof/>
                <w:sz w:val="18"/>
                <w:szCs w:val="18"/>
                <w:lang w:eastAsia="en-US"/>
              </w:rPr>
              <w:t>Índice de acréscimo do valor envolvido: &gt; 0</w:t>
            </w:r>
          </w:p>
        </w:tc>
        <w:tc>
          <w:tcPr>
            <w:tcW w:w="5386" w:type="dxa"/>
            <w:shd w:val="clear" w:color="auto" w:fill="auto"/>
          </w:tcPr>
          <w:p w:rsidR="006E44F0" w:rsidRPr="00941825" w:rsidRDefault="006E44F0" w:rsidP="00B55E7C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04445D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 xml:space="preserve">1ª tranche: 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Reestruturação organizacional da SCGE, para criação de uma Unidade de Auditoria de Prestação de Contas.</w:t>
            </w:r>
          </w:p>
          <w:p w:rsidR="006E44F0" w:rsidRPr="00941825" w:rsidRDefault="006E44F0" w:rsidP="00941825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6E44F0" w:rsidRPr="00941825" w:rsidRDefault="006E44F0" w:rsidP="00941825">
            <w:pPr>
              <w:pStyle w:val="BodyText"/>
              <w:spacing w:after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Decreto do Poder Executivo Estadual</w:t>
            </w:r>
            <w:r w:rsidR="00952620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criando a nova </w:t>
            </w:r>
            <w:r w:rsidR="003D5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95262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Unidade de Auditoria de Prestação de Contas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 estabelecendo suas atribuições</w:t>
            </w:r>
          </w:p>
          <w:p w:rsidR="006E44F0" w:rsidRPr="00941825" w:rsidRDefault="006E44F0" w:rsidP="00941825">
            <w:pPr>
              <w:pStyle w:val="BodyText"/>
              <w:spacing w:before="60" w:after="6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6E44F0" w:rsidRPr="00941825" w:rsidRDefault="006E44F0" w:rsidP="00B55E7C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Instituição da metodologia de análise de prestação de contas do Estado.</w:t>
            </w:r>
          </w:p>
          <w:p w:rsidR="006E44F0" w:rsidRPr="00941825" w:rsidRDefault="006E44F0" w:rsidP="00941825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A0FC2" w:rsidRPr="00694862" w:rsidRDefault="006E44F0" w:rsidP="00941825">
            <w:pPr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do Secretário da Controladoria Geral do Estado</w:t>
            </w:r>
            <w:r w:rsidR="00952620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DOE, aprovando o Manual da Metodologia</w:t>
            </w:r>
            <w:r w:rsidRPr="00694862">
              <w:rPr>
                <w:rFonts w:asciiTheme="minorHAnsi" w:hAnsiTheme="minorHAnsi" w:cstheme="minorHAnsi"/>
                <w:noProof/>
                <w:sz w:val="16"/>
                <w:szCs w:val="18"/>
              </w:rPr>
              <w:t>.</w:t>
            </w:r>
          </w:p>
        </w:tc>
      </w:tr>
      <w:tr w:rsidR="006E44F0" w:rsidRPr="00694862" w:rsidTr="0028094C">
        <w:tc>
          <w:tcPr>
            <w:tcW w:w="3685" w:type="dxa"/>
            <w:shd w:val="clear" w:color="auto" w:fill="auto"/>
          </w:tcPr>
          <w:p w:rsidR="007734FA" w:rsidRPr="00F50906" w:rsidRDefault="007734FA" w:rsidP="007734FA">
            <w:pPr>
              <w:spacing w:before="100" w:beforeAutospacing="1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Problema</w:t>
            </w: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7734FA" w:rsidRPr="00F50906" w:rsidRDefault="0087095A" w:rsidP="007734FA">
            <w:pPr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(IV</w:t>
            </w:r>
            <w:r w:rsidR="007734FA"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) </w:t>
            </w:r>
            <w:r w:rsidR="007734FA" w:rsidRPr="00F5090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Dispêndio de tempo, pela equipe de orientação da SCGE, em atendimentos individualizados de apoio ao gestor</w:t>
            </w:r>
            <w:r w:rsidR="00F50906" w:rsidRPr="00F5090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(por telefone e e-mail)</w:t>
            </w:r>
          </w:p>
          <w:p w:rsidR="007734FA" w:rsidRDefault="007734FA" w:rsidP="007734FA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F50906" w:rsidRPr="00F50906" w:rsidRDefault="00F50906" w:rsidP="007734FA">
            <w:pPr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Linha de base:</w:t>
            </w:r>
          </w:p>
          <w:p w:rsidR="007734FA" w:rsidRPr="00F50906" w:rsidRDefault="007734FA" w:rsidP="007734FA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</w:t>
            </w:r>
            <w:r w:rsid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(2012)</w:t>
            </w: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7734FA" w:rsidRPr="00F50906" w:rsidRDefault="007734FA" w:rsidP="007734FA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>Número de atendimentos individualizados realizados (telefone e e-mail) = 2.809</w:t>
            </w:r>
          </w:p>
          <w:p w:rsidR="007734FA" w:rsidRPr="00F50906" w:rsidRDefault="007734FA" w:rsidP="007734FA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7734FA" w:rsidRPr="00F50906" w:rsidRDefault="007734FA" w:rsidP="007734FA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</w:t>
            </w:r>
            <w:r w:rsid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(2012)</w:t>
            </w: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6E44F0" w:rsidRPr="00F50906" w:rsidRDefault="007734FA" w:rsidP="00F50906">
            <w:pPr>
              <w:pStyle w:val="Paragraph"/>
              <w:numPr>
                <w:ilvl w:val="0"/>
                <w:numId w:val="0"/>
              </w:numPr>
              <w:spacing w:before="0" w:after="6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 xml:space="preserve">Números de orientações técnicas </w:t>
            </w:r>
            <w:r w:rsidR="00F50906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expedidas</w:t>
            </w: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 xml:space="preserve"> (Notas Técnicas: 54, Boletins: 32, Informativos: 10 , Palestras: 5, Cartilhas: 0) = 101</w:t>
            </w:r>
          </w:p>
        </w:tc>
        <w:tc>
          <w:tcPr>
            <w:tcW w:w="2976" w:type="dxa"/>
            <w:shd w:val="clear" w:color="auto" w:fill="auto"/>
          </w:tcPr>
          <w:p w:rsidR="007734FA" w:rsidRPr="00F50906" w:rsidRDefault="007734FA" w:rsidP="00BD4D6A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 w:line="276" w:lineRule="auto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Dificuldade dos gestores na execução da despesa, consoante as regras que norteiam a Administração Pública</w:t>
            </w:r>
          </w:p>
          <w:p w:rsidR="007734FA" w:rsidRPr="00F50906" w:rsidRDefault="007734FA" w:rsidP="00BD4D6A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 w:line="276" w:lineRule="auto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Ausência de ferramenta eletrônica que permita o acesso à informação pelos gestores;</w:t>
            </w:r>
          </w:p>
          <w:p w:rsidR="007734FA" w:rsidRPr="00F50906" w:rsidRDefault="007734FA" w:rsidP="00BD4D6A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 w:line="276" w:lineRule="auto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Utilização de Planilhas com registro manual dos atendimentos.</w:t>
            </w:r>
          </w:p>
          <w:p w:rsidR="007734FA" w:rsidRPr="00F50906" w:rsidRDefault="007734FA" w:rsidP="00BD4D6A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 w:line="276" w:lineRule="auto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Ausência de divulgação das perguntas mais frequentes.</w:t>
            </w:r>
          </w:p>
          <w:p w:rsidR="007734FA" w:rsidRPr="00F50906" w:rsidRDefault="007734FA" w:rsidP="00BD4D6A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 w:line="276" w:lineRule="auto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Alteração recorrente na legislação (leis, decretos, portarias, acórdãos, recomendações)</w:t>
            </w:r>
          </w:p>
          <w:p w:rsidR="006E44F0" w:rsidRPr="00F50906" w:rsidRDefault="007734FA" w:rsidP="00BD4D6A">
            <w:pPr>
              <w:pStyle w:val="Paragraph"/>
              <w:numPr>
                <w:ilvl w:val="0"/>
                <w:numId w:val="27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A equipe deixa de dar outros suportes, de caráter orientador, tais como: Notas Técnicas, Cartilhas, Informativos, Boletins, Palestras</w:t>
            </w:r>
          </w:p>
        </w:tc>
        <w:tc>
          <w:tcPr>
            <w:tcW w:w="2696" w:type="dxa"/>
            <w:shd w:val="clear" w:color="auto" w:fill="auto"/>
          </w:tcPr>
          <w:p w:rsidR="007734FA" w:rsidRPr="00F50906" w:rsidRDefault="007734FA" w:rsidP="007734FA">
            <w:pPr>
              <w:spacing w:before="100" w:beforeAutospacing="1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Solução</w:t>
            </w: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7734FA" w:rsidRPr="00F50906" w:rsidRDefault="007734FA" w:rsidP="00F5090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</w:pPr>
            <w:r w:rsidRPr="00F50906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zh-CN"/>
              </w:rPr>
              <w:t>Implantação, pela SCGE, de processo permanente de apoio e orientação aos gestores</w:t>
            </w: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, compreendendo:</w:t>
            </w:r>
          </w:p>
          <w:p w:rsidR="007734FA" w:rsidRPr="00AD5595" w:rsidRDefault="007734FA" w:rsidP="00BD4D6A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  <w:lang w:val="pt-BR" w:eastAsia="zh-CN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  <w:lang w:val="pt-BR" w:eastAsia="zh-CN"/>
              </w:rPr>
              <w:t>Otimização do tempo da equipe de orientação, de modo que possam dar enfoque a outros trabalhos de apoio ao gestor público</w:t>
            </w:r>
          </w:p>
          <w:p w:rsidR="007734FA" w:rsidRPr="00AD5595" w:rsidRDefault="007734FA" w:rsidP="00BD4D6A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  <w:lang w:val="pt-BR" w:eastAsia="zh-CN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  <w:lang w:val="pt-BR" w:eastAsia="zh-CN"/>
              </w:rPr>
              <w:t xml:space="preserve">Publicação no sitio da SCGE </w:t>
            </w:r>
            <w:r w:rsidR="00952620">
              <w:rPr>
                <w:rFonts w:asciiTheme="minorHAnsi" w:hAnsiTheme="minorHAnsi" w:cstheme="minorHAnsi"/>
                <w:noProof/>
                <w:sz w:val="16"/>
                <w:szCs w:val="16"/>
                <w:lang w:val="pt-BR" w:eastAsia="zh-CN"/>
              </w:rPr>
              <w:t>d</w:t>
            </w: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  <w:lang w:val="pt-BR" w:eastAsia="zh-CN"/>
              </w:rPr>
              <w:t>e orientações formalizadas através de boletins e informativos.</w:t>
            </w:r>
          </w:p>
          <w:p w:rsidR="007734FA" w:rsidRPr="00AD5595" w:rsidRDefault="007734FA" w:rsidP="00BD4D6A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  <w:lang w:val="pt-BR" w:eastAsia="zh-CN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  <w:lang w:val="pt-BR" w:eastAsia="zh-CN"/>
              </w:rPr>
              <w:t>Inserção de Banco de dados disponível no sítio da SCGE para consulta permanente das perguntas mais frequentes.</w:t>
            </w:r>
          </w:p>
          <w:p w:rsidR="00F50906" w:rsidRDefault="00F50906" w:rsidP="00F5090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</w:pPr>
          </w:p>
          <w:p w:rsidR="00F50906" w:rsidRPr="00F50906" w:rsidRDefault="00F50906" w:rsidP="00F5090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zh-CN"/>
              </w:rPr>
            </w:pPr>
            <w:r w:rsidRPr="00F50906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zh-CN"/>
              </w:rPr>
              <w:t>Indicador:</w:t>
            </w:r>
          </w:p>
          <w:p w:rsidR="007734FA" w:rsidRPr="00F50906" w:rsidRDefault="007734FA" w:rsidP="00F5090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val="pt-BR"/>
              </w:rPr>
            </w:pP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val="pt-BR"/>
              </w:rPr>
              <w:t>Produto (2014):</w:t>
            </w:r>
          </w:p>
          <w:p w:rsidR="00F50906" w:rsidRDefault="00821542" w:rsidP="00F5090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180</w:t>
            </w:r>
            <w:r w:rsidR="00B5614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0</w:t>
            </w:r>
            <w:r w:rsidR="00952620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 xml:space="preserve"> </w:t>
            </w:r>
            <w:r w:rsidR="007734FA"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 xml:space="preserve">atendimentos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 xml:space="preserve">individualizados </w:t>
            </w:r>
            <w:r w:rsidR="007734FA" w:rsidRPr="00F50906"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tel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val="pt-BR" w:eastAsia="zh-CN"/>
              </w:rPr>
              <w:t>efônicos e por e-mail</w:t>
            </w:r>
          </w:p>
          <w:p w:rsidR="007734FA" w:rsidRPr="00F50906" w:rsidRDefault="007734FA" w:rsidP="00F5090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val="pt-BR"/>
              </w:rPr>
            </w:pP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val="pt-BR"/>
              </w:rPr>
              <w:t>Resultados (2014):</w:t>
            </w:r>
          </w:p>
          <w:p w:rsidR="006E44F0" w:rsidRPr="00F50906" w:rsidRDefault="007734FA" w:rsidP="007734F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Incremento do número deorientações técnicas </w:t>
            </w:r>
            <w:r w:rsid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expedidas </w:t>
            </w: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(Notas Técnicas: 81, Boletins: 48, Informativos: 20 , Palestras: 10, Cartilhas: 2) = 161  (em torno de </w:t>
            </w: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60%,</w:t>
            </w:r>
            <w:bookmarkStart w:id="2" w:name="13c88c7637d3959e__GoBack"/>
            <w:bookmarkEnd w:id="2"/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>)</w:t>
            </w:r>
          </w:p>
        </w:tc>
        <w:tc>
          <w:tcPr>
            <w:tcW w:w="5386" w:type="dxa"/>
            <w:shd w:val="clear" w:color="auto" w:fill="auto"/>
          </w:tcPr>
          <w:p w:rsidR="006E44F0" w:rsidRPr="00941825" w:rsidRDefault="00081C98" w:rsidP="00900AEB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1ª tranche:</w:t>
            </w:r>
            <w:r w:rsidR="00952620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</w:t>
            </w:r>
            <w:r w:rsidR="006E44F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Instituição da Metodologia de Apoio e Orientação Permanente aos Gestores do Governo do Estado na execução da despesa pública.</w:t>
            </w:r>
          </w:p>
          <w:p w:rsidR="006E44F0" w:rsidRPr="00941825" w:rsidRDefault="006E44F0" w:rsidP="00941825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6E44F0" w:rsidRDefault="006E44F0" w:rsidP="00941825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do Secretário da Controladoria Geral do Estado</w:t>
            </w:r>
            <w:r w:rsidR="00952620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DOE, instituindo a metodologia de apoio e orientação aos gestores do Governo.</w:t>
            </w:r>
          </w:p>
          <w:p w:rsidR="00B136B3" w:rsidRPr="00941825" w:rsidRDefault="00B136B3" w:rsidP="00941825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6E44F0" w:rsidRPr="00941825" w:rsidRDefault="00081C98" w:rsidP="00900AEB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="006E44F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Operacionalização da Metodologia de Apoio e Orientação Permanente aos Gestores do Governo do Estado na execução da despesa pública.</w:t>
            </w:r>
          </w:p>
          <w:p w:rsidR="006E44F0" w:rsidRPr="00941825" w:rsidRDefault="006E44F0" w:rsidP="00941825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6E44F0" w:rsidRPr="00941825" w:rsidRDefault="00735A65" w:rsidP="00941825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P</w:t>
            </w:r>
            <w:r w:rsidR="006E44F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ublica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ção</w:t>
            </w:r>
            <w:r w:rsidR="006E44F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pela SCGE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="006E44F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no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seu</w:t>
            </w:r>
            <w:r w:rsidR="006E44F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Portal daInternet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de 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Banco de Perguntas e Respostas (FAQ – Frequently asked questions)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, contendo orientações técnicas destinadas aos gestores do governo do Estado, especialmente no tocante à execução da despesa pública</w:t>
            </w:r>
            <w:r w:rsidR="006E44F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847C0C" w:rsidRPr="00694862" w:rsidRDefault="00847C0C" w:rsidP="00F50906">
            <w:pPr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</w:p>
        </w:tc>
      </w:tr>
      <w:tr w:rsidR="00DB0020" w:rsidRPr="00694862" w:rsidTr="0028094C">
        <w:tc>
          <w:tcPr>
            <w:tcW w:w="3685" w:type="dxa"/>
            <w:shd w:val="clear" w:color="auto" w:fill="auto"/>
          </w:tcPr>
          <w:p w:rsidR="00DB0020" w:rsidRPr="00F50906" w:rsidRDefault="00DB0020" w:rsidP="00DB0020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Problema</w:t>
            </w: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: </w:t>
            </w:r>
          </w:p>
          <w:p w:rsidR="00DB0020" w:rsidRPr="00F50906" w:rsidRDefault="00774407" w:rsidP="00DB0020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(</w:t>
            </w:r>
            <w:r w:rsidR="00DB0020"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V) </w:t>
            </w:r>
            <w:r w:rsidR="00DB0020" w:rsidRPr="00B1292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Baixa integração entre os mecanismos de transparência e controle social com os mecanismos de controle interno do Governo do Estado</w:t>
            </w:r>
            <w:r w:rsidR="00DB0020"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DB0020" w:rsidRPr="00F50906" w:rsidRDefault="00DB0020" w:rsidP="00DB0020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F50906" w:rsidRDefault="00DB0020" w:rsidP="00DB0020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Linha de Base:</w:t>
            </w:r>
          </w:p>
          <w:p w:rsidR="00DB0020" w:rsidRPr="003F3B5B" w:rsidRDefault="003F3B5B" w:rsidP="00DB0020">
            <w:pP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3F3B5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Produto </w:t>
            </w:r>
            <w:r w:rsidR="00DB0020" w:rsidRPr="003F3B5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(Período 2011-2012)</w:t>
            </w:r>
            <w:r w:rsidRPr="003F3B5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:</w:t>
            </w:r>
          </w:p>
          <w:p w:rsidR="00DB0020" w:rsidRDefault="00DB0020" w:rsidP="00DB0020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>03órgãos com melhorias implantadas oriundas das demandas das ouvidorias(CEPE, DETRAN, Grande Recife)</w:t>
            </w:r>
          </w:p>
          <w:p w:rsidR="003F3B5B" w:rsidRPr="00F50906" w:rsidRDefault="003F3B5B" w:rsidP="00DB0020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3F3B5B" w:rsidRDefault="003F3B5B" w:rsidP="00DB0020">
            <w:pP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3F3B5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Resultado:</w:t>
            </w:r>
          </w:p>
          <w:p w:rsidR="00DB0020" w:rsidRPr="00F50906" w:rsidRDefault="00DB0020" w:rsidP="00DB0020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>Número de manifestações não concluídas dentro do prazo (8 dias) /  número total de manifestações</w:t>
            </w:r>
          </w:p>
          <w:p w:rsidR="00DB0020" w:rsidRPr="00F50906" w:rsidRDefault="00DB0020" w:rsidP="00DB0020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F3B5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2011 </w:t>
            </w: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>- 18.037/94.199 (19,14%)</w:t>
            </w:r>
          </w:p>
          <w:p w:rsidR="00DB0020" w:rsidRPr="00F50906" w:rsidRDefault="00DB0020" w:rsidP="009E4BBE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1680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2012</w:t>
            </w: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- 13.036/90.849 (</w:t>
            </w:r>
            <w:r w:rsidRPr="00A6304E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14,34%)</w:t>
            </w:r>
          </w:p>
        </w:tc>
        <w:tc>
          <w:tcPr>
            <w:tcW w:w="2976" w:type="dxa"/>
            <w:shd w:val="clear" w:color="auto" w:fill="auto"/>
          </w:tcPr>
          <w:p w:rsidR="00AD0665" w:rsidRPr="00AD0665" w:rsidRDefault="00DB0020" w:rsidP="003C33EB">
            <w:pPr>
              <w:pStyle w:val="Paragraph"/>
              <w:numPr>
                <w:ilvl w:val="0"/>
                <w:numId w:val="43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AD0665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Ouvidoria do Governo do Estado vinculada à Secretaria de Articulação Social e Regional – SEART, enquanto os mecanismos de transparência e controle são vinculados à SCGE</w:t>
            </w:r>
          </w:p>
          <w:p w:rsidR="00AD0665" w:rsidRPr="00441718" w:rsidRDefault="00DB0020" w:rsidP="003C33EB">
            <w:pPr>
              <w:pStyle w:val="Paragraph"/>
              <w:numPr>
                <w:ilvl w:val="0"/>
                <w:numId w:val="43"/>
              </w:numPr>
              <w:spacing w:before="0" w:after="0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441718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Atualmente</w:t>
            </w:r>
            <w:r w:rsidRPr="00441718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existem 64 Ouvidorias</w:t>
            </w:r>
          </w:p>
          <w:p w:rsidR="00DB0020" w:rsidRPr="00AD0665" w:rsidRDefault="00DB0020" w:rsidP="003C33EB">
            <w:pPr>
              <w:pStyle w:val="Paragraph"/>
              <w:numPr>
                <w:ilvl w:val="0"/>
                <w:numId w:val="43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AD0665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Baixo nível de cultura do controle interno dentro do estado</w:t>
            </w:r>
          </w:p>
        </w:tc>
        <w:tc>
          <w:tcPr>
            <w:tcW w:w="2696" w:type="dxa"/>
            <w:shd w:val="clear" w:color="auto" w:fill="auto"/>
          </w:tcPr>
          <w:p w:rsidR="00DB0020" w:rsidRPr="00F50906" w:rsidRDefault="00DB0020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Solução</w:t>
            </w: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DB0020" w:rsidRPr="00B1292F" w:rsidRDefault="00DB0020" w:rsidP="00B1292F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1292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Incorporação da rede de ouvidorias do governo do Estado à SCGE como instrumento de gestão e controle social</w:t>
            </w:r>
            <w:r w:rsidRPr="00B1292F">
              <w:rPr>
                <w:rFonts w:asciiTheme="minorHAnsi" w:hAnsiTheme="minorHAnsi" w:cstheme="minorHAnsi"/>
                <w:noProof/>
                <w:sz w:val="18"/>
                <w:szCs w:val="18"/>
              </w:rPr>
              <w:t>, compreendendo:</w:t>
            </w:r>
          </w:p>
          <w:p w:rsidR="00DB0020" w:rsidRPr="00AD5595" w:rsidRDefault="00DB0020" w:rsidP="00BD4D6A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Padronização dos procedimentos da Rede de ouvidorias com a criação de</w:t>
            </w:r>
            <w:r w:rsidR="00735A6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manual para padronizar os procedimentos das Ouvidorias de acordo com a Ouvidoria Geral do Estado </w:t>
            </w:r>
          </w:p>
          <w:p w:rsidR="00DB0020" w:rsidRPr="00AD5595" w:rsidRDefault="00DB0020" w:rsidP="00BD4D6A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Capacitação da Rede de ouvidores</w:t>
            </w:r>
          </w:p>
          <w:p w:rsidR="00DB0020" w:rsidRPr="00AD5595" w:rsidRDefault="00DB0020" w:rsidP="00BD4D6A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Certificação da rede de ouvidores</w:t>
            </w:r>
          </w:p>
          <w:p w:rsidR="00DB0020" w:rsidRPr="00F50906" w:rsidRDefault="00DB0020" w:rsidP="00DB0020">
            <w:pPr>
              <w:pStyle w:val="ListParagrap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3F3B5B" w:rsidRDefault="00DB0020" w:rsidP="00DB0020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</w:p>
          <w:p w:rsidR="00DB0020" w:rsidRPr="00F50906" w:rsidRDefault="003F3B5B" w:rsidP="00DB0020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</w:t>
            </w:r>
            <w:r w:rsidR="00DB0020"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roduto</w:t>
            </w: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(2013)</w:t>
            </w:r>
            <w:r w:rsidR="00DB0020"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DB0020" w:rsidRPr="00F50906" w:rsidRDefault="00DB0020" w:rsidP="00DB0020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>02 órgãos com novas melhorias oriundas das demandas das ouvidorias.</w:t>
            </w:r>
          </w:p>
          <w:p w:rsidR="00DB0020" w:rsidRPr="00F50906" w:rsidRDefault="00DB0020" w:rsidP="00DB0020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</w:p>
          <w:p w:rsidR="00DB0020" w:rsidRPr="00F50906" w:rsidRDefault="00DB0020" w:rsidP="00DB0020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Resultados (2014):</w:t>
            </w:r>
          </w:p>
          <w:p w:rsidR="00DB0020" w:rsidRPr="00F50906" w:rsidRDefault="00DB0020" w:rsidP="009E4BBE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50906">
              <w:rPr>
                <w:rFonts w:asciiTheme="minorHAnsi" w:hAnsiTheme="minorHAnsi" w:cstheme="minorHAnsi"/>
                <w:noProof/>
                <w:sz w:val="18"/>
                <w:szCs w:val="18"/>
              </w:rPr>
              <w:t>Redução do percentualde manifestações não concluídas dentro do prazo (8 dias)  em relação ao  número total de m</w:t>
            </w:r>
            <w:r w:rsidR="009E4BBE">
              <w:rPr>
                <w:rFonts w:asciiTheme="minorHAnsi" w:hAnsiTheme="minorHAnsi" w:cstheme="minorHAnsi"/>
                <w:noProof/>
                <w:sz w:val="18"/>
                <w:szCs w:val="18"/>
              </w:rPr>
              <w:t>anifestações = 10%</w:t>
            </w:r>
          </w:p>
        </w:tc>
        <w:tc>
          <w:tcPr>
            <w:tcW w:w="5386" w:type="dxa"/>
            <w:shd w:val="clear" w:color="auto" w:fill="auto"/>
          </w:tcPr>
          <w:p w:rsidR="00DB0020" w:rsidRPr="00941825" w:rsidRDefault="00770F40" w:rsidP="00DB0020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1ª tranche: </w:t>
            </w:r>
            <w:r w:rsidR="00DB002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Reestruturação organizacional da SCGE, para incorporação da </w:t>
            </w:r>
            <w:r w:rsidR="002E74EE" w:rsidRPr="00050E9A">
              <w:rPr>
                <w:rFonts w:asciiTheme="minorHAnsi" w:hAnsiTheme="minorHAnsi" w:cstheme="minorHAnsi"/>
                <w:noProof/>
                <w:sz w:val="18"/>
                <w:szCs w:val="18"/>
              </w:rPr>
              <w:t>Ouvidoria Geral d</w:t>
            </w:r>
            <w:r w:rsidR="00DB0020" w:rsidRPr="00050E9A">
              <w:rPr>
                <w:rFonts w:asciiTheme="minorHAnsi" w:hAnsiTheme="minorHAnsi" w:cstheme="minorHAnsi"/>
                <w:noProof/>
                <w:sz w:val="18"/>
                <w:szCs w:val="18"/>
              </w:rPr>
              <w:t>o Estado à</w:t>
            </w:r>
            <w:r w:rsidR="00DB002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SCGE</w:t>
            </w:r>
            <w:r w:rsidR="00391F0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</w:t>
            </w:r>
            <w:r w:rsidR="00DB002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391F0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órgão de coordenação da Rede de Ouvidores, </w:t>
            </w:r>
            <w:r w:rsidR="00DB002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como instrumento de gestão e controle social.</w:t>
            </w:r>
          </w:p>
          <w:p w:rsidR="00DB0020" w:rsidRPr="00941825" w:rsidRDefault="00DB0020" w:rsidP="00DB0020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B0020" w:rsidRPr="00941825" w:rsidRDefault="00DB0020" w:rsidP="00941825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Decreto do Poder </w:t>
            </w:r>
            <w:r w:rsidRPr="00050E9A">
              <w:rPr>
                <w:rFonts w:asciiTheme="minorHAnsi" w:hAnsiTheme="minorHAnsi" w:cstheme="minorHAnsi"/>
                <w:noProof/>
                <w:sz w:val="18"/>
                <w:szCs w:val="18"/>
              </w:rPr>
              <w:t>Executivo estadual</w:t>
            </w:r>
            <w:r w:rsidR="00735A65" w:rsidRPr="00050E9A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050E9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incorporando a </w:t>
            </w:r>
            <w:r w:rsidR="002E74EE" w:rsidRPr="00050E9A">
              <w:rPr>
                <w:rFonts w:asciiTheme="minorHAnsi" w:hAnsiTheme="minorHAnsi" w:cstheme="minorHAnsi"/>
                <w:noProof/>
                <w:sz w:val="18"/>
                <w:szCs w:val="18"/>
              </w:rPr>
              <w:t>Ouvidoria Geral do Estado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à SCGE.</w:t>
            </w:r>
          </w:p>
          <w:p w:rsidR="003D058E" w:rsidRPr="00391F0E" w:rsidRDefault="003D058E" w:rsidP="00DB0020">
            <w:pPr>
              <w:rPr>
                <w:rFonts w:ascii="Calibri" w:hAnsi="Calibri" w:cs="Calibri"/>
                <w:b/>
                <w:sz w:val="18"/>
                <w:szCs w:val="18"/>
                <w:lang w:eastAsia="pt-BR"/>
              </w:rPr>
            </w:pPr>
            <w:r w:rsidRPr="00391F0E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yellow"/>
              </w:rPr>
              <w:t xml:space="preserve">OBS: </w:t>
            </w:r>
            <w:r w:rsidR="00050E9A" w:rsidRPr="00391F0E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yellow"/>
              </w:rPr>
              <w:t>A</w:t>
            </w:r>
            <w:r w:rsidR="00A279F0" w:rsidRPr="00391F0E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yellow"/>
              </w:rPr>
              <w:t>to</w:t>
            </w:r>
            <w:r w:rsidRPr="00391F0E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yellow"/>
              </w:rPr>
              <w:t xml:space="preserve"> publicado</w:t>
            </w:r>
            <w:r w:rsidR="00050E9A" w:rsidRPr="00391F0E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yellow"/>
              </w:rPr>
              <w:t xml:space="preserve"> - </w:t>
            </w:r>
            <w:r w:rsidR="00A279F0" w:rsidRPr="00391F0E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yellow"/>
              </w:rPr>
              <w:t xml:space="preserve">Decreto Estadual </w:t>
            </w:r>
            <w:r w:rsidR="00050E9A" w:rsidRPr="00391F0E">
              <w:rPr>
                <w:rFonts w:ascii="Calibri" w:hAnsi="Calibri" w:cs="Calibri"/>
                <w:b/>
                <w:sz w:val="18"/>
                <w:szCs w:val="18"/>
                <w:highlight w:val="yellow"/>
                <w:lang w:eastAsia="pt-BR"/>
              </w:rPr>
              <w:t>nº 39.095/2013</w:t>
            </w:r>
            <w:r w:rsidR="00C35A6C" w:rsidRPr="00391F0E">
              <w:rPr>
                <w:rFonts w:ascii="Calibri" w:hAnsi="Calibri" w:cs="Calibri"/>
                <w:b/>
                <w:sz w:val="18"/>
                <w:szCs w:val="18"/>
                <w:highlight w:val="yellow"/>
                <w:lang w:eastAsia="pt-BR"/>
              </w:rPr>
              <w:t xml:space="preserve">, </w:t>
            </w:r>
            <w:r w:rsidR="009B2744">
              <w:rPr>
                <w:rFonts w:ascii="Calibri" w:hAnsi="Calibri" w:cs="Calibri"/>
                <w:b/>
                <w:sz w:val="18"/>
                <w:szCs w:val="18"/>
                <w:highlight w:val="yellow"/>
                <w:lang w:eastAsia="pt-BR"/>
              </w:rPr>
              <w:t xml:space="preserve">que </w:t>
            </w:r>
            <w:r w:rsidR="00C35A6C" w:rsidRPr="00391F0E">
              <w:rPr>
                <w:rFonts w:ascii="Calibri" w:hAnsi="Calibri" w:cs="Calibri"/>
                <w:b/>
                <w:sz w:val="18"/>
                <w:szCs w:val="18"/>
                <w:highlight w:val="yellow"/>
                <w:lang w:eastAsia="pt-BR"/>
              </w:rPr>
              <w:t>modific</w:t>
            </w:r>
            <w:r w:rsidR="009B2744">
              <w:rPr>
                <w:rFonts w:ascii="Calibri" w:hAnsi="Calibri" w:cs="Calibri"/>
                <w:b/>
                <w:sz w:val="18"/>
                <w:szCs w:val="18"/>
                <w:highlight w:val="yellow"/>
                <w:lang w:eastAsia="pt-BR"/>
              </w:rPr>
              <w:t>ou</w:t>
            </w:r>
            <w:r w:rsidR="00C35A6C" w:rsidRPr="00391F0E">
              <w:rPr>
                <w:rFonts w:ascii="Calibri" w:hAnsi="Calibri" w:cs="Calibri"/>
                <w:b/>
                <w:sz w:val="18"/>
                <w:szCs w:val="18"/>
                <w:highlight w:val="yellow"/>
                <w:lang w:eastAsia="pt-BR"/>
              </w:rPr>
              <w:t xml:space="preserve"> o Decreto 32.476/2008</w:t>
            </w:r>
          </w:p>
          <w:p w:rsidR="00F64354" w:rsidRDefault="00F64354" w:rsidP="00F64354">
            <w:pPr>
              <w:jc w:val="both"/>
              <w:rPr>
                <w:b/>
                <w:color w:val="FF0000"/>
                <w:sz w:val="18"/>
                <w:szCs w:val="18"/>
                <w:lang w:eastAsia="pt-BR"/>
              </w:rPr>
            </w:pPr>
            <w:r w:rsidRPr="00333B03">
              <w:rPr>
                <w:rFonts w:ascii="Calibri" w:hAnsi="Calibri" w:cs="Calibri"/>
                <w:b/>
                <w:color w:val="FF0000"/>
                <w:sz w:val="16"/>
                <w:szCs w:val="16"/>
                <w:lang w:eastAsia="pt-BR"/>
              </w:rPr>
              <w:t xml:space="preserve">PGE: </w:t>
            </w:r>
            <w:r w:rsidR="00C35A6C">
              <w:rPr>
                <w:rFonts w:ascii="Calibri" w:hAnsi="Calibri" w:cs="Calibri"/>
                <w:b/>
                <w:color w:val="FF0000"/>
                <w:sz w:val="16"/>
                <w:szCs w:val="16"/>
                <w:lang w:eastAsia="pt-BR"/>
              </w:rPr>
              <w:t>C</w:t>
            </w:r>
            <w:r w:rsidRPr="00333B03">
              <w:rPr>
                <w:b/>
                <w:color w:val="FF0000"/>
                <w:sz w:val="18"/>
                <w:szCs w:val="18"/>
                <w:lang w:eastAsia="pt-BR"/>
              </w:rPr>
              <w:t>om relação às políticas já efetivadas, entendemos prejudicada a análise desta PGE (ainda assim, no particular, não veja problemas na forma de implementação)</w:t>
            </w:r>
          </w:p>
          <w:p w:rsidR="00F64354" w:rsidRPr="00333B03" w:rsidRDefault="00391F0E" w:rsidP="00F64354">
            <w:pPr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PGE E </w:t>
            </w:r>
            <w:r w:rsidR="00F64354" w:rsidRPr="00333B03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>BID:</w:t>
            </w:r>
            <w:r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 Decreto atende ao especificado na política</w:t>
            </w:r>
            <w:r w:rsidR="00F64354" w:rsidRPr="00333B03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 </w:t>
            </w:r>
          </w:p>
          <w:p w:rsidR="003D058E" w:rsidRPr="00941825" w:rsidRDefault="003D058E" w:rsidP="00DB0020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013B3B" w:rsidRDefault="00770F40" w:rsidP="00DB0020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="00D72080">
              <w:rPr>
                <w:rFonts w:asciiTheme="minorHAnsi" w:hAnsiTheme="minorHAnsi" w:cstheme="minorHAnsi"/>
                <w:noProof/>
                <w:sz w:val="18"/>
                <w:szCs w:val="18"/>
              </w:rPr>
              <w:t>Instituição de</w:t>
            </w:r>
            <w:r w:rsidR="00DB002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manual</w:t>
            </w:r>
            <w:r w:rsidR="00735A6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sistematizando</w:t>
            </w:r>
            <w:r w:rsidR="00080EB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735A6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e </w:t>
            </w:r>
            <w:r w:rsidR="00DB002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padroniza</w:t>
            </w:r>
            <w:r w:rsidR="00735A65">
              <w:rPr>
                <w:rFonts w:asciiTheme="minorHAnsi" w:hAnsiTheme="minorHAnsi" w:cstheme="minorHAnsi"/>
                <w:noProof/>
                <w:sz w:val="18"/>
                <w:szCs w:val="18"/>
              </w:rPr>
              <w:t>ndo</w:t>
            </w:r>
            <w:r w:rsidR="00DB0020"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os procedimentos </w:t>
            </w:r>
            <w:r w:rsidR="007076EB">
              <w:rPr>
                <w:rFonts w:asciiTheme="minorHAnsi" w:hAnsiTheme="minorHAnsi" w:cstheme="minorHAnsi"/>
                <w:noProof/>
                <w:sz w:val="18"/>
                <w:szCs w:val="18"/>
              </w:rPr>
              <w:t>aplicáveis à Rede de Ouvidores</w:t>
            </w:r>
          </w:p>
          <w:p w:rsidR="00DB0020" w:rsidRPr="00941825" w:rsidRDefault="00DB0020" w:rsidP="00DB0020">
            <w:pP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953705" w:rsidRDefault="00DB0020" w:rsidP="00941825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da SCGE</w:t>
            </w:r>
            <w:r w:rsidR="00995378">
              <w:rPr>
                <w:rFonts w:asciiTheme="minorHAnsi" w:hAnsiTheme="minorHAnsi" w:cstheme="minorHAnsi"/>
                <w:noProof/>
                <w:sz w:val="18"/>
                <w:szCs w:val="18"/>
              </w:rPr>
              <w:t>, publicada no DOE,</w:t>
            </w:r>
            <w:r w:rsidRPr="0094182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aprovando o manual de procedimentos </w:t>
            </w:r>
            <w:r w:rsidR="00995378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aplicáveis à </w:t>
            </w:r>
            <w:r w:rsidR="00391F0E">
              <w:rPr>
                <w:rFonts w:asciiTheme="minorHAnsi" w:hAnsiTheme="minorHAnsi" w:cstheme="minorHAnsi"/>
                <w:noProof/>
                <w:sz w:val="18"/>
                <w:szCs w:val="18"/>
              </w:rPr>
              <w:t>Rede de Ouvidores</w:t>
            </w:r>
          </w:p>
          <w:p w:rsidR="00DD2B85" w:rsidRPr="00DD2B85" w:rsidRDefault="00DD2B85" w:rsidP="00391F0E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</w:tc>
      </w:tr>
      <w:tr w:rsidR="00DB0020" w:rsidRPr="00694862" w:rsidTr="00B55CDA">
        <w:tc>
          <w:tcPr>
            <w:tcW w:w="3685" w:type="dxa"/>
            <w:shd w:val="clear" w:color="auto" w:fill="auto"/>
          </w:tcPr>
          <w:p w:rsidR="00DB0020" w:rsidRPr="00774407" w:rsidRDefault="00DB0020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Problema</w:t>
            </w:r>
            <w:r w:rsidRPr="00774407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781573" w:rsidRPr="00774407" w:rsidRDefault="00DB0020" w:rsidP="0078157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(VI) </w:t>
            </w:r>
            <w:r w:rsidR="00781573" w:rsidRPr="0077440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Deficiência nos mecanismos de promoção de acesso à informação</w:t>
            </w:r>
            <w:r w:rsidR="00781573" w:rsidRPr="00774407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781573" w:rsidRPr="00774407" w:rsidRDefault="00781573" w:rsidP="0078157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774407" w:rsidRPr="00774407" w:rsidRDefault="00774407" w:rsidP="0078157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77440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Linha de Base</w:t>
            </w:r>
          </w:p>
          <w:p w:rsidR="00781573" w:rsidRPr="00774407" w:rsidRDefault="00781573" w:rsidP="0078157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77440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Produto (2012):</w:t>
            </w:r>
          </w:p>
          <w:p w:rsidR="00781573" w:rsidRPr="00774407" w:rsidRDefault="00781573" w:rsidP="0078157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01 órgão com portal da transparência do Estado </w:t>
            </w: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 xml:space="preserve">com atendimento parcial à </w:t>
            </w:r>
            <w:r w:rsidR="009951D0">
              <w:rPr>
                <w:rFonts w:asciiTheme="minorHAnsi" w:hAnsiTheme="minorHAnsi" w:cstheme="minorHAnsi"/>
                <w:noProof/>
                <w:sz w:val="18"/>
                <w:szCs w:val="18"/>
              </w:rPr>
              <w:t>Lei de Acesso a Informação (</w:t>
            </w: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</w:rPr>
              <w:t>LAI</w:t>
            </w:r>
            <w:r w:rsidR="009951D0">
              <w:rPr>
                <w:rFonts w:asciiTheme="minorHAnsi" w:hAnsiTheme="minorHAnsi" w:cstheme="minorHAnsi"/>
                <w:noProof/>
                <w:sz w:val="18"/>
                <w:szCs w:val="18"/>
              </w:rPr>
              <w:t>) = SCGE</w:t>
            </w:r>
          </w:p>
          <w:p w:rsidR="00781573" w:rsidRPr="00774407" w:rsidRDefault="00781573" w:rsidP="0078157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774407" w:rsidRDefault="00781573" w:rsidP="0078157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</w:rPr>
              <w:t>OBS: Total de órgãos e entidades do Poder Executivo = 71 (não inclui o Portal da Transparência do Estado</w:t>
            </w:r>
            <w:r w:rsidR="007B3833">
              <w:rPr>
                <w:rFonts w:asciiTheme="minorHAnsi" w:hAnsiTheme="minorHAnsi" w:cstheme="minorHAnsi"/>
                <w:noProof/>
                <w:sz w:val="18"/>
                <w:szCs w:val="18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:rsidR="00DB0020" w:rsidRPr="00774407" w:rsidRDefault="00DB0020" w:rsidP="00BD4D6A">
            <w:pPr>
              <w:pStyle w:val="Paragraph"/>
              <w:numPr>
                <w:ilvl w:val="0"/>
                <w:numId w:val="8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lastRenderedPageBreak/>
              <w:t>Falta de padronização na política de acesso à informação nos órgãos:</w:t>
            </w:r>
          </w:p>
          <w:p w:rsidR="00DB0020" w:rsidRPr="00774407" w:rsidRDefault="00DB0020" w:rsidP="00BD4D6A">
            <w:pPr>
              <w:pStyle w:val="Paragraph"/>
              <w:numPr>
                <w:ilvl w:val="0"/>
                <w:numId w:val="8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Disponibilização insuficiente de informações dos órgãos e entidades ao cidadão.</w:t>
            </w:r>
          </w:p>
          <w:p w:rsidR="00DB0020" w:rsidRPr="00774407" w:rsidRDefault="00DB0020" w:rsidP="00BD4D6A">
            <w:pPr>
              <w:pStyle w:val="Paragraph"/>
              <w:numPr>
                <w:ilvl w:val="0"/>
                <w:numId w:val="8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 xml:space="preserve">Cultura de prestação de contas </w:t>
            </w: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lastRenderedPageBreak/>
              <w:t>insatisfatória</w:t>
            </w:r>
          </w:p>
        </w:tc>
        <w:tc>
          <w:tcPr>
            <w:tcW w:w="2696" w:type="dxa"/>
            <w:shd w:val="clear" w:color="auto" w:fill="auto"/>
          </w:tcPr>
          <w:p w:rsidR="00DB0020" w:rsidRPr="00774407" w:rsidRDefault="00DB0020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Solução</w:t>
            </w:r>
            <w:r w:rsidRPr="00774407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DB0020" w:rsidRPr="00774407" w:rsidRDefault="00DB0020" w:rsidP="0077440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77440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Implantação de política de acesso à informação dos órgãos e entidades, com mecanismos de disponibilização de informações adequadas à LAI</w:t>
            </w:r>
            <w:r w:rsidR="00774407">
              <w:rPr>
                <w:rFonts w:asciiTheme="minorHAnsi" w:hAnsiTheme="minorHAnsi" w:cstheme="minorHAnsi"/>
                <w:noProof/>
                <w:sz w:val="18"/>
                <w:szCs w:val="18"/>
              </w:rPr>
              <w:t>, compreendendo:</w:t>
            </w:r>
          </w:p>
          <w:p w:rsidR="00DB0020" w:rsidRPr="00AD5595" w:rsidRDefault="00DB0020" w:rsidP="00BD4D6A">
            <w:pPr>
              <w:pStyle w:val="BodyText"/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Criação de grupo de trabalho com </w:t>
            </w: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representantes de órgãos do núcleo do governo para implantação da LAI.</w:t>
            </w:r>
          </w:p>
          <w:p w:rsidR="00DB0020" w:rsidRPr="00AD5595" w:rsidRDefault="00DB0020" w:rsidP="00BD4D6A">
            <w:pPr>
              <w:pStyle w:val="BodyText"/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Definição de uma área que irá realizar o monitoramento da LAI.</w:t>
            </w:r>
          </w:p>
          <w:p w:rsidR="00315865" w:rsidRPr="00774407" w:rsidRDefault="00315865" w:rsidP="00781573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774407" w:rsidRDefault="00781573" w:rsidP="00781573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774407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</w:p>
          <w:p w:rsidR="00781573" w:rsidRPr="00774407" w:rsidRDefault="00774407" w:rsidP="00781573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</w:t>
            </w:r>
            <w:r w:rsidR="00781573" w:rsidRPr="00774407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roduto (2014):</w:t>
            </w:r>
          </w:p>
          <w:p w:rsidR="00DB0020" w:rsidRPr="00774407" w:rsidRDefault="00781573" w:rsidP="0078157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77440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56 órgãos e entidades do Poder Executivo Estadual com paginas de acesso à informação que atendem aos padrões estabelecidos pela LAI (mínimo 08 requisitos dos 11 previstos na LAI – </w:t>
            </w:r>
            <w:r w:rsidRPr="002D0735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Transparência Ativa)</w:t>
            </w:r>
          </w:p>
          <w:p w:rsidR="006E32EA" w:rsidRDefault="006E32EA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6E32EA" w:rsidRPr="00774407" w:rsidRDefault="006E32EA" w:rsidP="006E32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774407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Resultados (2014):</w:t>
            </w:r>
          </w:p>
          <w:p w:rsidR="006E32EA" w:rsidRPr="00774407" w:rsidRDefault="00123A9B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NÃO SE APLICA</w:t>
            </w:r>
          </w:p>
        </w:tc>
        <w:tc>
          <w:tcPr>
            <w:tcW w:w="5386" w:type="dxa"/>
            <w:shd w:val="clear" w:color="auto" w:fill="auto"/>
          </w:tcPr>
          <w:p w:rsidR="00781573" w:rsidRPr="003959D6" w:rsidRDefault="00781573" w:rsidP="00781573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 xml:space="preserve">1ª tranche: </w:t>
            </w:r>
            <w:r w:rsidR="00682125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Regulamentação no âmbito do Estado da Lei Federal</w:t>
            </w:r>
            <w:r w:rsidR="009951D0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de </w:t>
            </w:r>
            <w:r w:rsidR="00995378">
              <w:rPr>
                <w:rFonts w:asciiTheme="minorHAnsi" w:hAnsiTheme="minorHAnsi" w:cstheme="minorHAnsi"/>
                <w:noProof/>
                <w:sz w:val="18"/>
                <w:szCs w:val="18"/>
              </w:rPr>
              <w:t>A</w:t>
            </w:r>
            <w:r w:rsidR="009951D0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cesso </w:t>
            </w:r>
            <w:r w:rsidR="00995378">
              <w:rPr>
                <w:rFonts w:asciiTheme="minorHAnsi" w:hAnsiTheme="minorHAnsi" w:cstheme="minorHAnsi"/>
                <w:noProof/>
                <w:sz w:val="18"/>
                <w:szCs w:val="18"/>
              </w:rPr>
              <w:t>à</w:t>
            </w:r>
            <w:r w:rsidR="009951D0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Informaç</w:t>
            </w:r>
            <w:r w:rsidR="00682125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ão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. </w:t>
            </w:r>
          </w:p>
          <w:p w:rsidR="00781573" w:rsidRPr="003959D6" w:rsidRDefault="00781573" w:rsidP="00781573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Meio de verificação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: </w:t>
            </w:r>
          </w:p>
          <w:p w:rsidR="00781573" w:rsidRDefault="00995378" w:rsidP="00781573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L</w:t>
            </w:r>
            <w:r w:rsidR="00781573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ei e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781573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decreto estaduais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, publicados</w:t>
            </w:r>
            <w:r w:rsidR="00781573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no DOE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, que regulamentem a Lei Federal de Acesso à Informação</w:t>
            </w:r>
            <w:r w:rsidR="00781573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5110DC" w:rsidRDefault="005110DC" w:rsidP="00781573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5110DC" w:rsidRDefault="005110DC" w:rsidP="00781573">
            <w:pPr>
              <w:jc w:val="both"/>
              <w:rPr>
                <w:rFonts w:ascii="Calibri" w:hAnsi="Calibri" w:cs="Calibri"/>
                <w:b/>
                <w:sz w:val="16"/>
                <w:szCs w:val="16"/>
                <w:lang w:eastAsia="pt-BR"/>
              </w:rPr>
            </w:pPr>
            <w:r w:rsidRPr="005110DC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yellow"/>
              </w:rPr>
              <w:t xml:space="preserve">OBS: Atos publicados – Lei Estadual </w:t>
            </w:r>
            <w:r w:rsidRPr="005110DC">
              <w:rPr>
                <w:rFonts w:ascii="Calibri" w:hAnsi="Calibri" w:cs="Calibri"/>
                <w:b/>
                <w:sz w:val="16"/>
                <w:szCs w:val="16"/>
                <w:highlight w:val="yellow"/>
                <w:lang w:eastAsia="pt-BR"/>
              </w:rPr>
              <w:t xml:space="preserve">nº 14.804/2012 e Decreto </w:t>
            </w:r>
            <w:r w:rsidR="00A279F0">
              <w:rPr>
                <w:rFonts w:ascii="Calibri" w:hAnsi="Calibri" w:cs="Calibri"/>
                <w:b/>
                <w:sz w:val="16"/>
                <w:szCs w:val="16"/>
                <w:highlight w:val="yellow"/>
                <w:lang w:eastAsia="pt-BR"/>
              </w:rPr>
              <w:t>Estadual</w:t>
            </w:r>
            <w:r w:rsidR="00333B03">
              <w:rPr>
                <w:rFonts w:ascii="Calibri" w:hAnsi="Calibri" w:cs="Calibri"/>
                <w:b/>
                <w:sz w:val="16"/>
                <w:szCs w:val="16"/>
                <w:highlight w:val="yellow"/>
                <w:lang w:eastAsia="pt-BR"/>
              </w:rPr>
              <w:t xml:space="preserve"> </w:t>
            </w:r>
            <w:r w:rsidRPr="005110DC">
              <w:rPr>
                <w:rFonts w:ascii="Calibri" w:hAnsi="Calibri" w:cs="Calibri"/>
                <w:b/>
                <w:sz w:val="16"/>
                <w:szCs w:val="16"/>
                <w:highlight w:val="yellow"/>
                <w:lang w:eastAsia="pt-BR"/>
              </w:rPr>
              <w:t xml:space="preserve">nº </w:t>
            </w:r>
            <w:r w:rsidRPr="005110DC">
              <w:rPr>
                <w:rFonts w:ascii="Calibri" w:hAnsi="Calibri" w:cs="Calibri"/>
                <w:b/>
                <w:sz w:val="16"/>
                <w:szCs w:val="16"/>
                <w:highlight w:val="yellow"/>
                <w:lang w:eastAsia="pt-BR"/>
              </w:rPr>
              <w:lastRenderedPageBreak/>
              <w:t>38.787/2012</w:t>
            </w:r>
          </w:p>
          <w:p w:rsidR="00333B03" w:rsidRDefault="00333B03" w:rsidP="00781573">
            <w:pPr>
              <w:jc w:val="both"/>
              <w:rPr>
                <w:b/>
                <w:color w:val="FF0000"/>
                <w:sz w:val="18"/>
                <w:szCs w:val="18"/>
                <w:lang w:eastAsia="pt-BR"/>
              </w:rPr>
            </w:pPr>
            <w:r w:rsidRPr="00333B03">
              <w:rPr>
                <w:rFonts w:ascii="Calibri" w:hAnsi="Calibri" w:cs="Calibri"/>
                <w:b/>
                <w:color w:val="FF0000"/>
                <w:sz w:val="16"/>
                <w:szCs w:val="16"/>
                <w:lang w:eastAsia="pt-BR"/>
              </w:rPr>
              <w:t xml:space="preserve">PGE: </w:t>
            </w:r>
            <w:r w:rsidRPr="00333B03">
              <w:rPr>
                <w:b/>
                <w:color w:val="FF0000"/>
                <w:sz w:val="18"/>
                <w:szCs w:val="18"/>
                <w:lang w:eastAsia="pt-BR"/>
              </w:rPr>
              <w:t>com relação às políticas já efetivadas, entendemos prejudicada a análise desta PGE (ainda assim, no particular, não veja problemas na forma de implementação)</w:t>
            </w:r>
          </w:p>
          <w:p w:rsidR="00323A2C" w:rsidRDefault="007076EB" w:rsidP="00781573">
            <w:pPr>
              <w:jc w:val="both"/>
              <w:rPr>
                <w:rFonts w:asciiTheme="minorHAnsi" w:hAnsiTheme="minorHAnsi"/>
                <w:b/>
                <w:sz w:val="18"/>
                <w:szCs w:val="18"/>
                <w:lang w:eastAsia="pt-BR"/>
              </w:rPr>
            </w:pPr>
            <w:r w:rsidRPr="00D9183B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PGE E BID: </w:t>
            </w:r>
            <w:r w:rsidR="00D9183B" w:rsidRPr="00D9183B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Lei </w:t>
            </w:r>
            <w:r w:rsidR="00D9183B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Estadual, </w:t>
            </w:r>
            <w:r w:rsidR="00D9183B" w:rsidRPr="00D9183B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>que regulamenta a Lei Federal 12.527/2011</w:t>
            </w:r>
            <w:r w:rsidR="00D9183B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 (LAI)</w:t>
            </w:r>
            <w:r w:rsidR="00D9183B" w:rsidRPr="00D9183B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 e Decreto </w:t>
            </w:r>
            <w:r w:rsidR="00D9183B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Estadual </w:t>
            </w:r>
            <w:r w:rsidR="00D9183B" w:rsidRPr="00D9183B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>atendem ao especificado na política</w:t>
            </w:r>
            <w:r w:rsidR="00D9183B">
              <w:rPr>
                <w:rFonts w:asciiTheme="minorHAnsi" w:hAnsiTheme="minorHAnsi"/>
                <w:b/>
                <w:sz w:val="18"/>
                <w:szCs w:val="18"/>
                <w:lang w:eastAsia="pt-BR"/>
              </w:rPr>
              <w:t>.</w:t>
            </w:r>
          </w:p>
          <w:p w:rsidR="007076EB" w:rsidRPr="00333B03" w:rsidRDefault="007076EB" w:rsidP="00781573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781573" w:rsidRPr="003959D6" w:rsidRDefault="00781573" w:rsidP="00781573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2ª tranche:</w:t>
            </w:r>
            <w:r w:rsidR="008256D4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Implantação da política de acesso à informação.</w:t>
            </w:r>
          </w:p>
          <w:p w:rsidR="00781573" w:rsidRPr="003959D6" w:rsidRDefault="00781573" w:rsidP="00781573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Meio de verificação:</w:t>
            </w:r>
          </w:p>
          <w:p w:rsidR="00781573" w:rsidRPr="00694862" w:rsidRDefault="00D9183B" w:rsidP="00D9183B">
            <w:pPr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Relatório de consultoria atestando a d</w:t>
            </w:r>
            <w:r w:rsidR="00781573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isponibilização das informações</w:t>
            </w:r>
            <w:r w:rsidR="00630F8B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exigidas pela legislação, nos sítios oficiais,</w:t>
            </w:r>
            <w:r w:rsidR="00781573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682125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de</w:t>
            </w:r>
            <w:r w:rsidR="00630F8B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pelo menos</w:t>
            </w:r>
            <w:r w:rsidR="00682125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0F3772">
              <w:rPr>
                <w:rFonts w:asciiTheme="minorHAnsi" w:hAnsiTheme="minorHAnsi" w:cstheme="minorHAnsi"/>
                <w:noProof/>
                <w:sz w:val="18"/>
                <w:szCs w:val="18"/>
              </w:rPr>
              <w:t>20</w:t>
            </w:r>
            <w:r w:rsidR="000F3772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682125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órgãos e entidades do Poder Executivo Estadual </w:t>
            </w:r>
          </w:p>
        </w:tc>
      </w:tr>
      <w:tr w:rsidR="00DB0020" w:rsidRPr="00694862" w:rsidTr="003B65CE">
        <w:tc>
          <w:tcPr>
            <w:tcW w:w="3685" w:type="dxa"/>
            <w:shd w:val="clear" w:color="auto" w:fill="auto"/>
          </w:tcPr>
          <w:p w:rsidR="00315865" w:rsidRPr="00FA761F" w:rsidRDefault="00315865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Problema:</w:t>
            </w:r>
          </w:p>
          <w:p w:rsidR="00D54D01" w:rsidRPr="00FA761F" w:rsidRDefault="00F97857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(</w:t>
            </w:r>
            <w:r w:rsidR="00D54D01"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VII) </w:t>
            </w:r>
            <w:r w:rsidR="00D54D01"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Baixa eficiência no controle orçamentário e financeiro das despesas de custeio dos órgãos/entidades desde o planejamento até a execução.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Evidência (2012):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i/>
                <w:noProof/>
                <w:sz w:val="18"/>
                <w:szCs w:val="18"/>
              </w:rPr>
              <w:t>473 solicitações de alterações  de programação financeira de custeio das Secretarias de Saúde, Educação e Segurança(Volume de recursos = R$946.516.794,18)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i/>
                <w:noProof/>
                <w:sz w:val="18"/>
                <w:szCs w:val="18"/>
              </w:rPr>
            </w:pP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i/>
                <w:noProof/>
                <w:sz w:val="18"/>
                <w:szCs w:val="18"/>
              </w:rPr>
              <w:t>Volume de recursos de solicitações de programação financeira de custeio glosados nas Secretarias de Saúde, Educação e Segurança = R$160 milhões (96 solicitações glosadas)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i/>
                <w:noProof/>
                <w:sz w:val="18"/>
                <w:szCs w:val="18"/>
              </w:rPr>
            </w:pP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i/>
                <w:noProof/>
                <w:sz w:val="18"/>
                <w:szCs w:val="18"/>
              </w:rPr>
              <w:t>OBS: Secretarias de Saúde, Educação e Segurança que represetaram em 2012 73% do volume de recursos envolvidos nas alterações da programação financeira do custeio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6E32EA" w:rsidRPr="00FA761F" w:rsidRDefault="006E32EA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Linha de base: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 (2012):</w:t>
            </w:r>
          </w:p>
          <w:p w:rsidR="00D54D01" w:rsidRPr="00FA761F" w:rsidRDefault="006E32EA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0 </w:t>
            </w:r>
            <w:r w:rsidR="00D54D01"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órgãos e entidades com Programação Financeira de Custeio avaliadas (Total = 71)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 (2012)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140 solicitações de alterações  de programação financeira de custeio da Secretaria de Segurança  (Volume de recursos = R$105.974.194,18). 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36 solicitações de alterações  de programação financeira de custeio da Secretaria de Segurança glosadas (Volumede recursos = R$21.542.035,82). Percetual quantidade glosada = </w:t>
            </w:r>
            <w:r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25,71%</w:t>
            </w: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FA761F" w:rsidRDefault="00D54D01" w:rsidP="001934CC">
            <w:pPr>
              <w:pStyle w:val="BodyText"/>
              <w:spacing w:after="0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726FE6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Vide </w:t>
            </w:r>
            <w:hyperlink r:id="rId9" w:history="1">
              <w:r w:rsidRPr="00726FE6">
                <w:rPr>
                  <w:rFonts w:asciiTheme="minorHAnsi" w:hAnsiTheme="minorHAnsi" w:cstheme="minorHAnsi"/>
                  <w:b/>
                  <w:noProof/>
                  <w:sz w:val="18"/>
                  <w:szCs w:val="18"/>
                </w:rPr>
                <w:t>Nota Técnica SCGE</w:t>
              </w:r>
            </w:hyperlink>
            <w:r w:rsidR="00DA1940" w:rsidRPr="00726FE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4</w:t>
            </w:r>
            <w:r w:rsidR="001934CC" w:rsidRPr="00726FE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Programação Financeira</w:t>
            </w:r>
            <w:r w:rsidR="004B1AD9" w:rsidRPr="00726FE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vf04Mar2013</w:t>
            </w:r>
          </w:p>
        </w:tc>
        <w:tc>
          <w:tcPr>
            <w:tcW w:w="2976" w:type="dxa"/>
            <w:shd w:val="clear" w:color="auto" w:fill="auto"/>
          </w:tcPr>
          <w:p w:rsidR="00DB0020" w:rsidRPr="00FA761F" w:rsidRDefault="00DB0020" w:rsidP="00BD4D6A">
            <w:pPr>
              <w:pStyle w:val="Paragraph"/>
              <w:numPr>
                <w:ilvl w:val="0"/>
                <w:numId w:val="1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lastRenderedPageBreak/>
              <w:t>Insuficiência de controles no planejamento e na execução das despesas de custeio dos órgãos/entidades.</w:t>
            </w:r>
          </w:p>
          <w:p w:rsidR="00D54D01" w:rsidRPr="00FA761F" w:rsidRDefault="00D54D01" w:rsidP="00BD4D6A">
            <w:pPr>
              <w:pStyle w:val="Paragraph"/>
              <w:numPr>
                <w:ilvl w:val="0"/>
                <w:numId w:val="1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Recurso glosado evidencia a baixa eficiência no planejamento da execução orçamentária e financeira verificada durante a análise de solicitações de programação</w:t>
            </w:r>
          </w:p>
        </w:tc>
        <w:tc>
          <w:tcPr>
            <w:tcW w:w="2696" w:type="dxa"/>
            <w:shd w:val="clear" w:color="auto" w:fill="auto"/>
          </w:tcPr>
          <w:p w:rsidR="00DB0020" w:rsidRPr="00FA761F" w:rsidRDefault="00DB0020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Solução:</w:t>
            </w:r>
          </w:p>
          <w:p w:rsidR="00DB0020" w:rsidRPr="00FA761F" w:rsidRDefault="00DB0020" w:rsidP="006E32EA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Aprimorar o controle orçamentário e financeiro das despesas de custeio dos órgãos/entidades desde o planejamento até a execução</w:t>
            </w: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.</w:t>
            </w:r>
          </w:p>
          <w:p w:rsidR="00DB0020" w:rsidRPr="00FA761F" w:rsidRDefault="00DB0020" w:rsidP="00D8758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</w:p>
          <w:p w:rsidR="006E32EA" w:rsidRPr="00FA761F" w:rsidRDefault="006E32EA" w:rsidP="00D54D0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val="pt-BR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val="pt-BR"/>
              </w:rPr>
              <w:t>Indicador</w:t>
            </w:r>
          </w:p>
          <w:p w:rsidR="00D54D01" w:rsidRPr="00FA761F" w:rsidRDefault="00D54D01" w:rsidP="00D54D0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val="pt-BR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val="pt-BR"/>
              </w:rPr>
              <w:t>Produto (2014):</w:t>
            </w:r>
          </w:p>
          <w:p w:rsidR="00D54D01" w:rsidRPr="00FA761F" w:rsidRDefault="00D54D01" w:rsidP="00D54D0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3 órgãos e entidades com Programação Financeira de Custeio avaliadas com base na metodologia (Saúde, Educação e Segurança)</w:t>
            </w:r>
          </w:p>
          <w:p w:rsidR="00D54D01" w:rsidRPr="00FA761F" w:rsidRDefault="00D54D01" w:rsidP="00D54D0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</w:p>
          <w:p w:rsidR="00D54D01" w:rsidRPr="00FA761F" w:rsidRDefault="00D54D01" w:rsidP="00D54D0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</w:pPr>
            <w:r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OBS: Indicador qualitativo </w:t>
            </w:r>
            <w:r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lastRenderedPageBreak/>
              <w:t>descrito na Nota Técnica</w:t>
            </w:r>
          </w:p>
          <w:p w:rsidR="00D54D01" w:rsidRPr="00FA761F" w:rsidRDefault="00D54D01" w:rsidP="00D54D0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</w:p>
          <w:p w:rsidR="00D54D01" w:rsidRPr="00FA761F" w:rsidRDefault="00D54D01" w:rsidP="00D54D0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 (2014):</w:t>
            </w:r>
          </w:p>
          <w:p w:rsidR="00DB0020" w:rsidRPr="00FA761F" w:rsidRDefault="00D54D01" w:rsidP="00727FC0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Redução</w:t>
            </w:r>
            <w:r w:rsidR="00630F8B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na relação entre as as solicitaçoes e glosa dealterações  de programação financeira de custeio da Secretaria de Segurança = 23%</w:t>
            </w:r>
          </w:p>
        </w:tc>
        <w:tc>
          <w:tcPr>
            <w:tcW w:w="5386" w:type="dxa"/>
            <w:shd w:val="clear" w:color="auto" w:fill="auto"/>
          </w:tcPr>
          <w:p w:rsidR="00D54D01" w:rsidRPr="003959D6" w:rsidRDefault="00D54D01" w:rsidP="008256D4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 xml:space="preserve">1ª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Reestruturação organizacional da SCGE, para criação de coordenadoria das ações de controle financeiro e orçamentário do Estado.</w:t>
            </w:r>
          </w:p>
          <w:p w:rsidR="00D54D01" w:rsidRPr="003959D6" w:rsidRDefault="00D54D01" w:rsidP="008256D4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54D01" w:rsidRPr="003959D6" w:rsidRDefault="00D54D01" w:rsidP="008256D4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Decreto do Poder Executivo </w:t>
            </w:r>
            <w:r w:rsidR="00630F8B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stadual</w:t>
            </w:r>
            <w:r w:rsidR="00630F8B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criando a nova </w:t>
            </w:r>
            <w:r w:rsidR="00630F8B">
              <w:rPr>
                <w:rFonts w:asciiTheme="minorHAnsi" w:hAnsiTheme="minorHAnsi" w:cstheme="minorHAnsi"/>
                <w:noProof/>
                <w:sz w:val="18"/>
                <w:szCs w:val="18"/>
              </w:rPr>
              <w:t>c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oordenadoria e estabelecendo suas atribuições.</w:t>
            </w:r>
          </w:p>
          <w:p w:rsidR="00D54D01" w:rsidRPr="003959D6" w:rsidRDefault="00D54D01" w:rsidP="00D54D01">
            <w:pPr>
              <w:ind w:left="227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54D01" w:rsidRPr="003959D6" w:rsidRDefault="00D54D01" w:rsidP="008256D4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2ª tranche:</w:t>
            </w:r>
            <w:r w:rsidR="00D9183B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Instituição da metodologia de controle das alterações da programação financeira das despesas de custeio (aumento, redução, remanejamento e transferência).</w:t>
            </w:r>
          </w:p>
          <w:p w:rsidR="00D54D01" w:rsidRPr="003959D6" w:rsidRDefault="00D54D01" w:rsidP="008256D4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F97857" w:rsidRPr="001A346D" w:rsidRDefault="00D54D01" w:rsidP="008256D4">
            <w:pPr>
              <w:ind w:left="1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Decreto de programação financeira</w:t>
            </w:r>
            <w:r w:rsidR="00630F8B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emitido pelo Poder Executivo </w:t>
            </w:r>
            <w:r w:rsidR="00630F8B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stadual</w:t>
            </w:r>
            <w:r w:rsidR="00630F8B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estabelecendo</w:t>
            </w:r>
            <w:r w:rsidR="00F77843">
              <w:rPr>
                <w:rFonts w:asciiTheme="minorHAnsi" w:hAnsiTheme="minorHAnsi" w:cstheme="minorHAnsi"/>
                <w:noProof/>
                <w:sz w:val="18"/>
                <w:szCs w:val="18"/>
              </w:rPr>
              <w:t>: (i)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o procedimento de planejamento</w:t>
            </w:r>
            <w:r w:rsidR="00F7784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 solicit</w:t>
            </w:r>
            <w:r w:rsidR="00727FC0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ação de alterações de programaçã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o financeira de custeio pelos órgãos e entidades do Poder Executivo</w:t>
            </w:r>
            <w:r w:rsidR="00F77843">
              <w:rPr>
                <w:rFonts w:asciiTheme="minorHAnsi" w:hAnsiTheme="minorHAnsi" w:cstheme="minorHAnsi"/>
                <w:noProof/>
                <w:sz w:val="18"/>
                <w:szCs w:val="18"/>
              </w:rPr>
              <w:t>;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F77843">
              <w:rPr>
                <w:rFonts w:asciiTheme="minorHAnsi" w:hAnsiTheme="minorHAnsi" w:cstheme="minorHAnsi"/>
                <w:noProof/>
                <w:sz w:val="18"/>
                <w:szCs w:val="18"/>
              </w:rPr>
              <w:t>e (ii)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F77843">
              <w:rPr>
                <w:rFonts w:asciiTheme="minorHAnsi" w:hAnsiTheme="minorHAnsi" w:cstheme="minorHAnsi"/>
                <w:noProof/>
                <w:sz w:val="18"/>
                <w:szCs w:val="18"/>
              </w:rPr>
              <w:t>o  procedimento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F7784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de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análise pela SCGE.</w:t>
            </w:r>
          </w:p>
        </w:tc>
      </w:tr>
      <w:tr w:rsidR="00DB0020" w:rsidRPr="00694862" w:rsidTr="003B65CE">
        <w:tc>
          <w:tcPr>
            <w:tcW w:w="3685" w:type="dxa"/>
            <w:shd w:val="clear" w:color="auto" w:fill="auto"/>
          </w:tcPr>
          <w:p w:rsidR="00DB0020" w:rsidRPr="00FA761F" w:rsidRDefault="00DB0020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Problema:</w:t>
            </w:r>
          </w:p>
          <w:p w:rsidR="00F97857" w:rsidRPr="00FA761F" w:rsidRDefault="00DB0020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(VIII) </w:t>
            </w:r>
            <w:r w:rsidR="00F97857"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Baixa eficiência do gasto público de custeio no grupo “outras despesas correntes”</w:t>
            </w:r>
          </w:p>
          <w:p w:rsidR="00F97857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B00F53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Linha de base</w:t>
            </w:r>
            <w:r w:rsidR="00B00F53"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F97857" w:rsidRPr="00FA761F" w:rsidRDefault="00B00F53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</w:t>
            </w:r>
            <w:r w:rsidR="00F97857"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roduto (2012)</w:t>
            </w:r>
          </w:p>
          <w:p w:rsidR="00F97857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Inexistência de relatório de gestão de gastos emtidos pelas SCGE baseado em  metodologiade racionalização utilizada pela UG</w:t>
            </w:r>
          </w:p>
          <w:p w:rsidR="00F97857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F97857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Resultados (2012):</w:t>
            </w:r>
          </w:p>
          <w:p w:rsidR="00F97857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Participação das despesas operacionais em relação à despesa total = 9,1</w:t>
            </w:r>
          </w:p>
          <w:p w:rsidR="00F97857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0F2E34" w:rsidRPr="00FA761F" w:rsidRDefault="00F97857" w:rsidP="00A33E7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</w:pPr>
            <w:r w:rsidRPr="0023210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Vide nota técnica </w:t>
            </w:r>
            <w:r w:rsidR="001934CC" w:rsidRPr="0023210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(financeira) </w:t>
            </w:r>
            <w:r w:rsidR="00DA1940" w:rsidRPr="0023210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SCGE 5</w:t>
            </w:r>
            <w:r w:rsidR="001934CC" w:rsidRPr="0023210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 R</w:t>
            </w:r>
            <w:r w:rsidRPr="0023210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acionalizaçã</w:t>
            </w:r>
            <w:r w:rsidR="001934CC" w:rsidRPr="0023210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o dos gastos públicos</w:t>
            </w:r>
            <w:r w:rsidR="0087336F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 vf18</w:t>
            </w:r>
            <w:r w:rsidR="003A3B66" w:rsidRPr="0023210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Mar2013</w:t>
            </w:r>
          </w:p>
        </w:tc>
        <w:tc>
          <w:tcPr>
            <w:tcW w:w="2976" w:type="dxa"/>
            <w:shd w:val="clear" w:color="auto" w:fill="auto"/>
          </w:tcPr>
          <w:p w:rsidR="00DB0020" w:rsidRPr="00FA761F" w:rsidRDefault="00DB0020" w:rsidP="00BD4D6A">
            <w:pPr>
              <w:pStyle w:val="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lastRenderedPageBreak/>
              <w:t>Falta de uma cultura coorporativa de racionalização dos gastos públicos.</w:t>
            </w:r>
          </w:p>
        </w:tc>
        <w:tc>
          <w:tcPr>
            <w:tcW w:w="2696" w:type="dxa"/>
            <w:shd w:val="clear" w:color="auto" w:fill="auto"/>
          </w:tcPr>
          <w:p w:rsidR="00B00F53" w:rsidRPr="00FA761F" w:rsidRDefault="00DB0020" w:rsidP="00B00F5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Solução:</w:t>
            </w:r>
          </w:p>
          <w:p w:rsidR="00F97857" w:rsidRPr="00FA761F" w:rsidRDefault="00F97857" w:rsidP="00B00F53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Modelo de racionalização dos gastos públicos implantado.</w:t>
            </w:r>
          </w:p>
          <w:p w:rsidR="00F97857" w:rsidRPr="00FA761F" w:rsidRDefault="00F97857" w:rsidP="00B00F53">
            <w:pPr>
              <w:pStyle w:val="Paragraph"/>
              <w:numPr>
                <w:ilvl w:val="0"/>
                <w:numId w:val="0"/>
              </w:numPr>
              <w:spacing w:before="0" w:after="0"/>
              <w:ind w:left="360" w:hanging="36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</w:p>
          <w:p w:rsidR="00B00F53" w:rsidRPr="00FA761F" w:rsidRDefault="00F97857" w:rsidP="00F9785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</w:p>
          <w:p w:rsidR="00F97857" w:rsidRPr="00FA761F" w:rsidRDefault="00B00F53" w:rsidP="00F97857">
            <w:pPr>
              <w:pStyle w:val="BodyText"/>
              <w:spacing w:after="6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</w:t>
            </w:r>
            <w:r w:rsidR="00F97857"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roduto 2015:</w:t>
            </w:r>
          </w:p>
          <w:p w:rsidR="00F97857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0</w:t>
            </w:r>
            <w:r w:rsidR="00A34F0D"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>3</w:t>
            </w: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Unidades Gestoras com Relatório de Gestão dos Gastos emitido pela SCGE constatando a aplicação da metodologia de </w:t>
            </w:r>
            <w:r w:rsidRPr="00FA761F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racionalização</w:t>
            </w:r>
            <w:r w:rsidR="00B210BF"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(Saúde, Educação, Segurança</w:t>
            </w:r>
            <w:r w:rsidR="00A34F0D"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– Representam 60% do grupo Outras Despesas Correntes</w:t>
            </w:r>
            <w:r w:rsidR="00B210BF" w:rsidRPr="00FA761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)</w:t>
            </w:r>
          </w:p>
          <w:p w:rsidR="00F97857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F97857" w:rsidRPr="00FA761F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Resultados (2015): </w:t>
            </w:r>
          </w:p>
          <w:p w:rsidR="00F97857" w:rsidRPr="00232102" w:rsidRDefault="00B00F53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32102">
              <w:rPr>
                <w:rFonts w:asciiTheme="minorHAnsi" w:hAnsiTheme="minorHAnsi" w:cstheme="minorHAnsi"/>
                <w:noProof/>
                <w:sz w:val="18"/>
                <w:szCs w:val="18"/>
              </w:rPr>
              <w:t>Redução da p</w:t>
            </w:r>
            <w:r w:rsidR="00F97857" w:rsidRPr="00232102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articipação das despesas operacionais em relação à despesa total = </w:t>
            </w:r>
            <w:r w:rsidR="006A4B3E" w:rsidRPr="00232102">
              <w:rPr>
                <w:rFonts w:asciiTheme="minorHAnsi" w:hAnsiTheme="minorHAnsi" w:cstheme="minorHAnsi"/>
                <w:noProof/>
                <w:sz w:val="18"/>
                <w:szCs w:val="18"/>
              </w:rPr>
              <w:t>8,2</w:t>
            </w:r>
          </w:p>
          <w:p w:rsidR="00F97857" w:rsidRPr="00232102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F97857" w:rsidRPr="00232102" w:rsidRDefault="00F97857" w:rsidP="00F978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32102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Economia estimada de </w:t>
            </w:r>
          </w:p>
          <w:p w:rsidR="006A4B3E" w:rsidRPr="00232102" w:rsidRDefault="006A4B3E" w:rsidP="006A4B3E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232102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2013 = R$ 31,6 milhões</w:t>
            </w:r>
          </w:p>
          <w:p w:rsidR="006A4B3E" w:rsidRPr="00232102" w:rsidRDefault="006A4B3E" w:rsidP="006A4B3E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232102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2014 = R$ 36,3 milhões </w:t>
            </w:r>
          </w:p>
          <w:p w:rsidR="00DB0020" w:rsidRPr="006A4B3E" w:rsidRDefault="006A4B3E" w:rsidP="006A4B3E">
            <w:pPr>
              <w:pStyle w:val="BodyText"/>
              <w:spacing w:after="0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32102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2015 = R$ 41,7 milhões</w:t>
            </w:r>
          </w:p>
        </w:tc>
        <w:tc>
          <w:tcPr>
            <w:tcW w:w="5386" w:type="dxa"/>
            <w:shd w:val="clear" w:color="auto" w:fill="auto"/>
          </w:tcPr>
          <w:p w:rsidR="00F97857" w:rsidRPr="003959D6" w:rsidRDefault="00F97857" w:rsidP="008B1565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1ª tranche:</w:t>
            </w:r>
            <w:r w:rsidR="008256D4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Instituição do modelo e da metodologia de racionalização dos gastos públicos. </w:t>
            </w:r>
          </w:p>
          <w:p w:rsidR="00F97857" w:rsidRPr="003959D6" w:rsidRDefault="00F97857" w:rsidP="008B1565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Meio de verificação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: </w:t>
            </w:r>
          </w:p>
          <w:p w:rsidR="00F97857" w:rsidRPr="003959D6" w:rsidRDefault="00F97857" w:rsidP="008B1565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Decreto do Poder Executivo </w:t>
            </w:r>
            <w:r w:rsidR="00A86FC6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stadual</w:t>
            </w:r>
            <w:r w:rsidR="00A86FC6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instituindo o modelo e a metodologia de racionalização dos gastos públicos. </w:t>
            </w:r>
          </w:p>
          <w:p w:rsidR="00F97857" w:rsidRPr="003959D6" w:rsidRDefault="00F97857" w:rsidP="003959D6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F97857" w:rsidRPr="003959D6" w:rsidRDefault="00F97857" w:rsidP="008B1565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Operacionalização do modelo de racionaliz</w:t>
            </w:r>
            <w:r w:rsidR="00B210BF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ação dos gastos públicos pelas Unidades Gestoras</w:t>
            </w:r>
          </w:p>
          <w:p w:rsidR="00F97857" w:rsidRPr="003959D6" w:rsidRDefault="00F97857" w:rsidP="008B1565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8D207D" w:rsidRPr="00694862" w:rsidRDefault="00F97857" w:rsidP="00A34F0D">
            <w:pPr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Relatório de Gestão dos Gastos</w:t>
            </w:r>
            <w:r w:rsidR="00A86FC6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emitido pela SCGE</w:t>
            </w:r>
            <w:r w:rsidR="00A86FC6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392055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avaliando a </w:t>
            </w:r>
            <w:r w:rsidR="00392055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 xml:space="preserve">aplicação do modelo de racionalização dos gastos </w:t>
            </w:r>
            <w:r w:rsidR="00A34F0D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em 03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Unidades Gestoras</w:t>
            </w:r>
            <w:r w:rsidRPr="00FA761F">
              <w:rPr>
                <w:rFonts w:asciiTheme="minorHAnsi" w:hAnsiTheme="minorHAnsi" w:cstheme="minorHAnsi"/>
                <w:noProof/>
                <w:sz w:val="16"/>
                <w:szCs w:val="18"/>
              </w:rPr>
              <w:t>.</w:t>
            </w:r>
          </w:p>
        </w:tc>
      </w:tr>
      <w:tr w:rsidR="00DB0020" w:rsidRPr="00694862" w:rsidTr="003B65CE">
        <w:tc>
          <w:tcPr>
            <w:tcW w:w="3685" w:type="dxa"/>
            <w:shd w:val="clear" w:color="auto" w:fill="auto"/>
          </w:tcPr>
          <w:p w:rsidR="00DB0020" w:rsidRPr="00B00F53" w:rsidRDefault="00DB0020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Problema:</w:t>
            </w:r>
          </w:p>
          <w:p w:rsidR="00DB0020" w:rsidRPr="00B00F53" w:rsidRDefault="00DB0020" w:rsidP="00900AEB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(IX) </w:t>
            </w:r>
            <w:r w:rsidR="00DF644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Ineficiência da g</w:t>
            </w:r>
            <w:r w:rsidRPr="00B00F5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estão pat</w:t>
            </w:r>
            <w:r w:rsidR="00DF644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rimonial do Estado, com dificuldade no dimensionamento, quantificação e valoração dos ativos.</w:t>
            </w:r>
          </w:p>
          <w:p w:rsidR="00F50C5E" w:rsidRDefault="00F50C5E" w:rsidP="00271F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Linha de base:</w:t>
            </w:r>
          </w:p>
          <w:p w:rsidR="00DB0020" w:rsidRPr="00B00F53" w:rsidRDefault="00DB0020" w:rsidP="00271F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 (2012):</w:t>
            </w:r>
          </w:p>
          <w:p w:rsidR="00770F40" w:rsidRPr="001E76EE" w:rsidRDefault="00DB0020" w:rsidP="00770F40">
            <w:pPr>
              <w:pStyle w:val="BodyText"/>
              <w:spacing w:after="0"/>
              <w:jc w:val="both"/>
              <w:rPr>
                <w:rFonts w:ascii="Calibri" w:hAnsi="Calibri"/>
                <w:noProof/>
                <w:sz w:val="18"/>
                <w:szCs w:val="18"/>
                <w:lang w:eastAsia="en-US"/>
              </w:rPr>
            </w:pPr>
            <w:r w:rsidRPr="00B00F5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5 unidades setoriais de patrimônio e materiais </w:t>
            </w:r>
            <w:r w:rsidRPr="00F50C5E">
              <w:rPr>
                <w:rFonts w:asciiTheme="minorHAnsi" w:hAnsiTheme="minorHAnsi" w:cstheme="minorHAnsi"/>
                <w:noProof/>
                <w:sz w:val="18"/>
                <w:szCs w:val="18"/>
              </w:rPr>
              <w:t>formalizadas</w:t>
            </w:r>
            <w:r w:rsidR="00927C8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(</w:t>
            </w:r>
            <w:r w:rsidR="00770F40" w:rsidRPr="00D0733E">
              <w:rPr>
                <w:rFonts w:ascii="Calibri" w:hAnsi="Calibri"/>
                <w:i/>
                <w:noProof/>
                <w:sz w:val="18"/>
                <w:szCs w:val="18"/>
                <w:lang w:eastAsia="en-US"/>
              </w:rPr>
              <w:t>Palácio do Governo</w:t>
            </w:r>
            <w:r w:rsidR="00927C87" w:rsidRPr="00D0733E">
              <w:rPr>
                <w:rFonts w:ascii="Calibri" w:hAnsi="Calibri"/>
                <w:i/>
                <w:noProof/>
                <w:sz w:val="18"/>
                <w:szCs w:val="18"/>
                <w:lang w:eastAsia="en-US"/>
              </w:rPr>
              <w:t xml:space="preserve">, </w:t>
            </w:r>
            <w:r w:rsidR="00770F40" w:rsidRPr="00D0733E">
              <w:rPr>
                <w:rFonts w:ascii="Calibri" w:hAnsi="Calibri"/>
                <w:i/>
                <w:noProof/>
                <w:sz w:val="18"/>
                <w:szCs w:val="18"/>
                <w:lang w:eastAsia="en-US"/>
              </w:rPr>
              <w:t>Secretaria da Casa Civil</w:t>
            </w:r>
            <w:r w:rsidR="00927C87" w:rsidRPr="00D0733E">
              <w:rPr>
                <w:rFonts w:ascii="Calibri" w:hAnsi="Calibri"/>
                <w:i/>
                <w:noProof/>
                <w:sz w:val="18"/>
                <w:szCs w:val="18"/>
                <w:lang w:eastAsia="en-US"/>
              </w:rPr>
              <w:t xml:space="preserve">, </w:t>
            </w:r>
            <w:r w:rsidR="00770F40" w:rsidRPr="00D0733E">
              <w:rPr>
                <w:rFonts w:ascii="Calibri" w:hAnsi="Calibri"/>
                <w:i/>
                <w:noProof/>
                <w:sz w:val="18"/>
                <w:szCs w:val="18"/>
                <w:lang w:eastAsia="en-US"/>
              </w:rPr>
              <w:t>Secretaria de Transportes</w:t>
            </w:r>
            <w:r w:rsidR="00927C87" w:rsidRPr="00D0733E">
              <w:rPr>
                <w:rFonts w:ascii="Calibri" w:hAnsi="Calibri"/>
                <w:i/>
                <w:noProof/>
                <w:sz w:val="18"/>
                <w:szCs w:val="18"/>
                <w:lang w:eastAsia="en-US"/>
              </w:rPr>
              <w:t xml:space="preserve">, </w:t>
            </w:r>
            <w:r w:rsidR="00770F40" w:rsidRPr="00D0733E">
              <w:rPr>
                <w:rFonts w:ascii="Calibri" w:hAnsi="Calibri"/>
                <w:i/>
                <w:noProof/>
                <w:sz w:val="18"/>
                <w:szCs w:val="18"/>
                <w:lang w:eastAsia="en-US"/>
              </w:rPr>
              <w:t>Secretaria de Recursos Hídricos</w:t>
            </w:r>
            <w:r w:rsidR="00927C87" w:rsidRPr="00D0733E">
              <w:rPr>
                <w:rFonts w:ascii="Calibri" w:hAnsi="Calibri"/>
                <w:i/>
                <w:noProof/>
                <w:sz w:val="18"/>
                <w:szCs w:val="18"/>
                <w:lang w:eastAsia="en-US"/>
              </w:rPr>
              <w:t xml:space="preserve"> e </w:t>
            </w:r>
            <w:r w:rsidR="00770F40" w:rsidRPr="00D0733E">
              <w:rPr>
                <w:rFonts w:ascii="Calibri" w:hAnsi="Calibri"/>
                <w:i/>
                <w:noProof/>
                <w:sz w:val="18"/>
                <w:szCs w:val="18"/>
                <w:lang w:eastAsia="en-US"/>
              </w:rPr>
              <w:t>Secretaria das Cidades</w:t>
            </w:r>
            <w:r w:rsidR="00927C87" w:rsidRPr="00927C87">
              <w:rPr>
                <w:rFonts w:ascii="Calibri" w:hAnsi="Calibri"/>
                <w:noProof/>
                <w:sz w:val="18"/>
                <w:szCs w:val="18"/>
                <w:lang w:eastAsia="en-US"/>
              </w:rPr>
              <w:t>)</w:t>
            </w:r>
          </w:p>
          <w:p w:rsidR="00DB0020" w:rsidRPr="00B00F53" w:rsidRDefault="00DB0020" w:rsidP="00271F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B00F53" w:rsidRDefault="00DB0020" w:rsidP="00271F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noProof/>
                <w:sz w:val="18"/>
                <w:szCs w:val="18"/>
              </w:rPr>
              <w:t>OBS: Total de unidades / Órgãos da Adm Direta= 28</w:t>
            </w:r>
          </w:p>
          <w:p w:rsidR="00DB0020" w:rsidRPr="00F75069" w:rsidRDefault="00DB0020" w:rsidP="00927C8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="Calibri" w:hAnsi="Calibri"/>
                <w:noProof/>
                <w:sz w:val="18"/>
                <w:szCs w:val="18"/>
                <w:lang w:val="pt-BR"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DB0020" w:rsidRPr="00B00F53" w:rsidRDefault="00DB0020" w:rsidP="00BD4D6A">
            <w:pPr>
              <w:numPr>
                <w:ilvl w:val="0"/>
                <w:numId w:val="31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noProof/>
                <w:sz w:val="18"/>
                <w:szCs w:val="18"/>
              </w:rPr>
              <w:t>Atribuições multidisciplinares aos setores administrativo dos órgãos – um único setor concentra e absorve atribuições genéricas de administração (compras, financeiro, infraestrutura e patrimônio);</w:t>
            </w:r>
          </w:p>
          <w:p w:rsidR="00DB0020" w:rsidRPr="00B00F53" w:rsidRDefault="00DB0020" w:rsidP="00BD4D6A">
            <w:pPr>
              <w:numPr>
                <w:ilvl w:val="0"/>
                <w:numId w:val="31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noProof/>
                <w:sz w:val="18"/>
                <w:szCs w:val="18"/>
              </w:rPr>
              <w:t>Falta de capacitação patrimonial aos gestores. Alta rotatividade;</w:t>
            </w:r>
          </w:p>
          <w:p w:rsidR="00DB0020" w:rsidRPr="00B00F53" w:rsidRDefault="00DB0020" w:rsidP="00BD4D6A">
            <w:pPr>
              <w:numPr>
                <w:ilvl w:val="0"/>
                <w:numId w:val="31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noProof/>
                <w:sz w:val="18"/>
                <w:szCs w:val="18"/>
              </w:rPr>
              <w:t>Legislação escassa.</w:t>
            </w:r>
          </w:p>
          <w:p w:rsidR="00DB0020" w:rsidRPr="00B00F53" w:rsidRDefault="00DB0020" w:rsidP="00BD4D6A">
            <w:pPr>
              <w:numPr>
                <w:ilvl w:val="0"/>
                <w:numId w:val="31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noProof/>
                <w:sz w:val="18"/>
                <w:szCs w:val="18"/>
              </w:rPr>
              <w:t>Falta de padronização de procedimentos.</w:t>
            </w:r>
          </w:p>
          <w:p w:rsidR="00DB0020" w:rsidRPr="00920B57" w:rsidRDefault="00DB0020" w:rsidP="00BD4D6A">
            <w:pPr>
              <w:numPr>
                <w:ilvl w:val="0"/>
                <w:numId w:val="31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20B57">
              <w:rPr>
                <w:rFonts w:asciiTheme="minorHAnsi" w:hAnsiTheme="minorHAnsi" w:cstheme="minorHAnsi"/>
                <w:noProof/>
                <w:sz w:val="18"/>
                <w:szCs w:val="18"/>
              </w:rPr>
              <w:t>Conhecimento parcial do patrimônio do estado, levantamentos esporádicos, informações descentralizadas e não padronizadas.</w:t>
            </w:r>
          </w:p>
          <w:p w:rsidR="00DB0020" w:rsidRPr="00B00F53" w:rsidRDefault="00770F40" w:rsidP="00BD4D6A">
            <w:pPr>
              <w:numPr>
                <w:ilvl w:val="0"/>
                <w:numId w:val="31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927C8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Não atendimento às Normas Brasileiras de Contabilidade Aplicadas ao Setor Público – </w:t>
            </w:r>
            <w:r w:rsidRPr="00927C87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NBCASP.</w:t>
            </w:r>
          </w:p>
        </w:tc>
        <w:tc>
          <w:tcPr>
            <w:tcW w:w="2696" w:type="dxa"/>
            <w:shd w:val="clear" w:color="auto" w:fill="auto"/>
          </w:tcPr>
          <w:p w:rsidR="008B1565" w:rsidRPr="00B00F53" w:rsidRDefault="008B1565" w:rsidP="008B1565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Solução:</w:t>
            </w:r>
          </w:p>
          <w:p w:rsidR="00DB0020" w:rsidRPr="00B00F53" w:rsidRDefault="00A86FC6" w:rsidP="00B00F53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Implantação do </w:t>
            </w:r>
            <w:r w:rsidR="00DB0020" w:rsidRPr="00B00F5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Modelo de gestão do patrimônio do Estado </w:t>
            </w:r>
            <w:r w:rsidR="00DB0020" w:rsidRPr="00B00F53">
              <w:rPr>
                <w:rFonts w:asciiTheme="minorHAnsi" w:hAnsiTheme="minorHAnsi" w:cstheme="minorHAnsi"/>
                <w:noProof/>
                <w:sz w:val="18"/>
                <w:szCs w:val="18"/>
              </w:rPr>
              <w:t>, contemplando:</w:t>
            </w:r>
          </w:p>
          <w:p w:rsidR="00DB0020" w:rsidRPr="00AD5595" w:rsidRDefault="00DB0020" w:rsidP="00BD4D6A">
            <w:pPr>
              <w:numPr>
                <w:ilvl w:val="0"/>
                <w:numId w:val="32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Implantação de unidades setoriais de patrimônio. Criação de um modelo de gestão com a administração central (SAD) e setorial;</w:t>
            </w:r>
          </w:p>
          <w:p w:rsidR="00DB0020" w:rsidRPr="00AD5595" w:rsidRDefault="00DB0020" w:rsidP="00BD4D6A">
            <w:pPr>
              <w:numPr>
                <w:ilvl w:val="0"/>
                <w:numId w:val="32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Instituir plano de capacitação;</w:t>
            </w:r>
          </w:p>
          <w:p w:rsidR="00DB0020" w:rsidRPr="00AD5595" w:rsidRDefault="00DB0020" w:rsidP="00BD4D6A">
            <w:pPr>
              <w:numPr>
                <w:ilvl w:val="0"/>
                <w:numId w:val="32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Padronização dos procedimentos através de normativos e manuais.</w:t>
            </w:r>
          </w:p>
          <w:p w:rsidR="00F50C5E" w:rsidRDefault="00DB0020" w:rsidP="00271F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  <w:r w:rsidR="00F50C5E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DB0020" w:rsidRPr="00B00F53" w:rsidRDefault="00DB0020" w:rsidP="00271F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 (2014):</w:t>
            </w:r>
          </w:p>
          <w:p w:rsidR="00DB0020" w:rsidRPr="00B00F53" w:rsidRDefault="00DB0020" w:rsidP="00271F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00F53">
              <w:rPr>
                <w:rFonts w:asciiTheme="minorHAnsi" w:hAnsiTheme="minorHAnsi" w:cstheme="minorHAnsi"/>
                <w:noProof/>
                <w:sz w:val="18"/>
                <w:szCs w:val="18"/>
              </w:rPr>
              <w:t>6 novas unidades setoriais de patrimônio e materiais formalizadas</w:t>
            </w:r>
          </w:p>
          <w:p w:rsidR="00DB0020" w:rsidRPr="00B00F53" w:rsidRDefault="00DC2C71" w:rsidP="00271F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R</w:t>
            </w:r>
            <w:r w:rsidR="00DB0020" w:rsidRPr="00DC2C71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esultados</w:t>
            </w:r>
            <w:r w:rsidR="00DB0020" w:rsidRPr="00B00F53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DB0020" w:rsidRPr="00B00F53" w:rsidRDefault="001B0628" w:rsidP="00920B5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NÃO SE APLICA</w:t>
            </w:r>
          </w:p>
        </w:tc>
        <w:tc>
          <w:tcPr>
            <w:tcW w:w="5386" w:type="dxa"/>
            <w:shd w:val="clear" w:color="auto" w:fill="auto"/>
          </w:tcPr>
          <w:p w:rsidR="00DB0020" w:rsidRPr="003959D6" w:rsidRDefault="00DB0020" w:rsidP="00900AEB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1ª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Instituição do novo modelo de gestão do patrimônio da Administração Pública Estadual (APE).</w:t>
            </w:r>
          </w:p>
          <w:p w:rsidR="00DB0020" w:rsidRPr="003959D6" w:rsidRDefault="00DB0020" w:rsidP="003959D6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B0020" w:rsidRDefault="00DB0020" w:rsidP="003959D6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Decreto Estadual</w:t>
            </w:r>
            <w:r w:rsidR="006F077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</w:t>
            </w:r>
            <w:r w:rsidR="006F0777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publicado no DOE</w:t>
            </w:r>
            <w:r w:rsidR="006F0777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 instituindo  o  Subsistema  de  Gestão  de  Patrimônio  e  Materiais,  integrante  do  Sistema  de  Gestão  Administrativa  do  Poder Executivo Estadual</w:t>
            </w:r>
            <w:r w:rsidR="00D0733E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</w:p>
          <w:p w:rsidR="00A279F0" w:rsidRDefault="00A279F0" w:rsidP="003959D6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A279F0" w:rsidRPr="00A279F0" w:rsidRDefault="00A279F0" w:rsidP="003959D6">
            <w:pPr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A279F0">
              <w:rPr>
                <w:rFonts w:asciiTheme="minorHAnsi" w:hAnsiTheme="minorHAnsi" w:cstheme="minorHAnsi"/>
                <w:b/>
                <w:noProof/>
                <w:sz w:val="18"/>
                <w:szCs w:val="18"/>
                <w:highlight w:val="yellow"/>
              </w:rPr>
              <w:t xml:space="preserve">OBS: Ato publicado – Decreto Estadual </w:t>
            </w:r>
            <w:r w:rsidRPr="00A279F0">
              <w:rPr>
                <w:rFonts w:ascii="Calibri" w:hAnsi="Calibri" w:cs="Calibri"/>
                <w:b/>
                <w:sz w:val="16"/>
                <w:szCs w:val="16"/>
                <w:highlight w:val="yellow"/>
                <w:lang w:eastAsia="pt-BR"/>
              </w:rPr>
              <w:t>nº 38.875/2012</w:t>
            </w:r>
          </w:p>
          <w:p w:rsidR="00AD24A5" w:rsidRDefault="00AD24A5" w:rsidP="00AD24A5">
            <w:pPr>
              <w:jc w:val="both"/>
              <w:rPr>
                <w:b/>
                <w:color w:val="FF0000"/>
                <w:sz w:val="18"/>
                <w:szCs w:val="18"/>
                <w:lang w:eastAsia="pt-BR"/>
              </w:rPr>
            </w:pPr>
            <w:r w:rsidRPr="00333B03">
              <w:rPr>
                <w:rFonts w:ascii="Calibri" w:hAnsi="Calibri" w:cs="Calibri"/>
                <w:b/>
                <w:color w:val="FF0000"/>
                <w:sz w:val="16"/>
                <w:szCs w:val="16"/>
                <w:lang w:eastAsia="pt-BR"/>
              </w:rPr>
              <w:t xml:space="preserve">PGE: </w:t>
            </w:r>
            <w:r w:rsidRPr="00333B03">
              <w:rPr>
                <w:b/>
                <w:color w:val="FF0000"/>
                <w:sz w:val="18"/>
                <w:szCs w:val="18"/>
                <w:lang w:eastAsia="pt-BR"/>
              </w:rPr>
              <w:t>com relação às políticas já efetivadas, entendemos prejudicada a análise desta PGE (ainda assim, no particular, não veja problemas na forma de implementação)</w:t>
            </w:r>
          </w:p>
          <w:p w:rsidR="00AD24A5" w:rsidRPr="00333B03" w:rsidRDefault="002765C8" w:rsidP="00AD24A5">
            <w:pPr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765C8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>PGE E BID: Decreto publicado atende ao especificado na política</w:t>
            </w:r>
            <w:r>
              <w:rPr>
                <w:rFonts w:asciiTheme="minorHAnsi" w:hAnsiTheme="minorHAnsi"/>
                <w:b/>
                <w:sz w:val="18"/>
                <w:szCs w:val="18"/>
                <w:lang w:eastAsia="pt-BR"/>
              </w:rPr>
              <w:t xml:space="preserve"> </w:t>
            </w:r>
          </w:p>
          <w:p w:rsidR="008B1565" w:rsidRPr="003959D6" w:rsidRDefault="008B1565" w:rsidP="003959D6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3959D6" w:rsidRDefault="00DB0020" w:rsidP="00900AEB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Regulamentação do novo modelo de gestão do patrimônio da APE.</w:t>
            </w:r>
          </w:p>
          <w:p w:rsidR="00DB0020" w:rsidRPr="003959D6" w:rsidRDefault="00DB0020" w:rsidP="003959D6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B0020" w:rsidRPr="00694862" w:rsidRDefault="00DB0020" w:rsidP="006F0777">
            <w:pPr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do Secretário de Admin</w:t>
            </w:r>
            <w:r w:rsidR="00770F40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is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tração</w:t>
            </w:r>
            <w:r w:rsidR="006F077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</w:t>
            </w:r>
            <w:r w:rsidR="006F0777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publicada no DOE</w:t>
            </w:r>
            <w:r w:rsidR="006F0777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instituindo os procedimentos operacionais para a gestão do patrimônio</w:t>
            </w:r>
            <w:r w:rsidR="00D0733E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</w:p>
        </w:tc>
      </w:tr>
      <w:tr w:rsidR="00DB0020" w:rsidRPr="00694862" w:rsidTr="003B65CE">
        <w:tc>
          <w:tcPr>
            <w:tcW w:w="3685" w:type="dxa"/>
            <w:shd w:val="clear" w:color="auto" w:fill="auto"/>
          </w:tcPr>
          <w:p w:rsidR="00DB0020" w:rsidRPr="00BA250C" w:rsidRDefault="00DB0020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BA250C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Problema:</w:t>
            </w:r>
          </w:p>
          <w:p w:rsidR="00DB0020" w:rsidRPr="00BA250C" w:rsidRDefault="00DB0020" w:rsidP="00900AEB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A250C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(X) </w:t>
            </w:r>
            <w:r w:rsidRPr="00BA250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Ineficiência da aquisição de bens e serviços comuns, no âmbito da APE.</w:t>
            </w:r>
          </w:p>
          <w:p w:rsidR="00BA250C" w:rsidRDefault="00BA250C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Linha de base:</w:t>
            </w:r>
          </w:p>
          <w:p w:rsidR="00DB0020" w:rsidRPr="001B0628" w:rsidRDefault="00DB0020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1B0628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</w:t>
            </w:r>
            <w:r w:rsidR="00BA250C" w:rsidRPr="001B0628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(2012)</w:t>
            </w:r>
            <w:r w:rsidRPr="001B0628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DB0020" w:rsidRPr="001B0628" w:rsidRDefault="001B0628" w:rsidP="00BA250C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1B0628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9</w:t>
            </w:r>
            <w:r w:rsidR="00DB0020" w:rsidRPr="001B0628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 xml:space="preserve"> atas de registro de preços corporativas gerenciadas pela SAD</w:t>
            </w:r>
          </w:p>
          <w:p w:rsidR="001B0628" w:rsidRPr="001B0628" w:rsidRDefault="001B0628" w:rsidP="00BA250C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1B0628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Volume de recursos: R$</w:t>
            </w:r>
            <w:r w:rsidRPr="001B0628">
              <w:rPr>
                <w:rFonts w:asciiTheme="minorHAnsi" w:hAnsiTheme="minorHAnsi"/>
                <w:bCs/>
                <w:sz w:val="18"/>
                <w:szCs w:val="18"/>
                <w:lang w:val="pt-BR" w:eastAsia="pt-BR"/>
              </w:rPr>
              <w:t>88.357,43</w:t>
            </w:r>
          </w:p>
          <w:p w:rsidR="00DB0020" w:rsidRPr="008B5DDB" w:rsidRDefault="00DB0020" w:rsidP="000A062C">
            <w:pPr>
              <w:pStyle w:val="Paragraph"/>
              <w:numPr>
                <w:ilvl w:val="0"/>
                <w:numId w:val="0"/>
              </w:numPr>
              <w:spacing w:before="0" w:after="0"/>
              <w:ind w:left="11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8D40CE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Fonte: GCOMP</w:t>
            </w:r>
            <w:r w:rsidR="00770F40" w:rsidRPr="008D40CE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/SAD</w:t>
            </w:r>
          </w:p>
          <w:p w:rsidR="00DB0020" w:rsidRPr="008B5DDB" w:rsidRDefault="00DB0020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8B5DDB" w:rsidRDefault="00DB0020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5DDB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 (2012):</w:t>
            </w:r>
          </w:p>
          <w:p w:rsidR="00770F40" w:rsidRPr="008B5DDB" w:rsidRDefault="00770F40" w:rsidP="00770F40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sz w:val="18"/>
                <w:szCs w:val="18"/>
                <w:lang w:val="pt-BR"/>
              </w:rPr>
            </w:pPr>
            <w:r w:rsidRPr="008B5DDB">
              <w:rPr>
                <w:rFonts w:asciiTheme="minorHAnsi" w:hAnsiTheme="minorHAnsi"/>
                <w:sz w:val="18"/>
                <w:szCs w:val="18"/>
                <w:lang w:val="pt-BR"/>
              </w:rPr>
              <w:t xml:space="preserve">Coeficiente de variação do preço praticado em itens iguais adquiridos pelo estado: </w:t>
            </w:r>
          </w:p>
          <w:p w:rsidR="00770F40" w:rsidRPr="008B5DDB" w:rsidRDefault="00770F40" w:rsidP="00770F40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sz w:val="18"/>
                <w:szCs w:val="18"/>
                <w:lang w:val="pt-BR"/>
              </w:rPr>
            </w:pPr>
          </w:p>
          <w:p w:rsidR="00770F40" w:rsidRPr="008B5DDB" w:rsidRDefault="001B0628" w:rsidP="00770F40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sz w:val="18"/>
                <w:szCs w:val="18"/>
                <w:lang w:val="pt-BR"/>
              </w:rPr>
            </w:pPr>
            <w:r>
              <w:rPr>
                <w:rFonts w:asciiTheme="minorHAnsi" w:hAnsiTheme="minorHAnsi"/>
                <w:sz w:val="18"/>
                <w:szCs w:val="18"/>
                <w:lang w:val="pt-BR"/>
              </w:rPr>
              <w:t xml:space="preserve">Exemplo - </w:t>
            </w:r>
            <w:r w:rsidR="00770F40" w:rsidRPr="008B5DDB">
              <w:rPr>
                <w:rFonts w:asciiTheme="minorHAnsi" w:hAnsiTheme="minorHAnsi"/>
                <w:sz w:val="18"/>
                <w:szCs w:val="18"/>
                <w:lang w:val="pt-BR"/>
              </w:rPr>
              <w:t>Item: Água Mineral</w:t>
            </w:r>
          </w:p>
          <w:p w:rsidR="00770F40" w:rsidRPr="008B5DDB" w:rsidRDefault="00770F40" w:rsidP="00770F40">
            <w:pPr>
              <w:pStyle w:val="Paragraph"/>
              <w:numPr>
                <w:ilvl w:val="0"/>
                <w:numId w:val="0"/>
              </w:numPr>
              <w:spacing w:before="0" w:after="0"/>
              <w:ind w:left="360" w:hanging="360"/>
              <w:rPr>
                <w:rFonts w:asciiTheme="minorHAnsi" w:hAnsiTheme="minorHAnsi"/>
                <w:sz w:val="18"/>
                <w:szCs w:val="18"/>
                <w:lang w:val="pt-BR"/>
              </w:rPr>
            </w:pPr>
            <w:r w:rsidRPr="008B5DDB">
              <w:rPr>
                <w:rFonts w:asciiTheme="minorHAnsi" w:hAnsiTheme="minorHAnsi"/>
                <w:sz w:val="18"/>
                <w:szCs w:val="18"/>
                <w:lang w:val="pt-BR"/>
              </w:rPr>
              <w:t>Coeficiente de variação: 58%</w:t>
            </w:r>
          </w:p>
          <w:p w:rsidR="00770F40" w:rsidRPr="008B5DDB" w:rsidRDefault="00770F40" w:rsidP="005F3030">
            <w:pPr>
              <w:pStyle w:val="Paragraph"/>
              <w:numPr>
                <w:ilvl w:val="0"/>
                <w:numId w:val="0"/>
              </w:numPr>
              <w:spacing w:before="0" w:after="0"/>
              <w:ind w:left="360" w:hanging="360"/>
              <w:rPr>
                <w:rFonts w:asciiTheme="minorHAnsi" w:hAnsiTheme="minorHAnsi"/>
                <w:sz w:val="18"/>
                <w:szCs w:val="18"/>
                <w:lang w:val="pt-BR"/>
              </w:rPr>
            </w:pPr>
          </w:p>
          <w:p w:rsidR="00DB0020" w:rsidRPr="00541604" w:rsidRDefault="00541604" w:rsidP="000A062C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</w:pPr>
            <w:r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Vide </w:t>
            </w:r>
            <w:r w:rsidR="00DB0020"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Nota Técnica</w:t>
            </w:r>
            <w:r w:rsidR="00323A2C"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 SAD</w:t>
            </w:r>
            <w:r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 1</w:t>
            </w:r>
            <w:r w:rsidR="00323A2C"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 – Compras públicas/Registro de Preços</w:t>
            </w:r>
            <w:r w:rsidR="00532DA6"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 </w:t>
            </w:r>
            <w:r w:rsidR="001B0628"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vf04Mar2013</w:t>
            </w:r>
          </w:p>
          <w:p w:rsidR="008B5DDB" w:rsidRPr="008B5DDB" w:rsidRDefault="008B5DDB" w:rsidP="000A062C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lang w:val="pt-BR"/>
              </w:rPr>
            </w:pPr>
          </w:p>
        </w:tc>
        <w:tc>
          <w:tcPr>
            <w:tcW w:w="2976" w:type="dxa"/>
            <w:shd w:val="clear" w:color="auto" w:fill="auto"/>
          </w:tcPr>
          <w:p w:rsidR="00DB0020" w:rsidRPr="00BA250C" w:rsidRDefault="00DB0020" w:rsidP="00BD4D6A">
            <w:pPr>
              <w:pStyle w:val="Paragraph"/>
              <w:numPr>
                <w:ilvl w:val="0"/>
                <w:numId w:val="33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BA250C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Aquisição de bens e serviços comuns realizada de forma setorial, sem ganhos em escala, inerente à negociação centralizada;</w:t>
            </w:r>
          </w:p>
          <w:p w:rsidR="00DB0020" w:rsidRPr="00BA250C" w:rsidRDefault="00DB0020" w:rsidP="00BD4D6A">
            <w:pPr>
              <w:pStyle w:val="Paragraph"/>
              <w:numPr>
                <w:ilvl w:val="0"/>
                <w:numId w:val="33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BA250C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Sistema de Registro de Preços com legislação defasada;</w:t>
            </w:r>
          </w:p>
          <w:p w:rsidR="00DB0020" w:rsidRPr="00BA250C" w:rsidRDefault="00DB0020" w:rsidP="00BD4D6A">
            <w:pPr>
              <w:pStyle w:val="Paragraph"/>
              <w:numPr>
                <w:ilvl w:val="0"/>
                <w:numId w:val="33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BA250C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 xml:space="preserve">Inexistência de visão sistêmica do processo que possibilite identificar as necessidades por órgão, </w:t>
            </w:r>
          </w:p>
          <w:p w:rsidR="00DB0020" w:rsidRPr="00BA250C" w:rsidRDefault="00DB0020" w:rsidP="00BD4D6A">
            <w:pPr>
              <w:pStyle w:val="Paragraph"/>
              <w:numPr>
                <w:ilvl w:val="0"/>
                <w:numId w:val="33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BA250C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Alto volume de contratações de bens e serviços comuns de forma descentralizada</w:t>
            </w:r>
          </w:p>
          <w:p w:rsidR="00F556B7" w:rsidRPr="00BA250C" w:rsidRDefault="00DB0020" w:rsidP="00BD4D6A">
            <w:pPr>
              <w:pStyle w:val="Paragraph"/>
              <w:numPr>
                <w:ilvl w:val="0"/>
                <w:numId w:val="33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BA250C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Quantidade considerável de realização de compras e contratações por meio de registro de preços de outros órgãos, fora da APE.</w:t>
            </w:r>
          </w:p>
          <w:p w:rsidR="00DB0020" w:rsidRPr="009D1968" w:rsidRDefault="00DB0020" w:rsidP="00BD4D6A">
            <w:pPr>
              <w:pStyle w:val="Paragraph"/>
              <w:numPr>
                <w:ilvl w:val="0"/>
                <w:numId w:val="33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BA250C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Variação de preços em itens iguais comprados</w:t>
            </w:r>
          </w:p>
        </w:tc>
        <w:tc>
          <w:tcPr>
            <w:tcW w:w="2696" w:type="dxa"/>
            <w:shd w:val="clear" w:color="auto" w:fill="auto"/>
          </w:tcPr>
          <w:p w:rsidR="00DB0020" w:rsidRPr="00BA250C" w:rsidRDefault="00DB0020" w:rsidP="00900AE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BA250C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Solução:</w:t>
            </w:r>
          </w:p>
          <w:p w:rsidR="00DB0020" w:rsidRPr="00BA250C" w:rsidRDefault="00B163C6" w:rsidP="00BA250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Implantação do </w:t>
            </w:r>
            <w:r w:rsidR="00DB0020" w:rsidRPr="00BA250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Novo modelo de gerenciamento das compras públicas na modalidade registro de preços</w:t>
            </w:r>
            <w:r w:rsidR="00DB0020" w:rsidRPr="00BA250C">
              <w:rPr>
                <w:rFonts w:asciiTheme="minorHAnsi" w:hAnsiTheme="minorHAnsi" w:cstheme="minorHAnsi"/>
                <w:noProof/>
                <w:sz w:val="18"/>
                <w:szCs w:val="18"/>
              </w:rPr>
              <w:t>, contemplando:</w:t>
            </w:r>
          </w:p>
          <w:p w:rsidR="00DB0020" w:rsidRPr="00AD5595" w:rsidRDefault="00DB0020" w:rsidP="00BD4D6A">
            <w:pPr>
              <w:pStyle w:val="Paragraph"/>
              <w:numPr>
                <w:ilvl w:val="0"/>
                <w:numId w:val="34"/>
              </w:numPr>
              <w:spacing w:before="0" w:after="0"/>
              <w:rPr>
                <w:rFonts w:asciiTheme="minorHAnsi" w:hAnsiTheme="minorHAnsi" w:cstheme="minorHAnsi"/>
                <w:noProof/>
                <w:sz w:val="16"/>
                <w:szCs w:val="16"/>
                <w:lang w:val="pt-BR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  <w:lang w:val="pt-BR"/>
              </w:rPr>
              <w:t>Atualização das regras sobre o Sistema de Registro de Preços no âmbito da Administração Pública Estadual, estimulando a edição de novas atas integrando os órgãos da APE.</w:t>
            </w:r>
          </w:p>
          <w:p w:rsidR="00DB0020" w:rsidRPr="00AD5595" w:rsidRDefault="00DB0020" w:rsidP="00BD4D6A">
            <w:pPr>
              <w:pStyle w:val="Paragraph"/>
              <w:numPr>
                <w:ilvl w:val="0"/>
                <w:numId w:val="34"/>
              </w:numPr>
              <w:spacing w:before="0" w:after="0"/>
              <w:rPr>
                <w:rFonts w:asciiTheme="minorHAnsi" w:hAnsiTheme="minorHAnsi" w:cstheme="minorHAnsi"/>
                <w:noProof/>
                <w:sz w:val="16"/>
                <w:szCs w:val="16"/>
                <w:lang w:val="pt-BR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  <w:lang w:val="pt-BR"/>
              </w:rPr>
              <w:t>Implantação do Sistema de Gestão Administrativa – SGA.</w:t>
            </w:r>
          </w:p>
          <w:p w:rsidR="00DB0020" w:rsidRPr="00BA250C" w:rsidRDefault="00DB0020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C2C71" w:rsidRDefault="00DC2C71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</w:p>
          <w:p w:rsidR="00DB0020" w:rsidRPr="00BA250C" w:rsidRDefault="00DB0020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BA250C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 (2014):</w:t>
            </w:r>
          </w:p>
          <w:p w:rsidR="00DB0020" w:rsidRDefault="009D1968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41604">
              <w:rPr>
                <w:rFonts w:asciiTheme="minorHAnsi" w:hAnsiTheme="minorHAnsi" w:cstheme="minorHAnsi"/>
                <w:noProof/>
                <w:sz w:val="18"/>
                <w:szCs w:val="18"/>
              </w:rPr>
              <w:t>20</w:t>
            </w:r>
            <w:r w:rsidR="00DB0020" w:rsidRPr="00541604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atas de registro de preços corporativas gerenciadas pela SAD</w:t>
            </w:r>
          </w:p>
          <w:p w:rsidR="001B0628" w:rsidRPr="001B0628" w:rsidRDefault="001B0628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(</w:t>
            </w:r>
            <w:r w:rsidRPr="001B0628">
              <w:rPr>
                <w:rFonts w:asciiTheme="minorHAnsi" w:hAnsiTheme="minorHAnsi" w:cstheme="minorHAnsi"/>
                <w:noProof/>
                <w:sz w:val="18"/>
                <w:szCs w:val="18"/>
              </w:rPr>
              <w:t>Volume de recursos estimado = R$</w:t>
            </w:r>
            <w:r w:rsidRPr="001B0628">
              <w:rPr>
                <w:rFonts w:asciiTheme="minorHAnsi" w:hAnsiTheme="minorHAnsi"/>
                <w:b/>
                <w:bCs/>
                <w:sz w:val="18"/>
                <w:szCs w:val="18"/>
                <w:lang w:eastAsia="pt-BR"/>
              </w:rPr>
              <w:t>1.767.148,53)</w:t>
            </w:r>
          </w:p>
          <w:p w:rsidR="00DB0020" w:rsidRPr="00541604" w:rsidRDefault="00DC2C71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541604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</w:t>
            </w:r>
            <w:r w:rsidR="00DB0020" w:rsidRPr="00541604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esultados (2014):</w:t>
            </w:r>
          </w:p>
          <w:p w:rsidR="00DB0020" w:rsidRPr="003A5620" w:rsidRDefault="009D1968" w:rsidP="009D1968">
            <w:pPr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41604">
              <w:rPr>
                <w:rFonts w:asciiTheme="minorHAnsi" w:hAnsiTheme="minorHAnsi" w:cstheme="minorHAnsi"/>
                <w:noProof/>
                <w:sz w:val="18"/>
                <w:szCs w:val="18"/>
              </w:rPr>
              <w:t>Redução do Coeficiente de variação do preço praticado em itens iguais adquiridos pelo estado para o máximo 15%.</w:t>
            </w:r>
          </w:p>
        </w:tc>
        <w:tc>
          <w:tcPr>
            <w:tcW w:w="5386" w:type="dxa"/>
            <w:shd w:val="clear" w:color="auto" w:fill="auto"/>
          </w:tcPr>
          <w:p w:rsidR="00DB0020" w:rsidRPr="003959D6" w:rsidRDefault="00DB0020" w:rsidP="00900AEB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1ª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Regulamentação do novo modelo de gerenciamento das compras públicas na modalidade registro de preços.</w:t>
            </w:r>
          </w:p>
          <w:p w:rsidR="00DB0020" w:rsidRPr="003959D6" w:rsidRDefault="00DB0020" w:rsidP="003959D6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Meio de verificação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: </w:t>
            </w:r>
          </w:p>
          <w:p w:rsidR="00DB0020" w:rsidRDefault="00DB0020" w:rsidP="00900AEB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Decreto do Poder Executivo Estadual</w:t>
            </w:r>
            <w:r w:rsidR="00A2673D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alterando as regras sobre o sistema</w:t>
            </w:r>
            <w:r w:rsidR="00F633F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de registro de preço,</w:t>
            </w:r>
            <w:r w:rsidR="00B163C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institu</w:t>
            </w:r>
            <w:r w:rsidR="00F633FA">
              <w:rPr>
                <w:rFonts w:asciiTheme="minorHAnsi" w:hAnsiTheme="minorHAnsi" w:cstheme="minorHAnsi"/>
                <w:noProof/>
                <w:sz w:val="18"/>
                <w:szCs w:val="18"/>
              </w:rPr>
              <w:t>ído pelo</w:t>
            </w:r>
            <w:r w:rsidR="00B163C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B163C6" w:rsidRPr="00035C61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Decreto </w:t>
            </w:r>
            <w:r w:rsidR="00035C61" w:rsidRPr="00035C61">
              <w:rPr>
                <w:rFonts w:asciiTheme="minorHAnsi" w:hAnsiTheme="minorHAnsi" w:cstheme="minorHAnsi"/>
                <w:noProof/>
                <w:sz w:val="18"/>
                <w:szCs w:val="18"/>
              </w:rPr>
              <w:t>Estadual 34.314/2009</w:t>
            </w:r>
            <w:r w:rsidRPr="00035C61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3959D6" w:rsidRPr="003959D6" w:rsidRDefault="003959D6" w:rsidP="00900AEB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3959D6" w:rsidRDefault="00DB0020" w:rsidP="003C032C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Operacionalização do novo modelo de gerenciamento das compras públicas na modalidade registro de preços.</w:t>
            </w:r>
          </w:p>
          <w:p w:rsidR="00DB0020" w:rsidRPr="003959D6" w:rsidRDefault="00DB0020" w:rsidP="003959D6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B0020" w:rsidRPr="00694862" w:rsidRDefault="00DB0020" w:rsidP="00F633FA">
            <w:pPr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Relatório d</w:t>
            </w:r>
            <w:r w:rsidR="00F633FA">
              <w:rPr>
                <w:rFonts w:asciiTheme="minorHAnsi" w:hAnsiTheme="minorHAnsi" w:cstheme="minorHAnsi"/>
                <w:noProof/>
                <w:sz w:val="18"/>
                <w:szCs w:val="18"/>
              </w:rPr>
              <w:t>o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SGA</w:t>
            </w:r>
            <w:r w:rsidR="00F633FA">
              <w:rPr>
                <w:rFonts w:asciiTheme="minorHAnsi" w:hAnsiTheme="minorHAnsi" w:cstheme="minorHAnsi"/>
                <w:noProof/>
                <w:sz w:val="18"/>
                <w:szCs w:val="18"/>
              </w:rPr>
              <w:t>, emitido pela SAD,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demonstrando a utilização da </w:t>
            </w:r>
            <w:r w:rsidR="00F633F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nova sistemática </w:t>
            </w:r>
            <w:r w:rsidR="00532DA6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de registo de preços</w:t>
            </w:r>
          </w:p>
        </w:tc>
      </w:tr>
      <w:tr w:rsidR="00DB0020" w:rsidRPr="00694862" w:rsidTr="00D67F35">
        <w:trPr>
          <w:trHeight w:val="1908"/>
        </w:trPr>
        <w:tc>
          <w:tcPr>
            <w:tcW w:w="3685" w:type="dxa"/>
            <w:shd w:val="clear" w:color="auto" w:fill="auto"/>
          </w:tcPr>
          <w:p w:rsidR="00DB0020" w:rsidRPr="00DC2C71" w:rsidRDefault="00DB0020" w:rsidP="00900AEB">
            <w:pPr>
              <w:pStyle w:val="BodyText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Problema:</w:t>
            </w:r>
          </w:p>
          <w:p w:rsidR="00DB0020" w:rsidRPr="00DC2C71" w:rsidRDefault="00DB0020" w:rsidP="000A062C">
            <w:pPr>
              <w:pStyle w:val="BodyTex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(XI) </w:t>
            </w:r>
            <w:r w:rsidRPr="00DC2C71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Deficiências do planejamento e das rotinas operacionais das atividades de compras, licitações e patrimônio da APE</w:t>
            </w:r>
            <w:r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DB0020" w:rsidRPr="00DC2C71" w:rsidRDefault="00DC2C71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Linha de base</w:t>
            </w:r>
            <w:r w:rsidR="00DB0020" w:rsidRPr="00DC2C71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DB0020" w:rsidRPr="00DC2C71" w:rsidRDefault="00DB0020" w:rsidP="000A062C">
            <w:pPr>
              <w:spacing w:after="6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 (2012)</w:t>
            </w:r>
          </w:p>
          <w:p w:rsidR="00DB0020" w:rsidRPr="00DC2C71" w:rsidRDefault="00DB0020" w:rsidP="000A062C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0 órgãos utilizam sisitema corporativo para </w:t>
            </w:r>
            <w:r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gerenciamento de compras, licitações e patrimônio</w:t>
            </w:r>
          </w:p>
          <w:p w:rsidR="00DB0020" w:rsidRPr="00DC2C71" w:rsidRDefault="00DB0020" w:rsidP="000A062C">
            <w:pPr>
              <w:spacing w:after="6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 (2012):</w:t>
            </w:r>
          </w:p>
          <w:p w:rsidR="00DB0020" w:rsidRPr="008B5DDB" w:rsidRDefault="00D67F35" w:rsidP="000A062C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>105</w:t>
            </w:r>
            <w:r w:rsidR="00DB0020"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>pregões de bens e serviços  realizados pela</w:t>
            </w:r>
            <w:r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>s Comissões de Licitação Centrais da</w:t>
            </w:r>
            <w:r w:rsidR="00DB0020"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>SAD</w:t>
            </w:r>
          </w:p>
          <w:p w:rsidR="00DB0020" w:rsidRPr="008B5DDB" w:rsidRDefault="00DB0020" w:rsidP="000A062C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FA7CFB" w:rsidRDefault="00541604" w:rsidP="00FA7CFB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</w:pPr>
            <w:r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Vide</w:t>
            </w:r>
            <w:r w:rsidR="00DB0020"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 Nota Técnica </w:t>
            </w:r>
            <w:r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>SAD 2 – Sistema de compras e patrimônio</w:t>
            </w:r>
            <w:r w:rsidR="001B0628" w:rsidRPr="005F303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/>
              </w:rPr>
              <w:t xml:space="preserve"> vf04Mar2013</w:t>
            </w:r>
          </w:p>
        </w:tc>
        <w:tc>
          <w:tcPr>
            <w:tcW w:w="2976" w:type="dxa"/>
            <w:shd w:val="clear" w:color="auto" w:fill="auto"/>
          </w:tcPr>
          <w:p w:rsidR="00DB0020" w:rsidRPr="00DC2C71" w:rsidRDefault="00DB0020" w:rsidP="00BD4D6A">
            <w:pPr>
              <w:pStyle w:val="ListParagraph"/>
              <w:numPr>
                <w:ilvl w:val="0"/>
                <w:numId w:val="12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Inexistência de um sistema informatizado que simplifique e garanta a padronização dos processos;</w:t>
            </w:r>
          </w:p>
          <w:p w:rsidR="00DB0020" w:rsidRPr="00DC2C71" w:rsidRDefault="00DB0020" w:rsidP="00BD4D6A">
            <w:pPr>
              <w:numPr>
                <w:ilvl w:val="0"/>
                <w:numId w:val="12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t>Falta de regulamentação que torne obrigatória a uniformidade na aquisição e no controle patrimonial;</w:t>
            </w:r>
          </w:p>
          <w:p w:rsidR="00DB0020" w:rsidRPr="00DC2C71" w:rsidRDefault="00DB0020" w:rsidP="00BD4D6A">
            <w:pPr>
              <w:numPr>
                <w:ilvl w:val="0"/>
                <w:numId w:val="12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Falta de uniformidade, entre os órgãos do Estado, nos processos de aquisição  e controle patrimonial</w:t>
            </w:r>
          </w:p>
          <w:p w:rsidR="00DB0020" w:rsidRPr="00DC2C71" w:rsidRDefault="00DB0020" w:rsidP="00BD4D6A">
            <w:pPr>
              <w:numPr>
                <w:ilvl w:val="0"/>
                <w:numId w:val="12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t>Ineficiência no controle/acompanhamento  dos  processos de compras e licitações do Estado</w:t>
            </w:r>
          </w:p>
          <w:p w:rsidR="00DB0020" w:rsidRPr="00DC2C71" w:rsidRDefault="00DB0020" w:rsidP="00900AEB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DC2C71" w:rsidRDefault="00DB0020" w:rsidP="00900AEB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DC2C71" w:rsidRDefault="00DB0020" w:rsidP="00900AEB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</w:tc>
        <w:tc>
          <w:tcPr>
            <w:tcW w:w="2696" w:type="dxa"/>
            <w:shd w:val="clear" w:color="auto" w:fill="auto"/>
          </w:tcPr>
          <w:p w:rsidR="00CF09F7" w:rsidRPr="00DC2C71" w:rsidRDefault="00CF09F7" w:rsidP="00CF09F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Solução:</w:t>
            </w:r>
          </w:p>
          <w:p w:rsidR="00DB0020" w:rsidRPr="00DC2C71" w:rsidRDefault="00A2673D" w:rsidP="00DC2C71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Implantação do </w:t>
            </w:r>
            <w:r w:rsidR="00DB0020" w:rsidRPr="00DC2C71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Novo modelo de gerenciamento  das compras públicas</w:t>
            </w:r>
            <w:r w:rsidR="00DB0020"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t>, contemplando:</w:t>
            </w:r>
          </w:p>
          <w:p w:rsidR="00DB0020" w:rsidRPr="00AD5595" w:rsidRDefault="00DB0020" w:rsidP="00BD4D6A">
            <w:pPr>
              <w:pStyle w:val="BodyText"/>
              <w:numPr>
                <w:ilvl w:val="0"/>
                <w:numId w:val="35"/>
              </w:numPr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Consolidação das demandas em um plano anual de compras</w:t>
            </w:r>
            <w:r w:rsidR="00A2673D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</w:p>
          <w:p w:rsidR="00DB0020" w:rsidRPr="00AD5595" w:rsidRDefault="00DB0020" w:rsidP="00BD4D6A">
            <w:pPr>
              <w:pStyle w:val="BodyText"/>
              <w:numPr>
                <w:ilvl w:val="0"/>
                <w:numId w:val="35"/>
              </w:numPr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>Implantação de sistema corporativo integrado - SGA;</w:t>
            </w:r>
          </w:p>
          <w:p w:rsidR="00DB0020" w:rsidRPr="00AD5595" w:rsidRDefault="00DB0020" w:rsidP="00BD4D6A">
            <w:pPr>
              <w:pStyle w:val="BodyText"/>
              <w:numPr>
                <w:ilvl w:val="0"/>
                <w:numId w:val="35"/>
              </w:numPr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Decreto que institui a </w:t>
            </w:r>
            <w:r w:rsidRPr="00AD5595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obrigatoriedade da utilização do SGA publicado;</w:t>
            </w:r>
          </w:p>
          <w:p w:rsidR="00DB0020" w:rsidRPr="00DC2C71" w:rsidRDefault="00DB0020" w:rsidP="000A062C">
            <w:pPr>
              <w:pStyle w:val="BodyText"/>
              <w:spacing w:after="0"/>
              <w:ind w:left="3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C2C71" w:rsidRDefault="00DB0020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</w:p>
          <w:p w:rsidR="00DB0020" w:rsidRPr="00DC2C71" w:rsidRDefault="00DC2C71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</w:t>
            </w:r>
            <w:r w:rsidR="00DB0020" w:rsidRPr="00DC2C71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roduto</w:t>
            </w: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</w:t>
            </w:r>
            <w:r w:rsidRPr="00DC2C71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2014)</w:t>
            </w:r>
            <w:r w:rsidR="00DB0020" w:rsidRPr="00DC2C71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DB0020" w:rsidRPr="008B5DDB" w:rsidRDefault="00D67F35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>10</w:t>
            </w:r>
            <w:r w:rsidR="00DB0020"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órgãos e entidades do Poder Executivo Estadual utilizando o sistema nas funcões de compras, licitações e patrimônio</w:t>
            </w:r>
            <w:r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>(SEFAZ, SAD, SES, SEE, SDS, SEPLAG, SERES, CCIVIL, FUNDARPE e IPA).</w:t>
            </w:r>
          </w:p>
          <w:p w:rsidR="00DB0020" w:rsidRPr="008B5DDB" w:rsidRDefault="00DB0020" w:rsidP="000A062C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8B5D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Resultado (2014):</w:t>
            </w:r>
          </w:p>
          <w:p w:rsidR="00DB0020" w:rsidRPr="00DC2C71" w:rsidRDefault="00DB0020" w:rsidP="008B5DD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Aumento do número de pregões </w:t>
            </w:r>
            <w:r w:rsidR="00D67F35"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>de bens e serviços</w:t>
            </w:r>
            <w:r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>realizados pela SAD</w:t>
            </w:r>
            <w:r w:rsidR="00D67F35"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para 150</w:t>
            </w:r>
            <w:r w:rsidRPr="008B5DDB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</w:tc>
        <w:tc>
          <w:tcPr>
            <w:tcW w:w="5386" w:type="dxa"/>
            <w:shd w:val="clear" w:color="auto" w:fill="auto"/>
          </w:tcPr>
          <w:p w:rsidR="00DB0020" w:rsidRPr="003959D6" w:rsidRDefault="00DB0020" w:rsidP="00F45210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 xml:space="preserve">1ª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Instituição do Plano Anual de Compras para os itens designados, nos termos do </w:t>
            </w:r>
            <w:r w:rsidR="00DE13AD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A</w:t>
            </w:r>
            <w:r w:rsidR="00D524E5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nexo </w:t>
            </w:r>
            <w:r w:rsidR="00DE13AD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1 </w:t>
            </w:r>
            <w:r w:rsidR="00D524E5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do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Decreto nº 38.493, de 06 de agosto de 2012.</w:t>
            </w:r>
          </w:p>
          <w:p w:rsidR="00DB0020" w:rsidRPr="003959D6" w:rsidRDefault="00DB0020" w:rsidP="003959D6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B0020" w:rsidRPr="003959D6" w:rsidRDefault="00D67F35" w:rsidP="00F45210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da SAD</w:t>
            </w:r>
            <w:r w:rsidR="00A2673D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</w:t>
            </w:r>
            <w:r w:rsidR="00A2673D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aprovando o Plano Anual de Compras para os itens designados</w:t>
            </w:r>
            <w:r w:rsidR="00A2673D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EB1C0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no </w:t>
            </w:r>
            <w:r w:rsidR="00A2673D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Anexo 1 do Decreto nº 38.493</w:t>
            </w:r>
            <w:r w:rsidR="008256D4">
              <w:rPr>
                <w:rFonts w:asciiTheme="minorHAnsi" w:hAnsiTheme="minorHAnsi" w:cstheme="minorHAnsi"/>
                <w:noProof/>
                <w:sz w:val="18"/>
                <w:szCs w:val="18"/>
              </w:rPr>
              <w:t>/2009</w:t>
            </w:r>
            <w:r w:rsidR="00DC2C71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DB0020" w:rsidRPr="003959D6" w:rsidRDefault="00DB0020" w:rsidP="00F45210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3959D6" w:rsidRDefault="00DB0020" w:rsidP="00F45210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Instituição da obrigatoriedade de utilização do sistema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integrado de gestão de compras, licitações e patrimônio da APE.</w:t>
            </w:r>
          </w:p>
          <w:p w:rsidR="00DB0020" w:rsidRPr="003959D6" w:rsidRDefault="00DB0020" w:rsidP="003959D6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B0020" w:rsidRPr="00694862" w:rsidRDefault="00DB0020" w:rsidP="003959D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Decreto do Poder Executivo Estadual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instituindo a obrigatoriedade de utilização do sistema integrado de compras públicas</w:t>
            </w:r>
            <w:r w:rsidRPr="00694862">
              <w:rPr>
                <w:rFonts w:asciiTheme="minorHAnsi" w:hAnsiTheme="minorHAnsi" w:cstheme="minorHAnsi"/>
                <w:noProof/>
                <w:sz w:val="16"/>
                <w:szCs w:val="18"/>
              </w:rPr>
              <w:t>.</w:t>
            </w:r>
          </w:p>
          <w:p w:rsidR="00DB0020" w:rsidRPr="00694862" w:rsidRDefault="00DB0020" w:rsidP="00F45210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</w:p>
        </w:tc>
      </w:tr>
      <w:tr w:rsidR="00DB0020" w:rsidRPr="00694862" w:rsidTr="003B65CE">
        <w:tc>
          <w:tcPr>
            <w:tcW w:w="3685" w:type="dxa"/>
            <w:shd w:val="clear" w:color="auto" w:fill="auto"/>
          </w:tcPr>
          <w:p w:rsidR="00DB0020" w:rsidRPr="00DC2C71" w:rsidRDefault="00DB0020" w:rsidP="00900AEB">
            <w:pPr>
              <w:pStyle w:val="BodyTex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Problema: </w:t>
            </w:r>
          </w:p>
          <w:p w:rsidR="00DB0020" w:rsidRPr="00DC2C71" w:rsidRDefault="00DB0020" w:rsidP="00900AEB">
            <w:pPr>
              <w:pStyle w:val="BodyTex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sz w:val="18"/>
                <w:szCs w:val="18"/>
              </w:rPr>
              <w:t xml:space="preserve">(XII) </w:t>
            </w:r>
            <w:r w:rsidRPr="00DC2C71">
              <w:rPr>
                <w:rFonts w:asciiTheme="minorHAnsi" w:hAnsiTheme="minorHAnsi" w:cstheme="minorHAnsi"/>
                <w:b/>
                <w:sz w:val="18"/>
                <w:szCs w:val="18"/>
              </w:rPr>
              <w:t>Ocorrência de pagamentos indevidos, seja por restrição legal ou pela acumulação ilegal de cargos, empregos e funções</w:t>
            </w:r>
            <w:r w:rsidRPr="00DC2C7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DB0020" w:rsidRPr="00DC2C71" w:rsidRDefault="00DC2C71" w:rsidP="00900AEB">
            <w:pPr>
              <w:pStyle w:val="Normal1"/>
              <w:jc w:val="both"/>
              <w:rPr>
                <w:rFonts w:asciiTheme="minorHAnsi" w:eastAsia="Calibri" w:hAnsiTheme="minorHAnsi" w:cstheme="minorHAnsi"/>
                <w:color w:val="0070C0"/>
                <w:sz w:val="18"/>
                <w:szCs w:val="18"/>
              </w:rPr>
            </w:pPr>
            <w:r w:rsidRPr="00DC2C71"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  <w:t>Linha de base</w:t>
            </w:r>
          </w:p>
          <w:p w:rsidR="00DB0020" w:rsidRPr="00DC2C71" w:rsidRDefault="00DC2C71" w:rsidP="00E339B8">
            <w:pPr>
              <w:pStyle w:val="Normal11"/>
              <w:jc w:val="both"/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  <w:t>P</w:t>
            </w:r>
            <w:r w:rsidR="00DB0020" w:rsidRPr="00DC2C71"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  <w:t>roduto / (2012):</w:t>
            </w:r>
          </w:p>
          <w:p w:rsidR="00EE506D" w:rsidRPr="00DC2C71" w:rsidRDefault="00EE506D" w:rsidP="00EE506D">
            <w:pPr>
              <w:pStyle w:val="Normal11"/>
              <w:jc w:val="both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</w:pPr>
            <w:r w:rsidRPr="00DC2C71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0 (zero) convênio firmado </w:t>
            </w:r>
            <w:r w:rsidRPr="00DC2C71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com órgãos federais, municipais e de outros governos estaduais e outros poderes </w:t>
            </w:r>
            <w:r w:rsidRPr="00DC2C71">
              <w:rPr>
                <w:rFonts w:asciiTheme="minorHAnsi" w:eastAsia="Calibri" w:hAnsiTheme="minorHAnsi" w:cstheme="minorHAnsi"/>
                <w:sz w:val="18"/>
                <w:szCs w:val="18"/>
              </w:rPr>
              <w:t>(MTE, TCU, TCE, RFB, Estados e Prefeituras.</w:t>
            </w:r>
          </w:p>
          <w:p w:rsidR="00EE506D" w:rsidRPr="00DC2C71" w:rsidRDefault="00EE506D" w:rsidP="00EE506D">
            <w:pPr>
              <w:pStyle w:val="Normal11"/>
              <w:jc w:val="both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</w:pPr>
            <w:r w:rsidRPr="00DC2C71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>Resultados (2012)</w:t>
            </w:r>
          </w:p>
          <w:p w:rsidR="00EE506D" w:rsidRPr="00DC2C71" w:rsidRDefault="00AD5595" w:rsidP="00EE506D">
            <w:pPr>
              <w:pStyle w:val="Normal11"/>
              <w:jc w:val="both"/>
              <w:rPr>
                <w:rFonts w:asciiTheme="minorHAnsi" w:eastAsia="Calibri" w:hAnsiTheme="minorHAnsi" w:cstheme="minorHAnsi"/>
                <w:color w:val="0070C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Volume de recursos envolvidos na r</w:t>
            </w:r>
            <w:r w:rsidR="00EE506D" w:rsidRPr="00DC2C71">
              <w:rPr>
                <w:rFonts w:asciiTheme="minorHAnsi" w:eastAsia="Calibri" w:hAnsiTheme="minorHAnsi" w:cstheme="minorHAnsi"/>
                <w:sz w:val="18"/>
                <w:szCs w:val="18"/>
              </w:rPr>
              <w:t>edução de R$ 9,4 milhões de despesas com pessoal em decorrência da identificação de 200 casos de acumulação ilegal de cargos, empregos e funções, além de outros pagamentos indevidos.</w:t>
            </w:r>
          </w:p>
          <w:p w:rsidR="00EE506D" w:rsidRPr="00DC2C71" w:rsidRDefault="00EE506D" w:rsidP="00EE506D">
            <w:pPr>
              <w:pStyle w:val="Normal11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EE506D" w:rsidRPr="00DC2C71" w:rsidRDefault="00EE506D" w:rsidP="00EE506D">
            <w:pPr>
              <w:pStyle w:val="Normal1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E506D" w:rsidRPr="00541604" w:rsidRDefault="00EE506D" w:rsidP="00EE506D">
            <w:pPr>
              <w:pStyle w:val="Normal11"/>
              <w:rPr>
                <w:rFonts w:asciiTheme="minorHAnsi" w:hAnsiTheme="minorHAnsi" w:cstheme="minorHAnsi"/>
                <w:sz w:val="18"/>
                <w:szCs w:val="18"/>
              </w:rPr>
            </w:pPr>
            <w:r w:rsidRPr="005F303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Vide Nota Técnica (financeira)</w:t>
            </w:r>
            <w:r w:rsidR="00541604" w:rsidRPr="005F303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SAD 3 - </w:t>
            </w:r>
            <w:r w:rsidR="00541604" w:rsidRPr="005F3030">
              <w:rPr>
                <w:rFonts w:asciiTheme="minorHAnsi" w:hAnsiTheme="minorHAnsi" w:cstheme="minorHAnsi"/>
                <w:b/>
                <w:sz w:val="18"/>
                <w:szCs w:val="18"/>
              </w:rPr>
              <w:t>pagamentos indevidos</w:t>
            </w:r>
            <w:r w:rsidR="007B50FF" w:rsidRPr="005F30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vf04Mar2013</w:t>
            </w:r>
          </w:p>
          <w:p w:rsidR="0022500B" w:rsidRPr="00B90FF7" w:rsidRDefault="0022500B" w:rsidP="00900AEB">
            <w:pPr>
              <w:pStyle w:val="BodyTex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76412C" w:rsidRDefault="00B90FF7" w:rsidP="00B90FF7">
            <w:pPr>
              <w:pStyle w:val="BodyText"/>
              <w:rPr>
                <w:rFonts w:asciiTheme="minorHAnsi" w:hAnsiTheme="minorHAnsi" w:cstheme="minorHAnsi"/>
                <w:sz w:val="18"/>
                <w:szCs w:val="18"/>
              </w:rPr>
            </w:pPr>
            <w:r w:rsidRPr="00FA761F">
              <w:rPr>
                <w:rFonts w:asciiTheme="minorHAnsi" w:hAnsiTheme="minorHAnsi" w:cstheme="minorHAnsi"/>
                <w:b/>
                <w:sz w:val="18"/>
                <w:szCs w:val="18"/>
              </w:rPr>
              <w:t>Evidência</w:t>
            </w:r>
            <w:r w:rsidRPr="00B90FF7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:rsidR="0076412C" w:rsidRPr="0000152B" w:rsidRDefault="0076412C" w:rsidP="005A75BD">
            <w:pPr>
              <w:pStyle w:val="BodyText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00152B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Em 2012 a folha de pagamento, com cerca de 222,5 mil servidores, entre ativos e inativos, custou ao Estado R$7.054 milhões para o Poder Executivo Estadual</w:t>
            </w:r>
          </w:p>
        </w:tc>
        <w:tc>
          <w:tcPr>
            <w:tcW w:w="2976" w:type="dxa"/>
            <w:shd w:val="clear" w:color="auto" w:fill="auto"/>
          </w:tcPr>
          <w:p w:rsidR="00DB0020" w:rsidRPr="00DC2C71" w:rsidRDefault="00DB0020" w:rsidP="00BD4D6A">
            <w:pPr>
              <w:pStyle w:val="Normal1"/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lastRenderedPageBreak/>
              <w:t>Ausência de rotinas de controle preventivo e sistematizado sobre as despesas com pessoal no Poder Executivo Estadual;</w:t>
            </w:r>
          </w:p>
          <w:p w:rsidR="00DB0020" w:rsidRPr="00DC2C71" w:rsidRDefault="00DB0020" w:rsidP="00BD4D6A">
            <w:pPr>
              <w:pStyle w:val="Normal1"/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Ausência de uma instância técnica revisora das implantações de verbas, reajustes e enquadramentos, dificultam a detecção e correção tempestiva de inconformidades com a legislação de pessoal;</w:t>
            </w:r>
          </w:p>
          <w:p w:rsidR="00DB0020" w:rsidRPr="00DC2C71" w:rsidRDefault="00DB0020" w:rsidP="00BD4D6A">
            <w:pPr>
              <w:pStyle w:val="Normal1"/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 xml:space="preserve">Deficiência de capacitação estruturada e avaliação periódica que garantam o desenvolvimento, atualização e certificação dos gestores e operadores de folha de </w:t>
            </w: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lastRenderedPageBreak/>
              <w:t>pagamento;</w:t>
            </w:r>
          </w:p>
          <w:p w:rsidR="00DB0020" w:rsidRPr="00DC2C71" w:rsidRDefault="00DB0020" w:rsidP="00BD4D6A">
            <w:pPr>
              <w:pStyle w:val="Normal1"/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22500B">
              <w:rPr>
                <w:rFonts w:asciiTheme="minorHAnsi" w:eastAsia="Times New Roman" w:hAnsiTheme="minorHAnsi" w:cstheme="minorHAnsi"/>
                <w:b/>
                <w:noProof/>
                <w:color w:val="auto"/>
                <w:sz w:val="18"/>
                <w:szCs w:val="18"/>
                <w:lang w:eastAsia="zh-CN"/>
              </w:rPr>
              <w:t>Precária articulação do Poder Executivo Estadual com órgãos de outras esferas de governo e/ou poderes que possibilite o cruzamento de informações de pessoal, evitando-se despesas indevidas, dentre outras, com</w:t>
            </w: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:</w:t>
            </w:r>
          </w:p>
          <w:p w:rsidR="00DB0020" w:rsidRPr="00DC2C71" w:rsidRDefault="00DB0020" w:rsidP="00BD4D6A">
            <w:pPr>
              <w:pStyle w:val="Normal1"/>
              <w:numPr>
                <w:ilvl w:val="1"/>
                <w:numId w:val="37"/>
              </w:numPr>
              <w:ind w:left="720"/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Acúmulo ilegal de cargos, empregos e funções;</w:t>
            </w:r>
          </w:p>
          <w:p w:rsidR="00DB0020" w:rsidRPr="00DC2C71" w:rsidRDefault="00DB0020" w:rsidP="00BD4D6A">
            <w:pPr>
              <w:pStyle w:val="Normal1"/>
              <w:numPr>
                <w:ilvl w:val="1"/>
                <w:numId w:val="37"/>
              </w:numPr>
              <w:ind w:left="720"/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Recolhimentos irregulares de INSS;</w:t>
            </w:r>
          </w:p>
          <w:p w:rsidR="00DB0020" w:rsidRPr="00DC2C71" w:rsidRDefault="00DB0020" w:rsidP="00AD5595">
            <w:pPr>
              <w:pStyle w:val="ListParagraph"/>
              <w:spacing w:after="60"/>
              <w:ind w:left="3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DC2C71">
              <w:rPr>
                <w:rFonts w:asciiTheme="minorHAnsi" w:hAnsiTheme="minorHAnsi" w:cstheme="minorHAnsi"/>
                <w:noProof/>
                <w:sz w:val="18"/>
                <w:szCs w:val="18"/>
              </w:rPr>
              <w:t>c) Pagamentos acima do teto remuneratório constitucional.</w:t>
            </w:r>
          </w:p>
        </w:tc>
        <w:tc>
          <w:tcPr>
            <w:tcW w:w="2696" w:type="dxa"/>
            <w:shd w:val="clear" w:color="auto" w:fill="auto"/>
          </w:tcPr>
          <w:p w:rsidR="00DB0020" w:rsidRPr="00DC2C71" w:rsidRDefault="00DB0020" w:rsidP="00900AEB">
            <w:pPr>
              <w:pStyle w:val="Normal1"/>
              <w:jc w:val="both"/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  <w:lastRenderedPageBreak/>
              <w:t>Solução:</w:t>
            </w:r>
          </w:p>
          <w:p w:rsidR="00DB0020" w:rsidRPr="00DC2C71" w:rsidRDefault="00DB0020" w:rsidP="00DC2C71">
            <w:pPr>
              <w:pStyle w:val="Normal11"/>
              <w:jc w:val="both"/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b/>
                <w:noProof/>
                <w:color w:val="auto"/>
                <w:sz w:val="18"/>
                <w:szCs w:val="18"/>
                <w:lang w:eastAsia="zh-CN"/>
              </w:rPr>
              <w:t>Implementar política de acompanhamento permanente (concomitante e a posteriori) da Folha de Pagamento de Pessoal do Poder Executivo Estadual</w:t>
            </w: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 xml:space="preserve"> como forma de identificar implantações de cadastros, verbas, reajustes e enquadramentos em dissonância com a legislação vigente, possibilitando uma atuação da Secretaria de Administração junto aos demais órgãos para uma imediata correção do erro.</w:t>
            </w:r>
          </w:p>
          <w:p w:rsidR="00DB0020" w:rsidRPr="00AD5595" w:rsidRDefault="00DB0020" w:rsidP="00BD4D6A">
            <w:pPr>
              <w:pStyle w:val="Normal11"/>
              <w:numPr>
                <w:ilvl w:val="0"/>
                <w:numId w:val="36"/>
              </w:numPr>
              <w:rPr>
                <w:rFonts w:asciiTheme="minorHAnsi" w:eastAsia="Times New Roman" w:hAnsiTheme="minorHAnsi" w:cstheme="minorHAnsi"/>
                <w:noProof/>
                <w:color w:val="auto"/>
                <w:sz w:val="16"/>
                <w:szCs w:val="16"/>
                <w:lang w:eastAsia="zh-CN"/>
              </w:rPr>
            </w:pPr>
            <w:r w:rsidRPr="00AD5595">
              <w:rPr>
                <w:rFonts w:asciiTheme="minorHAnsi" w:eastAsia="Times New Roman" w:hAnsiTheme="minorHAnsi" w:cstheme="minorHAnsi"/>
                <w:noProof/>
                <w:color w:val="auto"/>
                <w:sz w:val="16"/>
                <w:szCs w:val="16"/>
                <w:lang w:eastAsia="zh-CN"/>
              </w:rPr>
              <w:t xml:space="preserve">Criar um núcleo de inteligência para o acompanhamento permanente da folha de </w:t>
            </w:r>
            <w:r w:rsidRPr="00AD5595">
              <w:rPr>
                <w:rFonts w:asciiTheme="minorHAnsi" w:eastAsia="Times New Roman" w:hAnsiTheme="minorHAnsi" w:cstheme="minorHAnsi"/>
                <w:noProof/>
                <w:color w:val="auto"/>
                <w:sz w:val="16"/>
                <w:szCs w:val="16"/>
                <w:lang w:eastAsia="zh-CN"/>
              </w:rPr>
              <w:lastRenderedPageBreak/>
              <w:t>pagamento de pessoal do Poder Executivo Estadual;</w:t>
            </w:r>
          </w:p>
          <w:p w:rsidR="00DB0020" w:rsidRPr="00AD5595" w:rsidRDefault="00DB0020" w:rsidP="00BD4D6A">
            <w:pPr>
              <w:pStyle w:val="Normal11"/>
              <w:numPr>
                <w:ilvl w:val="0"/>
                <w:numId w:val="36"/>
              </w:numPr>
              <w:rPr>
                <w:rFonts w:asciiTheme="minorHAnsi" w:eastAsia="Times New Roman" w:hAnsiTheme="minorHAnsi" w:cstheme="minorHAnsi"/>
                <w:noProof/>
                <w:color w:val="auto"/>
                <w:sz w:val="16"/>
                <w:szCs w:val="16"/>
                <w:lang w:eastAsia="zh-CN"/>
              </w:rPr>
            </w:pPr>
            <w:r w:rsidRPr="00AD5595">
              <w:rPr>
                <w:rFonts w:asciiTheme="minorHAnsi" w:eastAsia="Times New Roman" w:hAnsiTheme="minorHAnsi" w:cstheme="minorHAnsi"/>
                <w:noProof/>
                <w:color w:val="auto"/>
                <w:sz w:val="16"/>
                <w:szCs w:val="16"/>
                <w:lang w:eastAsia="zh-CN"/>
              </w:rPr>
              <w:t>Criar grade de cursos nas escolas de governo específica para capacitar e reciclar gestores e operadores de folha de pagamento;</w:t>
            </w:r>
          </w:p>
          <w:p w:rsidR="00DB0020" w:rsidRPr="00AD5595" w:rsidRDefault="00DB0020" w:rsidP="00BD4D6A">
            <w:pPr>
              <w:pStyle w:val="Normal11"/>
              <w:numPr>
                <w:ilvl w:val="0"/>
                <w:numId w:val="36"/>
              </w:numPr>
              <w:rPr>
                <w:rFonts w:asciiTheme="minorHAnsi" w:eastAsia="Times New Roman" w:hAnsiTheme="minorHAnsi" w:cstheme="minorHAnsi"/>
                <w:noProof/>
                <w:color w:val="auto"/>
                <w:sz w:val="16"/>
                <w:szCs w:val="16"/>
                <w:lang w:eastAsia="zh-CN"/>
              </w:rPr>
            </w:pPr>
            <w:r w:rsidRPr="00AD5595">
              <w:rPr>
                <w:rFonts w:asciiTheme="minorHAnsi" w:eastAsia="Times New Roman" w:hAnsiTheme="minorHAnsi" w:cstheme="minorHAnsi"/>
                <w:noProof/>
                <w:color w:val="auto"/>
                <w:sz w:val="16"/>
                <w:szCs w:val="16"/>
                <w:lang w:eastAsia="zh-CN"/>
              </w:rPr>
              <w:t>Criar política de certificação para gestores e operadores de folha de pagamento como requisito para atuação na função;</w:t>
            </w:r>
          </w:p>
          <w:p w:rsidR="00DB0020" w:rsidRPr="00AD5595" w:rsidRDefault="00DB0020" w:rsidP="00BD4D6A">
            <w:pPr>
              <w:pStyle w:val="Normal11"/>
              <w:numPr>
                <w:ilvl w:val="0"/>
                <w:numId w:val="36"/>
              </w:numPr>
              <w:rPr>
                <w:rFonts w:asciiTheme="minorHAnsi" w:eastAsia="Times New Roman" w:hAnsiTheme="minorHAnsi" w:cstheme="minorHAnsi"/>
                <w:noProof/>
                <w:color w:val="auto"/>
                <w:sz w:val="16"/>
                <w:szCs w:val="16"/>
                <w:lang w:eastAsia="zh-CN"/>
              </w:rPr>
            </w:pPr>
            <w:r w:rsidRPr="00AD5595">
              <w:rPr>
                <w:rFonts w:asciiTheme="minorHAnsi" w:eastAsia="Times New Roman" w:hAnsiTheme="minorHAnsi" w:cstheme="minorHAnsi"/>
                <w:noProof/>
                <w:color w:val="auto"/>
                <w:sz w:val="16"/>
                <w:szCs w:val="16"/>
                <w:lang w:eastAsia="zh-CN"/>
              </w:rPr>
              <w:t>Firmar convênios com órgãos federais, municipais e de outros governos estaduais (MTE, TCU, TCE, RFB, Estados e Prefeituras) para compartilhamento de bases de dados cadastrais de servidores públicos</w:t>
            </w:r>
          </w:p>
          <w:p w:rsidR="00AD5595" w:rsidRDefault="00DB0020" w:rsidP="00E339B8">
            <w:pPr>
              <w:pStyle w:val="Normal11"/>
              <w:jc w:val="both"/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  <w:t>Indicador</w:t>
            </w:r>
          </w:p>
          <w:p w:rsidR="00DB0020" w:rsidRPr="00DC2C71" w:rsidRDefault="00DB0020" w:rsidP="00E339B8">
            <w:pPr>
              <w:pStyle w:val="Normal11"/>
              <w:jc w:val="both"/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  <w:t>Produtos (2013)</w:t>
            </w:r>
          </w:p>
          <w:p w:rsidR="00DB0020" w:rsidRPr="00DC2C71" w:rsidRDefault="00DB0020" w:rsidP="00E339B8">
            <w:pPr>
              <w:pStyle w:val="Normal11"/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 xml:space="preserve">02 (dois) convênios firmados, com órgãos federais, municipais e de outros governos estaduais </w:t>
            </w:r>
            <w:r w:rsidR="0022500B" w:rsidRPr="00541604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para intercâmbio de informações</w:t>
            </w:r>
            <w:r w:rsidRPr="00541604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(</w:t>
            </w:r>
            <w:r w:rsidR="00CA525E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 xml:space="preserve">Exemplos: </w:t>
            </w: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MTE, TCU, TCE, RFB, Estados e Prefeituras)</w:t>
            </w:r>
          </w:p>
          <w:p w:rsidR="00DB0020" w:rsidRPr="00DC2C71" w:rsidRDefault="00DB0020" w:rsidP="00E339B8">
            <w:pPr>
              <w:pStyle w:val="Normal11"/>
              <w:jc w:val="both"/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b/>
                <w:i/>
                <w:noProof/>
                <w:color w:val="auto"/>
                <w:sz w:val="18"/>
                <w:szCs w:val="18"/>
                <w:lang w:eastAsia="zh-CN"/>
              </w:rPr>
              <w:t>Resultados (2014):</w:t>
            </w:r>
          </w:p>
          <w:p w:rsidR="00DB0020" w:rsidRPr="00DC2C71" w:rsidRDefault="00DB0020" w:rsidP="00E339B8">
            <w:pPr>
              <w:pStyle w:val="Normal1"/>
              <w:spacing w:line="240" w:lineRule="auto"/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DC2C71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 xml:space="preserve">Redução da despesa com pessoal, da ordem de </w:t>
            </w:r>
            <w:r w:rsidR="00EE506D" w:rsidRPr="00DC2C71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R$ 25,6 milhões, em decorrência do acompanhamento permanente da folha de pagamento e da atuação sobre a acumulação ilegal de cargos, </w:t>
            </w:r>
            <w:r w:rsidR="00EE506D" w:rsidRPr="00DC2C71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lastRenderedPageBreak/>
              <w:t>empregos e funções</w:t>
            </w:r>
          </w:p>
        </w:tc>
        <w:tc>
          <w:tcPr>
            <w:tcW w:w="5386" w:type="dxa"/>
            <w:shd w:val="clear" w:color="auto" w:fill="auto"/>
          </w:tcPr>
          <w:p w:rsidR="00DB0020" w:rsidRPr="003959D6" w:rsidRDefault="00DB0020" w:rsidP="00E339B8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 xml:space="preserve">1ª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Instituição da sistemática de acompanhamento permanente da 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>f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olha de 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>p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agamento do Estado para identificação do pagamento de verbas indevidas, bem como de situações irregulares de acumulação de 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>c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argos, 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mpregos e 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>f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unções.</w:t>
            </w:r>
          </w:p>
          <w:p w:rsidR="00DB0020" w:rsidRPr="003959D6" w:rsidRDefault="00DB0020" w:rsidP="00E339B8">
            <w:pPr>
              <w:ind w:left="11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B0020" w:rsidRPr="003959D6" w:rsidRDefault="00DB0020" w:rsidP="00E339B8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do Secretário de Administração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DOE, criando rotinas padrão de elaboração da folha de pagamento e testes mensais de consistência.</w:t>
            </w:r>
          </w:p>
          <w:p w:rsidR="00DB0020" w:rsidRPr="003959D6" w:rsidRDefault="00DB0020" w:rsidP="00E339B8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B0020" w:rsidRPr="003959D6" w:rsidRDefault="00DB0020" w:rsidP="00E339B8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2ª Tranche:</w:t>
            </w:r>
            <w:r w:rsidR="00F12EF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>Compartilhar</w:t>
            </w:r>
            <w:r w:rsidR="00F12EF6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bases de dados cadastrais de servidores públicos</w:t>
            </w: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</w:t>
            </w:r>
            <w:r w:rsidR="006F7C6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836EBA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com órgãos federais, municipais</w:t>
            </w:r>
            <w:r w:rsidR="00BB4459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="00925624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de outros governos estaduais</w:t>
            </w:r>
            <w:r w:rsidR="00BB4459"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 de outros poderes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="006F7C6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</w:p>
          <w:p w:rsidR="00DB0020" w:rsidRPr="003959D6" w:rsidRDefault="00DB0020" w:rsidP="00E339B8">
            <w:pPr>
              <w:ind w:left="11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DB0020" w:rsidRPr="003959D6" w:rsidRDefault="0003025E" w:rsidP="00E339B8">
            <w:pPr>
              <w:pStyle w:val="Normal1"/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</w:pPr>
            <w:r w:rsidRPr="003959D6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E</w:t>
            </w:r>
            <w:r w:rsidR="00DB0020" w:rsidRPr="003959D6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xtrato</w:t>
            </w:r>
            <w:r w:rsidRPr="003959D6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s de</w:t>
            </w:r>
            <w:r w:rsidR="006F7C6A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, pelo menos,</w:t>
            </w:r>
            <w:r w:rsidR="00F12EF6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 xml:space="preserve"> </w:t>
            </w:r>
            <w:r w:rsidRPr="003959D6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 xml:space="preserve">dois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convênios</w:t>
            </w:r>
            <w:r w:rsidR="00F12EF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</w:t>
            </w:r>
            <w:r w:rsidR="00F12EF6" w:rsidRPr="003959D6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publicados no DOE</w:t>
            </w:r>
            <w:r w:rsidR="00F12EF6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  <w:lang w:eastAsia="zh-CN"/>
              </w:rPr>
              <w:t>,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de compartilhamento de bases de dados cadastrais de servidores públicos </w:t>
            </w:r>
          </w:p>
          <w:p w:rsidR="00DB0020" w:rsidRPr="00694862" w:rsidRDefault="00DB0020" w:rsidP="00E339B8">
            <w:pPr>
              <w:pStyle w:val="Normal1"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</w:p>
          <w:p w:rsidR="00DB0020" w:rsidRPr="00694862" w:rsidRDefault="00DB0020" w:rsidP="00E339B8">
            <w:pPr>
              <w:pStyle w:val="Normal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B65CE" w:rsidRPr="00694862" w:rsidRDefault="003B65CE" w:rsidP="003B65CE">
      <w:pPr>
        <w:rPr>
          <w:rFonts w:asciiTheme="minorHAnsi" w:hAnsiTheme="minorHAnsi" w:cstheme="minorHAnsi"/>
        </w:rPr>
      </w:pPr>
      <w:r w:rsidRPr="00694862">
        <w:rPr>
          <w:rFonts w:asciiTheme="minorHAnsi" w:hAnsiTheme="minorHAnsi" w:cstheme="minorHAnsi"/>
        </w:rPr>
        <w:lastRenderedPageBreak/>
        <w:br w:type="page"/>
      </w:r>
    </w:p>
    <w:tbl>
      <w:tblPr>
        <w:tblW w:w="14743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5"/>
        <w:gridCol w:w="2976"/>
        <w:gridCol w:w="2696"/>
        <w:gridCol w:w="5386"/>
      </w:tblGrid>
      <w:tr w:rsidR="00E92128" w:rsidRPr="00694862" w:rsidTr="00AF1E4A">
        <w:trPr>
          <w:tblHeader/>
        </w:trPr>
        <w:tc>
          <w:tcPr>
            <w:tcW w:w="3685" w:type="dxa"/>
            <w:shd w:val="clear" w:color="auto" w:fill="F2F2F2"/>
            <w:vAlign w:val="center"/>
          </w:tcPr>
          <w:p w:rsidR="00E92128" w:rsidRPr="00694862" w:rsidRDefault="00E92128" w:rsidP="009D1968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lastRenderedPageBreak/>
              <w:t xml:space="preserve">PROBLEMAS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>/ EVIDÊNCIAS /</w:t>
            </w: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 xml:space="preserve"> LINHA DE BASE</w:t>
            </w:r>
          </w:p>
        </w:tc>
        <w:tc>
          <w:tcPr>
            <w:tcW w:w="2976" w:type="dxa"/>
            <w:shd w:val="clear" w:color="auto" w:fill="F2F2F2"/>
            <w:vAlign w:val="center"/>
          </w:tcPr>
          <w:p w:rsidR="00E92128" w:rsidRPr="00694862" w:rsidRDefault="00E92128" w:rsidP="009D1968">
            <w:pPr>
              <w:pStyle w:val="Contedodatabela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CAUSAS DOS PROBLEMAS</w:t>
            </w:r>
          </w:p>
        </w:tc>
        <w:tc>
          <w:tcPr>
            <w:tcW w:w="2696" w:type="dxa"/>
            <w:shd w:val="clear" w:color="auto" w:fill="F2F2F2"/>
            <w:vAlign w:val="center"/>
          </w:tcPr>
          <w:p w:rsidR="00E92128" w:rsidRPr="00694862" w:rsidRDefault="00E92128" w:rsidP="009D1968">
            <w:pPr>
              <w:pStyle w:val="Contedodatabela"/>
              <w:ind w:right="229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PRODUTO / SOLUÇÃO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/INDICADORES / </w:t>
            </w: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RESULTADOS</w:t>
            </w:r>
          </w:p>
        </w:tc>
        <w:tc>
          <w:tcPr>
            <w:tcW w:w="5386" w:type="dxa"/>
            <w:shd w:val="clear" w:color="auto" w:fill="F2F2F2"/>
            <w:vAlign w:val="center"/>
          </w:tcPr>
          <w:p w:rsidR="00E92128" w:rsidRPr="00694862" w:rsidRDefault="00E92128" w:rsidP="009D1968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t-BR"/>
              </w:rPr>
              <w:t>MEDIDA DE POLÍTICA E MEIO DE VERIFICAÇÃO</w:t>
            </w:r>
          </w:p>
        </w:tc>
      </w:tr>
      <w:tr w:rsidR="00AF1E4A" w:rsidRPr="00694862" w:rsidTr="00AF1E4A">
        <w:tc>
          <w:tcPr>
            <w:tcW w:w="14743" w:type="dxa"/>
            <w:gridSpan w:val="4"/>
            <w:shd w:val="clear" w:color="auto" w:fill="F2F2F2"/>
          </w:tcPr>
          <w:p w:rsidR="00AF1E4A" w:rsidRPr="00694862" w:rsidRDefault="00AF1E4A" w:rsidP="00EE0C40">
            <w:pPr>
              <w:pStyle w:val="Contedodatabel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50F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COMPONENTE IV – </w:t>
            </w:r>
            <w:r w:rsidRPr="007B50FF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 xml:space="preserve">GESTÃO </w:t>
            </w:r>
            <w:r w:rsidR="00EE0C40" w:rsidRPr="007B50FF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DE INVESTIMENTOS PÚBLICOS E</w:t>
            </w:r>
            <w:r w:rsidR="00EE4E49" w:rsidRPr="007B50FF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 xml:space="preserve"> PROMOÇÃO </w:t>
            </w:r>
            <w:r w:rsidR="00EE0C40" w:rsidRPr="007B50FF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DE</w:t>
            </w:r>
            <w:r w:rsidR="009940DE" w:rsidRPr="007B50FF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 xml:space="preserve"> INVESTIMENTOS PRIVADOS</w:t>
            </w:r>
          </w:p>
        </w:tc>
      </w:tr>
      <w:tr w:rsidR="00AF1E4A" w:rsidRPr="00F94427" w:rsidTr="00AF1E4A">
        <w:tc>
          <w:tcPr>
            <w:tcW w:w="14743" w:type="dxa"/>
            <w:gridSpan w:val="4"/>
          </w:tcPr>
          <w:p w:rsidR="00AF1E4A" w:rsidRPr="008A1627" w:rsidRDefault="00AF1E4A" w:rsidP="00AF1E4A">
            <w:pPr>
              <w:pStyle w:val="BodyText"/>
              <w:tabs>
                <w:tab w:val="left" w:pos="938"/>
              </w:tabs>
              <w:spacing w:before="60" w:after="0"/>
              <w:ind w:left="938" w:hanging="938"/>
              <w:rPr>
                <w:rFonts w:asciiTheme="minorHAnsi" w:hAnsiTheme="minorHAnsi" w:cstheme="minorHAnsi"/>
                <w:sz w:val="18"/>
                <w:szCs w:val="18"/>
              </w:rPr>
            </w:pPr>
            <w:r w:rsidRPr="008A1627">
              <w:rPr>
                <w:rFonts w:asciiTheme="minorHAnsi" w:hAnsiTheme="minorHAnsi" w:cstheme="minorHAnsi"/>
                <w:b/>
                <w:sz w:val="18"/>
                <w:szCs w:val="18"/>
              </w:rPr>
              <w:t>PROBLEMA:</w:t>
            </w:r>
            <w:r w:rsidRPr="008A1627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="00DB0077" w:rsidRPr="008A1627">
              <w:rPr>
                <w:rFonts w:asciiTheme="minorHAnsi" w:hAnsiTheme="minorHAnsi" w:cstheme="minorHAnsi"/>
                <w:b/>
                <w:sz w:val="18"/>
                <w:szCs w:val="18"/>
              </w:rPr>
              <w:t>Deficiências na gestão dos investimentos públicos e na promoção do investimento privado</w:t>
            </w:r>
            <w:r w:rsidR="00C21AF6" w:rsidRPr="008A16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7B50FF" w:rsidRPr="009E4652" w:rsidRDefault="00AF1E4A" w:rsidP="007B50FF">
            <w:pPr>
              <w:pStyle w:val="BodyText"/>
              <w:spacing w:before="6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4427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Indicador do Componente</w:t>
            </w:r>
            <w:r w:rsidRPr="009E465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  <w:r w:rsidR="007B50FF" w:rsidRPr="009E4652">
              <w:rPr>
                <w:rFonts w:asciiTheme="minorHAnsi" w:hAnsiTheme="minorHAnsi" w:cstheme="minorHAnsi"/>
                <w:sz w:val="18"/>
                <w:szCs w:val="18"/>
              </w:rPr>
              <w:t xml:space="preserve"> A definir, se for o caso</w:t>
            </w:r>
          </w:p>
          <w:p w:rsidR="00AF1E4A" w:rsidRPr="00F94427" w:rsidRDefault="00AF1E4A" w:rsidP="007B50FF">
            <w:pPr>
              <w:pStyle w:val="BodyText"/>
              <w:spacing w:before="60"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465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 Esperado (2015):</w:t>
            </w:r>
            <w:r w:rsidR="007B50FF" w:rsidRPr="009E4652">
              <w:rPr>
                <w:rFonts w:asciiTheme="minorHAnsi" w:hAnsiTheme="minorHAnsi" w:cstheme="minorHAnsi"/>
                <w:sz w:val="18"/>
                <w:szCs w:val="18"/>
              </w:rPr>
              <w:t xml:space="preserve"> A definir</w:t>
            </w:r>
          </w:p>
        </w:tc>
      </w:tr>
      <w:tr w:rsidR="002E0434" w:rsidRPr="007C0F34" w:rsidTr="007C0F34">
        <w:tc>
          <w:tcPr>
            <w:tcW w:w="14743" w:type="dxa"/>
            <w:gridSpan w:val="4"/>
            <w:shd w:val="clear" w:color="auto" w:fill="BFBFBF" w:themeFill="background1" w:themeFillShade="BF"/>
          </w:tcPr>
          <w:p w:rsidR="002E0434" w:rsidRPr="007C0F34" w:rsidRDefault="007C0F34" w:rsidP="00BC3532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7C0F34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GESTÃO DE INVESTIMENTOS PÚBLICOS</w:t>
            </w:r>
          </w:p>
        </w:tc>
      </w:tr>
      <w:tr w:rsidR="00E737D1" w:rsidRPr="00694862" w:rsidTr="000E54C7">
        <w:tc>
          <w:tcPr>
            <w:tcW w:w="3685" w:type="dxa"/>
            <w:shd w:val="clear" w:color="auto" w:fill="F2F2F2"/>
          </w:tcPr>
          <w:p w:rsidR="00E737D1" w:rsidRPr="00694862" w:rsidRDefault="005C4DCD" w:rsidP="00BD4D6A">
            <w:pPr>
              <w:pStyle w:val="Paragraph"/>
              <w:numPr>
                <w:ilvl w:val="0"/>
                <w:numId w:val="41"/>
              </w:numPr>
              <w:spacing w:before="0" w:after="0"/>
              <w:jc w:val="left"/>
              <w:rPr>
                <w:rFonts w:asciiTheme="minorHAnsi" w:hAnsiTheme="minorHAnsi" w:cstheme="minorHAnsi"/>
                <w:noProof/>
                <w:sz w:val="16"/>
                <w:szCs w:val="18"/>
                <w:lang w:val="pt-BR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8"/>
                <w:lang w:val="pt-BR"/>
              </w:rPr>
              <w:t>N/A</w:t>
            </w:r>
          </w:p>
        </w:tc>
        <w:tc>
          <w:tcPr>
            <w:tcW w:w="2976" w:type="dxa"/>
            <w:shd w:val="clear" w:color="auto" w:fill="F2F2F2"/>
          </w:tcPr>
          <w:p w:rsidR="00E737D1" w:rsidRPr="00694862" w:rsidRDefault="00E737D1" w:rsidP="00BC3532">
            <w:pPr>
              <w:pStyle w:val="Paragraph"/>
              <w:numPr>
                <w:ilvl w:val="0"/>
                <w:numId w:val="0"/>
              </w:numPr>
              <w:spacing w:before="0" w:after="0"/>
              <w:ind w:left="360" w:hanging="360"/>
              <w:rPr>
                <w:rFonts w:asciiTheme="minorHAnsi" w:hAnsiTheme="minorHAnsi" w:cstheme="minorHAnsi"/>
                <w:noProof/>
                <w:sz w:val="16"/>
                <w:szCs w:val="18"/>
                <w:lang w:val="pt-BR"/>
              </w:rPr>
            </w:pPr>
          </w:p>
        </w:tc>
        <w:tc>
          <w:tcPr>
            <w:tcW w:w="2696" w:type="dxa"/>
            <w:shd w:val="clear" w:color="auto" w:fill="F2F2F2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</w:p>
        </w:tc>
        <w:tc>
          <w:tcPr>
            <w:tcW w:w="5386" w:type="dxa"/>
            <w:shd w:val="clear" w:color="auto" w:fill="auto"/>
          </w:tcPr>
          <w:p w:rsidR="00E737D1" w:rsidRPr="003959D6" w:rsidRDefault="00E737D1" w:rsidP="00BC3532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1ª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Criação de fonte orçamentária de recursos exclusiva para o presente programa, alocada em ações de investimento previstas no Plano Plurianual - PPA.</w:t>
            </w:r>
          </w:p>
          <w:p w:rsidR="00E737D1" w:rsidRPr="003959D6" w:rsidRDefault="00E737D1" w:rsidP="003959D6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E737D1" w:rsidRDefault="00E737D1" w:rsidP="003959D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Projeto de Lei Orçamentária Anual emitido pelo Poder Executivo </w:t>
            </w:r>
            <w:r w:rsidR="00335EB9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stadual encaminhado à Assembléia Legislativa do Estado prevendo fonte específica para o presente Programa.</w:t>
            </w:r>
          </w:p>
          <w:p w:rsidR="00335EB9" w:rsidRPr="003959D6" w:rsidRDefault="00335EB9" w:rsidP="003959D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E737D1" w:rsidRPr="003959D6" w:rsidRDefault="00E737D1" w:rsidP="00BC3532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Criação de fonte orçamentária de recursos exclusiva para o presente programa, alocada em ações de investimento previstas no Plano Plurianual – PPA.</w:t>
            </w:r>
          </w:p>
          <w:p w:rsidR="00E737D1" w:rsidRPr="003959D6" w:rsidRDefault="00E737D1" w:rsidP="003959D6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3959D6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Meio de verificação</w:t>
            </w: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: </w:t>
            </w:r>
          </w:p>
          <w:p w:rsidR="00E737D1" w:rsidRPr="00694862" w:rsidRDefault="00E737D1" w:rsidP="00335EB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3959D6">
              <w:rPr>
                <w:rFonts w:asciiTheme="minorHAnsi" w:hAnsiTheme="minorHAnsi" w:cstheme="minorHAnsi"/>
                <w:noProof/>
                <w:sz w:val="18"/>
                <w:szCs w:val="18"/>
              </w:rPr>
              <w:t>Projeto de Lei Orçamentária Anual emitido pelo Poder Executivo estadual encaminhado à Assembléia Legislativa do Estado prevendo fonte específica para o presente Programa</w:t>
            </w:r>
            <w:r w:rsidRPr="00694862">
              <w:rPr>
                <w:rFonts w:asciiTheme="minorHAnsi" w:hAnsiTheme="minorHAnsi" w:cstheme="minorHAnsi"/>
                <w:noProof/>
                <w:sz w:val="16"/>
                <w:szCs w:val="18"/>
              </w:rPr>
              <w:t>.</w:t>
            </w:r>
          </w:p>
        </w:tc>
      </w:tr>
      <w:tr w:rsidR="00E737D1" w:rsidRPr="00694862" w:rsidTr="00AF1E4A">
        <w:tc>
          <w:tcPr>
            <w:tcW w:w="3685" w:type="dxa"/>
            <w:shd w:val="clear" w:color="auto" w:fill="auto"/>
          </w:tcPr>
          <w:p w:rsidR="00E737D1" w:rsidRPr="008B4E3F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Problema:</w:t>
            </w:r>
          </w:p>
          <w:p w:rsidR="005E1A21" w:rsidRPr="008B4E3F" w:rsidRDefault="00675B28" w:rsidP="005E1A21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(II) </w:t>
            </w:r>
            <w:r w:rsidR="005E1A21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Dificuldade em gerir os custos e respectiva alocação de recursos orçamentários para execução dos projetos de investimento relacionados a metas prioritárias do governo</w:t>
            </w:r>
            <w:r w:rsidR="005E1A21"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  <w:p w:rsidR="007B50FF" w:rsidRPr="008B4E3F" w:rsidRDefault="007B50FF" w:rsidP="007B50FF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Evidência:</w:t>
            </w:r>
          </w:p>
          <w:p w:rsidR="008B555B" w:rsidRPr="008B4E3F" w:rsidRDefault="007B50FF" w:rsidP="007B50FF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Volume de recursos de investimentos</w:t>
            </w:r>
            <w:r w:rsidR="008B555B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em 2012</w:t>
            </w:r>
            <w:r w:rsidR="008B4E3F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:</w:t>
            </w:r>
          </w:p>
          <w:p w:rsidR="008B555B" w:rsidRPr="008B4E3F" w:rsidRDefault="008B555B" w:rsidP="007B50FF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F</w:t>
            </w:r>
            <w:r w:rsidR="007B50FF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onte própria</w:t>
            </w:r>
            <w:r w:rsidR="008B4E3F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(43%)</w:t>
            </w:r>
            <w:r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: R$</w:t>
            </w:r>
            <w:r w:rsidR="008B4E3F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1.273 milhões</w:t>
            </w:r>
          </w:p>
          <w:p w:rsidR="007B50FF" w:rsidRDefault="008B555B" w:rsidP="007B50FF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C</w:t>
            </w:r>
            <w:r w:rsidR="007B50FF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aptação</w:t>
            </w:r>
            <w:r w:rsidR="008B4E3F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(57%)</w:t>
            </w:r>
            <w:r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: R$</w:t>
            </w:r>
            <w:r w:rsidR="008B4E3F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1.702 milhões</w:t>
            </w:r>
          </w:p>
          <w:p w:rsidR="008B4E3F" w:rsidRPr="008B4E3F" w:rsidRDefault="008B4E3F" w:rsidP="007B50FF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D209DA" w:rsidRPr="008B4E3F" w:rsidRDefault="00D209DA" w:rsidP="005E1A2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>Linha de base:</w:t>
            </w:r>
          </w:p>
          <w:p w:rsidR="005E1A21" w:rsidRPr="008B4E3F" w:rsidRDefault="005E1A21" w:rsidP="005E1A2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 (2012):</w:t>
            </w:r>
          </w:p>
          <w:p w:rsidR="005E1A21" w:rsidRPr="008B4E3F" w:rsidRDefault="005E1A21" w:rsidP="005E1A2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0 projetos de investimento relacionados a metas prioritárias com custos monitorados no sistema</w:t>
            </w:r>
          </w:p>
          <w:p w:rsidR="005E1A21" w:rsidRPr="008B4E3F" w:rsidRDefault="005E1A21" w:rsidP="005E1A2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Resultados (2012):</w:t>
            </w:r>
          </w:p>
          <w:p w:rsidR="00B23FBB" w:rsidRPr="008B4E3F" w:rsidRDefault="005E1A21" w:rsidP="0009579F">
            <w:pPr>
              <w:spacing w:after="60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1800 alterações orçamentárias realizadas no orçamento de 2011</w:t>
            </w:r>
          </w:p>
        </w:tc>
        <w:tc>
          <w:tcPr>
            <w:tcW w:w="2976" w:type="dxa"/>
            <w:shd w:val="clear" w:color="auto" w:fill="auto"/>
          </w:tcPr>
          <w:p w:rsidR="00B23FBB" w:rsidRPr="008B4E3F" w:rsidRDefault="005E1A21" w:rsidP="00BD4D6A">
            <w:pPr>
              <w:pStyle w:val="Paragraph"/>
              <w:numPr>
                <w:ilvl w:val="0"/>
                <w:numId w:val="14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</w:pP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lastRenderedPageBreak/>
              <w:t>Ausência de instrumentos gerenciais para previsão e controle dos custos dos empreendimentos prioritários.</w:t>
            </w:r>
          </w:p>
        </w:tc>
        <w:tc>
          <w:tcPr>
            <w:tcW w:w="2696" w:type="dxa"/>
            <w:shd w:val="clear" w:color="auto" w:fill="auto"/>
          </w:tcPr>
          <w:p w:rsidR="00E737D1" w:rsidRPr="008B4E3F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Solução:</w:t>
            </w:r>
          </w:p>
          <w:p w:rsidR="008531AE" w:rsidRPr="008B4E3F" w:rsidRDefault="0076686F" w:rsidP="005E1A21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Impla</w:t>
            </w:r>
            <w:r w:rsidR="002E0434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nta</w:t>
            </w:r>
            <w:r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ção</w:t>
            </w:r>
            <w:r w:rsidR="005E1A21"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de sistema de custos de projetos mantido pela SEPLAG</w:t>
            </w:r>
            <w:r w:rsidR="005E1A21"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com</w:t>
            </w:r>
            <w:r w:rsidR="008531AE"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:</w:t>
            </w:r>
          </w:p>
          <w:p w:rsidR="008531AE" w:rsidRPr="008B4E3F" w:rsidRDefault="005E1A21" w:rsidP="00BD4D6A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B4E3F">
              <w:rPr>
                <w:rFonts w:asciiTheme="minorHAnsi" w:hAnsiTheme="minorHAnsi" w:cstheme="minorHAnsi"/>
                <w:noProof/>
                <w:sz w:val="16"/>
                <w:szCs w:val="16"/>
              </w:rPr>
              <w:t>rotinas permanentes de atualização de informações, e</w:t>
            </w:r>
          </w:p>
          <w:p w:rsidR="005E1A21" w:rsidRPr="008B4E3F" w:rsidRDefault="005E1A21" w:rsidP="00BD4D6A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B4E3F">
              <w:rPr>
                <w:rFonts w:asciiTheme="minorHAnsi" w:hAnsiTheme="minorHAnsi" w:cstheme="minorHAnsi"/>
                <w:noProof/>
                <w:sz w:val="16"/>
                <w:szCs w:val="16"/>
              </w:rPr>
              <w:t>utilização desse sistema na estruturação do Planejamento.</w:t>
            </w:r>
          </w:p>
          <w:p w:rsidR="00D209DA" w:rsidRPr="008B4E3F" w:rsidRDefault="005E1A21" w:rsidP="005E1A2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Indicador</w:t>
            </w:r>
          </w:p>
          <w:p w:rsidR="005E1A21" w:rsidRPr="008B4E3F" w:rsidRDefault="005E1A21" w:rsidP="005E1A2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Produto</w:t>
            </w:r>
            <w:r w:rsidR="00D209DA"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 (2013)</w:t>
            </w: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>:</w:t>
            </w:r>
          </w:p>
          <w:p w:rsidR="005E1A21" w:rsidRPr="008B4E3F" w:rsidRDefault="005E1A21" w:rsidP="005E1A2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352 projetos de investimento relacionados a metas prioritárias </w:t>
            </w: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com custos monitorados no sistema</w:t>
            </w:r>
            <w:r w:rsidR="00D0710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e-Fisco</w:t>
            </w:r>
          </w:p>
          <w:p w:rsidR="005E1A21" w:rsidRPr="008B4E3F" w:rsidRDefault="005E1A21" w:rsidP="005E1A2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Resultados (2014):</w:t>
            </w:r>
          </w:p>
          <w:p w:rsidR="00E737D1" w:rsidRPr="008B4E3F" w:rsidRDefault="005E1A21" w:rsidP="005E1A2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1530 alterações orçamentárias realizadas no orçamento de 2013 (redução de 15%)</w:t>
            </w:r>
          </w:p>
        </w:tc>
        <w:tc>
          <w:tcPr>
            <w:tcW w:w="5386" w:type="dxa"/>
            <w:shd w:val="clear" w:color="auto" w:fill="auto"/>
          </w:tcPr>
          <w:p w:rsidR="005E1A21" w:rsidRPr="008B4E3F" w:rsidRDefault="005E1A21" w:rsidP="005E1A21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lastRenderedPageBreak/>
              <w:t xml:space="preserve">1ª tranche: </w:t>
            </w: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Implantação de um novo sistema (processos + ferramentas) de controle dos custos dos projetos de investimento relacionados a metas prioritárias previstas no PPA e no orçamento.</w:t>
            </w:r>
          </w:p>
          <w:p w:rsidR="005E1A21" w:rsidRPr="008B4E3F" w:rsidRDefault="005E1A21" w:rsidP="00B920EA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5E1A21" w:rsidRPr="008B4E3F" w:rsidRDefault="005E1A21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do Secretário de Planejamento e Gestão do Estado</w:t>
            </w:r>
            <w:r w:rsidR="00D420A0"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DOE, instituindo sistema de controle dos custos dos projetos prioritários contidos no PPA e no orçamento.</w:t>
            </w:r>
          </w:p>
          <w:p w:rsidR="00B920EA" w:rsidRPr="008B4E3F" w:rsidRDefault="00B920EA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5E1A21" w:rsidRPr="008B4E3F" w:rsidRDefault="005E1A21" w:rsidP="005E1A21">
            <w:p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2ª tranche: </w:t>
            </w: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Operacionalização do sistema de controle dos custos dos projetos de investimento relacionados a metas prioritárias contidos no PPA e no orçamento.</w:t>
            </w:r>
          </w:p>
          <w:p w:rsidR="005E1A21" w:rsidRPr="008B4E3F" w:rsidRDefault="005E1A21" w:rsidP="00B920EA">
            <w:pPr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</w:rPr>
              <w:t xml:space="preserve">Meio de verificação: </w:t>
            </w:r>
          </w:p>
          <w:p w:rsidR="005E1A21" w:rsidRPr="00B920EA" w:rsidRDefault="005E1A21" w:rsidP="00703F4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Primeiro relatório, emitido pela SEPLAG, comparando os custos previstos</w:t>
            </w:r>
            <w:r w:rsidR="00703F49"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no PPA e no orçamento</w:t>
            </w: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D420A0"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para os projetos de investimentos relacionados a metas prioritárias </w:t>
            </w: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com os custos </w:t>
            </w:r>
            <w:r w:rsidR="00D420A0"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efetivamente </w:t>
            </w: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realizados </w:t>
            </w:r>
            <w:r w:rsidR="00D420A0"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n</w:t>
            </w:r>
            <w:r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o ano de 2013</w:t>
            </w:r>
            <w:r w:rsidR="008455CA" w:rsidRPr="008B4E3F"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</w:p>
        </w:tc>
      </w:tr>
      <w:tr w:rsidR="00E737D1" w:rsidRPr="00694862" w:rsidTr="00AF1E4A">
        <w:tc>
          <w:tcPr>
            <w:tcW w:w="3685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6B2C80" w:rsidRPr="00694862" w:rsidRDefault="00675B28" w:rsidP="006B2C80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(III) </w:t>
            </w:r>
            <w:r w:rsidR="006B2C80" w:rsidRPr="00D209DA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Ausência cenários fiscais de médio prazo no âmbito da gestão do Estado para tomada de decisão governamental</w:t>
            </w:r>
            <w:r w:rsidR="006B2C80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6B2C80" w:rsidRPr="00694862" w:rsidRDefault="006B2C80" w:rsidP="006B2C80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Evidência:</w:t>
            </w:r>
          </w:p>
          <w:p w:rsidR="006B2C80" w:rsidRPr="00694862" w:rsidRDefault="006B2C80" w:rsidP="006B2C80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Não existem cenários fiscais de médio prazo. As projeções fiscais são realizadas com base em informações históricas.</w:t>
            </w:r>
          </w:p>
          <w:p w:rsidR="00D209DA" w:rsidRDefault="00D209DA" w:rsidP="006B2C80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Base:</w:t>
            </w:r>
          </w:p>
          <w:p w:rsidR="006B2C80" w:rsidRPr="00694862" w:rsidRDefault="00D209DA" w:rsidP="006B2C80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Produto </w:t>
            </w:r>
            <w:r w:rsidR="006B2C80"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(2012):</w:t>
            </w:r>
          </w:p>
          <w:p w:rsidR="00E737D1" w:rsidRPr="00694862" w:rsidRDefault="006B2C80" w:rsidP="006B2C80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/>
              </w:rPr>
              <w:t>0 reuniões de monitoramento dos cenários fiscais de médio prazo</w:t>
            </w:r>
          </w:p>
        </w:tc>
        <w:tc>
          <w:tcPr>
            <w:tcW w:w="2976" w:type="dxa"/>
            <w:shd w:val="clear" w:color="auto" w:fill="auto"/>
          </w:tcPr>
          <w:p w:rsidR="00E737D1" w:rsidRPr="00694862" w:rsidRDefault="00E737D1" w:rsidP="00BD4D6A">
            <w:pPr>
              <w:pStyle w:val="Paragraph"/>
              <w:numPr>
                <w:ilvl w:val="0"/>
                <w:numId w:val="15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Ausência de informações sobre custos futuros das ações governamentais;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15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Prática reiterada de utilização de informações históricas para realização de projeções fiscais de médio prazo;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15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Ausência de ferramentas de construção de cenários fiscais de médio prazo</w:t>
            </w:r>
          </w:p>
        </w:tc>
        <w:tc>
          <w:tcPr>
            <w:tcW w:w="2696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Solução:</w:t>
            </w:r>
          </w:p>
          <w:p w:rsidR="00E737D1" w:rsidRPr="00D209DA" w:rsidRDefault="00E737D1" w:rsidP="00D209DA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209DA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Instituição de sistema (processos + ferramentas) de construção de cenários e marcos fiscais de médio prazo</w:t>
            </w:r>
            <w:r w:rsidRPr="00D209D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D209DA" w:rsidRDefault="00D209DA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Indicador:</w:t>
            </w:r>
          </w:p>
          <w:p w:rsidR="00E737D1" w:rsidRPr="00694862" w:rsidRDefault="00D209DA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</w:t>
            </w:r>
            <w:r w:rsidR="00E737D1"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(</w:t>
            </w:r>
            <w:r w:rsidR="006B2C80"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até </w:t>
            </w:r>
            <w:r w:rsidR="00E737D1"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2014):</w:t>
            </w:r>
          </w:p>
          <w:p w:rsidR="00E737D1" w:rsidRPr="00694862" w:rsidRDefault="006B2C80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06 reuniões 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</w:rPr>
              <w:t>de monitoramento dos cenários fiscais de médio prazo (reuniões trimestrais)</w:t>
            </w:r>
          </w:p>
        </w:tc>
        <w:tc>
          <w:tcPr>
            <w:tcW w:w="5386" w:type="dxa"/>
            <w:shd w:val="clear" w:color="auto" w:fill="auto"/>
          </w:tcPr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1ª tranche: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Instituição de sistem</w:t>
            </w:r>
            <w:r w:rsidR="00351A7C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ática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(processos + ferramentas) de construção de cenários e marcos fiscais de médio prazo.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E737D1" w:rsidRDefault="00E737D1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do Secretário de Planejamento e Gestão do Estado</w:t>
            </w:r>
            <w:r w:rsidR="00351A7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DOE, instituindo a sistemática de construção de cenários e marcos fiscais de médio prazo.</w:t>
            </w:r>
          </w:p>
          <w:p w:rsidR="00B920EA" w:rsidRPr="00B920EA" w:rsidRDefault="00B920EA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2ª tranche: 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Operacionalização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d</w:t>
            </w:r>
            <w:r w:rsidR="00351A7C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a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sistem</w:t>
            </w:r>
            <w:r w:rsidR="00351A7C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ática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(processos + ferramentas) de construção de cenários e marcos fiscais de médio prazo.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6B2C80" w:rsidRPr="001E491B" w:rsidRDefault="0049327C" w:rsidP="00B920EA">
            <w:pPr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Relatório</w:t>
            </w:r>
            <w:r w:rsidR="00351A7C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da</w:t>
            </w:r>
            <w:r w:rsidR="008455CA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última reunião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de monitoramento dos cenários fiscais de médio prazo, emitido pela SEPLAG</w:t>
            </w:r>
          </w:p>
        </w:tc>
      </w:tr>
      <w:tr w:rsidR="005D1DDD" w:rsidRPr="00694862" w:rsidTr="00AF1E4A">
        <w:tc>
          <w:tcPr>
            <w:tcW w:w="3685" w:type="dxa"/>
            <w:shd w:val="clear" w:color="auto" w:fill="auto"/>
          </w:tcPr>
          <w:p w:rsidR="005D1DDD" w:rsidRPr="00694862" w:rsidRDefault="005D1DDD" w:rsidP="002B161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Problema:</w:t>
            </w:r>
          </w:p>
          <w:p w:rsidR="005D1DDD" w:rsidRPr="00694862" w:rsidRDefault="009252FE" w:rsidP="002B161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(IV) </w:t>
            </w:r>
            <w:r w:rsidR="005D1DDD" w:rsidRPr="0024416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Existência de gargalos de implantação dos projetos de investimento relacionados a metas prioritárias, decorrentes da desarticulação e da despadronização nos processos de desapropriação e indenização</w:t>
            </w:r>
            <w:r w:rsidR="005D1DDD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5D1DDD" w:rsidRPr="00694862" w:rsidRDefault="005D1DDD" w:rsidP="002B1617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Evidência (2012):</w:t>
            </w:r>
          </w:p>
          <w:p w:rsidR="005D1DDD" w:rsidRPr="00694862" w:rsidRDefault="005D1DDD" w:rsidP="002B1617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15% das metas prioritárias do governo exigem desapropriações (Metas prioritárias = 718 e Metas que envolveram necessidade de desapropriações = 105)</w:t>
            </w:r>
          </w:p>
          <w:p w:rsidR="00F12728" w:rsidRDefault="005D1DDD" w:rsidP="002B161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Linha de Base</w:t>
            </w:r>
            <w:r w:rsidR="00F1272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:</w:t>
            </w:r>
          </w:p>
          <w:p w:rsidR="005D1DDD" w:rsidRPr="00694862" w:rsidRDefault="005D1DDD" w:rsidP="002B1617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Produto (2012):</w:t>
            </w:r>
          </w:p>
          <w:p w:rsidR="005D1DDD" w:rsidRPr="00694862" w:rsidRDefault="005D1DDD" w:rsidP="001726CB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lastRenderedPageBreak/>
              <w:t>08 estruturas do Poder Executivo Estadual tr</w:t>
            </w:r>
            <w:r w:rsidR="001726CB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atam dos respectivos 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processos de desapropriação vinculadas a metas prioritárias</w:t>
            </w:r>
            <w:r w:rsidR="001726CB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de forma independente e não coordenada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(</w:t>
            </w:r>
            <w:r w:rsidRPr="00281B00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SDEC, SECID, SETRA, SRHE, SEE, SES, SARA e SETU</w:t>
            </w:r>
            <w:r w:rsidR="00910C3F" w:rsidRPr="00281B00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R)</w:t>
            </w:r>
          </w:p>
        </w:tc>
        <w:tc>
          <w:tcPr>
            <w:tcW w:w="2976" w:type="dxa"/>
            <w:shd w:val="clear" w:color="auto" w:fill="auto"/>
          </w:tcPr>
          <w:p w:rsidR="005D1DDD" w:rsidRPr="00694862" w:rsidRDefault="005D1DDD" w:rsidP="00BD4D6A">
            <w:pPr>
              <w:pStyle w:val="Paragraph"/>
              <w:numPr>
                <w:ilvl w:val="0"/>
                <w:numId w:val="16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lastRenderedPageBreak/>
              <w:t>Rotinas complexas envolvendo diversos atores: Procuradoria Geral do Estado, Cartórios, Órgão Executor;</w:t>
            </w:r>
          </w:p>
          <w:p w:rsidR="005D1DDD" w:rsidRPr="00694862" w:rsidRDefault="005D1DDD" w:rsidP="00BD4D6A">
            <w:pPr>
              <w:pStyle w:val="Paragraph"/>
              <w:numPr>
                <w:ilvl w:val="0"/>
                <w:numId w:val="16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Falta de uniformidade entre os preços praticados nas desapropriações realizadas pelos diferentes órgãos executores;</w:t>
            </w:r>
          </w:p>
          <w:p w:rsidR="005D1DDD" w:rsidRPr="00694862" w:rsidRDefault="005D1DDD" w:rsidP="00BD4D6A">
            <w:pPr>
              <w:pStyle w:val="Paragraph"/>
              <w:numPr>
                <w:ilvl w:val="0"/>
                <w:numId w:val="16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Ausência de prioridade específica, nas estruturas existentes, entre as desapropriações vinculadas a projetos prioritários do governo e projetos não prioritários.</w:t>
            </w:r>
          </w:p>
        </w:tc>
        <w:tc>
          <w:tcPr>
            <w:tcW w:w="2696" w:type="dxa"/>
            <w:shd w:val="clear" w:color="auto" w:fill="auto"/>
          </w:tcPr>
          <w:p w:rsidR="005D1DDD" w:rsidRPr="00694862" w:rsidRDefault="005D1DDD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Solução:</w:t>
            </w:r>
          </w:p>
          <w:p w:rsidR="005D1DDD" w:rsidRPr="0024416F" w:rsidRDefault="005D1DDD" w:rsidP="0024416F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24416F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Implantação de estrutura com foco específico na execução das diversas etapas dos processos de desapropriação vinculados a metas prioritárias do Governo</w:t>
            </w:r>
          </w:p>
          <w:p w:rsidR="005D1DDD" w:rsidRPr="0024416F" w:rsidRDefault="005D1DDD" w:rsidP="005D1DDD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</w:p>
          <w:p w:rsidR="00F12728" w:rsidRDefault="00F12728" w:rsidP="005D1DDD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Indicador:</w:t>
            </w:r>
          </w:p>
          <w:p w:rsidR="005D1DDD" w:rsidRPr="00694862" w:rsidRDefault="005D1DDD" w:rsidP="005D1DDD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(2014):</w:t>
            </w:r>
          </w:p>
          <w:p w:rsidR="005D1DDD" w:rsidRPr="00694862" w:rsidRDefault="005D1DDD" w:rsidP="00001565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01 única estrutura </w:t>
            </w:r>
            <w:r w:rsidR="0000156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na PGE 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trata de processos de desapropriação </w:t>
            </w:r>
            <w:r w:rsidR="0000156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vinculadas a metas prioritárias do Governo Estadual</w:t>
            </w:r>
          </w:p>
        </w:tc>
        <w:tc>
          <w:tcPr>
            <w:tcW w:w="5386" w:type="dxa"/>
            <w:shd w:val="clear" w:color="auto" w:fill="auto"/>
          </w:tcPr>
          <w:p w:rsidR="005D1DDD" w:rsidRPr="00B920EA" w:rsidRDefault="005D1DDD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1ª tranche: 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Operacionalização de área organizacional especializada em desapropriações dos projetos de investimentos prioritários do Estado na Procuradoria Geral do Estado - PGE.</w:t>
            </w:r>
          </w:p>
          <w:p w:rsidR="005D1DDD" w:rsidRPr="00B920EA" w:rsidRDefault="005D1DDD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5D1DDD" w:rsidRDefault="005D1DDD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da PGE</w:t>
            </w:r>
            <w:r w:rsidR="00093529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</w:t>
            </w:r>
            <w:r w:rsidR="00093529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publicada no DOE</w:t>
            </w:r>
            <w:r w:rsidR="00093529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instituindo os procedimentos operacionais da área especializada em desapropriações. </w:t>
            </w:r>
          </w:p>
          <w:p w:rsidR="00B920EA" w:rsidRPr="00B920EA" w:rsidRDefault="00B920EA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5D1DDD" w:rsidRPr="00B920EA" w:rsidRDefault="005D1DDD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2ª tranche: 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Definição de mecanismos orçamentários especiais que viabilizem a disponibilidade financeira dos recursos pela área especializada em desapropriações, sem desvinculação ao orçamento dos órgãos executores responsáveis pelos projetos prioritários.</w:t>
            </w:r>
          </w:p>
          <w:p w:rsidR="005D1DDD" w:rsidRPr="00B920EA" w:rsidRDefault="005D1DDD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06091D" w:rsidRPr="00694862" w:rsidRDefault="005D1DDD" w:rsidP="0009352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Decreto do Poder Executivo</w:t>
            </w:r>
            <w:r w:rsidR="00093529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, </w:t>
            </w:r>
            <w:r w:rsidR="00093529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publicado no DOE</w:t>
            </w:r>
            <w:r w:rsidR="00093529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instituindo os mec</w:t>
            </w:r>
            <w:r w:rsidR="00910C3F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anismos orçamentários especiais </w:t>
            </w:r>
          </w:p>
        </w:tc>
      </w:tr>
      <w:tr w:rsidR="00E737D1" w:rsidRPr="00694862" w:rsidTr="00AF1E4A">
        <w:tc>
          <w:tcPr>
            <w:tcW w:w="3685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A4252B" w:rsidRPr="00694862" w:rsidRDefault="007A4345" w:rsidP="00A4252B">
            <w:pPr>
              <w:spacing w:after="6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(V) </w:t>
            </w:r>
            <w:r w:rsidR="00A4252B" w:rsidRPr="00F1272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Existência de gargalos de implantação dos projetos de investimento relacionados a metas prioritárias, decorrentes da demora existente nos processos de licenciamento ambiental necessários</w:t>
            </w:r>
            <w:r w:rsidR="00A4252B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A4252B" w:rsidRPr="00694862" w:rsidRDefault="00A4252B" w:rsidP="00A4252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Evidência (2012):</w:t>
            </w:r>
          </w:p>
          <w:p w:rsidR="00A4252B" w:rsidRPr="00D47146" w:rsidRDefault="00A4252B" w:rsidP="00D47146">
            <w:pPr>
              <w:pStyle w:val="ListParagraph"/>
              <w:numPr>
                <w:ilvl w:val="0"/>
                <w:numId w:val="51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4714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6% dos processos de licenciamento ambiental relacionados aos projetos prioritários do governo (Metas prioritárias = 718 e Metas que envolveram necessidade de licenciamento ambiental = 42)</w:t>
            </w:r>
          </w:p>
          <w:p w:rsidR="00910C3F" w:rsidRPr="00694862" w:rsidRDefault="00D47146" w:rsidP="00D47146">
            <w:pPr>
              <w:pStyle w:val="ListParagraph"/>
              <w:numPr>
                <w:ilvl w:val="0"/>
                <w:numId w:val="51"/>
              </w:num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D4714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V</w:t>
            </w:r>
            <w:r w:rsidR="00910C3F" w:rsidRPr="00D4714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olume de recursos </w:t>
            </w:r>
            <w:r w:rsidR="0098155B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dos</w:t>
            </w:r>
            <w:r w:rsidR="00910C3F" w:rsidRPr="00D4714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42 processos de licenciamento ambiental</w:t>
            </w:r>
            <w:r w:rsidRPr="00D4714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</w:t>
            </w:r>
            <w:r w:rsidRPr="003D058E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= </w:t>
            </w:r>
            <w:r w:rsidRPr="002C3049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R$</w:t>
            </w:r>
            <w:r w:rsidR="003D058E" w:rsidRPr="002C3049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278,2 milhões</w:t>
            </w:r>
          </w:p>
          <w:p w:rsidR="00F12728" w:rsidRDefault="00A4252B" w:rsidP="00A4252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</w:t>
            </w:r>
          </w:p>
          <w:p w:rsidR="00A4252B" w:rsidRPr="00694862" w:rsidRDefault="00A4252B" w:rsidP="00A4252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(2012):</w:t>
            </w:r>
          </w:p>
          <w:p w:rsidR="00A4252B" w:rsidRPr="00694862" w:rsidRDefault="00A4252B" w:rsidP="00A4252B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00 processos </w:t>
            </w:r>
            <w:r w:rsidR="002C3049" w:rsidRPr="002C3049">
              <w:rPr>
                <w:rFonts w:asciiTheme="minorHAnsi" w:hAnsiTheme="minorHAnsi" w:cstheme="minorHAnsi"/>
                <w:sz w:val="18"/>
                <w:szCs w:val="18"/>
                <w:lang w:val="pt-BR" w:eastAsia="ar-SA"/>
              </w:rPr>
              <w:t xml:space="preserve">de licenciamento ambiental 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relacionados com metas prioritárias apreciados pela câmara da CPRH</w:t>
            </w:r>
          </w:p>
          <w:p w:rsidR="00A4252B" w:rsidRPr="00694862" w:rsidRDefault="00A4252B" w:rsidP="00A4252B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</w:pPr>
            <w:r w:rsidRPr="0069486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  <w:t>Resultado</w:t>
            </w:r>
            <w:r w:rsidR="00F12728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  <w:t xml:space="preserve"> (2012)</w:t>
            </w:r>
            <w:r w:rsidRPr="0069486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  <w:t>:</w:t>
            </w:r>
          </w:p>
          <w:p w:rsidR="00E737D1" w:rsidRPr="00694862" w:rsidRDefault="00A4252B" w:rsidP="00027B7D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120 dias de tempo médio </w:t>
            </w:r>
            <w:r w:rsidR="00027B7D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para emissão de licença prévia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 dos processos relacionados com metas prioritárias pela CPRH</w:t>
            </w:r>
          </w:p>
        </w:tc>
        <w:tc>
          <w:tcPr>
            <w:tcW w:w="2976" w:type="dxa"/>
            <w:shd w:val="clear" w:color="auto" w:fill="auto"/>
          </w:tcPr>
          <w:p w:rsidR="00E737D1" w:rsidRPr="00694862" w:rsidRDefault="00E737D1" w:rsidP="00BD4D6A">
            <w:pPr>
              <w:pStyle w:val="Paragraph"/>
              <w:numPr>
                <w:ilvl w:val="0"/>
                <w:numId w:val="17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bookmarkStart w:id="3" w:name="OLE_LINK5"/>
            <w:bookmarkStart w:id="4" w:name="OLE_LINK6"/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Desarticulação dos diversos atores participantes do processo</w:t>
            </w:r>
            <w:bookmarkEnd w:id="3"/>
            <w:bookmarkEnd w:id="4"/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 xml:space="preserve"> de licenciamento ambiental dos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 projetos prioritários do governo;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17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Falta de priorização dos projetos nas estruturas responsáveis pelo licenciamento.</w:t>
            </w:r>
          </w:p>
        </w:tc>
        <w:tc>
          <w:tcPr>
            <w:tcW w:w="2696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Solução:</w:t>
            </w:r>
          </w:p>
          <w:p w:rsidR="00E737D1" w:rsidRPr="00F12728" w:rsidRDefault="00E737D1" w:rsidP="00F12728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F1272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Criação de estrutura específica para acompanhamento e gestão dos processos de licenciamento relacionados aos projetos prioritários de investimento do Estado</w:t>
            </w:r>
            <w:r w:rsidRPr="00F12728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A4252B" w:rsidRPr="00694862" w:rsidRDefault="00A4252B" w:rsidP="00A4252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 produto (até 2014):</w:t>
            </w:r>
          </w:p>
          <w:p w:rsidR="00A4252B" w:rsidRPr="00694862" w:rsidRDefault="00A4252B" w:rsidP="00A4252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20 processos </w:t>
            </w:r>
            <w:r w:rsidR="002C304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de licenciamento ambiental 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relacionados com metas prioritárias </w:t>
            </w:r>
            <w:r w:rsidRPr="0069486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apreciados pela câmara da CPRH</w:t>
            </w:r>
          </w:p>
          <w:p w:rsidR="00A4252B" w:rsidRPr="00694862" w:rsidRDefault="00A4252B" w:rsidP="00A4252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:rsidR="00A4252B" w:rsidRPr="00694862" w:rsidRDefault="00A4252B" w:rsidP="00A4252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Indicador de Resultados (2014)</w:t>
            </w:r>
          </w:p>
          <w:p w:rsidR="00E737D1" w:rsidRDefault="00910C3F" w:rsidP="00A4252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Redução do tempo médio </w:t>
            </w:r>
            <w:r w:rsidR="00A4252B" w:rsidRPr="0069486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para </w:t>
            </w:r>
            <w:r w:rsidR="00027B7D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emissão de licença </w:t>
            </w:r>
            <w:r w:rsidR="00506907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ambiental </w:t>
            </w:r>
            <w:r w:rsidR="00027B7D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prévia</w:t>
            </w:r>
            <w:r w:rsidR="00506907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</w:t>
            </w:r>
            <w:r w:rsidR="00A4252B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dos processos relacionados com metas prioritárias pela CPRH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para 60 dias</w:t>
            </w:r>
          </w:p>
          <w:p w:rsidR="00FE0A28" w:rsidRPr="00910C3F" w:rsidRDefault="00FE0A28" w:rsidP="00A4252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386" w:type="dxa"/>
            <w:shd w:val="clear" w:color="auto" w:fill="auto"/>
          </w:tcPr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1ª tranche: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Criação de câmara especial de monitoramento dos projetos prioritários sob análise da CPRH.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E737D1" w:rsidRDefault="00E737D1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Decreto do Poder Executivo </w:t>
            </w:r>
            <w:r w:rsidR="007B1E2C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stadual</w:t>
            </w:r>
            <w:r w:rsidR="007B1E2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instituindo a câmara especial de projetos prioritários sob análise da CPRH.</w:t>
            </w:r>
          </w:p>
          <w:p w:rsidR="00B920EA" w:rsidRPr="00B920EA" w:rsidRDefault="00B920EA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2ª tranche: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Operacionalização de câmara especial de monitoramento dos projetos prioritários sob análise da CPRH.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A4252B" w:rsidRPr="00934D90" w:rsidRDefault="00AC01BF" w:rsidP="00B920EA">
            <w:pPr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Relatório de </w:t>
            </w:r>
            <w:r w:rsidR="007B1E2C">
              <w:rPr>
                <w:rFonts w:asciiTheme="minorHAnsi" w:hAnsiTheme="minorHAnsi" w:cstheme="minorHAnsi"/>
                <w:noProof/>
                <w:sz w:val="18"/>
                <w:szCs w:val="18"/>
              </w:rPr>
              <w:t>a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tividades</w:t>
            </w:r>
            <w:r w:rsidR="007B1E2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emitido pela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câmara especial de monitoramento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da CPRH</w:t>
            </w:r>
            <w:r w:rsidR="007B1E2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referente ao último trimestre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disponível, demonstrando a evolução dos processos sob an</w:t>
            </w:r>
            <w:r w:rsidR="00281B00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álise.</w:t>
            </w:r>
          </w:p>
        </w:tc>
      </w:tr>
      <w:tr w:rsidR="00E737D1" w:rsidRPr="00694862" w:rsidTr="00AF1E4A">
        <w:tc>
          <w:tcPr>
            <w:tcW w:w="3685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Problema:</w:t>
            </w:r>
          </w:p>
          <w:p w:rsidR="00531B42" w:rsidRPr="00694862" w:rsidRDefault="007A4345" w:rsidP="00531B42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(VI) </w:t>
            </w:r>
            <w:r w:rsidR="00531B42" w:rsidRPr="00F1272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Existência de gargalos de implantação dos projetos de investimento relacionados a metas prioritárias, decorrentes da demora existente </w:t>
            </w:r>
            <w:r w:rsidR="00D53E72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lastRenderedPageBreak/>
              <w:t>na apreciação dos aspectos legais aplicáveis.</w:t>
            </w:r>
          </w:p>
          <w:p w:rsidR="00531B42" w:rsidRPr="00694862" w:rsidRDefault="00531B42" w:rsidP="00531B4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Evidência (2012):</w:t>
            </w:r>
          </w:p>
          <w:p w:rsidR="00531B42" w:rsidRPr="00694862" w:rsidRDefault="00531B42" w:rsidP="00531B42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28% dos processos que envolvem apreciação jurídica relacionados aos projetos prioritários do governo (Metas prioritárias = 718 e Metas prioritárias que envolveram necessidade de parecer da PGE = 202)</w:t>
            </w:r>
          </w:p>
          <w:p w:rsidR="00F12728" w:rsidRDefault="00531B42" w:rsidP="00531B4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</w:t>
            </w:r>
          </w:p>
          <w:p w:rsidR="00531B42" w:rsidRPr="00694862" w:rsidRDefault="00531B42" w:rsidP="00531B4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(2012):</w:t>
            </w:r>
          </w:p>
          <w:p w:rsidR="00531B42" w:rsidRPr="00694862" w:rsidRDefault="00531B42" w:rsidP="00531B42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00 processos </w:t>
            </w:r>
            <w:r w:rsidR="00A5192D" w:rsidRPr="00EB6E63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que envolvem apreciação jurídica</w:t>
            </w:r>
            <w:r w:rsidR="00A5192D"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 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relacionados com metas prioritárias apreciados pela câmara da PGE</w:t>
            </w:r>
          </w:p>
          <w:p w:rsidR="00531B42" w:rsidRPr="00694862" w:rsidRDefault="00531B42" w:rsidP="00531B42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</w:pPr>
            <w:r w:rsidRPr="0069486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  <w:t>Resultado</w:t>
            </w:r>
            <w:r w:rsidR="00F12728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  <w:t xml:space="preserve"> (2012)</w:t>
            </w:r>
            <w:r w:rsidRPr="0069486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  <w:t>:</w:t>
            </w:r>
          </w:p>
          <w:p w:rsidR="00E737D1" w:rsidRPr="00694862" w:rsidRDefault="00531B42" w:rsidP="00531B42">
            <w:pPr>
              <w:pStyle w:val="Paragraph"/>
              <w:numPr>
                <w:ilvl w:val="0"/>
                <w:numId w:val="0"/>
              </w:numPr>
              <w:spacing w:before="0" w:after="6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60 dias de tempo médio de apreciação dos processos relacionados com metas prioritárias pela PGE</w:t>
            </w:r>
          </w:p>
        </w:tc>
        <w:tc>
          <w:tcPr>
            <w:tcW w:w="2976" w:type="dxa"/>
            <w:shd w:val="clear" w:color="auto" w:fill="auto"/>
          </w:tcPr>
          <w:p w:rsidR="00E737D1" w:rsidRPr="00694862" w:rsidRDefault="00E737D1" w:rsidP="00BD4D6A">
            <w:pPr>
              <w:pStyle w:val="Paragraph"/>
              <w:numPr>
                <w:ilvl w:val="0"/>
                <w:numId w:val="18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lastRenderedPageBreak/>
              <w:t>Desarticulação dos diversos atores participantes dos processos jurídicos relacionados aos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 projetos prioritários do 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lastRenderedPageBreak/>
              <w:t>governo;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18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Falta de priorização dos processos jurídicos relacionados aos projetos prioritários do governo, dentro dos órgãos.</w:t>
            </w:r>
          </w:p>
        </w:tc>
        <w:tc>
          <w:tcPr>
            <w:tcW w:w="2696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Solução:</w:t>
            </w:r>
          </w:p>
          <w:p w:rsidR="00531B42" w:rsidRPr="00F12728" w:rsidRDefault="00531B42" w:rsidP="00F12728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F1272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Criação de estrutura específica para acompanhamento e gestão dos processos relacionados aos </w:t>
            </w:r>
            <w:r w:rsidRPr="00F12728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lastRenderedPageBreak/>
              <w:t>projetos prioritários de investimento do Estado</w:t>
            </w:r>
            <w:r w:rsidRPr="00F12728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F12728" w:rsidRDefault="00F12728" w:rsidP="00531B4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</w:t>
            </w:r>
          </w:p>
          <w:p w:rsidR="00531B42" w:rsidRPr="00694862" w:rsidRDefault="00F12728" w:rsidP="00531B4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</w:t>
            </w:r>
            <w:r w:rsidR="00531B42"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oduto (até 2014):</w:t>
            </w:r>
          </w:p>
          <w:p w:rsidR="00531B42" w:rsidRPr="00694862" w:rsidRDefault="00531B42" w:rsidP="00531B4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90 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processos </w:t>
            </w:r>
            <w:r w:rsidR="00A5192D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que envolvem apreciação jurídica </w:t>
            </w: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relacionados com metas prioritárias </w:t>
            </w:r>
            <w:r w:rsidRPr="0069486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apreciados pela câmara da PGE</w:t>
            </w:r>
          </w:p>
          <w:p w:rsidR="00531B42" w:rsidRPr="00694862" w:rsidRDefault="00531B42" w:rsidP="00531B4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:rsidR="00531B42" w:rsidRPr="00694862" w:rsidRDefault="00531B42" w:rsidP="00531B4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Resultados (2014)</w:t>
            </w:r>
          </w:p>
          <w:p w:rsidR="00E737D1" w:rsidRPr="00694862" w:rsidRDefault="00281B00" w:rsidP="00531B4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Redução do tempo médio </w:t>
            </w:r>
            <w:r w:rsidR="00531B42" w:rsidRPr="0069486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para </w:t>
            </w:r>
            <w:r w:rsidR="00531B42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apreciação dos processos</w:t>
            </w:r>
            <w:r w:rsidR="00A5192D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</w:t>
            </w:r>
            <w:r w:rsidR="00A5192D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que envolvem apreciação jurídica</w:t>
            </w:r>
            <w:r w:rsidR="00531B42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relacionados com metas prioritárias pela PGE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para 15 dias</w:t>
            </w:r>
          </w:p>
        </w:tc>
        <w:tc>
          <w:tcPr>
            <w:tcW w:w="5386" w:type="dxa"/>
            <w:shd w:val="clear" w:color="auto" w:fill="auto"/>
          </w:tcPr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lastRenderedPageBreak/>
              <w:t xml:space="preserve">1ª tranche: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Criação de câmara especial de monitoramento dos projetos prioritários sob análise da PGE.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E737D1" w:rsidRDefault="00E737D1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Decreto do Poder Executivo </w:t>
            </w:r>
            <w:r w:rsidR="00760991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stadual</w:t>
            </w:r>
            <w:r w:rsidR="00760991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instituindo a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câmara especial de projetos prioritários sob análise da PGE.</w:t>
            </w:r>
          </w:p>
          <w:p w:rsidR="00B920EA" w:rsidRPr="00B920EA" w:rsidRDefault="00B920EA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2ª tranche: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Operacionalização de câmara especial de monitoramento dos projetos prioritários sob análise da PGE.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531B42" w:rsidRPr="00694862" w:rsidRDefault="00F36906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Relatório de Atividades</w:t>
            </w:r>
            <w:r w:rsidR="00760991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emitido pela câmara especial de monitoramento da PGE</w:t>
            </w:r>
            <w:r w:rsidR="00760991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referente ao último trimestre disponível, demonstrando a evolução dos processos sob an</w:t>
            </w:r>
            <w:r w:rsidR="00281B00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álise.</w:t>
            </w:r>
          </w:p>
        </w:tc>
      </w:tr>
      <w:tr w:rsidR="002E0434" w:rsidRPr="00694862" w:rsidTr="007C0F34">
        <w:tc>
          <w:tcPr>
            <w:tcW w:w="14743" w:type="dxa"/>
            <w:gridSpan w:val="4"/>
            <w:shd w:val="clear" w:color="auto" w:fill="BFBFBF" w:themeFill="background1" w:themeFillShade="BF"/>
          </w:tcPr>
          <w:p w:rsidR="002E0434" w:rsidRPr="007C0F34" w:rsidRDefault="007C0F34" w:rsidP="00BC3532">
            <w:pPr>
              <w:spacing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7C0F34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lastRenderedPageBreak/>
              <w:t>PROMOÇÃO DE INVESTIMENTOS PRIVADOS</w:t>
            </w:r>
          </w:p>
        </w:tc>
      </w:tr>
      <w:tr w:rsidR="002E0434" w:rsidRPr="00694862" w:rsidTr="00F504B4">
        <w:tc>
          <w:tcPr>
            <w:tcW w:w="3685" w:type="dxa"/>
            <w:shd w:val="clear" w:color="auto" w:fill="auto"/>
          </w:tcPr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Problema: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(</w:t>
            </w: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I) </w:t>
            </w:r>
            <w:r w:rsidRPr="00F73AA5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Atrasos na tramitação e aprovação dos processos de Parcerias Públicos Privadas (PPP) pelo Poder Executivo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base: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(2012):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Número médio de dias </w:t>
            </w:r>
            <w:r w:rsidRPr="00F73AA5">
              <w:rPr>
                <w:rFonts w:asciiTheme="minorHAnsi" w:hAnsiTheme="minorHAnsi" w:cstheme="minorHAnsi"/>
                <w:sz w:val="18"/>
                <w:szCs w:val="18"/>
              </w:rPr>
              <w:t xml:space="preserve">de trâmite de aprovação de um projeto de PPP pelo Poder Executivo= </w:t>
            </w: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180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dias 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</w:pPr>
            <w:r w:rsidRPr="00EB6E63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Nota técnica explicitando os tramites e seus prazos</w:t>
            </w:r>
          </w:p>
        </w:tc>
        <w:tc>
          <w:tcPr>
            <w:tcW w:w="2976" w:type="dxa"/>
            <w:shd w:val="clear" w:color="auto" w:fill="auto"/>
          </w:tcPr>
          <w:p w:rsidR="002E0434" w:rsidRPr="00F73AA5" w:rsidRDefault="002E0434" w:rsidP="00F504B4">
            <w:pPr>
              <w:pStyle w:val="Paragraph"/>
              <w:numPr>
                <w:ilvl w:val="0"/>
                <w:numId w:val="38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Falta de clareza e especificidade das atribuições e competências da Unidade Gestora do Programa Estadual de PPPs e do </w:t>
            </w:r>
            <w:r w:rsidRPr="00431D00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pt-BR" w:eastAsia="en-US"/>
              </w:rPr>
              <w:t>Comitê Gestor do Programa Estadual de PPPs (CGPE)</w:t>
            </w: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;</w:t>
            </w:r>
          </w:p>
          <w:p w:rsidR="002E0434" w:rsidRPr="00F73AA5" w:rsidRDefault="002E0434" w:rsidP="00F504B4">
            <w:pPr>
              <w:pStyle w:val="Paragraph"/>
              <w:numPr>
                <w:ilvl w:val="0"/>
                <w:numId w:val="38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F73AA5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Falta de participação efetiva do Verificador Independente nas fases pré-operacionais das PPPs no Estado.</w:t>
            </w:r>
          </w:p>
          <w:p w:rsidR="002E0434" w:rsidRPr="00F73AA5" w:rsidRDefault="002E0434" w:rsidP="00F504B4">
            <w:pPr>
              <w:pStyle w:val="Paragraph"/>
              <w:numPr>
                <w:ilvl w:val="0"/>
                <w:numId w:val="38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 xml:space="preserve">Nos contratos de PPP em que o Verificador independente (Quadro de Indicador de Desempenho) participa, por meio de termo aditivo contratual, do processo de fiscalização e entrega </w:t>
            </w: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lastRenderedPageBreak/>
              <w:t xml:space="preserve">das obras o cumprimento dos prazos são antecipados aos que estavam originalmente previstos no respectivo cronograma. Tal participação só passou a ser mais evidente quando da percepção de competências do CGPE e da Unidade PPP que, apesar de genericamente contidos nos instrumentos legais do Estado, ainda não foram regulamentados. </w:t>
            </w:r>
          </w:p>
          <w:p w:rsidR="002E0434" w:rsidRPr="00F73AA5" w:rsidRDefault="002E0434" w:rsidP="00F504B4">
            <w:pPr>
              <w:pStyle w:val="Paragraph"/>
              <w:numPr>
                <w:ilvl w:val="0"/>
                <w:numId w:val="38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F73AA5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É muito longo o tempo de trâmite de um projeto de PPP tido pelo Poder Executivo como prioritário para o desenvolvimento social e econômico de Pernambuco, por meio das competências e trâmites previstos no Regimento Interno do CGPE e na regulamentação do papel do Verificador Independente no Programa Estadual de PPP</w:t>
            </w:r>
          </w:p>
        </w:tc>
        <w:tc>
          <w:tcPr>
            <w:tcW w:w="2696" w:type="dxa"/>
            <w:shd w:val="clear" w:color="auto" w:fill="auto"/>
          </w:tcPr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Soluções: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sz w:val="18"/>
                <w:szCs w:val="18"/>
              </w:rPr>
              <w:t>Revisão do modelo de gestão de PPPs,</w:t>
            </w:r>
            <w:r w:rsidRPr="00F73AA5">
              <w:rPr>
                <w:rFonts w:asciiTheme="minorHAnsi" w:hAnsiTheme="minorHAnsi" w:cstheme="minorHAnsi"/>
                <w:sz w:val="18"/>
                <w:szCs w:val="18"/>
              </w:rPr>
              <w:t xml:space="preserve"> compreendendo os seguintes elementos:</w:t>
            </w:r>
          </w:p>
          <w:p w:rsidR="002E0434" w:rsidRPr="00F73AA5" w:rsidRDefault="002E0434" w:rsidP="00F504B4">
            <w:pPr>
              <w:pStyle w:val="Paragraph"/>
              <w:numPr>
                <w:ilvl w:val="0"/>
                <w:numId w:val="39"/>
              </w:numPr>
              <w:spacing w:before="0" w:after="0"/>
              <w:rPr>
                <w:rFonts w:asciiTheme="minorHAnsi" w:hAnsiTheme="minorHAnsi" w:cstheme="minorHAnsi"/>
                <w:noProof/>
                <w:sz w:val="16"/>
                <w:szCs w:val="16"/>
                <w:lang w:val="pt-BR" w:eastAsia="en-US"/>
              </w:rPr>
            </w:pPr>
            <w:r w:rsidRPr="00F73AA5">
              <w:rPr>
                <w:rFonts w:asciiTheme="minorHAnsi" w:hAnsiTheme="minorHAnsi" w:cstheme="minorHAnsi"/>
                <w:noProof/>
                <w:sz w:val="16"/>
                <w:szCs w:val="16"/>
                <w:lang w:val="pt-BR" w:eastAsia="en-US"/>
              </w:rPr>
              <w:t>Regulamentar as responsabilidades e competências da Unidade PPP e do CGPE;</w:t>
            </w:r>
          </w:p>
          <w:p w:rsidR="002E0434" w:rsidRPr="00F73AA5" w:rsidRDefault="002E0434" w:rsidP="00F504B4">
            <w:pPr>
              <w:pStyle w:val="Paragraph"/>
              <w:numPr>
                <w:ilvl w:val="0"/>
                <w:numId w:val="39"/>
              </w:numPr>
              <w:spacing w:before="0" w:after="60"/>
              <w:rPr>
                <w:rFonts w:asciiTheme="minorHAnsi" w:hAnsiTheme="minorHAnsi" w:cstheme="minorHAnsi"/>
                <w:i/>
                <w:sz w:val="18"/>
                <w:szCs w:val="18"/>
                <w:lang w:val="pt-BR"/>
              </w:rPr>
            </w:pPr>
            <w:r w:rsidRPr="00F73AA5">
              <w:rPr>
                <w:rFonts w:asciiTheme="minorHAnsi" w:hAnsiTheme="minorHAnsi" w:cstheme="minorHAnsi"/>
                <w:noProof/>
                <w:sz w:val="16"/>
                <w:szCs w:val="16"/>
                <w:lang w:val="pt-BR" w:eastAsia="en-US"/>
              </w:rPr>
              <w:t>Regulamentar o papel do Verificador Independente no programa Estadual de PPPs, incluindo as fases pré-operacionais de cada contrato de concessão</w:t>
            </w: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.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(2014):</w:t>
            </w:r>
          </w:p>
          <w:p w:rsidR="002E0434" w:rsidRPr="00F73AA5" w:rsidRDefault="002E0434" w:rsidP="00F504B4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Número médio de dias de tramite de aprovação de um projeto de PPP pelo Poder Executivo = 90 dias</w:t>
            </w:r>
          </w:p>
        </w:tc>
        <w:tc>
          <w:tcPr>
            <w:tcW w:w="5386" w:type="dxa"/>
            <w:shd w:val="clear" w:color="auto" w:fill="auto"/>
          </w:tcPr>
          <w:p w:rsidR="002E0434" w:rsidRPr="00B920EA" w:rsidRDefault="002E0434" w:rsidP="00F504B4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lastRenderedPageBreak/>
              <w:t xml:space="preserve">1ª tranche: 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Regulamentação do Regimento Interno do Comitê Gestor do Programa Estadual de Parcerias Público-Privadas (CGPE).</w:t>
            </w:r>
          </w:p>
          <w:p w:rsidR="002E0434" w:rsidRPr="00B920EA" w:rsidRDefault="002E0434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2E0434" w:rsidRDefault="002E0434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Resolução Normativa do CGPE</w:t>
            </w:r>
            <w:r w:rsidR="00F66D1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</w:t>
            </w:r>
            <w:r w:rsidR="00F66D1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instituindo o Regimento Interno do CGPE.</w:t>
            </w:r>
          </w:p>
          <w:p w:rsidR="00B920EA" w:rsidRPr="00B920EA" w:rsidRDefault="00B920EA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2E0434" w:rsidRPr="00B920EA" w:rsidRDefault="002E0434" w:rsidP="00F504B4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2ª tranche: 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Regulamentação </w:t>
            </w:r>
            <w:r w:rsidR="00F66D1C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das atribuições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do Verificador Independente nos projetos de Parcerias Público-Privadas, englobando os aspectos pré-operacionais dos projetos.</w:t>
            </w:r>
          </w:p>
          <w:p w:rsidR="002E0434" w:rsidRPr="00B920EA" w:rsidRDefault="002E0434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2E0434" w:rsidRDefault="002E0434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Resolução Normativa do CGPE</w:t>
            </w:r>
            <w:r w:rsidR="00F66D1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</w:t>
            </w:r>
            <w:r w:rsidR="00F66D1C">
              <w:rPr>
                <w:rFonts w:asciiTheme="minorHAnsi" w:hAnsiTheme="minorHAnsi" w:cstheme="minorHAnsi"/>
                <w:noProof/>
                <w:sz w:val="18"/>
                <w:szCs w:val="18"/>
              </w:rPr>
              <w:t>, regulamentando as atribuições do Verificador Independe</w:t>
            </w:r>
            <w:r w:rsidR="00431D00">
              <w:rPr>
                <w:rFonts w:asciiTheme="minorHAnsi" w:hAnsiTheme="minorHAnsi" w:cstheme="minorHAnsi"/>
                <w:noProof/>
                <w:sz w:val="18"/>
                <w:szCs w:val="18"/>
              </w:rPr>
              <w:t>n</w:t>
            </w:r>
            <w:r w:rsidR="00F66D1C">
              <w:rPr>
                <w:rFonts w:asciiTheme="minorHAnsi" w:hAnsiTheme="minorHAnsi" w:cstheme="minorHAnsi"/>
                <w:noProof/>
                <w:sz w:val="18"/>
                <w:szCs w:val="18"/>
              </w:rPr>
              <w:t>te</w:t>
            </w:r>
            <w:r w:rsidRPr="00F73AA5">
              <w:rPr>
                <w:rFonts w:asciiTheme="minorHAnsi" w:hAnsiTheme="minorHAnsi" w:cstheme="minorHAnsi"/>
                <w:noProof/>
                <w:sz w:val="16"/>
                <w:szCs w:val="18"/>
              </w:rPr>
              <w:t>.</w:t>
            </w:r>
          </w:p>
          <w:p w:rsidR="00F66D1C" w:rsidRDefault="00F66D1C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</w:p>
          <w:p w:rsidR="00F66D1C" w:rsidRDefault="00B3058E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color w:val="FF0000"/>
                <w:sz w:val="16"/>
                <w:szCs w:val="18"/>
              </w:rPr>
            </w:pPr>
            <w:r w:rsidRPr="008939DC">
              <w:rPr>
                <w:rFonts w:asciiTheme="minorHAnsi" w:hAnsiTheme="minorHAnsi" w:cstheme="minorHAnsi"/>
                <w:noProof/>
                <w:color w:val="FF0000"/>
                <w:sz w:val="16"/>
                <w:szCs w:val="18"/>
                <w:highlight w:val="yellow"/>
              </w:rPr>
              <w:t>PGE/DANILO</w:t>
            </w:r>
            <w:r w:rsidR="00F66D1C" w:rsidRPr="008939DC">
              <w:rPr>
                <w:rFonts w:asciiTheme="minorHAnsi" w:hAnsiTheme="minorHAnsi" w:cstheme="minorHAnsi"/>
                <w:noProof/>
                <w:color w:val="FF0000"/>
                <w:sz w:val="16"/>
                <w:szCs w:val="18"/>
                <w:highlight w:val="yellow"/>
              </w:rPr>
              <w:t>: Verificar o instrumento legal (resolução normativa) para regulamentação do papel do Verificador Independete</w:t>
            </w:r>
          </w:p>
          <w:p w:rsidR="00DF5528" w:rsidRDefault="00DF5528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color w:val="FF0000"/>
                <w:sz w:val="16"/>
                <w:szCs w:val="18"/>
              </w:rPr>
            </w:pPr>
          </w:p>
          <w:p w:rsidR="00DF5528" w:rsidRPr="00DF5528" w:rsidRDefault="00431D00" w:rsidP="00431D00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6"/>
                <w:szCs w:val="18"/>
              </w:rPr>
            </w:pPr>
            <w:r w:rsidRPr="00431D00">
              <w:rPr>
                <w:rFonts w:asciiTheme="minorHAnsi" w:hAnsiTheme="minorHAnsi" w:cstheme="minorHAnsi"/>
                <w:b/>
                <w:noProof/>
                <w:sz w:val="16"/>
                <w:szCs w:val="18"/>
                <w:highlight w:val="green"/>
              </w:rPr>
              <w:lastRenderedPageBreak/>
              <w:t xml:space="preserve">PGE E </w:t>
            </w:r>
            <w:r w:rsidR="00DF5528" w:rsidRPr="00431D00">
              <w:rPr>
                <w:rFonts w:asciiTheme="minorHAnsi" w:hAnsiTheme="minorHAnsi" w:cstheme="minorHAnsi"/>
                <w:b/>
                <w:noProof/>
                <w:sz w:val="16"/>
                <w:szCs w:val="18"/>
                <w:highlight w:val="green"/>
              </w:rPr>
              <w:t xml:space="preserve">BID: </w:t>
            </w:r>
            <w:r w:rsidRPr="00431D00">
              <w:rPr>
                <w:rFonts w:asciiTheme="minorHAnsi" w:hAnsiTheme="minorHAnsi" w:cstheme="minorHAnsi"/>
                <w:b/>
                <w:noProof/>
                <w:sz w:val="16"/>
                <w:szCs w:val="18"/>
                <w:highlight w:val="green"/>
              </w:rPr>
              <w:t xml:space="preserve">Instrumento </w:t>
            </w:r>
            <w:r w:rsidR="00E76778">
              <w:rPr>
                <w:rFonts w:asciiTheme="minorHAnsi" w:hAnsiTheme="minorHAnsi" w:cstheme="minorHAnsi"/>
                <w:b/>
                <w:noProof/>
                <w:sz w:val="16"/>
                <w:szCs w:val="18"/>
                <w:highlight w:val="green"/>
              </w:rPr>
              <w:t xml:space="preserve">regulador </w:t>
            </w:r>
            <w:r w:rsidRPr="00431D00">
              <w:rPr>
                <w:rFonts w:asciiTheme="minorHAnsi" w:hAnsiTheme="minorHAnsi" w:cstheme="minorHAnsi"/>
                <w:b/>
                <w:noProof/>
                <w:sz w:val="16"/>
                <w:szCs w:val="18"/>
                <w:highlight w:val="green"/>
              </w:rPr>
              <w:t xml:space="preserve">da CGPE é a Resoluçào Normativa. A legislação estadual não </w:t>
            </w:r>
            <w:r>
              <w:rPr>
                <w:rFonts w:asciiTheme="minorHAnsi" w:hAnsiTheme="minorHAnsi" w:cstheme="minorHAnsi"/>
                <w:b/>
                <w:noProof/>
                <w:sz w:val="16"/>
                <w:szCs w:val="18"/>
                <w:highlight w:val="green"/>
              </w:rPr>
              <w:t>regula</w:t>
            </w:r>
            <w:r w:rsidRPr="00431D00">
              <w:rPr>
                <w:rFonts w:asciiTheme="minorHAnsi" w:hAnsiTheme="minorHAnsi" w:cstheme="minorHAnsi"/>
                <w:b/>
                <w:noProof/>
                <w:sz w:val="16"/>
                <w:szCs w:val="18"/>
                <w:highlight w:val="green"/>
              </w:rPr>
              <w:t xml:space="preserve"> o Verificador Independente e não impede que </w:t>
            </w:r>
            <w:r>
              <w:rPr>
                <w:rFonts w:asciiTheme="minorHAnsi" w:hAnsiTheme="minorHAnsi" w:cstheme="minorHAnsi"/>
                <w:b/>
                <w:noProof/>
                <w:sz w:val="16"/>
                <w:szCs w:val="18"/>
                <w:highlight w:val="green"/>
              </w:rPr>
              <w:t xml:space="preserve">o tema </w:t>
            </w:r>
            <w:r w:rsidRPr="00431D00">
              <w:rPr>
                <w:rFonts w:asciiTheme="minorHAnsi" w:hAnsiTheme="minorHAnsi" w:cstheme="minorHAnsi"/>
                <w:b/>
                <w:noProof/>
                <w:sz w:val="16"/>
                <w:szCs w:val="18"/>
                <w:highlight w:val="green"/>
              </w:rPr>
              <w:t>seja tratado por Resolução Normativa do CGPE.</w:t>
            </w:r>
          </w:p>
        </w:tc>
      </w:tr>
      <w:tr w:rsidR="002E0434" w:rsidRPr="00694862" w:rsidTr="00F504B4">
        <w:tc>
          <w:tcPr>
            <w:tcW w:w="3685" w:type="dxa"/>
            <w:shd w:val="clear" w:color="auto" w:fill="auto"/>
          </w:tcPr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916E9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Problema</w:t>
            </w:r>
            <w:r w:rsidRPr="00F73AA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F73AA5">
              <w:rPr>
                <w:rFonts w:asciiTheme="minorHAnsi" w:hAnsiTheme="minorHAnsi" w:cstheme="minorHAnsi"/>
                <w:sz w:val="18"/>
                <w:szCs w:val="18"/>
              </w:rPr>
              <w:t xml:space="preserve">II) </w:t>
            </w:r>
            <w:r w:rsidRPr="00F73AA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Insuficiência de investimentos na infraestrutura da Região Metropolitana do Recife </w:t>
            </w:r>
            <w:r w:rsidR="003624AD" w:rsidRPr="00F850C4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e no município de Goiana</w:t>
            </w:r>
            <w:r w:rsidR="003624AD" w:rsidRPr="00F73AA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474A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(futura sede da nova fábrica da FIAT) </w:t>
            </w:r>
            <w:r w:rsidRPr="00F73AA5">
              <w:rPr>
                <w:rFonts w:asciiTheme="minorHAnsi" w:hAnsiTheme="minorHAnsi" w:cstheme="minorHAnsi"/>
                <w:b/>
                <w:sz w:val="18"/>
                <w:szCs w:val="18"/>
              </w:rPr>
              <w:t>para atrair novos investidores privados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sz w:val="18"/>
                <w:szCs w:val="18"/>
              </w:rPr>
              <w:t>Linha de base: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sz w:val="18"/>
                <w:szCs w:val="18"/>
              </w:rPr>
              <w:t>Produto</w:t>
            </w:r>
            <w:r w:rsidRPr="00F73AA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2E0434" w:rsidRDefault="00A916E9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 contratos de PPP assinados</w:t>
            </w:r>
          </w:p>
          <w:p w:rsidR="00A916E9" w:rsidRPr="00F73AA5" w:rsidRDefault="00A916E9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E0434" w:rsidRPr="00DF5528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>Resultado</w:t>
            </w:r>
            <w:r w:rsidR="00D47146"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</w:t>
            </w:r>
            <w:r w:rsidR="00193B8B"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>últimos 5 anos</w:t>
            </w:r>
            <w:r w:rsidR="00D47146"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  <w:r w:rsidRPr="00DF5528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2E0434" w:rsidRPr="00DF5528" w:rsidRDefault="00BD6CCA" w:rsidP="00193B8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Investimentos públicos em </w:t>
            </w:r>
            <w:r w:rsidR="00193B8B"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água e esgoto </w:t>
            </w:r>
            <w:r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= </w:t>
            </w:r>
            <w:r w:rsidR="00A916E9"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>R$</w:t>
            </w:r>
            <w:r w:rsidR="00193B8B"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>1,8</w:t>
            </w:r>
          </w:p>
          <w:p w:rsidR="00193B8B" w:rsidRPr="00DF5528" w:rsidRDefault="00193B8B" w:rsidP="00193B8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193B8B" w:rsidRPr="00193B8B" w:rsidRDefault="00193B8B" w:rsidP="00193B8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>Ver Nota Técnica COMPESA-SEPLAG v07Mar2013</w:t>
            </w:r>
            <w:r w:rsidR="00DF552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(Informações sobre o contrato)</w:t>
            </w:r>
          </w:p>
        </w:tc>
        <w:tc>
          <w:tcPr>
            <w:tcW w:w="2976" w:type="dxa"/>
            <w:shd w:val="clear" w:color="auto" w:fill="auto"/>
          </w:tcPr>
          <w:p w:rsidR="002E0434" w:rsidRPr="00F73AA5" w:rsidRDefault="002E0434" w:rsidP="00F504B4">
            <w:pPr>
              <w:pStyle w:val="Paragraph"/>
              <w:numPr>
                <w:ilvl w:val="0"/>
                <w:numId w:val="42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lastRenderedPageBreak/>
              <w:t xml:space="preserve">Deficiência de infraestrutura de </w:t>
            </w:r>
            <w:r w:rsidRPr="00F73AA5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coleta e tratamento de esgoto sanitário</w:t>
            </w:r>
          </w:p>
          <w:p w:rsidR="002E0434" w:rsidRPr="00F73AA5" w:rsidRDefault="002E0434" w:rsidP="00F504B4">
            <w:pPr>
              <w:pStyle w:val="Paragraph"/>
              <w:numPr>
                <w:ilvl w:val="0"/>
                <w:numId w:val="42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 w:rsidRPr="00F73AA5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Baixa</w:t>
            </w:r>
            <w:r w:rsidRPr="00F73AA5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 xml:space="preserve"> cobertura dos serviços de esgotamento sanitário no Estado de PE, em especial na Região Metropolitana do </w:t>
            </w:r>
            <w:r w:rsidRPr="003624AD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Recife</w:t>
            </w:r>
            <w:r w:rsidR="003624AD" w:rsidRPr="003624AD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 xml:space="preserve"> </w:t>
            </w:r>
            <w:r w:rsidR="003624AD" w:rsidRPr="003624AD">
              <w:rPr>
                <w:rFonts w:asciiTheme="minorHAnsi" w:hAnsiTheme="minorHAnsi" w:cstheme="minorHAnsi"/>
                <w:sz w:val="18"/>
                <w:szCs w:val="18"/>
                <w:lang w:val="pt-BR" w:eastAsia="ar-SA"/>
              </w:rPr>
              <w:t>e no município de Goiana</w:t>
            </w:r>
          </w:p>
        </w:tc>
        <w:tc>
          <w:tcPr>
            <w:tcW w:w="2696" w:type="dxa"/>
            <w:shd w:val="clear" w:color="auto" w:fill="auto"/>
          </w:tcPr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16E9">
              <w:rPr>
                <w:rFonts w:asciiTheme="minorHAnsi" w:hAnsiTheme="minorHAnsi" w:cstheme="minorHAnsi"/>
                <w:b/>
                <w:sz w:val="18"/>
                <w:szCs w:val="18"/>
              </w:rPr>
              <w:t>Solução</w:t>
            </w:r>
            <w:r w:rsidRPr="00F73AA5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Implantação de melhorias na infraestrutura da </w:t>
            </w:r>
            <w:r w:rsidR="00F850C4" w:rsidRPr="00F850C4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Região Metropolitana do Recife e no município de Goiana</w:t>
            </w:r>
            <w:r w:rsidR="00F850C4" w:rsidRPr="00F850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474A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(futura sede da nova fábrica da FIAT) </w:t>
            </w:r>
            <w:r w:rsidRPr="00F73AA5">
              <w:rPr>
                <w:rFonts w:asciiTheme="minorHAnsi" w:hAnsiTheme="minorHAnsi" w:cstheme="minorHAnsi"/>
                <w:b/>
                <w:sz w:val="18"/>
                <w:szCs w:val="18"/>
              </w:rPr>
              <w:t>na área de coleta e tratamento de esgoto sanitário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Indicadores:</w:t>
            </w:r>
          </w:p>
          <w:p w:rsidR="002E0434" w:rsidRPr="00F73AA5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73AA5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Produto </w:t>
            </w:r>
            <w:r w:rsidR="00A916E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(2014):</w:t>
            </w:r>
          </w:p>
          <w:p w:rsidR="00BD6CCA" w:rsidRPr="00A916E9" w:rsidRDefault="00A916E9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916E9">
              <w:rPr>
                <w:rFonts w:asciiTheme="minorHAnsi" w:hAnsiTheme="minorHAnsi" w:cstheme="minorHAnsi"/>
                <w:sz w:val="18"/>
                <w:szCs w:val="18"/>
              </w:rPr>
              <w:t>1 novo contrato de PPP assinado</w:t>
            </w:r>
          </w:p>
          <w:p w:rsidR="00BD6CCA" w:rsidRDefault="00BD6CCA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2E0434" w:rsidRPr="00DF5528" w:rsidRDefault="002E0434" w:rsidP="00F504B4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DF5528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Resultado</w:t>
            </w:r>
            <w:r w:rsidR="00A916E9" w:rsidRPr="00DF5528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(em 12 anos)</w:t>
            </w:r>
            <w:r w:rsidRPr="00DF5528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</w:p>
          <w:p w:rsidR="002E0434" w:rsidRPr="00FB2D89" w:rsidRDefault="00FB2D89" w:rsidP="00FB2D8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>R$4,5</w:t>
            </w:r>
            <w:r w:rsidR="00BD6CCA"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bilhões de investimentos</w:t>
            </w:r>
            <w:r w:rsidRPr="00DF552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em saneamento, sendo R$3,1 privado e R$1,4 público</w:t>
            </w:r>
          </w:p>
        </w:tc>
        <w:tc>
          <w:tcPr>
            <w:tcW w:w="5386" w:type="dxa"/>
            <w:shd w:val="clear" w:color="auto" w:fill="auto"/>
          </w:tcPr>
          <w:p w:rsidR="002E0434" w:rsidRPr="00B920EA" w:rsidRDefault="002E0434" w:rsidP="00F504B4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lastRenderedPageBreak/>
              <w:t xml:space="preserve">1º tranche: 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Contratação de concessão administrativa para a exploração, manutenção, expansão e conservação da rede de esgotamento sanitário da Região Metropolitana do Recife e no município de Goiana</w:t>
            </w:r>
          </w:p>
          <w:p w:rsidR="002E0434" w:rsidRPr="00B920EA" w:rsidRDefault="002E0434" w:rsidP="00B920EA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B3058E" w:rsidRDefault="00C87C76" w:rsidP="00B920EA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Extrato do </w:t>
            </w:r>
            <w:r w:rsidR="002E0434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Contrato de PPP</w:t>
            </w:r>
            <w:r w:rsidR="008E2640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, </w:t>
            </w:r>
            <w:r w:rsidR="008E2640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publicado no DOE</w:t>
            </w:r>
            <w:r w:rsidR="008E2640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,</w:t>
            </w:r>
            <w:r w:rsidR="002E0434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assinado </w:t>
            </w:r>
            <w:r w:rsidR="008E2640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entre a</w:t>
            </w:r>
            <w:r w:rsidR="003B215D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</w:t>
            </w:r>
            <w:r w:rsidR="002E0434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COMPESA</w:t>
            </w:r>
            <w:r w:rsidR="008E2640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e o </w:t>
            </w:r>
            <w:r w:rsidR="00064CA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Consórcio Grande Recife (Foz do Brasil e Lidermac)</w:t>
            </w:r>
          </w:p>
          <w:p w:rsidR="002E0434" w:rsidRPr="00B920EA" w:rsidRDefault="002E0434" w:rsidP="00B920EA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:rsidR="00064CA5" w:rsidRDefault="002E0434" w:rsidP="00064CA5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2º tranche: 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Início da execução do contrato de PPP</w:t>
            </w:r>
            <w:r w:rsidR="003B215D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assinado entre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a COMPESA</w:t>
            </w:r>
            <w:r w:rsidR="003B215D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e o </w:t>
            </w:r>
            <w:r w:rsidR="00064CA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Consórcio Grande Recife (Foz do Brasil e Lidermac)</w:t>
            </w:r>
          </w:p>
          <w:p w:rsidR="002E0434" w:rsidRPr="00B920EA" w:rsidRDefault="002E0434" w:rsidP="00B920EA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2E0434" w:rsidRPr="00C87C76" w:rsidRDefault="002E0434" w:rsidP="00B920EA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Relatório do Verificador Independente </w:t>
            </w:r>
            <w:r w:rsidR="00DC2FEB"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comprovando o início da</w:t>
            </w:r>
            <w:r w:rsidR="00C87C76"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execução do </w:t>
            </w:r>
            <w:r w:rsidR="00C87C76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contrato de PPP</w:t>
            </w:r>
            <w:r w:rsidR="00B737BD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,</w:t>
            </w:r>
            <w:r w:rsidR="00C87C76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disponibilizado no Portal de PPP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lastRenderedPageBreak/>
              <w:t>(</w:t>
            </w:r>
            <w:hyperlink r:id="rId10" w:history="1">
              <w:r w:rsidRPr="00B920EA">
                <w:rPr>
                  <w:rStyle w:val="Hyperlink"/>
                  <w:rFonts w:asciiTheme="minorHAnsi" w:hAnsiTheme="minorHAnsi" w:cstheme="minorHAnsi"/>
                  <w:noProof/>
                  <w:sz w:val="18"/>
                  <w:szCs w:val="18"/>
                  <w:lang w:eastAsia="en-US"/>
                </w:rPr>
                <w:t>www.ppp.segov.pe.gov.br</w:t>
              </w:r>
            </w:hyperlink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)</w:t>
            </w:r>
          </w:p>
        </w:tc>
      </w:tr>
      <w:tr w:rsidR="00E737D1" w:rsidRPr="00694862" w:rsidTr="00AF1E4A">
        <w:tc>
          <w:tcPr>
            <w:tcW w:w="3685" w:type="dxa"/>
            <w:shd w:val="clear" w:color="auto" w:fill="auto"/>
          </w:tcPr>
          <w:p w:rsidR="00E737D1" w:rsidRPr="005312DB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312D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E737D1" w:rsidRPr="005312DB" w:rsidRDefault="002E0434" w:rsidP="00BC3532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(I</w:t>
            </w:r>
            <w:r w:rsidR="00815C72" w:rsidRPr="005312DB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II) </w:t>
            </w:r>
            <w:r w:rsidR="00E737D1" w:rsidRPr="005312DB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Falta de competitividade das empresas do Estado advinda do uso não eficiente dos recursos hídricos e energéticos na atividade produtiva</w:t>
            </w:r>
            <w:r w:rsidR="00E737D1" w:rsidRPr="005312DB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E737D1" w:rsidRPr="005312DB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312D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Evidência:</w:t>
            </w:r>
          </w:p>
          <w:p w:rsidR="004831DA" w:rsidRPr="00EB6556" w:rsidRDefault="00BF5C6C" w:rsidP="005312D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B6556">
              <w:rPr>
                <w:rFonts w:asciiTheme="minorHAnsi" w:hAnsiTheme="minorHAnsi" w:cstheme="minorHAnsi"/>
                <w:sz w:val="18"/>
                <w:szCs w:val="18"/>
              </w:rPr>
              <w:t>Consumos energéticos na indústria de transformação:</w:t>
            </w:r>
          </w:p>
          <w:p w:rsidR="00BF5C6C" w:rsidRPr="00EB6556" w:rsidRDefault="005312DB" w:rsidP="005312D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B6556">
              <w:rPr>
                <w:rFonts w:asciiTheme="minorHAnsi" w:hAnsiTheme="minorHAnsi" w:cstheme="minorHAnsi"/>
                <w:sz w:val="18"/>
                <w:szCs w:val="18"/>
              </w:rPr>
              <w:t>PE = 324 KWh / R$ 1 mil de produto</w:t>
            </w:r>
          </w:p>
          <w:p w:rsidR="005312DB" w:rsidRPr="00EB6556" w:rsidRDefault="005312DB" w:rsidP="005312D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B6556">
              <w:rPr>
                <w:rFonts w:asciiTheme="minorHAnsi" w:hAnsiTheme="minorHAnsi" w:cstheme="minorHAnsi"/>
                <w:sz w:val="18"/>
                <w:szCs w:val="18"/>
              </w:rPr>
              <w:t>CE = 286 KWh / R$ 1 mil de produto</w:t>
            </w:r>
          </w:p>
          <w:p w:rsidR="005312DB" w:rsidRPr="005312DB" w:rsidRDefault="005312DB" w:rsidP="005312D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B6556">
              <w:rPr>
                <w:rFonts w:asciiTheme="minorHAnsi" w:hAnsiTheme="minorHAnsi" w:cstheme="minorHAnsi"/>
                <w:sz w:val="18"/>
                <w:szCs w:val="18"/>
              </w:rPr>
              <w:t>Fontes: Anuário Estatístico de Energia 2012 (EPE) e do IBGE – VAB (Valor Adicionado Bruto da Indústria) 2010</w:t>
            </w:r>
          </w:p>
          <w:p w:rsidR="00F12728" w:rsidRPr="005312DB" w:rsidRDefault="00F12728" w:rsidP="005312D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312D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base:</w:t>
            </w:r>
          </w:p>
          <w:p w:rsidR="004831DA" w:rsidRPr="005312DB" w:rsidRDefault="004831DA" w:rsidP="00F1272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312D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(2012)</w:t>
            </w:r>
          </w:p>
          <w:p w:rsidR="004831DA" w:rsidRPr="005312DB" w:rsidRDefault="004831DA" w:rsidP="00F1272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312DB">
              <w:rPr>
                <w:rFonts w:asciiTheme="minorHAnsi" w:hAnsiTheme="minorHAnsi" w:cstheme="minorHAnsi"/>
                <w:sz w:val="18"/>
                <w:szCs w:val="18"/>
              </w:rPr>
              <w:t>Volume de recursos aplicados em projetos de eficiê</w:t>
            </w:r>
            <w:r w:rsidR="00F12728" w:rsidRPr="005312DB">
              <w:rPr>
                <w:rFonts w:asciiTheme="minorHAnsi" w:hAnsiTheme="minorHAnsi" w:cstheme="minorHAnsi"/>
                <w:sz w:val="18"/>
                <w:szCs w:val="18"/>
              </w:rPr>
              <w:t>ncia energética na indústria = R$0,0</w:t>
            </w:r>
          </w:p>
          <w:p w:rsidR="004831DA" w:rsidRPr="005312DB" w:rsidRDefault="004831DA" w:rsidP="00F1272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312D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 (2010):</w:t>
            </w:r>
          </w:p>
          <w:p w:rsidR="004831DA" w:rsidRPr="00EB6556" w:rsidRDefault="005312DB" w:rsidP="00F1272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B6556">
              <w:rPr>
                <w:rFonts w:asciiTheme="minorHAnsi" w:hAnsiTheme="minorHAnsi" w:cstheme="minorHAnsi"/>
                <w:sz w:val="18"/>
                <w:szCs w:val="18"/>
              </w:rPr>
              <w:t xml:space="preserve">Consumo médio de energia por mil reais de produto da indústria de transformação pernambucana = 324 </w:t>
            </w:r>
            <w:r w:rsidR="004831DA" w:rsidRPr="00EB6556">
              <w:rPr>
                <w:rFonts w:asciiTheme="minorHAnsi" w:hAnsiTheme="minorHAnsi" w:cstheme="minorHAnsi"/>
                <w:sz w:val="18"/>
                <w:szCs w:val="18"/>
              </w:rPr>
              <w:t>KWh</w:t>
            </w:r>
          </w:p>
          <w:p w:rsidR="00E737D1" w:rsidRPr="005312DB" w:rsidRDefault="005312DB" w:rsidP="00F1272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B6556">
              <w:rPr>
                <w:rFonts w:asciiTheme="minorHAnsi" w:hAnsiTheme="minorHAnsi" w:cstheme="minorHAnsi"/>
                <w:sz w:val="18"/>
                <w:szCs w:val="18"/>
              </w:rPr>
              <w:t xml:space="preserve">Fontes: Anuário Estatístico de Energia 2012 (EPE) e do IBGE – VAB (Valor Adicionado Bruto da Indústria) </w:t>
            </w:r>
            <w:r w:rsidR="004831DA" w:rsidRPr="00EB6556">
              <w:rPr>
                <w:rFonts w:asciiTheme="minorHAnsi" w:hAnsiTheme="minorHAnsi" w:cstheme="minorHAnsi"/>
                <w:sz w:val="18"/>
                <w:szCs w:val="18"/>
              </w:rPr>
              <w:t>2010</w:t>
            </w:r>
          </w:p>
        </w:tc>
        <w:tc>
          <w:tcPr>
            <w:tcW w:w="2976" w:type="dxa"/>
            <w:shd w:val="clear" w:color="auto" w:fill="auto"/>
          </w:tcPr>
          <w:p w:rsidR="00E737D1" w:rsidRPr="00694862" w:rsidRDefault="00E737D1" w:rsidP="00BD4D6A">
            <w:pPr>
              <w:pStyle w:val="Paragraph"/>
              <w:numPr>
                <w:ilvl w:val="0"/>
                <w:numId w:val="19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Insegurança na oferta de recursos hídricos e energéticos no Estado;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19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Planejamento inadequado da demanda por recursos hídricos e energéticos;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19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Alto custo da energia para atividade produtiva no Brasil;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19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Dificuldade de acesso das empresas às fontes de financiamento disponíveis para ações de eficientização hídrica e energética.</w:t>
            </w:r>
          </w:p>
        </w:tc>
        <w:tc>
          <w:tcPr>
            <w:tcW w:w="2696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Solução:</w:t>
            </w:r>
          </w:p>
          <w:p w:rsidR="004831DA" w:rsidRPr="00F12728" w:rsidRDefault="004831DA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12728">
              <w:rPr>
                <w:rFonts w:asciiTheme="minorHAnsi" w:hAnsiTheme="minorHAnsi" w:cstheme="minorHAnsi"/>
                <w:b/>
                <w:sz w:val="18"/>
                <w:szCs w:val="18"/>
              </w:rPr>
              <w:t>Criação de mecanismo de Financiamento de projetos que objetivem racionalização do uso de recursos hídricos e energéticos no Estado</w:t>
            </w:r>
          </w:p>
          <w:p w:rsidR="00F12728" w:rsidRDefault="00F12728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12728" w:rsidRDefault="004831DA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</w:t>
            </w:r>
          </w:p>
          <w:p w:rsidR="00E737D1" w:rsidRPr="00694862" w:rsidRDefault="004831DA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(até 2015)</w:t>
            </w:r>
          </w:p>
          <w:p w:rsidR="00E737D1" w:rsidRPr="00694862" w:rsidRDefault="004831DA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Volume de recursos aplicados em projetos de eficiência energética na indústria = 20 milhões de reais</w:t>
            </w:r>
          </w:p>
          <w:p w:rsidR="004831DA" w:rsidRPr="00694862" w:rsidRDefault="004831DA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:rsidR="004831DA" w:rsidRPr="00694862" w:rsidRDefault="004831DA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Resultados (2015):</w:t>
            </w:r>
          </w:p>
          <w:p w:rsidR="004831DA" w:rsidRPr="00694862" w:rsidRDefault="005312DB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940DE">
              <w:rPr>
                <w:rFonts w:ascii="Calibri" w:hAnsi="Calibri" w:cs="Calibri"/>
                <w:sz w:val="18"/>
                <w:szCs w:val="18"/>
              </w:rPr>
              <w:t>Redução em 5% da</w:t>
            </w:r>
            <w:r w:rsidRPr="001A101D">
              <w:rPr>
                <w:rFonts w:ascii="Calibri" w:hAnsi="Calibri" w:cs="Calibri"/>
                <w:sz w:val="18"/>
                <w:szCs w:val="18"/>
              </w:rPr>
              <w:t xml:space="preserve"> utilização média de energia em KWh por </w:t>
            </w:r>
            <w:r>
              <w:rPr>
                <w:rFonts w:ascii="Calibri" w:hAnsi="Calibri" w:cs="Calibri"/>
                <w:sz w:val="18"/>
                <w:szCs w:val="18"/>
              </w:rPr>
              <w:t>cada mil</w:t>
            </w:r>
            <w:r w:rsidRPr="001A101D">
              <w:rPr>
                <w:rFonts w:ascii="Calibri" w:hAnsi="Calibri" w:cs="Calibri"/>
                <w:sz w:val="18"/>
                <w:szCs w:val="18"/>
              </w:rPr>
              <w:t xml:space="preserve"> de reais de produto da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indústria de transformação do Estado</w:t>
            </w:r>
            <w:r w:rsidR="004831DA" w:rsidRPr="0069486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4831DA" w:rsidRPr="00541604" w:rsidRDefault="004831DA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</w:tcPr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1ª tranche: </w:t>
            </w:r>
            <w:r w:rsidR="008332E8"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Constituição de uma unidade coordenadora e gestora do Fundo de Eficiência Hídrica e Energética de Pernambuco - FEHEPE.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D80A3B" w:rsidRDefault="008332E8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Portaria conjunta (SDEC, SEMAS, SRHE, SECTEC)</w:t>
            </w:r>
            <w:r w:rsidR="00AA5F6E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publicada no DOE</w:t>
            </w:r>
            <w:r w:rsidR="00AA5F6E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constituindo a unidade coordenadora e gestora do Fundo de Eficiência Hídrica e En</w:t>
            </w:r>
            <w:r w:rsidR="007F371F">
              <w:rPr>
                <w:rFonts w:asciiTheme="minorHAnsi" w:hAnsiTheme="minorHAnsi" w:cstheme="minorHAnsi"/>
                <w:noProof/>
                <w:sz w:val="18"/>
                <w:szCs w:val="18"/>
              </w:rPr>
              <w:t>ergética de Pernambuco – FEHEPE</w:t>
            </w:r>
          </w:p>
          <w:p w:rsidR="007F371F" w:rsidRPr="00B920EA" w:rsidRDefault="007F371F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8332E8" w:rsidRPr="00B920EA" w:rsidRDefault="00541604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 xml:space="preserve">2ª tranche: </w:t>
            </w:r>
            <w:r w:rsidR="008332E8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Implantação do Fundo de Eficiência Hídrica e Energética de Pernambuco – FEHEPE</w:t>
            </w:r>
          </w:p>
          <w:p w:rsidR="008332E8" w:rsidRPr="00B920EA" w:rsidRDefault="008332E8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D80A3B" w:rsidRDefault="008332E8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Decreto</w:t>
            </w:r>
            <w:r w:rsidR="00AA5F6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do Poder Executivo Estadual,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publicado no DOE</w:t>
            </w:r>
            <w:r w:rsidR="00AA5F6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,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regulamentando </w:t>
            </w:r>
            <w:r w:rsidR="009940DE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o funcionamento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do FEHEPE</w:t>
            </w:r>
          </w:p>
          <w:p w:rsidR="007F371F" w:rsidRDefault="007F371F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:rsidR="00C52585" w:rsidRPr="00AD24A5" w:rsidRDefault="00813FBB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  <w:lang w:eastAsia="ar-SA"/>
              </w:rPr>
            </w:pPr>
            <w:r w:rsidRPr="00AD24A5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  <w:lang w:eastAsia="en-US"/>
              </w:rPr>
              <w:t>PGE/DANILO</w:t>
            </w:r>
            <w:r w:rsidR="00C52585" w:rsidRPr="00AD24A5"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  <w:lang w:eastAsia="ar-SA"/>
              </w:rPr>
              <w:t>: Verificar a lei de criação do fundo</w:t>
            </w:r>
          </w:p>
          <w:p w:rsidR="00AD24A5" w:rsidRPr="00AD24A5" w:rsidRDefault="00AD24A5" w:rsidP="00AD24A5">
            <w:pPr>
              <w:pStyle w:val="BodyText"/>
              <w:spacing w:after="0"/>
              <w:jc w:val="both"/>
              <w:rPr>
                <w:rFonts w:asciiTheme="minorHAnsi" w:hAnsiTheme="minorHAnsi" w:cs="Calibri"/>
                <w:sz w:val="18"/>
                <w:szCs w:val="18"/>
                <w:lang w:eastAsia="pt-BR"/>
              </w:rPr>
            </w:pPr>
            <w:r w:rsidRPr="00AD24A5">
              <w:rPr>
                <w:rFonts w:asciiTheme="minorHAnsi" w:hAnsiTheme="minorHAnsi" w:cs="Calibri"/>
                <w:sz w:val="18"/>
                <w:szCs w:val="18"/>
                <w:lang w:eastAsia="pt-BR"/>
              </w:rPr>
              <w:t xml:space="preserve">SDEC: O FEHEPE foi criado pela Lei </w:t>
            </w:r>
            <w:r w:rsidR="007F371F">
              <w:rPr>
                <w:rFonts w:asciiTheme="minorHAnsi" w:hAnsiTheme="minorHAnsi" w:cs="Calibri"/>
                <w:sz w:val="18"/>
                <w:szCs w:val="18"/>
                <w:lang w:eastAsia="pt-BR"/>
              </w:rPr>
              <w:t xml:space="preserve">Estadual </w:t>
            </w:r>
            <w:r w:rsidRPr="00AD24A5">
              <w:rPr>
                <w:rFonts w:asciiTheme="minorHAnsi" w:hAnsiTheme="minorHAnsi" w:cs="Calibri"/>
                <w:sz w:val="18"/>
                <w:szCs w:val="18"/>
                <w:lang w:eastAsia="pt-BR"/>
              </w:rPr>
              <w:t>14.666, de 18</w:t>
            </w:r>
            <w:r w:rsidR="00DC7D9C">
              <w:rPr>
                <w:rFonts w:asciiTheme="minorHAnsi" w:hAnsiTheme="minorHAnsi" w:cs="Calibri"/>
                <w:sz w:val="18"/>
                <w:szCs w:val="18"/>
                <w:lang w:eastAsia="pt-BR"/>
              </w:rPr>
              <w:t>/05/</w:t>
            </w:r>
            <w:r w:rsidRPr="00AD24A5">
              <w:rPr>
                <w:rFonts w:asciiTheme="minorHAnsi" w:hAnsiTheme="minorHAnsi" w:cs="Calibri"/>
                <w:sz w:val="18"/>
                <w:szCs w:val="18"/>
                <w:lang w:eastAsia="pt-BR"/>
              </w:rPr>
              <w:t>2012</w:t>
            </w:r>
          </w:p>
          <w:p w:rsidR="00AD24A5" w:rsidRDefault="007F371F" w:rsidP="00AD24A5">
            <w:pPr>
              <w:pStyle w:val="BodyText"/>
              <w:spacing w:after="0"/>
              <w:jc w:val="both"/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</w:pPr>
            <w:r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PGE: E</w:t>
            </w:r>
            <w:r w:rsidR="00AD24A5" w:rsidRPr="00F64354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 xml:space="preserve">sclareceu-se que a criação do fundo deu-se pela via legislativa, </w:t>
            </w:r>
            <w:r w:rsidR="008A0DDF" w:rsidRPr="00F64354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consoante</w:t>
            </w:r>
            <w:r w:rsidR="00AD24A5" w:rsidRPr="00F64354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 xml:space="preserve"> determina a Constituição da República</w:t>
            </w:r>
            <w:r w:rsidR="00DC7D9C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.</w:t>
            </w:r>
          </w:p>
          <w:p w:rsidR="00C131FC" w:rsidRPr="00F64354" w:rsidRDefault="00C131FC" w:rsidP="00AD24A5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ar-SA"/>
              </w:rPr>
            </w:pPr>
            <w:r w:rsidRPr="00CE24A4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BID: </w:t>
            </w:r>
            <w:r w:rsidR="00CE24A4" w:rsidRPr="00CE24A4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>OK</w:t>
            </w:r>
          </w:p>
        </w:tc>
      </w:tr>
      <w:tr w:rsidR="00E737D1" w:rsidRPr="00694862" w:rsidTr="00AF1E4A">
        <w:tc>
          <w:tcPr>
            <w:tcW w:w="3685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Problema:</w:t>
            </w:r>
          </w:p>
          <w:p w:rsidR="00E737D1" w:rsidRPr="00694862" w:rsidRDefault="002E0434" w:rsidP="00BC3532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(IV</w:t>
            </w:r>
            <w:r w:rsidR="00D859E4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) </w:t>
            </w:r>
            <w:r w:rsidR="009934FD" w:rsidRPr="00082F9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Insuficiente </w:t>
            </w:r>
            <w:r w:rsidR="009934FD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participação dos </w:t>
            </w:r>
            <w:r w:rsidR="00B463CE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governos </w:t>
            </w:r>
            <w:r w:rsidR="009934FD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munic</w:t>
            </w:r>
            <w:r w:rsidR="00B463CE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ípais</w:t>
            </w:r>
            <w:r w:rsidR="009934FD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 na atração de </w:t>
            </w:r>
            <w:r w:rsidR="009934FD" w:rsidRPr="00082F9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investimentos privados</w:t>
            </w:r>
            <w:r w:rsidR="009934FD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, especialmenteno</w:t>
            </w:r>
            <w:r w:rsidR="009934FD" w:rsidRPr="00082F9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 xml:space="preserve"> interior do Estado</w:t>
            </w:r>
          </w:p>
          <w:p w:rsidR="0085705B" w:rsidRPr="00694862" w:rsidRDefault="00B463CE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lastRenderedPageBreak/>
              <w:t>Evidência</w:t>
            </w:r>
          </w:p>
          <w:p w:rsidR="0085705B" w:rsidRDefault="0085705B" w:rsidP="003C33EB">
            <w:pPr>
              <w:pStyle w:val="BodyText"/>
              <w:numPr>
                <w:ilvl w:val="0"/>
                <w:numId w:val="45"/>
              </w:num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31E4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65%</w:t>
            </w:r>
            <w:r w:rsidRPr="00431E43">
              <w:rPr>
                <w:rFonts w:asciiTheme="minorHAnsi" w:hAnsiTheme="minorHAnsi" w:cstheme="minorHAnsi"/>
                <w:sz w:val="18"/>
                <w:szCs w:val="18"/>
              </w:rPr>
              <w:t xml:space="preserve">do PIB do Estado de Pernambuco está concentrado na RMR, que abriga </w:t>
            </w:r>
            <w:r w:rsidRPr="00431E43">
              <w:rPr>
                <w:rFonts w:asciiTheme="minorHAnsi" w:hAnsiTheme="minorHAnsi" w:cstheme="minorHAnsi"/>
                <w:b/>
                <w:sz w:val="18"/>
                <w:szCs w:val="18"/>
              </w:rPr>
              <w:t>42%</w:t>
            </w:r>
            <w:r w:rsidRPr="00431E43">
              <w:rPr>
                <w:rFonts w:asciiTheme="minorHAnsi" w:hAnsiTheme="minorHAnsi" w:cstheme="minorHAnsi"/>
                <w:sz w:val="18"/>
                <w:szCs w:val="18"/>
              </w:rPr>
              <w:t xml:space="preserve"> da População e ocupa </w:t>
            </w:r>
            <w:r w:rsidRPr="00431E43">
              <w:rPr>
                <w:rFonts w:asciiTheme="minorHAnsi" w:hAnsiTheme="minorHAnsi" w:cstheme="minorHAnsi"/>
                <w:b/>
                <w:sz w:val="18"/>
                <w:szCs w:val="18"/>
              </w:rPr>
              <w:t>3%</w:t>
            </w:r>
            <w:r w:rsidRPr="00431E43">
              <w:rPr>
                <w:rFonts w:asciiTheme="minorHAnsi" w:hAnsiTheme="minorHAnsi" w:cstheme="minorHAnsi"/>
                <w:sz w:val="18"/>
                <w:szCs w:val="18"/>
              </w:rPr>
              <w:t xml:space="preserve"> da área geográfica.</w:t>
            </w:r>
          </w:p>
          <w:p w:rsidR="00431E43" w:rsidRPr="00431E43" w:rsidRDefault="00431E43" w:rsidP="003C33EB">
            <w:pPr>
              <w:pStyle w:val="BodyText"/>
              <w:numPr>
                <w:ilvl w:val="0"/>
                <w:numId w:val="45"/>
              </w:num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31E4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Levantamento da SDEC demonstra que nenhum município do Estado </w:t>
            </w:r>
            <w:r w:rsidR="0052082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apresentação estruturada</w:t>
            </w:r>
            <w:r w:rsidRPr="00431E4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para atração de investimentos privados. </w:t>
            </w:r>
          </w:p>
          <w:p w:rsidR="0085705B" w:rsidRPr="00694862" w:rsidRDefault="0085705B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</w:p>
          <w:p w:rsidR="007A47E9" w:rsidRDefault="007A47E9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Linha de base:</w:t>
            </w:r>
          </w:p>
          <w:p w:rsidR="0085705B" w:rsidRPr="00694862" w:rsidRDefault="0085705B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Produto (2012)</w:t>
            </w:r>
          </w:p>
          <w:p w:rsidR="00E737D1" w:rsidRPr="00694862" w:rsidRDefault="007A47E9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47E9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85705B" w:rsidRPr="007A47E9">
              <w:rPr>
                <w:rFonts w:asciiTheme="minorHAnsi" w:hAnsiTheme="minorHAnsi" w:cstheme="minorHAnsi"/>
                <w:sz w:val="18"/>
                <w:szCs w:val="18"/>
              </w:rPr>
              <w:t xml:space="preserve"> convênios de cooperação técnica para atração de investimentos assinados com prefeituras do int</w:t>
            </w:r>
            <w:r w:rsidRPr="007A47E9">
              <w:rPr>
                <w:rFonts w:asciiTheme="minorHAnsi" w:hAnsiTheme="minorHAnsi" w:cstheme="minorHAnsi"/>
                <w:sz w:val="18"/>
                <w:szCs w:val="18"/>
              </w:rPr>
              <w:t>erior do Estado</w:t>
            </w:r>
          </w:p>
        </w:tc>
        <w:tc>
          <w:tcPr>
            <w:tcW w:w="2976" w:type="dxa"/>
            <w:shd w:val="clear" w:color="auto" w:fill="auto"/>
          </w:tcPr>
          <w:p w:rsidR="00E737D1" w:rsidRPr="00694862" w:rsidRDefault="00E737D1" w:rsidP="00BD4D6A">
            <w:pPr>
              <w:pStyle w:val="Paragraph"/>
              <w:numPr>
                <w:ilvl w:val="0"/>
                <w:numId w:val="20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lastRenderedPageBreak/>
              <w:t>Baixa capacitação do corpo gerencial e técnico das prefeituras do interior;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20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 xml:space="preserve">Pouca experiência das Prefeituras na utilização de mecanismos de </w:t>
            </w: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lastRenderedPageBreak/>
              <w:t>atração de investimentos;</w:t>
            </w:r>
          </w:p>
          <w:p w:rsidR="00E737D1" w:rsidRDefault="00E737D1" w:rsidP="00BD4D6A">
            <w:pPr>
              <w:pStyle w:val="Paragraph"/>
              <w:numPr>
                <w:ilvl w:val="0"/>
                <w:numId w:val="20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Pouca sensibilização dos gestores ao fato de serem responsáveis, também, pelas ações de estímulo ao desenvolvimento.</w:t>
            </w:r>
          </w:p>
          <w:p w:rsidR="009934FD" w:rsidRPr="0009579F" w:rsidRDefault="009934FD" w:rsidP="00B463CE">
            <w:pPr>
              <w:pStyle w:val="Paragraph"/>
              <w:numPr>
                <w:ilvl w:val="0"/>
                <w:numId w:val="20"/>
              </w:numPr>
              <w:spacing w:before="0" w:after="0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 w:rsidRPr="00B463CE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Baixa</w:t>
            </w:r>
            <w:r w:rsidR="00D47146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 xml:space="preserve"> </w:t>
            </w:r>
            <w:r w:rsidRPr="0009579F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capacidade institucional dos municípios do interior do Estado em promover a atração de investimentos produtivos privados.</w:t>
            </w:r>
          </w:p>
          <w:p w:rsidR="009934FD" w:rsidRPr="00694862" w:rsidRDefault="009934FD" w:rsidP="00B463CE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</w:p>
        </w:tc>
        <w:tc>
          <w:tcPr>
            <w:tcW w:w="2696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Solução:</w:t>
            </w:r>
          </w:p>
          <w:p w:rsidR="00E737D1" w:rsidRPr="007A47E9" w:rsidRDefault="00F10A58" w:rsidP="007A47E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Fomentar cultura de estímulo </w:t>
            </w:r>
            <w:r w:rsidR="001608B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à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="00E737D1" w:rsidRPr="007A47E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tração de empreendimentos </w:t>
            </w:r>
            <w:r w:rsidR="00B463C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privados </w:t>
            </w:r>
            <w:r w:rsidR="00E737D1" w:rsidRPr="007A47E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pelos </w:t>
            </w:r>
            <w:r w:rsidR="00B463CE">
              <w:rPr>
                <w:rFonts w:asciiTheme="minorHAnsi" w:hAnsiTheme="minorHAnsi" w:cstheme="minorHAnsi"/>
                <w:b/>
                <w:sz w:val="18"/>
                <w:szCs w:val="18"/>
              </w:rPr>
              <w:t>governos municipais</w:t>
            </w:r>
            <w:r w:rsidR="007A47E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</w:t>
            </w:r>
            <w:r w:rsidR="007A47E9">
              <w:rPr>
                <w:rFonts w:asciiTheme="minorHAnsi" w:hAnsiTheme="minorHAnsi" w:cstheme="minorHAnsi"/>
                <w:sz w:val="18"/>
                <w:szCs w:val="18"/>
              </w:rPr>
              <w:t>envolvendo</w:t>
            </w:r>
          </w:p>
          <w:p w:rsidR="00E737D1" w:rsidRPr="007A47E9" w:rsidRDefault="007A47E9" w:rsidP="00BD4D6A">
            <w:pPr>
              <w:pStyle w:val="ListParagraph"/>
              <w:numPr>
                <w:ilvl w:val="0"/>
                <w:numId w:val="21"/>
              </w:numPr>
              <w:spacing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A47E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Oferta de</w:t>
            </w:r>
            <w:r w:rsidR="00E737D1" w:rsidRPr="007A47E9">
              <w:rPr>
                <w:rFonts w:asciiTheme="minorHAnsi" w:hAnsiTheme="minorHAnsi" w:cstheme="minorHAnsi"/>
                <w:sz w:val="16"/>
                <w:szCs w:val="16"/>
              </w:rPr>
              <w:t xml:space="preserve"> cooperação técnica aos gestores municipais com o objetivo de fortalecer o corpo gerencial</w:t>
            </w:r>
          </w:p>
          <w:p w:rsidR="008900A9" w:rsidRDefault="008900A9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Indicador</w:t>
            </w:r>
          </w:p>
          <w:p w:rsidR="0085705B" w:rsidRPr="00694862" w:rsidRDefault="00D62DDA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Produto (até 2015</w:t>
            </w:r>
            <w:r w:rsidR="0085705B" w:rsidRPr="00694862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):</w:t>
            </w:r>
          </w:p>
          <w:p w:rsidR="0085705B" w:rsidRPr="007A47E9" w:rsidRDefault="007A47E9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  <w:r w:rsidR="0085705B" w:rsidRPr="007A47E9">
              <w:rPr>
                <w:rFonts w:asciiTheme="minorHAnsi" w:hAnsiTheme="minorHAnsi" w:cstheme="minorHAnsi"/>
                <w:sz w:val="18"/>
                <w:szCs w:val="18"/>
              </w:rPr>
              <w:t xml:space="preserve"> convênios de cooperação técnica para atração de investimentos assinados com prefei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turas do interior do Estado</w:t>
            </w:r>
          </w:p>
          <w:p w:rsidR="0085705B" w:rsidRPr="00694862" w:rsidRDefault="0085705B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</w:p>
          <w:p w:rsidR="008900A9" w:rsidRPr="00694862" w:rsidRDefault="0085705B" w:rsidP="008900A9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Resultados </w:t>
            </w:r>
          </w:p>
          <w:p w:rsidR="00E737D1" w:rsidRPr="00694862" w:rsidRDefault="004A407B" w:rsidP="0085705B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4A407B">
              <w:rPr>
                <w:rFonts w:asciiTheme="minorHAnsi" w:hAnsiTheme="minorHAnsi" w:cstheme="minorHAnsi"/>
                <w:b/>
                <w:sz w:val="18"/>
                <w:szCs w:val="18"/>
              </w:rPr>
              <w:t>NÃO SE APLICA</w:t>
            </w:r>
          </w:p>
        </w:tc>
        <w:tc>
          <w:tcPr>
            <w:tcW w:w="5386" w:type="dxa"/>
            <w:shd w:val="clear" w:color="auto" w:fill="auto"/>
          </w:tcPr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lastRenderedPageBreak/>
              <w:t xml:space="preserve">1ª tranche: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Criação da política de apoio ao desenvolvimento institucional dos municípios</w:t>
            </w:r>
            <w:r w:rsidR="0085705B"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,</w:t>
            </w:r>
            <w:r w:rsidR="001608B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</w:t>
            </w:r>
            <w:r w:rsidR="00D9662F" w:rsidRPr="00B920EA">
              <w:rPr>
                <w:rFonts w:asciiTheme="minorHAnsi" w:hAnsiTheme="minorHAnsi" w:cstheme="minorHAnsi"/>
                <w:sz w:val="18"/>
                <w:szCs w:val="18"/>
              </w:rPr>
              <w:t>prioritariamente do interior</w:t>
            </w:r>
            <w:r w:rsidR="001608B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9662F" w:rsidRPr="00B920E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para atração de investimentos privados.</w:t>
            </w:r>
          </w:p>
          <w:p w:rsidR="00E737D1" w:rsidRPr="00B920EA" w:rsidRDefault="00E737D1" w:rsidP="00D62DD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E737D1" w:rsidRDefault="00E737D1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Decreto do Poder Executivo </w:t>
            </w:r>
            <w:r w:rsidR="001608B6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stadual</w:t>
            </w:r>
            <w:r w:rsidR="001608B6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DOE, instituindo a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política de apoio ao desenvolvimento institucional dos municípios do interior para atração de investimentos privados.</w:t>
            </w:r>
          </w:p>
          <w:p w:rsidR="00B920EA" w:rsidRPr="00B920EA" w:rsidRDefault="00B920EA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2ª tranche: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Operacionalização da política de apoio ao desenvolvimento institucional dos municípios do interior para atração de investimentos privados.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C5058C" w:rsidRPr="00934D90" w:rsidRDefault="00D62DDA" w:rsidP="001608B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6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Extratos de c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onvênios de cooperação técnica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entre o Estado e</w:t>
            </w:r>
            <w:r w:rsidR="00B84D4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="001608B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pelo menos</w:t>
            </w:r>
            <w:r w:rsidR="00B84D4C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10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municípios do interior,</w:t>
            </w:r>
            <w:r w:rsidR="001608B6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publicados no DOE</w:t>
            </w:r>
            <w:r w:rsidR="001608B6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para</w:t>
            </w:r>
            <w:r w:rsidR="001608B6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dar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a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poio ao desenvolvimento institucional desses municípios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</w:p>
        </w:tc>
      </w:tr>
      <w:tr w:rsidR="00E737D1" w:rsidRPr="00694862" w:rsidTr="00AF1E4A">
        <w:tc>
          <w:tcPr>
            <w:tcW w:w="3685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E737D1" w:rsidRPr="00694862" w:rsidRDefault="002E0434" w:rsidP="00BC3532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(V</w:t>
            </w:r>
            <w:r w:rsidR="00FE7208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) </w:t>
            </w:r>
            <w:r w:rsidR="00082F96" w:rsidRPr="00082F96">
              <w:rPr>
                <w:rFonts w:asciiTheme="minorHAnsi" w:hAnsiTheme="minorHAnsi" w:cstheme="minorHAnsi"/>
                <w:b/>
                <w:noProof/>
                <w:sz w:val="18"/>
                <w:szCs w:val="18"/>
                <w:lang w:eastAsia="en-US"/>
              </w:rPr>
              <w:t>Insuficiente estimulo para investimentos privados em atividades formais e competitivas no interior do Estado</w:t>
            </w:r>
            <w:r w:rsidR="00082F96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.</w:t>
            </w:r>
          </w:p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Evidência:</w:t>
            </w:r>
          </w:p>
          <w:p w:rsidR="00E737D1" w:rsidRPr="00694862" w:rsidRDefault="00E737D1" w:rsidP="00BC3532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O APL de confeções do agreste é o mais relevante do interior do estado, apresentando os seguinte números:</w:t>
            </w:r>
          </w:p>
          <w:p w:rsidR="00790EC1" w:rsidRPr="00694862" w:rsidRDefault="00E737D1" w:rsidP="00BD4D6A">
            <w:pPr>
              <w:pStyle w:val="ListParagraph"/>
              <w:numPr>
                <w:ilvl w:val="0"/>
                <w:numId w:val="13"/>
              </w:numPr>
              <w:spacing w:after="60"/>
              <w:ind w:left="227" w:hanging="227"/>
              <w:contextualSpacing w:val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O APL congrega cerca de </w:t>
            </w:r>
            <w:r w:rsidR="00790EC1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19000</w:t>
            </w:r>
            <w:r w:rsidR="00714C4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</w:t>
            </w:r>
            <w:r w:rsidR="00790EC1" w:rsidRPr="00694862">
              <w:rPr>
                <w:rFonts w:asciiTheme="minorHAnsi" w:hAnsiTheme="minorHAnsi" w:cstheme="minorHAnsi"/>
                <w:sz w:val="18"/>
                <w:szCs w:val="18"/>
              </w:rPr>
              <w:t xml:space="preserve">empreendimentos industriais de confecções, dos quais 80% são informais, se distribuindo em 10 municípios (Fontes: </w:t>
            </w:r>
            <w:r w:rsidR="00D47146">
              <w:rPr>
                <w:rFonts w:asciiTheme="minorHAnsi" w:hAnsiTheme="minorHAnsi" w:cstheme="minorHAnsi"/>
                <w:sz w:val="18"/>
                <w:szCs w:val="18"/>
              </w:rPr>
              <w:t>SEFAZ</w:t>
            </w:r>
            <w:r w:rsidR="00790EC1" w:rsidRPr="00694862">
              <w:rPr>
                <w:rFonts w:asciiTheme="minorHAnsi" w:hAnsiTheme="minorHAnsi" w:cstheme="minorHAnsi"/>
                <w:sz w:val="18"/>
                <w:szCs w:val="18"/>
              </w:rPr>
              <w:t>/PE e Pesquisa SEBRAE/PE);</w:t>
            </w:r>
          </w:p>
          <w:p w:rsidR="00790EC1" w:rsidRPr="00694862" w:rsidRDefault="00E737D1" w:rsidP="00BD4D6A">
            <w:pPr>
              <w:pStyle w:val="ListParagraph"/>
              <w:numPr>
                <w:ilvl w:val="0"/>
                <w:numId w:val="13"/>
              </w:numPr>
              <w:spacing w:after="60"/>
              <w:ind w:left="227" w:hanging="227"/>
              <w:contextualSpacing w:val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O APL ocupa diretamente </w:t>
            </w:r>
            <w:r w:rsidR="00790EC1" w:rsidRPr="00694862">
              <w:rPr>
                <w:rFonts w:asciiTheme="minorHAnsi" w:hAnsiTheme="minorHAnsi" w:cstheme="minorHAnsi"/>
                <w:sz w:val="18"/>
                <w:szCs w:val="18"/>
              </w:rPr>
              <w:t>107.000 pessoas (Pesquisa SEBRAE/PE).</w:t>
            </w:r>
          </w:p>
          <w:p w:rsidR="007A47E9" w:rsidRDefault="007A47E9" w:rsidP="00AC247A">
            <w:pPr>
              <w:spacing w:after="6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>Linha de base:</w:t>
            </w:r>
          </w:p>
          <w:p w:rsidR="003F047B" w:rsidRPr="00694862" w:rsidRDefault="00AC247A" w:rsidP="00AC247A">
            <w:pPr>
              <w:spacing w:after="60"/>
              <w:jc w:val="both"/>
              <w:rPr>
                <w:rFonts w:asciiTheme="minorHAnsi" w:hAnsiTheme="minorHAnsi" w:cstheme="minorHAnsi"/>
              </w:rPr>
            </w:pPr>
            <w:r w:rsidRPr="00694862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>Produto (2012):</w:t>
            </w:r>
          </w:p>
          <w:p w:rsidR="00790EC1" w:rsidRPr="00694862" w:rsidRDefault="007A47E9" w:rsidP="00AC247A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Nenhuma das</w:t>
            </w:r>
            <w:r w:rsidR="00AC247A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empresa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s</w:t>
            </w:r>
            <w:r w:rsidR="00AC247A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</w:t>
            </w:r>
            <w:r w:rsidR="00667849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capacitadas</w:t>
            </w:r>
            <w:r w:rsidR="00AC247A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pelo </w:t>
            </w:r>
            <w:r w:rsidR="00AC247A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lastRenderedPageBreak/>
              <w:t>programa de intel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igência mercadológica</w:t>
            </w:r>
          </w:p>
          <w:p w:rsidR="00AC247A" w:rsidRPr="00694862" w:rsidRDefault="00AC247A" w:rsidP="00AC247A">
            <w:pPr>
              <w:spacing w:after="60"/>
              <w:jc w:val="both"/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</w:pPr>
            <w:r w:rsidRPr="00694862">
              <w:rPr>
                <w:rFonts w:asciiTheme="minorHAnsi" w:hAnsiTheme="minorHAnsi" w:cstheme="minorHAnsi"/>
                <w:b/>
                <w:i/>
                <w:noProof/>
                <w:sz w:val="18"/>
                <w:szCs w:val="18"/>
                <w:lang w:eastAsia="en-US"/>
              </w:rPr>
              <w:t xml:space="preserve">Resultado (2012): </w:t>
            </w:r>
          </w:p>
          <w:p w:rsidR="00E737D1" w:rsidRPr="007A47E9" w:rsidRDefault="005312DB" w:rsidP="005312DB">
            <w:pPr>
              <w:spacing w:after="6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</w:pPr>
            <w:r w:rsidRPr="009934FD">
              <w:rPr>
                <w:rFonts w:ascii="Calibri" w:hAnsi="Calibri" w:cs="Calibri"/>
                <w:sz w:val="18"/>
                <w:szCs w:val="18"/>
              </w:rPr>
              <w:t>349 empresas realizaram negócios nas rodadas de negócios no Arranjo Produtivo Local de Confecções do Agreste do Estado de 2006 a</w:t>
            </w:r>
            <w:r w:rsidR="00AC247A" w:rsidRPr="00694862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2012</w:t>
            </w:r>
          </w:p>
        </w:tc>
        <w:tc>
          <w:tcPr>
            <w:tcW w:w="2976" w:type="dxa"/>
            <w:shd w:val="clear" w:color="auto" w:fill="auto"/>
          </w:tcPr>
          <w:p w:rsidR="00082F96" w:rsidRPr="00AE1B8D" w:rsidRDefault="00082F96" w:rsidP="00BD4D6A">
            <w:pPr>
              <w:pStyle w:val="Paragraph"/>
              <w:numPr>
                <w:ilvl w:val="0"/>
                <w:numId w:val="22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AE1B8D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lastRenderedPageBreak/>
              <w:t>Baixa participação dos empreendimentos do Arranjo Produtivo Local (APL) de confecções da região agreste do Estado em estratégias ativas de comercialização e agregação de valor ao produto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22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Crescimento descoordenado e desestruturado do APL de confecções do agreste;</w:t>
            </w:r>
          </w:p>
          <w:p w:rsidR="00E737D1" w:rsidRPr="00694862" w:rsidRDefault="00E737D1" w:rsidP="00BD4D6A">
            <w:pPr>
              <w:pStyle w:val="Paragraph"/>
              <w:numPr>
                <w:ilvl w:val="0"/>
                <w:numId w:val="22"/>
              </w:num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694862">
              <w:rPr>
                <w:rFonts w:asciiTheme="minorHAnsi" w:hAnsiTheme="minorHAnsi" w:cstheme="minorHAnsi"/>
                <w:sz w:val="18"/>
                <w:szCs w:val="18"/>
                <w:lang w:val="pt-BR"/>
              </w:rPr>
              <w:t>Alta informalidade e baixo cumprimento de requisitos ambientais dos atores componentes do APL.</w:t>
            </w:r>
          </w:p>
        </w:tc>
        <w:tc>
          <w:tcPr>
            <w:tcW w:w="2696" w:type="dxa"/>
            <w:shd w:val="clear" w:color="auto" w:fill="auto"/>
          </w:tcPr>
          <w:p w:rsidR="00E737D1" w:rsidRPr="00694862" w:rsidRDefault="00E737D1" w:rsidP="00BC3532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Solução:</w:t>
            </w:r>
          </w:p>
          <w:p w:rsidR="00E737D1" w:rsidRPr="007A47E9" w:rsidRDefault="00E737D1" w:rsidP="007A47E9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E1B8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Implantação de programa de fomento à agregação de valor e ações efetivas de fortalecimento e inserção em mercados, para os empreendimentos do </w:t>
            </w:r>
            <w:r w:rsidR="00AE1B8D" w:rsidRPr="00AE1B8D">
              <w:rPr>
                <w:rFonts w:asciiTheme="minorHAnsi" w:hAnsiTheme="minorHAnsi" w:cstheme="minorHAnsi"/>
                <w:b/>
                <w:sz w:val="18"/>
                <w:szCs w:val="18"/>
              </w:rPr>
              <w:t>interior</w:t>
            </w:r>
            <w:r w:rsidR="00AE1B8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 Estado</w:t>
            </w:r>
            <w:r w:rsidRPr="007A47E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7A47E9" w:rsidRDefault="00F7172E" w:rsidP="00F7172E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</w:t>
            </w:r>
            <w:r w:rsidR="007A47E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</w:p>
          <w:p w:rsidR="00E737D1" w:rsidRPr="00694862" w:rsidRDefault="00F7172E" w:rsidP="00F7172E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 (2015):</w:t>
            </w:r>
          </w:p>
          <w:p w:rsidR="00F7172E" w:rsidRDefault="005312DB" w:rsidP="00F7172E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  <w:r w:rsidR="00F7172E" w:rsidRPr="006948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7172E" w:rsidRPr="00667849">
              <w:rPr>
                <w:rFonts w:asciiTheme="minorHAnsi" w:hAnsiTheme="minorHAnsi" w:cstheme="minorHAnsi"/>
                <w:sz w:val="18"/>
                <w:szCs w:val="18"/>
              </w:rPr>
              <w:t xml:space="preserve">empresas </w:t>
            </w:r>
            <w:r w:rsidR="00667849">
              <w:rPr>
                <w:rFonts w:asciiTheme="minorHAnsi" w:hAnsiTheme="minorHAnsi" w:cstheme="minorHAnsi"/>
                <w:sz w:val="18"/>
                <w:szCs w:val="18"/>
              </w:rPr>
              <w:t>capacitadas</w:t>
            </w:r>
            <w:r w:rsidR="00CE24A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7172E" w:rsidRPr="00694862">
              <w:rPr>
                <w:rFonts w:asciiTheme="minorHAnsi" w:hAnsiTheme="minorHAnsi" w:cstheme="minorHAnsi"/>
                <w:sz w:val="18"/>
                <w:szCs w:val="18"/>
              </w:rPr>
              <w:t>pelo programa de inteligência mercadológica</w:t>
            </w:r>
            <w:r w:rsidR="00AE1B8D">
              <w:rPr>
                <w:rFonts w:asciiTheme="minorHAnsi" w:hAnsiTheme="minorHAnsi" w:cstheme="minorHAnsi"/>
                <w:sz w:val="18"/>
                <w:szCs w:val="18"/>
              </w:rPr>
              <w:t xml:space="preserve"> no interior do Estado</w:t>
            </w:r>
          </w:p>
          <w:p w:rsidR="005312DB" w:rsidRPr="00694862" w:rsidRDefault="005312DB" w:rsidP="00F7172E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3517A">
              <w:rPr>
                <w:rFonts w:asciiTheme="minorHAnsi" w:hAnsiTheme="minorHAnsi" w:cstheme="minorHAnsi"/>
                <w:sz w:val="18"/>
                <w:szCs w:val="18"/>
              </w:rPr>
              <w:t>Fonte: relatório de gestão do Núcleo Gestor da Cadeia Têxtil e de Confecções -</w:t>
            </w:r>
            <w:r w:rsidR="00EA0E9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E1B8D">
              <w:rPr>
                <w:rFonts w:ascii="Calibri" w:hAnsi="Calibri" w:cs="Calibri"/>
                <w:sz w:val="18"/>
                <w:szCs w:val="18"/>
              </w:rPr>
              <w:t>NTC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="00AE1B8D">
              <w:rPr>
                <w:rFonts w:ascii="Calibri" w:hAnsi="Calibri" w:cs="Calibri"/>
                <w:sz w:val="18"/>
                <w:szCs w:val="18"/>
              </w:rPr>
              <w:t>E</w:t>
            </w:r>
          </w:p>
          <w:p w:rsidR="00F7172E" w:rsidRPr="00694862" w:rsidRDefault="00F7172E" w:rsidP="00F7172E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69486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 (até 2015):</w:t>
            </w:r>
          </w:p>
          <w:p w:rsidR="00F7172E" w:rsidRPr="009934FD" w:rsidRDefault="005312DB" w:rsidP="00F7172E">
            <w:pPr>
              <w:pStyle w:val="BodyText"/>
              <w:spacing w:after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934FD">
              <w:rPr>
                <w:rFonts w:ascii="Calibri" w:hAnsi="Calibri" w:cs="Calibri"/>
                <w:sz w:val="18"/>
                <w:szCs w:val="18"/>
              </w:rPr>
              <w:t xml:space="preserve">Incremento de 50% no número de empresa com negócios realizados nas rodadas de negócios do </w:t>
            </w:r>
            <w:r w:rsidRPr="009934FD">
              <w:rPr>
                <w:rFonts w:ascii="Calibri" w:hAnsi="Calibri" w:cs="Calibri"/>
                <w:sz w:val="18"/>
                <w:szCs w:val="18"/>
              </w:rPr>
              <w:lastRenderedPageBreak/>
              <w:t>Arranjo Produtivo Local de Confecções do Agreste do Estado</w:t>
            </w:r>
          </w:p>
          <w:p w:rsidR="005312DB" w:rsidRPr="00694862" w:rsidRDefault="005312DB" w:rsidP="00F7172E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3517A">
              <w:rPr>
                <w:rFonts w:asciiTheme="minorHAnsi" w:hAnsiTheme="minorHAnsi" w:cstheme="minorHAnsi"/>
                <w:sz w:val="18"/>
                <w:szCs w:val="18"/>
              </w:rPr>
              <w:t xml:space="preserve">Fonte: relatório de gestão do Núcleo Gestor da Cadeia Têxtil e de Confecções </w:t>
            </w:r>
            <w:r w:rsidR="00AE1B8D" w:rsidRPr="0013517A">
              <w:rPr>
                <w:rFonts w:asciiTheme="minorHAnsi" w:hAnsiTheme="minorHAnsi" w:cstheme="minorHAnsi"/>
                <w:sz w:val="18"/>
                <w:szCs w:val="18"/>
              </w:rPr>
              <w:t>NTCPE</w:t>
            </w:r>
          </w:p>
        </w:tc>
        <w:tc>
          <w:tcPr>
            <w:tcW w:w="5386" w:type="dxa"/>
            <w:shd w:val="clear" w:color="auto" w:fill="auto"/>
          </w:tcPr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lastRenderedPageBreak/>
              <w:t xml:space="preserve">1ª tranche: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Implantação do Programa de Inteligência Mercadológica do Arranjo Produtivo Local de Confeções do agreste do Estado.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E737D1" w:rsidRDefault="005A1DDB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Extrato do 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Contrato de Gestão</w:t>
            </w:r>
            <w:r w:rsidR="00CE24A4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do Programa de Inteligência Mercadológica</w:t>
            </w:r>
            <w:r w:rsidR="00C12F8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firmado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 xml:space="preserve"> 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entre a SDEC e a Organização Social Núcleo Gestor da Cadeia Têxtil e de C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onfecções em Pernambuco – NTCPE publicado no DOE</w:t>
            </w:r>
          </w:p>
          <w:p w:rsidR="00B84D4C" w:rsidRPr="00921C28" w:rsidRDefault="00B84D4C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921C28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  <w:t>SEPLAG: Verificar junto à SDEC se a PGE já vistou o contrato</w:t>
            </w:r>
            <w:r w:rsidR="00315D00" w:rsidRPr="00921C28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  <w:t xml:space="preserve"> e solicitar justificativa do convênio estar separado do contrato de gestão</w:t>
            </w:r>
          </w:p>
          <w:p w:rsidR="00035C61" w:rsidRPr="00921C28" w:rsidRDefault="00921C28" w:rsidP="00035C61">
            <w:pPr>
              <w:pStyle w:val="BodyText"/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21C28">
              <w:rPr>
                <w:rFonts w:asciiTheme="minorHAnsi" w:hAnsiTheme="minorHAnsi" w:cs="Calibri"/>
                <w:noProof/>
                <w:sz w:val="18"/>
                <w:szCs w:val="18"/>
              </w:rPr>
              <w:t>SDEC</w:t>
            </w:r>
            <w:r w:rsidR="00035C61" w:rsidRPr="00921C28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: </w:t>
            </w:r>
            <w:r w:rsidRPr="00921C28">
              <w:rPr>
                <w:rFonts w:asciiTheme="minorHAnsi" w:hAnsiTheme="minorHAnsi" w:cs="Calibri"/>
                <w:sz w:val="18"/>
                <w:szCs w:val="18"/>
                <w:lang w:eastAsia="pt-BR"/>
              </w:rPr>
              <w:t>O Contrato de Gestão está em trâmite na ARPE e esperamos tê-lo liberado ainda em Março. A transferência da gestão do Marco Pernambucano da Moda será, sim, objeto de convênio à parte</w:t>
            </w:r>
          </w:p>
          <w:p w:rsidR="00921C28" w:rsidRPr="00E22805" w:rsidRDefault="00921C28" w:rsidP="00035C61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color w:val="FF0000"/>
                <w:sz w:val="18"/>
                <w:szCs w:val="18"/>
              </w:rPr>
            </w:pPr>
            <w:r w:rsidRPr="00921C28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PGE</w:t>
            </w:r>
            <w:r w:rsidR="00E22805">
              <w:rPr>
                <w:rFonts w:asciiTheme="minorHAnsi" w:hAnsiTheme="minorHAnsi"/>
                <w:color w:val="FF0000"/>
                <w:sz w:val="18"/>
                <w:szCs w:val="18"/>
                <w:lang w:eastAsia="pt-BR"/>
              </w:rPr>
              <w:t xml:space="preserve">: </w:t>
            </w:r>
            <w:r w:rsidR="00E22805" w:rsidRPr="00E22805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O</w:t>
            </w:r>
            <w:r w:rsidRPr="00E22805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 xml:space="preserve"> que ainda nos preocupa de alguma maneira é a indicação de realização de contrato de gestão e convênio com o NTCPE. Neste ponto, fazemos a advertência de que, não obstante já tenha sido iniciado o trâmite do processo na ARPE, não podemos garantir, previamente, que os negócios jurídicos em riste receberão chancela futura desta PGE. A aprovação de instrumento negociais desse jaez depende do atendimento de uma série de requisitos que, neste momento e nestas circunstâncias, não podem ser avali</w:t>
            </w:r>
            <w:r w:rsidR="00E22805" w:rsidRPr="00E22805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a</w:t>
            </w:r>
            <w:r w:rsidRPr="00E22805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 xml:space="preserve">dos pela PGE, </w:t>
            </w:r>
            <w:r w:rsidRPr="00E22805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lastRenderedPageBreak/>
              <w:t>apenas quando do ingresso efetivo dos autos do processo específico nesta Procuradoria Consultiva</w:t>
            </w:r>
            <w:r w:rsidR="00E22805" w:rsidRPr="00E22805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.</w:t>
            </w:r>
          </w:p>
          <w:p w:rsidR="00E737D1" w:rsidRPr="00B920EA" w:rsidRDefault="00E737D1" w:rsidP="00BC353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2ª tranche: </w:t>
            </w: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  <w:lang w:eastAsia="en-US"/>
              </w:rPr>
              <w:t>Operacionalização de ações de capacitação de empreendedores e de divulgação de produtos de moda pernambucana através do Marco da Moda Pernambucana.</w:t>
            </w:r>
          </w:p>
          <w:p w:rsidR="00E737D1" w:rsidRPr="00B920EA" w:rsidRDefault="00E737D1" w:rsidP="00B920EA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F7172E" w:rsidRDefault="005A1DDB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Extrato de C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onvênio de Transferência da </w:t>
            </w:r>
            <w:r w:rsidR="003B440E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G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estão do Marco da Moda Pernambucana </w:t>
            </w:r>
            <w:r w:rsidR="003B440E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da SDEC </w:t>
            </w:r>
            <w:r w:rsidR="00E737D1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>para o NTCPE</w:t>
            </w:r>
            <w:r w:rsidR="003A1F1D">
              <w:rPr>
                <w:rFonts w:asciiTheme="minorHAnsi" w:hAnsiTheme="minorHAnsi" w:cstheme="minorHAnsi"/>
                <w:noProof/>
                <w:sz w:val="18"/>
                <w:szCs w:val="18"/>
              </w:rPr>
              <w:t>,</w:t>
            </w:r>
            <w:r w:rsidR="003B440E" w:rsidRPr="00B920E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publicado no DOE</w:t>
            </w:r>
          </w:p>
          <w:p w:rsidR="00C12F8A" w:rsidRDefault="00813FBB" w:rsidP="00B920E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8939DC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  <w:lang w:eastAsia="en-US"/>
              </w:rPr>
              <w:t>PGE/DANILO</w:t>
            </w:r>
            <w:r w:rsidR="00C12F8A" w:rsidRPr="008939DC"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  <w:t>: Verificar a informação</w:t>
            </w:r>
          </w:p>
          <w:p w:rsidR="00F64354" w:rsidRDefault="00F64354" w:rsidP="00B920EA">
            <w:pPr>
              <w:pStyle w:val="BodyText"/>
              <w:spacing w:after="0"/>
              <w:jc w:val="both"/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</w:pPr>
            <w:r w:rsidRPr="00F64354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PGE: Desta forma, submetemos nossas considerações a essa SEPLAG</w:t>
            </w:r>
            <w:r w:rsidR="00E22805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, que deverá analisar a conveniência</w:t>
            </w:r>
            <w:r w:rsidRPr="00F64354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 xml:space="preserve"> de aguardar, ou não, o trâmite dos instrumentos negociais supracitados (contrato de gestão e convênio), antes de proceder ao fechamento da matriz de atividades que comporá futuro contrato de operação de crédito</w:t>
            </w:r>
            <w:r w:rsidR="0042234D"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  <w:t>.</w:t>
            </w:r>
          </w:p>
          <w:p w:rsidR="00CE24A4" w:rsidRDefault="00CE24A4" w:rsidP="00B920EA">
            <w:pPr>
              <w:pStyle w:val="BodyText"/>
              <w:spacing w:after="0"/>
              <w:jc w:val="both"/>
              <w:rPr>
                <w:rFonts w:asciiTheme="minorHAnsi" w:hAnsiTheme="minorHAnsi"/>
                <w:b/>
                <w:color w:val="FF0000"/>
                <w:sz w:val="18"/>
                <w:szCs w:val="18"/>
                <w:lang w:eastAsia="pt-BR"/>
              </w:rPr>
            </w:pPr>
          </w:p>
          <w:p w:rsidR="00CE24A4" w:rsidRPr="00CE24A4" w:rsidRDefault="00EA0E96" w:rsidP="00EA0E9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B700BE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PGE E </w:t>
            </w:r>
            <w:r w:rsidR="00CE24A4" w:rsidRPr="00B700BE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 xml:space="preserve">BID: </w:t>
            </w:r>
            <w:r w:rsidRPr="00B700BE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>Seria importante manter o tema na Matriz de Políticas, porém frente às considerações da PGE recomenda-se que estas políticas só sejam mantidas na Matriz se os instrumentos forem vistados pela PGE at</w:t>
            </w:r>
            <w:r w:rsidR="00B700BE" w:rsidRPr="00B700BE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>é a 3ª semana de abril  - Envio do POD ao Comitê de Operações e Políticas (OPC)</w:t>
            </w:r>
            <w:r w:rsidR="00CE24A4" w:rsidRPr="00B700BE">
              <w:rPr>
                <w:rFonts w:asciiTheme="minorHAnsi" w:hAnsiTheme="minorHAnsi"/>
                <w:b/>
                <w:sz w:val="18"/>
                <w:szCs w:val="18"/>
                <w:highlight w:val="green"/>
                <w:lang w:eastAsia="pt-BR"/>
              </w:rPr>
              <w:t>.</w:t>
            </w:r>
          </w:p>
        </w:tc>
      </w:tr>
      <w:tr w:rsidR="005312DB" w:rsidRPr="001A101D" w:rsidTr="00B80C92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DB" w:rsidRPr="002514AA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Problema:</w:t>
            </w:r>
          </w:p>
          <w:p w:rsidR="005312DB" w:rsidRPr="0018476D" w:rsidRDefault="002E0434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(VI</w:t>
            </w:r>
            <w:r w:rsidR="005312DB" w:rsidRPr="0018528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3746A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E7639" w:rsidRPr="0018528C">
              <w:rPr>
                <w:rFonts w:asciiTheme="minorHAnsi" w:hAnsiTheme="minorHAnsi" w:cstheme="minorHAnsi"/>
                <w:b/>
                <w:sz w:val="18"/>
                <w:szCs w:val="18"/>
              </w:rPr>
              <w:t>Insuficiente</w:t>
            </w:r>
            <w:r w:rsidR="0005787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inserção do setor metalmecânico</w:t>
            </w:r>
            <w:r w:rsidR="005312DB" w:rsidRPr="00185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instalado no Estado nas oportunidades derivadas dos novos investimentos estruturadores nos setores automotivo, naval, offshore, óleo e gás e de energias renováveis</w:t>
            </w:r>
          </w:p>
          <w:p w:rsidR="005312DB" w:rsidRPr="002514AA" w:rsidRDefault="005312DB" w:rsidP="005312DB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8476D">
              <w:rPr>
                <w:rFonts w:asciiTheme="minorHAnsi" w:hAnsiTheme="minorHAnsi" w:cstheme="minorHAnsi"/>
                <w:b/>
                <w:sz w:val="18"/>
                <w:szCs w:val="18"/>
              </w:rPr>
              <w:t>Evidência:</w:t>
            </w:r>
          </w:p>
          <w:p w:rsidR="005312DB" w:rsidRDefault="005312DB" w:rsidP="005312DB">
            <w:pPr>
              <w:pStyle w:val="BodyText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EC046A">
              <w:rPr>
                <w:rFonts w:asciiTheme="minorHAnsi" w:hAnsiTheme="minorHAnsi" w:cstheme="minorHAnsi"/>
                <w:sz w:val="18"/>
                <w:szCs w:val="18"/>
              </w:rPr>
              <w:t xml:space="preserve">Das 3010 empresas fornecedoras </w:t>
            </w:r>
            <w:r w:rsidR="00AD1136">
              <w:rPr>
                <w:rFonts w:asciiTheme="minorHAnsi" w:hAnsiTheme="minorHAnsi" w:cstheme="minorHAnsi"/>
                <w:sz w:val="18"/>
                <w:szCs w:val="18"/>
              </w:rPr>
              <w:t xml:space="preserve">globais </w:t>
            </w:r>
            <w:r w:rsidRPr="00EC046A">
              <w:rPr>
                <w:rFonts w:asciiTheme="minorHAnsi" w:hAnsiTheme="minorHAnsi" w:cstheme="minorHAnsi"/>
                <w:sz w:val="18"/>
                <w:szCs w:val="18"/>
              </w:rPr>
              <w:t>da Petrobras, 77 são pernambucanas - 2,6% (Fonte: Petrobras)</w:t>
            </w:r>
          </w:p>
          <w:p w:rsidR="005312DB" w:rsidRPr="00EC046A" w:rsidRDefault="00AD1136" w:rsidP="005312DB">
            <w:pPr>
              <w:pStyle w:val="BodyText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AD1136">
              <w:rPr>
                <w:rFonts w:asciiTheme="minorHAnsi" w:hAnsiTheme="minorHAnsi" w:cstheme="minorHAnsi"/>
                <w:b/>
                <w:sz w:val="18"/>
                <w:szCs w:val="18"/>
              </w:rPr>
              <w:t>OBS: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Certificado de Registro no Cadastro Corporativo (CRCC) </w:t>
            </w:r>
          </w:p>
          <w:p w:rsidR="005312DB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Linha de base:</w:t>
            </w:r>
          </w:p>
          <w:p w:rsidR="005312DB" w:rsidRPr="002514AA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lastRenderedPageBreak/>
              <w:t>Produto (2012)</w:t>
            </w:r>
          </w:p>
          <w:p w:rsidR="005312DB" w:rsidRPr="002514AA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8373DA">
              <w:rPr>
                <w:rFonts w:ascii="Calibri" w:hAnsi="Calibri" w:cs="Calibri"/>
                <w:sz w:val="18"/>
                <w:szCs w:val="18"/>
              </w:rPr>
              <w:t xml:space="preserve">Número de </w:t>
            </w:r>
            <w:r w:rsidRPr="009934FD">
              <w:rPr>
                <w:rFonts w:ascii="Calibri" w:hAnsi="Calibri" w:cs="Calibri"/>
                <w:sz w:val="18"/>
                <w:szCs w:val="18"/>
              </w:rPr>
              <w:t>médias e grandes</w:t>
            </w:r>
            <w:r w:rsidR="005630D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373DA">
              <w:rPr>
                <w:rFonts w:ascii="Calibri" w:hAnsi="Calibri" w:cs="Calibri"/>
                <w:sz w:val="18"/>
                <w:szCs w:val="18"/>
              </w:rPr>
              <w:t xml:space="preserve">empresas do setor </w:t>
            </w:r>
            <w:r w:rsidR="005630DE">
              <w:rPr>
                <w:rFonts w:ascii="Calibri" w:hAnsi="Calibri" w:cs="Calibri"/>
                <w:sz w:val="18"/>
                <w:szCs w:val="18"/>
              </w:rPr>
              <w:t xml:space="preserve">metalomecânico </w:t>
            </w:r>
            <w:r w:rsidRPr="009934FD">
              <w:rPr>
                <w:rFonts w:ascii="Calibri" w:hAnsi="Calibri" w:cs="Calibri"/>
                <w:sz w:val="18"/>
                <w:szCs w:val="18"/>
              </w:rPr>
              <w:t>(faturamento acima de R$ 3,6 milhões anuais) instaladas em Pernambuco</w:t>
            </w:r>
            <w:r>
              <w:rPr>
                <w:rFonts w:ascii="Calibri" w:hAnsi="Calibri" w:cs="Calibri"/>
                <w:sz w:val="18"/>
                <w:szCs w:val="18"/>
              </w:rPr>
              <w:t>= 312</w:t>
            </w:r>
          </w:p>
          <w:p w:rsidR="005312DB" w:rsidRPr="002514AA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 (2010):</w:t>
            </w:r>
          </w:p>
          <w:p w:rsidR="005312DB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sz w:val="18"/>
                <w:szCs w:val="18"/>
              </w:rPr>
              <w:t xml:space="preserve">Valor Adicionado Bruto (VAB) da indústria metalmecânica nas atividades </w:t>
            </w:r>
            <w:r w:rsidR="00555E61">
              <w:rPr>
                <w:rFonts w:asciiTheme="minorHAnsi" w:hAnsiTheme="minorHAnsi" w:cstheme="minorHAnsi"/>
                <w:sz w:val="18"/>
                <w:szCs w:val="18"/>
              </w:rPr>
              <w:t>selecionadas</w:t>
            </w:r>
            <w:r w:rsidRPr="002514AA">
              <w:rPr>
                <w:rFonts w:asciiTheme="minorHAnsi" w:hAnsiTheme="minorHAnsi" w:cstheme="minorHAnsi"/>
                <w:sz w:val="18"/>
                <w:szCs w:val="18"/>
              </w:rPr>
              <w:t xml:space="preserve"> = R$ 831,8 milhões</w:t>
            </w:r>
          </w:p>
          <w:p w:rsidR="005312DB" w:rsidRPr="002514AA" w:rsidRDefault="005312DB" w:rsidP="00B80C92">
            <w:pPr>
              <w:pStyle w:val="BodyText"/>
              <w:rPr>
                <w:rFonts w:asciiTheme="minorHAnsi" w:hAnsiTheme="minorHAnsi" w:cstheme="minorHAnsi"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sz w:val="18"/>
                <w:szCs w:val="18"/>
              </w:rPr>
              <w:t>Fonte: Agência Condepe/Fidem.</w:t>
            </w:r>
          </w:p>
          <w:p w:rsidR="005312DB" w:rsidRDefault="005312DB" w:rsidP="00B80C92">
            <w:pPr>
              <w:pStyle w:val="BodyText"/>
              <w:rPr>
                <w:rFonts w:asciiTheme="minorHAnsi" w:hAnsiTheme="minorHAnsi" w:cstheme="minorHAnsi"/>
                <w:sz w:val="18"/>
                <w:szCs w:val="18"/>
              </w:rPr>
            </w:pPr>
            <w:r w:rsidRPr="00555E6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Atividades</w:t>
            </w:r>
            <w:r w:rsidR="00555E61" w:rsidRPr="00555E6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selecionadas</w:t>
            </w:r>
            <w:r w:rsidRPr="005312DB">
              <w:rPr>
                <w:rFonts w:asciiTheme="minorHAnsi" w:hAnsiTheme="minorHAnsi" w:cstheme="minorHAnsi"/>
                <w:i/>
                <w:sz w:val="18"/>
                <w:szCs w:val="18"/>
              </w:rPr>
              <w:t>: fabricação de aço e derivados, metalurgia de metais não-ferrosos, produtos de metal - exclusive máquinas e equipamentos, e peças e acessórios para veículos automotores</w:t>
            </w:r>
            <w:r w:rsidRPr="002514A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18528C" w:rsidRPr="0018528C" w:rsidRDefault="00193B8B" w:rsidP="00193B8B">
            <w:pPr>
              <w:pStyle w:val="BodyTex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E59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Nota </w:t>
            </w:r>
            <w:r w:rsidR="0018528C" w:rsidRPr="009E59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Técnica </w:t>
            </w:r>
            <w:r w:rsidR="00FD5B2F" w:rsidRPr="009E590D">
              <w:rPr>
                <w:rFonts w:asciiTheme="minorHAnsi" w:hAnsiTheme="minorHAnsi" w:cstheme="minorHAnsi"/>
                <w:b/>
                <w:sz w:val="18"/>
                <w:szCs w:val="18"/>
              </w:rPr>
              <w:t>SDEC</w:t>
            </w:r>
            <w:r w:rsidRPr="009E590D">
              <w:rPr>
                <w:rFonts w:asciiTheme="minorHAnsi" w:hAnsiTheme="minorHAnsi" w:cstheme="minorHAnsi"/>
                <w:b/>
                <w:sz w:val="18"/>
                <w:szCs w:val="18"/>
              </w:rPr>
              <w:t>–</w:t>
            </w:r>
            <w:r w:rsidR="00057879" w:rsidRPr="009E59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Informativo Setor Metalmecâ</w:t>
            </w:r>
            <w:r w:rsidR="003746A9" w:rsidRPr="009E59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nico </w:t>
            </w:r>
            <w:r w:rsidRPr="009E590D">
              <w:rPr>
                <w:rFonts w:asciiTheme="minorHAnsi" w:hAnsiTheme="minorHAnsi" w:cstheme="minorHAnsi"/>
                <w:b/>
                <w:sz w:val="18"/>
                <w:szCs w:val="18"/>
              </w:rPr>
              <w:t>v07Mar</w:t>
            </w:r>
            <w:r w:rsidR="00094E9F" w:rsidRPr="009E590D">
              <w:rPr>
                <w:rFonts w:asciiTheme="minorHAnsi" w:hAnsiTheme="minorHAnsi" w:cstheme="minorHAnsi"/>
                <w:b/>
                <w:sz w:val="18"/>
                <w:szCs w:val="18"/>
              </w:rPr>
              <w:t>2013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DB" w:rsidRPr="002514AA" w:rsidRDefault="005312DB" w:rsidP="00B80C92">
            <w:pPr>
              <w:pStyle w:val="Paragraph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 w:rsidRPr="002514AA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lastRenderedPageBreak/>
              <w:t>1. Perfil das indústrias instaladas no Estado inadequado para atender as demandas dos novos investimentos estruturadores</w:t>
            </w:r>
          </w:p>
          <w:p w:rsidR="005312DB" w:rsidRPr="002514AA" w:rsidRDefault="005312DB" w:rsidP="00B80C92">
            <w:pPr>
              <w:pStyle w:val="Paragraph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 w:rsidRPr="002514AA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2. Insuficiência de visão das novas oportunidades pelas empresas locais</w:t>
            </w:r>
          </w:p>
          <w:p w:rsidR="005312DB" w:rsidRPr="002514AA" w:rsidRDefault="005312DB" w:rsidP="00B80C92">
            <w:pPr>
              <w:pStyle w:val="Paragraph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  <w:r w:rsidRPr="002514AA"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  <w:t>3. Mercados tradicionais aquecidos, o que desestimula o esforço de inserção nessas novas oportunidades</w:t>
            </w:r>
          </w:p>
          <w:p w:rsidR="005312DB" w:rsidRPr="002514AA" w:rsidRDefault="005312DB" w:rsidP="00B80C92">
            <w:pPr>
              <w:pStyle w:val="Paragraph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noProof/>
                <w:sz w:val="18"/>
                <w:szCs w:val="18"/>
                <w:lang w:val="pt-BR"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DB" w:rsidRPr="002514AA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Solução: </w:t>
            </w:r>
          </w:p>
          <w:p w:rsidR="005312DB" w:rsidRPr="002514AA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528C">
              <w:rPr>
                <w:rFonts w:asciiTheme="minorHAnsi" w:hAnsiTheme="minorHAnsi" w:cstheme="minorHAnsi"/>
                <w:b/>
                <w:sz w:val="18"/>
                <w:szCs w:val="18"/>
              </w:rPr>
              <w:t>Implantação de Plano de Desenvolvimento do novo setor metalmecânico no Estado</w:t>
            </w:r>
            <w:r w:rsidRPr="002514AA">
              <w:rPr>
                <w:rFonts w:asciiTheme="minorHAnsi" w:hAnsiTheme="minorHAnsi" w:cstheme="minorHAnsi"/>
                <w:sz w:val="18"/>
                <w:szCs w:val="18"/>
              </w:rPr>
              <w:t>, contemplando:</w:t>
            </w:r>
          </w:p>
          <w:p w:rsidR="005312DB" w:rsidRPr="002514AA" w:rsidRDefault="005312DB" w:rsidP="003C33EB">
            <w:pPr>
              <w:pStyle w:val="BodyText"/>
              <w:numPr>
                <w:ilvl w:val="0"/>
                <w:numId w:val="44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sz w:val="18"/>
                <w:szCs w:val="18"/>
              </w:rPr>
              <w:t>Assistência Tecnológica; Implantação de novos centros de pesquisas; Qualificação Profissional; Qualificação na Gestão empresarial; Promoção de inteligência mercadológica e de parcerias empresariais.</w:t>
            </w:r>
          </w:p>
          <w:p w:rsidR="005312DB" w:rsidRPr="002514AA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Envolvendo:</w:t>
            </w:r>
          </w:p>
          <w:p w:rsidR="005312DB" w:rsidRPr="002514AA" w:rsidRDefault="005312DB" w:rsidP="003C33EB">
            <w:pPr>
              <w:pStyle w:val="BodyText"/>
              <w:numPr>
                <w:ilvl w:val="0"/>
                <w:numId w:val="44"/>
              </w:numPr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EC046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Governo do Estado de</w:t>
            </w:r>
            <w:r w:rsidR="005630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40192">
              <w:rPr>
                <w:rFonts w:asciiTheme="minorHAnsi" w:hAnsiTheme="minorHAnsi" w:cstheme="minorHAnsi"/>
                <w:sz w:val="18"/>
                <w:szCs w:val="18"/>
              </w:rPr>
              <w:t>Pernambuco, Prefeituras Municipais, SEBRAE, SENAI, UFPE, ITEP, UPE, SUAPE, IEL, FIEPE e instituições privadas.</w:t>
            </w:r>
          </w:p>
          <w:p w:rsidR="00AD1136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Indicador</w:t>
            </w:r>
          </w:p>
          <w:p w:rsidR="005312DB" w:rsidRPr="002514AA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Produto</w:t>
            </w:r>
            <w:r w:rsidR="00AD113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(2015):</w:t>
            </w:r>
          </w:p>
          <w:p w:rsidR="005312DB" w:rsidRDefault="00AD1136" w:rsidP="005312DB">
            <w:pPr>
              <w:pStyle w:val="Contedodetabela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 novas</w:t>
            </w:r>
            <w:r w:rsidR="005630D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(</w:t>
            </w:r>
            <w:r w:rsidR="005312DB" w:rsidRPr="009934FD">
              <w:rPr>
                <w:rFonts w:ascii="Calibri" w:hAnsi="Calibri" w:cs="Calibri"/>
                <w:sz w:val="18"/>
                <w:szCs w:val="18"/>
              </w:rPr>
              <w:t>médias e grandes</w:t>
            </w:r>
            <w:r w:rsidRPr="009934FD">
              <w:rPr>
                <w:rFonts w:ascii="Calibri" w:hAnsi="Calibri" w:cs="Calibri"/>
                <w:sz w:val="18"/>
                <w:szCs w:val="18"/>
              </w:rPr>
              <w:t>)</w:t>
            </w:r>
            <w:r w:rsidR="005312DB" w:rsidRPr="009934FD">
              <w:rPr>
                <w:rFonts w:ascii="Calibri" w:hAnsi="Calibri" w:cs="Calibri"/>
                <w:sz w:val="18"/>
                <w:szCs w:val="18"/>
              </w:rPr>
              <w:t xml:space="preserve"> empresas do setor metalmecânico (faturamento acima de R$ 3,6 milhões anuais) instaladas em Pernambuco</w:t>
            </w:r>
          </w:p>
          <w:p w:rsidR="005312DB" w:rsidRPr="002514AA" w:rsidRDefault="005312DB" w:rsidP="00B80C92">
            <w:pPr>
              <w:pStyle w:val="BodyText"/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514AA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Resultado (até 2015):</w:t>
            </w:r>
          </w:p>
          <w:p w:rsidR="005312DB" w:rsidRPr="00DF3E15" w:rsidRDefault="005312DB" w:rsidP="00AD1136">
            <w:pPr>
              <w:pStyle w:val="BodyText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8373DA">
              <w:rPr>
                <w:rFonts w:ascii="Calibri" w:hAnsi="Calibri" w:cs="Calibri"/>
                <w:sz w:val="18"/>
                <w:szCs w:val="18"/>
              </w:rPr>
              <w:t>Crescimento para 1,0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8373DA">
              <w:rPr>
                <w:rFonts w:ascii="Calibri" w:hAnsi="Calibri" w:cs="Calibri"/>
                <w:sz w:val="18"/>
                <w:szCs w:val="18"/>
              </w:rPr>
              <w:t xml:space="preserve"> bilhões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de reais (25</w:t>
            </w:r>
            <w:r w:rsidRPr="00FE7E02">
              <w:rPr>
                <w:rFonts w:ascii="Calibri" w:hAnsi="Calibri" w:cs="Calibri"/>
                <w:sz w:val="18"/>
                <w:szCs w:val="18"/>
              </w:rPr>
              <w:t>%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de aumento) n</w:t>
            </w:r>
            <w:r w:rsidRPr="00FE7E02">
              <w:rPr>
                <w:rFonts w:ascii="Calibri" w:hAnsi="Calibri" w:cs="Calibri"/>
                <w:sz w:val="18"/>
                <w:szCs w:val="18"/>
              </w:rPr>
              <w:t>o</w:t>
            </w:r>
            <w:r w:rsidR="005630D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6378B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Valor Adicionado Bruto</w:t>
            </w:r>
            <w:r w:rsidR="005630DE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(</w:t>
            </w:r>
            <w:r w:rsidRPr="00FE7E02">
              <w:rPr>
                <w:rFonts w:ascii="Calibri" w:hAnsi="Calibri" w:cs="Calibri"/>
                <w:sz w:val="18"/>
                <w:szCs w:val="18"/>
              </w:rPr>
              <w:t>VAB</w:t>
            </w:r>
            <w:r>
              <w:rPr>
                <w:rFonts w:ascii="Calibri" w:hAnsi="Calibri" w:cs="Calibri"/>
                <w:sz w:val="18"/>
                <w:szCs w:val="18"/>
              </w:rPr>
              <w:t>)</w:t>
            </w:r>
            <w:r w:rsidRPr="00FE7E02">
              <w:rPr>
                <w:rFonts w:ascii="Calibri" w:hAnsi="Calibri" w:cs="Calibri"/>
                <w:sz w:val="18"/>
                <w:szCs w:val="18"/>
              </w:rPr>
              <w:t xml:space="preserve"> da indústria metalmecân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ica nas atividades selecionadas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DB" w:rsidRPr="00B920EA" w:rsidRDefault="005312DB" w:rsidP="00B80C92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lastRenderedPageBreak/>
              <w:t>1º tranche:</w:t>
            </w:r>
            <w:r w:rsidR="009700FF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 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Implantação do modelo de governança do Plano de Desenvolvimento do Setor Metalmecânico no Estado</w:t>
            </w:r>
          </w:p>
          <w:p w:rsidR="005312DB" w:rsidRPr="00B920EA" w:rsidRDefault="005312DB" w:rsidP="008810B4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Meio de verificação:</w:t>
            </w:r>
          </w:p>
          <w:p w:rsidR="00505970" w:rsidRPr="00B920EA" w:rsidRDefault="00505970" w:rsidP="008810B4">
            <w:pPr>
              <w:pStyle w:val="Contedodetabela"/>
              <w:spacing w:after="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920EA">
              <w:rPr>
                <w:rFonts w:ascii="Calibri" w:hAnsi="Calibri" w:cs="Calibri"/>
                <w:sz w:val="18"/>
                <w:szCs w:val="18"/>
              </w:rPr>
              <w:t xml:space="preserve">Decreto do </w:t>
            </w:r>
            <w:r w:rsidR="009700FF">
              <w:rPr>
                <w:rFonts w:ascii="Calibri" w:hAnsi="Calibri" w:cs="Calibri"/>
                <w:sz w:val="18"/>
                <w:szCs w:val="18"/>
              </w:rPr>
              <w:t>P</w:t>
            </w:r>
            <w:r w:rsidRPr="00B920EA">
              <w:rPr>
                <w:rFonts w:ascii="Calibri" w:hAnsi="Calibri" w:cs="Calibri"/>
                <w:sz w:val="18"/>
                <w:szCs w:val="18"/>
              </w:rPr>
              <w:t xml:space="preserve">oder </w:t>
            </w:r>
            <w:r w:rsidR="009700FF">
              <w:rPr>
                <w:rFonts w:ascii="Calibri" w:hAnsi="Calibri" w:cs="Calibri"/>
                <w:sz w:val="18"/>
                <w:szCs w:val="18"/>
              </w:rPr>
              <w:t>E</w:t>
            </w:r>
            <w:r w:rsidRPr="00B920EA">
              <w:rPr>
                <w:rFonts w:ascii="Calibri" w:hAnsi="Calibri" w:cs="Calibri"/>
                <w:sz w:val="18"/>
                <w:szCs w:val="18"/>
              </w:rPr>
              <w:t>xecutivo</w:t>
            </w:r>
            <w:r w:rsidR="009700FF">
              <w:rPr>
                <w:rFonts w:ascii="Calibri" w:hAnsi="Calibri" w:cs="Calibri"/>
                <w:sz w:val="18"/>
                <w:szCs w:val="18"/>
              </w:rPr>
              <w:t xml:space="preserve"> Estadual, </w:t>
            </w:r>
            <w:r w:rsidR="009700FF" w:rsidRPr="00B920EA">
              <w:rPr>
                <w:rFonts w:ascii="Calibri" w:hAnsi="Calibri" w:cs="Calibri"/>
                <w:sz w:val="18"/>
                <w:szCs w:val="18"/>
              </w:rPr>
              <w:t>publicado no DOE</w:t>
            </w:r>
            <w:r w:rsidR="009700FF">
              <w:rPr>
                <w:rFonts w:ascii="Calibri" w:hAnsi="Calibri" w:cs="Calibri"/>
                <w:sz w:val="18"/>
                <w:szCs w:val="18"/>
              </w:rPr>
              <w:t>,</w:t>
            </w:r>
            <w:r w:rsidRPr="00B920EA">
              <w:rPr>
                <w:rFonts w:ascii="Calibri" w:hAnsi="Calibri" w:cs="Calibri"/>
                <w:sz w:val="18"/>
                <w:szCs w:val="18"/>
              </w:rPr>
              <w:t xml:space="preserve"> instituindo o modelo de governança do Plano de Desenvolvimento do Setor Metalmecânico</w:t>
            </w:r>
            <w:r w:rsidR="0018528C" w:rsidRPr="00B920E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5312DB" w:rsidRPr="00B920EA" w:rsidRDefault="005312DB" w:rsidP="00B80C92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</w:p>
          <w:p w:rsidR="005312DB" w:rsidRPr="00B920EA" w:rsidRDefault="005312DB" w:rsidP="00B80C92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2º tranche: </w:t>
            </w: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Operacionalização do plano de Desenvolvimento do Setor Metalmecânico no Estado</w:t>
            </w:r>
          </w:p>
          <w:p w:rsidR="005312DB" w:rsidRPr="00B920EA" w:rsidRDefault="005312DB" w:rsidP="008810B4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Meio de verificação: </w:t>
            </w:r>
          </w:p>
          <w:p w:rsidR="005312DB" w:rsidRPr="002514AA" w:rsidRDefault="0053699B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Extrato de </w:t>
            </w:r>
            <w:r w:rsidR="005312DB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Convênio</w:t>
            </w:r>
            <w:r w:rsidR="009700FF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, </w:t>
            </w:r>
            <w:r w:rsidR="009700FF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publicado no DOE</w:t>
            </w:r>
            <w:r w:rsidR="009700FF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,</w:t>
            </w:r>
            <w:r w:rsidR="005312DB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para promoção de associação empresarial e transferência de</w:t>
            </w:r>
            <w:r w:rsidR="005312DB" w:rsidRPr="00B920E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 t</w:t>
            </w:r>
            <w:r w:rsidR="005312DB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ecnologia para o setor Metalmecânico do Estado, firmado entre o Estado</w:t>
            </w:r>
            <w:r w:rsidR="009700FF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de Pernambuco</w:t>
            </w:r>
            <w:r w:rsidR="005312DB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, SEBRAE e a Região da Lombardia</w:t>
            </w:r>
            <w:r w:rsidR="00AD1136" w:rsidRPr="00B920EA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/Itália</w:t>
            </w:r>
          </w:p>
        </w:tc>
      </w:tr>
    </w:tbl>
    <w:p w:rsidR="00017510" w:rsidRDefault="00017510" w:rsidP="00057879">
      <w:pPr>
        <w:rPr>
          <w:rFonts w:asciiTheme="minorHAnsi" w:hAnsiTheme="minorHAnsi" w:cstheme="minorHAnsi"/>
        </w:rPr>
      </w:pPr>
    </w:p>
    <w:p w:rsidR="00880CD7" w:rsidRPr="00694862" w:rsidRDefault="00880CD7" w:rsidP="00057879">
      <w:pPr>
        <w:rPr>
          <w:rFonts w:asciiTheme="minorHAnsi" w:hAnsiTheme="minorHAnsi" w:cstheme="minorHAnsi"/>
        </w:rPr>
      </w:pPr>
    </w:p>
    <w:sectPr w:rsidR="00880CD7" w:rsidRPr="00694862" w:rsidSect="006C7734">
      <w:headerReference w:type="default" r:id="rId11"/>
      <w:pgSz w:w="16838" w:h="11906" w:orient="landscape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652" w:rsidRDefault="009E4652" w:rsidP="00E13F25">
      <w:r>
        <w:separator/>
      </w:r>
    </w:p>
  </w:endnote>
  <w:endnote w:type="continuationSeparator" w:id="0">
    <w:p w:rsidR="009E4652" w:rsidRDefault="009E4652" w:rsidP="00E1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652" w:rsidRDefault="009E4652" w:rsidP="00E13F25">
      <w:r>
        <w:separator/>
      </w:r>
    </w:p>
  </w:footnote>
  <w:footnote w:type="continuationSeparator" w:id="0">
    <w:p w:rsidR="009E4652" w:rsidRDefault="009E4652" w:rsidP="00E13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652" w:rsidRPr="00720955" w:rsidRDefault="009E4652" w:rsidP="00E13F25">
    <w:pPr>
      <w:pStyle w:val="Header"/>
      <w:ind w:right="60"/>
      <w:jc w:val="right"/>
      <w:rPr>
        <w:rFonts w:ascii="Calibri" w:hAnsi="Calibri" w:cs="Calibri"/>
        <w:i/>
        <w:sz w:val="20"/>
      </w:rPr>
    </w:pPr>
    <w:r w:rsidRPr="00720955">
      <w:rPr>
        <w:rFonts w:ascii="Calibri" w:hAnsi="Calibri" w:cs="Calibri"/>
        <w:i/>
        <w:sz w:val="16"/>
      </w:rPr>
      <w:t xml:space="preserve">Página </w:t>
    </w:r>
    <w:r w:rsidRPr="00720955">
      <w:rPr>
        <w:rStyle w:val="PageNumber"/>
        <w:rFonts w:ascii="Calibri" w:hAnsi="Calibri" w:cs="Calibri"/>
        <w:i/>
        <w:sz w:val="16"/>
      </w:rPr>
      <w:fldChar w:fldCharType="begin"/>
    </w:r>
    <w:r w:rsidRPr="00720955">
      <w:rPr>
        <w:rStyle w:val="PageNumber"/>
        <w:rFonts w:ascii="Calibri" w:hAnsi="Calibri" w:cs="Calibri"/>
        <w:i/>
        <w:sz w:val="16"/>
      </w:rPr>
      <w:instrText xml:space="preserve"> PAGE </w:instrText>
    </w:r>
    <w:r w:rsidRPr="00720955">
      <w:rPr>
        <w:rStyle w:val="PageNumber"/>
        <w:rFonts w:ascii="Calibri" w:hAnsi="Calibri" w:cs="Calibri"/>
        <w:i/>
        <w:sz w:val="16"/>
      </w:rPr>
      <w:fldChar w:fldCharType="separate"/>
    </w:r>
    <w:r w:rsidR="00B567E1">
      <w:rPr>
        <w:rStyle w:val="PageNumber"/>
        <w:rFonts w:ascii="Calibri" w:hAnsi="Calibri" w:cs="Calibri"/>
        <w:i/>
        <w:noProof/>
        <w:sz w:val="16"/>
      </w:rPr>
      <w:t>1</w:t>
    </w:r>
    <w:r w:rsidRPr="00720955">
      <w:rPr>
        <w:rStyle w:val="PageNumber"/>
        <w:rFonts w:ascii="Calibri" w:hAnsi="Calibri" w:cs="Calibri"/>
        <w:i/>
        <w:sz w:val="16"/>
      </w:rPr>
      <w:fldChar w:fldCharType="end"/>
    </w:r>
    <w:r w:rsidRPr="00720955">
      <w:rPr>
        <w:rStyle w:val="PageNumber"/>
        <w:rFonts w:ascii="Calibri" w:hAnsi="Calibri" w:cs="Calibri"/>
        <w:i/>
        <w:sz w:val="16"/>
      </w:rPr>
      <w:t xml:space="preserve"> de </w:t>
    </w:r>
    <w:r w:rsidRPr="00720955">
      <w:rPr>
        <w:rStyle w:val="PageNumber"/>
        <w:rFonts w:ascii="Calibri" w:hAnsi="Calibri" w:cs="Calibri"/>
        <w:i/>
        <w:sz w:val="16"/>
      </w:rPr>
      <w:fldChar w:fldCharType="begin"/>
    </w:r>
    <w:r w:rsidRPr="00720955">
      <w:rPr>
        <w:rStyle w:val="PageNumber"/>
        <w:rFonts w:ascii="Calibri" w:hAnsi="Calibri" w:cs="Calibri"/>
        <w:i/>
        <w:sz w:val="16"/>
      </w:rPr>
      <w:instrText xml:space="preserve"> NUMPAGES \*Arabic </w:instrText>
    </w:r>
    <w:r w:rsidRPr="00720955">
      <w:rPr>
        <w:rStyle w:val="PageNumber"/>
        <w:rFonts w:ascii="Calibri" w:hAnsi="Calibri" w:cs="Calibri"/>
        <w:i/>
        <w:sz w:val="16"/>
      </w:rPr>
      <w:fldChar w:fldCharType="separate"/>
    </w:r>
    <w:r w:rsidR="00B567E1">
      <w:rPr>
        <w:rStyle w:val="PageNumber"/>
        <w:rFonts w:ascii="Calibri" w:hAnsi="Calibri" w:cs="Calibri"/>
        <w:i/>
        <w:noProof/>
        <w:sz w:val="16"/>
      </w:rPr>
      <w:t>27</w:t>
    </w:r>
    <w:r w:rsidRPr="00720955">
      <w:rPr>
        <w:rStyle w:val="PageNumber"/>
        <w:rFonts w:ascii="Calibri" w:hAnsi="Calibri" w:cs="Calibri"/>
        <w:i/>
        <w:sz w:val="16"/>
      </w:rPr>
      <w:fldChar w:fldCharType="end"/>
    </w:r>
  </w:p>
  <w:p w:rsidR="009E4652" w:rsidRPr="009A3CFB" w:rsidRDefault="009E4652" w:rsidP="00644F25">
    <w:pPr>
      <w:pStyle w:val="Newpage"/>
      <w:rPr>
        <w:rFonts w:ascii="Calibri" w:hAnsi="Calibri" w:cs="Times New Roman"/>
        <w:sz w:val="32"/>
        <w:szCs w:val="24"/>
      </w:rPr>
    </w:pPr>
    <w:r w:rsidRPr="009A3CFB">
      <w:rPr>
        <w:rFonts w:ascii="Calibri" w:hAnsi="Calibri" w:cs="Times New Roman"/>
        <w:sz w:val="32"/>
        <w:szCs w:val="24"/>
      </w:rPr>
      <w:t>MATRIZ DE PROBLEMAS, SOLUÇÕES, RESULTADOS</w:t>
    </w:r>
    <w:r>
      <w:rPr>
        <w:rFonts w:ascii="Calibri" w:hAnsi="Calibri" w:cs="Times New Roman"/>
        <w:sz w:val="32"/>
        <w:szCs w:val="24"/>
      </w:rPr>
      <w:t xml:space="preserve"> </w:t>
    </w:r>
    <w:r w:rsidRPr="009A3CFB">
      <w:rPr>
        <w:rFonts w:ascii="Calibri" w:hAnsi="Calibri" w:cs="Times New Roman"/>
        <w:bCs w:val="0"/>
        <w:smallCaps w:val="0"/>
        <w:sz w:val="32"/>
        <w:szCs w:val="24"/>
      </w:rPr>
      <w:t>E POLÍTICAS</w:t>
    </w:r>
  </w:p>
  <w:p w:rsidR="009E4652" w:rsidRPr="00255327" w:rsidRDefault="009E4652" w:rsidP="00644F25">
    <w:pPr>
      <w:tabs>
        <w:tab w:val="left" w:pos="1739"/>
        <w:tab w:val="center" w:pos="6786"/>
      </w:tabs>
      <w:jc w:val="center"/>
      <w:rPr>
        <w:rFonts w:ascii="Calibri" w:hAnsi="Calibri"/>
      </w:rPr>
    </w:pPr>
    <w:r w:rsidRPr="00255327">
      <w:rPr>
        <w:rFonts w:ascii="Calibri" w:hAnsi="Calibri"/>
      </w:rPr>
      <w:t>Programa de Consolidação do Equilíbrio Fiscal para o Desenvolvimento Econômico e Social do Estado de Pernambuco</w:t>
    </w:r>
    <w:bookmarkStart w:id="5" w:name="OLE_LINK1"/>
  </w:p>
  <w:p w:rsidR="009E4652" w:rsidRPr="00E93047" w:rsidRDefault="009E4652" w:rsidP="00720955">
    <w:pPr>
      <w:tabs>
        <w:tab w:val="left" w:pos="1739"/>
        <w:tab w:val="center" w:pos="6786"/>
      </w:tabs>
      <w:spacing w:after="120"/>
      <w:jc w:val="center"/>
      <w:rPr>
        <w:rFonts w:ascii="Calibri" w:hAnsi="Calibri"/>
        <w:b/>
      </w:rPr>
    </w:pPr>
    <w:r w:rsidRPr="009A3CFB">
      <w:rPr>
        <w:rFonts w:ascii="Calibri" w:hAnsi="Calibri"/>
        <w:b/>
      </w:rPr>
      <w:t>PROCONFIS</w:t>
    </w:r>
    <w:bookmarkEnd w:id="5"/>
    <w:r>
      <w:rPr>
        <w:rFonts w:ascii="Calibri" w:hAnsi="Calibri"/>
        <w:b/>
      </w:rPr>
      <w:t>/</w:t>
    </w:r>
    <w:r w:rsidRPr="009A3CFB">
      <w:rPr>
        <w:rFonts w:ascii="Calibri" w:hAnsi="Calibri"/>
        <w:b/>
      </w:rPr>
      <w:t>PE (BR-L-</w:t>
    </w:r>
    <w:r>
      <w:rPr>
        <w:rFonts w:ascii="Calibri" w:hAnsi="Calibri"/>
        <w:b/>
      </w:rPr>
      <w:t>1381</w:t>
    </w:r>
    <w:r w:rsidRPr="009A3CFB">
      <w:rPr>
        <w:rFonts w:ascii="Calibri" w:hAnsi="Calibri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pStyle w:val="Paragraph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">
    <w:nsid w:val="03A9212F"/>
    <w:multiLevelType w:val="hybridMultilevel"/>
    <w:tmpl w:val="8AF4242A"/>
    <w:lvl w:ilvl="0" w:tplc="7116D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1A78"/>
    <w:multiLevelType w:val="hybridMultilevel"/>
    <w:tmpl w:val="5AC83E3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E916BF"/>
    <w:multiLevelType w:val="hybridMultilevel"/>
    <w:tmpl w:val="DE70F4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5D477E"/>
    <w:multiLevelType w:val="hybridMultilevel"/>
    <w:tmpl w:val="B1CA31F4"/>
    <w:lvl w:ilvl="0" w:tplc="B9DCCAA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613FA"/>
    <w:multiLevelType w:val="hybridMultilevel"/>
    <w:tmpl w:val="44DAD19C"/>
    <w:lvl w:ilvl="0" w:tplc="38A44A4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3C7C65"/>
    <w:multiLevelType w:val="hybridMultilevel"/>
    <w:tmpl w:val="452636EA"/>
    <w:lvl w:ilvl="0" w:tplc="F5A690F4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67" w:hanging="360"/>
      </w:pPr>
    </w:lvl>
    <w:lvl w:ilvl="2" w:tplc="0416001B" w:tentative="1">
      <w:start w:val="1"/>
      <w:numFmt w:val="lowerRoman"/>
      <w:lvlText w:val="%3."/>
      <w:lvlJc w:val="right"/>
      <w:pPr>
        <w:ind w:left="1887" w:hanging="180"/>
      </w:pPr>
    </w:lvl>
    <w:lvl w:ilvl="3" w:tplc="0416000F" w:tentative="1">
      <w:start w:val="1"/>
      <w:numFmt w:val="decimal"/>
      <w:lvlText w:val="%4."/>
      <w:lvlJc w:val="left"/>
      <w:pPr>
        <w:ind w:left="2607" w:hanging="360"/>
      </w:pPr>
    </w:lvl>
    <w:lvl w:ilvl="4" w:tplc="04160019" w:tentative="1">
      <w:start w:val="1"/>
      <w:numFmt w:val="lowerLetter"/>
      <w:lvlText w:val="%5."/>
      <w:lvlJc w:val="left"/>
      <w:pPr>
        <w:ind w:left="3327" w:hanging="360"/>
      </w:pPr>
    </w:lvl>
    <w:lvl w:ilvl="5" w:tplc="0416001B" w:tentative="1">
      <w:start w:val="1"/>
      <w:numFmt w:val="lowerRoman"/>
      <w:lvlText w:val="%6."/>
      <w:lvlJc w:val="right"/>
      <w:pPr>
        <w:ind w:left="4047" w:hanging="180"/>
      </w:pPr>
    </w:lvl>
    <w:lvl w:ilvl="6" w:tplc="0416000F" w:tentative="1">
      <w:start w:val="1"/>
      <w:numFmt w:val="decimal"/>
      <w:lvlText w:val="%7."/>
      <w:lvlJc w:val="left"/>
      <w:pPr>
        <w:ind w:left="4767" w:hanging="360"/>
      </w:pPr>
    </w:lvl>
    <w:lvl w:ilvl="7" w:tplc="04160019" w:tentative="1">
      <w:start w:val="1"/>
      <w:numFmt w:val="lowerLetter"/>
      <w:lvlText w:val="%8."/>
      <w:lvlJc w:val="left"/>
      <w:pPr>
        <w:ind w:left="5487" w:hanging="360"/>
      </w:pPr>
    </w:lvl>
    <w:lvl w:ilvl="8" w:tplc="0416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7">
    <w:nsid w:val="0D8D097B"/>
    <w:multiLevelType w:val="hybridMultilevel"/>
    <w:tmpl w:val="EE365176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DF9379B"/>
    <w:multiLevelType w:val="hybridMultilevel"/>
    <w:tmpl w:val="06E2557A"/>
    <w:lvl w:ilvl="0" w:tplc="7986A01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224C44"/>
    <w:multiLevelType w:val="hybridMultilevel"/>
    <w:tmpl w:val="A33CD24C"/>
    <w:lvl w:ilvl="0" w:tplc="38A44A4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1CB3A3E"/>
    <w:multiLevelType w:val="hybridMultilevel"/>
    <w:tmpl w:val="4D7055B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550CA7"/>
    <w:multiLevelType w:val="hybridMultilevel"/>
    <w:tmpl w:val="3718F4C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803588E"/>
    <w:multiLevelType w:val="hybridMultilevel"/>
    <w:tmpl w:val="8EDE41B2"/>
    <w:lvl w:ilvl="0" w:tplc="38A44A4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81F0550"/>
    <w:multiLevelType w:val="hybridMultilevel"/>
    <w:tmpl w:val="F366432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CDD06C4"/>
    <w:multiLevelType w:val="hybridMultilevel"/>
    <w:tmpl w:val="9C6C5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E443C4A"/>
    <w:multiLevelType w:val="hybridMultilevel"/>
    <w:tmpl w:val="4CB2B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1D658BE"/>
    <w:multiLevelType w:val="hybridMultilevel"/>
    <w:tmpl w:val="75AEF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0C02AE"/>
    <w:multiLevelType w:val="hybridMultilevel"/>
    <w:tmpl w:val="366C23EE"/>
    <w:lvl w:ilvl="0" w:tplc="EBC45D1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5BB0583"/>
    <w:multiLevelType w:val="hybridMultilevel"/>
    <w:tmpl w:val="995037C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2157B6"/>
    <w:multiLevelType w:val="hybridMultilevel"/>
    <w:tmpl w:val="995037C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7F4BA2"/>
    <w:multiLevelType w:val="hybridMultilevel"/>
    <w:tmpl w:val="A22274B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240FD0"/>
    <w:multiLevelType w:val="hybridMultilevel"/>
    <w:tmpl w:val="E5C08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3C2197C"/>
    <w:multiLevelType w:val="hybridMultilevel"/>
    <w:tmpl w:val="D786BEA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C824EF"/>
    <w:multiLevelType w:val="hybridMultilevel"/>
    <w:tmpl w:val="313C52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42F00EC"/>
    <w:multiLevelType w:val="hybridMultilevel"/>
    <w:tmpl w:val="156E80C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5244441"/>
    <w:multiLevelType w:val="hybridMultilevel"/>
    <w:tmpl w:val="6AB6511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7422A2"/>
    <w:multiLevelType w:val="hybridMultilevel"/>
    <w:tmpl w:val="C560AE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24852"/>
    <w:multiLevelType w:val="hybridMultilevel"/>
    <w:tmpl w:val="4B1013BE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FE01153"/>
    <w:multiLevelType w:val="hybridMultilevel"/>
    <w:tmpl w:val="A53C7F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4A33F65"/>
    <w:multiLevelType w:val="hybridMultilevel"/>
    <w:tmpl w:val="AB7E6AB0"/>
    <w:lvl w:ilvl="0" w:tplc="B9DCCAA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1D3C38"/>
    <w:multiLevelType w:val="hybridMultilevel"/>
    <w:tmpl w:val="E14222A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7785307"/>
    <w:multiLevelType w:val="hybridMultilevel"/>
    <w:tmpl w:val="E804845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7CCABE3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77B5C44"/>
    <w:multiLevelType w:val="hybridMultilevel"/>
    <w:tmpl w:val="A732B47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8E5A65"/>
    <w:multiLevelType w:val="hybridMultilevel"/>
    <w:tmpl w:val="70D402E6"/>
    <w:lvl w:ilvl="0" w:tplc="38A44A4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B464661"/>
    <w:multiLevelType w:val="hybridMultilevel"/>
    <w:tmpl w:val="74FC81D8"/>
    <w:lvl w:ilvl="0" w:tplc="21C879D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B8E0F20"/>
    <w:multiLevelType w:val="hybridMultilevel"/>
    <w:tmpl w:val="D550E57E"/>
    <w:lvl w:ilvl="0" w:tplc="B9DCCAA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114910"/>
    <w:multiLevelType w:val="hybridMultilevel"/>
    <w:tmpl w:val="62E09246"/>
    <w:lvl w:ilvl="0" w:tplc="B9DCCAA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705C5D"/>
    <w:multiLevelType w:val="hybridMultilevel"/>
    <w:tmpl w:val="553EA0C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006201D"/>
    <w:multiLevelType w:val="hybridMultilevel"/>
    <w:tmpl w:val="A1FEFD18"/>
    <w:lvl w:ilvl="0" w:tplc="6074C3A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36D1DC3"/>
    <w:multiLevelType w:val="hybridMultilevel"/>
    <w:tmpl w:val="7620130E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4E208F3"/>
    <w:multiLevelType w:val="hybridMultilevel"/>
    <w:tmpl w:val="82DE026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56934A0"/>
    <w:multiLevelType w:val="hybridMultilevel"/>
    <w:tmpl w:val="D1B463C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7EB756A"/>
    <w:multiLevelType w:val="hybridMultilevel"/>
    <w:tmpl w:val="F02A1390"/>
    <w:lvl w:ilvl="0" w:tplc="38A44A4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627C74"/>
    <w:multiLevelType w:val="hybridMultilevel"/>
    <w:tmpl w:val="7F289CF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EB56537"/>
    <w:multiLevelType w:val="hybridMultilevel"/>
    <w:tmpl w:val="DD2EF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F3B0C47"/>
    <w:multiLevelType w:val="hybridMultilevel"/>
    <w:tmpl w:val="73FE33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1772E49"/>
    <w:multiLevelType w:val="hybridMultilevel"/>
    <w:tmpl w:val="C882B4B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17B39AC"/>
    <w:multiLevelType w:val="hybridMultilevel"/>
    <w:tmpl w:val="538450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1DB2ECD"/>
    <w:multiLevelType w:val="hybridMultilevel"/>
    <w:tmpl w:val="77E4C950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29D4F46"/>
    <w:multiLevelType w:val="hybridMultilevel"/>
    <w:tmpl w:val="DE9490AC"/>
    <w:lvl w:ilvl="0" w:tplc="21C879D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411069C"/>
    <w:multiLevelType w:val="hybridMultilevel"/>
    <w:tmpl w:val="84AA113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7084A4A"/>
    <w:multiLevelType w:val="hybridMultilevel"/>
    <w:tmpl w:val="EC400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79452A22"/>
    <w:multiLevelType w:val="hybridMultilevel"/>
    <w:tmpl w:val="A3243760"/>
    <w:lvl w:ilvl="0" w:tplc="46AA43D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D347928"/>
    <w:multiLevelType w:val="hybridMultilevel"/>
    <w:tmpl w:val="5004343E"/>
    <w:lvl w:ilvl="0" w:tplc="8112FA1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3"/>
  </w:num>
  <w:num w:numId="3">
    <w:abstractNumId w:val="9"/>
  </w:num>
  <w:num w:numId="4">
    <w:abstractNumId w:val="33"/>
  </w:num>
  <w:num w:numId="5">
    <w:abstractNumId w:val="12"/>
  </w:num>
  <w:num w:numId="6">
    <w:abstractNumId w:val="5"/>
  </w:num>
  <w:num w:numId="7">
    <w:abstractNumId w:val="42"/>
  </w:num>
  <w:num w:numId="8">
    <w:abstractNumId w:val="35"/>
  </w:num>
  <w:num w:numId="9">
    <w:abstractNumId w:val="29"/>
  </w:num>
  <w:num w:numId="10">
    <w:abstractNumId w:val="4"/>
  </w:num>
  <w:num w:numId="11">
    <w:abstractNumId w:val="36"/>
  </w:num>
  <w:num w:numId="12">
    <w:abstractNumId w:val="39"/>
  </w:num>
  <w:num w:numId="13">
    <w:abstractNumId w:val="26"/>
  </w:num>
  <w:num w:numId="14">
    <w:abstractNumId w:val="25"/>
  </w:num>
  <w:num w:numId="15">
    <w:abstractNumId w:val="10"/>
  </w:num>
  <w:num w:numId="16">
    <w:abstractNumId w:val="48"/>
  </w:num>
  <w:num w:numId="17">
    <w:abstractNumId w:val="7"/>
  </w:num>
  <w:num w:numId="18">
    <w:abstractNumId w:val="20"/>
  </w:num>
  <w:num w:numId="19">
    <w:abstractNumId w:val="22"/>
  </w:num>
  <w:num w:numId="20">
    <w:abstractNumId w:val="27"/>
  </w:num>
  <w:num w:numId="21">
    <w:abstractNumId w:val="45"/>
  </w:num>
  <w:num w:numId="22">
    <w:abstractNumId w:val="30"/>
  </w:num>
  <w:num w:numId="23">
    <w:abstractNumId w:val="17"/>
  </w:num>
  <w:num w:numId="24">
    <w:abstractNumId w:val="6"/>
  </w:num>
  <w:num w:numId="25">
    <w:abstractNumId w:val="2"/>
  </w:num>
  <w:num w:numId="26">
    <w:abstractNumId w:val="28"/>
  </w:num>
  <w:num w:numId="27">
    <w:abstractNumId w:val="32"/>
  </w:num>
  <w:num w:numId="28">
    <w:abstractNumId w:val="43"/>
  </w:num>
  <w:num w:numId="29">
    <w:abstractNumId w:val="37"/>
  </w:num>
  <w:num w:numId="30">
    <w:abstractNumId w:val="19"/>
  </w:num>
  <w:num w:numId="31">
    <w:abstractNumId w:val="18"/>
  </w:num>
  <w:num w:numId="32">
    <w:abstractNumId w:val="13"/>
  </w:num>
  <w:num w:numId="33">
    <w:abstractNumId w:val="24"/>
  </w:num>
  <w:num w:numId="34">
    <w:abstractNumId w:val="11"/>
  </w:num>
  <w:num w:numId="35">
    <w:abstractNumId w:val="50"/>
  </w:num>
  <w:num w:numId="36">
    <w:abstractNumId w:val="46"/>
  </w:num>
  <w:num w:numId="37">
    <w:abstractNumId w:val="31"/>
  </w:num>
  <w:num w:numId="38">
    <w:abstractNumId w:val="49"/>
  </w:num>
  <w:num w:numId="39">
    <w:abstractNumId w:val="34"/>
  </w:num>
  <w:num w:numId="40">
    <w:abstractNumId w:val="40"/>
  </w:num>
  <w:num w:numId="41">
    <w:abstractNumId w:val="52"/>
  </w:num>
  <w:num w:numId="42">
    <w:abstractNumId w:val="21"/>
  </w:num>
  <w:num w:numId="43">
    <w:abstractNumId w:val="1"/>
  </w:num>
  <w:num w:numId="44">
    <w:abstractNumId w:val="41"/>
  </w:num>
  <w:num w:numId="45">
    <w:abstractNumId w:val="16"/>
  </w:num>
  <w:num w:numId="46">
    <w:abstractNumId w:val="38"/>
  </w:num>
  <w:num w:numId="47">
    <w:abstractNumId w:val="15"/>
  </w:num>
  <w:num w:numId="48">
    <w:abstractNumId w:val="14"/>
  </w:num>
  <w:num w:numId="49">
    <w:abstractNumId w:val="3"/>
  </w:num>
  <w:num w:numId="50">
    <w:abstractNumId w:val="23"/>
  </w:num>
  <w:num w:numId="51">
    <w:abstractNumId w:val="47"/>
  </w:num>
  <w:num w:numId="52">
    <w:abstractNumId w:val="44"/>
  </w:num>
  <w:num w:numId="53">
    <w:abstractNumId w:val="8"/>
  </w:num>
  <w:num w:numId="54">
    <w:abstractNumId w:val="5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25"/>
    <w:rsid w:val="0000132E"/>
    <w:rsid w:val="0000152B"/>
    <w:rsid w:val="00001565"/>
    <w:rsid w:val="000031E3"/>
    <w:rsid w:val="0000498F"/>
    <w:rsid w:val="00004DFD"/>
    <w:rsid w:val="00013B3B"/>
    <w:rsid w:val="00014B75"/>
    <w:rsid w:val="00017510"/>
    <w:rsid w:val="000200CE"/>
    <w:rsid w:val="00025328"/>
    <w:rsid w:val="00026839"/>
    <w:rsid w:val="0002784E"/>
    <w:rsid w:val="00027B7D"/>
    <w:rsid w:val="0003025E"/>
    <w:rsid w:val="00032FFD"/>
    <w:rsid w:val="00033527"/>
    <w:rsid w:val="000355F8"/>
    <w:rsid w:val="00035C61"/>
    <w:rsid w:val="00035F7A"/>
    <w:rsid w:val="0004195F"/>
    <w:rsid w:val="0004445D"/>
    <w:rsid w:val="00050143"/>
    <w:rsid w:val="000501EF"/>
    <w:rsid w:val="00050E9A"/>
    <w:rsid w:val="000550B1"/>
    <w:rsid w:val="0005757C"/>
    <w:rsid w:val="00057879"/>
    <w:rsid w:val="0006091D"/>
    <w:rsid w:val="00061820"/>
    <w:rsid w:val="000629F2"/>
    <w:rsid w:val="00064CA5"/>
    <w:rsid w:val="00064CDF"/>
    <w:rsid w:val="00065607"/>
    <w:rsid w:val="0006593B"/>
    <w:rsid w:val="00066E95"/>
    <w:rsid w:val="00067B69"/>
    <w:rsid w:val="00080EB5"/>
    <w:rsid w:val="00081C98"/>
    <w:rsid w:val="00082F96"/>
    <w:rsid w:val="0008639D"/>
    <w:rsid w:val="00091115"/>
    <w:rsid w:val="000924B5"/>
    <w:rsid w:val="00093529"/>
    <w:rsid w:val="000937B5"/>
    <w:rsid w:val="000943BB"/>
    <w:rsid w:val="00094E9F"/>
    <w:rsid w:val="0009579F"/>
    <w:rsid w:val="00096AD1"/>
    <w:rsid w:val="00097C6A"/>
    <w:rsid w:val="000A062C"/>
    <w:rsid w:val="000A12C6"/>
    <w:rsid w:val="000A7663"/>
    <w:rsid w:val="000A7A61"/>
    <w:rsid w:val="000B3B96"/>
    <w:rsid w:val="000B6D5A"/>
    <w:rsid w:val="000C1F5D"/>
    <w:rsid w:val="000C686F"/>
    <w:rsid w:val="000C6F6F"/>
    <w:rsid w:val="000D0A40"/>
    <w:rsid w:val="000D59E5"/>
    <w:rsid w:val="000E54C7"/>
    <w:rsid w:val="000E5649"/>
    <w:rsid w:val="000F04A9"/>
    <w:rsid w:val="000F29C9"/>
    <w:rsid w:val="000F2E34"/>
    <w:rsid w:val="000F3772"/>
    <w:rsid w:val="000F3814"/>
    <w:rsid w:val="000F46D7"/>
    <w:rsid w:val="00107D92"/>
    <w:rsid w:val="001100E5"/>
    <w:rsid w:val="00112289"/>
    <w:rsid w:val="00112D9E"/>
    <w:rsid w:val="00116809"/>
    <w:rsid w:val="00117740"/>
    <w:rsid w:val="001219C2"/>
    <w:rsid w:val="0012200B"/>
    <w:rsid w:val="00123A9B"/>
    <w:rsid w:val="0013385E"/>
    <w:rsid w:val="0013517A"/>
    <w:rsid w:val="0014042C"/>
    <w:rsid w:val="00140A03"/>
    <w:rsid w:val="00142112"/>
    <w:rsid w:val="0014376B"/>
    <w:rsid w:val="00144D94"/>
    <w:rsid w:val="00147328"/>
    <w:rsid w:val="0015109B"/>
    <w:rsid w:val="001521CA"/>
    <w:rsid w:val="001608B6"/>
    <w:rsid w:val="001726CB"/>
    <w:rsid w:val="00180632"/>
    <w:rsid w:val="001815DE"/>
    <w:rsid w:val="00183097"/>
    <w:rsid w:val="00183A35"/>
    <w:rsid w:val="0018476D"/>
    <w:rsid w:val="0018528C"/>
    <w:rsid w:val="001871D8"/>
    <w:rsid w:val="00192101"/>
    <w:rsid w:val="001933EC"/>
    <w:rsid w:val="001934CC"/>
    <w:rsid w:val="00193B8B"/>
    <w:rsid w:val="001972CB"/>
    <w:rsid w:val="001A346D"/>
    <w:rsid w:val="001A356D"/>
    <w:rsid w:val="001A3F42"/>
    <w:rsid w:val="001A4728"/>
    <w:rsid w:val="001A4B91"/>
    <w:rsid w:val="001B0140"/>
    <w:rsid w:val="001B0628"/>
    <w:rsid w:val="001B37B8"/>
    <w:rsid w:val="001B3B74"/>
    <w:rsid w:val="001B4D44"/>
    <w:rsid w:val="001B6E9E"/>
    <w:rsid w:val="001C5FFE"/>
    <w:rsid w:val="001D047A"/>
    <w:rsid w:val="001D2329"/>
    <w:rsid w:val="001D23CB"/>
    <w:rsid w:val="001D2C5B"/>
    <w:rsid w:val="001D73E0"/>
    <w:rsid w:val="001D744E"/>
    <w:rsid w:val="001D7F0A"/>
    <w:rsid w:val="001E181B"/>
    <w:rsid w:val="001E2B58"/>
    <w:rsid w:val="001E37DF"/>
    <w:rsid w:val="001E45CC"/>
    <w:rsid w:val="001E491B"/>
    <w:rsid w:val="001E4E70"/>
    <w:rsid w:val="001E6755"/>
    <w:rsid w:val="001F1D42"/>
    <w:rsid w:val="001F2570"/>
    <w:rsid w:val="002068A8"/>
    <w:rsid w:val="002127BF"/>
    <w:rsid w:val="0021522C"/>
    <w:rsid w:val="0021680F"/>
    <w:rsid w:val="0022500B"/>
    <w:rsid w:val="002266FC"/>
    <w:rsid w:val="00227D53"/>
    <w:rsid w:val="00231BDF"/>
    <w:rsid w:val="00232102"/>
    <w:rsid w:val="00235CDD"/>
    <w:rsid w:val="002412D6"/>
    <w:rsid w:val="002419AF"/>
    <w:rsid w:val="00241D01"/>
    <w:rsid w:val="0024416F"/>
    <w:rsid w:val="00244D0F"/>
    <w:rsid w:val="002456CE"/>
    <w:rsid w:val="0024634C"/>
    <w:rsid w:val="00247515"/>
    <w:rsid w:val="002514AA"/>
    <w:rsid w:val="002519AD"/>
    <w:rsid w:val="00254330"/>
    <w:rsid w:val="00255327"/>
    <w:rsid w:val="002573CF"/>
    <w:rsid w:val="002579C4"/>
    <w:rsid w:val="00260BC5"/>
    <w:rsid w:val="00271B03"/>
    <w:rsid w:val="00271F4A"/>
    <w:rsid w:val="002765C8"/>
    <w:rsid w:val="00277A6E"/>
    <w:rsid w:val="0028094C"/>
    <w:rsid w:val="00281B00"/>
    <w:rsid w:val="002821EE"/>
    <w:rsid w:val="00284924"/>
    <w:rsid w:val="002935D6"/>
    <w:rsid w:val="00295404"/>
    <w:rsid w:val="00297C8A"/>
    <w:rsid w:val="002A1075"/>
    <w:rsid w:val="002A1230"/>
    <w:rsid w:val="002A6880"/>
    <w:rsid w:val="002A7F66"/>
    <w:rsid w:val="002B1617"/>
    <w:rsid w:val="002B46E3"/>
    <w:rsid w:val="002C3049"/>
    <w:rsid w:val="002C798E"/>
    <w:rsid w:val="002C7A37"/>
    <w:rsid w:val="002D0735"/>
    <w:rsid w:val="002D184E"/>
    <w:rsid w:val="002D1F41"/>
    <w:rsid w:val="002D4104"/>
    <w:rsid w:val="002D5E56"/>
    <w:rsid w:val="002E0434"/>
    <w:rsid w:val="002E74EE"/>
    <w:rsid w:val="002E7808"/>
    <w:rsid w:val="002F0FAC"/>
    <w:rsid w:val="002F26DF"/>
    <w:rsid w:val="00302584"/>
    <w:rsid w:val="00304FF5"/>
    <w:rsid w:val="00315865"/>
    <w:rsid w:val="00315D00"/>
    <w:rsid w:val="00316F58"/>
    <w:rsid w:val="00323A2C"/>
    <w:rsid w:val="003245BE"/>
    <w:rsid w:val="003275FE"/>
    <w:rsid w:val="003303AD"/>
    <w:rsid w:val="00333B03"/>
    <w:rsid w:val="00335EB9"/>
    <w:rsid w:val="00340A69"/>
    <w:rsid w:val="00341E74"/>
    <w:rsid w:val="0034459F"/>
    <w:rsid w:val="00345551"/>
    <w:rsid w:val="00346C60"/>
    <w:rsid w:val="00351A7C"/>
    <w:rsid w:val="003558DA"/>
    <w:rsid w:val="0036022C"/>
    <w:rsid w:val="003624AD"/>
    <w:rsid w:val="00363F66"/>
    <w:rsid w:val="00370574"/>
    <w:rsid w:val="00371367"/>
    <w:rsid w:val="003729B8"/>
    <w:rsid w:val="003746A9"/>
    <w:rsid w:val="003766E3"/>
    <w:rsid w:val="00380711"/>
    <w:rsid w:val="00386B80"/>
    <w:rsid w:val="00386D68"/>
    <w:rsid w:val="00386DE3"/>
    <w:rsid w:val="00387E07"/>
    <w:rsid w:val="00391222"/>
    <w:rsid w:val="00391F0E"/>
    <w:rsid w:val="00392055"/>
    <w:rsid w:val="00393403"/>
    <w:rsid w:val="00393D2A"/>
    <w:rsid w:val="00394D97"/>
    <w:rsid w:val="003959D6"/>
    <w:rsid w:val="00396993"/>
    <w:rsid w:val="003A19F4"/>
    <w:rsid w:val="003A1F1D"/>
    <w:rsid w:val="003A386E"/>
    <w:rsid w:val="003A3B66"/>
    <w:rsid w:val="003A4832"/>
    <w:rsid w:val="003A5620"/>
    <w:rsid w:val="003B215D"/>
    <w:rsid w:val="003B440E"/>
    <w:rsid w:val="003B5057"/>
    <w:rsid w:val="003B5495"/>
    <w:rsid w:val="003B65CE"/>
    <w:rsid w:val="003B7EF4"/>
    <w:rsid w:val="003C022A"/>
    <w:rsid w:val="003C032C"/>
    <w:rsid w:val="003C1B46"/>
    <w:rsid w:val="003C23FC"/>
    <w:rsid w:val="003C3360"/>
    <w:rsid w:val="003C33EB"/>
    <w:rsid w:val="003C6DCA"/>
    <w:rsid w:val="003D058E"/>
    <w:rsid w:val="003D1173"/>
    <w:rsid w:val="003D2E64"/>
    <w:rsid w:val="003D50EA"/>
    <w:rsid w:val="003D592F"/>
    <w:rsid w:val="003D6ED5"/>
    <w:rsid w:val="003D7760"/>
    <w:rsid w:val="003E0435"/>
    <w:rsid w:val="003E30A9"/>
    <w:rsid w:val="003E3690"/>
    <w:rsid w:val="003E481E"/>
    <w:rsid w:val="003E4A97"/>
    <w:rsid w:val="003E5301"/>
    <w:rsid w:val="003E71EF"/>
    <w:rsid w:val="003E7639"/>
    <w:rsid w:val="003F047B"/>
    <w:rsid w:val="003F18F5"/>
    <w:rsid w:val="003F3B5B"/>
    <w:rsid w:val="003F419B"/>
    <w:rsid w:val="00414EA4"/>
    <w:rsid w:val="0041728C"/>
    <w:rsid w:val="004204B8"/>
    <w:rsid w:val="00420512"/>
    <w:rsid w:val="0042234D"/>
    <w:rsid w:val="004276B3"/>
    <w:rsid w:val="00431D00"/>
    <w:rsid w:val="00431E43"/>
    <w:rsid w:val="00432E52"/>
    <w:rsid w:val="00441718"/>
    <w:rsid w:val="0044188A"/>
    <w:rsid w:val="00442E60"/>
    <w:rsid w:val="0045621B"/>
    <w:rsid w:val="004566FF"/>
    <w:rsid w:val="00460E65"/>
    <w:rsid w:val="004639C8"/>
    <w:rsid w:val="00466CC4"/>
    <w:rsid w:val="004700C2"/>
    <w:rsid w:val="004719FA"/>
    <w:rsid w:val="00471A38"/>
    <w:rsid w:val="00472920"/>
    <w:rsid w:val="00472EFD"/>
    <w:rsid w:val="00474792"/>
    <w:rsid w:val="00474A9D"/>
    <w:rsid w:val="0047577F"/>
    <w:rsid w:val="0047715B"/>
    <w:rsid w:val="00480C17"/>
    <w:rsid w:val="004831DA"/>
    <w:rsid w:val="00483BBB"/>
    <w:rsid w:val="0049327C"/>
    <w:rsid w:val="004A1158"/>
    <w:rsid w:val="004A302D"/>
    <w:rsid w:val="004A407B"/>
    <w:rsid w:val="004A4D6C"/>
    <w:rsid w:val="004B00B4"/>
    <w:rsid w:val="004B174D"/>
    <w:rsid w:val="004B1AD9"/>
    <w:rsid w:val="004B283E"/>
    <w:rsid w:val="004B59EC"/>
    <w:rsid w:val="004B6D25"/>
    <w:rsid w:val="004C13E8"/>
    <w:rsid w:val="004C5C64"/>
    <w:rsid w:val="004D0FC6"/>
    <w:rsid w:val="004D3998"/>
    <w:rsid w:val="004E00C2"/>
    <w:rsid w:val="004E793D"/>
    <w:rsid w:val="004F1703"/>
    <w:rsid w:val="004F2A6A"/>
    <w:rsid w:val="004F6D9E"/>
    <w:rsid w:val="00500356"/>
    <w:rsid w:val="00501B24"/>
    <w:rsid w:val="00504393"/>
    <w:rsid w:val="005055FF"/>
    <w:rsid w:val="00505970"/>
    <w:rsid w:val="00506907"/>
    <w:rsid w:val="00507473"/>
    <w:rsid w:val="0050768E"/>
    <w:rsid w:val="005110D5"/>
    <w:rsid w:val="005110DC"/>
    <w:rsid w:val="005113B6"/>
    <w:rsid w:val="00513B5D"/>
    <w:rsid w:val="00515CFF"/>
    <w:rsid w:val="00520821"/>
    <w:rsid w:val="00520E71"/>
    <w:rsid w:val="00520F2B"/>
    <w:rsid w:val="005272DB"/>
    <w:rsid w:val="005312DB"/>
    <w:rsid w:val="00531B42"/>
    <w:rsid w:val="00532DA6"/>
    <w:rsid w:val="0053699B"/>
    <w:rsid w:val="00541604"/>
    <w:rsid w:val="005468AF"/>
    <w:rsid w:val="00547734"/>
    <w:rsid w:val="0055159D"/>
    <w:rsid w:val="00552F0B"/>
    <w:rsid w:val="00555452"/>
    <w:rsid w:val="00555E61"/>
    <w:rsid w:val="005579E7"/>
    <w:rsid w:val="00560A6B"/>
    <w:rsid w:val="00560C8B"/>
    <w:rsid w:val="005630DE"/>
    <w:rsid w:val="00563C67"/>
    <w:rsid w:val="00564A0F"/>
    <w:rsid w:val="0056674F"/>
    <w:rsid w:val="00566C4E"/>
    <w:rsid w:val="005752A6"/>
    <w:rsid w:val="00576567"/>
    <w:rsid w:val="00576AEA"/>
    <w:rsid w:val="00581AA2"/>
    <w:rsid w:val="0058393A"/>
    <w:rsid w:val="005945B2"/>
    <w:rsid w:val="0059533E"/>
    <w:rsid w:val="00597615"/>
    <w:rsid w:val="005A00D8"/>
    <w:rsid w:val="005A1DDB"/>
    <w:rsid w:val="005A74A3"/>
    <w:rsid w:val="005A75BD"/>
    <w:rsid w:val="005A79C4"/>
    <w:rsid w:val="005A7FEE"/>
    <w:rsid w:val="005B02C7"/>
    <w:rsid w:val="005B14E8"/>
    <w:rsid w:val="005B6D14"/>
    <w:rsid w:val="005B783E"/>
    <w:rsid w:val="005C2472"/>
    <w:rsid w:val="005C4DCD"/>
    <w:rsid w:val="005C6096"/>
    <w:rsid w:val="005D123E"/>
    <w:rsid w:val="005D1DDD"/>
    <w:rsid w:val="005E057D"/>
    <w:rsid w:val="005E153E"/>
    <w:rsid w:val="005E1A21"/>
    <w:rsid w:val="005E1B69"/>
    <w:rsid w:val="005E1D3C"/>
    <w:rsid w:val="005E2D64"/>
    <w:rsid w:val="005E2EB8"/>
    <w:rsid w:val="005E790B"/>
    <w:rsid w:val="005F28E7"/>
    <w:rsid w:val="005F2D6D"/>
    <w:rsid w:val="005F3030"/>
    <w:rsid w:val="005F46BF"/>
    <w:rsid w:val="00600E1B"/>
    <w:rsid w:val="00602CA8"/>
    <w:rsid w:val="006071B5"/>
    <w:rsid w:val="006121A9"/>
    <w:rsid w:val="00620690"/>
    <w:rsid w:val="0062153A"/>
    <w:rsid w:val="00622E69"/>
    <w:rsid w:val="00630F8B"/>
    <w:rsid w:val="00644F25"/>
    <w:rsid w:val="0064575B"/>
    <w:rsid w:val="00650C31"/>
    <w:rsid w:val="0065283E"/>
    <w:rsid w:val="00655F8F"/>
    <w:rsid w:val="00656826"/>
    <w:rsid w:val="006569EE"/>
    <w:rsid w:val="006601DC"/>
    <w:rsid w:val="006667D9"/>
    <w:rsid w:val="00667849"/>
    <w:rsid w:val="00672D9E"/>
    <w:rsid w:val="00675B28"/>
    <w:rsid w:val="00682125"/>
    <w:rsid w:val="006827A7"/>
    <w:rsid w:val="0068357C"/>
    <w:rsid w:val="00691DC7"/>
    <w:rsid w:val="00693563"/>
    <w:rsid w:val="00694862"/>
    <w:rsid w:val="006A48DA"/>
    <w:rsid w:val="006A4B3E"/>
    <w:rsid w:val="006A6CB8"/>
    <w:rsid w:val="006B0CC1"/>
    <w:rsid w:val="006B2C80"/>
    <w:rsid w:val="006B50FE"/>
    <w:rsid w:val="006B64F3"/>
    <w:rsid w:val="006B7E54"/>
    <w:rsid w:val="006C08A9"/>
    <w:rsid w:val="006C2A13"/>
    <w:rsid w:val="006C53EB"/>
    <w:rsid w:val="006C6EAF"/>
    <w:rsid w:val="006C7734"/>
    <w:rsid w:val="006D05FC"/>
    <w:rsid w:val="006D629D"/>
    <w:rsid w:val="006E0B3A"/>
    <w:rsid w:val="006E1A60"/>
    <w:rsid w:val="006E2D06"/>
    <w:rsid w:val="006E2E99"/>
    <w:rsid w:val="006E32EA"/>
    <w:rsid w:val="006E3AC7"/>
    <w:rsid w:val="006E44F0"/>
    <w:rsid w:val="006E4C79"/>
    <w:rsid w:val="006E52D9"/>
    <w:rsid w:val="006F0777"/>
    <w:rsid w:val="006F09E5"/>
    <w:rsid w:val="006F3DBD"/>
    <w:rsid w:val="006F7C6A"/>
    <w:rsid w:val="00703F49"/>
    <w:rsid w:val="007043F0"/>
    <w:rsid w:val="007046C3"/>
    <w:rsid w:val="00706114"/>
    <w:rsid w:val="007076EB"/>
    <w:rsid w:val="00712A3B"/>
    <w:rsid w:val="00714C4A"/>
    <w:rsid w:val="00714D20"/>
    <w:rsid w:val="00720955"/>
    <w:rsid w:val="00721538"/>
    <w:rsid w:val="00722822"/>
    <w:rsid w:val="00724A9F"/>
    <w:rsid w:val="0072664C"/>
    <w:rsid w:val="00726FE6"/>
    <w:rsid w:val="00727FC0"/>
    <w:rsid w:val="00731EB4"/>
    <w:rsid w:val="00732277"/>
    <w:rsid w:val="007327B4"/>
    <w:rsid w:val="00732A08"/>
    <w:rsid w:val="00735A28"/>
    <w:rsid w:val="00735A65"/>
    <w:rsid w:val="00740192"/>
    <w:rsid w:val="00743478"/>
    <w:rsid w:val="007545E9"/>
    <w:rsid w:val="00755F76"/>
    <w:rsid w:val="00756C2B"/>
    <w:rsid w:val="0075708E"/>
    <w:rsid w:val="007608FF"/>
    <w:rsid w:val="00760991"/>
    <w:rsid w:val="00760BA9"/>
    <w:rsid w:val="00761667"/>
    <w:rsid w:val="00761CC6"/>
    <w:rsid w:val="0076376E"/>
    <w:rsid w:val="0076412C"/>
    <w:rsid w:val="00764522"/>
    <w:rsid w:val="0076686F"/>
    <w:rsid w:val="00766DE7"/>
    <w:rsid w:val="00770F40"/>
    <w:rsid w:val="007719EE"/>
    <w:rsid w:val="0077210E"/>
    <w:rsid w:val="007734FA"/>
    <w:rsid w:val="00774407"/>
    <w:rsid w:val="00776157"/>
    <w:rsid w:val="007770A3"/>
    <w:rsid w:val="00781573"/>
    <w:rsid w:val="0078516F"/>
    <w:rsid w:val="00785C82"/>
    <w:rsid w:val="007905FF"/>
    <w:rsid w:val="00790D94"/>
    <w:rsid w:val="00790EC1"/>
    <w:rsid w:val="007910FE"/>
    <w:rsid w:val="007965BB"/>
    <w:rsid w:val="0079670A"/>
    <w:rsid w:val="007A4345"/>
    <w:rsid w:val="007A47E9"/>
    <w:rsid w:val="007A6B09"/>
    <w:rsid w:val="007A6FDC"/>
    <w:rsid w:val="007A7040"/>
    <w:rsid w:val="007A797A"/>
    <w:rsid w:val="007B1E2C"/>
    <w:rsid w:val="007B2B50"/>
    <w:rsid w:val="007B3833"/>
    <w:rsid w:val="007B50FF"/>
    <w:rsid w:val="007B6FA2"/>
    <w:rsid w:val="007C0F34"/>
    <w:rsid w:val="007C1F38"/>
    <w:rsid w:val="007C2877"/>
    <w:rsid w:val="007C4F6B"/>
    <w:rsid w:val="007C57F6"/>
    <w:rsid w:val="007C7706"/>
    <w:rsid w:val="007D1706"/>
    <w:rsid w:val="007D3203"/>
    <w:rsid w:val="007D3E5C"/>
    <w:rsid w:val="007D750D"/>
    <w:rsid w:val="007D7575"/>
    <w:rsid w:val="007D7EED"/>
    <w:rsid w:val="007E066E"/>
    <w:rsid w:val="007E0E77"/>
    <w:rsid w:val="007E27D4"/>
    <w:rsid w:val="007E2921"/>
    <w:rsid w:val="007E29A1"/>
    <w:rsid w:val="007E2A9A"/>
    <w:rsid w:val="007E7626"/>
    <w:rsid w:val="007F371F"/>
    <w:rsid w:val="007F4F0E"/>
    <w:rsid w:val="008001A8"/>
    <w:rsid w:val="00802D93"/>
    <w:rsid w:val="00804AC8"/>
    <w:rsid w:val="008130F6"/>
    <w:rsid w:val="00813FBB"/>
    <w:rsid w:val="00815C72"/>
    <w:rsid w:val="00816A98"/>
    <w:rsid w:val="00816E7E"/>
    <w:rsid w:val="00817067"/>
    <w:rsid w:val="00821542"/>
    <w:rsid w:val="00821E85"/>
    <w:rsid w:val="00823817"/>
    <w:rsid w:val="00823E01"/>
    <w:rsid w:val="0082532E"/>
    <w:rsid w:val="008256D4"/>
    <w:rsid w:val="00831AEF"/>
    <w:rsid w:val="008330BB"/>
    <w:rsid w:val="008332E8"/>
    <w:rsid w:val="00836EBA"/>
    <w:rsid w:val="008417A7"/>
    <w:rsid w:val="008455CA"/>
    <w:rsid w:val="00847C0C"/>
    <w:rsid w:val="008531AE"/>
    <w:rsid w:val="00855F6A"/>
    <w:rsid w:val="0085705B"/>
    <w:rsid w:val="0085715A"/>
    <w:rsid w:val="008631C9"/>
    <w:rsid w:val="00866C01"/>
    <w:rsid w:val="0087095A"/>
    <w:rsid w:val="0087336F"/>
    <w:rsid w:val="0087510B"/>
    <w:rsid w:val="00875457"/>
    <w:rsid w:val="00880CD7"/>
    <w:rsid w:val="008810B4"/>
    <w:rsid w:val="0088124D"/>
    <w:rsid w:val="00883C85"/>
    <w:rsid w:val="008872E5"/>
    <w:rsid w:val="008900A9"/>
    <w:rsid w:val="008939DC"/>
    <w:rsid w:val="008A0DDF"/>
    <w:rsid w:val="008A1627"/>
    <w:rsid w:val="008A2700"/>
    <w:rsid w:val="008A5E75"/>
    <w:rsid w:val="008A6DCC"/>
    <w:rsid w:val="008B1565"/>
    <w:rsid w:val="008B4E3F"/>
    <w:rsid w:val="008B4F96"/>
    <w:rsid w:val="008B5188"/>
    <w:rsid w:val="008B555B"/>
    <w:rsid w:val="008B5DDB"/>
    <w:rsid w:val="008C0D43"/>
    <w:rsid w:val="008C31F2"/>
    <w:rsid w:val="008C4E24"/>
    <w:rsid w:val="008C6592"/>
    <w:rsid w:val="008C65B9"/>
    <w:rsid w:val="008D0984"/>
    <w:rsid w:val="008D0FB0"/>
    <w:rsid w:val="008D207D"/>
    <w:rsid w:val="008D24BD"/>
    <w:rsid w:val="008D31D0"/>
    <w:rsid w:val="008D40CE"/>
    <w:rsid w:val="008D592C"/>
    <w:rsid w:val="008E2640"/>
    <w:rsid w:val="008E2B0E"/>
    <w:rsid w:val="008E62B3"/>
    <w:rsid w:val="008E73F8"/>
    <w:rsid w:val="008F3BF6"/>
    <w:rsid w:val="00900AEB"/>
    <w:rsid w:val="00910C3F"/>
    <w:rsid w:val="00920726"/>
    <w:rsid w:val="00920B57"/>
    <w:rsid w:val="009212A8"/>
    <w:rsid w:val="00921C28"/>
    <w:rsid w:val="009252FE"/>
    <w:rsid w:val="00925624"/>
    <w:rsid w:val="00925833"/>
    <w:rsid w:val="00927C87"/>
    <w:rsid w:val="00934D90"/>
    <w:rsid w:val="009352CF"/>
    <w:rsid w:val="00941825"/>
    <w:rsid w:val="0094230C"/>
    <w:rsid w:val="0094646F"/>
    <w:rsid w:val="00952620"/>
    <w:rsid w:val="00953705"/>
    <w:rsid w:val="00961B9A"/>
    <w:rsid w:val="00962209"/>
    <w:rsid w:val="00964337"/>
    <w:rsid w:val="00967EB9"/>
    <w:rsid w:val="009700FF"/>
    <w:rsid w:val="00971CB4"/>
    <w:rsid w:val="00975829"/>
    <w:rsid w:val="0097676A"/>
    <w:rsid w:val="0098155B"/>
    <w:rsid w:val="00982D9C"/>
    <w:rsid w:val="00985A10"/>
    <w:rsid w:val="009871D8"/>
    <w:rsid w:val="00991A6A"/>
    <w:rsid w:val="00992FB8"/>
    <w:rsid w:val="009934FD"/>
    <w:rsid w:val="009940DE"/>
    <w:rsid w:val="009951D0"/>
    <w:rsid w:val="00995378"/>
    <w:rsid w:val="009A13E1"/>
    <w:rsid w:val="009A3CFB"/>
    <w:rsid w:val="009A47CB"/>
    <w:rsid w:val="009A5125"/>
    <w:rsid w:val="009B00A6"/>
    <w:rsid w:val="009B1781"/>
    <w:rsid w:val="009B1F3C"/>
    <w:rsid w:val="009B2744"/>
    <w:rsid w:val="009B56E8"/>
    <w:rsid w:val="009B7D49"/>
    <w:rsid w:val="009C15E0"/>
    <w:rsid w:val="009C3A51"/>
    <w:rsid w:val="009C47D7"/>
    <w:rsid w:val="009C5DE4"/>
    <w:rsid w:val="009C7B3C"/>
    <w:rsid w:val="009D131E"/>
    <w:rsid w:val="009D1968"/>
    <w:rsid w:val="009D4E10"/>
    <w:rsid w:val="009D7D7B"/>
    <w:rsid w:val="009E0CE0"/>
    <w:rsid w:val="009E15A6"/>
    <w:rsid w:val="009E2892"/>
    <w:rsid w:val="009E29C6"/>
    <w:rsid w:val="009E3989"/>
    <w:rsid w:val="009E4652"/>
    <w:rsid w:val="009E4BBE"/>
    <w:rsid w:val="009E590D"/>
    <w:rsid w:val="009E6454"/>
    <w:rsid w:val="009E6623"/>
    <w:rsid w:val="009E76DA"/>
    <w:rsid w:val="009F4329"/>
    <w:rsid w:val="00A0271D"/>
    <w:rsid w:val="00A055AA"/>
    <w:rsid w:val="00A125AB"/>
    <w:rsid w:val="00A17B43"/>
    <w:rsid w:val="00A17D09"/>
    <w:rsid w:val="00A20A00"/>
    <w:rsid w:val="00A21E10"/>
    <w:rsid w:val="00A2547C"/>
    <w:rsid w:val="00A25EE7"/>
    <w:rsid w:val="00A2673D"/>
    <w:rsid w:val="00A279F0"/>
    <w:rsid w:val="00A27E35"/>
    <w:rsid w:val="00A3211E"/>
    <w:rsid w:val="00A33436"/>
    <w:rsid w:val="00A33E77"/>
    <w:rsid w:val="00A3481E"/>
    <w:rsid w:val="00A34F0D"/>
    <w:rsid w:val="00A4061B"/>
    <w:rsid w:val="00A4163F"/>
    <w:rsid w:val="00A41CE1"/>
    <w:rsid w:val="00A4252B"/>
    <w:rsid w:val="00A447D4"/>
    <w:rsid w:val="00A475B7"/>
    <w:rsid w:val="00A5192D"/>
    <w:rsid w:val="00A554CF"/>
    <w:rsid w:val="00A5750C"/>
    <w:rsid w:val="00A6100C"/>
    <w:rsid w:val="00A6304E"/>
    <w:rsid w:val="00A6406E"/>
    <w:rsid w:val="00A669D3"/>
    <w:rsid w:val="00A66F50"/>
    <w:rsid w:val="00A8341E"/>
    <w:rsid w:val="00A8345D"/>
    <w:rsid w:val="00A85955"/>
    <w:rsid w:val="00A86E09"/>
    <w:rsid w:val="00A86FC6"/>
    <w:rsid w:val="00A87C01"/>
    <w:rsid w:val="00A916E9"/>
    <w:rsid w:val="00A9550C"/>
    <w:rsid w:val="00AA5F6E"/>
    <w:rsid w:val="00AA7C98"/>
    <w:rsid w:val="00AB6574"/>
    <w:rsid w:val="00AB6D76"/>
    <w:rsid w:val="00AB6F7E"/>
    <w:rsid w:val="00AC01BF"/>
    <w:rsid w:val="00AC247A"/>
    <w:rsid w:val="00AC63A7"/>
    <w:rsid w:val="00AD0214"/>
    <w:rsid w:val="00AD0665"/>
    <w:rsid w:val="00AD1136"/>
    <w:rsid w:val="00AD24A5"/>
    <w:rsid w:val="00AD5595"/>
    <w:rsid w:val="00AD7E28"/>
    <w:rsid w:val="00AE1122"/>
    <w:rsid w:val="00AE1B8D"/>
    <w:rsid w:val="00AE4EF0"/>
    <w:rsid w:val="00AE7318"/>
    <w:rsid w:val="00AE78EA"/>
    <w:rsid w:val="00AE7C66"/>
    <w:rsid w:val="00AF1E4A"/>
    <w:rsid w:val="00AF4A39"/>
    <w:rsid w:val="00B00766"/>
    <w:rsid w:val="00B00F53"/>
    <w:rsid w:val="00B019FD"/>
    <w:rsid w:val="00B024EF"/>
    <w:rsid w:val="00B03EAC"/>
    <w:rsid w:val="00B07B89"/>
    <w:rsid w:val="00B1205D"/>
    <w:rsid w:val="00B1292F"/>
    <w:rsid w:val="00B13238"/>
    <w:rsid w:val="00B136B3"/>
    <w:rsid w:val="00B13A87"/>
    <w:rsid w:val="00B14043"/>
    <w:rsid w:val="00B152CE"/>
    <w:rsid w:val="00B15314"/>
    <w:rsid w:val="00B163C6"/>
    <w:rsid w:val="00B166C0"/>
    <w:rsid w:val="00B17EF7"/>
    <w:rsid w:val="00B20D59"/>
    <w:rsid w:val="00B210BF"/>
    <w:rsid w:val="00B229C7"/>
    <w:rsid w:val="00B23FBB"/>
    <w:rsid w:val="00B256BB"/>
    <w:rsid w:val="00B27B03"/>
    <w:rsid w:val="00B3058E"/>
    <w:rsid w:val="00B30DD4"/>
    <w:rsid w:val="00B34549"/>
    <w:rsid w:val="00B34A9C"/>
    <w:rsid w:val="00B34C1F"/>
    <w:rsid w:val="00B35064"/>
    <w:rsid w:val="00B4057C"/>
    <w:rsid w:val="00B42789"/>
    <w:rsid w:val="00B42C78"/>
    <w:rsid w:val="00B463CE"/>
    <w:rsid w:val="00B5056A"/>
    <w:rsid w:val="00B547B0"/>
    <w:rsid w:val="00B55CDA"/>
    <w:rsid w:val="00B55E7C"/>
    <w:rsid w:val="00B56142"/>
    <w:rsid w:val="00B567E1"/>
    <w:rsid w:val="00B65353"/>
    <w:rsid w:val="00B700BE"/>
    <w:rsid w:val="00B737BD"/>
    <w:rsid w:val="00B77C58"/>
    <w:rsid w:val="00B80C92"/>
    <w:rsid w:val="00B84D4C"/>
    <w:rsid w:val="00B860B9"/>
    <w:rsid w:val="00B87DF0"/>
    <w:rsid w:val="00B90FF7"/>
    <w:rsid w:val="00B920EA"/>
    <w:rsid w:val="00B954D8"/>
    <w:rsid w:val="00BA250C"/>
    <w:rsid w:val="00BA3848"/>
    <w:rsid w:val="00BA490C"/>
    <w:rsid w:val="00BB2A29"/>
    <w:rsid w:val="00BB4459"/>
    <w:rsid w:val="00BB4E50"/>
    <w:rsid w:val="00BB7E65"/>
    <w:rsid w:val="00BC3532"/>
    <w:rsid w:val="00BD1E17"/>
    <w:rsid w:val="00BD4D6A"/>
    <w:rsid w:val="00BD6BF4"/>
    <w:rsid w:val="00BD6CCA"/>
    <w:rsid w:val="00BD7C8F"/>
    <w:rsid w:val="00BE22EF"/>
    <w:rsid w:val="00BE693E"/>
    <w:rsid w:val="00BE70EB"/>
    <w:rsid w:val="00BE7A99"/>
    <w:rsid w:val="00BF2268"/>
    <w:rsid w:val="00BF57C8"/>
    <w:rsid w:val="00BF5C6C"/>
    <w:rsid w:val="00BF7988"/>
    <w:rsid w:val="00C04F88"/>
    <w:rsid w:val="00C12437"/>
    <w:rsid w:val="00C12F8A"/>
    <w:rsid w:val="00C131FC"/>
    <w:rsid w:val="00C13A2E"/>
    <w:rsid w:val="00C1673F"/>
    <w:rsid w:val="00C1702F"/>
    <w:rsid w:val="00C21AF6"/>
    <w:rsid w:val="00C222E3"/>
    <w:rsid w:val="00C23E1F"/>
    <w:rsid w:val="00C2406E"/>
    <w:rsid w:val="00C3475D"/>
    <w:rsid w:val="00C34D9D"/>
    <w:rsid w:val="00C35A6C"/>
    <w:rsid w:val="00C368D8"/>
    <w:rsid w:val="00C5058C"/>
    <w:rsid w:val="00C51D75"/>
    <w:rsid w:val="00C52585"/>
    <w:rsid w:val="00C559EB"/>
    <w:rsid w:val="00C6353D"/>
    <w:rsid w:val="00C63703"/>
    <w:rsid w:val="00C66B14"/>
    <w:rsid w:val="00C711CC"/>
    <w:rsid w:val="00C71603"/>
    <w:rsid w:val="00C72259"/>
    <w:rsid w:val="00C72684"/>
    <w:rsid w:val="00C7677E"/>
    <w:rsid w:val="00C845ED"/>
    <w:rsid w:val="00C86D4C"/>
    <w:rsid w:val="00C87C76"/>
    <w:rsid w:val="00C910A3"/>
    <w:rsid w:val="00C9454E"/>
    <w:rsid w:val="00C951A8"/>
    <w:rsid w:val="00C963CD"/>
    <w:rsid w:val="00C96482"/>
    <w:rsid w:val="00CA3D5A"/>
    <w:rsid w:val="00CA525E"/>
    <w:rsid w:val="00CA5696"/>
    <w:rsid w:val="00CA5E6D"/>
    <w:rsid w:val="00CA68B4"/>
    <w:rsid w:val="00CA7782"/>
    <w:rsid w:val="00CB0A61"/>
    <w:rsid w:val="00CB0B1F"/>
    <w:rsid w:val="00CC0033"/>
    <w:rsid w:val="00CC3DEE"/>
    <w:rsid w:val="00CC4789"/>
    <w:rsid w:val="00CC4E8E"/>
    <w:rsid w:val="00CC6F76"/>
    <w:rsid w:val="00CD1BFA"/>
    <w:rsid w:val="00CD3A24"/>
    <w:rsid w:val="00CD5301"/>
    <w:rsid w:val="00CE011E"/>
    <w:rsid w:val="00CE1278"/>
    <w:rsid w:val="00CE135A"/>
    <w:rsid w:val="00CE20C7"/>
    <w:rsid w:val="00CE24A4"/>
    <w:rsid w:val="00CE3AC6"/>
    <w:rsid w:val="00CE655E"/>
    <w:rsid w:val="00CF09F7"/>
    <w:rsid w:val="00CF443A"/>
    <w:rsid w:val="00CF6FAF"/>
    <w:rsid w:val="00D00B44"/>
    <w:rsid w:val="00D00ED6"/>
    <w:rsid w:val="00D036B2"/>
    <w:rsid w:val="00D041D9"/>
    <w:rsid w:val="00D07105"/>
    <w:rsid w:val="00D0733E"/>
    <w:rsid w:val="00D11BD9"/>
    <w:rsid w:val="00D1485F"/>
    <w:rsid w:val="00D16F72"/>
    <w:rsid w:val="00D209DA"/>
    <w:rsid w:val="00D21E6A"/>
    <w:rsid w:val="00D23739"/>
    <w:rsid w:val="00D244CF"/>
    <w:rsid w:val="00D252E8"/>
    <w:rsid w:val="00D420A0"/>
    <w:rsid w:val="00D440B6"/>
    <w:rsid w:val="00D44153"/>
    <w:rsid w:val="00D47146"/>
    <w:rsid w:val="00D524E5"/>
    <w:rsid w:val="00D53E72"/>
    <w:rsid w:val="00D54D01"/>
    <w:rsid w:val="00D5740B"/>
    <w:rsid w:val="00D61E9B"/>
    <w:rsid w:val="00D62DDA"/>
    <w:rsid w:val="00D63873"/>
    <w:rsid w:val="00D67F35"/>
    <w:rsid w:val="00D72080"/>
    <w:rsid w:val="00D74F90"/>
    <w:rsid w:val="00D80A3B"/>
    <w:rsid w:val="00D80FC2"/>
    <w:rsid w:val="00D810DE"/>
    <w:rsid w:val="00D8179A"/>
    <w:rsid w:val="00D82885"/>
    <w:rsid w:val="00D84F67"/>
    <w:rsid w:val="00D859E4"/>
    <w:rsid w:val="00D87582"/>
    <w:rsid w:val="00D906D8"/>
    <w:rsid w:val="00D9183B"/>
    <w:rsid w:val="00D9354A"/>
    <w:rsid w:val="00D93EAB"/>
    <w:rsid w:val="00D9662F"/>
    <w:rsid w:val="00D96F2C"/>
    <w:rsid w:val="00D97C0E"/>
    <w:rsid w:val="00D97FB1"/>
    <w:rsid w:val="00DA0FC2"/>
    <w:rsid w:val="00DA1940"/>
    <w:rsid w:val="00DA2E71"/>
    <w:rsid w:val="00DA4106"/>
    <w:rsid w:val="00DB0020"/>
    <w:rsid w:val="00DB0077"/>
    <w:rsid w:val="00DB2244"/>
    <w:rsid w:val="00DC208A"/>
    <w:rsid w:val="00DC2C71"/>
    <w:rsid w:val="00DC2CD4"/>
    <w:rsid w:val="00DC2FEB"/>
    <w:rsid w:val="00DC3F02"/>
    <w:rsid w:val="00DC6248"/>
    <w:rsid w:val="00DC757B"/>
    <w:rsid w:val="00DC7D9C"/>
    <w:rsid w:val="00DD0C14"/>
    <w:rsid w:val="00DD132A"/>
    <w:rsid w:val="00DD24C8"/>
    <w:rsid w:val="00DD2B85"/>
    <w:rsid w:val="00DE0FC1"/>
    <w:rsid w:val="00DE13AD"/>
    <w:rsid w:val="00DE13FD"/>
    <w:rsid w:val="00DE7BA1"/>
    <w:rsid w:val="00DF042E"/>
    <w:rsid w:val="00DF3E15"/>
    <w:rsid w:val="00DF4184"/>
    <w:rsid w:val="00DF5528"/>
    <w:rsid w:val="00DF644F"/>
    <w:rsid w:val="00DF6E19"/>
    <w:rsid w:val="00E03E2E"/>
    <w:rsid w:val="00E06547"/>
    <w:rsid w:val="00E131DD"/>
    <w:rsid w:val="00E13F25"/>
    <w:rsid w:val="00E17A82"/>
    <w:rsid w:val="00E22805"/>
    <w:rsid w:val="00E22B3A"/>
    <w:rsid w:val="00E2399B"/>
    <w:rsid w:val="00E23A2B"/>
    <w:rsid w:val="00E30FE8"/>
    <w:rsid w:val="00E329C3"/>
    <w:rsid w:val="00E32FE0"/>
    <w:rsid w:val="00E339B8"/>
    <w:rsid w:val="00E33AFC"/>
    <w:rsid w:val="00E34967"/>
    <w:rsid w:val="00E40288"/>
    <w:rsid w:val="00E408AC"/>
    <w:rsid w:val="00E41109"/>
    <w:rsid w:val="00E44410"/>
    <w:rsid w:val="00E463FD"/>
    <w:rsid w:val="00E4689F"/>
    <w:rsid w:val="00E47198"/>
    <w:rsid w:val="00E508F7"/>
    <w:rsid w:val="00E5728A"/>
    <w:rsid w:val="00E65076"/>
    <w:rsid w:val="00E65223"/>
    <w:rsid w:val="00E655FC"/>
    <w:rsid w:val="00E73690"/>
    <w:rsid w:val="00E737D1"/>
    <w:rsid w:val="00E75ECD"/>
    <w:rsid w:val="00E76778"/>
    <w:rsid w:val="00E87FA3"/>
    <w:rsid w:val="00E92128"/>
    <w:rsid w:val="00E93047"/>
    <w:rsid w:val="00E93370"/>
    <w:rsid w:val="00E97B72"/>
    <w:rsid w:val="00EA0E96"/>
    <w:rsid w:val="00EA158F"/>
    <w:rsid w:val="00EA2F78"/>
    <w:rsid w:val="00EA3709"/>
    <w:rsid w:val="00EA4778"/>
    <w:rsid w:val="00EA4A83"/>
    <w:rsid w:val="00EA636E"/>
    <w:rsid w:val="00EA63AD"/>
    <w:rsid w:val="00EB1C03"/>
    <w:rsid w:val="00EB2B25"/>
    <w:rsid w:val="00EB57C9"/>
    <w:rsid w:val="00EB6556"/>
    <w:rsid w:val="00EB6E63"/>
    <w:rsid w:val="00EC046A"/>
    <w:rsid w:val="00EC59DC"/>
    <w:rsid w:val="00EC6F72"/>
    <w:rsid w:val="00ED0FE2"/>
    <w:rsid w:val="00EE0C40"/>
    <w:rsid w:val="00EE3E2F"/>
    <w:rsid w:val="00EE4E49"/>
    <w:rsid w:val="00EE506D"/>
    <w:rsid w:val="00EF2177"/>
    <w:rsid w:val="00EF2A91"/>
    <w:rsid w:val="00F10A58"/>
    <w:rsid w:val="00F1247E"/>
    <w:rsid w:val="00F12728"/>
    <w:rsid w:val="00F12C90"/>
    <w:rsid w:val="00F12EF6"/>
    <w:rsid w:val="00F1545E"/>
    <w:rsid w:val="00F22C28"/>
    <w:rsid w:val="00F3300A"/>
    <w:rsid w:val="00F36906"/>
    <w:rsid w:val="00F407BE"/>
    <w:rsid w:val="00F41FDF"/>
    <w:rsid w:val="00F45210"/>
    <w:rsid w:val="00F504B4"/>
    <w:rsid w:val="00F50906"/>
    <w:rsid w:val="00F50C5E"/>
    <w:rsid w:val="00F525E7"/>
    <w:rsid w:val="00F5304E"/>
    <w:rsid w:val="00F556B7"/>
    <w:rsid w:val="00F5791A"/>
    <w:rsid w:val="00F633FA"/>
    <w:rsid w:val="00F64354"/>
    <w:rsid w:val="00F6547A"/>
    <w:rsid w:val="00F66D1C"/>
    <w:rsid w:val="00F7172E"/>
    <w:rsid w:val="00F72C82"/>
    <w:rsid w:val="00F73AA5"/>
    <w:rsid w:val="00F73C19"/>
    <w:rsid w:val="00F75069"/>
    <w:rsid w:val="00F767A0"/>
    <w:rsid w:val="00F7695F"/>
    <w:rsid w:val="00F76D06"/>
    <w:rsid w:val="00F77843"/>
    <w:rsid w:val="00F812CF"/>
    <w:rsid w:val="00F82CFE"/>
    <w:rsid w:val="00F8346F"/>
    <w:rsid w:val="00F83D0E"/>
    <w:rsid w:val="00F850C4"/>
    <w:rsid w:val="00F90BEE"/>
    <w:rsid w:val="00F94427"/>
    <w:rsid w:val="00F95A94"/>
    <w:rsid w:val="00F97857"/>
    <w:rsid w:val="00FA0729"/>
    <w:rsid w:val="00FA1472"/>
    <w:rsid w:val="00FA3AC3"/>
    <w:rsid w:val="00FA4131"/>
    <w:rsid w:val="00FA64E5"/>
    <w:rsid w:val="00FA761F"/>
    <w:rsid w:val="00FA7CFB"/>
    <w:rsid w:val="00FB071E"/>
    <w:rsid w:val="00FB2D89"/>
    <w:rsid w:val="00FB30B4"/>
    <w:rsid w:val="00FC0DA3"/>
    <w:rsid w:val="00FC5F24"/>
    <w:rsid w:val="00FC7783"/>
    <w:rsid w:val="00FD4D95"/>
    <w:rsid w:val="00FD503F"/>
    <w:rsid w:val="00FD5B2F"/>
    <w:rsid w:val="00FD5C43"/>
    <w:rsid w:val="00FD5DC2"/>
    <w:rsid w:val="00FE0329"/>
    <w:rsid w:val="00FE0A28"/>
    <w:rsid w:val="00FE0F59"/>
    <w:rsid w:val="00FE2B57"/>
    <w:rsid w:val="00FE4977"/>
    <w:rsid w:val="00FE7208"/>
    <w:rsid w:val="00FF28B7"/>
    <w:rsid w:val="00FF2E56"/>
    <w:rsid w:val="00FF7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F25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621B"/>
    <w:pPr>
      <w:keepNext/>
      <w:tabs>
        <w:tab w:val="left" w:pos="72"/>
        <w:tab w:val="left" w:pos="792"/>
      </w:tabs>
      <w:ind w:left="432" w:hanging="3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13F25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13F2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tedodatabela">
    <w:name w:val="Conteúdo da tabela"/>
    <w:basedOn w:val="Normal"/>
    <w:uiPriority w:val="99"/>
    <w:rsid w:val="00E13F25"/>
    <w:pPr>
      <w:suppressLineNumbers/>
    </w:pPr>
  </w:style>
  <w:style w:type="paragraph" w:customStyle="1" w:styleId="Paragraph">
    <w:name w:val="Paragraph"/>
    <w:basedOn w:val="BodyTextIndent"/>
    <w:rsid w:val="00E13F25"/>
    <w:pPr>
      <w:numPr>
        <w:numId w:val="1"/>
      </w:numPr>
      <w:spacing w:before="120"/>
      <w:jc w:val="both"/>
    </w:pPr>
    <w:rPr>
      <w:szCs w:val="20"/>
      <w:lang w:val="es-ES_tradnl"/>
    </w:rPr>
  </w:style>
  <w:style w:type="paragraph" w:styleId="FootnoteText">
    <w:name w:val="footnote text"/>
    <w:basedOn w:val="Normal"/>
    <w:link w:val="FootnoteTextChar"/>
    <w:rsid w:val="00E13F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13F2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FootnoteReference">
    <w:name w:val="footnote reference"/>
    <w:uiPriority w:val="99"/>
    <w:rsid w:val="00E13F25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E13F25"/>
    <w:pPr>
      <w:ind w:left="720"/>
      <w:contextualSpacing/>
    </w:pPr>
  </w:style>
  <w:style w:type="paragraph" w:customStyle="1" w:styleId="NoSpacing1">
    <w:name w:val="No Spacing1"/>
    <w:rsid w:val="00E13F25"/>
    <w:rPr>
      <w:rFonts w:eastAsia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13F2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13F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E13F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F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F2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F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F2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F25"/>
    <w:rPr>
      <w:rFonts w:ascii="Tahoma" w:eastAsia="Times New Roma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13F2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F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13F2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F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ewpage">
    <w:name w:val="Newpage"/>
    <w:basedOn w:val="Normal"/>
    <w:uiPriority w:val="99"/>
    <w:rsid w:val="00E13F25"/>
    <w:pPr>
      <w:tabs>
        <w:tab w:val="left" w:pos="3060"/>
      </w:tabs>
      <w:jc w:val="center"/>
    </w:pPr>
    <w:rPr>
      <w:rFonts w:ascii="Arial" w:hAnsi="Arial" w:cs="Arial"/>
      <w:b/>
      <w:bCs/>
      <w:smallCaps/>
      <w:sz w:val="20"/>
      <w:szCs w:val="20"/>
    </w:rPr>
  </w:style>
  <w:style w:type="character" w:styleId="PageNumber">
    <w:name w:val="page number"/>
    <w:uiPriority w:val="99"/>
    <w:rsid w:val="00E13F25"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45621B"/>
    <w:rPr>
      <w:rFonts w:ascii="Cambria" w:eastAsia="Times New Roman" w:hAnsi="Cambria" w:cs="Times New Roman"/>
      <w:b/>
      <w:kern w:val="32"/>
      <w:sz w:val="32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B14043"/>
    <w:rPr>
      <w:color w:val="0000FF"/>
      <w:u w:val="single"/>
    </w:rPr>
  </w:style>
  <w:style w:type="paragraph" w:customStyle="1" w:styleId="Normal1">
    <w:name w:val="Normal1"/>
    <w:rsid w:val="00900AE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rsid w:val="00D93EA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0A062C"/>
    <w:rPr>
      <w:b/>
      <w:bCs/>
    </w:rPr>
  </w:style>
  <w:style w:type="paragraph" w:customStyle="1" w:styleId="Normal11">
    <w:name w:val="Normal11"/>
    <w:rsid w:val="00E339B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6B50FE"/>
    <w:pPr>
      <w:suppressAutoHyphens w:val="0"/>
      <w:spacing w:before="100" w:beforeAutospacing="1" w:after="100" w:afterAutospacing="1"/>
    </w:pPr>
    <w:rPr>
      <w:lang w:val="en-US" w:eastAsia="pt-BR"/>
    </w:rPr>
  </w:style>
  <w:style w:type="paragraph" w:customStyle="1" w:styleId="Contedodetabela">
    <w:name w:val="Conteúdo de tabela"/>
    <w:basedOn w:val="Normal"/>
    <w:rsid w:val="00691DC7"/>
    <w:pPr>
      <w:widowControl w:val="0"/>
      <w:suppressLineNumbers/>
    </w:pPr>
    <w:rPr>
      <w:rFonts w:eastAsia="SimSun" w:cs="Mangal"/>
      <w:kern w:val="1"/>
      <w:lang w:eastAsia="hi-IN" w:bidi="hi-IN"/>
    </w:rPr>
  </w:style>
  <w:style w:type="character" w:styleId="HTMLTypewriter">
    <w:name w:val="HTML Typewriter"/>
    <w:basedOn w:val="DefaultParagraphFont"/>
    <w:uiPriority w:val="99"/>
    <w:semiHidden/>
    <w:unhideWhenUsed/>
    <w:rsid w:val="00466CC4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AD24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F25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621B"/>
    <w:pPr>
      <w:keepNext/>
      <w:tabs>
        <w:tab w:val="left" w:pos="72"/>
        <w:tab w:val="left" w:pos="792"/>
      </w:tabs>
      <w:ind w:left="432" w:hanging="3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13F25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13F2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tedodatabela">
    <w:name w:val="Conteúdo da tabela"/>
    <w:basedOn w:val="Normal"/>
    <w:uiPriority w:val="99"/>
    <w:rsid w:val="00E13F25"/>
    <w:pPr>
      <w:suppressLineNumbers/>
    </w:pPr>
  </w:style>
  <w:style w:type="paragraph" w:customStyle="1" w:styleId="Paragraph">
    <w:name w:val="Paragraph"/>
    <w:basedOn w:val="BodyTextIndent"/>
    <w:rsid w:val="00E13F25"/>
    <w:pPr>
      <w:numPr>
        <w:numId w:val="1"/>
      </w:numPr>
      <w:spacing w:before="120"/>
      <w:jc w:val="both"/>
    </w:pPr>
    <w:rPr>
      <w:szCs w:val="20"/>
      <w:lang w:val="es-ES_tradnl"/>
    </w:rPr>
  </w:style>
  <w:style w:type="paragraph" w:styleId="FootnoteText">
    <w:name w:val="footnote text"/>
    <w:basedOn w:val="Normal"/>
    <w:link w:val="FootnoteTextChar"/>
    <w:rsid w:val="00E13F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13F2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FootnoteReference">
    <w:name w:val="footnote reference"/>
    <w:uiPriority w:val="99"/>
    <w:rsid w:val="00E13F25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E13F25"/>
    <w:pPr>
      <w:ind w:left="720"/>
      <w:contextualSpacing/>
    </w:pPr>
  </w:style>
  <w:style w:type="paragraph" w:customStyle="1" w:styleId="NoSpacing1">
    <w:name w:val="No Spacing1"/>
    <w:rsid w:val="00E13F25"/>
    <w:rPr>
      <w:rFonts w:eastAsia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13F2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13F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E13F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F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F2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F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F2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F25"/>
    <w:rPr>
      <w:rFonts w:ascii="Tahoma" w:eastAsia="Times New Roma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13F2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F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13F2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F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ewpage">
    <w:name w:val="Newpage"/>
    <w:basedOn w:val="Normal"/>
    <w:uiPriority w:val="99"/>
    <w:rsid w:val="00E13F25"/>
    <w:pPr>
      <w:tabs>
        <w:tab w:val="left" w:pos="3060"/>
      </w:tabs>
      <w:jc w:val="center"/>
    </w:pPr>
    <w:rPr>
      <w:rFonts w:ascii="Arial" w:hAnsi="Arial" w:cs="Arial"/>
      <w:b/>
      <w:bCs/>
      <w:smallCaps/>
      <w:sz w:val="20"/>
      <w:szCs w:val="20"/>
    </w:rPr>
  </w:style>
  <w:style w:type="character" w:styleId="PageNumber">
    <w:name w:val="page number"/>
    <w:uiPriority w:val="99"/>
    <w:rsid w:val="00E13F25"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45621B"/>
    <w:rPr>
      <w:rFonts w:ascii="Cambria" w:eastAsia="Times New Roman" w:hAnsi="Cambria" w:cs="Times New Roman"/>
      <w:b/>
      <w:kern w:val="32"/>
      <w:sz w:val="32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B14043"/>
    <w:rPr>
      <w:color w:val="0000FF"/>
      <w:u w:val="single"/>
    </w:rPr>
  </w:style>
  <w:style w:type="paragraph" w:customStyle="1" w:styleId="Normal1">
    <w:name w:val="Normal1"/>
    <w:rsid w:val="00900AE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rsid w:val="00D93EA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0A062C"/>
    <w:rPr>
      <w:b/>
      <w:bCs/>
    </w:rPr>
  </w:style>
  <w:style w:type="paragraph" w:customStyle="1" w:styleId="Normal11">
    <w:name w:val="Normal11"/>
    <w:rsid w:val="00E339B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6B50FE"/>
    <w:pPr>
      <w:suppressAutoHyphens w:val="0"/>
      <w:spacing w:before="100" w:beforeAutospacing="1" w:after="100" w:afterAutospacing="1"/>
    </w:pPr>
    <w:rPr>
      <w:lang w:val="en-US" w:eastAsia="pt-BR"/>
    </w:rPr>
  </w:style>
  <w:style w:type="paragraph" w:customStyle="1" w:styleId="Contedodetabela">
    <w:name w:val="Conteúdo de tabela"/>
    <w:basedOn w:val="Normal"/>
    <w:rsid w:val="00691DC7"/>
    <w:pPr>
      <w:widowControl w:val="0"/>
      <w:suppressLineNumbers/>
    </w:pPr>
    <w:rPr>
      <w:rFonts w:eastAsia="SimSun" w:cs="Mangal"/>
      <w:kern w:val="1"/>
      <w:lang w:eastAsia="hi-IN" w:bidi="hi-IN"/>
    </w:rPr>
  </w:style>
  <w:style w:type="character" w:styleId="HTMLTypewriter">
    <w:name w:val="HTML Typewriter"/>
    <w:basedOn w:val="DefaultParagraphFont"/>
    <w:uiPriority w:val="99"/>
    <w:semiHidden/>
    <w:unhideWhenUsed/>
    <w:rsid w:val="00466CC4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AD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ppp.segov.pe.gov.br" TargetMode="External"/><Relationship Id="rId19" Type="http://schemas.openxmlformats.org/officeDocument/2006/relationships/customXml" Target="../customXml/item7.xml"/><Relationship Id="rId4" Type="http://schemas.microsoft.com/office/2007/relationships/stylesWithEffects" Target="stylesWithEffects.xml"/><Relationship Id="rId9" Type="http://schemas.openxmlformats.org/officeDocument/2006/relationships/hyperlink" Target="file://sf008438/_SECGE$/Planejamento%20Estrategico/Assessoria%20de%20Gest&#227;o/BID-PBL/Enviados%20em%2030-jan-13/GGGP-CEP-Nota%20T&#233;cnica%20N&#186;002_2013%20_%20GGGP_SCGE.docx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FE4B09661A55E48898F865D77A2D25D" ma:contentTypeVersion="3519" ma:contentTypeDescription="A content type to manage public (operations) IDB documents" ma:contentTypeScope="" ma:versionID="831eb8a40a7d2cae7370075f1100997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37730551</IDBDocs_x0020_Number>
    <TaxCatchAll xmlns="cdc7663a-08f0-4737-9e8c-148ce897a09c">
      <Value>13</Value>
      <Value>30</Value>
      <Value>1</Value>
    </TaxCatchAll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 xsi:nil="true"/>
    <Document_x0020_Author xmlns="cdc7663a-08f0-4737-9e8c-148ce897a09c">Villela, Luiz A.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BR-L1381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class="ExternalClassE6003C1741AA4C6B91480AF8FE52AD7C"&gt;MS WORDLPLoan Proposal0N&lt;/div&gt;</Migration_x0020_Info>
    <Operation_x0020_Type xmlns="cdc7663a-08f0-4737-9e8c-148ce897a09c" xsi:nil="true"/>
    <Record_x0020_Number xmlns="cdc7663a-08f0-4737-9e8c-148ce897a09c">R0002799547</Record_x0020_Number>
    <Document_x0020_Language_x0020_IDB xmlns="cdc7663a-08f0-4737-9e8c-148ce897a09c">Spanish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Loan Proposal</Disclosure_x0020_Activity>
    <Region xmlns="cdc7663a-08f0-4737-9e8c-148ce897a09c" xsi:nil="true"/>
    <_dlc_DocId xmlns="cdc7663a-08f0-4737-9e8c-148ce897a09c">EZSHARE-231256462-114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Fiscal Issues and Public Finance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https://idbg.sharepoint.com/teams/EZ-BR-LON/BR-L1381/_layouts/15/DocIdRedir.aspx?ID=EZSHARE-231256462-114</Url>
      <Description>EZSHARE-231256462-114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CDD86BDC-E43B-4882-B98B-60690C5044D3}"/>
</file>

<file path=customXml/itemProps2.xml><?xml version="1.0" encoding="utf-8"?>
<ds:datastoreItem xmlns:ds="http://schemas.openxmlformats.org/officeDocument/2006/customXml" ds:itemID="{3A768008-C6E5-44F1-8586-5B7B0EC772C0}"/>
</file>

<file path=customXml/itemProps3.xml><?xml version="1.0" encoding="utf-8"?>
<ds:datastoreItem xmlns:ds="http://schemas.openxmlformats.org/officeDocument/2006/customXml" ds:itemID="{2952DBA6-A410-49B5-A6B0-410677533801}"/>
</file>

<file path=customXml/itemProps4.xml><?xml version="1.0" encoding="utf-8"?>
<ds:datastoreItem xmlns:ds="http://schemas.openxmlformats.org/officeDocument/2006/customXml" ds:itemID="{54CF42E8-122D-4560-B180-F6FD8A854A36}"/>
</file>

<file path=customXml/itemProps5.xml><?xml version="1.0" encoding="utf-8"?>
<ds:datastoreItem xmlns:ds="http://schemas.openxmlformats.org/officeDocument/2006/customXml" ds:itemID="{1EBDD7CA-7B55-4971-9FC4-BB1554D716B1}"/>
</file>

<file path=customXml/itemProps6.xml><?xml version="1.0" encoding="utf-8"?>
<ds:datastoreItem xmlns:ds="http://schemas.openxmlformats.org/officeDocument/2006/customXml" ds:itemID="{E5309D64-1E74-4620-AE6A-128BF798CB42}"/>
</file>

<file path=customXml/itemProps7.xml><?xml version="1.0" encoding="utf-8"?>
<ds:datastoreItem xmlns:ds="http://schemas.openxmlformats.org/officeDocument/2006/customXml" ds:itemID="{1C9EE785-FFB0-4D81-943D-594480B3FF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10393</Words>
  <Characters>59245</Characters>
  <Application>Microsoft Office Word</Application>
  <DocSecurity>4</DocSecurity>
  <Lines>493</Lines>
  <Paragraphs>138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sefaz</Company>
  <LinksUpToDate>false</LinksUpToDate>
  <CharactersWithSpaces>69500</CharactersWithSpaces>
  <SharedDoc>false</SharedDoc>
  <HLinks>
    <vt:vector size="12" baseType="variant">
      <vt:variant>
        <vt:i4>4718698</vt:i4>
      </vt:variant>
      <vt:variant>
        <vt:i4>3</vt:i4>
      </vt:variant>
      <vt:variant>
        <vt:i4>0</vt:i4>
      </vt:variant>
      <vt:variant>
        <vt:i4>5</vt:i4>
      </vt:variant>
      <vt:variant>
        <vt:lpwstr>mailto:luciana@planus.com</vt:lpwstr>
      </vt:variant>
      <vt:variant>
        <vt:lpwstr/>
      </vt:variant>
      <vt:variant>
        <vt:i4>1704037</vt:i4>
      </vt:variant>
      <vt:variant>
        <vt:i4>0</vt:i4>
      </vt:variant>
      <vt:variant>
        <vt:i4>0</vt:i4>
      </vt:variant>
      <vt:variant>
        <vt:i4>5</vt:i4>
      </vt:variant>
      <vt:variant>
        <vt:lpwstr>mailto:luciana@truenet.com.br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- EEO 19_ Matriz de Problemas, Soluciones, Resultados y Políticas (BR-L1381)</dc:title>
  <dc:creator>Luciana</dc:creator>
  <cp:lastModifiedBy>Test</cp:lastModifiedBy>
  <cp:revision>2</cp:revision>
  <cp:lastPrinted>2013-01-10T21:05:00Z</cp:lastPrinted>
  <dcterms:created xsi:type="dcterms:W3CDTF">2013-04-25T15:48:00Z</dcterms:created>
  <dcterms:modified xsi:type="dcterms:W3CDTF">2013-04-25T15:48:00Z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0x0101001A458A224826124E8B45B1D613300CFC004FE4B09661A55E48898F865D77A2D25D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28;#Loan Proposal|6ee86b6f-6e46-485b-8bfb-87a1f44622ac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/>
  </property>
  <property fmtid="{D5CDD505-2E9C-101B-9397-08002B2CF9AE}" pid="10" name="Series_x0020_Operations_x0020_IDB">
    <vt:lpwstr>28;#Loan Proposal|6ee86b6f-6e46-485b-8bfb-87a1f44622ac</vt:lpwstr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5" name="Sub-Sector">
    <vt:lpwstr/>
  </property>
  <property fmtid="{D5CDD505-2E9C-101B-9397-08002B2CF9AE}" pid="16" name="Order">
    <vt:r8>11400</vt:r8>
  </property>
  <property fmtid="{D5CDD505-2E9C-101B-9397-08002B2CF9AE}" pid="17" name="_dlc_DocIdItemGuid">
    <vt:lpwstr>89909d1c-8ce6-45a3-adbb-18833aa33107</vt:lpwstr>
  </property>
</Properties>
</file>