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07" w:rsidRDefault="00640907" w:rsidP="00EB2D7C">
      <w:pPr>
        <w:rPr>
          <w:b/>
        </w:rPr>
      </w:pPr>
      <w:bookmarkStart w:id="0" w:name="_Toc326336431"/>
      <w:bookmarkStart w:id="1" w:name="_Toc326339958"/>
      <w:bookmarkStart w:id="2" w:name="_Toc326339969"/>
      <w:bookmarkStart w:id="3" w:name="_GoBack"/>
      <w:bookmarkEnd w:id="3"/>
    </w:p>
    <w:p w:rsidR="0051077C" w:rsidRPr="00052997" w:rsidRDefault="00052997" w:rsidP="0051077C">
      <w:pPr>
        <w:jc w:val="center"/>
        <w:rPr>
          <w:b/>
        </w:rPr>
      </w:pPr>
      <w:r w:rsidRPr="00052997">
        <w:rPr>
          <w:b/>
        </w:rPr>
        <w:t>Análisis de Sostenibilidad de la Deuda de</w:t>
      </w:r>
      <w:r w:rsidR="0051077C" w:rsidRPr="00052997">
        <w:rPr>
          <w:b/>
        </w:rPr>
        <w:t xml:space="preserve"> </w:t>
      </w:r>
      <w:r w:rsidR="00E63DD1">
        <w:rPr>
          <w:b/>
        </w:rPr>
        <w:t>Pernambuco</w:t>
      </w:r>
    </w:p>
    <w:p w:rsidR="0051077C" w:rsidRPr="00052997" w:rsidRDefault="0051077C" w:rsidP="00EB2D7C">
      <w:pPr>
        <w:rPr>
          <w:b/>
        </w:rPr>
      </w:pPr>
    </w:p>
    <w:p w:rsidR="0051077C" w:rsidRPr="00052997" w:rsidRDefault="0051077C" w:rsidP="00EB2D7C">
      <w:pPr>
        <w:rPr>
          <w:b/>
        </w:rPr>
      </w:pPr>
    </w:p>
    <w:p w:rsidR="00E62972" w:rsidRPr="00052997" w:rsidRDefault="00052997" w:rsidP="00EB2D7C">
      <w:pPr>
        <w:rPr>
          <w:b/>
        </w:rPr>
      </w:pPr>
      <w:r w:rsidRPr="00052997">
        <w:rPr>
          <w:b/>
        </w:rPr>
        <w:t>Introducción</w:t>
      </w:r>
    </w:p>
    <w:p w:rsidR="00052997" w:rsidRDefault="00052997" w:rsidP="00EB2D7C">
      <w:pPr>
        <w:rPr>
          <w:b/>
        </w:rPr>
      </w:pPr>
    </w:p>
    <w:p w:rsidR="00427894" w:rsidRDefault="00052997" w:rsidP="00052997">
      <w:pPr>
        <w:jc w:val="both"/>
      </w:pPr>
      <w:r w:rsidRPr="00917D3C">
        <w:t xml:space="preserve">La deuda pública de </w:t>
      </w:r>
      <w:r w:rsidR="00E63DD1">
        <w:t>Pernambuco (PE) alcanzó R$ 8,5 mil millones al final de 2012</w:t>
      </w:r>
      <w:r w:rsidR="00E91CA7">
        <w:rPr>
          <w:rStyle w:val="FootnoteReference"/>
          <w:lang w:val="en-US"/>
        </w:rPr>
        <w:footnoteReference w:id="1"/>
      </w:r>
      <w:r w:rsidRPr="00917D3C">
        <w:t xml:space="preserve">, lo que </w:t>
      </w:r>
      <w:r w:rsidR="00E63DD1">
        <w:t>correspondió al 7,7</w:t>
      </w:r>
      <w:r w:rsidRPr="00917D3C">
        <w:t xml:space="preserve"> por</w:t>
      </w:r>
      <w:r w:rsidR="00E63DD1">
        <w:t xml:space="preserve"> ciento del PIB del Estado y 55</w:t>
      </w:r>
      <w:r w:rsidRPr="00917D3C">
        <w:t xml:space="preserve"> por ciento de su ingreso corriente neto.</w:t>
      </w:r>
      <w:r w:rsidR="00E91CA7" w:rsidRPr="00E91CA7">
        <w:rPr>
          <w:rStyle w:val="FootnoteReference"/>
        </w:rPr>
        <w:t xml:space="preserve"> </w:t>
      </w:r>
      <w:r w:rsidR="00E91CA7">
        <w:rPr>
          <w:rStyle w:val="FootnoteReference"/>
          <w:lang w:val="en-US"/>
        </w:rPr>
        <w:footnoteReference w:id="2"/>
      </w:r>
      <w:r w:rsidR="009175B9">
        <w:t xml:space="preserve"> </w:t>
      </w:r>
      <w:r w:rsidR="00427894">
        <w:t>Estos niveles de deuda colocan a PE dentro de los diez estados menos endeudados de Brasil medido como porcentaje del PIB y significativamente por debajo del límite</w:t>
      </w:r>
      <w:r w:rsidR="00A9506E">
        <w:t xml:space="preserve"> establecido en </w:t>
      </w:r>
      <w:r w:rsidR="00427894">
        <w:t>la Ley de Responsabilidad Fiscal de</w:t>
      </w:r>
      <w:r w:rsidR="00A9506E">
        <w:t xml:space="preserve"> 200% de los ingresos corrientes netos.</w:t>
      </w:r>
      <w:r w:rsidR="00427894">
        <w:t xml:space="preserve"> </w:t>
      </w:r>
      <w:r w:rsidR="009175B9">
        <w:t>Aproximadamente el 80</w:t>
      </w:r>
      <w:r w:rsidRPr="00917D3C">
        <w:t xml:space="preserve"> por ciento de la deuda pública de</w:t>
      </w:r>
      <w:r w:rsidR="009175B9">
        <w:t xml:space="preserve"> PE</w:t>
      </w:r>
      <w:r w:rsidRPr="00917D3C">
        <w:t xml:space="preserve"> es </w:t>
      </w:r>
      <w:r>
        <w:t>doméstica</w:t>
      </w:r>
      <w:r w:rsidR="009175B9">
        <w:t xml:space="preserve"> mientras que el restante 20 por ciento es deuda con Organismos Internacionales. Los </w:t>
      </w:r>
      <w:r w:rsidRPr="00917D3C">
        <w:t>principal</w:t>
      </w:r>
      <w:r w:rsidR="009175B9">
        <w:t>es acreedores son el Gobierno Federal</w:t>
      </w:r>
      <w:r w:rsidR="00840977">
        <w:t xml:space="preserve"> y BNDES con el </w:t>
      </w:r>
      <w:r w:rsidR="009175B9">
        <w:t>40 por ciento de la deuda</w:t>
      </w:r>
      <w:r w:rsidR="00840977">
        <w:t xml:space="preserve"> total cada uno. La totalidad</w:t>
      </w:r>
      <w:r w:rsidRPr="00917D3C">
        <w:t xml:space="preserve"> de la deuda</w:t>
      </w:r>
      <w:r w:rsidR="00840977">
        <w:t xml:space="preserve"> doméstica</w:t>
      </w:r>
      <w:r w:rsidRPr="00917D3C">
        <w:t xml:space="preserve"> está indexada a la inflac</w:t>
      </w:r>
      <w:r>
        <w:t xml:space="preserve">ión </w:t>
      </w:r>
      <w:r w:rsidR="00840977">
        <w:t xml:space="preserve">con </w:t>
      </w:r>
      <w:r w:rsidR="00427894">
        <w:t xml:space="preserve">una </w:t>
      </w:r>
      <w:r w:rsidR="00840977">
        <w:t>tasa real que en el 2012 fue de 5,4 por ciento</w:t>
      </w:r>
      <w:r w:rsidRPr="00917D3C">
        <w:t>.</w:t>
      </w:r>
      <w:r w:rsidR="00427894">
        <w:t xml:space="preserve"> </w:t>
      </w:r>
    </w:p>
    <w:p w:rsidR="00427894" w:rsidRDefault="00427894" w:rsidP="00052997">
      <w:pPr>
        <w:jc w:val="both"/>
      </w:pPr>
    </w:p>
    <w:p w:rsidR="00840977" w:rsidRDefault="00052997" w:rsidP="00052997">
      <w:pPr>
        <w:jc w:val="both"/>
      </w:pPr>
      <w:r w:rsidRPr="00917D3C">
        <w:t xml:space="preserve">La deuda </w:t>
      </w:r>
      <w:r>
        <w:t xml:space="preserve">pública </w:t>
      </w:r>
      <w:r w:rsidR="00840977">
        <w:t>de PE</w:t>
      </w:r>
      <w:r w:rsidRPr="00917D3C">
        <w:t xml:space="preserve"> como por</w:t>
      </w:r>
      <w:r w:rsidR="00840977">
        <w:t>centaje del PIB siguió</w:t>
      </w:r>
      <w:r>
        <w:t xml:space="preserve"> </w:t>
      </w:r>
      <w:r w:rsidRPr="00917D3C">
        <w:t>una tendencia decreciente</w:t>
      </w:r>
      <w:r w:rsidR="00840977">
        <w:t xml:space="preserve"> entre el 2005 y el 2011 cuando se redujo de 10.3 por ciento del PIB a 6.2</w:t>
      </w:r>
      <w:r w:rsidR="00427894">
        <w:t>, mientras que en el 2012 se estima que la deuda se incrementó a 7.7 por ciento del PIB. Como se explicó en la sección anterior, el incremento de la deuda en el 2012 está asociado con un mayor nivel de inversión y gastos corrientes relacionados con las nuevas inversiones.</w:t>
      </w:r>
      <w:r w:rsidR="00427894">
        <w:rPr>
          <w:rStyle w:val="FootnoteReference"/>
        </w:rPr>
        <w:footnoteReference w:id="3"/>
      </w:r>
    </w:p>
    <w:p w:rsidR="00840977" w:rsidRDefault="00840977" w:rsidP="00052997">
      <w:pPr>
        <w:jc w:val="both"/>
      </w:pPr>
    </w:p>
    <w:p w:rsidR="00840977" w:rsidRDefault="00052997" w:rsidP="00052997">
      <w:pPr>
        <w:jc w:val="both"/>
      </w:pPr>
      <w:r w:rsidRPr="00917D3C">
        <w:t>Con el fin de comprender la dinámica de la deuda pública</w:t>
      </w:r>
      <w:r>
        <w:t xml:space="preserve"> de </w:t>
      </w:r>
      <w:r w:rsidR="00840977">
        <w:t>PE</w:t>
      </w:r>
      <w:r w:rsidRPr="00917D3C">
        <w:t>, es esencial tener en cuenta las características específicas de la renegociación</w:t>
      </w:r>
      <w:r>
        <w:t xml:space="preserve"> de la deuda</w:t>
      </w:r>
      <w:r w:rsidRPr="00917D3C">
        <w:t xml:space="preserve"> entre el Gobierno federal y los estados brasileños</w:t>
      </w:r>
      <w:r>
        <w:t xml:space="preserve"> realizada en 1998</w:t>
      </w:r>
      <w:r w:rsidRPr="00917D3C">
        <w:t>. De acuerdo con las normas de renegociación, el servicio</w:t>
      </w:r>
      <w:r>
        <w:t xml:space="preserve"> de la deuda</w:t>
      </w:r>
      <w:r w:rsidRPr="00917D3C">
        <w:t xml:space="preserve"> asociado a </w:t>
      </w:r>
      <w:r>
        <w:t>la</w:t>
      </w:r>
      <w:r w:rsidRPr="00917D3C">
        <w:t xml:space="preserve"> deuda renegociada </w:t>
      </w:r>
      <w:r>
        <w:t>está topado a</w:t>
      </w:r>
      <w:r w:rsidRPr="00917D3C">
        <w:t xml:space="preserve"> 13 por c</w:t>
      </w:r>
      <w:r>
        <w:t xml:space="preserve">iento de los ingresos netos. </w:t>
      </w:r>
      <w:r w:rsidR="00840977">
        <w:t>L</w:t>
      </w:r>
      <w:r w:rsidRPr="00917D3C">
        <w:t>a deuda sujeta a este lími</w:t>
      </w:r>
      <w:r>
        <w:t>te se conoce como deuda intra-lí</w:t>
      </w:r>
      <w:r w:rsidRPr="00917D3C">
        <w:t>mit</w:t>
      </w:r>
      <w:r>
        <w:t>e</w:t>
      </w:r>
      <w:r w:rsidRPr="00917D3C">
        <w:t>,</w:t>
      </w:r>
      <w:r>
        <w:t xml:space="preserve"> mientras que la deuda cuyo servicio no está topado como porcentaje de los ingresos netos </w:t>
      </w:r>
      <w:r w:rsidRPr="00917D3C">
        <w:t>se conoce como deuda extra-límite.</w:t>
      </w:r>
      <w:r w:rsidR="00840977">
        <w:t xml:space="preserve"> </w:t>
      </w:r>
      <w:r w:rsidR="00840977" w:rsidRPr="00917D3C">
        <w:t>De acuerdo con las normas de renegociación, la diferencia entre los pagos</w:t>
      </w:r>
      <w:r w:rsidR="00840977">
        <w:t xml:space="preserve"> realizados (topados al 13 por ciento de los ingresos netos)</w:t>
      </w:r>
      <w:r w:rsidR="00840977" w:rsidRPr="00917D3C">
        <w:t xml:space="preserve"> y </w:t>
      </w:r>
      <w:r w:rsidR="00840977">
        <w:t>el</w:t>
      </w:r>
      <w:r w:rsidR="00840977" w:rsidRPr="00917D3C">
        <w:t xml:space="preserve"> "verdadero"  servicio</w:t>
      </w:r>
      <w:r w:rsidR="00840977">
        <w:t xml:space="preserve"> de la deuda</w:t>
      </w:r>
      <w:r w:rsidR="00840977" w:rsidRPr="00917D3C">
        <w:t xml:space="preserve"> se </w:t>
      </w:r>
      <w:r w:rsidR="00840977">
        <w:t>capitaliza</w:t>
      </w:r>
      <w:r w:rsidR="00840977" w:rsidRPr="00917D3C">
        <w:t xml:space="preserve"> al saldo de la deuda total. Esta parte del servicio </w:t>
      </w:r>
      <w:r w:rsidR="00840977">
        <w:t>capitalizada</w:t>
      </w:r>
      <w:r w:rsidR="00840977" w:rsidRPr="00917D3C">
        <w:t xml:space="preserve"> se conoce como el residual</w:t>
      </w:r>
      <w:r w:rsidR="00840977">
        <w:t>.</w:t>
      </w:r>
    </w:p>
    <w:p w:rsidR="00840977" w:rsidRDefault="00840977" w:rsidP="00052997">
      <w:pPr>
        <w:jc w:val="both"/>
      </w:pPr>
    </w:p>
    <w:p w:rsidR="00E91CA7" w:rsidRDefault="00840977" w:rsidP="00052997">
      <w:pPr>
        <w:jc w:val="both"/>
      </w:pPr>
      <w:r>
        <w:lastRenderedPageBreak/>
        <w:t>Los esfuerzos de consolidación fiscal realizados por el estado de PE permitieron que a partir del 2006 el estado pague la totalidad del servicio de la deuda</w:t>
      </w:r>
      <w:r w:rsidR="00427894">
        <w:t xml:space="preserve">, eliminado así la deuda extra-límite. </w:t>
      </w:r>
    </w:p>
    <w:p w:rsidR="00614627" w:rsidRDefault="00614627" w:rsidP="006A6D8A"/>
    <w:p w:rsidR="00427894" w:rsidRPr="00FE12A2" w:rsidRDefault="00427894" w:rsidP="006A6D8A"/>
    <w:p w:rsidR="00614627" w:rsidRDefault="00FE12A2" w:rsidP="006A6D8A">
      <w:pPr>
        <w:rPr>
          <w:b/>
        </w:rPr>
      </w:pPr>
      <w:r w:rsidRPr="00FE12A2">
        <w:rPr>
          <w:b/>
        </w:rPr>
        <w:t>Escenario Base</w:t>
      </w:r>
    </w:p>
    <w:p w:rsidR="00B0718B" w:rsidRPr="00FE12A2" w:rsidRDefault="00B0718B" w:rsidP="006A6D8A">
      <w:pPr>
        <w:rPr>
          <w:b/>
        </w:rPr>
      </w:pPr>
    </w:p>
    <w:bookmarkEnd w:id="0"/>
    <w:bookmarkEnd w:id="1"/>
    <w:bookmarkEnd w:id="2"/>
    <w:p w:rsidR="0051077C" w:rsidRDefault="008123F6" w:rsidP="008A751C">
      <w:pPr>
        <w:pStyle w:val="Paragraph"/>
        <w:tabs>
          <w:tab w:val="clear" w:pos="720"/>
        </w:tabs>
        <w:ind w:left="0" w:firstLine="0"/>
        <w:outlineLvl w:val="9"/>
        <w:rPr>
          <w:lang w:val="es-ES_tradnl"/>
        </w:rPr>
      </w:pPr>
      <w:r w:rsidRPr="0051077C">
        <w:t xml:space="preserve">El análisis </w:t>
      </w:r>
      <w:r w:rsidR="00E0149E" w:rsidRPr="0051077C">
        <w:t xml:space="preserve">de sostenibilidad en su escenario base </w:t>
      </w:r>
      <w:r w:rsidRPr="0051077C">
        <w:t>utiliza</w:t>
      </w:r>
      <w:r w:rsidR="00C6500C" w:rsidRPr="0051077C">
        <w:t xml:space="preserve"> los siguientes</w:t>
      </w:r>
      <w:r w:rsidR="005B177C" w:rsidRPr="0051077C">
        <w:t xml:space="preserve"> </w:t>
      </w:r>
      <w:r w:rsidR="00C6500C" w:rsidRPr="0051077C">
        <w:t>supuestos:</w:t>
      </w:r>
      <w:r w:rsidR="005B177C" w:rsidRPr="0051077C">
        <w:t xml:space="preserve"> (i) </w:t>
      </w:r>
      <w:r w:rsidR="00C6500C" w:rsidRPr="005B177C">
        <w:rPr>
          <w:i/>
          <w:lang w:val="es-ES_tradnl"/>
        </w:rPr>
        <w:t>Ingresos</w:t>
      </w:r>
      <w:r w:rsidR="005B177C">
        <w:rPr>
          <w:i/>
          <w:lang w:val="es-ES_tradnl"/>
        </w:rPr>
        <w:t>:</w:t>
      </w:r>
      <w:r w:rsidR="00C6500C">
        <w:rPr>
          <w:lang w:val="es-ES_tradnl"/>
        </w:rPr>
        <w:t xml:space="preserve"> se incrementan en 0.2 por ciento del PIB para el año 201</w:t>
      </w:r>
      <w:r w:rsidR="00A9506E">
        <w:rPr>
          <w:lang w:val="es-ES_tradnl"/>
        </w:rPr>
        <w:t>5</w:t>
      </w:r>
      <w:r w:rsidR="00C6500C">
        <w:rPr>
          <w:lang w:val="es-ES_tradnl"/>
        </w:rPr>
        <w:t xml:space="preserve"> como resultado de las medidas incluidas en el programa para for</w:t>
      </w:r>
      <w:r w:rsidR="005B177C">
        <w:rPr>
          <w:lang w:val="es-ES_tradnl"/>
        </w:rPr>
        <w:t xml:space="preserve">talecer la recaudación del ICSM; (ii) </w:t>
      </w:r>
      <w:r w:rsidR="00C6500C" w:rsidRPr="005B177C">
        <w:rPr>
          <w:i/>
          <w:lang w:val="es-ES_tradnl"/>
        </w:rPr>
        <w:t>Gastos</w:t>
      </w:r>
      <w:r w:rsidRPr="005B177C">
        <w:rPr>
          <w:i/>
          <w:lang w:val="es-ES_tradnl"/>
        </w:rPr>
        <w:t xml:space="preserve"> corrientes</w:t>
      </w:r>
      <w:r w:rsidR="005B177C">
        <w:rPr>
          <w:lang w:val="es-ES_tradnl"/>
        </w:rPr>
        <w:t>:</w:t>
      </w:r>
      <w:r w:rsidRPr="008123F6">
        <w:rPr>
          <w:lang w:val="es-ES_tradnl"/>
        </w:rPr>
        <w:t xml:space="preserve"> se reducen en 0.1 por</w:t>
      </w:r>
      <w:r w:rsidR="00A9506E">
        <w:rPr>
          <w:lang w:val="es-ES_tradnl"/>
        </w:rPr>
        <w:t xml:space="preserve"> ciento del PIB para el año 2015</w:t>
      </w:r>
      <w:r w:rsidRPr="008123F6">
        <w:rPr>
          <w:lang w:val="es-ES_tradnl"/>
        </w:rPr>
        <w:t xml:space="preserve"> como resultado de las medidas de eficientización del gasto incluidas en el programa</w:t>
      </w:r>
      <w:r w:rsidR="005B177C">
        <w:rPr>
          <w:lang w:val="es-ES_tradnl"/>
        </w:rPr>
        <w:t xml:space="preserve">; (iii) </w:t>
      </w:r>
      <w:r w:rsidR="005B177C">
        <w:rPr>
          <w:i/>
          <w:lang w:val="es-ES_tradnl"/>
        </w:rPr>
        <w:t xml:space="preserve">Gasto en inversión: </w:t>
      </w:r>
      <w:r>
        <w:rPr>
          <w:lang w:val="es-ES_tradnl"/>
        </w:rPr>
        <w:t>se incrementa en 0.</w:t>
      </w:r>
      <w:r w:rsidR="00A9506E">
        <w:rPr>
          <w:lang w:val="es-ES_tradnl"/>
        </w:rPr>
        <w:t>4</w:t>
      </w:r>
      <w:r>
        <w:rPr>
          <w:lang w:val="es-ES_tradnl"/>
        </w:rPr>
        <w:t xml:space="preserve"> por ciento del PIB d</w:t>
      </w:r>
      <w:r w:rsidR="005B177C">
        <w:rPr>
          <w:lang w:val="es-ES_tradnl"/>
        </w:rPr>
        <w:t xml:space="preserve">urante </w:t>
      </w:r>
      <w:r w:rsidR="00A9506E">
        <w:rPr>
          <w:lang w:val="es-ES_tradnl"/>
        </w:rPr>
        <w:t>el 2013 para desp</w:t>
      </w:r>
      <w:r w:rsidR="00751596">
        <w:rPr>
          <w:lang w:val="es-ES_tradnl"/>
        </w:rPr>
        <w:t xml:space="preserve">ués regresar de forma gradual a un nivel 0.2 por ciento superior a </w:t>
      </w:r>
      <w:r w:rsidR="00A9506E">
        <w:rPr>
          <w:lang w:val="es-ES_tradnl"/>
        </w:rPr>
        <w:t>su promedio de largo plazo</w:t>
      </w:r>
      <w:r w:rsidR="005B177C">
        <w:rPr>
          <w:lang w:val="es-ES_tradnl"/>
        </w:rPr>
        <w:t xml:space="preserve">; y (iv) </w:t>
      </w:r>
      <w:r w:rsidRPr="005B177C">
        <w:rPr>
          <w:i/>
          <w:lang w:val="es-ES_tradnl"/>
        </w:rPr>
        <w:t>PIB</w:t>
      </w:r>
      <w:r w:rsidR="005B177C">
        <w:rPr>
          <w:i/>
          <w:lang w:val="es-ES_tradnl"/>
        </w:rPr>
        <w:t>:</w:t>
      </w:r>
      <w:r w:rsidR="005B177C">
        <w:rPr>
          <w:lang w:val="es-ES_tradnl"/>
        </w:rPr>
        <w:t xml:space="preserve"> s</w:t>
      </w:r>
      <w:r>
        <w:rPr>
          <w:lang w:val="es-ES_tradnl"/>
        </w:rPr>
        <w:t>e asume que</w:t>
      </w:r>
      <w:r w:rsidR="00A9506E">
        <w:rPr>
          <w:lang w:val="es-ES_tradnl"/>
        </w:rPr>
        <w:t xml:space="preserve"> de acuerdo al promedio histórico el crecimiento de PE estará 1 por ciento por encima del nacional, lo que implica</w:t>
      </w:r>
      <w:r>
        <w:rPr>
          <w:lang w:val="es-ES_tradnl"/>
        </w:rPr>
        <w:t xml:space="preserve"> </w:t>
      </w:r>
      <w:r w:rsidR="00A9506E">
        <w:rPr>
          <w:lang w:val="es-ES_tradnl"/>
        </w:rPr>
        <w:t>un crecimiento para el 2013 de 3</w:t>
      </w:r>
      <w:r>
        <w:rPr>
          <w:lang w:val="es-ES_tradnl"/>
        </w:rPr>
        <w:t xml:space="preserve"> por ciento y </w:t>
      </w:r>
      <w:r w:rsidR="00A9506E">
        <w:rPr>
          <w:lang w:val="es-ES_tradnl"/>
        </w:rPr>
        <w:t xml:space="preserve">del </w:t>
      </w:r>
      <w:r>
        <w:rPr>
          <w:lang w:val="es-ES_tradnl"/>
        </w:rPr>
        <w:t>4 por ciento</w:t>
      </w:r>
      <w:r w:rsidR="00A9506E">
        <w:rPr>
          <w:lang w:val="es-ES_tradnl"/>
        </w:rPr>
        <w:t xml:space="preserve"> del 2014 en adelante</w:t>
      </w:r>
      <w:r>
        <w:rPr>
          <w:lang w:val="es-ES_tradnl"/>
        </w:rPr>
        <w:t>.</w:t>
      </w:r>
    </w:p>
    <w:p w:rsidR="005B177C" w:rsidRDefault="00751596" w:rsidP="008A751C">
      <w:pPr>
        <w:pStyle w:val="Paragraph"/>
        <w:tabs>
          <w:tab w:val="clear" w:pos="720"/>
        </w:tabs>
        <w:ind w:left="0" w:firstLine="0"/>
        <w:outlineLvl w:val="9"/>
      </w:pPr>
      <w:r>
        <w:t xml:space="preserve">Como resultado </w:t>
      </w:r>
      <w:r w:rsidR="00A9506E">
        <w:t xml:space="preserve">se tiene un déficit primario durante los años 2013 y 2014, para después regresar a un nivel de </w:t>
      </w:r>
      <w:r>
        <w:t>superávit</w:t>
      </w:r>
      <w:r w:rsidR="00A9506E">
        <w:t xml:space="preserve"> de 0.6 por ciento del PIB</w:t>
      </w:r>
      <w:r w:rsidR="008123F6">
        <w:t xml:space="preserve">. </w:t>
      </w:r>
      <w:r w:rsidR="00425B38">
        <w:t>Este nivel de superávit primario es consistente con el esfuerzo fiscal que se realizó en promedio en los últimos 5 años y</w:t>
      </w:r>
      <w:r w:rsidR="00B0718B">
        <w:t xml:space="preserve"> permite</w:t>
      </w:r>
      <w:r w:rsidR="008123F6">
        <w:t xml:space="preserve"> que la deuda como porcentaje del PIB se r</w:t>
      </w:r>
      <w:r>
        <w:t>eduzca de 9.9</w:t>
      </w:r>
      <w:r w:rsidR="008922EB">
        <w:t xml:space="preserve"> e</w:t>
      </w:r>
      <w:r>
        <w:t>n el 2012 a 5</w:t>
      </w:r>
      <w:r w:rsidR="008922EB">
        <w:t>.5</w:t>
      </w:r>
      <w:r w:rsidR="00911AA1">
        <w:t xml:space="preserve"> en el 2022</w:t>
      </w:r>
      <w:r w:rsidR="008123F6">
        <w:t>.</w:t>
      </w:r>
      <w:r w:rsidR="00911AA1">
        <w:t xml:space="preserve"> En el mismo sentido</w:t>
      </w:r>
      <w:r w:rsidR="008123F6">
        <w:t>, la deuda como po</w:t>
      </w:r>
      <w:r>
        <w:t>rcentaje de los ingresos corrientes netos se reduce de 79</w:t>
      </w:r>
      <w:r w:rsidR="00911AA1">
        <w:t xml:space="preserve"> por ciento en e</w:t>
      </w:r>
      <w:r>
        <w:t>l 2014 a 41</w:t>
      </w:r>
      <w:r w:rsidR="00911AA1">
        <w:t xml:space="preserve"> por ciento en el 2022. </w:t>
      </w:r>
      <w:r w:rsidR="005B177C">
        <w:t xml:space="preserve"> Bajo</w:t>
      </w:r>
      <w:r w:rsidR="00D87729">
        <w:t xml:space="preserve"> </w:t>
      </w:r>
      <w:r w:rsidR="00732CE1">
        <w:t xml:space="preserve">el </w:t>
      </w:r>
      <w:r w:rsidR="00D87729">
        <w:t>escenario base la trayectoria de la deuda es sostenible</w:t>
      </w:r>
      <w:r w:rsidR="008A751C">
        <w:t xml:space="preserve"> (ver Tabla 1)</w:t>
      </w:r>
      <w:r w:rsidR="00D87729">
        <w:t>.</w:t>
      </w:r>
    </w:p>
    <w:p w:rsidR="008A751C" w:rsidRDefault="008A751C" w:rsidP="008A751C">
      <w:pPr>
        <w:pStyle w:val="Paragraph"/>
        <w:tabs>
          <w:tab w:val="clear" w:pos="720"/>
        </w:tabs>
        <w:ind w:left="0" w:firstLine="0"/>
        <w:outlineLvl w:val="9"/>
        <w:rPr>
          <w:i/>
        </w:rPr>
      </w:pPr>
    </w:p>
    <w:p w:rsidR="008A751C" w:rsidRPr="005B198B" w:rsidRDefault="008A751C" w:rsidP="008A751C">
      <w:pPr>
        <w:pStyle w:val="Paragraph"/>
        <w:tabs>
          <w:tab w:val="clear" w:pos="720"/>
        </w:tabs>
        <w:ind w:left="0" w:firstLine="0"/>
        <w:outlineLvl w:val="9"/>
        <w:rPr>
          <w:b/>
        </w:rPr>
      </w:pPr>
      <w:r w:rsidRPr="005B198B">
        <w:rPr>
          <w:b/>
        </w:rPr>
        <w:t>Escenarios de Stress</w:t>
      </w:r>
    </w:p>
    <w:p w:rsidR="00911AA1" w:rsidRDefault="00911AA1" w:rsidP="008A751C">
      <w:pPr>
        <w:pStyle w:val="Paragraph"/>
        <w:tabs>
          <w:tab w:val="clear" w:pos="720"/>
        </w:tabs>
        <w:ind w:left="0" w:firstLine="0"/>
        <w:outlineLvl w:val="9"/>
      </w:pPr>
      <w:r w:rsidRPr="00911AA1">
        <w:t>Con el</w:t>
      </w:r>
      <w:r w:rsidR="008A751C">
        <w:t xml:space="preserve"> objeto de analizar la vulnerabilidad</w:t>
      </w:r>
      <w:r w:rsidRPr="00911AA1">
        <w:t xml:space="preserve"> de la deuda ante distintos </w:t>
      </w:r>
      <w:r w:rsidR="00425B38">
        <w:t>shocks</w:t>
      </w:r>
      <w:r w:rsidRPr="00911AA1">
        <w:t xml:space="preserve"> adversos, se</w:t>
      </w:r>
      <w:r>
        <w:t xml:space="preserve"> realizaron los siguientes escenarios de sensibilidad</w:t>
      </w:r>
      <w:r w:rsidR="00425B38">
        <w:t xml:space="preserve"> sobre el escenario base</w:t>
      </w:r>
      <w:r w:rsidR="008A751C">
        <w:t xml:space="preserve"> (ver Tabla 2)</w:t>
      </w:r>
      <w:r>
        <w:t>.</w:t>
      </w:r>
    </w:p>
    <w:p w:rsidR="00D87729" w:rsidRPr="00D87729" w:rsidRDefault="008776ED" w:rsidP="008A751C">
      <w:pPr>
        <w:pStyle w:val="Paragraph"/>
        <w:numPr>
          <w:ilvl w:val="0"/>
          <w:numId w:val="27"/>
        </w:numPr>
        <w:outlineLvl w:val="9"/>
        <w:rPr>
          <w:lang w:val="es-ES_tradnl"/>
        </w:rPr>
      </w:pPr>
      <w:r w:rsidRPr="00D87729">
        <w:rPr>
          <w:u w:val="single"/>
        </w:rPr>
        <w:t>S</w:t>
      </w:r>
      <w:r w:rsidR="00751596">
        <w:rPr>
          <w:u w:val="single"/>
        </w:rPr>
        <w:t>uperávit primario</w:t>
      </w:r>
      <w:r w:rsidR="00911AA1">
        <w:t xml:space="preserve">.  En este escenario se asume que el </w:t>
      </w:r>
      <w:r w:rsidR="00B0718B">
        <w:t>déficit</w:t>
      </w:r>
      <w:r w:rsidR="00911AA1">
        <w:t xml:space="preserve"> primario se </w:t>
      </w:r>
      <w:r>
        <w:t>mantiene en el nivel del 201</w:t>
      </w:r>
      <w:r w:rsidR="00751596">
        <w:t>2</w:t>
      </w:r>
      <w:r w:rsidR="00425B38">
        <w:t>. Como resultado</w:t>
      </w:r>
      <w:r>
        <w:t xml:space="preserve"> la deuda</w:t>
      </w:r>
      <w:r w:rsidR="00751596">
        <w:t xml:space="preserve"> crece de forma sostenida hasta llegar a un nivel 148 por ciento de los ingresos corrientes netos en el 2022</w:t>
      </w:r>
      <w:r>
        <w:t>. Este escenario muestra que</w:t>
      </w:r>
      <w:r w:rsidR="00751596">
        <w:t xml:space="preserve"> si bien el estado cuenta con espacio fiscal para incurrir en déficits en el corto plazo y así financiar mayor inversión, es indispensable que estos déficits sean transitorios y en un plazo de tres a  cuatro años se tenga un superávit primario</w:t>
      </w:r>
      <w:r>
        <w:t>.</w:t>
      </w:r>
    </w:p>
    <w:p w:rsidR="00D87729" w:rsidRPr="00D87729" w:rsidRDefault="008776ED" w:rsidP="008A751C">
      <w:pPr>
        <w:pStyle w:val="Paragraph"/>
        <w:numPr>
          <w:ilvl w:val="0"/>
          <w:numId w:val="27"/>
        </w:numPr>
        <w:outlineLvl w:val="9"/>
        <w:rPr>
          <w:lang w:val="es-ES_tradnl"/>
        </w:rPr>
      </w:pPr>
      <w:r w:rsidRPr="00D87729">
        <w:rPr>
          <w:u w:val="single"/>
        </w:rPr>
        <w:t>Reducción permanente en el crecimiento del PIB</w:t>
      </w:r>
      <w:r w:rsidRPr="008776ED">
        <w:t>.</w:t>
      </w:r>
      <w:r>
        <w:t xml:space="preserve"> En este escenario se asume que el crecimiento del PIB</w:t>
      </w:r>
      <w:r w:rsidR="00CC2250">
        <w:t xml:space="preserve"> y de los ingresos</w:t>
      </w:r>
      <w:r>
        <w:t xml:space="preserve"> se reduce de forma permanente en una desviación estándar</w:t>
      </w:r>
      <w:r w:rsidR="00CC2250">
        <w:t xml:space="preserve">, mientras que el crecimiento del gasto no se ajusta a la baja. Como resultado el superávit primario se elimina de forma gradual </w:t>
      </w:r>
      <w:r w:rsidR="00D87729">
        <w:t>y se con</w:t>
      </w:r>
      <w:r w:rsidR="00751596">
        <w:t>vierte en déficit en el año 2023</w:t>
      </w:r>
      <w:r w:rsidR="00CC2250">
        <w:t>. Bajo este escenario la deuda como porcentaje del PIB</w:t>
      </w:r>
      <w:r w:rsidR="00EF6EB7">
        <w:t xml:space="preserve"> se</w:t>
      </w:r>
      <w:r w:rsidR="00751596">
        <w:t xml:space="preserve"> </w:t>
      </w:r>
      <w:r w:rsidR="00EF6EB7">
        <w:t>estabiliza en niveles cercanos al 8 por ciento del PIB</w:t>
      </w:r>
      <w:r w:rsidR="00D87729">
        <w:t>.</w:t>
      </w:r>
    </w:p>
    <w:p w:rsidR="00425B38" w:rsidRPr="00425B38" w:rsidRDefault="00EF6EB7" w:rsidP="008A751C">
      <w:pPr>
        <w:pStyle w:val="Paragraph"/>
        <w:numPr>
          <w:ilvl w:val="0"/>
          <w:numId w:val="27"/>
        </w:numPr>
        <w:outlineLvl w:val="9"/>
        <w:rPr>
          <w:lang w:val="es-ES_tradnl"/>
        </w:rPr>
      </w:pPr>
      <w:r w:rsidRPr="00B0718B">
        <w:rPr>
          <w:u w:val="single"/>
        </w:rPr>
        <w:t>Depreciación del Tipo de Cambio</w:t>
      </w:r>
      <w:r w:rsidR="00D87729" w:rsidRPr="00D87729">
        <w:t>.</w:t>
      </w:r>
      <w:r w:rsidR="00D87729">
        <w:t xml:space="preserve"> En este escenario se asume que </w:t>
      </w:r>
      <w:r w:rsidR="00425B38">
        <w:t xml:space="preserve">se </w:t>
      </w:r>
      <w:r w:rsidR="008A751C">
        <w:t>mantiene</w:t>
      </w:r>
      <w:r w:rsidR="00425B38">
        <w:t xml:space="preserve"> el superávit primario conform</w:t>
      </w:r>
      <w:r w:rsidR="008A751C">
        <w:t>e a lo estimado en el programa pero</w:t>
      </w:r>
      <w:r w:rsidR="00425B38">
        <w:t xml:space="preserve"> que </w:t>
      </w:r>
      <w:r>
        <w:t>el tipo de cambio se deprecia en un 30 por ciento en el 2013</w:t>
      </w:r>
      <w:r w:rsidR="00425B38">
        <w:t xml:space="preserve">. Bajo este escenario la deuda se </w:t>
      </w:r>
      <w:r>
        <w:t xml:space="preserve">incrementa por encima del escenario base pero mantiene su tendencia a la baja a </w:t>
      </w:r>
      <w:r>
        <w:lastRenderedPageBreak/>
        <w:t>partir del 2015</w:t>
      </w:r>
      <w:r w:rsidR="00425B38">
        <w:t>, lo que muestra que el incremento en el superávit permite mitigar e</w:t>
      </w:r>
      <w:r w:rsidR="008A751C">
        <w:t xml:space="preserve">l impacto de un significativo aumento </w:t>
      </w:r>
      <w:r>
        <w:t>del costo de la deuda en dólares</w:t>
      </w:r>
      <w:r w:rsidR="00425B38">
        <w:t xml:space="preserve">. </w:t>
      </w:r>
    </w:p>
    <w:p w:rsidR="00C41842" w:rsidRDefault="00C41842" w:rsidP="005B177C">
      <w:pPr>
        <w:pStyle w:val="Paragraph"/>
        <w:tabs>
          <w:tab w:val="clear" w:pos="720"/>
        </w:tabs>
        <w:ind w:left="0" w:firstLine="0"/>
        <w:outlineLvl w:val="9"/>
        <w:rPr>
          <w:i/>
        </w:rPr>
      </w:pPr>
    </w:p>
    <w:p w:rsidR="00425B38" w:rsidRPr="003B74A2" w:rsidRDefault="005B177C" w:rsidP="005B177C">
      <w:pPr>
        <w:pStyle w:val="Paragraph"/>
        <w:tabs>
          <w:tab w:val="clear" w:pos="720"/>
        </w:tabs>
        <w:ind w:left="0" w:firstLine="0"/>
        <w:outlineLvl w:val="9"/>
        <w:rPr>
          <w:b/>
          <w:i/>
        </w:rPr>
      </w:pPr>
      <w:r w:rsidRPr="003B74A2">
        <w:rPr>
          <w:b/>
          <w:i/>
        </w:rPr>
        <w:t>Conclusión</w:t>
      </w:r>
    </w:p>
    <w:p w:rsidR="005B177C" w:rsidRPr="003B74A2" w:rsidRDefault="005B177C" w:rsidP="00425B38">
      <w:pPr>
        <w:pStyle w:val="Paragraph"/>
        <w:tabs>
          <w:tab w:val="clear" w:pos="720"/>
        </w:tabs>
        <w:ind w:firstLine="0"/>
        <w:outlineLvl w:val="9"/>
      </w:pPr>
    </w:p>
    <w:p w:rsidR="00B0718B" w:rsidRPr="0062721D" w:rsidRDefault="00425B38" w:rsidP="00CC043A">
      <w:pPr>
        <w:pStyle w:val="Paragraph"/>
        <w:tabs>
          <w:tab w:val="clear" w:pos="720"/>
        </w:tabs>
        <w:ind w:left="0" w:firstLine="0"/>
        <w:outlineLvl w:val="9"/>
        <w:rPr>
          <w:noProof/>
        </w:rPr>
      </w:pPr>
      <w:r>
        <w:t>El análisis realizado muestra que la deuda se encuentra en una trayectoria sos</w:t>
      </w:r>
      <w:r w:rsidR="008A751C">
        <w:t>tenible</w:t>
      </w:r>
      <w:r w:rsidR="00C41842">
        <w:t>,</w:t>
      </w:r>
      <w:r w:rsidR="00B315D2">
        <w:t xml:space="preserve"> pero </w:t>
      </w:r>
      <w:r w:rsidR="00EF6EB7">
        <w:t>que es crucial que el déficit primario planeado sea temporal</w:t>
      </w:r>
      <w:r w:rsidR="00B315D2">
        <w:t>.</w:t>
      </w:r>
      <w:r w:rsidR="00EF6EB7">
        <w:t xml:space="preserve">  Los déficits planteados para el 2013 y 2014 acompañados de un</w:t>
      </w:r>
      <w:r w:rsidR="00EF6EB7">
        <w:rPr>
          <w:noProof/>
        </w:rPr>
        <w:t xml:space="preserve"> superávit primario del 2015 en adelante, permiten incrementar la inversión en el corto plazo al mismo tiempo que mantenien la sostenebilidad en largo plazo. </w:t>
      </w:r>
      <w:r w:rsidR="00B0718B">
        <w:rPr>
          <w:noProof/>
        </w:rPr>
        <w:t>No obstante</w:t>
      </w:r>
      <w:r w:rsidR="00EF6EB7">
        <w:rPr>
          <w:noProof/>
        </w:rPr>
        <w:t>, si los déficit del 2013 y 2014 fueran permanentes, los niv</w:t>
      </w:r>
      <w:r w:rsidR="00CC043A">
        <w:rPr>
          <w:noProof/>
        </w:rPr>
        <w:t>e</w:t>
      </w:r>
      <w:r w:rsidR="00EF6EB7">
        <w:rPr>
          <w:noProof/>
        </w:rPr>
        <w:t>les de deuda entrarían en el mediano plazo en una dinámica insostenible.</w:t>
      </w:r>
    </w:p>
    <w:p w:rsidR="00B138F4" w:rsidRPr="0062721D" w:rsidRDefault="00B138F4">
      <w:pPr>
        <w:jc w:val="both"/>
        <w:rPr>
          <w:noProof/>
        </w:rPr>
        <w:sectPr w:rsidR="00B138F4" w:rsidRPr="0062721D" w:rsidSect="00B138F4">
          <w:headerReference w:type="first" r:id="rId9"/>
          <w:type w:val="continuous"/>
          <w:pgSz w:w="12240" w:h="15840" w:code="1"/>
          <w:pgMar w:top="1440" w:right="1800" w:bottom="990" w:left="1800" w:header="706" w:footer="706" w:gutter="0"/>
          <w:pgNumType w:start="1"/>
          <w:cols w:space="720"/>
          <w:formProt w:val="0"/>
          <w:titlePg/>
          <w:docGrid w:linePitch="360"/>
        </w:sectPr>
      </w:pPr>
      <w:r w:rsidRPr="0062721D">
        <w:rPr>
          <w:noProof/>
        </w:rPr>
        <w:br w:type="page"/>
      </w:r>
    </w:p>
    <w:p w:rsidR="00B138F4" w:rsidRDefault="00B0718B" w:rsidP="00B0718B">
      <w:pPr>
        <w:pStyle w:val="Paragraph"/>
        <w:tabs>
          <w:tab w:val="clear" w:pos="720"/>
        </w:tabs>
        <w:ind w:firstLine="0"/>
        <w:jc w:val="left"/>
        <w:outlineLvl w:val="9"/>
      </w:pPr>
      <w:r w:rsidRPr="00B0718B">
        <w:rPr>
          <w:noProof/>
          <w:lang w:val="en-US"/>
        </w:rPr>
        <w:lastRenderedPageBreak/>
        <w:drawing>
          <wp:inline distT="0" distB="0" distL="0" distR="0" wp14:anchorId="23402D25" wp14:editId="70109E5C">
            <wp:extent cx="8515350" cy="412217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0" cy="412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8F4" w:rsidRDefault="00B138F4" w:rsidP="004D7AF3">
      <w:pPr>
        <w:pStyle w:val="Paragraph"/>
        <w:tabs>
          <w:tab w:val="clear" w:pos="720"/>
        </w:tabs>
        <w:ind w:firstLine="0"/>
        <w:jc w:val="center"/>
        <w:outlineLvl w:val="9"/>
      </w:pPr>
    </w:p>
    <w:p w:rsidR="00B138F4" w:rsidRDefault="00B138F4" w:rsidP="004D7AF3">
      <w:pPr>
        <w:pStyle w:val="Paragraph"/>
        <w:tabs>
          <w:tab w:val="clear" w:pos="720"/>
        </w:tabs>
        <w:ind w:firstLine="0"/>
        <w:jc w:val="center"/>
        <w:outlineLvl w:val="9"/>
      </w:pPr>
    </w:p>
    <w:p w:rsidR="00B138F4" w:rsidRDefault="00B138F4" w:rsidP="004D7AF3">
      <w:pPr>
        <w:pStyle w:val="Paragraph"/>
        <w:tabs>
          <w:tab w:val="clear" w:pos="720"/>
        </w:tabs>
        <w:ind w:firstLine="0"/>
        <w:jc w:val="center"/>
        <w:outlineLvl w:val="9"/>
      </w:pPr>
    </w:p>
    <w:p w:rsidR="00CC043A" w:rsidRDefault="00CC043A" w:rsidP="00CC043A">
      <w:pPr>
        <w:jc w:val="both"/>
      </w:pPr>
      <w:r>
        <w:br w:type="page"/>
      </w:r>
    </w:p>
    <w:p w:rsidR="00CC043A" w:rsidRDefault="00CC043A" w:rsidP="004D7AF3">
      <w:pPr>
        <w:pStyle w:val="Paragraph"/>
        <w:tabs>
          <w:tab w:val="clear" w:pos="720"/>
        </w:tabs>
        <w:ind w:firstLine="0"/>
        <w:jc w:val="center"/>
        <w:outlineLvl w:val="9"/>
        <w:sectPr w:rsidR="00CC043A" w:rsidSect="00B138F4">
          <w:pgSz w:w="15840" w:h="12240" w:orient="landscape" w:code="1"/>
          <w:pgMar w:top="1800" w:right="990" w:bottom="1800" w:left="1440" w:header="706" w:footer="706" w:gutter="0"/>
          <w:pgNumType w:start="1"/>
          <w:cols w:space="720"/>
          <w:formProt w:val="0"/>
          <w:titlePg/>
          <w:docGrid w:linePitch="360"/>
        </w:sectPr>
      </w:pPr>
    </w:p>
    <w:p w:rsidR="00B138F4" w:rsidRDefault="00B0718B" w:rsidP="00CC043A">
      <w:pPr>
        <w:pStyle w:val="Paragraph"/>
        <w:tabs>
          <w:tab w:val="clear" w:pos="720"/>
        </w:tabs>
        <w:ind w:firstLine="0"/>
        <w:outlineLvl w:val="9"/>
      </w:pPr>
      <w:r w:rsidRPr="00B0718B">
        <w:rPr>
          <w:noProof/>
          <w:lang w:val="en-US"/>
        </w:rPr>
        <w:lastRenderedPageBreak/>
        <w:drawing>
          <wp:inline distT="0" distB="0" distL="0" distR="0" wp14:anchorId="4A9886A0" wp14:editId="58718AA8">
            <wp:extent cx="5828876" cy="5868537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930" cy="5868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8F4" w:rsidSect="00CC043A">
      <w:pgSz w:w="12240" w:h="15840" w:code="1"/>
      <w:pgMar w:top="990" w:right="1800" w:bottom="1440" w:left="1800" w:header="706" w:footer="706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CE0" w:rsidRDefault="002D7CE0" w:rsidP="00BB0CB6">
      <w:r>
        <w:separator/>
      </w:r>
    </w:p>
  </w:endnote>
  <w:endnote w:type="continuationSeparator" w:id="0">
    <w:p w:rsidR="002D7CE0" w:rsidRDefault="002D7CE0" w:rsidP="00BB0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CE0" w:rsidRDefault="002D7CE0" w:rsidP="00BB0CB6">
      <w:r>
        <w:separator/>
      </w:r>
    </w:p>
  </w:footnote>
  <w:footnote w:type="continuationSeparator" w:id="0">
    <w:p w:rsidR="002D7CE0" w:rsidRDefault="002D7CE0" w:rsidP="00BB0CB6">
      <w:r>
        <w:continuationSeparator/>
      </w:r>
    </w:p>
  </w:footnote>
  <w:footnote w:id="1">
    <w:p w:rsidR="00E91CA7" w:rsidRPr="00C67E91" w:rsidRDefault="00E91CA7" w:rsidP="00A9506E">
      <w:pPr>
        <w:spacing w:after="200"/>
        <w:jc w:val="both"/>
      </w:pPr>
      <w:r w:rsidRPr="00C67E91">
        <w:rPr>
          <w:spacing w:val="-3"/>
          <w:sz w:val="20"/>
          <w:szCs w:val="20"/>
          <w:lang w:val="en-US"/>
        </w:rPr>
        <w:footnoteRef/>
      </w:r>
      <w:r w:rsidRPr="00E63DD1">
        <w:rPr>
          <w:spacing w:val="-3"/>
          <w:sz w:val="20"/>
          <w:szCs w:val="20"/>
        </w:rPr>
        <w:t xml:space="preserve"> </w:t>
      </w:r>
      <w:r w:rsidR="00C67E91" w:rsidRPr="00E63DD1">
        <w:rPr>
          <w:spacing w:val="-3"/>
          <w:sz w:val="20"/>
          <w:szCs w:val="20"/>
        </w:rPr>
        <w:t xml:space="preserve">El concepto de deuda adoptado en el análisis incluye la deuda contractual y obligaciones </w:t>
      </w:r>
      <w:r w:rsidR="00E63DD1">
        <w:rPr>
          <w:spacing w:val="-3"/>
          <w:sz w:val="20"/>
          <w:szCs w:val="20"/>
        </w:rPr>
        <w:t xml:space="preserve"> de PE</w:t>
      </w:r>
      <w:r w:rsidR="00C67E91" w:rsidRPr="00E63DD1">
        <w:rPr>
          <w:spacing w:val="-3"/>
          <w:sz w:val="20"/>
          <w:szCs w:val="20"/>
        </w:rPr>
        <w:t xml:space="preserve">. </w:t>
      </w:r>
      <w:r w:rsidR="00E63DD1">
        <w:rPr>
          <w:spacing w:val="-3"/>
          <w:sz w:val="20"/>
          <w:szCs w:val="20"/>
        </w:rPr>
        <w:t xml:space="preserve"> Este concepto de deuda no incluye las deudas contingentes producto de disputas judiciales (precatorios) o aquellas contingentes producto de los PPPs</w:t>
      </w:r>
      <w:r w:rsidR="00C67E91" w:rsidRPr="00E63DD1">
        <w:rPr>
          <w:spacing w:val="-3"/>
          <w:sz w:val="20"/>
          <w:szCs w:val="20"/>
        </w:rPr>
        <w:t xml:space="preserve">. Aunque el equipo considera que la cuestión de la "precatórios" merece atención, no se considera que represente un riesgo para la sostenibilidad de la deuda y por lo tanto no son utilizados en el análisis. </w:t>
      </w:r>
      <w:r w:rsidR="00C67E91" w:rsidRPr="009B33F8">
        <w:rPr>
          <w:spacing w:val="-3"/>
          <w:sz w:val="20"/>
          <w:szCs w:val="20"/>
        </w:rPr>
        <w:t xml:space="preserve">Además, un análisis exhaustivo de </w:t>
      </w:r>
      <w:r w:rsidR="00E63DD1">
        <w:rPr>
          <w:spacing w:val="-3"/>
          <w:sz w:val="20"/>
          <w:szCs w:val="20"/>
        </w:rPr>
        <w:t>los riesgos fiscales producto de los PPPs</w:t>
      </w:r>
      <w:r w:rsidR="00C67E91" w:rsidRPr="009B33F8">
        <w:rPr>
          <w:spacing w:val="-3"/>
          <w:sz w:val="20"/>
          <w:szCs w:val="20"/>
        </w:rPr>
        <w:t>, sería útil para conocer de forma amplia los riesgos fiscales.</w:t>
      </w:r>
      <w:r w:rsidRPr="00C67E91">
        <w:t xml:space="preserve">    </w:t>
      </w:r>
    </w:p>
  </w:footnote>
  <w:footnote w:id="2">
    <w:p w:rsidR="00E91CA7" w:rsidRPr="009B33F8" w:rsidRDefault="00E91CA7" w:rsidP="00E91CA7">
      <w:pPr>
        <w:pStyle w:val="FootnoteText"/>
      </w:pPr>
      <w:r>
        <w:rPr>
          <w:rStyle w:val="FootnoteReference"/>
        </w:rPr>
        <w:footnoteRef/>
      </w:r>
      <w:r w:rsidRPr="00C67E91">
        <w:t xml:space="preserve"> </w:t>
      </w:r>
      <w:r w:rsidR="00E63DD1">
        <w:t xml:space="preserve">Como ingresos corrientes netos se utiliza el concepto de Ingresos Líquidos Reales que </w:t>
      </w:r>
      <w:r w:rsidR="00C67E91" w:rsidRPr="00C67E91">
        <w:t xml:space="preserve"> son equivalent</w:t>
      </w:r>
      <w:r w:rsidR="009B33F8">
        <w:t>e</w:t>
      </w:r>
      <w:r w:rsidR="00C67E91" w:rsidRPr="00C67E91">
        <w:t>s a los ingresos tributari</w:t>
      </w:r>
      <w:r w:rsidR="00C67E91">
        <w:t>o</w:t>
      </w:r>
      <w:r w:rsidR="00C67E91" w:rsidRPr="00C67E91">
        <w:t>s (incluyendo transferencias del Gobierno Federal) menos las transferencias a los municipios estipula</w:t>
      </w:r>
      <w:r w:rsidR="009B33F8">
        <w:t>da</w:t>
      </w:r>
      <w:r w:rsidR="00C67E91" w:rsidRPr="00C67E91">
        <w:t>s en ley y las contribuciones de pensiones de los trabajadores estatales.</w:t>
      </w:r>
      <w:r w:rsidRPr="009B33F8">
        <w:t xml:space="preserve"> </w:t>
      </w:r>
    </w:p>
  </w:footnote>
  <w:footnote w:id="3">
    <w:p w:rsidR="00427894" w:rsidRPr="00427894" w:rsidRDefault="00427894" w:rsidP="00427894">
      <w:pPr>
        <w:pStyle w:val="FootnoteText"/>
      </w:pPr>
      <w:r>
        <w:rPr>
          <w:rStyle w:val="FootnoteReference"/>
        </w:rPr>
        <w:footnoteRef/>
      </w:r>
      <w:r>
        <w:t xml:space="preserve"> El estado construyó en los últimos años 4 nuevos hospitales que implicaron la contratación de XX nuevos empleados.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D43" w:rsidRPr="00124A99" w:rsidRDefault="00A27D43" w:rsidP="00124A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b w:val="0"/>
      </w:rPr>
    </w:lvl>
    <w:lvl w:ilvl="3">
      <w:start w:val="1"/>
      <w:numFmt w:val="lowerRoman"/>
      <w:lvlText w:val="%4."/>
      <w:lvlJc w:val="left"/>
      <w:pPr>
        <w:tabs>
          <w:tab w:val="num" w:pos="1584"/>
        </w:tabs>
        <w:ind w:left="1584" w:hanging="288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88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3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0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760" w:firstLine="0"/>
      </w:pPr>
    </w:lvl>
  </w:abstractNum>
  <w:abstractNum w:abstractNumId="1">
    <w:nsid w:val="0F182D97"/>
    <w:multiLevelType w:val="hybridMultilevel"/>
    <w:tmpl w:val="34BC9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F33CC"/>
    <w:multiLevelType w:val="multilevel"/>
    <w:tmpl w:val="E38862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12DD4BB1"/>
    <w:multiLevelType w:val="hybridMultilevel"/>
    <w:tmpl w:val="2FC8783A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18B34EE4"/>
    <w:multiLevelType w:val="multilevel"/>
    <w:tmpl w:val="DD0A7B14"/>
    <w:lvl w:ilvl="0">
      <w:start w:val="1"/>
      <w:numFmt w:val="none"/>
      <w:lvlRestart w:val="0"/>
      <w:suff w:val="nothing"/>
      <w:lvlText w:val=""/>
      <w:lvlJc w:val="left"/>
      <w:pPr>
        <w:ind w:left="3096" w:hanging="720"/>
      </w:pPr>
    </w:lvl>
    <w:lvl w:ilvl="1">
      <w:start w:val="1"/>
      <w:numFmt w:val="decimal"/>
      <w:lvlText w:val="%2."/>
      <w:lvlJc w:val="left"/>
      <w:pPr>
        <w:tabs>
          <w:tab w:val="num" w:pos="3672"/>
        </w:tabs>
        <w:ind w:left="3672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4248"/>
        </w:tabs>
        <w:ind w:left="4248" w:hanging="576"/>
      </w:pPr>
      <w:rPr>
        <w:b/>
      </w:rPr>
    </w:lvl>
    <w:lvl w:ilvl="3">
      <w:start w:val="1"/>
      <w:numFmt w:val="lowerRoman"/>
      <w:lvlText w:val="(%4)"/>
      <w:lvlJc w:val="right"/>
      <w:pPr>
        <w:ind w:left="3240" w:hanging="144"/>
      </w:pPr>
    </w:lvl>
    <w:lvl w:ilvl="4">
      <w:start w:val="1"/>
      <w:numFmt w:val="decimal"/>
      <w:lvlText w:val="%5)"/>
      <w:lvlJc w:val="left"/>
      <w:pPr>
        <w:ind w:left="3384" w:hanging="432"/>
      </w:pPr>
    </w:lvl>
    <w:lvl w:ilvl="5">
      <w:start w:val="1"/>
      <w:numFmt w:val="lowerLetter"/>
      <w:lvlText w:val="%6)"/>
      <w:lvlJc w:val="left"/>
      <w:pPr>
        <w:ind w:left="3528" w:hanging="432"/>
      </w:pPr>
    </w:lvl>
    <w:lvl w:ilvl="6">
      <w:start w:val="1"/>
      <w:numFmt w:val="lowerRoman"/>
      <w:lvlText w:val="%7)"/>
      <w:lvlJc w:val="right"/>
      <w:pPr>
        <w:ind w:left="3672" w:hanging="288"/>
      </w:pPr>
    </w:lvl>
    <w:lvl w:ilvl="7">
      <w:start w:val="1"/>
      <w:numFmt w:val="lowerLetter"/>
      <w:lvlText w:val="%8."/>
      <w:lvlJc w:val="left"/>
      <w:pPr>
        <w:ind w:left="3816" w:hanging="432"/>
      </w:pPr>
    </w:lvl>
    <w:lvl w:ilvl="8">
      <w:start w:val="1"/>
      <w:numFmt w:val="lowerRoman"/>
      <w:lvlText w:val="%9."/>
      <w:lvlJc w:val="right"/>
      <w:pPr>
        <w:ind w:left="3960" w:hanging="144"/>
      </w:pPr>
    </w:lvl>
  </w:abstractNum>
  <w:abstractNum w:abstractNumId="5">
    <w:nsid w:val="1B77492F"/>
    <w:multiLevelType w:val="hybridMultilevel"/>
    <w:tmpl w:val="3884B338"/>
    <w:lvl w:ilvl="0" w:tplc="74066C5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99B66208" w:tentative="1">
      <w:start w:val="1"/>
      <w:numFmt w:val="lowerLetter"/>
      <w:lvlText w:val="%2."/>
      <w:lvlJc w:val="left"/>
      <w:pPr>
        <w:ind w:left="1080" w:hanging="360"/>
      </w:pPr>
    </w:lvl>
    <w:lvl w:ilvl="2" w:tplc="4B880934" w:tentative="1">
      <w:start w:val="1"/>
      <w:numFmt w:val="lowerRoman"/>
      <w:lvlText w:val="%3."/>
      <w:lvlJc w:val="right"/>
      <w:pPr>
        <w:ind w:left="1800" w:hanging="180"/>
      </w:pPr>
    </w:lvl>
    <w:lvl w:ilvl="3" w:tplc="70CA6834" w:tentative="1">
      <w:start w:val="1"/>
      <w:numFmt w:val="decimal"/>
      <w:lvlText w:val="%4."/>
      <w:lvlJc w:val="left"/>
      <w:pPr>
        <w:ind w:left="2520" w:hanging="360"/>
      </w:pPr>
    </w:lvl>
    <w:lvl w:ilvl="4" w:tplc="EEEEB286" w:tentative="1">
      <w:start w:val="1"/>
      <w:numFmt w:val="lowerLetter"/>
      <w:lvlText w:val="%5."/>
      <w:lvlJc w:val="left"/>
      <w:pPr>
        <w:ind w:left="3240" w:hanging="360"/>
      </w:pPr>
    </w:lvl>
    <w:lvl w:ilvl="5" w:tplc="4A004878" w:tentative="1">
      <w:start w:val="1"/>
      <w:numFmt w:val="lowerRoman"/>
      <w:lvlText w:val="%6."/>
      <w:lvlJc w:val="right"/>
      <w:pPr>
        <w:ind w:left="3960" w:hanging="180"/>
      </w:pPr>
    </w:lvl>
    <w:lvl w:ilvl="6" w:tplc="9C448DCC" w:tentative="1">
      <w:start w:val="1"/>
      <w:numFmt w:val="decimal"/>
      <w:lvlText w:val="%7."/>
      <w:lvlJc w:val="left"/>
      <w:pPr>
        <w:ind w:left="4680" w:hanging="360"/>
      </w:pPr>
    </w:lvl>
    <w:lvl w:ilvl="7" w:tplc="457C0AC6" w:tentative="1">
      <w:start w:val="1"/>
      <w:numFmt w:val="lowerLetter"/>
      <w:lvlText w:val="%8."/>
      <w:lvlJc w:val="left"/>
      <w:pPr>
        <w:ind w:left="5400" w:hanging="360"/>
      </w:pPr>
    </w:lvl>
    <w:lvl w:ilvl="8" w:tplc="8B001BF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C440A1"/>
    <w:multiLevelType w:val="multilevel"/>
    <w:tmpl w:val="629EDF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>
    <w:nsid w:val="1D050326"/>
    <w:multiLevelType w:val="multilevel"/>
    <w:tmpl w:val="8B608566"/>
    <w:lvl w:ilvl="0">
      <w:start w:val="1"/>
      <w:numFmt w:val="upperRoman"/>
      <w:lvlRestart w:val="0"/>
      <w:lvlText w:val="%1."/>
      <w:lvlJc w:val="center"/>
      <w:pPr>
        <w:tabs>
          <w:tab w:val="num" w:pos="1944"/>
        </w:tabs>
        <w:ind w:left="1296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592"/>
        </w:tabs>
        <w:ind w:left="2592" w:hanging="1296"/>
      </w:pPr>
    </w:lvl>
    <w:lvl w:ilvl="2">
      <w:start w:val="1"/>
      <w:numFmt w:val="lowerLetter"/>
      <w:lvlText w:val="%3."/>
      <w:lvlJc w:val="left"/>
      <w:pPr>
        <w:tabs>
          <w:tab w:val="num" w:pos="2448"/>
        </w:tabs>
        <w:ind w:left="2448" w:hanging="432"/>
      </w:pPr>
    </w:lvl>
    <w:lvl w:ilvl="3">
      <w:start w:val="1"/>
      <w:numFmt w:val="decimal"/>
      <w:lvlText w:val="%1.%2.%3.%4"/>
      <w:lvlJc w:val="left"/>
      <w:pPr>
        <w:ind w:left="2160" w:hanging="864"/>
      </w:pPr>
    </w:lvl>
    <w:lvl w:ilvl="4">
      <w:start w:val="1"/>
      <w:numFmt w:val="decimal"/>
      <w:lvlText w:val="%1.%2.%3.%4.%5"/>
      <w:lvlJc w:val="left"/>
      <w:pPr>
        <w:ind w:left="2304" w:hanging="1008"/>
      </w:pPr>
    </w:lvl>
    <w:lvl w:ilvl="5">
      <w:start w:val="1"/>
      <w:numFmt w:val="decimal"/>
      <w:lvlText w:val="%1.%2.%3.%4.%5.%6"/>
      <w:lvlJc w:val="left"/>
      <w:pPr>
        <w:ind w:left="2448" w:hanging="1152"/>
      </w:pPr>
    </w:lvl>
    <w:lvl w:ilvl="6">
      <w:start w:val="1"/>
      <w:numFmt w:val="decimal"/>
      <w:lvlText w:val="%1.%2.%3.%4.%5.%6.%7"/>
      <w:lvlJc w:val="left"/>
      <w:pPr>
        <w:ind w:left="2592" w:hanging="1296"/>
      </w:pPr>
    </w:lvl>
    <w:lvl w:ilvl="7">
      <w:start w:val="1"/>
      <w:numFmt w:val="decimal"/>
      <w:lvlText w:val="%1.%2.%3.%4.%5.%6.%7.%8"/>
      <w:lvlJc w:val="left"/>
      <w:pPr>
        <w:ind w:left="2736" w:hanging="1440"/>
      </w:pPr>
    </w:lvl>
    <w:lvl w:ilvl="8">
      <w:start w:val="1"/>
      <w:numFmt w:val="decimal"/>
      <w:lvlText w:val="%1.%2.%3.%4.%5.%6.%7.%8.%9"/>
      <w:lvlJc w:val="left"/>
      <w:pPr>
        <w:ind w:left="2880" w:hanging="1584"/>
      </w:pPr>
    </w:lvl>
  </w:abstractNum>
  <w:abstractNum w:abstractNumId="8">
    <w:nsid w:val="2006303C"/>
    <w:multiLevelType w:val="hybridMultilevel"/>
    <w:tmpl w:val="70784F9C"/>
    <w:lvl w:ilvl="0" w:tplc="0409000F">
      <w:start w:val="1"/>
      <w:numFmt w:val="decimal"/>
      <w:lvlText w:val="%1."/>
      <w:lvlJc w:val="left"/>
      <w:pPr>
        <w:ind w:left="1504" w:hanging="360"/>
      </w:p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9">
    <w:nsid w:val="253513AD"/>
    <w:multiLevelType w:val="multilevel"/>
    <w:tmpl w:val="6FF81CFC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77867B8"/>
    <w:multiLevelType w:val="multilevel"/>
    <w:tmpl w:val="E8E65F8E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794138D"/>
    <w:multiLevelType w:val="multilevel"/>
    <w:tmpl w:val="75E42192"/>
    <w:lvl w:ilvl="0">
      <w:start w:val="1"/>
      <w:numFmt w:val="none"/>
      <w:lvlRestart w:val="0"/>
      <w:suff w:val="nothing"/>
      <w:lvlText w:val=""/>
      <w:lvlJc w:val="left"/>
      <w:pPr>
        <w:ind w:left="2592" w:hanging="720"/>
      </w:pPr>
    </w:lvl>
    <w:lvl w:ilvl="1">
      <w:start w:val="1"/>
      <w:numFmt w:val="decimal"/>
      <w:lvlText w:val="%2."/>
      <w:lvlJc w:val="left"/>
      <w:pPr>
        <w:tabs>
          <w:tab w:val="num" w:pos="3168"/>
        </w:tabs>
        <w:ind w:left="3168" w:hanging="576"/>
      </w:pPr>
      <w:rPr>
        <w:b/>
      </w:rPr>
    </w:lvl>
    <w:lvl w:ilvl="2">
      <w:start w:val="1"/>
      <w:numFmt w:val="lowerLetter"/>
      <w:lvlText w:val="(%3)"/>
      <w:lvlJc w:val="left"/>
      <w:pPr>
        <w:ind w:left="2592" w:hanging="432"/>
      </w:pPr>
    </w:lvl>
    <w:lvl w:ilvl="3">
      <w:start w:val="1"/>
      <w:numFmt w:val="lowerRoman"/>
      <w:lvlText w:val="(%4)"/>
      <w:lvlJc w:val="right"/>
      <w:pPr>
        <w:ind w:left="2736" w:hanging="144"/>
      </w:pPr>
    </w:lvl>
    <w:lvl w:ilvl="4">
      <w:start w:val="1"/>
      <w:numFmt w:val="decimal"/>
      <w:lvlText w:val="%5)"/>
      <w:lvlJc w:val="left"/>
      <w:pPr>
        <w:ind w:left="2880" w:hanging="432"/>
      </w:pPr>
    </w:lvl>
    <w:lvl w:ilvl="5">
      <w:start w:val="1"/>
      <w:numFmt w:val="lowerLetter"/>
      <w:lvlText w:val="%6)"/>
      <w:lvlJc w:val="left"/>
      <w:pPr>
        <w:ind w:left="3024" w:hanging="432"/>
      </w:pPr>
    </w:lvl>
    <w:lvl w:ilvl="6">
      <w:start w:val="1"/>
      <w:numFmt w:val="lowerRoman"/>
      <w:lvlText w:val="%7)"/>
      <w:lvlJc w:val="right"/>
      <w:pPr>
        <w:ind w:left="3168" w:hanging="288"/>
      </w:pPr>
    </w:lvl>
    <w:lvl w:ilvl="7">
      <w:start w:val="1"/>
      <w:numFmt w:val="lowerLetter"/>
      <w:lvlText w:val="%8."/>
      <w:lvlJc w:val="left"/>
      <w:pPr>
        <w:ind w:left="3312" w:hanging="432"/>
      </w:pPr>
    </w:lvl>
    <w:lvl w:ilvl="8">
      <w:start w:val="1"/>
      <w:numFmt w:val="lowerRoman"/>
      <w:lvlText w:val="%9."/>
      <w:lvlJc w:val="right"/>
      <w:pPr>
        <w:ind w:left="3456" w:hanging="144"/>
      </w:pPr>
    </w:lvl>
  </w:abstractNum>
  <w:abstractNum w:abstractNumId="12">
    <w:nsid w:val="286C78B5"/>
    <w:multiLevelType w:val="multilevel"/>
    <w:tmpl w:val="1E32E3C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eastAsia="Arial Unicode MS" w:hint="default"/>
        <w:b w:val="0"/>
        <w:color w:val="000000"/>
      </w:rPr>
    </w:lvl>
    <w:lvl w:ilvl="2">
      <w:start w:val="1"/>
      <w:numFmt w:val="lowerLetter"/>
      <w:isLgl/>
      <w:lvlText w:val="%3."/>
      <w:lvlJc w:val="left"/>
      <w:pPr>
        <w:ind w:left="324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eastAsia="Arial Unicode MS"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eastAsia="Arial Unicode MS"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eastAsia="Arial Unicode MS"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eastAsia="Arial Unicode MS"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eastAsia="Arial Unicode MS"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eastAsia="Arial Unicode MS" w:hint="default"/>
        <w:b/>
        <w:color w:val="000000"/>
      </w:rPr>
    </w:lvl>
  </w:abstractNum>
  <w:abstractNum w:abstractNumId="13">
    <w:nsid w:val="288D7016"/>
    <w:multiLevelType w:val="hybridMultilevel"/>
    <w:tmpl w:val="187C8F2A"/>
    <w:lvl w:ilvl="0" w:tplc="0409000F">
      <w:start w:val="1"/>
      <w:numFmt w:val="decimal"/>
      <w:lvlText w:val="%1."/>
      <w:lvlJc w:val="left"/>
      <w:pPr>
        <w:ind w:left="812" w:hanging="360"/>
      </w:pPr>
    </w:lvl>
    <w:lvl w:ilvl="1" w:tplc="04090019" w:tentative="1">
      <w:start w:val="1"/>
      <w:numFmt w:val="lowerLetter"/>
      <w:lvlText w:val="%2."/>
      <w:lvlJc w:val="left"/>
      <w:pPr>
        <w:ind w:left="1532" w:hanging="360"/>
      </w:pPr>
    </w:lvl>
    <w:lvl w:ilvl="2" w:tplc="0409001B" w:tentative="1">
      <w:start w:val="1"/>
      <w:numFmt w:val="lowerRoman"/>
      <w:lvlText w:val="%3."/>
      <w:lvlJc w:val="right"/>
      <w:pPr>
        <w:ind w:left="2252" w:hanging="180"/>
      </w:pPr>
    </w:lvl>
    <w:lvl w:ilvl="3" w:tplc="0409000F" w:tentative="1">
      <w:start w:val="1"/>
      <w:numFmt w:val="decimal"/>
      <w:lvlText w:val="%4."/>
      <w:lvlJc w:val="left"/>
      <w:pPr>
        <w:ind w:left="2972" w:hanging="360"/>
      </w:pPr>
    </w:lvl>
    <w:lvl w:ilvl="4" w:tplc="04090019" w:tentative="1">
      <w:start w:val="1"/>
      <w:numFmt w:val="lowerLetter"/>
      <w:lvlText w:val="%5."/>
      <w:lvlJc w:val="left"/>
      <w:pPr>
        <w:ind w:left="3692" w:hanging="360"/>
      </w:pPr>
    </w:lvl>
    <w:lvl w:ilvl="5" w:tplc="0409001B" w:tentative="1">
      <w:start w:val="1"/>
      <w:numFmt w:val="lowerRoman"/>
      <w:lvlText w:val="%6."/>
      <w:lvlJc w:val="right"/>
      <w:pPr>
        <w:ind w:left="4412" w:hanging="180"/>
      </w:pPr>
    </w:lvl>
    <w:lvl w:ilvl="6" w:tplc="0409000F" w:tentative="1">
      <w:start w:val="1"/>
      <w:numFmt w:val="decimal"/>
      <w:lvlText w:val="%7."/>
      <w:lvlJc w:val="left"/>
      <w:pPr>
        <w:ind w:left="5132" w:hanging="360"/>
      </w:pPr>
    </w:lvl>
    <w:lvl w:ilvl="7" w:tplc="04090019" w:tentative="1">
      <w:start w:val="1"/>
      <w:numFmt w:val="lowerLetter"/>
      <w:lvlText w:val="%8."/>
      <w:lvlJc w:val="left"/>
      <w:pPr>
        <w:ind w:left="5852" w:hanging="360"/>
      </w:pPr>
    </w:lvl>
    <w:lvl w:ilvl="8" w:tplc="040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4">
    <w:nsid w:val="2B471075"/>
    <w:multiLevelType w:val="multilevel"/>
    <w:tmpl w:val="B502B446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2ED44463"/>
    <w:multiLevelType w:val="hybridMultilevel"/>
    <w:tmpl w:val="7E40F9D0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6">
    <w:nsid w:val="31A82E2D"/>
    <w:multiLevelType w:val="multilevel"/>
    <w:tmpl w:val="42E84744"/>
    <w:lvl w:ilvl="0">
      <w:start w:val="1"/>
      <w:numFmt w:val="decimal"/>
      <w:lvlText w:val="%1"/>
      <w:lvlJc w:val="left"/>
      <w:pPr>
        <w:ind w:left="2160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2304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244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592" w:hanging="864"/>
      </w:pPr>
    </w:lvl>
    <w:lvl w:ilvl="4">
      <w:start w:val="1"/>
      <w:numFmt w:val="decimal"/>
      <w:lvlText w:val="%1.%2.%3.%4.%5"/>
      <w:lvlJc w:val="left"/>
      <w:pPr>
        <w:ind w:left="2736" w:hanging="1008"/>
      </w:pPr>
    </w:lvl>
    <w:lvl w:ilvl="5">
      <w:start w:val="1"/>
      <w:numFmt w:val="decimal"/>
      <w:lvlText w:val="%1.%2.%3.%4.%5.%6"/>
      <w:lvlJc w:val="left"/>
      <w:pPr>
        <w:ind w:left="2880" w:hanging="1152"/>
      </w:pPr>
    </w:lvl>
    <w:lvl w:ilvl="6">
      <w:start w:val="1"/>
      <w:numFmt w:val="decimal"/>
      <w:lvlText w:val="%1.%2.%3.%4.%5.%6.%7"/>
      <w:lvlJc w:val="left"/>
      <w:pPr>
        <w:ind w:left="3024" w:hanging="1296"/>
      </w:pPr>
    </w:lvl>
    <w:lvl w:ilvl="7">
      <w:start w:val="1"/>
      <w:numFmt w:val="decimal"/>
      <w:lvlText w:val="%1.%2.%3.%4.%5.%6.%7.%8"/>
      <w:lvlJc w:val="left"/>
      <w:pPr>
        <w:ind w:left="3168" w:hanging="1440"/>
      </w:pPr>
    </w:lvl>
    <w:lvl w:ilvl="8">
      <w:start w:val="1"/>
      <w:numFmt w:val="decimal"/>
      <w:lvlText w:val="%1.%2.%3.%4.%5.%6.%7.%8.%9"/>
      <w:lvlJc w:val="left"/>
      <w:pPr>
        <w:ind w:left="3312" w:hanging="1584"/>
      </w:pPr>
    </w:lvl>
  </w:abstractNum>
  <w:abstractNum w:abstractNumId="17">
    <w:nsid w:val="35FE18EC"/>
    <w:multiLevelType w:val="hybridMultilevel"/>
    <w:tmpl w:val="6F3481E6"/>
    <w:lvl w:ilvl="0" w:tplc="715C7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A6EC746" w:tentative="1">
      <w:start w:val="1"/>
      <w:numFmt w:val="lowerLetter"/>
      <w:lvlText w:val="%2."/>
      <w:lvlJc w:val="left"/>
      <w:pPr>
        <w:ind w:left="1080" w:hanging="360"/>
      </w:pPr>
    </w:lvl>
    <w:lvl w:ilvl="2" w:tplc="5964EABC" w:tentative="1">
      <w:start w:val="1"/>
      <w:numFmt w:val="lowerRoman"/>
      <w:lvlText w:val="%3."/>
      <w:lvlJc w:val="right"/>
      <w:pPr>
        <w:ind w:left="1800" w:hanging="180"/>
      </w:pPr>
    </w:lvl>
    <w:lvl w:ilvl="3" w:tplc="EEBC5E9A" w:tentative="1">
      <w:start w:val="1"/>
      <w:numFmt w:val="decimal"/>
      <w:lvlText w:val="%4."/>
      <w:lvlJc w:val="left"/>
      <w:pPr>
        <w:ind w:left="2520" w:hanging="360"/>
      </w:pPr>
    </w:lvl>
    <w:lvl w:ilvl="4" w:tplc="B4B626DE" w:tentative="1">
      <w:start w:val="1"/>
      <w:numFmt w:val="lowerLetter"/>
      <w:lvlText w:val="%5."/>
      <w:lvlJc w:val="left"/>
      <w:pPr>
        <w:ind w:left="3240" w:hanging="360"/>
      </w:pPr>
    </w:lvl>
    <w:lvl w:ilvl="5" w:tplc="8256B484" w:tentative="1">
      <w:start w:val="1"/>
      <w:numFmt w:val="lowerRoman"/>
      <w:lvlText w:val="%6."/>
      <w:lvlJc w:val="right"/>
      <w:pPr>
        <w:ind w:left="3960" w:hanging="180"/>
      </w:pPr>
    </w:lvl>
    <w:lvl w:ilvl="6" w:tplc="CACC8668" w:tentative="1">
      <w:start w:val="1"/>
      <w:numFmt w:val="decimal"/>
      <w:lvlText w:val="%7."/>
      <w:lvlJc w:val="left"/>
      <w:pPr>
        <w:ind w:left="4680" w:hanging="360"/>
      </w:pPr>
    </w:lvl>
    <w:lvl w:ilvl="7" w:tplc="CFC65514" w:tentative="1">
      <w:start w:val="1"/>
      <w:numFmt w:val="lowerLetter"/>
      <w:lvlText w:val="%8."/>
      <w:lvlJc w:val="left"/>
      <w:pPr>
        <w:ind w:left="5400" w:hanging="360"/>
      </w:pPr>
    </w:lvl>
    <w:lvl w:ilvl="8" w:tplc="7C5C57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B451D3"/>
    <w:multiLevelType w:val="multilevel"/>
    <w:tmpl w:val="EF1C8958"/>
    <w:lvl w:ilvl="0">
      <w:start w:val="1"/>
      <w:numFmt w:val="upperRoman"/>
      <w:pStyle w:val="List2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9">
    <w:nsid w:val="403C75C1"/>
    <w:multiLevelType w:val="hybridMultilevel"/>
    <w:tmpl w:val="B7D28E38"/>
    <w:lvl w:ilvl="0" w:tplc="90F2333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F5502B"/>
    <w:multiLevelType w:val="hybridMultilevel"/>
    <w:tmpl w:val="037862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A77C3B"/>
    <w:multiLevelType w:val="multilevel"/>
    <w:tmpl w:val="3D94E1FA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61CE56EE"/>
    <w:multiLevelType w:val="hybridMultilevel"/>
    <w:tmpl w:val="CEECC710"/>
    <w:lvl w:ilvl="0" w:tplc="3E82649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A00A06"/>
    <w:multiLevelType w:val="multilevel"/>
    <w:tmpl w:val="84263862"/>
    <w:lvl w:ilvl="0">
      <w:start w:val="3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eastAsia="Arial Unicode MS" w:hint="default"/>
      </w:rPr>
    </w:lvl>
  </w:abstractNum>
  <w:abstractNum w:abstractNumId="24">
    <w:nsid w:val="667144CD"/>
    <w:multiLevelType w:val="hybridMultilevel"/>
    <w:tmpl w:val="6A20E3F8"/>
    <w:lvl w:ilvl="0" w:tplc="E88859C8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7D517D"/>
    <w:multiLevelType w:val="hybridMultilevel"/>
    <w:tmpl w:val="B0B47648"/>
    <w:lvl w:ilvl="0" w:tplc="04090015">
      <w:start w:val="1"/>
      <w:numFmt w:val="upperLetter"/>
      <w:pStyle w:val="List1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FF30B8"/>
    <w:multiLevelType w:val="multilevel"/>
    <w:tmpl w:val="7938FD12"/>
    <w:lvl w:ilvl="0">
      <w:start w:val="1"/>
      <w:numFmt w:val="upperRoman"/>
      <w:lvlText w:val="Article %1."/>
      <w:lvlJc w:val="left"/>
      <w:pPr>
        <w:ind w:left="4104" w:firstLine="0"/>
      </w:pPr>
    </w:lvl>
    <w:lvl w:ilvl="1">
      <w:start w:val="1"/>
      <w:numFmt w:val="decimalZero"/>
      <w:isLgl/>
      <w:lvlText w:val="Section %1.%2"/>
      <w:lvlJc w:val="left"/>
      <w:pPr>
        <w:ind w:left="4104" w:firstLine="0"/>
      </w:pPr>
      <w:rPr>
        <w:b/>
      </w:rPr>
    </w:lvl>
    <w:lvl w:ilvl="2">
      <w:start w:val="1"/>
      <w:numFmt w:val="lowerLetter"/>
      <w:lvlText w:val="(%3)"/>
      <w:lvlJc w:val="left"/>
      <w:pPr>
        <w:ind w:left="4824" w:hanging="432"/>
      </w:pPr>
      <w:rPr>
        <w:b/>
      </w:rPr>
    </w:lvl>
    <w:lvl w:ilvl="3">
      <w:start w:val="1"/>
      <w:numFmt w:val="lowerRoman"/>
      <w:lvlText w:val="(%4)"/>
      <w:lvlJc w:val="right"/>
      <w:pPr>
        <w:ind w:left="4968" w:hanging="144"/>
      </w:pPr>
      <w:rPr>
        <w:b/>
      </w:rPr>
    </w:lvl>
    <w:lvl w:ilvl="4">
      <w:start w:val="1"/>
      <w:numFmt w:val="decimal"/>
      <w:lvlText w:val="%5)"/>
      <w:lvlJc w:val="left"/>
      <w:pPr>
        <w:ind w:left="5112" w:hanging="432"/>
      </w:pPr>
    </w:lvl>
    <w:lvl w:ilvl="5">
      <w:start w:val="1"/>
      <w:numFmt w:val="lowerLetter"/>
      <w:lvlText w:val="%6)"/>
      <w:lvlJc w:val="left"/>
      <w:pPr>
        <w:ind w:left="5256" w:hanging="432"/>
      </w:pPr>
    </w:lvl>
    <w:lvl w:ilvl="6">
      <w:start w:val="1"/>
      <w:numFmt w:val="lowerRoman"/>
      <w:lvlText w:val="%7)"/>
      <w:lvlJc w:val="right"/>
      <w:pPr>
        <w:ind w:left="5400" w:hanging="288"/>
      </w:pPr>
    </w:lvl>
    <w:lvl w:ilvl="7">
      <w:start w:val="1"/>
      <w:numFmt w:val="lowerLetter"/>
      <w:lvlText w:val="%8."/>
      <w:lvlJc w:val="left"/>
      <w:pPr>
        <w:ind w:left="5544" w:hanging="432"/>
      </w:pPr>
    </w:lvl>
    <w:lvl w:ilvl="8">
      <w:start w:val="1"/>
      <w:numFmt w:val="lowerRoman"/>
      <w:lvlText w:val="%9."/>
      <w:lvlJc w:val="right"/>
      <w:pPr>
        <w:ind w:left="5688" w:hanging="144"/>
      </w:pPr>
    </w:lvl>
  </w:abstractNum>
  <w:abstractNum w:abstractNumId="27">
    <w:nsid w:val="772C3755"/>
    <w:multiLevelType w:val="hybridMultilevel"/>
    <w:tmpl w:val="E616805E"/>
    <w:lvl w:ilvl="0" w:tplc="C5CA49E2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D21C243C" w:tentative="1">
      <w:start w:val="1"/>
      <w:numFmt w:val="lowerLetter"/>
      <w:lvlText w:val="%2."/>
      <w:lvlJc w:val="left"/>
      <w:pPr>
        <w:ind w:left="1440" w:hanging="360"/>
      </w:pPr>
    </w:lvl>
    <w:lvl w:ilvl="2" w:tplc="5CF20FE0" w:tentative="1">
      <w:start w:val="1"/>
      <w:numFmt w:val="lowerRoman"/>
      <w:lvlText w:val="%3."/>
      <w:lvlJc w:val="right"/>
      <w:pPr>
        <w:ind w:left="2160" w:hanging="180"/>
      </w:pPr>
    </w:lvl>
    <w:lvl w:ilvl="3" w:tplc="847C2408" w:tentative="1">
      <w:start w:val="1"/>
      <w:numFmt w:val="decimal"/>
      <w:lvlText w:val="%4."/>
      <w:lvlJc w:val="left"/>
      <w:pPr>
        <w:ind w:left="2880" w:hanging="360"/>
      </w:pPr>
    </w:lvl>
    <w:lvl w:ilvl="4" w:tplc="BF58301A" w:tentative="1">
      <w:start w:val="1"/>
      <w:numFmt w:val="lowerLetter"/>
      <w:lvlText w:val="%5."/>
      <w:lvlJc w:val="left"/>
      <w:pPr>
        <w:ind w:left="3600" w:hanging="360"/>
      </w:pPr>
    </w:lvl>
    <w:lvl w:ilvl="5" w:tplc="B16E5240" w:tentative="1">
      <w:start w:val="1"/>
      <w:numFmt w:val="lowerRoman"/>
      <w:lvlText w:val="%6."/>
      <w:lvlJc w:val="right"/>
      <w:pPr>
        <w:ind w:left="4320" w:hanging="180"/>
      </w:pPr>
    </w:lvl>
    <w:lvl w:ilvl="6" w:tplc="D20CB76C" w:tentative="1">
      <w:start w:val="1"/>
      <w:numFmt w:val="decimal"/>
      <w:lvlText w:val="%7."/>
      <w:lvlJc w:val="left"/>
      <w:pPr>
        <w:ind w:left="5040" w:hanging="360"/>
      </w:pPr>
    </w:lvl>
    <w:lvl w:ilvl="7" w:tplc="27985ACC" w:tentative="1">
      <w:start w:val="1"/>
      <w:numFmt w:val="lowerLetter"/>
      <w:lvlText w:val="%8."/>
      <w:lvlJc w:val="left"/>
      <w:pPr>
        <w:ind w:left="5760" w:hanging="360"/>
      </w:pPr>
    </w:lvl>
    <w:lvl w:ilvl="8" w:tplc="A454AE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25"/>
  </w:num>
  <w:num w:numId="5">
    <w:abstractNumId w:val="27"/>
  </w:num>
  <w:num w:numId="6">
    <w:abstractNumId w:val="18"/>
  </w:num>
  <w:num w:numId="7">
    <w:abstractNumId w:val="5"/>
  </w:num>
  <w:num w:numId="8">
    <w:abstractNumId w:val="17"/>
  </w:num>
  <w:num w:numId="9">
    <w:abstractNumId w:val="16"/>
  </w:num>
  <w:num w:numId="10">
    <w:abstractNumId w:val="26"/>
  </w:num>
  <w:num w:numId="11">
    <w:abstractNumId w:val="20"/>
  </w:num>
  <w:num w:numId="12">
    <w:abstractNumId w:val="23"/>
  </w:num>
  <w:num w:numId="13">
    <w:abstractNumId w:val="22"/>
  </w:num>
  <w:num w:numId="14">
    <w:abstractNumId w:val="19"/>
  </w:num>
  <w:num w:numId="15">
    <w:abstractNumId w:val="6"/>
  </w:num>
  <w:num w:numId="16">
    <w:abstractNumId w:val="13"/>
  </w:num>
  <w:num w:numId="17">
    <w:abstractNumId w:val="24"/>
  </w:num>
  <w:num w:numId="18">
    <w:abstractNumId w:val="21"/>
  </w:num>
  <w:num w:numId="19">
    <w:abstractNumId w:val="9"/>
  </w:num>
  <w:num w:numId="20">
    <w:abstractNumId w:val="7"/>
  </w:num>
  <w:num w:numId="21">
    <w:abstractNumId w:val="14"/>
  </w:num>
  <w:num w:numId="22">
    <w:abstractNumId w:val="11"/>
  </w:num>
  <w:num w:numId="23">
    <w:abstractNumId w:val="4"/>
  </w:num>
  <w:num w:numId="24">
    <w:abstractNumId w:val="8"/>
  </w:num>
  <w:num w:numId="25">
    <w:abstractNumId w:val="15"/>
  </w:num>
  <w:num w:numId="26">
    <w:abstractNumId w:val="3"/>
  </w:num>
  <w:num w:numId="2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CB6"/>
    <w:rsid w:val="00001D90"/>
    <w:rsid w:val="0000497C"/>
    <w:rsid w:val="00007B08"/>
    <w:rsid w:val="00007B8B"/>
    <w:rsid w:val="00007ECA"/>
    <w:rsid w:val="00010401"/>
    <w:rsid w:val="000130FE"/>
    <w:rsid w:val="00023BA4"/>
    <w:rsid w:val="0002460B"/>
    <w:rsid w:val="00025FCE"/>
    <w:rsid w:val="00027788"/>
    <w:rsid w:val="00027813"/>
    <w:rsid w:val="00030522"/>
    <w:rsid w:val="00030595"/>
    <w:rsid w:val="00033C76"/>
    <w:rsid w:val="00037EA6"/>
    <w:rsid w:val="00041482"/>
    <w:rsid w:val="00041F4B"/>
    <w:rsid w:val="00044309"/>
    <w:rsid w:val="00045A76"/>
    <w:rsid w:val="000461A4"/>
    <w:rsid w:val="00052997"/>
    <w:rsid w:val="00052A8C"/>
    <w:rsid w:val="00067044"/>
    <w:rsid w:val="00067B77"/>
    <w:rsid w:val="0007183B"/>
    <w:rsid w:val="00074F04"/>
    <w:rsid w:val="0008229A"/>
    <w:rsid w:val="000840B5"/>
    <w:rsid w:val="00085C98"/>
    <w:rsid w:val="00086A42"/>
    <w:rsid w:val="000912FE"/>
    <w:rsid w:val="00092AA6"/>
    <w:rsid w:val="000946C9"/>
    <w:rsid w:val="000A1339"/>
    <w:rsid w:val="000A56B3"/>
    <w:rsid w:val="000A57B7"/>
    <w:rsid w:val="000A6CEA"/>
    <w:rsid w:val="000B08C0"/>
    <w:rsid w:val="000B1A7D"/>
    <w:rsid w:val="000B39F8"/>
    <w:rsid w:val="000B4B07"/>
    <w:rsid w:val="000B5D3D"/>
    <w:rsid w:val="000B6AF5"/>
    <w:rsid w:val="000B6DB1"/>
    <w:rsid w:val="000C03B8"/>
    <w:rsid w:val="000C0EEB"/>
    <w:rsid w:val="000C1D34"/>
    <w:rsid w:val="000C2215"/>
    <w:rsid w:val="000C5D5E"/>
    <w:rsid w:val="000D158F"/>
    <w:rsid w:val="000D4986"/>
    <w:rsid w:val="000D6BBC"/>
    <w:rsid w:val="000D6CA9"/>
    <w:rsid w:val="000E0DBF"/>
    <w:rsid w:val="000E48A5"/>
    <w:rsid w:val="000E4B21"/>
    <w:rsid w:val="000F5365"/>
    <w:rsid w:val="000F6653"/>
    <w:rsid w:val="001006CD"/>
    <w:rsid w:val="00100BB7"/>
    <w:rsid w:val="00110855"/>
    <w:rsid w:val="00112A73"/>
    <w:rsid w:val="001145C5"/>
    <w:rsid w:val="00115039"/>
    <w:rsid w:val="00117F1F"/>
    <w:rsid w:val="001220BA"/>
    <w:rsid w:val="001221BD"/>
    <w:rsid w:val="0012471D"/>
    <w:rsid w:val="00124A99"/>
    <w:rsid w:val="001265AB"/>
    <w:rsid w:val="00130298"/>
    <w:rsid w:val="00132A56"/>
    <w:rsid w:val="00133C22"/>
    <w:rsid w:val="00134022"/>
    <w:rsid w:val="00135B52"/>
    <w:rsid w:val="0013773B"/>
    <w:rsid w:val="001432C6"/>
    <w:rsid w:val="0014358D"/>
    <w:rsid w:val="00143D75"/>
    <w:rsid w:val="00145C6B"/>
    <w:rsid w:val="00146ECF"/>
    <w:rsid w:val="00147081"/>
    <w:rsid w:val="00156D2C"/>
    <w:rsid w:val="001578DA"/>
    <w:rsid w:val="00160C95"/>
    <w:rsid w:val="00164402"/>
    <w:rsid w:val="001652A2"/>
    <w:rsid w:val="00166FEC"/>
    <w:rsid w:val="00171298"/>
    <w:rsid w:val="00172DDC"/>
    <w:rsid w:val="00175F77"/>
    <w:rsid w:val="00185CC3"/>
    <w:rsid w:val="0018611D"/>
    <w:rsid w:val="001922DF"/>
    <w:rsid w:val="00195BC3"/>
    <w:rsid w:val="00195C9B"/>
    <w:rsid w:val="001A0515"/>
    <w:rsid w:val="001A3951"/>
    <w:rsid w:val="001A4240"/>
    <w:rsid w:val="001A60F5"/>
    <w:rsid w:val="001A6843"/>
    <w:rsid w:val="001A6A87"/>
    <w:rsid w:val="001A6F4F"/>
    <w:rsid w:val="001A7AE2"/>
    <w:rsid w:val="001B2C86"/>
    <w:rsid w:val="001B30E9"/>
    <w:rsid w:val="001C2A9F"/>
    <w:rsid w:val="001C31C9"/>
    <w:rsid w:val="001C3ED9"/>
    <w:rsid w:val="001D1AF8"/>
    <w:rsid w:val="001D27E8"/>
    <w:rsid w:val="001D46A8"/>
    <w:rsid w:val="001D624C"/>
    <w:rsid w:val="001D7808"/>
    <w:rsid w:val="001E0608"/>
    <w:rsid w:val="001E0EC6"/>
    <w:rsid w:val="001E5FE1"/>
    <w:rsid w:val="001F1560"/>
    <w:rsid w:val="001F16F7"/>
    <w:rsid w:val="001F4DFB"/>
    <w:rsid w:val="00202238"/>
    <w:rsid w:val="00204E43"/>
    <w:rsid w:val="00205C1A"/>
    <w:rsid w:val="00207277"/>
    <w:rsid w:val="00210CD5"/>
    <w:rsid w:val="00212261"/>
    <w:rsid w:val="0021484D"/>
    <w:rsid w:val="00220DF6"/>
    <w:rsid w:val="00222369"/>
    <w:rsid w:val="0022730F"/>
    <w:rsid w:val="00234E56"/>
    <w:rsid w:val="00242A22"/>
    <w:rsid w:val="00243F49"/>
    <w:rsid w:val="002445C5"/>
    <w:rsid w:val="00246E39"/>
    <w:rsid w:val="0024713F"/>
    <w:rsid w:val="002560C4"/>
    <w:rsid w:val="0026060A"/>
    <w:rsid w:val="002664A2"/>
    <w:rsid w:val="00267780"/>
    <w:rsid w:val="0027358E"/>
    <w:rsid w:val="0027389D"/>
    <w:rsid w:val="0027634E"/>
    <w:rsid w:val="00280390"/>
    <w:rsid w:val="00281819"/>
    <w:rsid w:val="00284617"/>
    <w:rsid w:val="00285F79"/>
    <w:rsid w:val="002862CA"/>
    <w:rsid w:val="00294621"/>
    <w:rsid w:val="002A5E14"/>
    <w:rsid w:val="002A649D"/>
    <w:rsid w:val="002A685F"/>
    <w:rsid w:val="002A71B1"/>
    <w:rsid w:val="002B07F0"/>
    <w:rsid w:val="002B084C"/>
    <w:rsid w:val="002B3C01"/>
    <w:rsid w:val="002B6614"/>
    <w:rsid w:val="002B691D"/>
    <w:rsid w:val="002B6C8C"/>
    <w:rsid w:val="002B7241"/>
    <w:rsid w:val="002C0BD4"/>
    <w:rsid w:val="002C244F"/>
    <w:rsid w:val="002C2DC7"/>
    <w:rsid w:val="002C4A9D"/>
    <w:rsid w:val="002C7112"/>
    <w:rsid w:val="002D478C"/>
    <w:rsid w:val="002D4ACC"/>
    <w:rsid w:val="002D7CE0"/>
    <w:rsid w:val="002E0A12"/>
    <w:rsid w:val="002E0E9B"/>
    <w:rsid w:val="002E258E"/>
    <w:rsid w:val="002E3F72"/>
    <w:rsid w:val="002E5EB7"/>
    <w:rsid w:val="002E6CC9"/>
    <w:rsid w:val="002F248F"/>
    <w:rsid w:val="002F2D43"/>
    <w:rsid w:val="002F4448"/>
    <w:rsid w:val="002F65FC"/>
    <w:rsid w:val="002F6E4B"/>
    <w:rsid w:val="002F769A"/>
    <w:rsid w:val="002F7CE2"/>
    <w:rsid w:val="00300782"/>
    <w:rsid w:val="003013B2"/>
    <w:rsid w:val="00301CA9"/>
    <w:rsid w:val="003033FE"/>
    <w:rsid w:val="00304909"/>
    <w:rsid w:val="00306C25"/>
    <w:rsid w:val="00306D5B"/>
    <w:rsid w:val="00310F36"/>
    <w:rsid w:val="003131AE"/>
    <w:rsid w:val="00317AED"/>
    <w:rsid w:val="00320034"/>
    <w:rsid w:val="00320AB9"/>
    <w:rsid w:val="00321F0D"/>
    <w:rsid w:val="003221C5"/>
    <w:rsid w:val="00334FD2"/>
    <w:rsid w:val="0033581E"/>
    <w:rsid w:val="00335C47"/>
    <w:rsid w:val="00340D25"/>
    <w:rsid w:val="00340E51"/>
    <w:rsid w:val="00341886"/>
    <w:rsid w:val="00345E5E"/>
    <w:rsid w:val="00350337"/>
    <w:rsid w:val="00354C7D"/>
    <w:rsid w:val="0035711F"/>
    <w:rsid w:val="00361358"/>
    <w:rsid w:val="00361459"/>
    <w:rsid w:val="003626B1"/>
    <w:rsid w:val="00362DA1"/>
    <w:rsid w:val="00365F09"/>
    <w:rsid w:val="00365F64"/>
    <w:rsid w:val="00366F7A"/>
    <w:rsid w:val="003702E6"/>
    <w:rsid w:val="00373164"/>
    <w:rsid w:val="00375E92"/>
    <w:rsid w:val="00376D42"/>
    <w:rsid w:val="00380A60"/>
    <w:rsid w:val="00386780"/>
    <w:rsid w:val="003940BA"/>
    <w:rsid w:val="00394A39"/>
    <w:rsid w:val="003956A0"/>
    <w:rsid w:val="003A1457"/>
    <w:rsid w:val="003A447E"/>
    <w:rsid w:val="003A4B45"/>
    <w:rsid w:val="003A4DA2"/>
    <w:rsid w:val="003A75C6"/>
    <w:rsid w:val="003B50FD"/>
    <w:rsid w:val="003B5166"/>
    <w:rsid w:val="003B59E0"/>
    <w:rsid w:val="003B65A3"/>
    <w:rsid w:val="003B6E5F"/>
    <w:rsid w:val="003B74A2"/>
    <w:rsid w:val="003B76F3"/>
    <w:rsid w:val="003C0469"/>
    <w:rsid w:val="003C0A15"/>
    <w:rsid w:val="003D35CA"/>
    <w:rsid w:val="003D7BBA"/>
    <w:rsid w:val="003D7FD4"/>
    <w:rsid w:val="003E153F"/>
    <w:rsid w:val="003E395E"/>
    <w:rsid w:val="003E54D0"/>
    <w:rsid w:val="003E5816"/>
    <w:rsid w:val="003F0D16"/>
    <w:rsid w:val="003F3ADF"/>
    <w:rsid w:val="0040085B"/>
    <w:rsid w:val="00400A52"/>
    <w:rsid w:val="00400A8A"/>
    <w:rsid w:val="00411FE3"/>
    <w:rsid w:val="00412853"/>
    <w:rsid w:val="004131E6"/>
    <w:rsid w:val="004145ED"/>
    <w:rsid w:val="00423688"/>
    <w:rsid w:val="004239E7"/>
    <w:rsid w:val="00425B38"/>
    <w:rsid w:val="00425BE0"/>
    <w:rsid w:val="00426B7F"/>
    <w:rsid w:val="00427894"/>
    <w:rsid w:val="00430523"/>
    <w:rsid w:val="004406CA"/>
    <w:rsid w:val="00440C86"/>
    <w:rsid w:val="004412DB"/>
    <w:rsid w:val="004421D6"/>
    <w:rsid w:val="00442F3C"/>
    <w:rsid w:val="00443000"/>
    <w:rsid w:val="0044491E"/>
    <w:rsid w:val="00445BC4"/>
    <w:rsid w:val="004515B5"/>
    <w:rsid w:val="0045166A"/>
    <w:rsid w:val="004539CE"/>
    <w:rsid w:val="00454FE9"/>
    <w:rsid w:val="004561B5"/>
    <w:rsid w:val="004561DA"/>
    <w:rsid w:val="004573EB"/>
    <w:rsid w:val="00457794"/>
    <w:rsid w:val="00457C2D"/>
    <w:rsid w:val="0046356E"/>
    <w:rsid w:val="00464240"/>
    <w:rsid w:val="00467B04"/>
    <w:rsid w:val="00474D77"/>
    <w:rsid w:val="004770E5"/>
    <w:rsid w:val="0047744B"/>
    <w:rsid w:val="00477CDD"/>
    <w:rsid w:val="00482002"/>
    <w:rsid w:val="004857C4"/>
    <w:rsid w:val="0048667A"/>
    <w:rsid w:val="00491563"/>
    <w:rsid w:val="004930D7"/>
    <w:rsid w:val="00495A2D"/>
    <w:rsid w:val="00495C81"/>
    <w:rsid w:val="004A03E3"/>
    <w:rsid w:val="004A3D54"/>
    <w:rsid w:val="004A5115"/>
    <w:rsid w:val="004A5F3C"/>
    <w:rsid w:val="004B0845"/>
    <w:rsid w:val="004B4214"/>
    <w:rsid w:val="004B538C"/>
    <w:rsid w:val="004B6349"/>
    <w:rsid w:val="004C0190"/>
    <w:rsid w:val="004C62F4"/>
    <w:rsid w:val="004C7291"/>
    <w:rsid w:val="004D3E48"/>
    <w:rsid w:val="004D4551"/>
    <w:rsid w:val="004D7548"/>
    <w:rsid w:val="004D7AF3"/>
    <w:rsid w:val="004E6224"/>
    <w:rsid w:val="004E748F"/>
    <w:rsid w:val="004E79F4"/>
    <w:rsid w:val="004F39C4"/>
    <w:rsid w:val="004F64BE"/>
    <w:rsid w:val="0050524A"/>
    <w:rsid w:val="0050626F"/>
    <w:rsid w:val="005064F8"/>
    <w:rsid w:val="00506ADB"/>
    <w:rsid w:val="00507957"/>
    <w:rsid w:val="0051077C"/>
    <w:rsid w:val="005127F6"/>
    <w:rsid w:val="005142F7"/>
    <w:rsid w:val="00514AD2"/>
    <w:rsid w:val="00515401"/>
    <w:rsid w:val="00516EB2"/>
    <w:rsid w:val="0051721D"/>
    <w:rsid w:val="00527C11"/>
    <w:rsid w:val="00532A79"/>
    <w:rsid w:val="0053474B"/>
    <w:rsid w:val="00535FC0"/>
    <w:rsid w:val="005404D9"/>
    <w:rsid w:val="005405E4"/>
    <w:rsid w:val="00547F24"/>
    <w:rsid w:val="0055482B"/>
    <w:rsid w:val="005559BD"/>
    <w:rsid w:val="00556338"/>
    <w:rsid w:val="005567BD"/>
    <w:rsid w:val="00560CDF"/>
    <w:rsid w:val="005626DF"/>
    <w:rsid w:val="005648FD"/>
    <w:rsid w:val="005676A3"/>
    <w:rsid w:val="00581874"/>
    <w:rsid w:val="0058253E"/>
    <w:rsid w:val="00582AC5"/>
    <w:rsid w:val="00582E35"/>
    <w:rsid w:val="00585E84"/>
    <w:rsid w:val="00587093"/>
    <w:rsid w:val="0059016D"/>
    <w:rsid w:val="00592410"/>
    <w:rsid w:val="0059459A"/>
    <w:rsid w:val="00595F69"/>
    <w:rsid w:val="00596E38"/>
    <w:rsid w:val="00597E7B"/>
    <w:rsid w:val="005A50EB"/>
    <w:rsid w:val="005A71E1"/>
    <w:rsid w:val="005A7E28"/>
    <w:rsid w:val="005B177C"/>
    <w:rsid w:val="005B198B"/>
    <w:rsid w:val="005B26E9"/>
    <w:rsid w:val="005B2F90"/>
    <w:rsid w:val="005B443D"/>
    <w:rsid w:val="005B7592"/>
    <w:rsid w:val="005C0574"/>
    <w:rsid w:val="005C168C"/>
    <w:rsid w:val="005C3E47"/>
    <w:rsid w:val="005C446F"/>
    <w:rsid w:val="005C6361"/>
    <w:rsid w:val="005D2A11"/>
    <w:rsid w:val="005D4B7D"/>
    <w:rsid w:val="005E0599"/>
    <w:rsid w:val="005E3670"/>
    <w:rsid w:val="005E7783"/>
    <w:rsid w:val="005F4857"/>
    <w:rsid w:val="005F7653"/>
    <w:rsid w:val="005F7B3F"/>
    <w:rsid w:val="00600B5C"/>
    <w:rsid w:val="006017F1"/>
    <w:rsid w:val="00603170"/>
    <w:rsid w:val="00604376"/>
    <w:rsid w:val="00604E9E"/>
    <w:rsid w:val="00607F9F"/>
    <w:rsid w:val="00610F8C"/>
    <w:rsid w:val="00614627"/>
    <w:rsid w:val="006146FA"/>
    <w:rsid w:val="00615A4F"/>
    <w:rsid w:val="0062130E"/>
    <w:rsid w:val="00624915"/>
    <w:rsid w:val="0062721D"/>
    <w:rsid w:val="0062741F"/>
    <w:rsid w:val="00627E6F"/>
    <w:rsid w:val="00633906"/>
    <w:rsid w:val="006341E1"/>
    <w:rsid w:val="00635DEF"/>
    <w:rsid w:val="0063668D"/>
    <w:rsid w:val="00640907"/>
    <w:rsid w:val="00646E7B"/>
    <w:rsid w:val="006474A3"/>
    <w:rsid w:val="006476F7"/>
    <w:rsid w:val="006532D3"/>
    <w:rsid w:val="0065376F"/>
    <w:rsid w:val="00656E5E"/>
    <w:rsid w:val="0065764F"/>
    <w:rsid w:val="00657F56"/>
    <w:rsid w:val="0066196D"/>
    <w:rsid w:val="006700D2"/>
    <w:rsid w:val="006725ED"/>
    <w:rsid w:val="006740B6"/>
    <w:rsid w:val="00674AD3"/>
    <w:rsid w:val="00680797"/>
    <w:rsid w:val="006827B5"/>
    <w:rsid w:val="00682DAA"/>
    <w:rsid w:val="00682DC0"/>
    <w:rsid w:val="006838DB"/>
    <w:rsid w:val="00683EBF"/>
    <w:rsid w:val="00687E39"/>
    <w:rsid w:val="006A23C3"/>
    <w:rsid w:val="006A43CF"/>
    <w:rsid w:val="006A6478"/>
    <w:rsid w:val="006A6D8A"/>
    <w:rsid w:val="006B06E4"/>
    <w:rsid w:val="006B090B"/>
    <w:rsid w:val="006B27F3"/>
    <w:rsid w:val="006B2EE4"/>
    <w:rsid w:val="006B3BA1"/>
    <w:rsid w:val="006B5339"/>
    <w:rsid w:val="006C0EA0"/>
    <w:rsid w:val="006C3746"/>
    <w:rsid w:val="006D02D7"/>
    <w:rsid w:val="006E72D9"/>
    <w:rsid w:val="006E73C0"/>
    <w:rsid w:val="006F2E72"/>
    <w:rsid w:val="006F4B9D"/>
    <w:rsid w:val="006F53F8"/>
    <w:rsid w:val="006F60D0"/>
    <w:rsid w:val="007008C2"/>
    <w:rsid w:val="00700F62"/>
    <w:rsid w:val="00701504"/>
    <w:rsid w:val="0070562E"/>
    <w:rsid w:val="00710639"/>
    <w:rsid w:val="00711C6E"/>
    <w:rsid w:val="00713583"/>
    <w:rsid w:val="007153BE"/>
    <w:rsid w:val="00720DE3"/>
    <w:rsid w:val="00725C17"/>
    <w:rsid w:val="00726B3B"/>
    <w:rsid w:val="00732A81"/>
    <w:rsid w:val="00732CE1"/>
    <w:rsid w:val="00745B8F"/>
    <w:rsid w:val="00745BF7"/>
    <w:rsid w:val="00745D6A"/>
    <w:rsid w:val="0074620B"/>
    <w:rsid w:val="007474A3"/>
    <w:rsid w:val="00747D59"/>
    <w:rsid w:val="00751596"/>
    <w:rsid w:val="0075467C"/>
    <w:rsid w:val="00756463"/>
    <w:rsid w:val="00757D4D"/>
    <w:rsid w:val="007600AD"/>
    <w:rsid w:val="00760DED"/>
    <w:rsid w:val="0076183C"/>
    <w:rsid w:val="007623D4"/>
    <w:rsid w:val="0076268C"/>
    <w:rsid w:val="00764B4D"/>
    <w:rsid w:val="00765594"/>
    <w:rsid w:val="00770288"/>
    <w:rsid w:val="00770ACE"/>
    <w:rsid w:val="00774A8F"/>
    <w:rsid w:val="00774AEE"/>
    <w:rsid w:val="00775622"/>
    <w:rsid w:val="00781805"/>
    <w:rsid w:val="00784066"/>
    <w:rsid w:val="007951AB"/>
    <w:rsid w:val="00795F79"/>
    <w:rsid w:val="00797950"/>
    <w:rsid w:val="007A0475"/>
    <w:rsid w:val="007A18D3"/>
    <w:rsid w:val="007A2420"/>
    <w:rsid w:val="007B0059"/>
    <w:rsid w:val="007B0E62"/>
    <w:rsid w:val="007B32A1"/>
    <w:rsid w:val="007B44B1"/>
    <w:rsid w:val="007B50EF"/>
    <w:rsid w:val="007B56DE"/>
    <w:rsid w:val="007B6BEA"/>
    <w:rsid w:val="007C1314"/>
    <w:rsid w:val="007C4BA8"/>
    <w:rsid w:val="007C6A53"/>
    <w:rsid w:val="007C72AC"/>
    <w:rsid w:val="007D140E"/>
    <w:rsid w:val="007D394C"/>
    <w:rsid w:val="007D4AC9"/>
    <w:rsid w:val="007D6387"/>
    <w:rsid w:val="007E02F2"/>
    <w:rsid w:val="007E4889"/>
    <w:rsid w:val="007E66B3"/>
    <w:rsid w:val="007F7769"/>
    <w:rsid w:val="008005E9"/>
    <w:rsid w:val="00801D39"/>
    <w:rsid w:val="00803CB0"/>
    <w:rsid w:val="00805A74"/>
    <w:rsid w:val="00807719"/>
    <w:rsid w:val="00811102"/>
    <w:rsid w:val="00811E27"/>
    <w:rsid w:val="008123F6"/>
    <w:rsid w:val="00813F33"/>
    <w:rsid w:val="00815C6C"/>
    <w:rsid w:val="00824C1C"/>
    <w:rsid w:val="00826246"/>
    <w:rsid w:val="00827E59"/>
    <w:rsid w:val="0083296C"/>
    <w:rsid w:val="00833906"/>
    <w:rsid w:val="00840977"/>
    <w:rsid w:val="008442F7"/>
    <w:rsid w:val="008464E2"/>
    <w:rsid w:val="008466AC"/>
    <w:rsid w:val="00846B14"/>
    <w:rsid w:val="00850482"/>
    <w:rsid w:val="008509E9"/>
    <w:rsid w:val="0086463E"/>
    <w:rsid w:val="008658AB"/>
    <w:rsid w:val="008717F2"/>
    <w:rsid w:val="008751EA"/>
    <w:rsid w:val="008776ED"/>
    <w:rsid w:val="00881B2B"/>
    <w:rsid w:val="008922EB"/>
    <w:rsid w:val="00895AC0"/>
    <w:rsid w:val="00895B4B"/>
    <w:rsid w:val="0089747A"/>
    <w:rsid w:val="008A1C0E"/>
    <w:rsid w:val="008A4490"/>
    <w:rsid w:val="008A751C"/>
    <w:rsid w:val="008B03C6"/>
    <w:rsid w:val="008B294A"/>
    <w:rsid w:val="008B7442"/>
    <w:rsid w:val="008B757D"/>
    <w:rsid w:val="008C01F9"/>
    <w:rsid w:val="008D05CF"/>
    <w:rsid w:val="008D1857"/>
    <w:rsid w:val="008D2444"/>
    <w:rsid w:val="008E0C89"/>
    <w:rsid w:val="008E49A2"/>
    <w:rsid w:val="008E4B1D"/>
    <w:rsid w:val="008F159D"/>
    <w:rsid w:val="008F71A9"/>
    <w:rsid w:val="008F78D3"/>
    <w:rsid w:val="00901DDF"/>
    <w:rsid w:val="00901E5E"/>
    <w:rsid w:val="00910B96"/>
    <w:rsid w:val="00911AA1"/>
    <w:rsid w:val="00913747"/>
    <w:rsid w:val="00915463"/>
    <w:rsid w:val="00916F65"/>
    <w:rsid w:val="009175B9"/>
    <w:rsid w:val="00925A92"/>
    <w:rsid w:val="00926F8E"/>
    <w:rsid w:val="009411C7"/>
    <w:rsid w:val="00941434"/>
    <w:rsid w:val="0094201D"/>
    <w:rsid w:val="009445CA"/>
    <w:rsid w:val="009473B7"/>
    <w:rsid w:val="00950C26"/>
    <w:rsid w:val="00953F38"/>
    <w:rsid w:val="00957614"/>
    <w:rsid w:val="00963363"/>
    <w:rsid w:val="009648E3"/>
    <w:rsid w:val="00971ACD"/>
    <w:rsid w:val="00972148"/>
    <w:rsid w:val="0097442E"/>
    <w:rsid w:val="00982045"/>
    <w:rsid w:val="00983454"/>
    <w:rsid w:val="009835BC"/>
    <w:rsid w:val="00984A8C"/>
    <w:rsid w:val="00985555"/>
    <w:rsid w:val="00987297"/>
    <w:rsid w:val="009A0114"/>
    <w:rsid w:val="009A5E0F"/>
    <w:rsid w:val="009B25B3"/>
    <w:rsid w:val="009B33F8"/>
    <w:rsid w:val="009B5D35"/>
    <w:rsid w:val="009B611D"/>
    <w:rsid w:val="009B71EE"/>
    <w:rsid w:val="009B7E1A"/>
    <w:rsid w:val="009C19E6"/>
    <w:rsid w:val="009C4C59"/>
    <w:rsid w:val="009C59E7"/>
    <w:rsid w:val="009C7C85"/>
    <w:rsid w:val="009D198E"/>
    <w:rsid w:val="009D3086"/>
    <w:rsid w:val="009E1BD6"/>
    <w:rsid w:val="009E29BB"/>
    <w:rsid w:val="009E4AE3"/>
    <w:rsid w:val="009E58BF"/>
    <w:rsid w:val="009E7946"/>
    <w:rsid w:val="009E7AC9"/>
    <w:rsid w:val="009F24B1"/>
    <w:rsid w:val="009F2D5D"/>
    <w:rsid w:val="009F3301"/>
    <w:rsid w:val="009F5AD7"/>
    <w:rsid w:val="009F5D17"/>
    <w:rsid w:val="009F5E7E"/>
    <w:rsid w:val="009F776C"/>
    <w:rsid w:val="00A00BE6"/>
    <w:rsid w:val="00A00DD1"/>
    <w:rsid w:val="00A01D20"/>
    <w:rsid w:val="00A04400"/>
    <w:rsid w:val="00A10DE3"/>
    <w:rsid w:val="00A13012"/>
    <w:rsid w:val="00A16EC3"/>
    <w:rsid w:val="00A17DDF"/>
    <w:rsid w:val="00A25E58"/>
    <w:rsid w:val="00A27D43"/>
    <w:rsid w:val="00A315CB"/>
    <w:rsid w:val="00A318C6"/>
    <w:rsid w:val="00A37BA9"/>
    <w:rsid w:val="00A459C9"/>
    <w:rsid w:val="00A51210"/>
    <w:rsid w:val="00A53D33"/>
    <w:rsid w:val="00A53D7B"/>
    <w:rsid w:val="00A543A6"/>
    <w:rsid w:val="00A5456E"/>
    <w:rsid w:val="00A63C1E"/>
    <w:rsid w:val="00A71D57"/>
    <w:rsid w:val="00A756E3"/>
    <w:rsid w:val="00A762E8"/>
    <w:rsid w:val="00A76414"/>
    <w:rsid w:val="00A83AD2"/>
    <w:rsid w:val="00A86876"/>
    <w:rsid w:val="00A90A8C"/>
    <w:rsid w:val="00A911C5"/>
    <w:rsid w:val="00A917EE"/>
    <w:rsid w:val="00A9279F"/>
    <w:rsid w:val="00A93246"/>
    <w:rsid w:val="00A93F85"/>
    <w:rsid w:val="00A9506E"/>
    <w:rsid w:val="00A9626D"/>
    <w:rsid w:val="00A97445"/>
    <w:rsid w:val="00AA0313"/>
    <w:rsid w:val="00AA50AB"/>
    <w:rsid w:val="00AA53C0"/>
    <w:rsid w:val="00AB0DDF"/>
    <w:rsid w:val="00AB15B3"/>
    <w:rsid w:val="00AC3919"/>
    <w:rsid w:val="00AD5A56"/>
    <w:rsid w:val="00AE5A19"/>
    <w:rsid w:val="00AE5AB3"/>
    <w:rsid w:val="00AF1E29"/>
    <w:rsid w:val="00AF2CCE"/>
    <w:rsid w:val="00AF73D8"/>
    <w:rsid w:val="00B003D6"/>
    <w:rsid w:val="00B00CA7"/>
    <w:rsid w:val="00B01599"/>
    <w:rsid w:val="00B04F49"/>
    <w:rsid w:val="00B05E47"/>
    <w:rsid w:val="00B0718B"/>
    <w:rsid w:val="00B10128"/>
    <w:rsid w:val="00B10A9E"/>
    <w:rsid w:val="00B11139"/>
    <w:rsid w:val="00B123F3"/>
    <w:rsid w:val="00B12E6A"/>
    <w:rsid w:val="00B12F7A"/>
    <w:rsid w:val="00B138F4"/>
    <w:rsid w:val="00B13E86"/>
    <w:rsid w:val="00B143FD"/>
    <w:rsid w:val="00B1534A"/>
    <w:rsid w:val="00B169F4"/>
    <w:rsid w:val="00B17652"/>
    <w:rsid w:val="00B22A0E"/>
    <w:rsid w:val="00B24C4E"/>
    <w:rsid w:val="00B256AA"/>
    <w:rsid w:val="00B25ADC"/>
    <w:rsid w:val="00B26101"/>
    <w:rsid w:val="00B30BE4"/>
    <w:rsid w:val="00B315D2"/>
    <w:rsid w:val="00B31976"/>
    <w:rsid w:val="00B371E9"/>
    <w:rsid w:val="00B4283D"/>
    <w:rsid w:val="00B42B82"/>
    <w:rsid w:val="00B4657E"/>
    <w:rsid w:val="00B53917"/>
    <w:rsid w:val="00B55B08"/>
    <w:rsid w:val="00B62BFB"/>
    <w:rsid w:val="00B64AA0"/>
    <w:rsid w:val="00B70F07"/>
    <w:rsid w:val="00B7128B"/>
    <w:rsid w:val="00B723F7"/>
    <w:rsid w:val="00B760E7"/>
    <w:rsid w:val="00B81E0F"/>
    <w:rsid w:val="00B84E20"/>
    <w:rsid w:val="00B85360"/>
    <w:rsid w:val="00B95038"/>
    <w:rsid w:val="00B960C3"/>
    <w:rsid w:val="00BA1DC4"/>
    <w:rsid w:val="00BA68BF"/>
    <w:rsid w:val="00BB0203"/>
    <w:rsid w:val="00BB0CB6"/>
    <w:rsid w:val="00BB3C11"/>
    <w:rsid w:val="00BB4E59"/>
    <w:rsid w:val="00BB5A88"/>
    <w:rsid w:val="00BB70B8"/>
    <w:rsid w:val="00BB7769"/>
    <w:rsid w:val="00BC23F2"/>
    <w:rsid w:val="00BC2FA2"/>
    <w:rsid w:val="00BC42B3"/>
    <w:rsid w:val="00BC6A77"/>
    <w:rsid w:val="00BD0187"/>
    <w:rsid w:val="00BD07B0"/>
    <w:rsid w:val="00BD1601"/>
    <w:rsid w:val="00BD2A5F"/>
    <w:rsid w:val="00BD386E"/>
    <w:rsid w:val="00BD6E37"/>
    <w:rsid w:val="00BD705E"/>
    <w:rsid w:val="00BD74A0"/>
    <w:rsid w:val="00BD7751"/>
    <w:rsid w:val="00BE6DA1"/>
    <w:rsid w:val="00BE77FF"/>
    <w:rsid w:val="00BF2089"/>
    <w:rsid w:val="00BF2F82"/>
    <w:rsid w:val="00BF42B7"/>
    <w:rsid w:val="00C00060"/>
    <w:rsid w:val="00C005E7"/>
    <w:rsid w:val="00C00CDA"/>
    <w:rsid w:val="00C00D0A"/>
    <w:rsid w:val="00C00DC3"/>
    <w:rsid w:val="00C055C1"/>
    <w:rsid w:val="00C070FC"/>
    <w:rsid w:val="00C101A5"/>
    <w:rsid w:val="00C1045F"/>
    <w:rsid w:val="00C1159C"/>
    <w:rsid w:val="00C12174"/>
    <w:rsid w:val="00C127EF"/>
    <w:rsid w:val="00C1294D"/>
    <w:rsid w:val="00C13357"/>
    <w:rsid w:val="00C25BD8"/>
    <w:rsid w:val="00C35351"/>
    <w:rsid w:val="00C35808"/>
    <w:rsid w:val="00C36A27"/>
    <w:rsid w:val="00C36F2B"/>
    <w:rsid w:val="00C37677"/>
    <w:rsid w:val="00C37BAC"/>
    <w:rsid w:val="00C41842"/>
    <w:rsid w:val="00C4279E"/>
    <w:rsid w:val="00C427DA"/>
    <w:rsid w:val="00C43839"/>
    <w:rsid w:val="00C44874"/>
    <w:rsid w:val="00C449C7"/>
    <w:rsid w:val="00C45812"/>
    <w:rsid w:val="00C47449"/>
    <w:rsid w:val="00C50A2A"/>
    <w:rsid w:val="00C535B4"/>
    <w:rsid w:val="00C55B0C"/>
    <w:rsid w:val="00C6077C"/>
    <w:rsid w:val="00C61686"/>
    <w:rsid w:val="00C6192F"/>
    <w:rsid w:val="00C6500C"/>
    <w:rsid w:val="00C6534C"/>
    <w:rsid w:val="00C655CB"/>
    <w:rsid w:val="00C664B2"/>
    <w:rsid w:val="00C67E91"/>
    <w:rsid w:val="00C70016"/>
    <w:rsid w:val="00C71440"/>
    <w:rsid w:val="00C72D7F"/>
    <w:rsid w:val="00C73824"/>
    <w:rsid w:val="00C76890"/>
    <w:rsid w:val="00C77074"/>
    <w:rsid w:val="00C817B4"/>
    <w:rsid w:val="00C83009"/>
    <w:rsid w:val="00C83BCD"/>
    <w:rsid w:val="00C85A3D"/>
    <w:rsid w:val="00C865CD"/>
    <w:rsid w:val="00C952CF"/>
    <w:rsid w:val="00C95682"/>
    <w:rsid w:val="00C97276"/>
    <w:rsid w:val="00CA01CE"/>
    <w:rsid w:val="00CA2A9A"/>
    <w:rsid w:val="00CA3B62"/>
    <w:rsid w:val="00CA47D8"/>
    <w:rsid w:val="00CA641C"/>
    <w:rsid w:val="00CA6E3D"/>
    <w:rsid w:val="00CA6F10"/>
    <w:rsid w:val="00CA742A"/>
    <w:rsid w:val="00CA7778"/>
    <w:rsid w:val="00CB44F5"/>
    <w:rsid w:val="00CB6EB9"/>
    <w:rsid w:val="00CC043A"/>
    <w:rsid w:val="00CC2250"/>
    <w:rsid w:val="00CC2CFC"/>
    <w:rsid w:val="00CC4132"/>
    <w:rsid w:val="00CC4DCC"/>
    <w:rsid w:val="00CC56B1"/>
    <w:rsid w:val="00CC5C3C"/>
    <w:rsid w:val="00CD390E"/>
    <w:rsid w:val="00CD41ED"/>
    <w:rsid w:val="00CD7052"/>
    <w:rsid w:val="00CD798A"/>
    <w:rsid w:val="00CE1B51"/>
    <w:rsid w:val="00CE2E90"/>
    <w:rsid w:val="00CF238A"/>
    <w:rsid w:val="00CF4AA8"/>
    <w:rsid w:val="00CF704F"/>
    <w:rsid w:val="00D00ADF"/>
    <w:rsid w:val="00D01B7F"/>
    <w:rsid w:val="00D04309"/>
    <w:rsid w:val="00D04AF8"/>
    <w:rsid w:val="00D0644B"/>
    <w:rsid w:val="00D11C13"/>
    <w:rsid w:val="00D12A7D"/>
    <w:rsid w:val="00D143F3"/>
    <w:rsid w:val="00D22402"/>
    <w:rsid w:val="00D2323D"/>
    <w:rsid w:val="00D26DC7"/>
    <w:rsid w:val="00D26E74"/>
    <w:rsid w:val="00D31521"/>
    <w:rsid w:val="00D3243D"/>
    <w:rsid w:val="00D40F22"/>
    <w:rsid w:val="00D418F2"/>
    <w:rsid w:val="00D41996"/>
    <w:rsid w:val="00D42189"/>
    <w:rsid w:val="00D43E2D"/>
    <w:rsid w:val="00D46CEF"/>
    <w:rsid w:val="00D523AC"/>
    <w:rsid w:val="00D538CE"/>
    <w:rsid w:val="00D55565"/>
    <w:rsid w:val="00D56157"/>
    <w:rsid w:val="00D60F12"/>
    <w:rsid w:val="00D61D26"/>
    <w:rsid w:val="00D62A58"/>
    <w:rsid w:val="00D66E93"/>
    <w:rsid w:val="00D73312"/>
    <w:rsid w:val="00D77253"/>
    <w:rsid w:val="00D77ACE"/>
    <w:rsid w:val="00D77AD0"/>
    <w:rsid w:val="00D80A38"/>
    <w:rsid w:val="00D83AB4"/>
    <w:rsid w:val="00D84556"/>
    <w:rsid w:val="00D85A79"/>
    <w:rsid w:val="00D865FD"/>
    <w:rsid w:val="00D87729"/>
    <w:rsid w:val="00D878BD"/>
    <w:rsid w:val="00D9585F"/>
    <w:rsid w:val="00D95F95"/>
    <w:rsid w:val="00DA1DBC"/>
    <w:rsid w:val="00DA26CC"/>
    <w:rsid w:val="00DA4B19"/>
    <w:rsid w:val="00DA61B5"/>
    <w:rsid w:val="00DB242C"/>
    <w:rsid w:val="00DB42E3"/>
    <w:rsid w:val="00DC0392"/>
    <w:rsid w:val="00DC2DBE"/>
    <w:rsid w:val="00DC4AD5"/>
    <w:rsid w:val="00DD1895"/>
    <w:rsid w:val="00DD2362"/>
    <w:rsid w:val="00DD45FA"/>
    <w:rsid w:val="00DD7E74"/>
    <w:rsid w:val="00DE08EE"/>
    <w:rsid w:val="00DE20AA"/>
    <w:rsid w:val="00DE4B28"/>
    <w:rsid w:val="00DE6527"/>
    <w:rsid w:val="00DE6C75"/>
    <w:rsid w:val="00DE72E6"/>
    <w:rsid w:val="00DE76E4"/>
    <w:rsid w:val="00DF2112"/>
    <w:rsid w:val="00DF679C"/>
    <w:rsid w:val="00DF6E51"/>
    <w:rsid w:val="00E0022E"/>
    <w:rsid w:val="00E0149E"/>
    <w:rsid w:val="00E04952"/>
    <w:rsid w:val="00E131DD"/>
    <w:rsid w:val="00E15CCC"/>
    <w:rsid w:val="00E16E16"/>
    <w:rsid w:val="00E207CC"/>
    <w:rsid w:val="00E20C7A"/>
    <w:rsid w:val="00E22C95"/>
    <w:rsid w:val="00E23609"/>
    <w:rsid w:val="00E26B07"/>
    <w:rsid w:val="00E3014E"/>
    <w:rsid w:val="00E35FFC"/>
    <w:rsid w:val="00E5045C"/>
    <w:rsid w:val="00E52166"/>
    <w:rsid w:val="00E5564E"/>
    <w:rsid w:val="00E62972"/>
    <w:rsid w:val="00E63A43"/>
    <w:rsid w:val="00E63DD1"/>
    <w:rsid w:val="00E658FD"/>
    <w:rsid w:val="00E666A5"/>
    <w:rsid w:val="00E66D25"/>
    <w:rsid w:val="00E6793C"/>
    <w:rsid w:val="00E72692"/>
    <w:rsid w:val="00E825DC"/>
    <w:rsid w:val="00E8395A"/>
    <w:rsid w:val="00E83EE6"/>
    <w:rsid w:val="00E845F9"/>
    <w:rsid w:val="00E86594"/>
    <w:rsid w:val="00E91CA7"/>
    <w:rsid w:val="00E9478A"/>
    <w:rsid w:val="00E96362"/>
    <w:rsid w:val="00E96E81"/>
    <w:rsid w:val="00EA39E8"/>
    <w:rsid w:val="00EA7A46"/>
    <w:rsid w:val="00EB158E"/>
    <w:rsid w:val="00EB1991"/>
    <w:rsid w:val="00EB1C1A"/>
    <w:rsid w:val="00EB2D7C"/>
    <w:rsid w:val="00EB6E2B"/>
    <w:rsid w:val="00EC402B"/>
    <w:rsid w:val="00EC4396"/>
    <w:rsid w:val="00EC471D"/>
    <w:rsid w:val="00ED1B0C"/>
    <w:rsid w:val="00ED458E"/>
    <w:rsid w:val="00ED7172"/>
    <w:rsid w:val="00EE6E18"/>
    <w:rsid w:val="00EF275B"/>
    <w:rsid w:val="00EF4FEB"/>
    <w:rsid w:val="00EF5722"/>
    <w:rsid w:val="00EF6C95"/>
    <w:rsid w:val="00EF6EB7"/>
    <w:rsid w:val="00EF7358"/>
    <w:rsid w:val="00F03106"/>
    <w:rsid w:val="00F0604E"/>
    <w:rsid w:val="00F1182B"/>
    <w:rsid w:val="00F1331D"/>
    <w:rsid w:val="00F15628"/>
    <w:rsid w:val="00F176B3"/>
    <w:rsid w:val="00F26510"/>
    <w:rsid w:val="00F332F0"/>
    <w:rsid w:val="00F44224"/>
    <w:rsid w:val="00F4427A"/>
    <w:rsid w:val="00F45142"/>
    <w:rsid w:val="00F47ACD"/>
    <w:rsid w:val="00F53A51"/>
    <w:rsid w:val="00F54894"/>
    <w:rsid w:val="00F626C8"/>
    <w:rsid w:val="00F62BC9"/>
    <w:rsid w:val="00F7086E"/>
    <w:rsid w:val="00F70A11"/>
    <w:rsid w:val="00F70AF7"/>
    <w:rsid w:val="00F757C4"/>
    <w:rsid w:val="00F77430"/>
    <w:rsid w:val="00F775AA"/>
    <w:rsid w:val="00F778C6"/>
    <w:rsid w:val="00F800C4"/>
    <w:rsid w:val="00F81E8E"/>
    <w:rsid w:val="00F82C41"/>
    <w:rsid w:val="00F8483D"/>
    <w:rsid w:val="00F862B5"/>
    <w:rsid w:val="00F906CA"/>
    <w:rsid w:val="00F943DC"/>
    <w:rsid w:val="00F9729B"/>
    <w:rsid w:val="00FA4F1E"/>
    <w:rsid w:val="00FB2D2E"/>
    <w:rsid w:val="00FB304E"/>
    <w:rsid w:val="00FB5AF9"/>
    <w:rsid w:val="00FB5E59"/>
    <w:rsid w:val="00FB75EF"/>
    <w:rsid w:val="00FC0547"/>
    <w:rsid w:val="00FC0BCB"/>
    <w:rsid w:val="00FC190E"/>
    <w:rsid w:val="00FC1FCB"/>
    <w:rsid w:val="00FC2359"/>
    <w:rsid w:val="00FC2A5B"/>
    <w:rsid w:val="00FC32DC"/>
    <w:rsid w:val="00FC48D6"/>
    <w:rsid w:val="00FC71D2"/>
    <w:rsid w:val="00FD3895"/>
    <w:rsid w:val="00FD79FB"/>
    <w:rsid w:val="00FE12A2"/>
    <w:rsid w:val="00FE25EF"/>
    <w:rsid w:val="00FF5254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CB6"/>
    <w:pPr>
      <w:jc w:val="left"/>
    </w:pPr>
    <w:rPr>
      <w:rFonts w:ascii="Times New Roman" w:eastAsia="Times New Roman" w:hAnsi="Times New Roman"/>
      <w:sz w:val="24"/>
      <w:szCs w:val="24"/>
      <w:lang w:val="es-ES"/>
    </w:rPr>
  </w:style>
  <w:style w:type="paragraph" w:styleId="Heading1">
    <w:name w:val="heading 1"/>
    <w:aliases w:val="Heading 1-Agriteam"/>
    <w:basedOn w:val="Normal"/>
    <w:next w:val="Normal"/>
    <w:link w:val="Heading1Char"/>
    <w:qFormat/>
    <w:rsid w:val="00C865CD"/>
    <w:pPr>
      <w:keepNext/>
      <w:numPr>
        <w:numId w:val="1"/>
      </w:numPr>
      <w:pBdr>
        <w:bottom w:val="single" w:sz="12" w:space="12" w:color="auto"/>
      </w:pBdr>
      <w:spacing w:after="240"/>
      <w:outlineLvl w:val="0"/>
    </w:pPr>
    <w:rPr>
      <w:b/>
      <w:caps/>
      <w:sz w:val="32"/>
    </w:rPr>
  </w:style>
  <w:style w:type="paragraph" w:styleId="Heading2">
    <w:name w:val="heading 2"/>
    <w:aliases w:val="Heading 2-Agriteam"/>
    <w:basedOn w:val="Normal"/>
    <w:next w:val="Normal"/>
    <w:link w:val="Heading2Char"/>
    <w:qFormat/>
    <w:rsid w:val="00C865CD"/>
    <w:pPr>
      <w:keepNext/>
      <w:numPr>
        <w:ilvl w:val="1"/>
        <w:numId w:val="1"/>
      </w:numPr>
      <w:spacing w:before="120" w:after="120"/>
      <w:outlineLvl w:val="1"/>
    </w:pPr>
    <w:rPr>
      <w:b/>
      <w:sz w:val="26"/>
    </w:rPr>
  </w:style>
  <w:style w:type="paragraph" w:styleId="Heading3">
    <w:name w:val="heading 3"/>
    <w:aliases w:val="Heading 3-Agriteam,Heading 3 Paris doc"/>
    <w:basedOn w:val="Normal"/>
    <w:next w:val="Normal"/>
    <w:link w:val="Heading3Char"/>
    <w:qFormat/>
    <w:rsid w:val="00C865CD"/>
    <w:pPr>
      <w:keepNext/>
      <w:numPr>
        <w:ilvl w:val="2"/>
        <w:numId w:val="1"/>
      </w:numPr>
      <w:spacing w:before="120"/>
      <w:outlineLvl w:val="2"/>
    </w:pPr>
    <w:rPr>
      <w:b/>
      <w:snapToGrid w:val="0"/>
      <w:color w:val="000000"/>
    </w:rPr>
  </w:style>
  <w:style w:type="paragraph" w:styleId="Heading4">
    <w:name w:val="heading 4"/>
    <w:basedOn w:val="Normal"/>
    <w:next w:val="Normal"/>
    <w:link w:val="Heading4Char"/>
    <w:qFormat/>
    <w:rsid w:val="00C865CD"/>
    <w:pPr>
      <w:keepNext/>
      <w:numPr>
        <w:ilvl w:val="3"/>
        <w:numId w:val="1"/>
      </w:numPr>
      <w:spacing w:before="1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qFormat/>
    <w:rsid w:val="00086A42"/>
    <w:pPr>
      <w:keepNext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86A42"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086A42"/>
    <w:p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qFormat/>
    <w:rsid w:val="00086A42"/>
    <w:p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086A42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Agriteam Char"/>
    <w:basedOn w:val="DefaultParagraphFont"/>
    <w:link w:val="Heading1"/>
    <w:rsid w:val="00C865CD"/>
    <w:rPr>
      <w:rFonts w:ascii="Times New Roman" w:eastAsia="Times New Roman" w:hAnsi="Times New Roman"/>
      <w:b/>
      <w:caps/>
      <w:sz w:val="32"/>
      <w:szCs w:val="24"/>
      <w:lang w:val="es-ES"/>
    </w:rPr>
  </w:style>
  <w:style w:type="character" w:customStyle="1" w:styleId="Heading2Char">
    <w:name w:val="Heading 2 Char"/>
    <w:aliases w:val="Heading 2-Agriteam Char"/>
    <w:basedOn w:val="DefaultParagraphFont"/>
    <w:link w:val="Heading2"/>
    <w:rsid w:val="00C865CD"/>
    <w:rPr>
      <w:rFonts w:ascii="Times New Roman" w:eastAsia="Times New Roman" w:hAnsi="Times New Roman"/>
      <w:b/>
      <w:sz w:val="26"/>
      <w:szCs w:val="24"/>
      <w:lang w:val="es-ES"/>
    </w:rPr>
  </w:style>
  <w:style w:type="character" w:customStyle="1" w:styleId="Heading3Char">
    <w:name w:val="Heading 3 Char"/>
    <w:aliases w:val="Heading 3-Agriteam Char,Heading 3 Paris doc Char"/>
    <w:basedOn w:val="DefaultParagraphFont"/>
    <w:link w:val="Heading3"/>
    <w:rsid w:val="00C865CD"/>
    <w:rPr>
      <w:rFonts w:ascii="Times New Roman" w:eastAsia="Times New Roman" w:hAnsi="Times New Roman"/>
      <w:b/>
      <w:snapToGrid w:val="0"/>
      <w:color w:val="000000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rsid w:val="00C865CD"/>
    <w:rPr>
      <w:rFonts w:ascii="Times New Roman" w:eastAsia="Times New Roman" w:hAnsi="Times New Roman"/>
      <w:b/>
      <w:i/>
      <w:sz w:val="24"/>
      <w:szCs w:val="24"/>
      <w:lang w:val="es-ES"/>
    </w:rPr>
  </w:style>
  <w:style w:type="character" w:customStyle="1" w:styleId="Heading5Char">
    <w:name w:val="Heading 5 Char"/>
    <w:basedOn w:val="DefaultParagraphFont"/>
    <w:link w:val="Heading5"/>
    <w:rsid w:val="00C85A3D"/>
    <w:rPr>
      <w:rFonts w:ascii="Times New Roman" w:eastAsia="Times New Roman" w:hAnsi="Times New Roman"/>
      <w:sz w:val="24"/>
      <w:szCs w:val="24"/>
      <w:lang w:val="es-ES"/>
    </w:rPr>
  </w:style>
  <w:style w:type="character" w:customStyle="1" w:styleId="Heading6Char">
    <w:name w:val="Heading 6 Char"/>
    <w:basedOn w:val="DefaultParagraphFont"/>
    <w:link w:val="Heading6"/>
    <w:rsid w:val="00C85A3D"/>
    <w:rPr>
      <w:rFonts w:ascii="Times New Roman" w:eastAsia="Times New Roman" w:hAnsi="Times New Roman"/>
      <w:i/>
      <w:sz w:val="24"/>
      <w:szCs w:val="24"/>
      <w:lang w:val="es-ES"/>
    </w:rPr>
  </w:style>
  <w:style w:type="character" w:customStyle="1" w:styleId="Heading7Char">
    <w:name w:val="Heading 7 Char"/>
    <w:basedOn w:val="DefaultParagraphFont"/>
    <w:link w:val="Heading7"/>
    <w:rsid w:val="00C85A3D"/>
    <w:rPr>
      <w:rFonts w:ascii="Times New Roman" w:eastAsia="Times New Roman" w:hAnsi="Times New Roman"/>
      <w:szCs w:val="24"/>
      <w:lang w:val="es-ES"/>
    </w:rPr>
  </w:style>
  <w:style w:type="character" w:customStyle="1" w:styleId="Heading8Char">
    <w:name w:val="Heading 8 Char"/>
    <w:basedOn w:val="DefaultParagraphFont"/>
    <w:link w:val="Heading8"/>
    <w:rsid w:val="00C85A3D"/>
    <w:rPr>
      <w:rFonts w:ascii="Times New Roman" w:eastAsia="Times New Roman" w:hAnsi="Times New Roman"/>
      <w:i/>
      <w:szCs w:val="24"/>
      <w:lang w:val="es-ES"/>
    </w:rPr>
  </w:style>
  <w:style w:type="character" w:customStyle="1" w:styleId="Heading9Char">
    <w:name w:val="Heading 9 Char"/>
    <w:basedOn w:val="DefaultParagraphFont"/>
    <w:link w:val="Heading9"/>
    <w:rsid w:val="00C85A3D"/>
    <w:rPr>
      <w:rFonts w:ascii="Times New Roman" w:eastAsia="Times New Roman" w:hAnsi="Times New Roman"/>
      <w:i/>
      <w:sz w:val="18"/>
      <w:szCs w:val="24"/>
      <w:lang w:val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865CD"/>
    <w:pPr>
      <w:spacing w:before="360"/>
    </w:pPr>
    <w:rPr>
      <w:rFonts w:asciiTheme="majorHAnsi" w:hAnsiTheme="majorHAnsi"/>
      <w:b/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01599"/>
    <w:pPr>
      <w:tabs>
        <w:tab w:val="left" w:pos="990"/>
        <w:tab w:val="right" w:leader="dot" w:pos="8630"/>
      </w:tabs>
      <w:spacing w:before="100" w:beforeAutospacing="1" w:after="100" w:afterAutospacing="1"/>
      <w:ind w:left="547"/>
    </w:pPr>
    <w:rPr>
      <w:rFonts w:asciiTheme="minorHAnsi" w:hAnsiTheme="minorHAnsi"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65CD"/>
    <w:pPr>
      <w:ind w:left="240"/>
    </w:pPr>
    <w:rPr>
      <w:rFonts w:asciiTheme="minorHAnsi" w:hAnsiTheme="minorHAnsi" w:cstheme="minorHAnsi"/>
      <w:sz w:val="20"/>
      <w:szCs w:val="20"/>
    </w:rPr>
  </w:style>
  <w:style w:type="character" w:styleId="Strong">
    <w:name w:val="Strong"/>
    <w:basedOn w:val="DefaultParagraphFont"/>
    <w:uiPriority w:val="22"/>
    <w:qFormat/>
    <w:rsid w:val="00C865CD"/>
    <w:rPr>
      <w:b/>
      <w:bCs/>
    </w:rPr>
  </w:style>
  <w:style w:type="paragraph" w:styleId="NoSpacing">
    <w:name w:val="No Spacing"/>
    <w:link w:val="NoSpacingChar"/>
    <w:uiPriority w:val="1"/>
    <w:qFormat/>
    <w:rsid w:val="00C865C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CA"/>
    </w:rPr>
  </w:style>
  <w:style w:type="character" w:customStyle="1" w:styleId="NoSpacingChar">
    <w:name w:val="No Spacing Char"/>
    <w:basedOn w:val="DefaultParagraphFont"/>
    <w:link w:val="NoSpacing"/>
    <w:uiPriority w:val="1"/>
    <w:rsid w:val="00C865CD"/>
    <w:rPr>
      <w:rFonts w:ascii="Times New Roman" w:eastAsia="Times New Roman" w:hAnsi="Times New Roman"/>
      <w:lang w:val="en-CA" w:eastAsia="en-US" w:bidi="ar-SA"/>
    </w:rPr>
  </w:style>
  <w:style w:type="paragraph" w:styleId="ListParagraph">
    <w:name w:val="List Paragraph"/>
    <w:basedOn w:val="Normal"/>
    <w:uiPriority w:val="99"/>
    <w:qFormat/>
    <w:rsid w:val="00C865CD"/>
    <w:pPr>
      <w:ind w:left="720"/>
    </w:pPr>
  </w:style>
  <w:style w:type="paragraph" w:styleId="TOCHeading">
    <w:name w:val="TOC Heading"/>
    <w:basedOn w:val="Heading1"/>
    <w:next w:val="Normal"/>
    <w:uiPriority w:val="39"/>
    <w:unhideWhenUsed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customStyle="1" w:styleId="ColorfulList-Accent11">
    <w:name w:val="Colorful List - Accent 11"/>
    <w:basedOn w:val="Normal"/>
    <w:uiPriority w:val="34"/>
    <w:qFormat/>
    <w:rsid w:val="00C865CD"/>
    <w:pPr>
      <w:ind w:left="720"/>
    </w:pPr>
  </w:style>
  <w:style w:type="paragraph" w:customStyle="1" w:styleId="Annex">
    <w:name w:val="Annex"/>
    <w:basedOn w:val="Normal"/>
    <w:uiPriority w:val="99"/>
    <w:rsid w:val="00BB0CB6"/>
    <w:rPr>
      <w:caps/>
    </w:rPr>
  </w:style>
  <w:style w:type="paragraph" w:customStyle="1" w:styleId="AbbrDesc">
    <w:name w:val="AbbrDesc"/>
    <w:basedOn w:val="Normal"/>
    <w:uiPriority w:val="99"/>
    <w:rsid w:val="00BB0CB6"/>
    <w:pPr>
      <w:tabs>
        <w:tab w:val="left" w:pos="3060"/>
      </w:tabs>
      <w:jc w:val="both"/>
    </w:pPr>
  </w:style>
  <w:style w:type="paragraph" w:customStyle="1" w:styleId="Chapter">
    <w:name w:val="Chapter"/>
    <w:basedOn w:val="Normal"/>
    <w:next w:val="Normal"/>
    <w:rsid w:val="00086A42"/>
    <w:pPr>
      <w:keepNext/>
      <w:tabs>
        <w:tab w:val="num" w:pos="648"/>
        <w:tab w:val="left" w:pos="1440"/>
      </w:tabs>
      <w:spacing w:before="240" w:after="240"/>
      <w:ind w:firstLine="288"/>
      <w:jc w:val="center"/>
    </w:pPr>
    <w:rPr>
      <w:b/>
      <w:bCs/>
      <w:smallCaps/>
    </w:rPr>
  </w:style>
  <w:style w:type="paragraph" w:styleId="FootnoteText">
    <w:name w:val="footnote text"/>
    <w:aliases w:val="fn,foottextfra,footnote,F,Texto nota pie Car Car,texto de nota al pie,Nota a pie/Bibliog,Texto nota pie Car Car Car Car Car Car Car Car,Texto nota pie Car Car Car,Footnote Text Char Char Char Char Char Char,Texto de rodapé"/>
    <w:basedOn w:val="Normal"/>
    <w:link w:val="FootnoteTextChar"/>
    <w:rsid w:val="00BB0CB6"/>
    <w:pPr>
      <w:keepNext/>
      <w:keepLines/>
      <w:spacing w:after="120"/>
      <w:ind w:left="288" w:hanging="288"/>
      <w:jc w:val="both"/>
    </w:pPr>
    <w:rPr>
      <w:spacing w:val="-3"/>
      <w:sz w:val="20"/>
      <w:szCs w:val="20"/>
    </w:rPr>
  </w:style>
  <w:style w:type="character" w:customStyle="1" w:styleId="FootnoteTextChar">
    <w:name w:val="Footnote Text Char"/>
    <w:aliases w:val="fn Char,foottextfra Char,footnote Char,F Char,Texto nota pie Car Car Char,texto de nota al pie Char,Nota a pie/Bibliog Char,Texto nota pie Car Car Car Car Car Car Car Car Char,Texto nota pie Car Car Car Char,Texto de rodapé Char"/>
    <w:basedOn w:val="DefaultParagraphFont"/>
    <w:link w:val="FootnoteText"/>
    <w:rsid w:val="00BB0CB6"/>
    <w:rPr>
      <w:rFonts w:ascii="Times New Roman" w:eastAsia="Times New Roman" w:hAnsi="Times New Roman"/>
      <w:spacing w:val="-3"/>
      <w:lang w:val="es-ES"/>
    </w:rPr>
  </w:style>
  <w:style w:type="paragraph" w:styleId="Header">
    <w:name w:val="header"/>
    <w:basedOn w:val="Normal"/>
    <w:link w:val="HeaderChar"/>
    <w:uiPriority w:val="99"/>
    <w:rsid w:val="00BB0C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CB6"/>
    <w:rPr>
      <w:rFonts w:ascii="Times New Roman" w:eastAsia="Times New Roman" w:hAnsi="Times New Roman"/>
      <w:sz w:val="24"/>
      <w:szCs w:val="24"/>
      <w:lang w:val="es-ES"/>
    </w:rPr>
  </w:style>
  <w:style w:type="paragraph" w:customStyle="1" w:styleId="Newpage">
    <w:name w:val="Newpage"/>
    <w:basedOn w:val="Chapter"/>
    <w:uiPriority w:val="99"/>
    <w:rsid w:val="00BB0CB6"/>
    <w:pPr>
      <w:tabs>
        <w:tab w:val="clear" w:pos="648"/>
        <w:tab w:val="clear" w:pos="1440"/>
        <w:tab w:val="left" w:pos="3060"/>
      </w:tabs>
      <w:spacing w:after="0"/>
      <w:ind w:firstLine="0"/>
    </w:pPr>
  </w:style>
  <w:style w:type="character" w:styleId="PageNumber">
    <w:name w:val="page number"/>
    <w:basedOn w:val="DefaultParagraphFont"/>
    <w:uiPriority w:val="99"/>
    <w:rsid w:val="00BB0CB6"/>
    <w:rPr>
      <w:rFonts w:cs="Times New Roman"/>
    </w:rPr>
  </w:style>
  <w:style w:type="paragraph" w:customStyle="1" w:styleId="Paragraph">
    <w:name w:val="Paragraph"/>
    <w:basedOn w:val="BodyTextIndent"/>
    <w:link w:val="ParagraphChar"/>
    <w:rsid w:val="00086A42"/>
    <w:pPr>
      <w:tabs>
        <w:tab w:val="num" w:pos="720"/>
      </w:tabs>
      <w:spacing w:before="120"/>
      <w:ind w:left="720" w:hanging="720"/>
      <w:jc w:val="both"/>
      <w:outlineLvl w:val="1"/>
    </w:pPr>
  </w:style>
  <w:style w:type="paragraph" w:customStyle="1" w:styleId="subpar">
    <w:name w:val="subpar"/>
    <w:basedOn w:val="BodyTextIndent3"/>
    <w:rsid w:val="00086A42"/>
    <w:pPr>
      <w:tabs>
        <w:tab w:val="num" w:pos="1152"/>
      </w:tabs>
      <w:spacing w:before="120"/>
      <w:ind w:left="1152" w:hanging="432"/>
      <w:jc w:val="both"/>
      <w:outlineLvl w:val="2"/>
    </w:pPr>
    <w:rPr>
      <w:szCs w:val="24"/>
    </w:rPr>
  </w:style>
  <w:style w:type="paragraph" w:customStyle="1" w:styleId="SubSubPar">
    <w:name w:val="SubSubPar"/>
    <w:basedOn w:val="subpar"/>
    <w:rsid w:val="00C85A3D"/>
    <w:pPr>
      <w:numPr>
        <w:ilvl w:val="3"/>
      </w:numPr>
      <w:tabs>
        <w:tab w:val="left" w:pos="0"/>
        <w:tab w:val="num" w:pos="1152"/>
        <w:tab w:val="num" w:pos="1296"/>
      </w:tabs>
      <w:ind w:left="1296" w:hanging="288"/>
    </w:pPr>
  </w:style>
  <w:style w:type="paragraph" w:styleId="Title">
    <w:name w:val="Title"/>
    <w:basedOn w:val="Normal"/>
    <w:link w:val="TitleChar"/>
    <w:qFormat/>
    <w:rsid w:val="00BB0CB6"/>
    <w:pPr>
      <w:tabs>
        <w:tab w:val="left" w:pos="1440"/>
        <w:tab w:val="left" w:pos="3060"/>
      </w:tabs>
      <w:jc w:val="center"/>
      <w:outlineLvl w:val="0"/>
    </w:pPr>
  </w:style>
  <w:style w:type="character" w:customStyle="1" w:styleId="TitleChar">
    <w:name w:val="Title Char"/>
    <w:basedOn w:val="DefaultParagraphFont"/>
    <w:link w:val="Title"/>
    <w:rsid w:val="00BB0CB6"/>
    <w:rPr>
      <w:rFonts w:ascii="Times New Roman" w:eastAsia="Times New Roman" w:hAnsi="Times New Roman"/>
      <w:sz w:val="24"/>
      <w:szCs w:val="24"/>
      <w:lang w:val="es-ES"/>
    </w:rPr>
  </w:style>
  <w:style w:type="character" w:styleId="Hyperlink">
    <w:name w:val="Hyperlink"/>
    <w:basedOn w:val="DefaultParagraphFont"/>
    <w:uiPriority w:val="99"/>
    <w:rsid w:val="00BB0CB6"/>
    <w:rPr>
      <w:rFonts w:cs="Times New Roman"/>
      <w:color w:val="0000FF"/>
      <w:u w:val="single"/>
    </w:rPr>
  </w:style>
  <w:style w:type="character" w:styleId="FootnoteReference">
    <w:name w:val="footnote reference"/>
    <w:basedOn w:val="DefaultParagraphFont"/>
    <w:rsid w:val="00BB0CB6"/>
    <w:rPr>
      <w:rFonts w:cs="Times New Roman"/>
      <w:vertAlign w:val="superscript"/>
    </w:rPr>
  </w:style>
  <w:style w:type="paragraph" w:customStyle="1" w:styleId="xl29">
    <w:name w:val="xl29"/>
    <w:basedOn w:val="Normal"/>
    <w:uiPriority w:val="99"/>
    <w:rsid w:val="00BB0C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character" w:customStyle="1" w:styleId="ParagraphChar">
    <w:name w:val="Paragraph Char"/>
    <w:basedOn w:val="Heading2Char"/>
    <w:link w:val="Paragraph"/>
    <w:rsid w:val="00C85A3D"/>
    <w:rPr>
      <w:rFonts w:ascii="Times New Roman" w:eastAsia="Times New Roman" w:hAnsi="Times New Roman"/>
      <w:b/>
      <w:sz w:val="24"/>
      <w:szCs w:val="24"/>
      <w:lang w:val="es-ES"/>
    </w:rPr>
  </w:style>
  <w:style w:type="table" w:styleId="TableGrid">
    <w:name w:val="Table Grid"/>
    <w:basedOn w:val="TableNormal"/>
    <w:uiPriority w:val="59"/>
    <w:rsid w:val="00BB0CB6"/>
    <w:pPr>
      <w:jc w:val="left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B0CB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B0CB6"/>
    <w:rPr>
      <w:rFonts w:ascii="Times New Roman" w:eastAsia="Times New Roman" w:hAnsi="Times New Roman"/>
      <w:sz w:val="24"/>
      <w:szCs w:val="24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B0CB6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B0CB6"/>
    <w:rPr>
      <w:rFonts w:ascii="Times New Roman" w:eastAsia="Times New Roman" w:hAnsi="Times New Roman"/>
      <w:sz w:val="24"/>
      <w:szCs w:val="16"/>
      <w:lang w:val="es-ES"/>
    </w:rPr>
  </w:style>
  <w:style w:type="paragraph" w:styleId="TOC4">
    <w:name w:val="toc 4"/>
    <w:basedOn w:val="Normal"/>
    <w:next w:val="Normal"/>
    <w:autoRedefine/>
    <w:uiPriority w:val="39"/>
    <w:unhideWhenUsed/>
    <w:rsid w:val="00E5564E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5564E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5564E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5564E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5564E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5564E"/>
    <w:pPr>
      <w:ind w:left="1680"/>
    </w:pPr>
    <w:rPr>
      <w:rFonts w:asciiTheme="minorHAnsi" w:hAnsiTheme="minorHAnsi" w:cstheme="minorHAnsi"/>
      <w:sz w:val="20"/>
      <w:szCs w:val="20"/>
    </w:rPr>
  </w:style>
  <w:style w:type="paragraph" w:customStyle="1" w:styleId="FirstHeading">
    <w:name w:val="FirstHeading"/>
    <w:basedOn w:val="Normal"/>
    <w:next w:val="Normal"/>
    <w:uiPriority w:val="99"/>
    <w:rsid w:val="00086A42"/>
    <w:pPr>
      <w:keepNext/>
      <w:tabs>
        <w:tab w:val="left" w:pos="0"/>
        <w:tab w:val="left" w:pos="86"/>
      </w:tabs>
      <w:spacing w:before="120" w:after="120"/>
      <w:ind w:left="720" w:hanging="720"/>
    </w:pPr>
    <w:rPr>
      <w:b/>
      <w:bCs/>
    </w:rPr>
  </w:style>
  <w:style w:type="paragraph" w:customStyle="1" w:styleId="SecHeading">
    <w:name w:val="SecHeading"/>
    <w:basedOn w:val="Normal"/>
    <w:next w:val="Paragraph"/>
    <w:uiPriority w:val="99"/>
    <w:rsid w:val="00086A42"/>
    <w:pPr>
      <w:keepNext/>
      <w:tabs>
        <w:tab w:val="num" w:pos="1296"/>
      </w:tabs>
      <w:spacing w:before="120" w:after="120"/>
      <w:ind w:left="1296" w:hanging="576"/>
    </w:pPr>
    <w:rPr>
      <w:b/>
      <w:bCs/>
    </w:rPr>
  </w:style>
  <w:style w:type="paragraph" w:customStyle="1" w:styleId="SubHeading1">
    <w:name w:val="SubHeading1"/>
    <w:basedOn w:val="SecHeading"/>
    <w:uiPriority w:val="99"/>
    <w:rsid w:val="00C85A3D"/>
    <w:pPr>
      <w:numPr>
        <w:ilvl w:val="2"/>
      </w:numPr>
      <w:tabs>
        <w:tab w:val="num" w:pos="1296"/>
        <w:tab w:val="num" w:pos="1872"/>
      </w:tabs>
      <w:ind w:left="1872" w:hanging="576"/>
    </w:pPr>
  </w:style>
  <w:style w:type="paragraph" w:customStyle="1" w:styleId="Subheading2">
    <w:name w:val="Subheading2"/>
    <w:basedOn w:val="SecHeading"/>
    <w:uiPriority w:val="99"/>
    <w:rsid w:val="00C85A3D"/>
    <w:pPr>
      <w:numPr>
        <w:ilvl w:val="3"/>
      </w:numPr>
      <w:tabs>
        <w:tab w:val="num" w:pos="1296"/>
        <w:tab w:val="num" w:pos="2376"/>
      </w:tabs>
      <w:ind w:left="2376" w:hanging="288"/>
    </w:pPr>
  </w:style>
  <w:style w:type="paragraph" w:styleId="Footer">
    <w:name w:val="footer"/>
    <w:basedOn w:val="Normal"/>
    <w:link w:val="FooterChar"/>
    <w:uiPriority w:val="99"/>
    <w:rsid w:val="00901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DDF"/>
    <w:rPr>
      <w:rFonts w:ascii="Times New Roman" w:eastAsia="Times New Roman" w:hAnsi="Times New Roman"/>
      <w:sz w:val="24"/>
      <w:szCs w:val="24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DF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176B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176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76B3"/>
    <w:rPr>
      <w:rFonts w:ascii="Times New Roman" w:eastAsia="Times New Roman" w:hAnsi="Times New Roman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6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6B3"/>
    <w:rPr>
      <w:rFonts w:ascii="Times New Roman" w:eastAsia="Times New Roman" w:hAnsi="Times New Roman"/>
      <w:b/>
      <w:bCs/>
      <w:lang w:val="es-ES"/>
    </w:rPr>
  </w:style>
  <w:style w:type="character" w:customStyle="1" w:styleId="slicetext1">
    <w:name w:val="slicetext1"/>
    <w:rsid w:val="0013773B"/>
    <w:rPr>
      <w:color w:val="000000"/>
    </w:rPr>
  </w:style>
  <w:style w:type="paragraph" w:styleId="Revision">
    <w:name w:val="Revision"/>
    <w:hidden/>
    <w:uiPriority w:val="99"/>
    <w:semiHidden/>
    <w:rsid w:val="00901E5E"/>
    <w:pPr>
      <w:jc w:val="left"/>
    </w:pPr>
    <w:rPr>
      <w:rFonts w:ascii="Times New Roman" w:eastAsia="Times New Roman" w:hAnsi="Times New Roman"/>
      <w:sz w:val="24"/>
      <w:szCs w:val="24"/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214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2148"/>
    <w:rPr>
      <w:rFonts w:ascii="Times New Roman" w:eastAsia="Times New Roman" w:hAnsi="Times New Roman"/>
      <w:lang w:val="es-ES"/>
    </w:rPr>
  </w:style>
  <w:style w:type="character" w:styleId="EndnoteReference">
    <w:name w:val="endnote reference"/>
    <w:basedOn w:val="DefaultParagraphFont"/>
    <w:uiPriority w:val="99"/>
    <w:semiHidden/>
    <w:unhideWhenUsed/>
    <w:rsid w:val="00972148"/>
    <w:rPr>
      <w:vertAlign w:val="superscript"/>
    </w:rPr>
  </w:style>
  <w:style w:type="paragraph" w:customStyle="1" w:styleId="Regtable">
    <w:name w:val="Regtable"/>
    <w:basedOn w:val="Normal"/>
    <w:link w:val="RegtableChar"/>
    <w:rsid w:val="00086A42"/>
    <w:pPr>
      <w:keepLines/>
      <w:framePr w:wrap="around" w:vAnchor="text" w:hAnchor="text" w:y="1"/>
      <w:tabs>
        <w:tab w:val="num" w:pos="1800"/>
      </w:tabs>
      <w:spacing w:before="20" w:after="20"/>
    </w:pPr>
    <w:rPr>
      <w:sz w:val="20"/>
    </w:rPr>
  </w:style>
  <w:style w:type="character" w:customStyle="1" w:styleId="RegtableChar">
    <w:name w:val="Regtable Char"/>
    <w:basedOn w:val="ParagraphChar"/>
    <w:link w:val="Regtable"/>
    <w:rsid w:val="00086A42"/>
    <w:rPr>
      <w:rFonts w:ascii="Times New Roman" w:eastAsia="Times New Roman" w:hAnsi="Times New Roman"/>
      <w:b/>
      <w:sz w:val="24"/>
      <w:szCs w:val="24"/>
      <w:lang w:val="es-ES"/>
    </w:rPr>
  </w:style>
  <w:style w:type="paragraph" w:customStyle="1" w:styleId="TableTitle">
    <w:name w:val="TableTitle"/>
    <w:basedOn w:val="Normal"/>
    <w:link w:val="TableTitleChar"/>
    <w:rsid w:val="00086A42"/>
    <w:pPr>
      <w:keepNext/>
      <w:framePr w:wrap="around" w:vAnchor="text" w:hAnchor="text" w:y="1"/>
      <w:tabs>
        <w:tab w:val="num" w:pos="1800"/>
      </w:tabs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ParagraphChar"/>
    <w:link w:val="TableTitle"/>
    <w:rsid w:val="00086A42"/>
    <w:rPr>
      <w:rFonts w:ascii="Times New Roman Bold" w:eastAsia="Times New Roman" w:hAnsi="Times New Roman Bold"/>
      <w:b/>
      <w:spacing w:val="-3"/>
      <w:sz w:val="24"/>
      <w:szCs w:val="24"/>
      <w:lang w:val="es-ES"/>
    </w:rPr>
  </w:style>
  <w:style w:type="character" w:customStyle="1" w:styleId="TextodecomentrioChar">
    <w:name w:val="Texto de comentário Char"/>
    <w:basedOn w:val="DefaultParagraphFont"/>
    <w:semiHidden/>
    <w:rsid w:val="00E66D25"/>
    <w:rPr>
      <w:rFonts w:ascii="Times New Roman" w:eastAsia="Times New Roman" w:hAnsi="Times New Roman"/>
      <w:lang w:val="es-ES"/>
    </w:rPr>
  </w:style>
  <w:style w:type="paragraph" w:customStyle="1" w:styleId="List0">
    <w:name w:val="List 0"/>
    <w:basedOn w:val="Normal"/>
    <w:semiHidden/>
    <w:rsid w:val="000D6CA9"/>
    <w:pPr>
      <w:tabs>
        <w:tab w:val="num" w:pos="720"/>
      </w:tabs>
      <w:ind w:left="720" w:hanging="720"/>
    </w:pPr>
    <w:rPr>
      <w:sz w:val="20"/>
      <w:szCs w:val="20"/>
      <w:lang w:val="en-US"/>
    </w:rPr>
  </w:style>
  <w:style w:type="paragraph" w:customStyle="1" w:styleId="List21">
    <w:name w:val="List 21"/>
    <w:basedOn w:val="Normal"/>
    <w:semiHidden/>
    <w:rsid w:val="000D6CA9"/>
    <w:pPr>
      <w:numPr>
        <w:numId w:val="6"/>
      </w:numPr>
    </w:pPr>
    <w:rPr>
      <w:sz w:val="20"/>
      <w:szCs w:val="20"/>
      <w:lang w:val="en-US"/>
    </w:rPr>
  </w:style>
  <w:style w:type="paragraph" w:customStyle="1" w:styleId="List1">
    <w:name w:val="List 1"/>
    <w:basedOn w:val="Normal"/>
    <w:semiHidden/>
    <w:rsid w:val="00D46CEF"/>
    <w:pPr>
      <w:numPr>
        <w:numId w:val="4"/>
      </w:numPr>
    </w:pPr>
    <w:rPr>
      <w:sz w:val="20"/>
      <w:szCs w:val="20"/>
      <w:lang w:val="en-US"/>
    </w:rPr>
  </w:style>
  <w:style w:type="paragraph" w:customStyle="1" w:styleId="Body1">
    <w:name w:val="Body 1"/>
    <w:rsid w:val="00D46CEF"/>
    <w:pPr>
      <w:outlineLvl w:val="0"/>
    </w:pPr>
    <w:rPr>
      <w:rFonts w:ascii="Times New Roman" w:eastAsia="Arial Unicode MS" w:hAnsi="Times New Roman"/>
      <w:color w:val="000000"/>
      <w:sz w:val="24"/>
      <w:u w:color="000000"/>
    </w:rPr>
  </w:style>
  <w:style w:type="character" w:customStyle="1" w:styleId="Smbolosdenumerao">
    <w:name w:val="Símbolos de numeração"/>
    <w:uiPriority w:val="99"/>
    <w:rsid w:val="00582E35"/>
  </w:style>
  <w:style w:type="paragraph" w:styleId="BodyText">
    <w:name w:val="Body Text"/>
    <w:basedOn w:val="Normal"/>
    <w:link w:val="BodyTextChar"/>
    <w:uiPriority w:val="99"/>
    <w:semiHidden/>
    <w:unhideWhenUsed/>
    <w:rsid w:val="00100B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0BB7"/>
    <w:rPr>
      <w:rFonts w:ascii="Times New Roman" w:eastAsia="Times New Roman" w:hAnsi="Times New Roman"/>
      <w:sz w:val="24"/>
      <w:szCs w:val="24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F943DC"/>
    <w:rPr>
      <w:color w:val="800080" w:themeColor="followedHyperlink"/>
      <w:u w:val="single"/>
    </w:rPr>
  </w:style>
  <w:style w:type="character" w:customStyle="1" w:styleId="hps">
    <w:name w:val="hps"/>
    <w:basedOn w:val="DefaultParagraphFont"/>
    <w:rsid w:val="00C67E91"/>
  </w:style>
  <w:style w:type="character" w:customStyle="1" w:styleId="atn">
    <w:name w:val="atn"/>
    <w:basedOn w:val="DefaultParagraphFont"/>
    <w:rsid w:val="00C67E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CB6"/>
    <w:pPr>
      <w:jc w:val="left"/>
    </w:pPr>
    <w:rPr>
      <w:rFonts w:ascii="Times New Roman" w:eastAsia="Times New Roman" w:hAnsi="Times New Roman"/>
      <w:sz w:val="24"/>
      <w:szCs w:val="24"/>
      <w:lang w:val="es-ES"/>
    </w:rPr>
  </w:style>
  <w:style w:type="paragraph" w:styleId="Heading1">
    <w:name w:val="heading 1"/>
    <w:aliases w:val="Heading 1-Agriteam"/>
    <w:basedOn w:val="Normal"/>
    <w:next w:val="Normal"/>
    <w:link w:val="Heading1Char"/>
    <w:qFormat/>
    <w:rsid w:val="00C865CD"/>
    <w:pPr>
      <w:keepNext/>
      <w:numPr>
        <w:numId w:val="1"/>
      </w:numPr>
      <w:pBdr>
        <w:bottom w:val="single" w:sz="12" w:space="12" w:color="auto"/>
      </w:pBdr>
      <w:spacing w:after="240"/>
      <w:outlineLvl w:val="0"/>
    </w:pPr>
    <w:rPr>
      <w:b/>
      <w:caps/>
      <w:sz w:val="32"/>
    </w:rPr>
  </w:style>
  <w:style w:type="paragraph" w:styleId="Heading2">
    <w:name w:val="heading 2"/>
    <w:aliases w:val="Heading 2-Agriteam"/>
    <w:basedOn w:val="Normal"/>
    <w:next w:val="Normal"/>
    <w:link w:val="Heading2Char"/>
    <w:qFormat/>
    <w:rsid w:val="00C865CD"/>
    <w:pPr>
      <w:keepNext/>
      <w:numPr>
        <w:ilvl w:val="1"/>
        <w:numId w:val="1"/>
      </w:numPr>
      <w:spacing w:before="120" w:after="120"/>
      <w:outlineLvl w:val="1"/>
    </w:pPr>
    <w:rPr>
      <w:b/>
      <w:sz w:val="26"/>
    </w:rPr>
  </w:style>
  <w:style w:type="paragraph" w:styleId="Heading3">
    <w:name w:val="heading 3"/>
    <w:aliases w:val="Heading 3-Agriteam,Heading 3 Paris doc"/>
    <w:basedOn w:val="Normal"/>
    <w:next w:val="Normal"/>
    <w:link w:val="Heading3Char"/>
    <w:qFormat/>
    <w:rsid w:val="00C865CD"/>
    <w:pPr>
      <w:keepNext/>
      <w:numPr>
        <w:ilvl w:val="2"/>
        <w:numId w:val="1"/>
      </w:numPr>
      <w:spacing w:before="120"/>
      <w:outlineLvl w:val="2"/>
    </w:pPr>
    <w:rPr>
      <w:b/>
      <w:snapToGrid w:val="0"/>
      <w:color w:val="000000"/>
    </w:rPr>
  </w:style>
  <w:style w:type="paragraph" w:styleId="Heading4">
    <w:name w:val="heading 4"/>
    <w:basedOn w:val="Normal"/>
    <w:next w:val="Normal"/>
    <w:link w:val="Heading4Char"/>
    <w:qFormat/>
    <w:rsid w:val="00C865CD"/>
    <w:pPr>
      <w:keepNext/>
      <w:numPr>
        <w:ilvl w:val="3"/>
        <w:numId w:val="1"/>
      </w:numPr>
      <w:spacing w:before="1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qFormat/>
    <w:rsid w:val="00086A42"/>
    <w:pPr>
      <w:keepNext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86A42"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086A42"/>
    <w:p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qFormat/>
    <w:rsid w:val="00086A42"/>
    <w:p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086A42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Agriteam Char"/>
    <w:basedOn w:val="DefaultParagraphFont"/>
    <w:link w:val="Heading1"/>
    <w:rsid w:val="00C865CD"/>
    <w:rPr>
      <w:rFonts w:ascii="Times New Roman" w:eastAsia="Times New Roman" w:hAnsi="Times New Roman"/>
      <w:b/>
      <w:caps/>
      <w:sz w:val="32"/>
      <w:szCs w:val="24"/>
      <w:lang w:val="es-ES"/>
    </w:rPr>
  </w:style>
  <w:style w:type="character" w:customStyle="1" w:styleId="Heading2Char">
    <w:name w:val="Heading 2 Char"/>
    <w:aliases w:val="Heading 2-Agriteam Char"/>
    <w:basedOn w:val="DefaultParagraphFont"/>
    <w:link w:val="Heading2"/>
    <w:rsid w:val="00C865CD"/>
    <w:rPr>
      <w:rFonts w:ascii="Times New Roman" w:eastAsia="Times New Roman" w:hAnsi="Times New Roman"/>
      <w:b/>
      <w:sz w:val="26"/>
      <w:szCs w:val="24"/>
      <w:lang w:val="es-ES"/>
    </w:rPr>
  </w:style>
  <w:style w:type="character" w:customStyle="1" w:styleId="Heading3Char">
    <w:name w:val="Heading 3 Char"/>
    <w:aliases w:val="Heading 3-Agriteam Char,Heading 3 Paris doc Char"/>
    <w:basedOn w:val="DefaultParagraphFont"/>
    <w:link w:val="Heading3"/>
    <w:rsid w:val="00C865CD"/>
    <w:rPr>
      <w:rFonts w:ascii="Times New Roman" w:eastAsia="Times New Roman" w:hAnsi="Times New Roman"/>
      <w:b/>
      <w:snapToGrid w:val="0"/>
      <w:color w:val="000000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rsid w:val="00C865CD"/>
    <w:rPr>
      <w:rFonts w:ascii="Times New Roman" w:eastAsia="Times New Roman" w:hAnsi="Times New Roman"/>
      <w:b/>
      <w:i/>
      <w:sz w:val="24"/>
      <w:szCs w:val="24"/>
      <w:lang w:val="es-ES"/>
    </w:rPr>
  </w:style>
  <w:style w:type="character" w:customStyle="1" w:styleId="Heading5Char">
    <w:name w:val="Heading 5 Char"/>
    <w:basedOn w:val="DefaultParagraphFont"/>
    <w:link w:val="Heading5"/>
    <w:rsid w:val="00C85A3D"/>
    <w:rPr>
      <w:rFonts w:ascii="Times New Roman" w:eastAsia="Times New Roman" w:hAnsi="Times New Roman"/>
      <w:sz w:val="24"/>
      <w:szCs w:val="24"/>
      <w:lang w:val="es-ES"/>
    </w:rPr>
  </w:style>
  <w:style w:type="character" w:customStyle="1" w:styleId="Heading6Char">
    <w:name w:val="Heading 6 Char"/>
    <w:basedOn w:val="DefaultParagraphFont"/>
    <w:link w:val="Heading6"/>
    <w:rsid w:val="00C85A3D"/>
    <w:rPr>
      <w:rFonts w:ascii="Times New Roman" w:eastAsia="Times New Roman" w:hAnsi="Times New Roman"/>
      <w:i/>
      <w:sz w:val="24"/>
      <w:szCs w:val="24"/>
      <w:lang w:val="es-ES"/>
    </w:rPr>
  </w:style>
  <w:style w:type="character" w:customStyle="1" w:styleId="Heading7Char">
    <w:name w:val="Heading 7 Char"/>
    <w:basedOn w:val="DefaultParagraphFont"/>
    <w:link w:val="Heading7"/>
    <w:rsid w:val="00C85A3D"/>
    <w:rPr>
      <w:rFonts w:ascii="Times New Roman" w:eastAsia="Times New Roman" w:hAnsi="Times New Roman"/>
      <w:szCs w:val="24"/>
      <w:lang w:val="es-ES"/>
    </w:rPr>
  </w:style>
  <w:style w:type="character" w:customStyle="1" w:styleId="Heading8Char">
    <w:name w:val="Heading 8 Char"/>
    <w:basedOn w:val="DefaultParagraphFont"/>
    <w:link w:val="Heading8"/>
    <w:rsid w:val="00C85A3D"/>
    <w:rPr>
      <w:rFonts w:ascii="Times New Roman" w:eastAsia="Times New Roman" w:hAnsi="Times New Roman"/>
      <w:i/>
      <w:szCs w:val="24"/>
      <w:lang w:val="es-ES"/>
    </w:rPr>
  </w:style>
  <w:style w:type="character" w:customStyle="1" w:styleId="Heading9Char">
    <w:name w:val="Heading 9 Char"/>
    <w:basedOn w:val="DefaultParagraphFont"/>
    <w:link w:val="Heading9"/>
    <w:rsid w:val="00C85A3D"/>
    <w:rPr>
      <w:rFonts w:ascii="Times New Roman" w:eastAsia="Times New Roman" w:hAnsi="Times New Roman"/>
      <w:i/>
      <w:sz w:val="18"/>
      <w:szCs w:val="24"/>
      <w:lang w:val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865CD"/>
    <w:pPr>
      <w:spacing w:before="360"/>
    </w:pPr>
    <w:rPr>
      <w:rFonts w:asciiTheme="majorHAnsi" w:hAnsiTheme="majorHAnsi"/>
      <w:b/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01599"/>
    <w:pPr>
      <w:tabs>
        <w:tab w:val="left" w:pos="990"/>
        <w:tab w:val="right" w:leader="dot" w:pos="8630"/>
      </w:tabs>
      <w:spacing w:before="100" w:beforeAutospacing="1" w:after="100" w:afterAutospacing="1"/>
      <w:ind w:left="547"/>
    </w:pPr>
    <w:rPr>
      <w:rFonts w:asciiTheme="minorHAnsi" w:hAnsiTheme="minorHAnsi"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65CD"/>
    <w:pPr>
      <w:ind w:left="240"/>
    </w:pPr>
    <w:rPr>
      <w:rFonts w:asciiTheme="minorHAnsi" w:hAnsiTheme="minorHAnsi" w:cstheme="minorHAnsi"/>
      <w:sz w:val="20"/>
      <w:szCs w:val="20"/>
    </w:rPr>
  </w:style>
  <w:style w:type="character" w:styleId="Strong">
    <w:name w:val="Strong"/>
    <w:basedOn w:val="DefaultParagraphFont"/>
    <w:uiPriority w:val="22"/>
    <w:qFormat/>
    <w:rsid w:val="00C865CD"/>
    <w:rPr>
      <w:b/>
      <w:bCs/>
    </w:rPr>
  </w:style>
  <w:style w:type="paragraph" w:styleId="NoSpacing">
    <w:name w:val="No Spacing"/>
    <w:link w:val="NoSpacingChar"/>
    <w:uiPriority w:val="1"/>
    <w:qFormat/>
    <w:rsid w:val="00C865C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CA"/>
    </w:rPr>
  </w:style>
  <w:style w:type="character" w:customStyle="1" w:styleId="NoSpacingChar">
    <w:name w:val="No Spacing Char"/>
    <w:basedOn w:val="DefaultParagraphFont"/>
    <w:link w:val="NoSpacing"/>
    <w:uiPriority w:val="1"/>
    <w:rsid w:val="00C865CD"/>
    <w:rPr>
      <w:rFonts w:ascii="Times New Roman" w:eastAsia="Times New Roman" w:hAnsi="Times New Roman"/>
      <w:lang w:val="en-CA" w:eastAsia="en-US" w:bidi="ar-SA"/>
    </w:rPr>
  </w:style>
  <w:style w:type="paragraph" w:styleId="ListParagraph">
    <w:name w:val="List Paragraph"/>
    <w:basedOn w:val="Normal"/>
    <w:uiPriority w:val="99"/>
    <w:qFormat/>
    <w:rsid w:val="00C865CD"/>
    <w:pPr>
      <w:ind w:left="720"/>
    </w:pPr>
  </w:style>
  <w:style w:type="paragraph" w:styleId="TOCHeading">
    <w:name w:val="TOC Heading"/>
    <w:basedOn w:val="Heading1"/>
    <w:next w:val="Normal"/>
    <w:uiPriority w:val="39"/>
    <w:unhideWhenUsed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customStyle="1" w:styleId="ColorfulList-Accent11">
    <w:name w:val="Colorful List - Accent 11"/>
    <w:basedOn w:val="Normal"/>
    <w:uiPriority w:val="34"/>
    <w:qFormat/>
    <w:rsid w:val="00C865CD"/>
    <w:pPr>
      <w:ind w:left="720"/>
    </w:pPr>
  </w:style>
  <w:style w:type="paragraph" w:customStyle="1" w:styleId="Annex">
    <w:name w:val="Annex"/>
    <w:basedOn w:val="Normal"/>
    <w:uiPriority w:val="99"/>
    <w:rsid w:val="00BB0CB6"/>
    <w:rPr>
      <w:caps/>
    </w:rPr>
  </w:style>
  <w:style w:type="paragraph" w:customStyle="1" w:styleId="AbbrDesc">
    <w:name w:val="AbbrDesc"/>
    <w:basedOn w:val="Normal"/>
    <w:uiPriority w:val="99"/>
    <w:rsid w:val="00BB0CB6"/>
    <w:pPr>
      <w:tabs>
        <w:tab w:val="left" w:pos="3060"/>
      </w:tabs>
      <w:jc w:val="both"/>
    </w:pPr>
  </w:style>
  <w:style w:type="paragraph" w:customStyle="1" w:styleId="Chapter">
    <w:name w:val="Chapter"/>
    <w:basedOn w:val="Normal"/>
    <w:next w:val="Normal"/>
    <w:rsid w:val="00086A42"/>
    <w:pPr>
      <w:keepNext/>
      <w:tabs>
        <w:tab w:val="num" w:pos="648"/>
        <w:tab w:val="left" w:pos="1440"/>
      </w:tabs>
      <w:spacing w:before="240" w:after="240"/>
      <w:ind w:firstLine="288"/>
      <w:jc w:val="center"/>
    </w:pPr>
    <w:rPr>
      <w:b/>
      <w:bCs/>
      <w:smallCaps/>
    </w:rPr>
  </w:style>
  <w:style w:type="paragraph" w:styleId="FootnoteText">
    <w:name w:val="footnote text"/>
    <w:aliases w:val="fn,foottextfra,footnote,F,Texto nota pie Car Car,texto de nota al pie,Nota a pie/Bibliog,Texto nota pie Car Car Car Car Car Car Car Car,Texto nota pie Car Car Car,Footnote Text Char Char Char Char Char Char,Texto de rodapé"/>
    <w:basedOn w:val="Normal"/>
    <w:link w:val="FootnoteTextChar"/>
    <w:rsid w:val="00BB0CB6"/>
    <w:pPr>
      <w:keepNext/>
      <w:keepLines/>
      <w:spacing w:after="120"/>
      <w:ind w:left="288" w:hanging="288"/>
      <w:jc w:val="both"/>
    </w:pPr>
    <w:rPr>
      <w:spacing w:val="-3"/>
      <w:sz w:val="20"/>
      <w:szCs w:val="20"/>
    </w:rPr>
  </w:style>
  <w:style w:type="character" w:customStyle="1" w:styleId="FootnoteTextChar">
    <w:name w:val="Footnote Text Char"/>
    <w:aliases w:val="fn Char,foottextfra Char,footnote Char,F Char,Texto nota pie Car Car Char,texto de nota al pie Char,Nota a pie/Bibliog Char,Texto nota pie Car Car Car Car Car Car Car Car Char,Texto nota pie Car Car Car Char,Texto de rodapé Char"/>
    <w:basedOn w:val="DefaultParagraphFont"/>
    <w:link w:val="FootnoteText"/>
    <w:rsid w:val="00BB0CB6"/>
    <w:rPr>
      <w:rFonts w:ascii="Times New Roman" w:eastAsia="Times New Roman" w:hAnsi="Times New Roman"/>
      <w:spacing w:val="-3"/>
      <w:lang w:val="es-ES"/>
    </w:rPr>
  </w:style>
  <w:style w:type="paragraph" w:styleId="Header">
    <w:name w:val="header"/>
    <w:basedOn w:val="Normal"/>
    <w:link w:val="HeaderChar"/>
    <w:uiPriority w:val="99"/>
    <w:rsid w:val="00BB0C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CB6"/>
    <w:rPr>
      <w:rFonts w:ascii="Times New Roman" w:eastAsia="Times New Roman" w:hAnsi="Times New Roman"/>
      <w:sz w:val="24"/>
      <w:szCs w:val="24"/>
      <w:lang w:val="es-ES"/>
    </w:rPr>
  </w:style>
  <w:style w:type="paragraph" w:customStyle="1" w:styleId="Newpage">
    <w:name w:val="Newpage"/>
    <w:basedOn w:val="Chapter"/>
    <w:uiPriority w:val="99"/>
    <w:rsid w:val="00BB0CB6"/>
    <w:pPr>
      <w:tabs>
        <w:tab w:val="clear" w:pos="648"/>
        <w:tab w:val="clear" w:pos="1440"/>
        <w:tab w:val="left" w:pos="3060"/>
      </w:tabs>
      <w:spacing w:after="0"/>
      <w:ind w:firstLine="0"/>
    </w:pPr>
  </w:style>
  <w:style w:type="character" w:styleId="PageNumber">
    <w:name w:val="page number"/>
    <w:basedOn w:val="DefaultParagraphFont"/>
    <w:uiPriority w:val="99"/>
    <w:rsid w:val="00BB0CB6"/>
    <w:rPr>
      <w:rFonts w:cs="Times New Roman"/>
    </w:rPr>
  </w:style>
  <w:style w:type="paragraph" w:customStyle="1" w:styleId="Paragraph">
    <w:name w:val="Paragraph"/>
    <w:basedOn w:val="BodyTextIndent"/>
    <w:link w:val="ParagraphChar"/>
    <w:rsid w:val="00086A42"/>
    <w:pPr>
      <w:tabs>
        <w:tab w:val="num" w:pos="720"/>
      </w:tabs>
      <w:spacing w:before="120"/>
      <w:ind w:left="720" w:hanging="720"/>
      <w:jc w:val="both"/>
      <w:outlineLvl w:val="1"/>
    </w:pPr>
  </w:style>
  <w:style w:type="paragraph" w:customStyle="1" w:styleId="subpar">
    <w:name w:val="subpar"/>
    <w:basedOn w:val="BodyTextIndent3"/>
    <w:rsid w:val="00086A42"/>
    <w:pPr>
      <w:tabs>
        <w:tab w:val="num" w:pos="1152"/>
      </w:tabs>
      <w:spacing w:before="120"/>
      <w:ind w:left="1152" w:hanging="432"/>
      <w:jc w:val="both"/>
      <w:outlineLvl w:val="2"/>
    </w:pPr>
    <w:rPr>
      <w:szCs w:val="24"/>
    </w:rPr>
  </w:style>
  <w:style w:type="paragraph" w:customStyle="1" w:styleId="SubSubPar">
    <w:name w:val="SubSubPar"/>
    <w:basedOn w:val="subpar"/>
    <w:rsid w:val="00C85A3D"/>
    <w:pPr>
      <w:numPr>
        <w:ilvl w:val="3"/>
      </w:numPr>
      <w:tabs>
        <w:tab w:val="left" w:pos="0"/>
        <w:tab w:val="num" w:pos="1152"/>
        <w:tab w:val="num" w:pos="1296"/>
      </w:tabs>
      <w:ind w:left="1296" w:hanging="288"/>
    </w:pPr>
  </w:style>
  <w:style w:type="paragraph" w:styleId="Title">
    <w:name w:val="Title"/>
    <w:basedOn w:val="Normal"/>
    <w:link w:val="TitleChar"/>
    <w:qFormat/>
    <w:rsid w:val="00BB0CB6"/>
    <w:pPr>
      <w:tabs>
        <w:tab w:val="left" w:pos="1440"/>
        <w:tab w:val="left" w:pos="3060"/>
      </w:tabs>
      <w:jc w:val="center"/>
      <w:outlineLvl w:val="0"/>
    </w:pPr>
  </w:style>
  <w:style w:type="character" w:customStyle="1" w:styleId="TitleChar">
    <w:name w:val="Title Char"/>
    <w:basedOn w:val="DefaultParagraphFont"/>
    <w:link w:val="Title"/>
    <w:rsid w:val="00BB0CB6"/>
    <w:rPr>
      <w:rFonts w:ascii="Times New Roman" w:eastAsia="Times New Roman" w:hAnsi="Times New Roman"/>
      <w:sz w:val="24"/>
      <w:szCs w:val="24"/>
      <w:lang w:val="es-ES"/>
    </w:rPr>
  </w:style>
  <w:style w:type="character" w:styleId="Hyperlink">
    <w:name w:val="Hyperlink"/>
    <w:basedOn w:val="DefaultParagraphFont"/>
    <w:uiPriority w:val="99"/>
    <w:rsid w:val="00BB0CB6"/>
    <w:rPr>
      <w:rFonts w:cs="Times New Roman"/>
      <w:color w:val="0000FF"/>
      <w:u w:val="single"/>
    </w:rPr>
  </w:style>
  <w:style w:type="character" w:styleId="FootnoteReference">
    <w:name w:val="footnote reference"/>
    <w:basedOn w:val="DefaultParagraphFont"/>
    <w:rsid w:val="00BB0CB6"/>
    <w:rPr>
      <w:rFonts w:cs="Times New Roman"/>
      <w:vertAlign w:val="superscript"/>
    </w:rPr>
  </w:style>
  <w:style w:type="paragraph" w:customStyle="1" w:styleId="xl29">
    <w:name w:val="xl29"/>
    <w:basedOn w:val="Normal"/>
    <w:uiPriority w:val="99"/>
    <w:rsid w:val="00BB0C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character" w:customStyle="1" w:styleId="ParagraphChar">
    <w:name w:val="Paragraph Char"/>
    <w:basedOn w:val="Heading2Char"/>
    <w:link w:val="Paragraph"/>
    <w:rsid w:val="00C85A3D"/>
    <w:rPr>
      <w:rFonts w:ascii="Times New Roman" w:eastAsia="Times New Roman" w:hAnsi="Times New Roman"/>
      <w:b/>
      <w:sz w:val="24"/>
      <w:szCs w:val="24"/>
      <w:lang w:val="es-ES"/>
    </w:rPr>
  </w:style>
  <w:style w:type="table" w:styleId="TableGrid">
    <w:name w:val="Table Grid"/>
    <w:basedOn w:val="TableNormal"/>
    <w:uiPriority w:val="59"/>
    <w:rsid w:val="00BB0CB6"/>
    <w:pPr>
      <w:jc w:val="left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B0CB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B0CB6"/>
    <w:rPr>
      <w:rFonts w:ascii="Times New Roman" w:eastAsia="Times New Roman" w:hAnsi="Times New Roman"/>
      <w:sz w:val="24"/>
      <w:szCs w:val="24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B0CB6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B0CB6"/>
    <w:rPr>
      <w:rFonts w:ascii="Times New Roman" w:eastAsia="Times New Roman" w:hAnsi="Times New Roman"/>
      <w:sz w:val="24"/>
      <w:szCs w:val="16"/>
      <w:lang w:val="es-ES"/>
    </w:rPr>
  </w:style>
  <w:style w:type="paragraph" w:styleId="TOC4">
    <w:name w:val="toc 4"/>
    <w:basedOn w:val="Normal"/>
    <w:next w:val="Normal"/>
    <w:autoRedefine/>
    <w:uiPriority w:val="39"/>
    <w:unhideWhenUsed/>
    <w:rsid w:val="00E5564E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5564E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5564E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5564E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5564E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5564E"/>
    <w:pPr>
      <w:ind w:left="1680"/>
    </w:pPr>
    <w:rPr>
      <w:rFonts w:asciiTheme="minorHAnsi" w:hAnsiTheme="minorHAnsi" w:cstheme="minorHAnsi"/>
      <w:sz w:val="20"/>
      <w:szCs w:val="20"/>
    </w:rPr>
  </w:style>
  <w:style w:type="paragraph" w:customStyle="1" w:styleId="FirstHeading">
    <w:name w:val="FirstHeading"/>
    <w:basedOn w:val="Normal"/>
    <w:next w:val="Normal"/>
    <w:uiPriority w:val="99"/>
    <w:rsid w:val="00086A42"/>
    <w:pPr>
      <w:keepNext/>
      <w:tabs>
        <w:tab w:val="left" w:pos="0"/>
        <w:tab w:val="left" w:pos="86"/>
      </w:tabs>
      <w:spacing w:before="120" w:after="120"/>
      <w:ind w:left="720" w:hanging="720"/>
    </w:pPr>
    <w:rPr>
      <w:b/>
      <w:bCs/>
    </w:rPr>
  </w:style>
  <w:style w:type="paragraph" w:customStyle="1" w:styleId="SecHeading">
    <w:name w:val="SecHeading"/>
    <w:basedOn w:val="Normal"/>
    <w:next w:val="Paragraph"/>
    <w:uiPriority w:val="99"/>
    <w:rsid w:val="00086A42"/>
    <w:pPr>
      <w:keepNext/>
      <w:tabs>
        <w:tab w:val="num" w:pos="1296"/>
      </w:tabs>
      <w:spacing w:before="120" w:after="120"/>
      <w:ind w:left="1296" w:hanging="576"/>
    </w:pPr>
    <w:rPr>
      <w:b/>
      <w:bCs/>
    </w:rPr>
  </w:style>
  <w:style w:type="paragraph" w:customStyle="1" w:styleId="SubHeading1">
    <w:name w:val="SubHeading1"/>
    <w:basedOn w:val="SecHeading"/>
    <w:uiPriority w:val="99"/>
    <w:rsid w:val="00C85A3D"/>
    <w:pPr>
      <w:numPr>
        <w:ilvl w:val="2"/>
      </w:numPr>
      <w:tabs>
        <w:tab w:val="num" w:pos="1296"/>
        <w:tab w:val="num" w:pos="1872"/>
      </w:tabs>
      <w:ind w:left="1872" w:hanging="576"/>
    </w:pPr>
  </w:style>
  <w:style w:type="paragraph" w:customStyle="1" w:styleId="Subheading2">
    <w:name w:val="Subheading2"/>
    <w:basedOn w:val="SecHeading"/>
    <w:uiPriority w:val="99"/>
    <w:rsid w:val="00C85A3D"/>
    <w:pPr>
      <w:numPr>
        <w:ilvl w:val="3"/>
      </w:numPr>
      <w:tabs>
        <w:tab w:val="num" w:pos="1296"/>
        <w:tab w:val="num" w:pos="2376"/>
      </w:tabs>
      <w:ind w:left="2376" w:hanging="288"/>
    </w:pPr>
  </w:style>
  <w:style w:type="paragraph" w:styleId="Footer">
    <w:name w:val="footer"/>
    <w:basedOn w:val="Normal"/>
    <w:link w:val="FooterChar"/>
    <w:uiPriority w:val="99"/>
    <w:rsid w:val="00901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DDF"/>
    <w:rPr>
      <w:rFonts w:ascii="Times New Roman" w:eastAsia="Times New Roman" w:hAnsi="Times New Roman"/>
      <w:sz w:val="24"/>
      <w:szCs w:val="24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DF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176B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176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76B3"/>
    <w:rPr>
      <w:rFonts w:ascii="Times New Roman" w:eastAsia="Times New Roman" w:hAnsi="Times New Roman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6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6B3"/>
    <w:rPr>
      <w:rFonts w:ascii="Times New Roman" w:eastAsia="Times New Roman" w:hAnsi="Times New Roman"/>
      <w:b/>
      <w:bCs/>
      <w:lang w:val="es-ES"/>
    </w:rPr>
  </w:style>
  <w:style w:type="character" w:customStyle="1" w:styleId="slicetext1">
    <w:name w:val="slicetext1"/>
    <w:rsid w:val="0013773B"/>
    <w:rPr>
      <w:color w:val="000000"/>
    </w:rPr>
  </w:style>
  <w:style w:type="paragraph" w:styleId="Revision">
    <w:name w:val="Revision"/>
    <w:hidden/>
    <w:uiPriority w:val="99"/>
    <w:semiHidden/>
    <w:rsid w:val="00901E5E"/>
    <w:pPr>
      <w:jc w:val="left"/>
    </w:pPr>
    <w:rPr>
      <w:rFonts w:ascii="Times New Roman" w:eastAsia="Times New Roman" w:hAnsi="Times New Roman"/>
      <w:sz w:val="24"/>
      <w:szCs w:val="24"/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214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2148"/>
    <w:rPr>
      <w:rFonts w:ascii="Times New Roman" w:eastAsia="Times New Roman" w:hAnsi="Times New Roman"/>
      <w:lang w:val="es-ES"/>
    </w:rPr>
  </w:style>
  <w:style w:type="character" w:styleId="EndnoteReference">
    <w:name w:val="endnote reference"/>
    <w:basedOn w:val="DefaultParagraphFont"/>
    <w:uiPriority w:val="99"/>
    <w:semiHidden/>
    <w:unhideWhenUsed/>
    <w:rsid w:val="00972148"/>
    <w:rPr>
      <w:vertAlign w:val="superscript"/>
    </w:rPr>
  </w:style>
  <w:style w:type="paragraph" w:customStyle="1" w:styleId="Regtable">
    <w:name w:val="Regtable"/>
    <w:basedOn w:val="Normal"/>
    <w:link w:val="RegtableChar"/>
    <w:rsid w:val="00086A42"/>
    <w:pPr>
      <w:keepLines/>
      <w:framePr w:wrap="around" w:vAnchor="text" w:hAnchor="text" w:y="1"/>
      <w:tabs>
        <w:tab w:val="num" w:pos="1800"/>
      </w:tabs>
      <w:spacing w:before="20" w:after="20"/>
    </w:pPr>
    <w:rPr>
      <w:sz w:val="20"/>
    </w:rPr>
  </w:style>
  <w:style w:type="character" w:customStyle="1" w:styleId="RegtableChar">
    <w:name w:val="Regtable Char"/>
    <w:basedOn w:val="ParagraphChar"/>
    <w:link w:val="Regtable"/>
    <w:rsid w:val="00086A42"/>
    <w:rPr>
      <w:rFonts w:ascii="Times New Roman" w:eastAsia="Times New Roman" w:hAnsi="Times New Roman"/>
      <w:b/>
      <w:sz w:val="24"/>
      <w:szCs w:val="24"/>
      <w:lang w:val="es-ES"/>
    </w:rPr>
  </w:style>
  <w:style w:type="paragraph" w:customStyle="1" w:styleId="TableTitle">
    <w:name w:val="TableTitle"/>
    <w:basedOn w:val="Normal"/>
    <w:link w:val="TableTitleChar"/>
    <w:rsid w:val="00086A42"/>
    <w:pPr>
      <w:keepNext/>
      <w:framePr w:wrap="around" w:vAnchor="text" w:hAnchor="text" w:y="1"/>
      <w:tabs>
        <w:tab w:val="num" w:pos="1800"/>
      </w:tabs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ParagraphChar"/>
    <w:link w:val="TableTitle"/>
    <w:rsid w:val="00086A42"/>
    <w:rPr>
      <w:rFonts w:ascii="Times New Roman Bold" w:eastAsia="Times New Roman" w:hAnsi="Times New Roman Bold"/>
      <w:b/>
      <w:spacing w:val="-3"/>
      <w:sz w:val="24"/>
      <w:szCs w:val="24"/>
      <w:lang w:val="es-ES"/>
    </w:rPr>
  </w:style>
  <w:style w:type="character" w:customStyle="1" w:styleId="TextodecomentrioChar">
    <w:name w:val="Texto de comentário Char"/>
    <w:basedOn w:val="DefaultParagraphFont"/>
    <w:semiHidden/>
    <w:rsid w:val="00E66D25"/>
    <w:rPr>
      <w:rFonts w:ascii="Times New Roman" w:eastAsia="Times New Roman" w:hAnsi="Times New Roman"/>
      <w:lang w:val="es-ES"/>
    </w:rPr>
  </w:style>
  <w:style w:type="paragraph" w:customStyle="1" w:styleId="List0">
    <w:name w:val="List 0"/>
    <w:basedOn w:val="Normal"/>
    <w:semiHidden/>
    <w:rsid w:val="000D6CA9"/>
    <w:pPr>
      <w:tabs>
        <w:tab w:val="num" w:pos="720"/>
      </w:tabs>
      <w:ind w:left="720" w:hanging="720"/>
    </w:pPr>
    <w:rPr>
      <w:sz w:val="20"/>
      <w:szCs w:val="20"/>
      <w:lang w:val="en-US"/>
    </w:rPr>
  </w:style>
  <w:style w:type="paragraph" w:customStyle="1" w:styleId="List21">
    <w:name w:val="List 21"/>
    <w:basedOn w:val="Normal"/>
    <w:semiHidden/>
    <w:rsid w:val="000D6CA9"/>
    <w:pPr>
      <w:numPr>
        <w:numId w:val="6"/>
      </w:numPr>
    </w:pPr>
    <w:rPr>
      <w:sz w:val="20"/>
      <w:szCs w:val="20"/>
      <w:lang w:val="en-US"/>
    </w:rPr>
  </w:style>
  <w:style w:type="paragraph" w:customStyle="1" w:styleId="List1">
    <w:name w:val="List 1"/>
    <w:basedOn w:val="Normal"/>
    <w:semiHidden/>
    <w:rsid w:val="00D46CEF"/>
    <w:pPr>
      <w:numPr>
        <w:numId w:val="4"/>
      </w:numPr>
    </w:pPr>
    <w:rPr>
      <w:sz w:val="20"/>
      <w:szCs w:val="20"/>
      <w:lang w:val="en-US"/>
    </w:rPr>
  </w:style>
  <w:style w:type="paragraph" w:customStyle="1" w:styleId="Body1">
    <w:name w:val="Body 1"/>
    <w:rsid w:val="00D46CEF"/>
    <w:pPr>
      <w:outlineLvl w:val="0"/>
    </w:pPr>
    <w:rPr>
      <w:rFonts w:ascii="Times New Roman" w:eastAsia="Arial Unicode MS" w:hAnsi="Times New Roman"/>
      <w:color w:val="000000"/>
      <w:sz w:val="24"/>
      <w:u w:color="000000"/>
    </w:rPr>
  </w:style>
  <w:style w:type="character" w:customStyle="1" w:styleId="Smbolosdenumerao">
    <w:name w:val="Símbolos de numeração"/>
    <w:uiPriority w:val="99"/>
    <w:rsid w:val="00582E35"/>
  </w:style>
  <w:style w:type="paragraph" w:styleId="BodyText">
    <w:name w:val="Body Text"/>
    <w:basedOn w:val="Normal"/>
    <w:link w:val="BodyTextChar"/>
    <w:uiPriority w:val="99"/>
    <w:semiHidden/>
    <w:unhideWhenUsed/>
    <w:rsid w:val="00100B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0BB7"/>
    <w:rPr>
      <w:rFonts w:ascii="Times New Roman" w:eastAsia="Times New Roman" w:hAnsi="Times New Roman"/>
      <w:sz w:val="24"/>
      <w:szCs w:val="24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F943DC"/>
    <w:rPr>
      <w:color w:val="800080" w:themeColor="followedHyperlink"/>
      <w:u w:val="single"/>
    </w:rPr>
  </w:style>
  <w:style w:type="character" w:customStyle="1" w:styleId="hps">
    <w:name w:val="hps"/>
    <w:basedOn w:val="DefaultParagraphFont"/>
    <w:rsid w:val="00C67E91"/>
  </w:style>
  <w:style w:type="character" w:customStyle="1" w:styleId="atn">
    <w:name w:val="atn"/>
    <w:basedOn w:val="DefaultParagraphFont"/>
    <w:rsid w:val="00C67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1.emf"/><Relationship Id="rId19" Type="http://schemas.openxmlformats.org/officeDocument/2006/relationships/customXml" Target="../customXml/item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FE4B09661A55E48898F865D77A2D25D" ma:contentTypeVersion="3519" ma:contentTypeDescription="A content type to manage public (operations) IDB documents" ma:contentTypeScope="" ma:versionID="831eb8a40a7d2cae7370075f1100997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37730586</IDBDocs_x0020_Number>
    <TaxCatchAll xmlns="cdc7663a-08f0-4737-9e8c-148ce897a09c">
      <Value>13</Value>
      <Value>30</Value>
      <Value>1</Value>
    </TaxCatchAll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 xsi:nil="true"/>
    <Document_x0020_Author xmlns="cdc7663a-08f0-4737-9e8c-148ce897a09c">Villela, Luiz A.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BR-L1381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class="ExternalClass8A91EC0998CC4F6EBBB98888A4FFAED0"&gt;MS WORDLPLoan Proposal0N&lt;/div&gt;</Migration_x0020_Info>
    <Operation_x0020_Type xmlns="cdc7663a-08f0-4737-9e8c-148ce897a09c" xsi:nil="true"/>
    <Record_x0020_Number xmlns="cdc7663a-08f0-4737-9e8c-148ce897a09c">R0002799548</Record_x0020_Number>
    <Document_x0020_Language_x0020_IDB xmlns="cdc7663a-08f0-4737-9e8c-148ce897a09c">Spanish</Document_x0020_Language_x0020_IDB>
    <Identifier xmlns="cdc7663a-08f0-4737-9e8c-148ce897a09c">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Loan Proposal</Disclosure_x0020_Activity>
    <Region xmlns="cdc7663a-08f0-4737-9e8c-148ce897a09c" xsi:nil="true"/>
    <_dlc_DocId xmlns="cdc7663a-08f0-4737-9e8c-148ce897a09c">EZSHARE-231256462-115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Fiscal Issues and Public Finance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https://idbg.sharepoint.com/teams/EZ-BR-LON/BR-L1381/_layouts/15/DocIdRedir.aspx?ID=EZSHARE-231256462-115</Url>
      <Description>EZSHARE-231256462-115</Description>
    </_dlc_DocIdUrl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0B06AAD2-DF68-4572-BEC1-34FB66F75D67}"/>
</file>

<file path=customXml/itemProps2.xml><?xml version="1.0" encoding="utf-8"?>
<ds:datastoreItem xmlns:ds="http://schemas.openxmlformats.org/officeDocument/2006/customXml" ds:itemID="{457C164E-5C04-4BF0-915A-8E59717947DC}"/>
</file>

<file path=customXml/itemProps3.xml><?xml version="1.0" encoding="utf-8"?>
<ds:datastoreItem xmlns:ds="http://schemas.openxmlformats.org/officeDocument/2006/customXml" ds:itemID="{DC6DFA9D-522A-4AAE-8E2B-86323CBB4FC0}"/>
</file>

<file path=customXml/itemProps4.xml><?xml version="1.0" encoding="utf-8"?>
<ds:datastoreItem xmlns:ds="http://schemas.openxmlformats.org/officeDocument/2006/customXml" ds:itemID="{BB07E22C-866E-4B33-B9D8-35E421BDEFE0}"/>
</file>

<file path=customXml/itemProps5.xml><?xml version="1.0" encoding="utf-8"?>
<ds:datastoreItem xmlns:ds="http://schemas.openxmlformats.org/officeDocument/2006/customXml" ds:itemID="{FFE72DF8-A7F1-4030-8856-332C0C78A2D0}"/>
</file>

<file path=customXml/itemProps6.xml><?xml version="1.0" encoding="utf-8"?>
<ds:datastoreItem xmlns:ds="http://schemas.openxmlformats.org/officeDocument/2006/customXml" ds:itemID="{7B044D78-F0BA-4629-AE28-753A601870D8}"/>
</file>

<file path=customXml/itemProps7.xml><?xml version="1.0" encoding="utf-8"?>
<ds:datastoreItem xmlns:ds="http://schemas.openxmlformats.org/officeDocument/2006/customXml" ds:itemID="{68B2FC86-386B-4E1B-9D18-5EB75149F2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893</Words>
  <Characters>5095</Characters>
  <Application>Microsoft Office Word</Application>
  <DocSecurity>4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 - EEO 3_ Estudio de las Finanzas Públicas y Sostenibilidad Fiscal del Estado de Pernambuco (BR-L1381)</dc:title>
  <dc:creator>Familia Cracel</dc:creator>
  <cp:lastModifiedBy>Test</cp:lastModifiedBy>
  <cp:revision>2</cp:revision>
  <cp:lastPrinted>2012-08-21T22:21:00Z</cp:lastPrinted>
  <dcterms:created xsi:type="dcterms:W3CDTF">2013-04-25T15:49:00Z</dcterms:created>
  <dcterms:modified xsi:type="dcterms:W3CDTF">2013-04-25T15:49:00Z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0x0101001A458A224826124E8B45B1D613300CFC004FE4B09661A55E48898F865D77A2D25D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28;#Loan Proposal|6ee86b6f-6e46-485b-8bfb-87a1f44622ac</vt:lpwstr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/>
  </property>
  <property fmtid="{D5CDD505-2E9C-101B-9397-08002B2CF9AE}" pid="10" name="Series_x0020_Operations_x0020_IDB">
    <vt:lpwstr>28;#Loan Proposal|6ee86b6f-6e46-485b-8bfb-87a1f44622ac</vt:lpwstr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  <property fmtid="{D5CDD505-2E9C-101B-9397-08002B2CF9AE}" pid="15" name="Sub-Sector">
    <vt:lpwstr/>
  </property>
  <property fmtid="{D5CDD505-2E9C-101B-9397-08002B2CF9AE}" pid="16" name="Order">
    <vt:r8>11500</vt:r8>
  </property>
  <property fmtid="{D5CDD505-2E9C-101B-9397-08002B2CF9AE}" pid="17" name="_dlc_DocIdItemGuid">
    <vt:lpwstr>644be528-1a0f-4ae0-987d-5ea2ad845a51</vt:lpwstr>
  </property>
</Properties>
</file>