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912"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8802"/>
      </w:tblGrid>
      <w:tr w:rsidR="005B3B5E" w:rsidRPr="00655848">
        <w:tc>
          <w:tcPr>
            <w:tcW w:w="0" w:type="auto"/>
            <w:tcBorders>
              <w:top w:val="single" w:sz="6" w:space="0" w:color="FFFFFF"/>
              <w:left w:val="single" w:sz="6" w:space="0" w:color="FFFFFF"/>
              <w:bottom w:val="single" w:sz="6" w:space="0" w:color="FFFFFF"/>
              <w:right w:val="single" w:sz="6" w:space="0" w:color="FFFFFF"/>
            </w:tcBorders>
            <w:tcMar>
              <w:top w:w="15" w:type="dxa"/>
              <w:left w:w="81" w:type="dxa"/>
              <w:bottom w:w="15" w:type="dxa"/>
              <w:right w:w="81" w:type="dxa"/>
            </w:tcMar>
            <w:vAlign w:val="center"/>
            <w:hideMark/>
          </w:tcPr>
          <w:p w:rsidR="005B3B5E" w:rsidRPr="00655848" w:rsidRDefault="00B52ADB">
            <w:pPr>
              <w:spacing w:after="240"/>
              <w:rPr>
                <w:rFonts w:eastAsia="Times New Roman"/>
                <w:sz w:val="20"/>
                <w:szCs w:val="20"/>
              </w:rPr>
            </w:pPr>
            <w:r w:rsidRPr="00655848">
              <w:rPr>
                <w:rFonts w:eastAsia="Times New Roman"/>
                <w:b/>
                <w:bCs/>
                <w:sz w:val="28"/>
                <w:szCs w:val="28"/>
              </w:rPr>
              <w:t>SAFEGUARD POLICY FILTER REPORT</w:t>
            </w:r>
            <w:r w:rsidRPr="00655848">
              <w:rPr>
                <w:rFonts w:eastAsia="Times New Roman"/>
                <w:sz w:val="20"/>
                <w:szCs w:val="20"/>
              </w:rPr>
              <w:br/>
            </w:r>
          </w:p>
          <w:tbl>
            <w:tblPr>
              <w:tblW w:w="863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2"/>
              <w:gridCol w:w="2570"/>
              <w:gridCol w:w="4630"/>
            </w:tblGrid>
            <w:tr w:rsidR="005B3B5E" w:rsidRPr="00655848" w:rsidTr="00655848">
              <w:tc>
                <w:tcPr>
                  <w:tcW w:w="1432" w:type="dxa"/>
                  <w:vMerge w:val="restart"/>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jc w:val="center"/>
                    <w:rPr>
                      <w:rFonts w:eastAsia="Times New Roman"/>
                      <w:b/>
                      <w:bCs/>
                      <w:sz w:val="20"/>
                      <w:szCs w:val="20"/>
                    </w:rPr>
                  </w:pPr>
                  <w:r w:rsidRPr="00655848">
                    <w:rPr>
                      <w:rFonts w:eastAsia="Times New Roman"/>
                      <w:b/>
                      <w:bCs/>
                      <w:sz w:val="20"/>
                      <w:szCs w:val="20"/>
                    </w:rPr>
                    <w:t>PROJECT DETAILS</w:t>
                  </w: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IDB Sector</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FINANCIAL MARKETS-BANKING MARKET DEVELOPMENT</w:t>
                  </w: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Type of Operation</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Investment Loan</w:t>
                  </w: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Additional Operation Details</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5B3B5E">
                  <w:pPr>
                    <w:rPr>
                      <w:rFonts w:eastAsia="Times New Roman"/>
                      <w:sz w:val="20"/>
                      <w:szCs w:val="20"/>
                    </w:rPr>
                  </w:pP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Investment Checklist</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Generic Checklist</w:t>
                  </w: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Team Leader</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655848" w:rsidP="00655848">
                  <w:pPr>
                    <w:rPr>
                      <w:rFonts w:eastAsia="Times New Roman"/>
                      <w:sz w:val="20"/>
                      <w:szCs w:val="20"/>
                    </w:rPr>
                  </w:pPr>
                  <w:r w:rsidRPr="00655848">
                    <w:rPr>
                      <w:rFonts w:eastAsia="Times New Roman"/>
                      <w:sz w:val="20"/>
                      <w:szCs w:val="20"/>
                    </w:rPr>
                    <w:t>Chrisney, Martin</w:t>
                  </w:r>
                  <w:r w:rsidR="00B52ADB" w:rsidRPr="00655848">
                    <w:rPr>
                      <w:rFonts w:eastAsia="Times New Roman"/>
                      <w:sz w:val="20"/>
                      <w:szCs w:val="20"/>
                    </w:rPr>
                    <w:t xml:space="preserve"> (</w:t>
                  </w:r>
                  <w:r w:rsidRPr="00655848">
                    <w:rPr>
                      <w:rFonts w:eastAsia="Times New Roman"/>
                      <w:sz w:val="20"/>
                      <w:szCs w:val="20"/>
                    </w:rPr>
                    <w:t>MARTINC</w:t>
                  </w:r>
                  <w:r w:rsidR="00B52ADB" w:rsidRPr="00655848">
                    <w:rPr>
                      <w:rFonts w:eastAsia="Times New Roman"/>
                      <w:sz w:val="20"/>
                      <w:szCs w:val="20"/>
                    </w:rPr>
                    <w:t>@iadb.org)</w:t>
                  </w: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Project Title</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655848">
                  <w:pPr>
                    <w:rPr>
                      <w:rFonts w:eastAsia="Times New Roman"/>
                      <w:sz w:val="20"/>
                      <w:szCs w:val="20"/>
                    </w:rPr>
                  </w:pPr>
                  <w:r w:rsidRPr="00655848">
                    <w:rPr>
                      <w:rFonts w:eastAsia="Times New Roman"/>
                      <w:sz w:val="20"/>
                      <w:szCs w:val="20"/>
                    </w:rPr>
                    <w:t>Program to Support Smallholder Agriculture and SMEs in Haiti</w:t>
                  </w:r>
                </w:p>
              </w:tc>
            </w:tr>
            <w:tr w:rsidR="005B3B5E" w:rsidRPr="001406B9"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Project Number</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1406B9" w:rsidRDefault="001406B9">
                  <w:pPr>
                    <w:rPr>
                      <w:rFonts w:eastAsia="Times New Roman"/>
                      <w:sz w:val="20"/>
                      <w:szCs w:val="20"/>
                      <w:lang w:val="es-ES_tradnl"/>
                    </w:rPr>
                  </w:pPr>
                  <w:r w:rsidRPr="00B1169C">
                    <w:rPr>
                      <w:rFonts w:eastAsia="Times New Roman"/>
                      <w:sz w:val="20"/>
                      <w:szCs w:val="20"/>
                    </w:rPr>
                    <w:t>HA-L1050 (2416/GR-HA) &amp; HA-G1022 (GRT/HR-12410-HA) (reformulation)</w:t>
                  </w:r>
                </w:p>
              </w:tc>
            </w:tr>
            <w:tr w:rsidR="005B3B5E" w:rsidRPr="001406B9"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1406B9" w:rsidRDefault="005B3B5E">
                  <w:pPr>
                    <w:rPr>
                      <w:rFonts w:eastAsia="Times New Roman"/>
                      <w:b/>
                      <w:bCs/>
                      <w:sz w:val="20"/>
                      <w:szCs w:val="20"/>
                      <w:lang w:val="es-ES_tradnl"/>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Safeguard Screening Assessor(s)</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995244" w:rsidRDefault="00B52ADB">
                  <w:pPr>
                    <w:rPr>
                      <w:rFonts w:eastAsia="Times New Roman"/>
                      <w:sz w:val="20"/>
                      <w:szCs w:val="20"/>
                      <w:lang w:val="es-ES_tradnl"/>
                    </w:rPr>
                  </w:pPr>
                  <w:r w:rsidRPr="00995244">
                    <w:rPr>
                      <w:rFonts w:eastAsia="Times New Roman"/>
                      <w:sz w:val="20"/>
                      <w:szCs w:val="20"/>
                      <w:lang w:val="es-ES_tradnl"/>
                    </w:rPr>
                    <w:t>Gaggero, Annabella (ANNABELLAG@iadb.org)</w:t>
                  </w:r>
                </w:p>
              </w:tc>
            </w:tr>
            <w:tr w:rsidR="005B3B5E" w:rsidRPr="00655848" w:rsidTr="00655848">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995244" w:rsidRDefault="005B3B5E">
                  <w:pPr>
                    <w:rPr>
                      <w:rFonts w:eastAsia="Times New Roman"/>
                      <w:b/>
                      <w:bCs/>
                      <w:sz w:val="20"/>
                      <w:szCs w:val="20"/>
                      <w:lang w:val="es-ES_tradnl"/>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Assessment Date</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2012-04-27</w:t>
                  </w:r>
                </w:p>
              </w:tc>
            </w:tr>
            <w:tr w:rsidR="005B3B5E" w:rsidRPr="00655848" w:rsidTr="00655848">
              <w:trPr>
                <w:trHeight w:val="501"/>
              </w:trPr>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57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Additional Comments</w:t>
                  </w:r>
                </w:p>
              </w:tc>
              <w:tc>
                <w:tcPr>
                  <w:tcW w:w="4630"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5B3B5E">
                  <w:pPr>
                    <w:rPr>
                      <w:rFonts w:eastAsia="Times New Roman"/>
                      <w:sz w:val="20"/>
                      <w:szCs w:val="20"/>
                    </w:rPr>
                  </w:pPr>
                </w:p>
              </w:tc>
            </w:tr>
          </w:tbl>
          <w:p w:rsidR="005B3B5E" w:rsidRPr="00655848" w:rsidRDefault="005B3B5E">
            <w:pPr>
              <w:spacing w:after="240"/>
              <w:rPr>
                <w:rFonts w:eastAsia="Times New Roman"/>
                <w:sz w:val="20"/>
                <w:szCs w:val="20"/>
              </w:rPr>
            </w:pPr>
          </w:p>
          <w:tbl>
            <w:tblPr>
              <w:tblW w:w="863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29"/>
              <w:gridCol w:w="1741"/>
              <w:gridCol w:w="4344"/>
              <w:gridCol w:w="1118"/>
            </w:tblGrid>
            <w:tr w:rsidR="005B3B5E" w:rsidRPr="00655848" w:rsidTr="00655848">
              <w:tc>
                <w:tcPr>
                  <w:tcW w:w="1429" w:type="dxa"/>
                  <w:vMerge w:val="restart"/>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jc w:val="center"/>
                    <w:rPr>
                      <w:rFonts w:eastAsia="Times New Roman"/>
                      <w:b/>
                      <w:bCs/>
                      <w:sz w:val="20"/>
                      <w:szCs w:val="20"/>
                    </w:rPr>
                  </w:pPr>
                  <w:r w:rsidRPr="00655848">
                    <w:rPr>
                      <w:rFonts w:eastAsia="Times New Roman"/>
                      <w:b/>
                      <w:bCs/>
                      <w:sz w:val="20"/>
                      <w:szCs w:val="20"/>
                    </w:rPr>
                    <w:t>SAFEGUARD POLICY FILTER RESULTS</w:t>
                  </w:r>
                </w:p>
              </w:tc>
              <w:tc>
                <w:tcPr>
                  <w:tcW w:w="17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Type of Operation</w:t>
                  </w:r>
                </w:p>
              </w:tc>
              <w:tc>
                <w:tcPr>
                  <w:tcW w:w="5462" w:type="dxa"/>
                  <w:gridSpan w:val="2"/>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Loan Operation</w:t>
                  </w:r>
                </w:p>
              </w:tc>
            </w:tr>
            <w:tr w:rsidR="005B3B5E" w:rsidRPr="00655848" w:rsidTr="00655848">
              <w:trPr>
                <w:trHeight w:val="105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1741" w:type="dxa"/>
                  <w:vMerge w:val="restart"/>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Safeguard Policy Items</w:t>
                  </w:r>
                  <w:r w:rsidRPr="00655848">
                    <w:rPr>
                      <w:rFonts w:eastAsia="Times New Roman"/>
                      <w:b/>
                      <w:bCs/>
                      <w:sz w:val="20"/>
                      <w:szCs w:val="20"/>
                    </w:rPr>
                    <w:br/>
                    <w:t xml:space="preserve">Identified </w:t>
                  </w: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The Bank will make available to the public the relevant Project documents.</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(B.01) Access to Information Policy– OP-102</w:t>
                  </w:r>
                </w:p>
              </w:tc>
            </w:tr>
            <w:tr w:rsidR="005B3B5E" w:rsidRPr="00655848" w:rsidTr="006558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(B.02)</w:t>
                  </w:r>
                </w:p>
              </w:tc>
            </w:tr>
            <w:tr w:rsidR="005B3B5E" w:rsidRPr="00655848" w:rsidTr="006558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The operation (including associated facilities) is screened and classified according to their potential environmental impacts.</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(B.03)</w:t>
                  </w:r>
                </w:p>
              </w:tc>
            </w:tr>
            <w:tr w:rsidR="005B3B5E" w:rsidRPr="00655848" w:rsidTr="006558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The Bank will monitor the executing agency/borrower’s compliance with all safeguard requirements stipulated in the loan agreement and project operating or credit regulations.</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(B.07)</w:t>
                  </w:r>
                </w:p>
              </w:tc>
            </w:tr>
            <w:tr w:rsidR="005B3B5E" w:rsidRPr="00655848" w:rsidTr="006558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Default="00B52ADB">
                  <w:pPr>
                    <w:rPr>
                      <w:rFonts w:eastAsia="Times New Roman"/>
                      <w:sz w:val="20"/>
                      <w:szCs w:val="20"/>
                    </w:rPr>
                  </w:pPr>
                  <w:r w:rsidRPr="00655848">
                    <w:rPr>
                      <w:rFonts w:eastAsia="Times New Roman"/>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p w:rsidR="00655848" w:rsidRPr="00655848" w:rsidRDefault="00655848">
                  <w:pPr>
                    <w:rPr>
                      <w:rFonts w:eastAsia="Times New Roman"/>
                      <w:sz w:val="20"/>
                      <w:szCs w:val="20"/>
                    </w:rPr>
                  </w:pP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(B.13)</w:t>
                  </w:r>
                </w:p>
              </w:tc>
            </w:tr>
            <w:tr w:rsidR="005B3B5E" w:rsidRPr="00655848" w:rsidTr="006558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color w:val="0000FF"/>
                      <w:sz w:val="20"/>
                      <w:szCs w:val="20"/>
                    </w:rPr>
                  </w:pPr>
                  <w:r w:rsidRPr="00655848">
                    <w:rPr>
                      <w:rFonts w:eastAsia="Times New Roman"/>
                      <w:color w:val="0000FF"/>
                      <w:sz w:val="20"/>
                      <w:szCs w:val="20"/>
                    </w:rPr>
                    <w:t>(B.17)</w:t>
                  </w:r>
                </w:p>
              </w:tc>
            </w:tr>
            <w:tr w:rsidR="005B3B5E" w:rsidRPr="00655848" w:rsidTr="00655848">
              <w:trPr>
                <w:trHeight w:val="72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17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Potential Safeguard Policy</w:t>
                  </w:r>
                  <w:r w:rsidRPr="00655848">
                    <w:rPr>
                      <w:rFonts w:eastAsia="Times New Roman"/>
                      <w:b/>
                      <w:bCs/>
                      <w:sz w:val="20"/>
                      <w:szCs w:val="20"/>
                    </w:rPr>
                    <w:br/>
                    <w:t>Items</w:t>
                  </w:r>
                </w:p>
              </w:tc>
              <w:tc>
                <w:tcPr>
                  <w:tcW w:w="4344" w:type="dxa"/>
                  <w:tcBorders>
                    <w:top w:val="single" w:sz="6" w:space="0" w:color="000000"/>
                    <w:left w:val="single" w:sz="6" w:space="0" w:color="000000"/>
                    <w:bottom w:val="single" w:sz="6" w:space="0" w:color="000000"/>
                    <w:right w:val="single" w:sz="6" w:space="0" w:color="000000"/>
                  </w:tcBorders>
                  <w:tcMar>
                    <w:top w:w="15" w:type="dxa"/>
                    <w:left w:w="81" w:type="dxa"/>
                    <w:bottom w:w="230" w:type="dxa"/>
                    <w:right w:w="81" w:type="dxa"/>
                  </w:tcMar>
                  <w:vAlign w:val="center"/>
                  <w:hideMark/>
                </w:tcPr>
                <w:p w:rsidR="005B3B5E" w:rsidRPr="00655848" w:rsidRDefault="00B52ADB">
                  <w:pPr>
                    <w:spacing w:after="240"/>
                    <w:rPr>
                      <w:rFonts w:eastAsia="Times New Roman"/>
                      <w:sz w:val="20"/>
                      <w:szCs w:val="20"/>
                    </w:rPr>
                  </w:pPr>
                  <w:r w:rsidRPr="00655848">
                    <w:rPr>
                      <w:rFonts w:eastAsia="Times New Roman"/>
                      <w:sz w:val="20"/>
                      <w:szCs w:val="20"/>
                    </w:rPr>
                    <w:t>No potential issues identified</w:t>
                  </w:r>
                </w:p>
              </w:tc>
              <w:tc>
                <w:tcPr>
                  <w:tcW w:w="1118"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5B3B5E">
                  <w:pPr>
                    <w:rPr>
                      <w:rFonts w:eastAsia="Times New Roman"/>
                      <w:sz w:val="20"/>
                      <w:szCs w:val="20"/>
                    </w:rPr>
                  </w:pPr>
                </w:p>
              </w:tc>
            </w:tr>
            <w:tr w:rsidR="005B3B5E" w:rsidRPr="00655848" w:rsidTr="00655848">
              <w:trPr>
                <w:trHeight w:val="11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17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Recommended Action:</w:t>
                  </w:r>
                </w:p>
              </w:tc>
              <w:tc>
                <w:tcPr>
                  <w:tcW w:w="5462" w:type="dxa"/>
                  <w:gridSpan w:val="2"/>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spacing w:after="240"/>
                    <w:rPr>
                      <w:rFonts w:eastAsia="Times New Roman"/>
                      <w:sz w:val="20"/>
                      <w:szCs w:val="20"/>
                    </w:rPr>
                  </w:pPr>
                  <w:r w:rsidRPr="00655848">
                    <w:rPr>
                      <w:rFonts w:eastAsia="Times New Roman"/>
                      <w:sz w:val="20"/>
                      <w:szCs w:val="20"/>
                    </w:rPr>
                    <w:t xml:space="preserve">Operation has triggered 1 or more Policy Directives; please refer to appropriate Directive(s), including B13, for guidance. </w:t>
                  </w:r>
                  <w:r w:rsidRPr="0097013B">
                    <w:rPr>
                      <w:rFonts w:eastAsia="Times New Roman"/>
                      <w:b/>
                      <w:szCs w:val="20"/>
                    </w:rPr>
                    <w:t xml:space="preserve">No project classification required. </w:t>
                  </w:r>
                  <w:r w:rsidRPr="00655848">
                    <w:rPr>
                      <w:rFonts w:eastAsia="Times New Roman"/>
                      <w:sz w:val="20"/>
                      <w:szCs w:val="20"/>
                    </w:rPr>
                    <w:t>Submit Report</w:t>
                  </w:r>
                  <w:r w:rsidR="00655848" w:rsidRPr="00655848">
                    <w:rPr>
                      <w:rFonts w:eastAsia="Times New Roman"/>
                      <w:sz w:val="20"/>
                      <w:szCs w:val="20"/>
                    </w:rPr>
                    <w:t xml:space="preserve"> and PP (or equivalent) to ESR.</w:t>
                  </w:r>
                </w:p>
              </w:tc>
            </w:tr>
            <w:tr w:rsidR="005B3B5E" w:rsidRPr="00655848" w:rsidTr="00655848">
              <w:trPr>
                <w:trHeight w:val="9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17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Additional Comments:</w:t>
                  </w:r>
                </w:p>
              </w:tc>
              <w:tc>
                <w:tcPr>
                  <w:tcW w:w="5462" w:type="dxa"/>
                  <w:gridSpan w:val="2"/>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5B3B5E">
                  <w:pPr>
                    <w:rPr>
                      <w:rFonts w:eastAsia="Times New Roman"/>
                      <w:sz w:val="20"/>
                      <w:szCs w:val="20"/>
                    </w:rPr>
                  </w:pPr>
                </w:p>
              </w:tc>
            </w:tr>
          </w:tbl>
          <w:p w:rsidR="005B3B5E" w:rsidRPr="00655848" w:rsidRDefault="005B3B5E">
            <w:pPr>
              <w:spacing w:after="240"/>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2"/>
              <w:gridCol w:w="2041"/>
              <w:gridCol w:w="5151"/>
            </w:tblGrid>
            <w:tr w:rsidR="005B3B5E" w:rsidRPr="001406B9" w:rsidTr="00655848">
              <w:trPr>
                <w:trHeight w:val="230"/>
              </w:trPr>
              <w:tc>
                <w:tcPr>
                  <w:tcW w:w="1432" w:type="dxa"/>
                  <w:vMerge w:val="restart"/>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jc w:val="center"/>
                    <w:rPr>
                      <w:rFonts w:eastAsia="Times New Roman"/>
                      <w:b/>
                      <w:bCs/>
                      <w:sz w:val="20"/>
                      <w:szCs w:val="20"/>
                    </w:rPr>
                  </w:pPr>
                  <w:r w:rsidRPr="00655848">
                    <w:rPr>
                      <w:rFonts w:eastAsia="Times New Roman"/>
                      <w:b/>
                      <w:bCs/>
                      <w:sz w:val="20"/>
                      <w:szCs w:val="20"/>
                    </w:rPr>
                    <w:t>ASSESSOR DETAILS</w:t>
                  </w:r>
                </w:p>
              </w:tc>
              <w:tc>
                <w:tcPr>
                  <w:tcW w:w="20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b/>
                      <w:bCs/>
                      <w:sz w:val="20"/>
                      <w:szCs w:val="20"/>
                    </w:rPr>
                  </w:pPr>
                  <w:r w:rsidRPr="00655848">
                    <w:rPr>
                      <w:rFonts w:eastAsia="Times New Roman"/>
                      <w:b/>
                      <w:bCs/>
                      <w:sz w:val="20"/>
                      <w:szCs w:val="20"/>
                    </w:rPr>
                    <w:t>Name of person who completed screening:</w:t>
                  </w:r>
                </w:p>
              </w:tc>
              <w:tc>
                <w:tcPr>
                  <w:tcW w:w="515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995244" w:rsidRDefault="00B52ADB">
                  <w:pPr>
                    <w:rPr>
                      <w:rFonts w:eastAsia="Times New Roman"/>
                      <w:sz w:val="20"/>
                      <w:szCs w:val="20"/>
                      <w:lang w:val="es-ES_tradnl"/>
                    </w:rPr>
                  </w:pPr>
                  <w:r w:rsidRPr="00995244">
                    <w:rPr>
                      <w:rFonts w:eastAsia="Times New Roman"/>
                      <w:sz w:val="20"/>
                      <w:szCs w:val="20"/>
                      <w:lang w:val="es-ES_tradnl"/>
                    </w:rPr>
                    <w:t>Gaggero, Annabella (ANNABELLAG@iadb.org)</w:t>
                  </w:r>
                </w:p>
              </w:tc>
            </w:tr>
            <w:tr w:rsidR="005B3B5E" w:rsidRPr="00655848" w:rsidTr="00655848">
              <w:trPr>
                <w:trHeight w:val="230"/>
              </w:trPr>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995244" w:rsidRDefault="005B3B5E">
                  <w:pPr>
                    <w:rPr>
                      <w:rFonts w:eastAsia="Times New Roman"/>
                      <w:b/>
                      <w:bCs/>
                      <w:sz w:val="20"/>
                      <w:szCs w:val="20"/>
                      <w:lang w:val="es-ES_tradnl"/>
                    </w:rPr>
                  </w:pPr>
                </w:p>
              </w:tc>
              <w:tc>
                <w:tcPr>
                  <w:tcW w:w="20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CE70EF">
                  <w:pPr>
                    <w:rPr>
                      <w:rFonts w:eastAsia="Times New Roman"/>
                      <w:sz w:val="20"/>
                      <w:szCs w:val="20"/>
                    </w:rPr>
                  </w:pPr>
                  <w:r>
                    <w:rPr>
                      <w:rFonts w:eastAsia="Times New Roman"/>
                      <w:sz w:val="20"/>
                      <w:szCs w:val="20"/>
                    </w:rPr>
                    <w:t>Operations Analyst</w:t>
                  </w:r>
                </w:p>
              </w:tc>
            </w:tr>
            <w:tr w:rsidR="005B3B5E" w:rsidRPr="00655848" w:rsidTr="00655848">
              <w:trPr>
                <w:trHeight w:val="230"/>
              </w:trPr>
              <w:tc>
                <w:tcPr>
                  <w:tcW w:w="1432" w:type="dxa"/>
                  <w:vMerge/>
                  <w:tcBorders>
                    <w:top w:val="single" w:sz="6" w:space="0" w:color="000000"/>
                    <w:left w:val="single" w:sz="6" w:space="0" w:color="000000"/>
                    <w:bottom w:val="single" w:sz="6" w:space="0" w:color="000000"/>
                    <w:right w:val="single" w:sz="6" w:space="0" w:color="000000"/>
                  </w:tcBorders>
                  <w:vAlign w:val="center"/>
                  <w:hideMark/>
                </w:tcPr>
                <w:p w:rsidR="005B3B5E" w:rsidRPr="00655848" w:rsidRDefault="005B3B5E">
                  <w:pPr>
                    <w:rPr>
                      <w:rFonts w:eastAsia="Times New Roman"/>
                      <w:b/>
                      <w:bCs/>
                      <w:sz w:val="20"/>
                      <w:szCs w:val="20"/>
                    </w:rPr>
                  </w:pPr>
                </w:p>
              </w:tc>
              <w:tc>
                <w:tcPr>
                  <w:tcW w:w="2041" w:type="dxa"/>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hideMark/>
                </w:tcPr>
                <w:p w:rsidR="005B3B5E" w:rsidRPr="00655848" w:rsidRDefault="00B52ADB">
                  <w:pPr>
                    <w:rPr>
                      <w:rFonts w:eastAsia="Times New Roman"/>
                      <w:b/>
                      <w:bCs/>
                      <w:sz w:val="20"/>
                      <w:szCs w:val="20"/>
                    </w:rPr>
                  </w:pPr>
                  <w:r w:rsidRPr="00655848">
                    <w:rPr>
                      <w:rFonts w:eastAsia="Times New Roman"/>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81" w:type="dxa"/>
                    <w:bottom w:w="15" w:type="dxa"/>
                    <w:right w:w="81" w:type="dxa"/>
                  </w:tcMar>
                  <w:vAlign w:val="center"/>
                  <w:hideMark/>
                </w:tcPr>
                <w:p w:rsidR="005B3B5E" w:rsidRPr="00655848" w:rsidRDefault="00B52ADB">
                  <w:pPr>
                    <w:rPr>
                      <w:rFonts w:eastAsia="Times New Roman"/>
                      <w:sz w:val="20"/>
                      <w:szCs w:val="20"/>
                    </w:rPr>
                  </w:pPr>
                  <w:r w:rsidRPr="00655848">
                    <w:rPr>
                      <w:rFonts w:eastAsia="Times New Roman"/>
                      <w:sz w:val="20"/>
                      <w:szCs w:val="20"/>
                    </w:rPr>
                    <w:t>2012-04-27</w:t>
                  </w:r>
                </w:p>
              </w:tc>
            </w:tr>
          </w:tbl>
          <w:p w:rsidR="005B3B5E" w:rsidRPr="00655848" w:rsidRDefault="00B52ADB">
            <w:pPr>
              <w:rPr>
                <w:rFonts w:eastAsia="Times New Roman"/>
                <w:sz w:val="20"/>
                <w:szCs w:val="20"/>
              </w:rPr>
            </w:pPr>
            <w:r w:rsidRPr="00655848">
              <w:rPr>
                <w:rFonts w:eastAsia="Times New Roman"/>
                <w:sz w:val="20"/>
                <w:szCs w:val="20"/>
              </w:rPr>
              <w:br/>
              <w:t> </w:t>
            </w:r>
          </w:p>
        </w:tc>
      </w:tr>
    </w:tbl>
    <w:p w:rsidR="00B52ADB" w:rsidRPr="00655848" w:rsidRDefault="00B52ADB">
      <w:pPr>
        <w:rPr>
          <w:rFonts w:eastAsia="Times New Roman"/>
        </w:rPr>
      </w:pPr>
      <w:bookmarkStart w:id="0" w:name="_GoBack"/>
      <w:bookmarkEnd w:id="0"/>
    </w:p>
    <w:sectPr w:rsidR="00B52ADB" w:rsidRPr="00655848" w:rsidSect="00655848">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ADB" w:rsidRDefault="00B52ADB" w:rsidP="00655848">
      <w:r>
        <w:separator/>
      </w:r>
    </w:p>
  </w:endnote>
  <w:endnote w:type="continuationSeparator" w:id="0">
    <w:p w:rsidR="00B52ADB" w:rsidRDefault="00B52ADB" w:rsidP="0065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ADB" w:rsidRDefault="00B52ADB" w:rsidP="00655848">
      <w:r>
        <w:separator/>
      </w:r>
    </w:p>
  </w:footnote>
  <w:footnote w:type="continuationSeparator" w:id="0">
    <w:p w:rsidR="00B52ADB" w:rsidRDefault="00B52ADB" w:rsidP="00655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65053097"/>
      <w:docPartObj>
        <w:docPartGallery w:val="Page Numbers (Top of Page)"/>
        <w:docPartUnique/>
      </w:docPartObj>
    </w:sdtPr>
    <w:sdtEndPr/>
    <w:sdtContent>
      <w:p w:rsidR="0097013B" w:rsidRDefault="0097013B" w:rsidP="0097013B">
        <w:pPr>
          <w:pStyle w:val="Header"/>
          <w:jc w:val="right"/>
          <w:rPr>
            <w:sz w:val="20"/>
          </w:rPr>
        </w:pPr>
        <w:r>
          <w:rPr>
            <w:sz w:val="20"/>
          </w:rPr>
          <w:t>HA-L1050</w:t>
        </w:r>
        <w:r w:rsidR="00CB530D">
          <w:rPr>
            <w:sz w:val="20"/>
          </w:rPr>
          <w:t xml:space="preserve">; </w:t>
        </w:r>
        <w:r w:rsidR="005C53D3">
          <w:rPr>
            <w:sz w:val="20"/>
          </w:rPr>
          <w:t>HA</w:t>
        </w:r>
        <w:r w:rsidR="00CB530D">
          <w:rPr>
            <w:sz w:val="20"/>
          </w:rPr>
          <w:t>-G1022</w:t>
        </w:r>
        <w:r w:rsidR="00CE70EF">
          <w:rPr>
            <w:sz w:val="20"/>
          </w:rPr>
          <w:t xml:space="preserve"> (Reformulation)</w:t>
        </w:r>
      </w:p>
      <w:p w:rsidR="0097013B" w:rsidRPr="0097013B" w:rsidRDefault="0097013B" w:rsidP="0097013B">
        <w:pPr>
          <w:pStyle w:val="Header"/>
          <w:jc w:val="right"/>
          <w:rPr>
            <w:sz w:val="20"/>
          </w:rPr>
        </w:pPr>
        <w:r w:rsidRPr="0097013B">
          <w:rPr>
            <w:sz w:val="20"/>
          </w:rPr>
          <w:t xml:space="preserve">Page </w:t>
        </w:r>
        <w:r w:rsidR="001F52A4" w:rsidRPr="0097013B">
          <w:rPr>
            <w:b/>
            <w:sz w:val="20"/>
          </w:rPr>
          <w:fldChar w:fldCharType="begin"/>
        </w:r>
        <w:r w:rsidRPr="0097013B">
          <w:rPr>
            <w:b/>
            <w:sz w:val="20"/>
          </w:rPr>
          <w:instrText xml:space="preserve"> PAGE </w:instrText>
        </w:r>
        <w:r w:rsidR="001F52A4" w:rsidRPr="0097013B">
          <w:rPr>
            <w:b/>
            <w:sz w:val="20"/>
          </w:rPr>
          <w:fldChar w:fldCharType="separate"/>
        </w:r>
        <w:r w:rsidR="00CE70EF">
          <w:rPr>
            <w:b/>
            <w:noProof/>
            <w:sz w:val="20"/>
          </w:rPr>
          <w:t>1</w:t>
        </w:r>
        <w:r w:rsidR="001F52A4" w:rsidRPr="0097013B">
          <w:rPr>
            <w:b/>
            <w:sz w:val="20"/>
          </w:rPr>
          <w:fldChar w:fldCharType="end"/>
        </w:r>
        <w:r w:rsidRPr="0097013B">
          <w:rPr>
            <w:sz w:val="20"/>
          </w:rPr>
          <w:t xml:space="preserve"> of </w:t>
        </w:r>
        <w:r w:rsidR="001F52A4" w:rsidRPr="0097013B">
          <w:rPr>
            <w:b/>
            <w:sz w:val="20"/>
          </w:rPr>
          <w:fldChar w:fldCharType="begin"/>
        </w:r>
        <w:r w:rsidRPr="0097013B">
          <w:rPr>
            <w:b/>
            <w:sz w:val="20"/>
          </w:rPr>
          <w:instrText xml:space="preserve"> NUMPAGES  </w:instrText>
        </w:r>
        <w:r w:rsidR="001F52A4" w:rsidRPr="0097013B">
          <w:rPr>
            <w:b/>
            <w:sz w:val="20"/>
          </w:rPr>
          <w:fldChar w:fldCharType="separate"/>
        </w:r>
        <w:r w:rsidR="00CE70EF">
          <w:rPr>
            <w:b/>
            <w:noProof/>
            <w:sz w:val="20"/>
          </w:rPr>
          <w:t>2</w:t>
        </w:r>
        <w:r w:rsidR="001F52A4" w:rsidRPr="0097013B">
          <w:rPr>
            <w:b/>
            <w:sz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55848"/>
    <w:rsid w:val="001406B9"/>
    <w:rsid w:val="001F52A4"/>
    <w:rsid w:val="005B3B5E"/>
    <w:rsid w:val="005C53D3"/>
    <w:rsid w:val="00655848"/>
    <w:rsid w:val="00772D33"/>
    <w:rsid w:val="008C1028"/>
    <w:rsid w:val="0097013B"/>
    <w:rsid w:val="00995244"/>
    <w:rsid w:val="00B1169C"/>
    <w:rsid w:val="00B52ADB"/>
    <w:rsid w:val="00CB530D"/>
    <w:rsid w:val="00CE70EF"/>
    <w:rsid w:val="00D1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A4"/>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1F52A4"/>
    <w:pPr>
      <w:spacing w:before="100" w:beforeAutospacing="1" w:after="100" w:afterAutospacing="1"/>
      <w:textAlignment w:val="top"/>
    </w:pPr>
    <w:rPr>
      <w:b/>
      <w:bCs/>
      <w:sz w:val="20"/>
      <w:szCs w:val="20"/>
    </w:rPr>
  </w:style>
  <w:style w:type="paragraph" w:customStyle="1" w:styleId="tablehead">
    <w:name w:val="tablehead"/>
    <w:basedOn w:val="Normal"/>
    <w:rsid w:val="001F52A4"/>
    <w:pPr>
      <w:spacing w:before="100" w:beforeAutospacing="1" w:after="100" w:afterAutospacing="1"/>
      <w:jc w:val="center"/>
    </w:pPr>
    <w:rPr>
      <w:b/>
      <w:bCs/>
      <w:sz w:val="20"/>
      <w:szCs w:val="20"/>
    </w:rPr>
  </w:style>
  <w:style w:type="paragraph" w:customStyle="1" w:styleId="grayme">
    <w:name w:val="grayme"/>
    <w:basedOn w:val="Normal"/>
    <w:rsid w:val="001F52A4"/>
    <w:pPr>
      <w:spacing w:before="100" w:beforeAutospacing="1" w:after="100" w:afterAutospacing="1"/>
    </w:pPr>
    <w:rPr>
      <w:i/>
      <w:iCs/>
      <w:color w:val="888888"/>
    </w:rPr>
  </w:style>
  <w:style w:type="paragraph" w:styleId="Header">
    <w:name w:val="header"/>
    <w:basedOn w:val="Normal"/>
    <w:link w:val="HeaderChar"/>
    <w:uiPriority w:val="99"/>
    <w:unhideWhenUsed/>
    <w:rsid w:val="00655848"/>
    <w:pPr>
      <w:tabs>
        <w:tab w:val="center" w:pos="4680"/>
        <w:tab w:val="right" w:pos="9360"/>
      </w:tabs>
    </w:pPr>
  </w:style>
  <w:style w:type="character" w:customStyle="1" w:styleId="HeaderChar">
    <w:name w:val="Header Char"/>
    <w:basedOn w:val="DefaultParagraphFont"/>
    <w:link w:val="Header"/>
    <w:uiPriority w:val="99"/>
    <w:rsid w:val="00655848"/>
    <w:rPr>
      <w:rFonts w:eastAsiaTheme="minorEastAsia"/>
      <w:sz w:val="24"/>
      <w:szCs w:val="24"/>
    </w:rPr>
  </w:style>
  <w:style w:type="paragraph" w:styleId="Footer">
    <w:name w:val="footer"/>
    <w:basedOn w:val="Normal"/>
    <w:link w:val="FooterChar"/>
    <w:uiPriority w:val="99"/>
    <w:unhideWhenUsed/>
    <w:rsid w:val="00655848"/>
    <w:pPr>
      <w:tabs>
        <w:tab w:val="center" w:pos="4680"/>
        <w:tab w:val="right" w:pos="9360"/>
      </w:tabs>
    </w:pPr>
  </w:style>
  <w:style w:type="character" w:customStyle="1" w:styleId="FooterChar">
    <w:name w:val="Footer Char"/>
    <w:basedOn w:val="DefaultParagraphFont"/>
    <w:link w:val="Footer"/>
    <w:uiPriority w:val="99"/>
    <w:rsid w:val="00655848"/>
    <w:rPr>
      <w:rFonts w:eastAsiaTheme="minorEastAsia"/>
      <w:sz w:val="24"/>
      <w:szCs w:val="24"/>
    </w:rPr>
  </w:style>
  <w:style w:type="paragraph" w:styleId="BalloonText">
    <w:name w:val="Balloon Text"/>
    <w:basedOn w:val="Normal"/>
    <w:link w:val="BalloonTextChar"/>
    <w:uiPriority w:val="99"/>
    <w:semiHidden/>
    <w:unhideWhenUsed/>
    <w:rsid w:val="00B1169C"/>
    <w:rPr>
      <w:rFonts w:ascii="Tahoma" w:hAnsi="Tahoma" w:cs="Tahoma"/>
      <w:sz w:val="16"/>
      <w:szCs w:val="16"/>
    </w:rPr>
  </w:style>
  <w:style w:type="character" w:customStyle="1" w:styleId="BalloonTextChar">
    <w:name w:val="Balloon Text Char"/>
    <w:basedOn w:val="DefaultParagraphFont"/>
    <w:link w:val="BalloonText"/>
    <w:uiPriority w:val="99"/>
    <w:semiHidden/>
    <w:rsid w:val="00B1169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655848"/>
    <w:pPr>
      <w:tabs>
        <w:tab w:val="center" w:pos="4680"/>
        <w:tab w:val="right" w:pos="9360"/>
      </w:tabs>
    </w:pPr>
  </w:style>
  <w:style w:type="character" w:customStyle="1" w:styleId="HeaderChar">
    <w:name w:val="Header Char"/>
    <w:basedOn w:val="DefaultParagraphFont"/>
    <w:link w:val="Header"/>
    <w:uiPriority w:val="99"/>
    <w:rsid w:val="00655848"/>
    <w:rPr>
      <w:rFonts w:eastAsiaTheme="minorEastAsia"/>
      <w:sz w:val="24"/>
      <w:szCs w:val="24"/>
    </w:rPr>
  </w:style>
  <w:style w:type="paragraph" w:styleId="Footer">
    <w:name w:val="footer"/>
    <w:basedOn w:val="Normal"/>
    <w:link w:val="FooterChar"/>
    <w:uiPriority w:val="99"/>
    <w:semiHidden/>
    <w:unhideWhenUsed/>
    <w:rsid w:val="00655848"/>
    <w:pPr>
      <w:tabs>
        <w:tab w:val="center" w:pos="4680"/>
        <w:tab w:val="right" w:pos="9360"/>
      </w:tabs>
    </w:pPr>
  </w:style>
  <w:style w:type="character" w:customStyle="1" w:styleId="FooterChar">
    <w:name w:val="Footer Char"/>
    <w:basedOn w:val="DefaultParagraphFont"/>
    <w:link w:val="Footer"/>
    <w:uiPriority w:val="99"/>
    <w:semiHidden/>
    <w:rsid w:val="00655848"/>
    <w:rPr>
      <w:rFonts w:eastAsiaTheme="minorEastAsia"/>
      <w:sz w:val="24"/>
      <w:szCs w:val="24"/>
    </w:rPr>
  </w:style>
  <w:style w:type="paragraph" w:styleId="BalloonText">
    <w:name w:val="Balloon Text"/>
    <w:basedOn w:val="Normal"/>
    <w:link w:val="BalloonTextChar"/>
    <w:uiPriority w:val="99"/>
    <w:semiHidden/>
    <w:unhideWhenUsed/>
    <w:rsid w:val="00B1169C"/>
    <w:rPr>
      <w:rFonts w:ascii="Tahoma" w:hAnsi="Tahoma" w:cs="Tahoma"/>
      <w:sz w:val="16"/>
      <w:szCs w:val="16"/>
    </w:rPr>
  </w:style>
  <w:style w:type="character" w:customStyle="1" w:styleId="BalloonTextChar">
    <w:name w:val="Balloon Text Char"/>
    <w:basedOn w:val="DefaultParagraphFont"/>
    <w:link w:val="BalloonText"/>
    <w:uiPriority w:val="99"/>
    <w:semiHidden/>
    <w:rsid w:val="00B1169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99221">
      <w:marLeft w:val="0"/>
      <w:marRight w:val="0"/>
      <w:marTop w:val="0"/>
      <w:marBottom w:val="0"/>
      <w:divBdr>
        <w:top w:val="none" w:sz="0" w:space="0" w:color="auto"/>
        <w:left w:val="none" w:sz="0" w:space="0" w:color="auto"/>
        <w:bottom w:val="none" w:sz="0" w:space="0" w:color="auto"/>
        <w:right w:val="none" w:sz="0" w:space="0" w:color="auto"/>
      </w:divBdr>
    </w:div>
    <w:div w:id="209146608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4B92DD533AA6B4CA633FF894B800231" ma:contentTypeVersion="0" ma:contentTypeDescription="A content type to manage public (operations) IDB documents" ma:contentTypeScope="" ma:versionID="0a3859df0ffc0d059b92b483e8989178">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36832617</IDBDocs_x0020_Number>
    <TaxCatchAll xmlns="9c571b2f-e523-4ab2-ba2e-09e151a03ef4">
      <Value>8</Value>
      <Value>9</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Chrisney, Martin D.</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HA-L1050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Profile&lt;/USER_STAGE&gt;&lt;APPROVAL_CODE&gt;CHF&lt;/APPROVAL_CODE&gt;&lt;APPROVAL_DESC&gt;Chief&lt;/APPROVAL_DESC&gt;&lt;PD_OBJ_TYPE&gt;0&lt;/PD_OBJ_TYPE&gt;&lt;MAKERECORD&gt;N&lt;/MAKERECORD&gt;&lt;PD_FILEPT_NO&gt;PO-HA-L1050-Anl&lt;/PD_FILEPT_NO&gt;&lt;/Data&gt;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Project Profile</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AEB60B1-DE28-4458-A5E6-18171FF97447}"/>
</file>

<file path=customXml/itemProps2.xml><?xml version="1.0" encoding="utf-8"?>
<ds:datastoreItem xmlns:ds="http://schemas.openxmlformats.org/officeDocument/2006/customXml" ds:itemID="{9317DAC1-EC6A-4547-89B5-3FFE37A69339}"/>
</file>

<file path=customXml/itemProps3.xml><?xml version="1.0" encoding="utf-8"?>
<ds:datastoreItem xmlns:ds="http://schemas.openxmlformats.org/officeDocument/2006/customXml" ds:itemID="{022070E2-851E-4027-BBA5-F99FE331D6E5}"/>
</file>

<file path=customXml/itemProps4.xml><?xml version="1.0" encoding="utf-8"?>
<ds:datastoreItem xmlns:ds="http://schemas.openxmlformats.org/officeDocument/2006/customXml" ds:itemID="{1F55C2C9-B728-4571-AA63-5469C8235E40}"/>
</file>

<file path=customXml/itemProps5.xml><?xml version="1.0" encoding="utf-8"?>
<ds:datastoreItem xmlns:ds="http://schemas.openxmlformats.org/officeDocument/2006/customXml" ds:itemID="{FB4D625E-BDEC-429D-A379-0B88D42E10A7}"/>
</file>

<file path=docProps/app.xml><?xml version="1.0" encoding="utf-8"?>
<Properties xmlns="http://schemas.openxmlformats.org/officeDocument/2006/extended-properties" xmlns:vt="http://schemas.openxmlformats.org/officeDocument/2006/docPropsVTypes">
  <Template>Normal.dotm</Template>
  <TotalTime>5</TotalTime>
  <Pages>2</Pages>
  <Words>291</Words>
  <Characters>2113</Characters>
  <Application>Microsoft Office Word</Application>
  <DocSecurity>0</DocSecurity>
  <Lines>46</Lines>
  <Paragraphs>16</Paragraphs>
  <ScaleCrop>false</ScaleCrop>
  <Company>Inter-American Development Bank</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Reformulation - Safeguard Policy Filter Report</dc:title>
  <dc:creator>annabellag</dc:creator>
  <cp:lastModifiedBy>Test</cp:lastModifiedBy>
  <cp:revision>8</cp:revision>
  <dcterms:created xsi:type="dcterms:W3CDTF">2012-04-27T17:06:00Z</dcterms:created>
  <dcterms:modified xsi:type="dcterms:W3CDTF">2012-11-16T18:41:00Z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0x01010046CF21643EE8D14686A648AA6DAD08920094B92DD533AA6B4CA633FF894B800231</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8;#Loan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8;#Loan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