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pacing w:before="120" w:after="120"/>
        <w:ind w:left="540" w:hanging="540"/>
        <w:jc w:val="both"/>
        <w:rPr>
          <w:rFonts w:ascii="Arial" w:hAnsi="Arial" w:cs="Arial"/>
          <w:sz w:val="20"/>
          <w:szCs w:val="20"/>
          <w:lang w:val="es-ES"/>
        </w:rPr>
      </w:pPr>
      <w:r>
        <w:rPr>
          <w:rFonts w:ascii="Arial" w:hAnsi="Arial" w:cs="Arial"/>
          <w:sz w:val="20"/>
          <w:szCs w:val="20"/>
          <w:lang w:val="es-ES_tradnl"/>
        </w:rPr>
        <w:t>[1]</w:t>
      </w:r>
      <w:r>
        <w:rPr>
          <w:rFonts w:ascii="Arial" w:hAnsi="Arial" w:cs="Arial"/>
          <w:sz w:val="20"/>
          <w:szCs w:val="20"/>
          <w:lang w:val="es-ES_tradnl"/>
        </w:rPr>
        <w:tab/>
      </w:r>
      <w:r>
        <w:rPr>
          <w:rFonts w:ascii="Arial" w:hAnsi="Arial" w:cs="Arial"/>
          <w:sz w:val="20"/>
          <w:szCs w:val="20"/>
          <w:lang w:val="es-ES"/>
        </w:rPr>
        <w:t>Banco Central de Reserva del Perú (</w:t>
      </w:r>
      <w:hyperlink r:id="rId7" w:history="1">
        <w:r>
          <w:rPr>
            <w:rStyle w:val="Hyperlink"/>
            <w:rFonts w:ascii="Arial" w:hAnsi="Arial" w:cs="Arial"/>
            <w:sz w:val="20"/>
            <w:szCs w:val="20"/>
            <w:lang w:val="es-ES"/>
          </w:rPr>
          <w:t>BCRP</w:t>
        </w:r>
      </w:hyperlink>
      <w:r>
        <w:rPr>
          <w:rFonts w:ascii="Arial" w:hAnsi="Arial" w:cs="Arial"/>
          <w:sz w:val="20"/>
          <w:szCs w:val="20"/>
          <w:lang w:val="es-ES"/>
        </w:rPr>
        <w:t>).</w:t>
      </w:r>
    </w:p>
    <w:p>
      <w:pPr>
        <w:spacing w:before="120" w:after="120"/>
        <w:ind w:left="540" w:hanging="540"/>
        <w:jc w:val="both"/>
        <w:rPr>
          <w:rFonts w:ascii="Arial" w:hAnsi="Arial" w:cs="Arial"/>
          <w:sz w:val="20"/>
          <w:szCs w:val="20"/>
          <w:lang w:val="es-ES"/>
        </w:rPr>
      </w:pPr>
      <w:r>
        <w:rPr>
          <w:rFonts w:ascii="Arial" w:hAnsi="Arial" w:cs="Arial"/>
          <w:sz w:val="20"/>
          <w:szCs w:val="20"/>
          <w:lang w:val="es-ES"/>
        </w:rPr>
        <w:t>[2]</w:t>
      </w:r>
      <w:r>
        <w:rPr>
          <w:rFonts w:ascii="Arial" w:hAnsi="Arial" w:cs="Arial"/>
          <w:sz w:val="20"/>
          <w:szCs w:val="20"/>
          <w:lang w:val="es-ES"/>
        </w:rPr>
        <w:tab/>
        <w:t>Comisión Económica para América Latina y el Caribe (</w:t>
      </w:r>
      <w:hyperlink r:id="rId8" w:history="1">
        <w:r>
          <w:rPr>
            <w:rStyle w:val="Hyperlink"/>
            <w:rFonts w:ascii="Arial" w:hAnsi="Arial" w:cs="Arial"/>
            <w:sz w:val="20"/>
            <w:szCs w:val="20"/>
            <w:lang w:val="es-ES"/>
          </w:rPr>
          <w:t>CEPAL</w:t>
        </w:r>
      </w:hyperlink>
      <w:r>
        <w:rPr>
          <w:rFonts w:ascii="Arial" w:hAnsi="Arial" w:cs="Arial"/>
          <w:sz w:val="20"/>
          <w:szCs w:val="20"/>
          <w:lang w:val="es-ES"/>
        </w:rPr>
        <w:t>).</w:t>
      </w:r>
    </w:p>
    <w:p>
      <w:pPr>
        <w:spacing w:before="120" w:after="120"/>
        <w:ind w:left="540"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Pr>
          <w:rFonts w:ascii="Arial" w:hAnsi="Arial" w:cs="Arial"/>
          <w:i/>
          <w:sz w:val="20"/>
          <w:szCs w:val="20"/>
        </w:rPr>
        <w:t>Socio-Economic Database for Latin America and the Caribbean</w:t>
      </w:r>
      <w:r>
        <w:rPr>
          <w:rFonts w:ascii="Arial" w:hAnsi="Arial" w:cs="Arial"/>
          <w:sz w:val="20"/>
          <w:szCs w:val="20"/>
        </w:rPr>
        <w:t>.</w:t>
      </w:r>
    </w:p>
    <w:p>
      <w:pPr>
        <w:spacing w:before="120" w:after="120"/>
        <w:ind w:left="540" w:hanging="540"/>
        <w:jc w:val="both"/>
        <w:rPr>
          <w:rFonts w:ascii="Arial" w:hAnsi="Arial" w:cs="Arial"/>
          <w:sz w:val="20"/>
          <w:szCs w:val="20"/>
          <w:lang w:val="es-ES"/>
        </w:rPr>
      </w:pPr>
      <w:r>
        <w:rPr>
          <w:rFonts w:ascii="Arial" w:hAnsi="Arial" w:cs="Arial"/>
          <w:sz w:val="20"/>
          <w:szCs w:val="20"/>
          <w:lang w:val="es-ES_tradnl"/>
        </w:rPr>
        <w:t>[4]</w:t>
      </w:r>
      <w:r>
        <w:rPr>
          <w:rFonts w:ascii="Arial" w:hAnsi="Arial" w:cs="Arial"/>
          <w:sz w:val="20"/>
          <w:szCs w:val="20"/>
          <w:lang w:val="es-ES_tradnl"/>
        </w:rPr>
        <w:tab/>
      </w:r>
      <w:r>
        <w:rPr>
          <w:rFonts w:ascii="Arial" w:hAnsi="Arial" w:cs="Arial"/>
          <w:sz w:val="20"/>
          <w:szCs w:val="20"/>
          <w:lang w:val="es-ES"/>
        </w:rPr>
        <w:t>Artículo IV Perú - Fondo Monetario Internacional (FMI), 2017.</w:t>
      </w:r>
    </w:p>
    <w:p>
      <w:pPr>
        <w:spacing w:before="120" w:after="120"/>
        <w:ind w:left="540" w:hanging="540"/>
        <w:jc w:val="both"/>
        <w:rPr>
          <w:rFonts w:ascii="Arial" w:hAnsi="Arial" w:cs="Arial"/>
          <w:sz w:val="20"/>
          <w:szCs w:val="20"/>
          <w:lang w:val="es-ES_tradnl"/>
        </w:rPr>
      </w:pPr>
      <w:r>
        <w:rPr>
          <w:rFonts w:ascii="Arial" w:hAnsi="Arial" w:cs="Arial"/>
          <w:sz w:val="20"/>
          <w:szCs w:val="20"/>
          <w:lang w:val="es-ES"/>
        </w:rPr>
        <w:t>[5]</w:t>
      </w:r>
      <w:r>
        <w:rPr>
          <w:rFonts w:ascii="Arial" w:hAnsi="Arial" w:cs="Arial"/>
          <w:sz w:val="20"/>
          <w:szCs w:val="20"/>
          <w:lang w:val="es-ES"/>
        </w:rPr>
        <w:tab/>
      </w:r>
      <w:r>
        <w:rPr>
          <w:rFonts w:ascii="Arial" w:hAnsi="Arial" w:cs="Arial"/>
          <w:sz w:val="20"/>
          <w:szCs w:val="20"/>
          <w:lang w:val="es-ES_tradnl"/>
        </w:rPr>
        <w:t>Marco Macroeconómico</w:t>
      </w:r>
      <w:r>
        <w:rPr>
          <w:rFonts w:ascii="Arial" w:hAnsi="Arial" w:cs="Arial"/>
          <w:i/>
          <w:sz w:val="20"/>
          <w:szCs w:val="20"/>
          <w:lang w:val="es-ES_tradnl"/>
        </w:rPr>
        <w:t xml:space="preserve"> </w:t>
      </w:r>
      <w:r>
        <w:rPr>
          <w:rFonts w:ascii="Arial" w:hAnsi="Arial" w:cs="Arial"/>
          <w:sz w:val="20"/>
          <w:szCs w:val="20"/>
          <w:lang w:val="es-ES_tradnl"/>
        </w:rPr>
        <w:t>Multianual 2018-2021.</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[6]</w:t>
      </w:r>
      <w:r>
        <w:rPr>
          <w:rFonts w:ascii="Arial" w:hAnsi="Arial" w:cs="Arial"/>
          <w:sz w:val="20"/>
          <w:szCs w:val="20"/>
          <w:lang w:val="es-ES_tradnl"/>
        </w:rPr>
        <w:tab/>
        <w:t xml:space="preserve">Universidad del </w:t>
      </w:r>
      <w:r>
        <w:rPr>
          <w:rFonts w:ascii="Arial" w:hAnsi="Arial" w:cs="Arial"/>
          <w:sz w:val="20"/>
          <w:szCs w:val="20"/>
          <w:lang w:val="es-ES"/>
        </w:rPr>
        <w:t>Pacífico</w:t>
      </w:r>
      <w:r>
        <w:rPr>
          <w:rFonts w:ascii="Arial" w:hAnsi="Arial" w:cs="Arial"/>
          <w:sz w:val="20"/>
          <w:szCs w:val="20"/>
          <w:lang w:val="es-ES_tradnl"/>
        </w:rPr>
        <w:t>. 2010. Balance de la Inversión Pública: Avances y Desafíos para Consolidar la Competitividad y el Bienestar de la Población.</w:t>
      </w:r>
      <w:bookmarkStart w:id="0" w:name="_GoBack"/>
      <w:bookmarkEnd w:id="0"/>
    </w:p>
    <w:p>
      <w:pPr>
        <w:spacing w:before="120" w:after="120"/>
        <w:ind w:left="540" w:hanging="540"/>
        <w:jc w:val="both"/>
        <w:rPr>
          <w:rFonts w:ascii="Arial" w:hAnsi="Arial" w:cs="Arial"/>
          <w:sz w:val="20"/>
          <w:szCs w:val="20"/>
          <w:lang w:val="es-PE"/>
        </w:rPr>
      </w:pPr>
      <w:r>
        <w:rPr>
          <w:rFonts w:ascii="Arial" w:hAnsi="Arial" w:cs="Arial"/>
          <w:sz w:val="20"/>
          <w:szCs w:val="20"/>
          <w:lang w:val="es-ES_tradnl"/>
        </w:rPr>
        <w:t>[7]</w:t>
      </w:r>
      <w:r>
        <w:rPr>
          <w:rFonts w:ascii="Arial" w:hAnsi="Arial" w:cs="Arial"/>
          <w:sz w:val="20"/>
          <w:szCs w:val="20"/>
          <w:lang w:val="es-ES_tradnl"/>
        </w:rPr>
        <w:tab/>
        <w:t>Organización para la Cooperación y Desarrollo Económicos (</w:t>
      </w:r>
      <w:r>
        <w:rPr>
          <w:rFonts w:ascii="Arial" w:hAnsi="Arial" w:cs="Arial"/>
          <w:sz w:val="20"/>
          <w:szCs w:val="20"/>
          <w:lang w:val="es-PE"/>
        </w:rPr>
        <w:t>OCDE), 2016.</w:t>
      </w:r>
    </w:p>
    <w:p>
      <w:pPr>
        <w:spacing w:before="120" w:after="120"/>
        <w:ind w:left="540"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Pr>
          <w:rFonts w:ascii="Arial" w:hAnsi="Arial" w:cs="Arial"/>
          <w:i/>
          <w:sz w:val="20"/>
          <w:szCs w:val="20"/>
        </w:rPr>
        <w:t xml:space="preserve">Country Development Challenges: Peru, </w:t>
      </w:r>
      <w:r>
        <w:rPr>
          <w:rFonts w:ascii="Arial" w:hAnsi="Arial" w:cs="Arial"/>
          <w:sz w:val="20"/>
          <w:szCs w:val="20"/>
        </w:rPr>
        <w:t>BID, 2016.</w:t>
      </w:r>
    </w:p>
    <w:p>
      <w:pPr>
        <w:spacing w:before="120" w:after="120"/>
        <w:ind w:left="540"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Pr>
          <w:rFonts w:ascii="Arial" w:hAnsi="Arial" w:cs="Arial"/>
          <w:i/>
          <w:noProof/>
          <w:sz w:val="20"/>
          <w:szCs w:val="20"/>
        </w:rPr>
        <w:t>Recommendation of the Council on Effective Public Investment Across Levels of Government</w:t>
      </w:r>
      <w:r>
        <w:rPr>
          <w:rFonts w:ascii="Arial" w:hAnsi="Arial" w:cs="Arial"/>
          <w:sz w:val="20"/>
          <w:szCs w:val="20"/>
        </w:rPr>
        <w:t xml:space="preserve"> (OCDE, 2014).</w:t>
      </w:r>
    </w:p>
    <w:p>
      <w:pPr>
        <w:spacing w:before="120" w:after="120"/>
        <w:ind w:left="540" w:hanging="540"/>
        <w:jc w:val="both"/>
        <w:rPr>
          <w:rFonts w:ascii="Arial" w:hAnsi="Arial" w:cs="Arial"/>
          <w:sz w:val="20"/>
          <w:szCs w:val="20"/>
          <w:lang w:val="es-ES"/>
        </w:rPr>
      </w:pPr>
      <w:r>
        <w:rPr>
          <w:rFonts w:ascii="Arial" w:hAnsi="Arial" w:cs="Arial"/>
          <w:sz w:val="20"/>
          <w:szCs w:val="20"/>
        </w:rPr>
        <w:t>[10]</w:t>
      </w:r>
      <w:r>
        <w:rPr>
          <w:rFonts w:ascii="Arial" w:hAnsi="Arial" w:cs="Arial"/>
          <w:sz w:val="20"/>
          <w:szCs w:val="20"/>
        </w:rPr>
        <w:tab/>
      </w:r>
      <w:r>
        <w:rPr>
          <w:rFonts w:ascii="Arial" w:hAnsi="Arial" w:cs="Arial"/>
          <w:i/>
          <w:noProof/>
          <w:sz w:val="20"/>
          <w:szCs w:val="20"/>
          <w:lang w:val="es-ES"/>
        </w:rPr>
        <w:t>Territorial Reviews Peru 2016</w:t>
      </w:r>
      <w:r>
        <w:rPr>
          <w:rFonts w:ascii="Arial" w:hAnsi="Arial" w:cs="Arial"/>
          <w:noProof/>
          <w:sz w:val="20"/>
          <w:szCs w:val="20"/>
          <w:lang w:val="es-ES"/>
        </w:rPr>
        <w:t xml:space="preserve"> </w:t>
      </w:r>
      <w:r>
        <w:rPr>
          <w:rFonts w:ascii="Arial" w:hAnsi="Arial" w:cs="Arial"/>
          <w:sz w:val="20"/>
          <w:szCs w:val="20"/>
          <w:lang w:val="es-ES"/>
        </w:rPr>
        <w:t>(OCDE, 2016).</w:t>
      </w:r>
    </w:p>
    <w:p>
      <w:pPr>
        <w:spacing w:before="120" w:after="120"/>
        <w:ind w:left="540" w:hanging="540"/>
        <w:jc w:val="both"/>
        <w:rPr>
          <w:rFonts w:ascii="Arial" w:hAnsi="Arial" w:cs="Arial"/>
          <w:sz w:val="20"/>
          <w:szCs w:val="20"/>
          <w:lang w:val="es-ES_tradnl"/>
        </w:rPr>
      </w:pPr>
      <w:r>
        <w:rPr>
          <w:rFonts w:ascii="Arial" w:hAnsi="Arial" w:cs="Arial"/>
          <w:sz w:val="20"/>
          <w:szCs w:val="20"/>
          <w:lang w:val="es-ES"/>
        </w:rPr>
        <w:t>[11]</w:t>
      </w:r>
      <w:r>
        <w:rPr>
          <w:rFonts w:ascii="Arial" w:hAnsi="Arial" w:cs="Arial"/>
          <w:sz w:val="20"/>
          <w:szCs w:val="20"/>
          <w:lang w:val="es-ES"/>
        </w:rPr>
        <w:tab/>
      </w:r>
      <w:r>
        <w:rPr>
          <w:rFonts w:ascii="Arial" w:hAnsi="Arial" w:cs="Arial"/>
          <w:sz w:val="20"/>
          <w:szCs w:val="20"/>
          <w:lang w:val="es-ES_tradnl"/>
        </w:rPr>
        <w:t>Diagnóstico del funcionamiento y desempeño del SNIP (MEF, 2016).</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[12]</w:t>
      </w:r>
      <w:r>
        <w:rPr>
          <w:rFonts w:ascii="Arial" w:hAnsi="Arial" w:cs="Arial"/>
          <w:sz w:val="20"/>
          <w:szCs w:val="20"/>
          <w:lang w:val="es-ES_tradnl"/>
        </w:rPr>
        <w:tab/>
        <w:t>Contraloría General de la República (CGR), 2016.</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[13]</w:t>
      </w:r>
      <w:r>
        <w:rPr>
          <w:rFonts w:ascii="Arial" w:hAnsi="Arial" w:cs="Arial"/>
          <w:sz w:val="20"/>
          <w:szCs w:val="20"/>
          <w:lang w:val="es-ES_tradnl"/>
        </w:rPr>
        <w:tab/>
        <w:t>Ministerio de Economía y Finanzas (MEF), 2016/17.</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[14]</w:t>
      </w:r>
      <w:r>
        <w:rPr>
          <w:rFonts w:ascii="Arial" w:hAnsi="Arial" w:cs="Arial"/>
          <w:sz w:val="20"/>
          <w:szCs w:val="20"/>
          <w:lang w:val="es-ES_tradnl"/>
        </w:rPr>
        <w:tab/>
        <w:t>Segunda Evaluación (SERVIR, 2013).</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[15]</w:t>
      </w:r>
      <w:r>
        <w:rPr>
          <w:rFonts w:ascii="Arial" w:hAnsi="Arial" w:cs="Arial"/>
          <w:sz w:val="20"/>
          <w:szCs w:val="20"/>
          <w:lang w:val="es-ES_tradnl"/>
        </w:rPr>
        <w:tab/>
      </w:r>
      <w:r>
        <w:rPr>
          <w:rFonts w:ascii="Arial" w:hAnsi="Arial" w:cs="Arial"/>
          <w:i/>
          <w:sz w:val="20"/>
          <w:szCs w:val="20"/>
          <w:lang w:val="es-ES_tradnl"/>
        </w:rPr>
        <w:t xml:space="preserve">Public Procurement in </w:t>
      </w:r>
      <w:proofErr w:type="spellStart"/>
      <w:r>
        <w:rPr>
          <w:rFonts w:ascii="Arial" w:hAnsi="Arial" w:cs="Arial"/>
          <w:i/>
          <w:sz w:val="20"/>
          <w:szCs w:val="20"/>
          <w:lang w:val="es-ES_tradnl"/>
        </w:rPr>
        <w:t>Peru</w:t>
      </w:r>
      <w:proofErr w:type="spellEnd"/>
      <w:r>
        <w:rPr>
          <w:rFonts w:ascii="Arial" w:hAnsi="Arial" w:cs="Arial"/>
          <w:sz w:val="20"/>
          <w:szCs w:val="20"/>
          <w:lang w:val="es-ES_tradnl"/>
        </w:rPr>
        <w:t xml:space="preserve"> (OCDE, 2017)</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[16]</w:t>
      </w:r>
      <w:r>
        <w:rPr>
          <w:rFonts w:ascii="Arial" w:hAnsi="Arial" w:cs="Arial"/>
          <w:sz w:val="20"/>
          <w:szCs w:val="20"/>
          <w:lang w:val="es-ES_tradnl"/>
        </w:rPr>
        <w:tab/>
        <w:t xml:space="preserve">La importancia del Servicio Civil en el desarrollo de capacidades estatales en América Latina </w:t>
      </w:r>
      <w:r>
        <w:rPr>
          <w:rFonts w:ascii="Arial" w:hAnsi="Arial" w:cs="Arial"/>
          <w:sz w:val="20"/>
          <w:szCs w:val="20"/>
          <w:lang w:val="es-ES_tradnl"/>
        </w:rPr>
        <w:br/>
        <w:t>(CAF, 2015).</w:t>
      </w:r>
    </w:p>
    <w:p>
      <w:pPr>
        <w:spacing w:before="120" w:after="120"/>
        <w:ind w:left="540" w:hanging="540"/>
        <w:jc w:val="both"/>
        <w:rPr>
          <w:rFonts w:ascii="Arial" w:hAnsi="Arial" w:cs="Arial"/>
          <w:sz w:val="20"/>
          <w:szCs w:val="20"/>
        </w:rPr>
      </w:pPr>
      <w:r>
        <w:rPr>
          <w:rFonts w:ascii="Arial" w:hAnsi="Arial" w:cs="Arial"/>
          <w:sz w:val="20"/>
          <w:szCs w:val="20"/>
        </w:rPr>
        <w:t>[17]</w:t>
      </w:r>
      <w:r>
        <w:rPr>
          <w:rFonts w:ascii="Arial" w:hAnsi="Arial" w:cs="Arial"/>
          <w:sz w:val="20"/>
          <w:szCs w:val="20"/>
        </w:rPr>
        <w:tab/>
      </w:r>
      <w:r>
        <w:rPr>
          <w:rFonts w:ascii="Arial" w:hAnsi="Arial" w:cs="Arial"/>
          <w:i/>
          <w:sz w:val="20"/>
          <w:szCs w:val="20"/>
        </w:rPr>
        <w:t xml:space="preserve">More than you can handle: Decentralization and spending ability In Peruvian Municipalities. </w:t>
      </w:r>
      <w:r>
        <w:rPr>
          <w:rFonts w:ascii="Arial" w:hAnsi="Arial" w:cs="Arial"/>
          <w:sz w:val="20"/>
          <w:szCs w:val="20"/>
          <w:lang w:val="es-ES_tradnl"/>
        </w:rPr>
        <w:t xml:space="preserve">Loayza, N. J. </w:t>
      </w:r>
      <w:proofErr w:type="spellStart"/>
      <w:r>
        <w:rPr>
          <w:rFonts w:ascii="Arial" w:hAnsi="Arial" w:cs="Arial"/>
          <w:sz w:val="20"/>
          <w:szCs w:val="20"/>
          <w:lang w:val="es-ES_tradnl"/>
        </w:rPr>
        <w:t>Rigolini</w:t>
      </w:r>
      <w:proofErr w:type="spellEnd"/>
      <w:r>
        <w:rPr>
          <w:rFonts w:ascii="Arial" w:hAnsi="Arial" w:cs="Arial"/>
          <w:sz w:val="20"/>
          <w:szCs w:val="20"/>
          <w:lang w:val="es-ES_tradnl"/>
        </w:rPr>
        <w:t xml:space="preserve">, y O. Calvo. </w:t>
      </w:r>
      <w:r>
        <w:rPr>
          <w:rFonts w:ascii="Arial" w:hAnsi="Arial" w:cs="Arial"/>
          <w:sz w:val="20"/>
          <w:szCs w:val="20"/>
        </w:rPr>
        <w:t>2014.</w:t>
      </w:r>
    </w:p>
    <w:p>
      <w:pPr>
        <w:spacing w:before="120" w:after="120"/>
        <w:ind w:left="540" w:hanging="540"/>
        <w:jc w:val="both"/>
        <w:rPr>
          <w:rFonts w:ascii="Arial" w:hAnsi="Arial" w:cs="Arial"/>
          <w:i/>
          <w:sz w:val="20"/>
          <w:szCs w:val="20"/>
        </w:rPr>
      </w:pPr>
      <w:r>
        <w:rPr>
          <w:rFonts w:ascii="Arial" w:hAnsi="Arial" w:cs="Arial"/>
          <w:sz w:val="20"/>
          <w:szCs w:val="20"/>
        </w:rPr>
        <w:t>[18]</w:t>
      </w:r>
      <w:r>
        <w:rPr>
          <w:rFonts w:ascii="Arial" w:hAnsi="Arial" w:cs="Arial"/>
          <w:sz w:val="20"/>
          <w:szCs w:val="20"/>
        </w:rPr>
        <w:tab/>
        <w:t xml:space="preserve">Calderón y Servén. 2004. </w:t>
      </w:r>
      <w:r>
        <w:rPr>
          <w:rFonts w:ascii="Arial" w:hAnsi="Arial" w:cs="Arial"/>
          <w:i/>
          <w:sz w:val="20"/>
          <w:szCs w:val="20"/>
        </w:rPr>
        <w:t>The Effects of Infrastructure Development on Growth and Income Distribution; Gupta et al. 2014. Efficiency-Adjusted Public Capital and Growth</w:t>
      </w:r>
      <w:r>
        <w:rPr>
          <w:rFonts w:ascii="Arial" w:hAnsi="Arial" w:cs="Arial"/>
          <w:sz w:val="20"/>
          <w:szCs w:val="20"/>
        </w:rPr>
        <w:t xml:space="preserve">; FMI 2014. </w:t>
      </w:r>
      <w:r>
        <w:rPr>
          <w:rFonts w:ascii="Arial" w:hAnsi="Arial" w:cs="Arial"/>
          <w:i/>
          <w:sz w:val="20"/>
          <w:szCs w:val="20"/>
        </w:rPr>
        <w:t>Is It Time for an Infrastructure Push?</w:t>
      </w:r>
    </w:p>
    <w:p>
      <w:pPr>
        <w:spacing w:before="120" w:after="120"/>
        <w:ind w:left="540" w:hanging="540"/>
        <w:jc w:val="both"/>
        <w:rPr>
          <w:rFonts w:ascii="Arial" w:hAnsi="Arial" w:cs="Arial"/>
          <w:sz w:val="20"/>
          <w:szCs w:val="20"/>
        </w:rPr>
      </w:pPr>
      <w:r>
        <w:rPr>
          <w:rFonts w:ascii="Arial" w:hAnsi="Arial" w:cs="Arial"/>
          <w:sz w:val="20"/>
          <w:szCs w:val="20"/>
        </w:rPr>
        <w:t>[19]</w:t>
      </w:r>
      <w:r>
        <w:rPr>
          <w:rFonts w:ascii="Arial" w:hAnsi="Arial" w:cs="Arial"/>
          <w:sz w:val="20"/>
          <w:szCs w:val="20"/>
        </w:rPr>
        <w:tab/>
      </w:r>
      <w:r>
        <w:rPr>
          <w:rFonts w:ascii="Arial" w:hAnsi="Arial" w:cs="Arial"/>
          <w:i/>
          <w:sz w:val="20"/>
          <w:szCs w:val="20"/>
        </w:rPr>
        <w:t>Making public investment more efficient</w:t>
      </w:r>
      <w:r>
        <w:rPr>
          <w:rFonts w:ascii="Arial" w:hAnsi="Arial" w:cs="Arial"/>
          <w:sz w:val="20"/>
          <w:szCs w:val="20"/>
        </w:rPr>
        <w:t xml:space="preserve"> (FMI, 2015).</w:t>
      </w:r>
    </w:p>
    <w:p>
      <w:pPr>
        <w:spacing w:before="120" w:after="120"/>
        <w:ind w:left="540" w:hanging="540"/>
        <w:jc w:val="both"/>
        <w:rPr>
          <w:rFonts w:ascii="Arial" w:hAnsi="Arial" w:cs="Arial"/>
          <w:sz w:val="20"/>
          <w:szCs w:val="20"/>
          <w:lang w:val="es-ES_tradnl"/>
        </w:rPr>
      </w:pPr>
      <w:r>
        <w:rPr>
          <w:rFonts w:ascii="Arial" w:hAnsi="Arial" w:cs="Arial"/>
          <w:sz w:val="20"/>
          <w:szCs w:val="20"/>
          <w:lang w:val="es-ES_tradnl"/>
        </w:rPr>
        <w:t>[20]</w:t>
      </w:r>
      <w:r>
        <w:rPr>
          <w:rFonts w:ascii="Arial" w:hAnsi="Arial" w:cs="Arial"/>
          <w:sz w:val="20"/>
          <w:szCs w:val="20"/>
          <w:lang w:val="es-ES_tradnl"/>
        </w:rPr>
        <w:tab/>
      </w:r>
      <w:hyperlink r:id="rId9" w:history="1">
        <w:r>
          <w:rPr>
            <w:rStyle w:val="Hyperlink"/>
            <w:rFonts w:ascii="Arial" w:hAnsi="Arial" w:cs="Arial"/>
            <w:sz w:val="20"/>
            <w:szCs w:val="20"/>
            <w:lang w:val="es-ES_tradnl"/>
          </w:rPr>
          <w:t>Asociación para el Fomento de la Inversión Nacional, 2015</w:t>
        </w:r>
      </w:hyperlink>
      <w:r>
        <w:rPr>
          <w:rFonts w:ascii="Arial" w:hAnsi="Arial" w:cs="Arial"/>
          <w:sz w:val="20"/>
          <w:szCs w:val="20"/>
          <w:lang w:val="es-ES_tradnl"/>
        </w:rPr>
        <w:t>.</w:t>
      </w:r>
    </w:p>
    <w:sectPr>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sz w:val="20"/>
        <w:lang w:val="es-ES_tradnl"/>
      </w:rPr>
    </w:pPr>
    <w:r>
      <w:rPr>
        <w:rFonts w:ascii="Arial" w:hAnsi="Arial" w:cs="Arial"/>
        <w:sz w:val="20"/>
        <w:lang w:val="es-ES_tradnl"/>
      </w:rPr>
      <w:t>POD – Enlaces Bibliográficos</w:t>
    </w:r>
  </w:p>
  <w:p>
    <w:pPr>
      <w:pStyle w:val="Header"/>
      <w:jc w:val="right"/>
      <w:rPr>
        <w:rFonts w:ascii="Arial" w:hAnsi="Arial" w:cs="Arial"/>
        <w:sz w:val="20"/>
      </w:rPr>
    </w:pPr>
    <w:r>
      <w:rPr>
        <w:rFonts w:ascii="Arial" w:hAnsi="Arial" w:cs="Arial"/>
        <w:sz w:val="20"/>
      </w:rPr>
      <w:t>PE-L1231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B4B12A-49DB-4DDA-A376-0A8BA8451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character" w:styleId="UnresolvedMention">
    <w:name w:val="Unresolved Mention"/>
    <w:basedOn w:val="DefaultParagraphFont"/>
    <w:uiPriority w:val="99"/>
    <w:semiHidden/>
    <w:unhideWhenUsed/>
    <w:rPr>
      <w:color w:val="808080"/>
      <w:shd w:val="clear" w:color="auto" w:fill="E6E6E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pPr>
      <w:keepNext/>
      <w:keepLines/>
      <w:spacing w:after="120" w:line="240" w:lineRule="auto"/>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Pr>
      <w:spacing w:val="-3"/>
      <w:sz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qFormat/>
    <w:rPr>
      <w:vertAlign w:val="superscript"/>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tadisticas.cepal.org" TargetMode="Externa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hyperlink" Target="http://www.bcrp.gob.pe/" TargetMode="Externa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fin.org.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25F54E5A7C1C4AB202542EE5197DAC" ma:contentTypeVersion="27" ma:contentTypeDescription="A content type to manage public (operations) IDB documents" ma:contentTypeScope="" ma:versionID="7e10df52c0c87ef3c521e445b78a5189">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31</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R0001327191</Record_x0020_Number>
    <_dlc_DocId xmlns="cdc7663a-08f0-4737-9e8c-148ce897a09c">EZSHARE-239516867-61</_dlc_DocId>
    <_dlc_DocIdUrl xmlns="cdc7663a-08f0-4737-9e8c-148ce897a09c">
      <Url>https://idbg.sharepoint.com/teams/EZ-PE-LON/PE-L1231/_layouts/15/DocIdRedir.aspx?ID=EZSHARE-239516867-61</Url>
      <Description>EZSHARE-239516867-61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7D8214F-3322-4CCE-9645-71BC634A0192}">
  <ds:schemaRefs>
    <ds:schemaRef ds:uri="http://schemas.openxmlformats.org/officeDocument/2006/bibliography"/>
  </ds:schemaRefs>
</ds:datastoreItem>
</file>

<file path=customXml/itemProps2.xml><?xml version="1.0" encoding="utf-8"?>
<ds:datastoreItem xmlns:ds="http://schemas.openxmlformats.org/officeDocument/2006/customXml" ds:itemID="{D2ACBCE6-6B29-4145-911F-47132ED8B7BF}"/>
</file>

<file path=customXml/itemProps3.xml><?xml version="1.0" encoding="utf-8"?>
<ds:datastoreItem xmlns:ds="http://schemas.openxmlformats.org/officeDocument/2006/customXml" ds:itemID="{A240AA0F-410A-4B20-9CCD-373D3C0E4F5D}"/>
</file>

<file path=customXml/itemProps4.xml><?xml version="1.0" encoding="utf-8"?>
<ds:datastoreItem xmlns:ds="http://schemas.openxmlformats.org/officeDocument/2006/customXml" ds:itemID="{A9C074FD-CC96-4AA6-91C2-F75C6085DE98}"/>
</file>

<file path=customXml/itemProps5.xml><?xml version="1.0" encoding="utf-8"?>
<ds:datastoreItem xmlns:ds="http://schemas.openxmlformats.org/officeDocument/2006/customXml" ds:itemID="{2727F5BB-2BC7-4302-B8D7-C47BAD1A846E}"/>
</file>

<file path=customXml/itemProps6.xml><?xml version="1.0" encoding="utf-8"?>
<ds:datastoreItem xmlns:ds="http://schemas.openxmlformats.org/officeDocument/2006/customXml" ds:itemID="{ACEE00C4-7E2D-4EED-BD6B-B4E7B92D1F8D}"/>
</file>

<file path=customXml/itemProps7.xml><?xml version="1.0" encoding="utf-8"?>
<ds:datastoreItem xmlns:ds="http://schemas.openxmlformats.org/officeDocument/2006/customXml" ds:itemID="{76940C6E-0D64-4017-8EA3-1AC3A8EA98D3}"/>
</file>

<file path=docProps/app.xml><?xml version="1.0" encoding="utf-8"?>
<Properties xmlns="http://schemas.openxmlformats.org/officeDocument/2006/extended-properties" xmlns:vt="http://schemas.openxmlformats.org/officeDocument/2006/docPropsVTypes">
  <Template>Normal.dotm</Template>
  <TotalTime>38</TotalTime>
  <Pages>1</Pages>
  <Words>263</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Paino, Ida Maria del Pilar</dc:creator>
  <cp:keywords/>
  <dc:description/>
  <cp:lastModifiedBy>Canillas Gomez, Mariana Belen</cp:lastModifiedBy>
  <cp:revision>8</cp:revision>
  <dcterms:created xsi:type="dcterms:W3CDTF">2017-10-18T13:45:00Z</dcterms:created>
  <dcterms:modified xsi:type="dcterms:W3CDTF">2017-10-25T18:51:00Z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45;#FISCAL POLICY FOR SUSTAINABILITY AND GROWTH|6e15b5e0-ae82-4b06-920a-eef6dd27cc8b</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Sector IDB">
    <vt:lpwstr>44;#REFORM / MODERNIZATION OF THE STATE|c8fda4a7-691a-4c65-b227-9825197b5cd2</vt:lpwstr>
  </property>
  <property fmtid="{D5CDD505-2E9C-101B-9397-08002B2CF9AE}" pid="11" name="_dlc_DocIdItemGuid">
    <vt:lpwstr>da3836fc-7ec9-46a1-831c-dfc8a62d84a8</vt:lpwstr>
  </property>
  <property fmtid="{D5CDD505-2E9C-101B-9397-08002B2CF9AE}" pid="12" name="Disclosure Activity">
    <vt:lpwstr>Loan Proposal</vt:lpwstr>
  </property>
  <property fmtid="{D5CDD505-2E9C-101B-9397-08002B2CF9AE}" pid="13" name="ContentTypeId">
    <vt:lpwstr>0x0101001A458A224826124E8B45B1D613300CFC007C25F54E5A7C1C4AB202542EE5197DAC</vt:lpwstr>
  </property>
</Properties>
</file>