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Paragraph"/>
        <w:numPr>
          <w:ilvl w:val="1"/>
          <w:numId w:val="1"/>
        </w:numPr>
        <w:tabs>
          <w:tab w:val="left" w:pos="720"/>
          <w:tab w:val="num" w:pos="2160"/>
        </w:tabs>
        <w:suppressAutoHyphens/>
        <w:ind w:left="720" w:hanging="720"/>
        <w:rPr>
          <w:b/>
          <w:lang w:val="es-ES_tradnl"/>
        </w:rPr>
      </w:pPr>
      <w:r>
        <w:rPr>
          <w:b/>
          <w:lang w:val="es-ES_tradnl"/>
        </w:rPr>
        <w:t xml:space="preserve">Evidencia internacional. </w:t>
      </w:r>
      <w:bookmarkStart w:id="0" w:name="_Hlk490761096"/>
      <w:r>
        <w:rPr>
          <w:rFonts w:eastAsia="Arial"/>
          <w:lang w:val="es-ES_tradnl"/>
        </w:rPr>
        <w:t xml:space="preserve">La literatura </w:t>
      </w:r>
      <w:r>
        <w:rPr>
          <w:lang w:val="es-ES_tradnl"/>
        </w:rPr>
        <w:t>empírica</w:t>
      </w:r>
      <w:r>
        <w:rPr>
          <w:rStyle w:val="FootnoteReference"/>
          <w:lang w:val="es-ES_tradnl"/>
        </w:rPr>
        <w:footnoteReference w:id="1"/>
      </w:r>
      <w:r>
        <w:rPr>
          <w:lang w:val="es-ES_tradnl"/>
        </w:rPr>
        <w:t xml:space="preserve"> </w:t>
      </w:r>
      <w:r>
        <w:rPr>
          <w:rFonts w:eastAsia="Arial"/>
          <w:lang w:val="es-ES_tradnl"/>
        </w:rPr>
        <w:t xml:space="preserve">muestra que el retorno económico y social de la inversión pública depende en parte de la </w:t>
      </w:r>
      <w:r>
        <w:rPr>
          <w:rFonts w:eastAsia="Arial"/>
          <w:iCs/>
          <w:lang w:val="es-ES_tradnl"/>
        </w:rPr>
        <w:t xml:space="preserve">eficiencia con que se ejecute: un </w:t>
      </w:r>
      <w:r>
        <w:rPr>
          <w:rFonts w:eastAsia="Arial"/>
          <w:i/>
          <w:iCs/>
          <w:lang w:val="es-ES_tradnl"/>
        </w:rPr>
        <w:t>shock</w:t>
      </w:r>
      <w:r>
        <w:rPr>
          <w:rFonts w:eastAsia="Arial"/>
          <w:iCs/>
          <w:lang w:val="es-ES_tradnl"/>
        </w:rPr>
        <w:t xml:space="preserve"> de gasto público en inversión de un punto del PIB aumenta el producto en solo 0,3% en países con baja eficiencia del gasto, pero el mismo </w:t>
      </w:r>
      <w:r>
        <w:rPr>
          <w:rFonts w:eastAsia="Arial"/>
          <w:i/>
          <w:iCs/>
          <w:lang w:val="es-ES_tradnl"/>
        </w:rPr>
        <w:t>shock</w:t>
      </w:r>
      <w:r>
        <w:rPr>
          <w:rFonts w:eastAsia="Arial"/>
          <w:iCs/>
          <w:lang w:val="es-ES_tradnl"/>
        </w:rPr>
        <w:t xml:space="preserve"> genera un aumento de 0,6% en países con mayores niveles de eficiencia</w:t>
      </w:r>
      <w:r>
        <w:rPr>
          <w:rStyle w:val="FootnoteReference"/>
          <w:rFonts w:eastAsia="Arial"/>
          <w:iCs/>
          <w:lang w:val="es-ES_tradnl"/>
        </w:rPr>
        <w:footnoteReference w:id="2"/>
      </w:r>
      <w:r>
        <w:rPr>
          <w:rFonts w:eastAsia="Arial"/>
          <w:iCs/>
          <w:lang w:val="es-ES_tradnl"/>
        </w:rPr>
        <w:t>. La eficiencia del gasto en inversión es en parte explicada por la calidad de las instituciones: los países que cuentan con instituciones de gestión de la inversión de mayor calidad tienden a presentar mayores niveles de eficiencia en su gasto de inversión</w:t>
      </w:r>
      <w:r>
        <w:rPr>
          <w:rStyle w:val="FootnoteReference"/>
          <w:rFonts w:eastAsia="Arial"/>
          <w:iCs/>
          <w:lang w:val="es-ES_tradnl"/>
        </w:rPr>
        <w:footnoteReference w:id="3"/>
      </w:r>
      <w:r>
        <w:rPr>
          <w:rFonts w:eastAsia="Arial"/>
          <w:iCs/>
          <w:lang w:val="es-ES_tradnl"/>
        </w:rPr>
        <w:t>. Por ello, se destaca la</w:t>
      </w:r>
      <w:r>
        <w:rPr>
          <w:rFonts w:eastAsia="Arial"/>
          <w:bCs/>
          <w:iCs/>
          <w:lang w:val="es-ES_tradnl"/>
        </w:rPr>
        <w:t xml:space="preserve"> importancia de fortalecer el marco institucional para mejorar los resultados de la inversión pública en países en desarrollo</w:t>
      </w:r>
      <w:r>
        <w:rPr>
          <w:rStyle w:val="FootnoteReference"/>
          <w:rFonts w:eastAsia="Arial"/>
          <w:bCs/>
          <w:iCs/>
          <w:lang w:val="es-ES_tradnl"/>
        </w:rPr>
        <w:footnoteReference w:id="4"/>
      </w:r>
      <w:r>
        <w:rPr>
          <w:rFonts w:eastAsia="Arial"/>
          <w:bCs/>
          <w:iCs/>
          <w:lang w:val="es-ES_tradnl"/>
        </w:rPr>
        <w:t>, y además asegurar un conjunto de medidas, entre ellas: (i) mejora de los mecanismos de monitoreo de la inversión; y (ii) medidas para mejorar la competencia y transparencia en la ejecución. Asimismo, diversas evaluaciones experimentales y cuasi-experimentales recientes señalan los beneficios de fortalecer los instrumentos de monitoreo y el uso de información para mejorar el desempeño de los proyectos de inversión y/o la prestación de servicios</w:t>
      </w:r>
      <w:r>
        <w:rPr>
          <w:rStyle w:val="FootnoteReference"/>
          <w:rFonts w:eastAsia="Arial"/>
          <w:bCs/>
          <w:iCs/>
          <w:lang w:val="es-ES_tradnl"/>
        </w:rPr>
        <w:footnoteReference w:id="5"/>
      </w:r>
      <w:r>
        <w:rPr>
          <w:rFonts w:eastAsia="Arial"/>
          <w:bCs/>
          <w:iCs/>
          <w:lang w:val="es-ES_tradnl"/>
        </w:rPr>
        <w:t xml:space="preserve">. A su vez, existe evidencia sobre </w:t>
      </w:r>
      <w:r>
        <w:rPr>
          <w:lang w:val="es-ES_tradnl"/>
        </w:rPr>
        <w:t>la introducción de sistemas orientados a mejorar la información de precios y su impacto sobre la eficiencia y calidad de los proyectos de infraestructura en países en desarrollo</w:t>
      </w:r>
      <w:r>
        <w:rPr>
          <w:rStyle w:val="FootnoteReference"/>
          <w:lang w:val="es-ES_tradnl"/>
        </w:rPr>
        <w:footnoteReference w:id="6"/>
      </w:r>
      <w:r>
        <w:rPr>
          <w:lang w:val="es-ES_tradnl"/>
        </w:rPr>
        <w:t>.</w:t>
      </w:r>
      <w:r>
        <w:rPr>
          <w:rFonts w:eastAsia="Arial"/>
          <w:bCs/>
          <w:iCs/>
          <w:lang w:val="es-ES_tradnl"/>
        </w:rPr>
        <w:t xml:space="preserve"> </w:t>
      </w:r>
      <w:r>
        <w:rPr>
          <w:lang w:val="es-ES_tradnl"/>
        </w:rPr>
        <w:t xml:space="preserve">Estas experiencias de países emergentes sugieren el potencial de aplicación al caso peruano, y la importancia de poder evaluar rigurosamente sus efectos. </w:t>
      </w:r>
      <w:bookmarkStart w:id="1" w:name="_GoBack"/>
      <w:bookmarkEnd w:id="0"/>
      <w:bookmarkEnd w:id="1"/>
    </w:p>
    <w:sectPr>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ootnoteText"/>
        <w:spacing w:before="20" w:after="20"/>
        <w:rPr>
          <w:sz w:val="18"/>
          <w:szCs w:val="18"/>
        </w:rPr>
      </w:pPr>
      <w:r>
        <w:rPr>
          <w:rStyle w:val="FootnoteReference"/>
          <w:sz w:val="18"/>
          <w:szCs w:val="18"/>
        </w:rPr>
        <w:footnoteRef/>
      </w:r>
      <w:r>
        <w:rPr>
          <w:sz w:val="18"/>
          <w:szCs w:val="18"/>
        </w:rPr>
        <w:t xml:space="preserve"> </w:t>
      </w:r>
      <w:r>
        <w:rPr>
          <w:sz w:val="18"/>
          <w:szCs w:val="18"/>
        </w:rPr>
        <w:tab/>
        <w:t>Calderón y Servén. 2004. The Effects of Infrastructure Development on Growth and Income Distribution; Gupta et al. 2014. Efficiency-Adjusted Public Capital and Growth; FMI 2014. Is It Time for an Infrastructure Push?</w:t>
      </w:r>
    </w:p>
  </w:footnote>
  <w:footnote w:id="2">
    <w:p>
      <w:pPr>
        <w:pStyle w:val="FootnoteText"/>
        <w:spacing w:before="20" w:after="20"/>
        <w:rPr>
          <w:sz w:val="18"/>
          <w:szCs w:val="18"/>
        </w:rPr>
      </w:pPr>
      <w:r>
        <w:rPr>
          <w:rStyle w:val="FootnoteReference"/>
          <w:sz w:val="18"/>
          <w:szCs w:val="18"/>
        </w:rPr>
        <w:footnoteRef/>
      </w:r>
      <w:r>
        <w:rPr>
          <w:sz w:val="18"/>
          <w:szCs w:val="18"/>
        </w:rPr>
        <w:t xml:space="preserve"> </w:t>
      </w:r>
      <w:r>
        <w:rPr>
          <w:sz w:val="18"/>
          <w:szCs w:val="18"/>
        </w:rPr>
        <w:tab/>
      </w:r>
      <w:r>
        <w:rPr>
          <w:i/>
          <w:sz w:val="18"/>
          <w:szCs w:val="18"/>
        </w:rPr>
        <w:t>Making public investment more efficient</w:t>
      </w:r>
      <w:r>
        <w:rPr>
          <w:sz w:val="18"/>
          <w:szCs w:val="18"/>
        </w:rPr>
        <w:t xml:space="preserve"> (FMI, 2015).</w:t>
      </w:r>
    </w:p>
  </w:footnote>
  <w:footnote w:id="3">
    <w:p>
      <w:pPr>
        <w:pStyle w:val="FootnoteText"/>
        <w:spacing w:before="20" w:after="20"/>
        <w:rPr>
          <w:sz w:val="18"/>
          <w:szCs w:val="18"/>
        </w:rPr>
      </w:pPr>
      <w:r>
        <w:rPr>
          <w:rStyle w:val="FootnoteReference"/>
          <w:sz w:val="18"/>
          <w:szCs w:val="18"/>
        </w:rPr>
        <w:footnoteRef/>
      </w:r>
      <w:r>
        <w:rPr>
          <w:sz w:val="18"/>
          <w:szCs w:val="18"/>
        </w:rPr>
        <w:t xml:space="preserve"> </w:t>
      </w:r>
      <w:r>
        <w:rPr>
          <w:sz w:val="18"/>
          <w:szCs w:val="18"/>
        </w:rPr>
        <w:tab/>
        <w:t xml:space="preserve">Rajaram et al. (2014) </w:t>
      </w:r>
      <w:r>
        <w:rPr>
          <w:i/>
          <w:sz w:val="18"/>
          <w:szCs w:val="18"/>
        </w:rPr>
        <w:t>The Power of Public Investment Management.</w:t>
      </w:r>
    </w:p>
  </w:footnote>
  <w:footnote w:id="4">
    <w:p>
      <w:pPr>
        <w:pStyle w:val="FootnoteText"/>
        <w:spacing w:before="20" w:after="20"/>
        <w:rPr>
          <w:sz w:val="18"/>
          <w:szCs w:val="18"/>
        </w:rPr>
      </w:pPr>
      <w:r>
        <w:rPr>
          <w:rStyle w:val="FootnoteReference"/>
          <w:sz w:val="18"/>
          <w:szCs w:val="18"/>
        </w:rPr>
        <w:footnoteRef/>
      </w:r>
      <w:r>
        <w:rPr>
          <w:sz w:val="18"/>
          <w:szCs w:val="18"/>
        </w:rPr>
        <w:t xml:space="preserve"> </w:t>
      </w:r>
      <w:r>
        <w:rPr>
          <w:sz w:val="18"/>
          <w:szCs w:val="18"/>
        </w:rPr>
        <w:tab/>
      </w:r>
      <w:r>
        <w:rPr>
          <w:i/>
          <w:color w:val="131413"/>
          <w:sz w:val="18"/>
          <w:szCs w:val="18"/>
        </w:rPr>
        <w:t>Boondoggles, rent-seeking, and political checks and balances: public investment under unaccountable governments</w:t>
      </w:r>
      <w:r>
        <w:rPr>
          <w:color w:val="131413"/>
          <w:sz w:val="18"/>
          <w:szCs w:val="18"/>
        </w:rPr>
        <w:t xml:space="preserve"> (</w:t>
      </w:r>
      <w:r>
        <w:rPr>
          <w:sz w:val="18"/>
          <w:szCs w:val="18"/>
        </w:rPr>
        <w:t>Keefer y Knack, 2007),</w:t>
      </w:r>
      <w:r>
        <w:rPr>
          <w:color w:val="131413"/>
          <w:sz w:val="18"/>
          <w:szCs w:val="18"/>
        </w:rPr>
        <w:t xml:space="preserve"> e </w:t>
      </w:r>
      <w:r>
        <w:rPr>
          <w:i/>
          <w:sz w:val="18"/>
          <w:szCs w:val="18"/>
        </w:rPr>
        <w:t xml:space="preserve">Institutions and public investment: an empirical analysis </w:t>
      </w:r>
      <w:r>
        <w:rPr>
          <w:sz w:val="18"/>
          <w:szCs w:val="18"/>
        </w:rPr>
        <w:t xml:space="preserve">(Grigoli y Mils, 2014). </w:t>
      </w:r>
      <w:r>
        <w:rPr>
          <w:sz w:val="18"/>
          <w:szCs w:val="18"/>
          <w:lang w:val="es-ES_tradnl"/>
        </w:rPr>
        <w:t>Estos últimos enseñan en una muestra de 144 países que, a mayor fortaleza del marco institucional, la calidad de la inversión pública es más alta.</w:t>
      </w:r>
    </w:p>
  </w:footnote>
  <w:footnote w:id="5">
    <w:p>
      <w:pPr>
        <w:pStyle w:val="FootnoteText"/>
        <w:spacing w:before="20" w:after="20"/>
        <w:rPr>
          <w:sz w:val="18"/>
          <w:szCs w:val="18"/>
          <w:lang w:val="es-ES_tradnl"/>
        </w:rPr>
      </w:pPr>
      <w:r>
        <w:rPr>
          <w:rStyle w:val="FootnoteReference"/>
          <w:sz w:val="18"/>
          <w:szCs w:val="18"/>
        </w:rPr>
        <w:footnoteRef/>
      </w:r>
      <w:r>
        <w:rPr>
          <w:sz w:val="18"/>
          <w:szCs w:val="18"/>
          <w:lang w:val="es-ES_tradnl"/>
        </w:rPr>
        <w:t xml:space="preserve"> </w:t>
      </w:r>
      <w:r>
        <w:rPr>
          <w:sz w:val="18"/>
          <w:szCs w:val="18"/>
          <w:lang w:val="es-ES_tradnl"/>
        </w:rPr>
        <w:tab/>
      </w:r>
      <w:r>
        <w:rPr>
          <w:color w:val="000000" w:themeColor="text1"/>
          <w:sz w:val="18"/>
          <w:szCs w:val="18"/>
          <w:lang w:val="es-ES_tradnl"/>
        </w:rPr>
        <w:t>Un experimento aleatorio aumentó el monitoreo de los gastos en proyectos de carreteras y encontró que el tratamiento disminuye en ocho puntos porcentuales (30%) las discrepancias entre los costos oficiales de los proyectos y el estimado por una encuesta independiente (</w:t>
      </w:r>
      <w:r>
        <w:rPr>
          <w:color w:val="000000" w:themeColor="text1"/>
          <w:sz w:val="18"/>
          <w:szCs w:val="18"/>
        </w:rPr>
        <w:t xml:space="preserve">Olken 2007 </w:t>
      </w:r>
      <w:r>
        <w:rPr>
          <w:i/>
          <w:color w:val="000000" w:themeColor="text1"/>
          <w:sz w:val="18"/>
          <w:szCs w:val="18"/>
        </w:rPr>
        <w:t xml:space="preserve">Monitoring Corruption: evidence from a field experiment in </w:t>
      </w:r>
      <w:proofErr w:type="gramStart"/>
      <w:r>
        <w:rPr>
          <w:i/>
          <w:color w:val="000000" w:themeColor="text1"/>
          <w:sz w:val="18"/>
          <w:szCs w:val="18"/>
        </w:rPr>
        <w:t>Indonesia</w:t>
      </w:r>
      <w:proofErr w:type="gramEnd"/>
      <w:r>
        <w:rPr>
          <w:i/>
          <w:color w:val="000000" w:themeColor="text1"/>
          <w:sz w:val="18"/>
          <w:szCs w:val="18"/>
        </w:rPr>
        <w:t>)</w:t>
      </w:r>
      <w:r>
        <w:rPr>
          <w:color w:val="000000" w:themeColor="text1"/>
          <w:sz w:val="18"/>
          <w:szCs w:val="18"/>
          <w:lang w:val="es-ES_tradnl"/>
        </w:rPr>
        <w:t xml:space="preserve">. </w:t>
      </w:r>
      <w:r>
        <w:rPr>
          <w:sz w:val="18"/>
          <w:szCs w:val="18"/>
          <w:lang w:val="es-ES_tradnl"/>
        </w:rPr>
        <w:t xml:space="preserve">Ver el </w:t>
      </w:r>
      <w:hyperlink r:id="rId1" w:history="1">
        <w:r>
          <w:rPr>
            <w:rStyle w:val="Hyperlink"/>
            <w:sz w:val="18"/>
            <w:szCs w:val="18"/>
            <w:lang w:val="es-ES_tradnl"/>
          </w:rPr>
          <w:t>Plan de Monitoreo y Evaluación (PME)</w:t>
        </w:r>
      </w:hyperlink>
      <w:r>
        <w:rPr>
          <w:sz w:val="18"/>
          <w:szCs w:val="18"/>
          <w:lang w:val="es-ES_tradnl"/>
        </w:rPr>
        <w:t xml:space="preserve"> para una revisión de esta literatura. </w:t>
      </w:r>
    </w:p>
  </w:footnote>
  <w:footnote w:id="6">
    <w:p>
      <w:pPr>
        <w:pStyle w:val="FootnoteText"/>
        <w:spacing w:before="20" w:after="20"/>
        <w:rPr>
          <w:sz w:val="18"/>
          <w:szCs w:val="18"/>
          <w:lang w:val="es-ES_tradnl"/>
        </w:rPr>
      </w:pPr>
      <w:r>
        <w:rPr>
          <w:rStyle w:val="FootnoteReference"/>
          <w:sz w:val="18"/>
          <w:szCs w:val="18"/>
        </w:rPr>
        <w:footnoteRef/>
      </w:r>
      <w:r>
        <w:rPr>
          <w:sz w:val="18"/>
          <w:szCs w:val="18"/>
          <w:lang w:val="es-ES_tradnl"/>
        </w:rPr>
        <w:t xml:space="preserve"> </w:t>
      </w:r>
      <w:r>
        <w:rPr>
          <w:sz w:val="18"/>
          <w:szCs w:val="18"/>
          <w:lang w:val="es-ES_tradnl"/>
        </w:rPr>
        <w:tab/>
      </w:r>
      <w:r>
        <w:rPr>
          <w:sz w:val="18"/>
          <w:szCs w:val="18"/>
          <w:lang w:val="es-ES"/>
        </w:rPr>
        <w:t xml:space="preserve">Los resultados de una evaluación cuasi-experimental del sistema de </w:t>
      </w:r>
      <w:r>
        <w:rPr>
          <w:i/>
          <w:sz w:val="18"/>
          <w:szCs w:val="18"/>
          <w:lang w:val="es-ES"/>
        </w:rPr>
        <w:t>e-compras</w:t>
      </w:r>
      <w:r>
        <w:rPr>
          <w:sz w:val="18"/>
          <w:szCs w:val="18"/>
          <w:lang w:val="es-ES"/>
        </w:rPr>
        <w:t xml:space="preserve"> en India e Indonesia muestran que, si bien no se observaron reducciones significativas en los niveles de precios en ambos países, sí se encontraron impactos sobre la oportunidad y calidad de los proyectos de infraestructura (</w:t>
      </w:r>
      <w:r>
        <w:rPr>
          <w:sz w:val="18"/>
          <w:szCs w:val="18"/>
        </w:rPr>
        <w:t xml:space="preserve">Lewis. </w:t>
      </w:r>
      <w:proofErr w:type="spellStart"/>
      <w:r>
        <w:rPr>
          <w:sz w:val="18"/>
          <w:szCs w:val="18"/>
        </w:rPr>
        <w:t>Faupel</w:t>
      </w:r>
      <w:proofErr w:type="spellEnd"/>
      <w:r>
        <w:rPr>
          <w:sz w:val="18"/>
          <w:szCs w:val="18"/>
        </w:rPr>
        <w:t xml:space="preserve"> et. al. 2016. </w:t>
      </w:r>
      <w:r>
        <w:rPr>
          <w:i/>
          <w:sz w:val="18"/>
          <w:szCs w:val="18"/>
        </w:rPr>
        <w:t>Can Electronic Procurement Improve Infrastructure Provision? Evidence from Public Works in India and Indonesia)</w:t>
      </w:r>
      <w:r>
        <w:rPr>
          <w:sz w:val="18"/>
          <w:szCs w:val="18"/>
        </w:rPr>
        <w:t xml:space="preserve">. </w:t>
      </w:r>
      <w:r>
        <w:rPr>
          <w:sz w:val="18"/>
          <w:szCs w:val="18"/>
          <w:lang w:val="es-ES_tradnl"/>
        </w:rPr>
        <w:t xml:space="preserve">Para Chile, el potencial de producir ahorros con el sistema de compras electrónicas se encuentra bien documentado (Singer et. al. 2009. </w:t>
      </w:r>
      <w:proofErr w:type="spellStart"/>
      <w:r>
        <w:rPr>
          <w:i/>
          <w:sz w:val="18"/>
          <w:szCs w:val="18"/>
          <w:lang w:val="es-ES_tradnl"/>
        </w:rPr>
        <w:t>Does</w:t>
      </w:r>
      <w:proofErr w:type="spellEnd"/>
      <w:r>
        <w:rPr>
          <w:i/>
          <w:sz w:val="18"/>
          <w:szCs w:val="18"/>
          <w:lang w:val="es-ES_tradnl"/>
        </w:rPr>
        <w:t xml:space="preserve"> e-</w:t>
      </w:r>
      <w:proofErr w:type="spellStart"/>
      <w:r>
        <w:rPr>
          <w:i/>
          <w:sz w:val="18"/>
          <w:szCs w:val="18"/>
          <w:lang w:val="es-ES_tradnl"/>
        </w:rPr>
        <w:t>procurement</w:t>
      </w:r>
      <w:proofErr w:type="spellEnd"/>
      <w:r>
        <w:rPr>
          <w:i/>
          <w:sz w:val="18"/>
          <w:szCs w:val="18"/>
          <w:lang w:val="es-ES_tradnl"/>
        </w:rPr>
        <w:t xml:space="preserve"> </w:t>
      </w:r>
      <w:proofErr w:type="spellStart"/>
      <w:r>
        <w:rPr>
          <w:i/>
          <w:sz w:val="18"/>
          <w:szCs w:val="18"/>
          <w:lang w:val="es-ES_tradnl"/>
        </w:rPr>
        <w:t>save</w:t>
      </w:r>
      <w:proofErr w:type="spellEnd"/>
      <w:r>
        <w:rPr>
          <w:i/>
          <w:sz w:val="18"/>
          <w:szCs w:val="18"/>
          <w:lang w:val="es-ES_tradnl"/>
        </w:rPr>
        <w:t xml:space="preserve"> the </w:t>
      </w:r>
      <w:proofErr w:type="spellStart"/>
      <w:r>
        <w:rPr>
          <w:i/>
          <w:sz w:val="18"/>
          <w:szCs w:val="18"/>
          <w:lang w:val="es-ES_tradnl"/>
        </w:rPr>
        <w:t>state</w:t>
      </w:r>
      <w:proofErr w:type="spellEnd"/>
      <w:r>
        <w:rPr>
          <w:i/>
          <w:sz w:val="18"/>
          <w:szCs w:val="18"/>
          <w:lang w:val="es-ES_tradnl"/>
        </w:rPr>
        <w:t xml:space="preserve"> </w:t>
      </w:r>
      <w:proofErr w:type="spellStart"/>
      <w:r>
        <w:rPr>
          <w:i/>
          <w:sz w:val="18"/>
          <w:szCs w:val="18"/>
          <w:lang w:val="es-ES_tradnl"/>
        </w:rPr>
        <w:t>money</w:t>
      </w:r>
      <w:proofErr w:type="spellEnd"/>
      <w:r>
        <w:rPr>
          <w:sz w:val="18"/>
          <w:szCs w:val="18"/>
          <w:lang w:val="es-ES_tradnl"/>
        </w:rPr>
        <w:t>?).</w:t>
      </w:r>
    </w:p>
    <w:p>
      <w:pPr>
        <w:pStyle w:val="FootnoteText"/>
        <w:spacing w:before="20" w:after="20"/>
        <w:rPr>
          <w:sz w:val="18"/>
          <w:szCs w:val="18"/>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jc w:val="right"/>
      <w:rPr>
        <w:rFonts w:ascii="Arial" w:hAnsi="Arial" w:cs="Arial"/>
        <w:sz w:val="20"/>
        <w:lang w:val="es-ES_tradnl"/>
      </w:rPr>
    </w:pPr>
    <w:r>
      <w:rPr>
        <w:rFonts w:ascii="Arial" w:hAnsi="Arial" w:cs="Arial"/>
        <w:sz w:val="20"/>
        <w:lang w:val="es-ES_tradnl"/>
      </w:rPr>
      <w:t>POD – Evidencia Internacional</w:t>
    </w:r>
  </w:p>
  <w:p>
    <w:pPr>
      <w:pStyle w:val="Header"/>
      <w:jc w:val="right"/>
      <w:rPr>
        <w:rFonts w:ascii="Arial" w:hAnsi="Arial" w:cs="Arial"/>
        <w:sz w:val="20"/>
      </w:rPr>
    </w:pPr>
    <w:r>
      <w:rPr>
        <w:rFonts w:ascii="Arial" w:hAnsi="Arial" w:cs="Arial"/>
        <w:sz w:val="20"/>
      </w:rPr>
      <w:t>PE-L1231</w:t>
    </w:r>
  </w:p>
  <w:p>
    <w:pPr>
      <w:pStyle w:val="Header"/>
    </w:pPr>
  </w:p>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9B4991"/>
    <w:multiLevelType w:val="multilevel"/>
    <w:tmpl w:val="3300036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b w:val="0"/>
        <w:sz w:val="22"/>
        <w:szCs w:val="22"/>
      </w:rPr>
    </w:lvl>
    <w:lvl w:ilvl="2">
      <w:start w:val="1"/>
      <w:numFmt w:val="lowerLetter"/>
      <w:pStyle w:val="subpar"/>
      <w:lvlText w:val="%3."/>
      <w:lvlJc w:val="left"/>
      <w:pPr>
        <w:tabs>
          <w:tab w:val="num" w:pos="2304"/>
        </w:tabs>
        <w:ind w:left="2304" w:hanging="432"/>
      </w:pPr>
      <w:rPr>
        <w:rFonts w:ascii="Arial"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569905A8"/>
    <w:multiLevelType w:val="multilevel"/>
    <w:tmpl w:val="9A46025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6066"/>
        </w:tabs>
        <w:ind w:left="6066" w:hanging="1296"/>
      </w:pPr>
      <w:rPr>
        <w:b w:val="0"/>
        <w:i w:val="0"/>
      </w:rPr>
    </w:lvl>
    <w:lvl w:ilvl="2">
      <w:start w:val="1"/>
      <w:numFmt w:val="lowerLetter"/>
      <w:lvlText w:val="%3."/>
      <w:lvlJc w:val="left"/>
      <w:pPr>
        <w:tabs>
          <w:tab w:val="num" w:pos="2304"/>
        </w:tabs>
        <w:ind w:left="2304" w:hanging="432"/>
      </w:pPr>
      <w:rPr>
        <w:b w:val="0"/>
      </w:r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A539B5-41B8-47FB-A28E-5282D5D5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pPr>
      <w:keepNext/>
      <w:numPr>
        <w:numId w:val="2"/>
      </w:numPr>
      <w:tabs>
        <w:tab w:val="clear" w:pos="1800"/>
        <w:tab w:val="num" w:pos="648"/>
        <w:tab w:val="left" w:pos="1440"/>
      </w:tabs>
      <w:spacing w:before="240" w:after="240" w:line="240" w:lineRule="auto"/>
      <w:ind w:left="0"/>
      <w:jc w:val="center"/>
    </w:pPr>
    <w:rPr>
      <w:rFonts w:ascii="Arial" w:hAnsi="Arial" w:cs="Arial"/>
      <w:b/>
      <w:smallCaps/>
      <w:sz w:val="24"/>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FOOTNOTES"/>
    <w:basedOn w:val="Normal"/>
    <w:link w:val="FootnoteTextChar"/>
    <w:uiPriority w:val="99"/>
    <w:qFormat/>
    <w:pPr>
      <w:keepNext/>
      <w:keepLines/>
      <w:spacing w:after="120" w:line="240" w:lineRule="auto"/>
      <w:ind w:left="288" w:hanging="288"/>
      <w:jc w:val="both"/>
    </w:pPr>
    <w:rPr>
      <w:rFonts w:ascii="Arial" w:hAnsi="Arial" w:cs="Arial"/>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Pr>
      <w:rFonts w:ascii="Arial" w:hAnsi="Arial" w:cs="Arial"/>
      <w:spacing w:val="-3"/>
      <w:sz w:val="20"/>
    </w:rPr>
  </w:style>
  <w:style w:type="paragraph" w:customStyle="1" w:styleId="Paragraph">
    <w:name w:val="Paragraph"/>
    <w:aliases w:val="paragraph,p,PARAGRAPH,PG,pa,at"/>
    <w:basedOn w:val="BodyTextIndent"/>
    <w:link w:val="ParagraphChar"/>
    <w:qFormat/>
    <w:pPr>
      <w:numPr>
        <w:ilvl w:val="1"/>
        <w:numId w:val="2"/>
      </w:numPr>
      <w:tabs>
        <w:tab w:val="clear" w:pos="2448"/>
        <w:tab w:val="num" w:pos="720"/>
      </w:tabs>
      <w:spacing w:before="120" w:line="240" w:lineRule="auto"/>
      <w:ind w:left="720" w:hanging="720"/>
      <w:jc w:val="both"/>
      <w:outlineLvl w:val="1"/>
    </w:pPr>
    <w:rPr>
      <w:rFonts w:ascii="Arial" w:hAnsi="Arial" w:cs="Arial"/>
      <w:lang w:val="es-ES"/>
    </w:rPr>
  </w:style>
  <w:style w:type="paragraph" w:customStyle="1" w:styleId="subpar">
    <w:name w:val="subpar"/>
    <w:basedOn w:val="BodyTextIndent3"/>
    <w:pPr>
      <w:numPr>
        <w:ilvl w:val="2"/>
        <w:numId w:val="2"/>
      </w:numPr>
      <w:tabs>
        <w:tab w:val="clear" w:pos="2304"/>
        <w:tab w:val="num" w:pos="360"/>
        <w:tab w:val="num" w:pos="1152"/>
      </w:tabs>
      <w:spacing w:before="120" w:line="240" w:lineRule="auto"/>
      <w:ind w:left="1152" w:firstLine="0"/>
      <w:jc w:val="both"/>
      <w:outlineLvl w:val="2"/>
    </w:pPr>
    <w:rPr>
      <w:rFonts w:ascii="Arial" w:hAnsi="Arial" w:cs="Arial"/>
      <w:sz w:val="22"/>
      <w:szCs w:val="20"/>
    </w:rPr>
  </w:style>
  <w:style w:type="character" w:styleId="Hyperlink">
    <w:name w:val="Hyperlink"/>
    <w:basedOn w:val="DefaultParagraphFont"/>
    <w:uiPriority w:val="99"/>
    <w:rPr>
      <w:color w:val="0000FF"/>
      <w:u w:val="single"/>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SUPERS"/>
    <w:basedOn w:val="DefaultParagraphFont"/>
    <w:uiPriority w:val="99"/>
    <w:qFormat/>
    <w:rPr>
      <w:vertAlign w:val="superscript"/>
    </w:rPr>
  </w:style>
  <w:style w:type="character" w:customStyle="1" w:styleId="ParagraphChar">
    <w:name w:val="Paragraph Char"/>
    <w:aliases w:val="p Char,PARAGRAPH Char,PG Char,pa Char,at Char,paragraph Char"/>
    <w:basedOn w:val="DefaultParagraphFont"/>
    <w:link w:val="Paragraph"/>
    <w:rPr>
      <w:rFonts w:ascii="Arial" w:hAnsi="Arial" w:cs="Arial"/>
      <w:lang w:val="es-ES"/>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1" Type="http://schemas.openxmlformats.org/officeDocument/2006/relationships/hyperlink" Target="https://idbg.sharepoint.com/teams/EZ-PE-LON/PE-L1231/_layouts/15/DocIdRedir.aspx?ID=EZSHARE-239516867-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C25F54E5A7C1C4AB202542EE5197DAC" ma:contentTypeVersion="27" ma:contentTypeDescription="A content type to manage public (operations) IDB documents" ma:contentTypeScope="" ma:versionID="7e10df52c0c87ef3c521e445b78a5189">
  <xsd:schema xmlns:xsd="http://www.w3.org/2001/XMLSchema" xmlns:xs="http://www.w3.org/2001/XMLSchema" xmlns:p="http://schemas.microsoft.com/office/2006/metadata/properties" xmlns:ns2="cdc7663a-08f0-4737-9e8c-148ce897a09c" targetNamespace="http://schemas.microsoft.com/office/2006/metadata/properties" ma:root="true" ma:fieldsID="bcea056ba81274f896f5e7327bdd1ee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Larios, Jose I.</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34</Value>
      <Value>3</Value>
      <Value>44</Value>
      <Value>31</Value>
      <Value>45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PE-L1231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R0001327193</Record_x0020_Number>
    <_dlc_DocId xmlns="cdc7663a-08f0-4737-9e8c-148ce897a09c">EZSHARE-239516867-62</_dlc_DocId>
    <_dlc_DocIdUrl xmlns="cdc7663a-08f0-4737-9e8c-148ce897a09c">
      <Url>https://idbg.sharepoint.com/teams/EZ-PE-LON/PE-L1231/_layouts/15/DocIdRedir.aspx?ID=EZSHARE-239516867-62</Url>
      <Description>EZSHARE-239516867-62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50CAE26F-D51E-4D70-9A1C-F4F56860285B}">
  <ds:schemaRefs>
    <ds:schemaRef ds:uri="http://schemas.openxmlformats.org/officeDocument/2006/bibliography"/>
  </ds:schemaRefs>
</ds:datastoreItem>
</file>

<file path=customXml/itemProps2.xml><?xml version="1.0" encoding="utf-8"?>
<ds:datastoreItem xmlns:ds="http://schemas.openxmlformats.org/officeDocument/2006/customXml" ds:itemID="{AD33918D-E63F-4ECC-B8BA-81697F6D3533}"/>
</file>

<file path=customXml/itemProps3.xml><?xml version="1.0" encoding="utf-8"?>
<ds:datastoreItem xmlns:ds="http://schemas.openxmlformats.org/officeDocument/2006/customXml" ds:itemID="{6487BEFB-6F26-4CAF-A6D1-D9F74025D803}"/>
</file>

<file path=customXml/itemProps4.xml><?xml version="1.0" encoding="utf-8"?>
<ds:datastoreItem xmlns:ds="http://schemas.openxmlformats.org/officeDocument/2006/customXml" ds:itemID="{A7EBFD73-425F-426E-904A-E1A86FD08B4A}"/>
</file>

<file path=customXml/itemProps5.xml><?xml version="1.0" encoding="utf-8"?>
<ds:datastoreItem xmlns:ds="http://schemas.openxmlformats.org/officeDocument/2006/customXml" ds:itemID="{C6FF1C0E-2027-4A89-8D24-F3D77570FE1B}"/>
</file>

<file path=customXml/itemProps6.xml><?xml version="1.0" encoding="utf-8"?>
<ds:datastoreItem xmlns:ds="http://schemas.openxmlformats.org/officeDocument/2006/customXml" ds:itemID="{6BF584E9-70E4-46A5-83D0-F04C8EFA721C}"/>
</file>

<file path=customXml/itemProps7.xml><?xml version="1.0" encoding="utf-8"?>
<ds:datastoreItem xmlns:ds="http://schemas.openxmlformats.org/officeDocument/2006/customXml" ds:itemID="{B88AAA4F-572F-4A49-8FED-0B649B0FDDA1}"/>
</file>

<file path=docProps/app.xml><?xml version="1.0" encoding="utf-8"?>
<Properties xmlns="http://schemas.openxmlformats.org/officeDocument/2006/extended-properties" xmlns:vt="http://schemas.openxmlformats.org/officeDocument/2006/docPropsVTypes">
  <Template>Normal.dotm</Template>
  <TotalTime>12</TotalTime>
  <Pages>1</Pages>
  <Words>249</Words>
  <Characters>1372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Rojas, Agnes</dc:creator>
  <cp:keywords/>
  <dc:description/>
  <cp:lastModifiedBy>Canillas Gomez, Mariana Belen</cp:lastModifiedBy>
  <cp:revision>11</cp:revision>
  <dcterms:created xsi:type="dcterms:W3CDTF">2017-10-20T17:25:00Z</dcterms:created>
  <dcterms:modified xsi:type="dcterms:W3CDTF">2017-10-25T18:51:00Z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3;#Monitoring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45;#FISCAL POLICY FOR SUSTAINABILITY AND GROWTH|6e15b5e0-ae82-4b06-920a-eef6dd27cc8b</vt:lpwstr>
  </property>
  <property fmtid="{D5CDD505-2E9C-101B-9397-08002B2CF9AE}" pid="8" name="Fund IDB">
    <vt:lpwstr>34;#ORC|c028a4b2-ad8b-4cf4-9cac-a2ae6a778e23</vt:lpwstr>
  </property>
  <property fmtid="{D5CDD505-2E9C-101B-9397-08002B2CF9AE}" pid="9" name="Country">
    <vt:lpwstr>31;#Peru|c988f60b-81f1-4c24-8da7-d5473741c5b0</vt:lpwstr>
  </property>
  <property fmtid="{D5CDD505-2E9C-101B-9397-08002B2CF9AE}" pid="10" name="Sector IDB">
    <vt:lpwstr>44;#REFORM / MODERNIZATION OF THE STATE|c8fda4a7-691a-4c65-b227-9825197b5cd2</vt:lpwstr>
  </property>
  <property fmtid="{D5CDD505-2E9C-101B-9397-08002B2CF9AE}" pid="11" name="_dlc_DocIdItemGuid">
    <vt:lpwstr>20b3df22-799e-40a5-b27d-4e881725b980</vt:lpwstr>
  </property>
  <property fmtid="{D5CDD505-2E9C-101B-9397-08002B2CF9AE}" pid="12" name="Disclosure Activity">
    <vt:lpwstr>Loan Proposal</vt:lpwstr>
  </property>
  <property fmtid="{D5CDD505-2E9C-101B-9397-08002B2CF9AE}" pid="13" name="ContentTypeId">
    <vt:lpwstr>0x0101001A458A224826124E8B45B1D613300CFC007C25F54E5A7C1C4AB202542EE5197DAC</vt:lpwstr>
  </property>
</Properties>
</file>