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body>
    <w:p w:rsidRPr="00046E14" w:rsidR="00ED751C" w:rsidP="00ED751C" w:rsidRDefault="00ED751C" w14:paraId="63A9A12E" w14:textId="77777777">
      <w:pPr>
        <w:pStyle w:val="SubSubPar"/>
        <w:numPr>
          <w:ilvl w:val="0"/>
          <w:numId w:val="0"/>
        </w:numPr>
        <w:spacing w:after="0"/>
        <w:jc w:val="center"/>
        <w:rPr>
          <w:rFonts w:ascii="Arial" w:hAnsi="Arial" w:cs="Arial"/>
          <w:smallCaps/>
          <w:sz w:val="22"/>
          <w:szCs w:val="22"/>
          <w:lang w:val="es-ES"/>
        </w:rPr>
      </w:pPr>
      <w:r w:rsidRPr="00046E14">
        <w:rPr>
          <w:rFonts w:ascii="Arial" w:hAnsi="Arial" w:cs="Arial"/>
          <w:smallCaps/>
          <w:sz w:val="22"/>
          <w:szCs w:val="22"/>
          <w:lang w:val="es-ES"/>
        </w:rPr>
        <w:t xml:space="preserve">Documento del Banco Interamericano </w:t>
      </w:r>
      <w:r w:rsidRPr="00046E14" w:rsidR="00C1154C">
        <w:rPr>
          <w:rFonts w:ascii="Arial" w:hAnsi="Arial" w:cs="Arial"/>
          <w:smallCaps/>
          <w:sz w:val="22"/>
          <w:szCs w:val="22"/>
          <w:lang w:val="es-ES"/>
        </w:rPr>
        <w:t>d</w:t>
      </w:r>
      <w:r w:rsidRPr="00046E14">
        <w:rPr>
          <w:rFonts w:ascii="Arial" w:hAnsi="Arial" w:cs="Arial"/>
          <w:smallCaps/>
          <w:sz w:val="22"/>
          <w:szCs w:val="22"/>
          <w:lang w:val="es-ES"/>
        </w:rPr>
        <w:t>e Desarrollo</w:t>
      </w:r>
    </w:p>
    <w:p w:rsidRPr="00046E14" w:rsidR="00ED751C" w:rsidP="00ED751C" w:rsidRDefault="00ED751C" w14:paraId="7D994776" w14:textId="77777777">
      <w:pPr>
        <w:tabs>
          <w:tab w:val="left" w:pos="1440"/>
          <w:tab w:val="left" w:pos="3060"/>
        </w:tabs>
        <w:jc w:val="center"/>
        <w:rPr>
          <w:rFonts w:ascii="Arial" w:hAnsi="Arial" w:cs="Arial"/>
          <w:smallCaps/>
          <w:sz w:val="22"/>
          <w:szCs w:val="22"/>
          <w:lang w:val="es-ES"/>
        </w:rPr>
      </w:pPr>
    </w:p>
    <w:p w:rsidRPr="00046E14" w:rsidR="00ED751C" w:rsidP="00ED751C" w:rsidRDefault="00ED751C" w14:paraId="7C576D54" w14:textId="77777777">
      <w:pPr>
        <w:tabs>
          <w:tab w:val="left" w:pos="1440"/>
          <w:tab w:val="left" w:pos="3060"/>
        </w:tabs>
        <w:jc w:val="center"/>
        <w:rPr>
          <w:rFonts w:ascii="Arial" w:hAnsi="Arial" w:cs="Arial"/>
          <w:smallCaps/>
          <w:sz w:val="22"/>
          <w:szCs w:val="22"/>
          <w:lang w:val="es-ES"/>
        </w:rPr>
      </w:pPr>
    </w:p>
    <w:p w:rsidRPr="00046E14" w:rsidR="00ED751C" w:rsidP="00ED751C" w:rsidRDefault="00ED751C" w14:paraId="410A2C46" w14:textId="77777777">
      <w:pPr>
        <w:tabs>
          <w:tab w:val="left" w:pos="1440"/>
          <w:tab w:val="left" w:pos="3060"/>
        </w:tabs>
        <w:jc w:val="center"/>
        <w:rPr>
          <w:rFonts w:ascii="Arial" w:hAnsi="Arial" w:cs="Arial"/>
          <w:smallCaps/>
          <w:sz w:val="22"/>
          <w:szCs w:val="22"/>
          <w:lang w:val="es-ES"/>
        </w:rPr>
      </w:pPr>
    </w:p>
    <w:p w:rsidRPr="00046E14" w:rsidR="00ED751C" w:rsidP="00ED751C" w:rsidRDefault="00ED751C" w14:paraId="3E513D8A" w14:textId="77777777">
      <w:pPr>
        <w:tabs>
          <w:tab w:val="left" w:pos="1440"/>
          <w:tab w:val="left" w:pos="3060"/>
        </w:tabs>
        <w:jc w:val="center"/>
        <w:rPr>
          <w:rFonts w:ascii="Arial" w:hAnsi="Arial" w:cs="Arial"/>
          <w:smallCaps/>
          <w:sz w:val="22"/>
          <w:szCs w:val="22"/>
          <w:lang w:val="es-ES"/>
        </w:rPr>
      </w:pPr>
    </w:p>
    <w:p w:rsidRPr="00046E14" w:rsidR="00ED751C" w:rsidP="00ED751C" w:rsidRDefault="00ED751C" w14:paraId="4DB2B53E" w14:textId="77777777">
      <w:pPr>
        <w:tabs>
          <w:tab w:val="left" w:pos="1440"/>
          <w:tab w:val="left" w:pos="3060"/>
        </w:tabs>
        <w:jc w:val="center"/>
        <w:rPr>
          <w:rFonts w:ascii="Arial" w:hAnsi="Arial" w:cs="Arial"/>
          <w:smallCaps/>
          <w:sz w:val="22"/>
          <w:szCs w:val="22"/>
          <w:lang w:val="es-ES"/>
        </w:rPr>
      </w:pPr>
    </w:p>
    <w:p w:rsidRPr="00046E14" w:rsidR="00ED751C" w:rsidP="00ED751C" w:rsidRDefault="00ED751C" w14:paraId="5BDFEAC2" w14:textId="77777777">
      <w:pPr>
        <w:tabs>
          <w:tab w:val="left" w:pos="1440"/>
          <w:tab w:val="left" w:pos="3060"/>
        </w:tabs>
        <w:jc w:val="center"/>
        <w:rPr>
          <w:rFonts w:ascii="Arial" w:hAnsi="Arial" w:cs="Arial"/>
          <w:smallCaps/>
          <w:sz w:val="22"/>
          <w:szCs w:val="22"/>
          <w:lang w:val="es-ES"/>
        </w:rPr>
      </w:pPr>
    </w:p>
    <w:p w:rsidRPr="00046E14" w:rsidR="00F54AAD" w:rsidP="00ED751C" w:rsidRDefault="00F54AAD" w14:paraId="383DE925" w14:textId="77777777">
      <w:pPr>
        <w:tabs>
          <w:tab w:val="left" w:pos="1440"/>
          <w:tab w:val="left" w:pos="3060"/>
        </w:tabs>
        <w:jc w:val="center"/>
        <w:rPr>
          <w:rFonts w:ascii="Arial" w:hAnsi="Arial" w:cs="Arial"/>
          <w:smallCaps/>
          <w:sz w:val="22"/>
          <w:szCs w:val="22"/>
          <w:lang w:val="es-ES"/>
        </w:rPr>
      </w:pPr>
    </w:p>
    <w:p w:rsidRPr="00046E14" w:rsidR="00F54AAD" w:rsidP="00ED751C" w:rsidRDefault="00F54AAD" w14:paraId="3A261406" w14:textId="77777777">
      <w:pPr>
        <w:tabs>
          <w:tab w:val="left" w:pos="1440"/>
          <w:tab w:val="left" w:pos="3060"/>
        </w:tabs>
        <w:jc w:val="center"/>
        <w:rPr>
          <w:rFonts w:ascii="Arial" w:hAnsi="Arial" w:cs="Arial"/>
          <w:smallCaps/>
          <w:sz w:val="22"/>
          <w:szCs w:val="22"/>
          <w:lang w:val="es-ES"/>
        </w:rPr>
      </w:pPr>
    </w:p>
    <w:p w:rsidRPr="00046E14" w:rsidR="00ED751C" w:rsidP="00ED751C" w:rsidRDefault="00ED751C" w14:paraId="61DAED04" w14:textId="77777777">
      <w:pPr>
        <w:tabs>
          <w:tab w:val="left" w:pos="1440"/>
          <w:tab w:val="left" w:pos="3060"/>
        </w:tabs>
        <w:jc w:val="center"/>
        <w:rPr>
          <w:rFonts w:ascii="Arial" w:hAnsi="Arial" w:cs="Arial"/>
          <w:smallCaps/>
          <w:sz w:val="22"/>
          <w:szCs w:val="22"/>
          <w:lang w:val="es-ES"/>
        </w:rPr>
      </w:pPr>
    </w:p>
    <w:p w:rsidRPr="00046E14" w:rsidR="00ED751C" w:rsidP="00ED751C" w:rsidRDefault="00A868B0" w14:paraId="26C38D31" w14:textId="77777777">
      <w:pPr>
        <w:tabs>
          <w:tab w:val="left" w:pos="1440"/>
          <w:tab w:val="left" w:pos="3060"/>
        </w:tabs>
        <w:jc w:val="center"/>
        <w:rPr>
          <w:rFonts w:ascii="Arial" w:hAnsi="Arial" w:cs="Arial"/>
          <w:b/>
          <w:smallCaps/>
          <w:sz w:val="28"/>
          <w:szCs w:val="28"/>
          <w:lang w:val="es-ES"/>
        </w:rPr>
      </w:pPr>
      <w:r>
        <w:rPr>
          <w:rFonts w:ascii="Arial" w:hAnsi="Arial" w:cs="Arial"/>
          <w:b/>
          <w:smallCaps/>
          <w:sz w:val="28"/>
          <w:szCs w:val="28"/>
          <w:lang w:val="es-ES"/>
        </w:rPr>
        <w:t>Honduras</w:t>
      </w:r>
    </w:p>
    <w:p w:rsidRPr="00046E14" w:rsidR="00ED751C" w:rsidP="00ED751C" w:rsidRDefault="00ED751C" w14:paraId="370C695E" w14:textId="77777777">
      <w:pPr>
        <w:tabs>
          <w:tab w:val="left" w:pos="1440"/>
          <w:tab w:val="left" w:pos="3060"/>
        </w:tabs>
        <w:jc w:val="center"/>
        <w:rPr>
          <w:rFonts w:ascii="Arial" w:hAnsi="Arial" w:cs="Arial"/>
          <w:smallCaps/>
          <w:sz w:val="22"/>
          <w:szCs w:val="22"/>
          <w:lang w:val="es-ES"/>
        </w:rPr>
      </w:pPr>
    </w:p>
    <w:p w:rsidRPr="00046E14" w:rsidR="00ED751C" w:rsidP="00ED751C" w:rsidRDefault="00ED751C" w14:paraId="72330972" w14:textId="77777777">
      <w:pPr>
        <w:tabs>
          <w:tab w:val="left" w:pos="1440"/>
          <w:tab w:val="left" w:pos="3060"/>
        </w:tabs>
        <w:jc w:val="center"/>
        <w:rPr>
          <w:rFonts w:ascii="Arial" w:hAnsi="Arial" w:cs="Arial"/>
          <w:smallCaps/>
          <w:sz w:val="22"/>
          <w:szCs w:val="22"/>
          <w:lang w:val="es-ES"/>
        </w:rPr>
      </w:pPr>
    </w:p>
    <w:p w:rsidRPr="00046E14" w:rsidR="00ED751C" w:rsidP="00ED751C" w:rsidRDefault="00ED751C" w14:paraId="2AFE5380" w14:textId="77777777">
      <w:pPr>
        <w:tabs>
          <w:tab w:val="left" w:pos="1440"/>
          <w:tab w:val="left" w:pos="3060"/>
        </w:tabs>
        <w:jc w:val="center"/>
        <w:rPr>
          <w:rFonts w:ascii="Arial" w:hAnsi="Arial" w:cs="Arial"/>
          <w:smallCaps/>
          <w:sz w:val="22"/>
          <w:szCs w:val="22"/>
          <w:lang w:val="es-ES"/>
        </w:rPr>
      </w:pPr>
    </w:p>
    <w:p w:rsidRPr="00046E14" w:rsidR="00F54AAD" w:rsidP="00ED751C" w:rsidRDefault="00F54AAD" w14:paraId="79D61D5A" w14:textId="77777777">
      <w:pPr>
        <w:tabs>
          <w:tab w:val="left" w:pos="1440"/>
          <w:tab w:val="left" w:pos="3060"/>
        </w:tabs>
        <w:jc w:val="center"/>
        <w:rPr>
          <w:rFonts w:ascii="Arial" w:hAnsi="Arial" w:cs="Arial"/>
          <w:smallCaps/>
          <w:sz w:val="22"/>
          <w:szCs w:val="22"/>
          <w:lang w:val="es-ES"/>
        </w:rPr>
      </w:pPr>
    </w:p>
    <w:p w:rsidRPr="00046E14" w:rsidR="00ED751C" w:rsidP="00ED751C" w:rsidRDefault="00ED751C" w14:paraId="26310D51" w14:textId="77777777">
      <w:pPr>
        <w:tabs>
          <w:tab w:val="left" w:pos="1440"/>
          <w:tab w:val="left" w:pos="3060"/>
        </w:tabs>
        <w:jc w:val="center"/>
        <w:rPr>
          <w:rFonts w:ascii="Arial" w:hAnsi="Arial" w:cs="Arial"/>
          <w:smallCaps/>
          <w:sz w:val="22"/>
          <w:szCs w:val="22"/>
          <w:lang w:val="es-ES"/>
        </w:rPr>
      </w:pPr>
    </w:p>
    <w:p w:rsidRPr="00046E14" w:rsidR="00ED751C" w:rsidP="00ED751C" w:rsidRDefault="00ED751C" w14:paraId="42D8AD93" w14:textId="77777777">
      <w:pPr>
        <w:tabs>
          <w:tab w:val="left" w:pos="1440"/>
          <w:tab w:val="left" w:pos="3060"/>
        </w:tabs>
        <w:jc w:val="center"/>
        <w:rPr>
          <w:rFonts w:ascii="Arial" w:hAnsi="Arial" w:cs="Arial"/>
          <w:smallCaps/>
          <w:sz w:val="22"/>
          <w:szCs w:val="22"/>
          <w:lang w:val="es-ES"/>
        </w:rPr>
      </w:pPr>
    </w:p>
    <w:p w:rsidRPr="00046E14" w:rsidR="00ED751C" w:rsidP="3416E1E6" w:rsidRDefault="00A868B0" w14:paraId="0D87AF61" w14:textId="24F79050">
      <w:pPr>
        <w:tabs>
          <w:tab w:val="left" w:pos="1440"/>
          <w:tab w:val="left" w:pos="3060"/>
        </w:tabs>
        <w:jc w:val="center"/>
        <w:rPr>
          <w:rFonts w:ascii="Arial" w:hAnsi="Arial" w:cs="Arial"/>
          <w:b w:val="1"/>
          <w:bCs w:val="1"/>
          <w:smallCaps w:val="1"/>
          <w:sz w:val="28"/>
          <w:szCs w:val="28"/>
          <w:lang w:val="es-ES"/>
        </w:rPr>
      </w:pPr>
      <w:r w:rsidRPr="3416E1E6" w:rsidR="3416E1E6">
        <w:rPr>
          <w:rFonts w:ascii="Arial" w:hAnsi="Arial" w:cs="Arial"/>
          <w:b w:val="1"/>
          <w:bCs w:val="1"/>
          <w:smallCaps w:val="1"/>
          <w:sz w:val="28"/>
          <w:szCs w:val="28"/>
        </w:rPr>
        <w:t xml:space="preserve">Programa de electrificación </w:t>
      </w:r>
      <w:r w:rsidRPr="3416E1E6" w:rsidR="3416E1E6">
        <w:rPr>
          <w:rFonts w:ascii="Arial" w:hAnsi="Arial" w:cs="Arial"/>
          <w:b w:val="1"/>
          <w:bCs w:val="1"/>
          <w:smallCaps w:val="1"/>
          <w:sz w:val="28"/>
          <w:szCs w:val="28"/>
        </w:rPr>
        <w:t xml:space="preserve">rural </w:t>
      </w:r>
      <w:r w:rsidRPr="3416E1E6" w:rsidR="3416E1E6">
        <w:rPr>
          <w:rFonts w:ascii="Arial" w:hAnsi="Arial" w:cs="Arial"/>
          <w:b w:val="1"/>
          <w:bCs w:val="1"/>
          <w:smallCaps w:val="1"/>
          <w:sz w:val="28"/>
          <w:szCs w:val="28"/>
        </w:rPr>
        <w:t xml:space="preserve">en lugares aislados </w:t>
      </w:r>
    </w:p>
    <w:p w:rsidRPr="00046E14" w:rsidR="00ED751C" w:rsidP="00ED751C" w:rsidRDefault="00ED751C" w14:paraId="295FE0F3" w14:textId="77777777">
      <w:pPr>
        <w:pStyle w:val="Newpage"/>
        <w:rPr>
          <w:rFonts w:ascii="Arial" w:hAnsi="Arial" w:cs="Arial"/>
          <w:b w:val="0"/>
          <w:caps/>
          <w:smallCaps w:val="0"/>
          <w:sz w:val="22"/>
          <w:szCs w:val="22"/>
        </w:rPr>
      </w:pPr>
    </w:p>
    <w:p w:rsidRPr="00046E14" w:rsidR="00ED751C" w:rsidP="00ED751C" w:rsidRDefault="00ED751C" w14:paraId="5E459368" w14:textId="77777777">
      <w:pPr>
        <w:pStyle w:val="Newpage"/>
        <w:rPr>
          <w:rFonts w:ascii="Arial" w:hAnsi="Arial" w:cs="Arial"/>
          <w:b w:val="0"/>
          <w:caps/>
          <w:smallCaps w:val="0"/>
          <w:sz w:val="22"/>
          <w:szCs w:val="22"/>
        </w:rPr>
      </w:pPr>
    </w:p>
    <w:p w:rsidRPr="00046E14" w:rsidR="00ED751C" w:rsidP="00ED751C" w:rsidRDefault="00A868B0" w14:paraId="2E34E169" w14:textId="67532E05">
      <w:pPr>
        <w:tabs>
          <w:tab w:val="left" w:pos="1440"/>
          <w:tab w:val="left" w:pos="3060"/>
        </w:tabs>
        <w:jc w:val="center"/>
        <w:rPr>
          <w:rFonts w:ascii="Arial" w:hAnsi="Arial" w:cs="Arial"/>
          <w:b/>
          <w:smallCaps/>
          <w:sz w:val="22"/>
          <w:szCs w:val="22"/>
          <w:lang w:val="es-ES"/>
        </w:rPr>
      </w:pPr>
      <w:r>
        <w:rPr>
          <w:rFonts w:ascii="Arial" w:hAnsi="Arial" w:cs="Arial"/>
          <w:b/>
          <w:smallCaps/>
          <w:sz w:val="22"/>
          <w:szCs w:val="22"/>
          <w:lang w:val="es-ES"/>
        </w:rPr>
        <w:t>HO-G1247</w:t>
      </w:r>
    </w:p>
    <w:p w:rsidRPr="00046E14" w:rsidR="00ED751C" w:rsidP="00ED751C" w:rsidRDefault="00ED751C" w14:paraId="3DB850D0" w14:textId="77777777">
      <w:pPr>
        <w:tabs>
          <w:tab w:val="left" w:pos="1440"/>
          <w:tab w:val="left" w:pos="3060"/>
        </w:tabs>
        <w:jc w:val="center"/>
        <w:rPr>
          <w:rFonts w:ascii="Arial" w:hAnsi="Arial" w:cs="Arial"/>
          <w:smallCaps/>
          <w:sz w:val="22"/>
          <w:szCs w:val="22"/>
          <w:lang w:val="es-ES"/>
        </w:rPr>
      </w:pPr>
    </w:p>
    <w:p w:rsidRPr="00046E14" w:rsidR="00ED751C" w:rsidP="00ED751C" w:rsidRDefault="00ED751C" w14:paraId="630102F8" w14:textId="77777777">
      <w:pPr>
        <w:tabs>
          <w:tab w:val="left" w:pos="1440"/>
          <w:tab w:val="left" w:pos="3060"/>
        </w:tabs>
        <w:jc w:val="center"/>
        <w:rPr>
          <w:rFonts w:ascii="Arial" w:hAnsi="Arial" w:cs="Arial"/>
          <w:smallCaps/>
          <w:sz w:val="22"/>
          <w:szCs w:val="22"/>
          <w:lang w:val="es-ES"/>
        </w:rPr>
      </w:pPr>
    </w:p>
    <w:p w:rsidR="00ED751C" w:rsidP="00ED751C" w:rsidRDefault="00ED751C" w14:paraId="38DBC1E8" w14:textId="2A529D15">
      <w:pPr>
        <w:tabs>
          <w:tab w:val="left" w:pos="1440"/>
          <w:tab w:val="left" w:pos="3060"/>
        </w:tabs>
        <w:jc w:val="center"/>
        <w:rPr>
          <w:rFonts w:ascii="Arial" w:hAnsi="Arial" w:cs="Arial"/>
          <w:smallCaps/>
          <w:sz w:val="22"/>
          <w:szCs w:val="22"/>
          <w:lang w:val="es-ES"/>
        </w:rPr>
      </w:pPr>
    </w:p>
    <w:p w:rsidR="00303AE9" w:rsidP="00ED751C" w:rsidRDefault="00303AE9" w14:paraId="3E60FB22" w14:textId="298F0C4A">
      <w:pPr>
        <w:tabs>
          <w:tab w:val="left" w:pos="1440"/>
          <w:tab w:val="left" w:pos="3060"/>
        </w:tabs>
        <w:jc w:val="center"/>
        <w:rPr>
          <w:rFonts w:ascii="Arial" w:hAnsi="Arial" w:cs="Arial"/>
          <w:smallCaps/>
          <w:sz w:val="22"/>
          <w:szCs w:val="22"/>
          <w:lang w:val="es-ES"/>
        </w:rPr>
      </w:pPr>
    </w:p>
    <w:p w:rsidRPr="00046E14" w:rsidR="00303AE9" w:rsidP="00ED751C" w:rsidRDefault="00303AE9" w14:paraId="6FD72A8D" w14:textId="77777777">
      <w:pPr>
        <w:tabs>
          <w:tab w:val="left" w:pos="1440"/>
          <w:tab w:val="left" w:pos="3060"/>
        </w:tabs>
        <w:jc w:val="center"/>
        <w:rPr>
          <w:rFonts w:ascii="Arial" w:hAnsi="Arial" w:cs="Arial"/>
          <w:smallCaps/>
          <w:sz w:val="22"/>
          <w:szCs w:val="22"/>
          <w:lang w:val="es-ES"/>
        </w:rPr>
      </w:pPr>
    </w:p>
    <w:p w:rsidRPr="00046E14" w:rsidR="00ED751C" w:rsidP="00ED751C" w:rsidRDefault="009403E8" w14:paraId="61AAA4A4" w14:textId="2862C3CC">
      <w:pPr>
        <w:tabs>
          <w:tab w:val="left" w:pos="1440"/>
          <w:tab w:val="left" w:pos="3060"/>
        </w:tabs>
        <w:jc w:val="center"/>
        <w:outlineLvl w:val="0"/>
        <w:rPr>
          <w:rFonts w:ascii="Arial" w:hAnsi="Arial" w:cs="Arial"/>
          <w:b/>
          <w:szCs w:val="24"/>
          <w:lang w:val="es-ES"/>
        </w:rPr>
      </w:pPr>
      <w:r>
        <w:rPr>
          <w:rFonts w:ascii="Arial" w:hAnsi="Arial" w:cs="Arial"/>
          <w:b/>
          <w:smallCaps/>
          <w:szCs w:val="24"/>
          <w:lang w:val="es-ES"/>
        </w:rPr>
        <w:t>Evaluación Económica</w:t>
      </w:r>
    </w:p>
    <w:p w:rsidRPr="00046E14" w:rsidR="00ED751C" w:rsidP="00ED751C" w:rsidRDefault="00ED751C" w14:paraId="6A7B0CBB" w14:textId="77777777">
      <w:pPr>
        <w:tabs>
          <w:tab w:val="left" w:pos="1440"/>
          <w:tab w:val="left" w:pos="3060"/>
        </w:tabs>
        <w:jc w:val="center"/>
        <w:rPr>
          <w:rFonts w:ascii="Arial" w:hAnsi="Arial" w:cs="Arial"/>
          <w:sz w:val="22"/>
          <w:szCs w:val="22"/>
          <w:lang w:val="es-ES"/>
        </w:rPr>
      </w:pPr>
    </w:p>
    <w:p w:rsidRPr="00046E14" w:rsidR="00ED751C" w:rsidP="00ED751C" w:rsidRDefault="00ED751C" w14:paraId="0DA44405" w14:textId="77777777">
      <w:pPr>
        <w:tabs>
          <w:tab w:val="left" w:pos="1440"/>
          <w:tab w:val="left" w:pos="3060"/>
        </w:tabs>
        <w:jc w:val="center"/>
        <w:rPr>
          <w:rFonts w:ascii="Arial" w:hAnsi="Arial" w:cs="Arial"/>
          <w:sz w:val="22"/>
          <w:szCs w:val="22"/>
          <w:lang w:val="es-ES"/>
        </w:rPr>
      </w:pPr>
    </w:p>
    <w:p w:rsidRPr="00046E14" w:rsidR="00ED751C" w:rsidP="00ED751C" w:rsidRDefault="00ED751C" w14:paraId="71D21E5F" w14:textId="77777777">
      <w:pPr>
        <w:tabs>
          <w:tab w:val="left" w:pos="1440"/>
          <w:tab w:val="left" w:pos="3060"/>
        </w:tabs>
        <w:jc w:val="center"/>
        <w:rPr>
          <w:rFonts w:ascii="Arial" w:hAnsi="Arial" w:cs="Arial"/>
          <w:sz w:val="22"/>
          <w:szCs w:val="22"/>
          <w:lang w:val="es-ES"/>
        </w:rPr>
      </w:pPr>
    </w:p>
    <w:p w:rsidRPr="00046E14" w:rsidR="00ED751C" w:rsidP="00ED751C" w:rsidRDefault="00ED751C" w14:paraId="24E4294F" w14:textId="77777777">
      <w:pPr>
        <w:tabs>
          <w:tab w:val="left" w:pos="1440"/>
          <w:tab w:val="left" w:pos="3060"/>
        </w:tabs>
        <w:jc w:val="center"/>
        <w:rPr>
          <w:rFonts w:ascii="Arial" w:hAnsi="Arial" w:cs="Arial"/>
          <w:sz w:val="22"/>
          <w:szCs w:val="22"/>
          <w:lang w:val="es-ES"/>
        </w:rPr>
      </w:pPr>
    </w:p>
    <w:p w:rsidRPr="00046E14" w:rsidR="00ED751C" w:rsidP="00ED751C" w:rsidRDefault="00ED751C" w14:paraId="60118CD8" w14:textId="77777777">
      <w:pPr>
        <w:tabs>
          <w:tab w:val="left" w:pos="1440"/>
          <w:tab w:val="left" w:pos="3060"/>
        </w:tabs>
        <w:jc w:val="center"/>
        <w:rPr>
          <w:rFonts w:ascii="Arial" w:hAnsi="Arial" w:cs="Arial"/>
          <w:sz w:val="22"/>
          <w:szCs w:val="22"/>
          <w:lang w:val="es-ES"/>
        </w:rPr>
      </w:pPr>
    </w:p>
    <w:p w:rsidRPr="00046E14" w:rsidR="00ED751C" w:rsidP="00ED751C" w:rsidRDefault="00ED751C" w14:paraId="1C552FCF" w14:textId="77777777">
      <w:pPr>
        <w:tabs>
          <w:tab w:val="left" w:pos="1440"/>
          <w:tab w:val="left" w:pos="3060"/>
        </w:tabs>
        <w:jc w:val="center"/>
        <w:rPr>
          <w:rFonts w:ascii="Arial" w:hAnsi="Arial" w:cs="Arial"/>
          <w:sz w:val="22"/>
          <w:szCs w:val="22"/>
          <w:lang w:val="es-ES"/>
        </w:rPr>
      </w:pPr>
    </w:p>
    <w:p w:rsidRPr="00046E14" w:rsidR="00ED751C" w:rsidP="00ED751C" w:rsidRDefault="00ED751C" w14:paraId="0B17DCE9" w14:textId="77777777">
      <w:pPr>
        <w:tabs>
          <w:tab w:val="left" w:pos="1440"/>
          <w:tab w:val="left" w:pos="3060"/>
        </w:tabs>
        <w:jc w:val="center"/>
        <w:rPr>
          <w:rFonts w:ascii="Arial" w:hAnsi="Arial" w:cs="Arial"/>
          <w:sz w:val="22"/>
          <w:szCs w:val="22"/>
          <w:lang w:val="es-ES"/>
        </w:rPr>
      </w:pPr>
    </w:p>
    <w:p w:rsidRPr="00046E14" w:rsidR="00ED751C" w:rsidP="00ED751C" w:rsidRDefault="00ED751C" w14:paraId="2D829FC7" w14:textId="77777777">
      <w:pPr>
        <w:tabs>
          <w:tab w:val="left" w:pos="1440"/>
          <w:tab w:val="left" w:pos="3060"/>
        </w:tabs>
        <w:jc w:val="center"/>
        <w:rPr>
          <w:rFonts w:ascii="Arial" w:hAnsi="Arial" w:cs="Arial"/>
          <w:sz w:val="22"/>
          <w:szCs w:val="22"/>
          <w:lang w:val="es-ES"/>
        </w:rPr>
      </w:pPr>
    </w:p>
    <w:p w:rsidRPr="00046E14" w:rsidR="00ED751C" w:rsidP="00ED751C" w:rsidRDefault="00ED751C" w14:paraId="07385390" w14:textId="77777777">
      <w:pPr>
        <w:tabs>
          <w:tab w:val="left" w:pos="1440"/>
          <w:tab w:val="left" w:pos="3060"/>
        </w:tabs>
        <w:jc w:val="center"/>
        <w:rPr>
          <w:rFonts w:ascii="Arial" w:hAnsi="Arial" w:cs="Arial"/>
          <w:sz w:val="22"/>
          <w:szCs w:val="22"/>
          <w:lang w:val="es-ES"/>
        </w:rPr>
      </w:pPr>
    </w:p>
    <w:p w:rsidR="00ED751C" w:rsidP="00ED751C" w:rsidRDefault="00ED751C" w14:paraId="16EA6C9E" w14:textId="77777777">
      <w:pPr>
        <w:tabs>
          <w:tab w:val="left" w:pos="1440"/>
          <w:tab w:val="left" w:pos="3060"/>
        </w:tabs>
        <w:jc w:val="center"/>
        <w:rPr>
          <w:rFonts w:ascii="Arial" w:hAnsi="Arial" w:cs="Arial"/>
          <w:sz w:val="22"/>
          <w:szCs w:val="22"/>
          <w:lang w:val="es-ES"/>
        </w:rPr>
      </w:pPr>
    </w:p>
    <w:p w:rsidRPr="00046E14" w:rsidR="00A868B0" w:rsidP="00ED751C" w:rsidRDefault="00A868B0" w14:paraId="58281FAA" w14:textId="77777777">
      <w:pPr>
        <w:tabs>
          <w:tab w:val="left" w:pos="1440"/>
          <w:tab w:val="left" w:pos="3060"/>
        </w:tabs>
        <w:jc w:val="center"/>
        <w:rPr>
          <w:rFonts w:ascii="Arial" w:hAnsi="Arial" w:cs="Arial"/>
          <w:sz w:val="22"/>
          <w:szCs w:val="22"/>
          <w:lang w:val="es-ES"/>
        </w:rPr>
      </w:pPr>
    </w:p>
    <w:p w:rsidR="00ED751C" w:rsidP="00ED751C" w:rsidRDefault="00ED751C" w14:paraId="1653A1EA" w14:textId="03BA0B88">
      <w:pPr>
        <w:tabs>
          <w:tab w:val="left" w:pos="1440"/>
          <w:tab w:val="left" w:pos="3060"/>
        </w:tabs>
        <w:jc w:val="center"/>
        <w:rPr>
          <w:rFonts w:ascii="Arial" w:hAnsi="Arial" w:cs="Arial"/>
          <w:sz w:val="22"/>
          <w:szCs w:val="22"/>
          <w:lang w:val="es-ES"/>
        </w:rPr>
      </w:pPr>
    </w:p>
    <w:p w:rsidR="00303AE9" w:rsidP="00ED751C" w:rsidRDefault="00303AE9" w14:paraId="135918E8" w14:textId="77777777">
      <w:pPr>
        <w:tabs>
          <w:tab w:val="left" w:pos="1440"/>
          <w:tab w:val="left" w:pos="3060"/>
        </w:tabs>
        <w:jc w:val="center"/>
        <w:rPr>
          <w:rFonts w:ascii="Arial" w:hAnsi="Arial" w:cs="Arial"/>
          <w:sz w:val="22"/>
          <w:szCs w:val="22"/>
          <w:lang w:val="es-ES"/>
        </w:rPr>
      </w:pPr>
    </w:p>
    <w:p w:rsidR="009403E8" w:rsidP="00ED751C" w:rsidRDefault="009403E8" w14:paraId="2E98AA13" w14:textId="31C17352">
      <w:pPr>
        <w:tabs>
          <w:tab w:val="left" w:pos="1440"/>
          <w:tab w:val="left" w:pos="3060"/>
        </w:tabs>
        <w:jc w:val="center"/>
        <w:rPr>
          <w:rFonts w:ascii="Arial" w:hAnsi="Arial" w:cs="Arial"/>
          <w:sz w:val="22"/>
          <w:szCs w:val="22"/>
          <w:lang w:val="es-ES"/>
        </w:rPr>
      </w:pPr>
    </w:p>
    <w:p w:rsidRPr="00046E14" w:rsidR="009403E8" w:rsidP="00ED751C" w:rsidRDefault="009403E8" w14:paraId="6571D127" w14:textId="77777777">
      <w:pPr>
        <w:tabs>
          <w:tab w:val="left" w:pos="1440"/>
          <w:tab w:val="left" w:pos="3060"/>
        </w:tabs>
        <w:jc w:val="center"/>
        <w:rPr>
          <w:rFonts w:ascii="Arial" w:hAnsi="Arial" w:cs="Arial"/>
          <w:sz w:val="22"/>
          <w:szCs w:val="22"/>
          <w:lang w:val="es-ES"/>
        </w:rPr>
      </w:pPr>
    </w:p>
    <w:p w:rsidRPr="00046E14" w:rsidR="00ED751C" w:rsidP="00ED751C" w:rsidRDefault="00ED751C" w14:paraId="217749BA" w14:textId="77777777">
      <w:pPr>
        <w:tabs>
          <w:tab w:val="left" w:pos="1440"/>
          <w:tab w:val="left" w:pos="3060"/>
        </w:tabs>
        <w:jc w:val="center"/>
        <w:rPr>
          <w:rFonts w:ascii="Arial" w:hAnsi="Arial" w:cs="Arial"/>
          <w:sz w:val="22"/>
          <w:szCs w:val="22"/>
          <w:lang w:val="es-ES"/>
        </w:rPr>
      </w:pPr>
    </w:p>
    <w:p w:rsidRPr="00046E14" w:rsidR="00ED751C" w:rsidP="00AB4986" w:rsidRDefault="00ED751C" w14:paraId="51950335" w14:textId="1787AAA9">
      <w:pPr>
        <w:pStyle w:val="BodyText"/>
        <w:pBdr>
          <w:top w:val="single" w:color="auto" w:sz="4" w:space="1"/>
          <w:left w:val="single" w:color="auto" w:sz="4" w:space="4"/>
          <w:bottom w:val="single" w:color="auto" w:sz="4" w:space="1"/>
          <w:right w:val="single" w:color="auto" w:sz="4" w:space="4"/>
        </w:pBdr>
        <w:tabs>
          <w:tab w:val="left" w:pos="1440"/>
        </w:tabs>
        <w:jc w:val="both"/>
        <w:rPr>
          <w:rFonts w:ascii="Arial" w:hAnsi="Arial" w:cs="Arial"/>
          <w:sz w:val="22"/>
          <w:szCs w:val="22"/>
          <w:lang w:val="es-ES"/>
        </w:rPr>
        <w:sectPr w:rsidRPr="00046E14" w:rsidR="00ED751C" w:rsidSect="00ED751C">
          <w:headerReference w:type="even" r:id="rId14"/>
          <w:headerReference w:type="default" r:id="rId15"/>
          <w:footerReference w:type="even" r:id="rId16"/>
          <w:pgSz w:w="12240" w:h="15840" w:orient="portrait" w:code="1"/>
          <w:pgMar w:top="1440" w:right="1800" w:bottom="1440" w:left="1800" w:header="706" w:footer="706" w:gutter="0"/>
          <w:pgNumType w:fmt="lowerRoman" w:start="1"/>
          <w:cols w:space="720"/>
          <w:formProt w:val="0"/>
          <w:titlePg/>
        </w:sectPr>
      </w:pPr>
      <w:r w:rsidRPr="00046E14">
        <w:rPr>
          <w:rFonts w:ascii="Arial" w:hAnsi="Arial" w:cs="Arial"/>
          <w:sz w:val="20"/>
          <w:lang w:val="es-ES"/>
        </w:rPr>
        <w:t>Este documento fue preparado por</w:t>
      </w:r>
      <w:r w:rsidR="004D6E46">
        <w:rPr>
          <w:rFonts w:ascii="Arial" w:hAnsi="Arial" w:cs="Arial"/>
          <w:sz w:val="20"/>
          <w:lang w:val="es-ES"/>
        </w:rPr>
        <w:t xml:space="preserve">: </w:t>
      </w:r>
      <w:r w:rsidR="009403E8">
        <w:rPr>
          <w:rFonts w:ascii="Arial" w:hAnsi="Arial" w:cs="Arial"/>
          <w:sz w:val="20"/>
          <w:lang w:val="es-ES"/>
        </w:rPr>
        <w:t>Nancy Jesurun-Clements (</w:t>
      </w:r>
      <w:r w:rsidR="0006356C">
        <w:rPr>
          <w:rFonts w:ascii="Arial" w:hAnsi="Arial" w:cs="Arial"/>
          <w:sz w:val="20"/>
          <w:lang w:val="es-ES"/>
        </w:rPr>
        <w:t>Consultora</w:t>
      </w:r>
      <w:r w:rsidR="009403E8">
        <w:rPr>
          <w:rFonts w:ascii="Arial" w:hAnsi="Arial" w:cs="Arial"/>
          <w:sz w:val="20"/>
          <w:lang w:val="es-ES"/>
        </w:rPr>
        <w:t xml:space="preserve">); </w:t>
      </w:r>
      <w:r w:rsidR="00AB4986">
        <w:rPr>
          <w:rFonts w:ascii="Arial" w:hAnsi="Arial" w:cs="Arial"/>
          <w:sz w:val="20"/>
          <w:lang w:val="es-ES"/>
        </w:rPr>
        <w:t xml:space="preserve">y </w:t>
      </w:r>
      <w:r w:rsidRPr="00A868B0" w:rsidR="00A868B0">
        <w:rPr>
          <w:rFonts w:ascii="Arial" w:hAnsi="Arial" w:cs="Arial"/>
          <w:sz w:val="20"/>
          <w:lang w:val="es-ES"/>
        </w:rPr>
        <w:t>Carlos Jácome (ENE/CHO)</w:t>
      </w:r>
      <w:r w:rsidR="00AB4986">
        <w:rPr>
          <w:rFonts w:ascii="Arial" w:hAnsi="Arial" w:cs="Arial"/>
          <w:sz w:val="20"/>
          <w:lang w:val="es-ES"/>
        </w:rPr>
        <w:t>.</w:t>
      </w:r>
    </w:p>
    <w:p w:rsidRPr="00046E14" w:rsidR="00ED751C" w:rsidP="00ED751C" w:rsidRDefault="00ED751C" w14:paraId="5CA8D966" w14:textId="77777777">
      <w:pPr>
        <w:pStyle w:val="Newpage"/>
        <w:rPr>
          <w:rFonts w:ascii="Arial" w:hAnsi="Arial" w:cs="Arial"/>
          <w:sz w:val="22"/>
          <w:szCs w:val="22"/>
        </w:rPr>
      </w:pPr>
      <w:r w:rsidRPr="00046E14">
        <w:rPr>
          <w:rFonts w:ascii="Arial" w:hAnsi="Arial" w:cs="Arial"/>
          <w:sz w:val="22"/>
          <w:szCs w:val="22"/>
        </w:rPr>
        <w:lastRenderedPageBreak/>
        <w:t>Índice</w:t>
      </w:r>
    </w:p>
    <w:p w:rsidRPr="00046E14" w:rsidR="00ED751C" w:rsidP="00ED751C" w:rsidRDefault="00ED751C" w14:paraId="54A91364" w14:textId="77777777">
      <w:pPr>
        <w:pStyle w:val="Newpage"/>
        <w:rPr>
          <w:rFonts w:ascii="Arial" w:hAnsi="Arial" w:cs="Arial"/>
          <w:sz w:val="22"/>
          <w:szCs w:val="22"/>
        </w:rPr>
      </w:pPr>
    </w:p>
    <w:p w:rsidRPr="00046E14" w:rsidR="00ED751C" w:rsidP="00ED751C" w:rsidRDefault="00ED751C" w14:paraId="7559CE66" w14:textId="77777777">
      <w:pPr>
        <w:pStyle w:val="Newpage"/>
        <w:rPr>
          <w:rFonts w:ascii="Arial" w:hAnsi="Arial" w:cs="Arial"/>
          <w:sz w:val="22"/>
          <w:szCs w:val="22"/>
        </w:rPr>
      </w:pPr>
    </w:p>
    <w:p w:rsidRPr="00874967" w:rsidR="007E3DE5" w:rsidRDefault="00E3347F" w14:paraId="2D950A02" w14:textId="38D7C3F5">
      <w:pPr>
        <w:pStyle w:val="TOC1"/>
        <w:rPr>
          <w:rFonts w:asciiTheme="minorHAnsi" w:hAnsiTheme="minorHAnsi" w:eastAsiaTheme="minorEastAsia" w:cstheme="minorBidi"/>
          <w:b w:val="0"/>
          <w:smallCaps w:val="0"/>
        </w:rPr>
      </w:pPr>
      <w:r w:rsidRPr="00BC1545">
        <w:rPr>
          <w:rFonts w:cs="Arial"/>
          <w:noProof w:val="0"/>
          <w:lang w:val="es-ES"/>
        </w:rPr>
        <w:fldChar w:fldCharType="begin"/>
      </w:r>
      <w:r w:rsidRPr="00BC1545" w:rsidR="00ED751C">
        <w:rPr>
          <w:rFonts w:cs="Arial"/>
          <w:noProof w:val="0"/>
          <w:lang w:val="es-ES"/>
        </w:rPr>
        <w:instrText xml:space="preserve"> TOC \f \t "Chapter,1,FirstHeading,2,SecHeading,3" </w:instrText>
      </w:r>
      <w:r w:rsidRPr="00BC1545">
        <w:rPr>
          <w:rFonts w:cs="Arial"/>
          <w:noProof w:val="0"/>
          <w:lang w:val="es-ES"/>
        </w:rPr>
        <w:fldChar w:fldCharType="separate"/>
      </w:r>
      <w:r w:rsidRPr="0099219C" w:rsidR="007E3DE5">
        <w:rPr>
          <w:rFonts w:cs="Arial"/>
        </w:rPr>
        <w:t>I.</w:t>
      </w:r>
      <w:r w:rsidRPr="00874967" w:rsidR="007E3DE5">
        <w:rPr>
          <w:rFonts w:asciiTheme="minorHAnsi" w:hAnsiTheme="minorHAnsi" w:eastAsiaTheme="minorEastAsia" w:cstheme="minorBidi"/>
          <w:b w:val="0"/>
          <w:smallCaps w:val="0"/>
        </w:rPr>
        <w:tab/>
      </w:r>
      <w:r w:rsidRPr="0099219C" w:rsidR="007E3DE5">
        <w:rPr>
          <w:rFonts w:cs="Arial"/>
        </w:rPr>
        <w:t>Descripción del Programa</w:t>
      </w:r>
      <w:r w:rsidR="007E3DE5">
        <w:tab/>
      </w:r>
      <w:r w:rsidR="007E3DE5">
        <w:fldChar w:fldCharType="begin"/>
      </w:r>
      <w:r w:rsidR="007E3DE5">
        <w:instrText xml:space="preserve"> PAGEREF _Toc526996956 \h </w:instrText>
      </w:r>
      <w:r w:rsidR="007E3DE5">
        <w:fldChar w:fldCharType="separate"/>
      </w:r>
      <w:r w:rsidR="007E3DE5">
        <w:t>- 1 -</w:t>
      </w:r>
      <w:r w:rsidR="007E3DE5">
        <w:fldChar w:fldCharType="end"/>
      </w:r>
    </w:p>
    <w:p w:rsidRPr="00874967" w:rsidR="007E3DE5" w:rsidRDefault="007E3DE5" w14:paraId="49ADB05D" w14:textId="52B42709">
      <w:pPr>
        <w:pStyle w:val="TOC2"/>
        <w:rPr>
          <w:rFonts w:asciiTheme="minorHAnsi" w:hAnsiTheme="minorHAnsi" w:eastAsiaTheme="minorEastAsia" w:cstheme="minorBidi"/>
          <w:szCs w:val="22"/>
        </w:rPr>
      </w:pPr>
      <w:r w:rsidRPr="0099219C">
        <w:rPr>
          <w:rFonts w:cs="Arial"/>
        </w:rPr>
        <w:t>A.</w:t>
      </w:r>
      <w:r w:rsidRPr="00874967">
        <w:rPr>
          <w:rFonts w:asciiTheme="minorHAnsi" w:hAnsiTheme="minorHAnsi" w:eastAsiaTheme="minorEastAsia" w:cstheme="minorBidi"/>
          <w:szCs w:val="22"/>
        </w:rPr>
        <w:tab/>
      </w:r>
      <w:r w:rsidRPr="0099219C">
        <w:rPr>
          <w:rFonts w:cs="Arial"/>
        </w:rPr>
        <w:t>Antecedentes</w:t>
      </w:r>
      <w:r>
        <w:tab/>
      </w:r>
      <w:r>
        <w:fldChar w:fldCharType="begin"/>
      </w:r>
      <w:r>
        <w:instrText xml:space="preserve"> PAGEREF _Toc526996957 \h </w:instrText>
      </w:r>
      <w:r>
        <w:fldChar w:fldCharType="separate"/>
      </w:r>
      <w:r>
        <w:t>- 1 -</w:t>
      </w:r>
      <w:r>
        <w:fldChar w:fldCharType="end"/>
      </w:r>
    </w:p>
    <w:p w:rsidRPr="00874967" w:rsidR="007E3DE5" w:rsidRDefault="007E3DE5" w14:paraId="2753BE1F" w14:textId="3AAA37A0">
      <w:pPr>
        <w:pStyle w:val="TOC2"/>
        <w:rPr>
          <w:rFonts w:asciiTheme="minorHAnsi" w:hAnsiTheme="minorHAnsi" w:eastAsiaTheme="minorEastAsia" w:cstheme="minorBidi"/>
          <w:szCs w:val="22"/>
        </w:rPr>
      </w:pPr>
      <w:r w:rsidRPr="0099219C">
        <w:rPr>
          <w:rFonts w:cs="Arial"/>
        </w:rPr>
        <w:t>B.</w:t>
      </w:r>
      <w:r w:rsidRPr="00874967">
        <w:rPr>
          <w:rFonts w:asciiTheme="minorHAnsi" w:hAnsiTheme="minorHAnsi" w:eastAsiaTheme="minorEastAsia" w:cstheme="minorBidi"/>
          <w:szCs w:val="22"/>
        </w:rPr>
        <w:tab/>
      </w:r>
      <w:r w:rsidRPr="0099219C">
        <w:rPr>
          <w:rFonts w:cs="Arial"/>
        </w:rPr>
        <w:t>Características</w:t>
      </w:r>
      <w:r w:rsidRPr="0099219C">
        <w:rPr>
          <w:rFonts w:eastAsia="Arial" w:cs="Arial"/>
        </w:rPr>
        <w:t xml:space="preserve"> de la población objetivo</w:t>
      </w:r>
      <w:r>
        <w:tab/>
      </w:r>
      <w:r>
        <w:fldChar w:fldCharType="begin"/>
      </w:r>
      <w:r>
        <w:instrText xml:space="preserve"> PAGEREF _Toc526996958 \h </w:instrText>
      </w:r>
      <w:r>
        <w:fldChar w:fldCharType="separate"/>
      </w:r>
      <w:r>
        <w:t>- 1 -</w:t>
      </w:r>
      <w:r>
        <w:fldChar w:fldCharType="end"/>
      </w:r>
    </w:p>
    <w:p w:rsidRPr="00874967" w:rsidR="007E3DE5" w:rsidRDefault="007E3DE5" w14:paraId="52B17909" w14:textId="6B8DD094">
      <w:pPr>
        <w:pStyle w:val="TOC2"/>
        <w:rPr>
          <w:rFonts w:asciiTheme="minorHAnsi" w:hAnsiTheme="minorHAnsi" w:eastAsiaTheme="minorEastAsia" w:cstheme="minorBidi"/>
          <w:szCs w:val="22"/>
        </w:rPr>
      </w:pPr>
      <w:r w:rsidRPr="0099219C">
        <w:rPr>
          <w:rFonts w:cs="Arial"/>
        </w:rPr>
        <w:t>C.</w:t>
      </w:r>
      <w:r w:rsidRPr="00874967">
        <w:rPr>
          <w:rFonts w:asciiTheme="minorHAnsi" w:hAnsiTheme="minorHAnsi" w:eastAsiaTheme="minorEastAsia" w:cstheme="minorBidi"/>
          <w:szCs w:val="22"/>
        </w:rPr>
        <w:tab/>
      </w:r>
      <w:r w:rsidRPr="0099219C">
        <w:rPr>
          <w:rFonts w:cs="Arial"/>
        </w:rPr>
        <w:t>Justificación de la intervención</w:t>
      </w:r>
      <w:r>
        <w:tab/>
      </w:r>
      <w:r>
        <w:fldChar w:fldCharType="begin"/>
      </w:r>
      <w:r>
        <w:instrText xml:space="preserve"> PAGEREF _Toc526996959 \h </w:instrText>
      </w:r>
      <w:r>
        <w:fldChar w:fldCharType="separate"/>
      </w:r>
      <w:r>
        <w:t>- 4 -</w:t>
      </w:r>
      <w:r>
        <w:fldChar w:fldCharType="end"/>
      </w:r>
    </w:p>
    <w:p w:rsidRPr="00874967" w:rsidR="007E3DE5" w:rsidRDefault="007E3DE5" w14:paraId="7D7D3CEF" w14:textId="316F0B31">
      <w:pPr>
        <w:pStyle w:val="TOC2"/>
        <w:rPr>
          <w:rFonts w:asciiTheme="minorHAnsi" w:hAnsiTheme="minorHAnsi" w:eastAsiaTheme="minorEastAsia" w:cstheme="minorBidi"/>
          <w:szCs w:val="22"/>
        </w:rPr>
      </w:pPr>
      <w:r w:rsidRPr="0099219C">
        <w:rPr>
          <w:rFonts w:cs="Arial"/>
        </w:rPr>
        <w:t>D.</w:t>
      </w:r>
      <w:r w:rsidRPr="00874967">
        <w:rPr>
          <w:rFonts w:asciiTheme="minorHAnsi" w:hAnsiTheme="minorHAnsi" w:eastAsiaTheme="minorEastAsia" w:cstheme="minorBidi"/>
          <w:szCs w:val="22"/>
        </w:rPr>
        <w:tab/>
      </w:r>
      <w:r w:rsidRPr="0099219C">
        <w:rPr>
          <w:rFonts w:cs="Arial"/>
        </w:rPr>
        <w:t>Estrategia y Descripción del Programa</w:t>
      </w:r>
      <w:r>
        <w:tab/>
      </w:r>
      <w:r>
        <w:fldChar w:fldCharType="begin"/>
      </w:r>
      <w:r>
        <w:instrText xml:space="preserve"> PAGEREF _Toc526996960 \h </w:instrText>
      </w:r>
      <w:r>
        <w:fldChar w:fldCharType="separate"/>
      </w:r>
      <w:r>
        <w:t>- 6 -</w:t>
      </w:r>
      <w:r>
        <w:fldChar w:fldCharType="end"/>
      </w:r>
    </w:p>
    <w:p w:rsidRPr="00874967" w:rsidR="007E3DE5" w:rsidRDefault="007E3DE5" w14:paraId="4897A7E4" w14:textId="77FF76E9">
      <w:pPr>
        <w:pStyle w:val="TOC2"/>
        <w:rPr>
          <w:rFonts w:asciiTheme="minorHAnsi" w:hAnsiTheme="minorHAnsi" w:eastAsiaTheme="minorEastAsia" w:cstheme="minorBidi"/>
          <w:szCs w:val="22"/>
        </w:rPr>
      </w:pPr>
      <w:r w:rsidRPr="0099219C">
        <w:rPr>
          <w:rFonts w:cs="Arial"/>
        </w:rPr>
        <w:t>E.</w:t>
      </w:r>
      <w:r w:rsidRPr="00874967">
        <w:rPr>
          <w:rFonts w:asciiTheme="minorHAnsi" w:hAnsiTheme="minorHAnsi" w:eastAsiaTheme="minorEastAsia" w:cstheme="minorBidi"/>
          <w:szCs w:val="22"/>
        </w:rPr>
        <w:tab/>
      </w:r>
      <w:r w:rsidRPr="0099219C">
        <w:rPr>
          <w:rFonts w:cs="Arial"/>
        </w:rPr>
        <w:t>Indicadores Clave de Resultados</w:t>
      </w:r>
      <w:r>
        <w:tab/>
      </w:r>
      <w:r>
        <w:fldChar w:fldCharType="begin"/>
      </w:r>
      <w:r>
        <w:instrText xml:space="preserve"> PAGEREF _Toc526996961 \h </w:instrText>
      </w:r>
      <w:r>
        <w:fldChar w:fldCharType="separate"/>
      </w:r>
      <w:r>
        <w:t>- 9 -</w:t>
      </w:r>
      <w:r>
        <w:fldChar w:fldCharType="end"/>
      </w:r>
    </w:p>
    <w:p w:rsidRPr="00874967" w:rsidR="007E3DE5" w:rsidRDefault="007E3DE5" w14:paraId="7D10B476" w14:textId="27EE6B61">
      <w:pPr>
        <w:pStyle w:val="TOC1"/>
        <w:rPr>
          <w:rFonts w:asciiTheme="minorHAnsi" w:hAnsiTheme="minorHAnsi" w:eastAsiaTheme="minorEastAsia" w:cstheme="minorBidi"/>
          <w:b w:val="0"/>
          <w:smallCaps w:val="0"/>
        </w:rPr>
      </w:pPr>
      <w:r w:rsidRPr="0099219C">
        <w:rPr>
          <w:rFonts w:cs="Arial"/>
        </w:rPr>
        <w:t>II.</w:t>
      </w:r>
      <w:r w:rsidRPr="00874967">
        <w:rPr>
          <w:rFonts w:asciiTheme="minorHAnsi" w:hAnsiTheme="minorHAnsi" w:eastAsiaTheme="minorEastAsia" w:cstheme="minorBidi"/>
          <w:b w:val="0"/>
          <w:smallCaps w:val="0"/>
        </w:rPr>
        <w:tab/>
      </w:r>
      <w:r w:rsidRPr="0099219C">
        <w:rPr>
          <w:rFonts w:cs="Arial"/>
        </w:rPr>
        <w:t>Evaluación Económica del Programa</w:t>
      </w:r>
      <w:r>
        <w:tab/>
      </w:r>
      <w:r>
        <w:fldChar w:fldCharType="begin"/>
      </w:r>
      <w:r>
        <w:instrText xml:space="preserve"> PAGEREF _Toc526996962 \h </w:instrText>
      </w:r>
      <w:r>
        <w:fldChar w:fldCharType="separate"/>
      </w:r>
      <w:r>
        <w:t>- 10 -</w:t>
      </w:r>
      <w:r>
        <w:fldChar w:fldCharType="end"/>
      </w:r>
    </w:p>
    <w:p w:rsidRPr="00874967" w:rsidR="007E3DE5" w:rsidRDefault="007E3DE5" w14:paraId="04E7FC85" w14:textId="0AA2D592">
      <w:pPr>
        <w:pStyle w:val="TOC2"/>
        <w:rPr>
          <w:rFonts w:asciiTheme="minorHAnsi" w:hAnsiTheme="minorHAnsi" w:eastAsiaTheme="minorEastAsia" w:cstheme="minorBidi"/>
          <w:szCs w:val="22"/>
        </w:rPr>
      </w:pPr>
      <w:r w:rsidRPr="0099219C">
        <w:rPr>
          <w:rFonts w:cs="Arial"/>
        </w:rPr>
        <w:t>A.</w:t>
      </w:r>
      <w:r w:rsidRPr="00874967">
        <w:rPr>
          <w:rFonts w:asciiTheme="minorHAnsi" w:hAnsiTheme="minorHAnsi" w:eastAsiaTheme="minorEastAsia" w:cstheme="minorBidi"/>
          <w:szCs w:val="22"/>
        </w:rPr>
        <w:tab/>
      </w:r>
      <w:r w:rsidRPr="0099219C">
        <w:rPr>
          <w:rFonts w:cs="Arial"/>
        </w:rPr>
        <w:t>Metodología</w:t>
      </w:r>
      <w:r>
        <w:tab/>
      </w:r>
      <w:r>
        <w:fldChar w:fldCharType="begin"/>
      </w:r>
      <w:r>
        <w:instrText xml:space="preserve"> PAGEREF _Toc526996963 \h </w:instrText>
      </w:r>
      <w:r>
        <w:fldChar w:fldCharType="separate"/>
      </w:r>
      <w:r>
        <w:t>- 10 -</w:t>
      </w:r>
      <w:r>
        <w:fldChar w:fldCharType="end"/>
      </w:r>
    </w:p>
    <w:p w:rsidRPr="00874967" w:rsidR="007E3DE5" w:rsidRDefault="007E3DE5" w14:paraId="52CF3249" w14:textId="51AEADAD">
      <w:pPr>
        <w:pStyle w:val="TOC2"/>
        <w:rPr>
          <w:rFonts w:asciiTheme="minorHAnsi" w:hAnsiTheme="minorHAnsi" w:eastAsiaTheme="minorEastAsia" w:cstheme="minorBidi"/>
          <w:szCs w:val="22"/>
        </w:rPr>
      </w:pPr>
      <w:r w:rsidRPr="0099219C">
        <w:rPr>
          <w:rFonts w:cs="Arial"/>
        </w:rPr>
        <w:t>B.</w:t>
      </w:r>
      <w:r w:rsidRPr="00874967">
        <w:rPr>
          <w:rFonts w:asciiTheme="minorHAnsi" w:hAnsiTheme="minorHAnsi" w:eastAsiaTheme="minorEastAsia" w:cstheme="minorBidi"/>
          <w:szCs w:val="22"/>
        </w:rPr>
        <w:tab/>
      </w:r>
      <w:r w:rsidRPr="0099219C">
        <w:rPr>
          <w:rFonts w:cs="Arial"/>
        </w:rPr>
        <w:t>Identificación de beneficiarios.</w:t>
      </w:r>
      <w:r>
        <w:tab/>
      </w:r>
      <w:r>
        <w:fldChar w:fldCharType="begin"/>
      </w:r>
      <w:r>
        <w:instrText xml:space="preserve"> PAGEREF _Toc526996964 \h </w:instrText>
      </w:r>
      <w:r>
        <w:fldChar w:fldCharType="separate"/>
      </w:r>
      <w:r>
        <w:t>- 10 -</w:t>
      </w:r>
      <w:r>
        <w:fldChar w:fldCharType="end"/>
      </w:r>
    </w:p>
    <w:p w:rsidRPr="00874967" w:rsidR="007E3DE5" w:rsidRDefault="007E3DE5" w14:paraId="71C90EA8" w14:textId="50F681C5">
      <w:pPr>
        <w:pStyle w:val="TOC2"/>
        <w:rPr>
          <w:rFonts w:asciiTheme="minorHAnsi" w:hAnsiTheme="minorHAnsi" w:eastAsiaTheme="minorEastAsia" w:cstheme="minorBidi"/>
          <w:szCs w:val="22"/>
        </w:rPr>
      </w:pPr>
      <w:r w:rsidRPr="0099219C">
        <w:rPr>
          <w:rFonts w:cs="Arial"/>
        </w:rPr>
        <w:t>C.</w:t>
      </w:r>
      <w:r w:rsidRPr="00874967">
        <w:rPr>
          <w:rFonts w:asciiTheme="minorHAnsi" w:hAnsiTheme="minorHAnsi" w:eastAsiaTheme="minorEastAsia" w:cstheme="minorBidi"/>
          <w:szCs w:val="22"/>
        </w:rPr>
        <w:tab/>
      </w:r>
      <w:r w:rsidRPr="0099219C">
        <w:rPr>
          <w:rFonts w:cs="Arial"/>
        </w:rPr>
        <w:t>Análisis Costo - Efectividad</w:t>
      </w:r>
      <w:r>
        <w:tab/>
      </w:r>
      <w:r>
        <w:fldChar w:fldCharType="begin"/>
      </w:r>
      <w:r>
        <w:instrText xml:space="preserve"> PAGEREF _Toc526996965 \h </w:instrText>
      </w:r>
      <w:r>
        <w:fldChar w:fldCharType="separate"/>
      </w:r>
      <w:r>
        <w:t>- 11 -</w:t>
      </w:r>
      <w:r>
        <w:fldChar w:fldCharType="end"/>
      </w:r>
    </w:p>
    <w:p w:rsidRPr="00874967" w:rsidR="007E3DE5" w:rsidRDefault="007E3DE5" w14:paraId="494431B3" w14:textId="58832C5E">
      <w:pPr>
        <w:pStyle w:val="TOC2"/>
        <w:rPr>
          <w:rFonts w:asciiTheme="minorHAnsi" w:hAnsiTheme="minorHAnsi" w:eastAsiaTheme="minorEastAsia" w:cstheme="minorBidi"/>
          <w:szCs w:val="22"/>
        </w:rPr>
      </w:pPr>
      <w:r w:rsidRPr="0099219C">
        <w:rPr>
          <w:rFonts w:cs="Arial"/>
        </w:rPr>
        <w:t>D.</w:t>
      </w:r>
      <w:r w:rsidRPr="00874967">
        <w:rPr>
          <w:rFonts w:asciiTheme="minorHAnsi" w:hAnsiTheme="minorHAnsi" w:eastAsiaTheme="minorEastAsia" w:cstheme="minorBidi"/>
          <w:szCs w:val="22"/>
        </w:rPr>
        <w:tab/>
      </w:r>
      <w:r w:rsidRPr="0099219C">
        <w:rPr>
          <w:rFonts w:cs="Arial"/>
        </w:rPr>
        <w:t>Análisis Financiero</w:t>
      </w:r>
      <w:r>
        <w:tab/>
      </w:r>
      <w:r>
        <w:fldChar w:fldCharType="begin"/>
      </w:r>
      <w:r>
        <w:instrText xml:space="preserve"> PAGEREF _Toc526996966 \h </w:instrText>
      </w:r>
      <w:r>
        <w:fldChar w:fldCharType="separate"/>
      </w:r>
      <w:r>
        <w:t>- 14 -</w:t>
      </w:r>
      <w:r>
        <w:fldChar w:fldCharType="end"/>
      </w:r>
    </w:p>
    <w:p w:rsidRPr="00874967" w:rsidR="007E3DE5" w:rsidRDefault="007E3DE5" w14:paraId="583384CE" w14:textId="1881039D">
      <w:pPr>
        <w:pStyle w:val="TOC2"/>
        <w:rPr>
          <w:rFonts w:asciiTheme="minorHAnsi" w:hAnsiTheme="minorHAnsi" w:eastAsiaTheme="minorEastAsia" w:cstheme="minorBidi"/>
          <w:szCs w:val="22"/>
        </w:rPr>
      </w:pPr>
      <w:r w:rsidRPr="0099219C">
        <w:rPr>
          <w:rFonts w:cs="Arial"/>
        </w:rPr>
        <w:t>E.</w:t>
      </w:r>
      <w:r w:rsidRPr="00874967">
        <w:rPr>
          <w:rFonts w:asciiTheme="minorHAnsi" w:hAnsiTheme="minorHAnsi" w:eastAsiaTheme="minorEastAsia" w:cstheme="minorBidi"/>
          <w:szCs w:val="22"/>
        </w:rPr>
        <w:tab/>
      </w:r>
      <w:r w:rsidRPr="0099219C">
        <w:rPr>
          <w:rFonts w:cs="Arial"/>
        </w:rPr>
        <w:t>Análisis de Sensibilidad</w:t>
      </w:r>
      <w:r>
        <w:tab/>
      </w:r>
      <w:r>
        <w:fldChar w:fldCharType="begin"/>
      </w:r>
      <w:r>
        <w:instrText xml:space="preserve"> PAGEREF _Toc526996967 \h </w:instrText>
      </w:r>
      <w:r>
        <w:fldChar w:fldCharType="separate"/>
      </w:r>
      <w:r>
        <w:t>- 14 -</w:t>
      </w:r>
      <w:r>
        <w:fldChar w:fldCharType="end"/>
      </w:r>
    </w:p>
    <w:p w:rsidRPr="00874967" w:rsidR="007E3DE5" w:rsidRDefault="007E3DE5" w14:paraId="4B7AB870" w14:textId="3F7FE327">
      <w:pPr>
        <w:pStyle w:val="TOC1"/>
        <w:rPr>
          <w:rFonts w:asciiTheme="minorHAnsi" w:hAnsiTheme="minorHAnsi" w:eastAsiaTheme="minorEastAsia" w:cstheme="minorBidi"/>
          <w:b w:val="0"/>
          <w:smallCaps w:val="0"/>
        </w:rPr>
      </w:pPr>
      <w:r w:rsidRPr="0099219C">
        <w:rPr>
          <w:rFonts w:cs="Arial"/>
        </w:rPr>
        <w:t>III.</w:t>
      </w:r>
      <w:r w:rsidRPr="00874967">
        <w:rPr>
          <w:rFonts w:asciiTheme="minorHAnsi" w:hAnsiTheme="minorHAnsi" w:eastAsiaTheme="minorEastAsia" w:cstheme="minorBidi"/>
          <w:b w:val="0"/>
          <w:smallCaps w:val="0"/>
        </w:rPr>
        <w:tab/>
      </w:r>
      <w:r w:rsidRPr="0099219C">
        <w:rPr>
          <w:rFonts w:cs="Arial"/>
        </w:rPr>
        <w:t>Conclusiones y Recomendaciones</w:t>
      </w:r>
      <w:r>
        <w:tab/>
      </w:r>
      <w:r>
        <w:fldChar w:fldCharType="begin"/>
      </w:r>
      <w:r>
        <w:instrText xml:space="preserve"> PAGEREF _Toc526996968 \h </w:instrText>
      </w:r>
      <w:r>
        <w:fldChar w:fldCharType="separate"/>
      </w:r>
      <w:r>
        <w:t>- 16 -</w:t>
      </w:r>
      <w:r>
        <w:fldChar w:fldCharType="end"/>
      </w:r>
    </w:p>
    <w:p w:rsidRPr="00874967" w:rsidR="007E3DE5" w:rsidRDefault="007E3DE5" w14:paraId="3E028637" w14:textId="39C03980">
      <w:pPr>
        <w:pStyle w:val="TOC1"/>
        <w:rPr>
          <w:rFonts w:asciiTheme="minorHAnsi" w:hAnsiTheme="minorHAnsi" w:eastAsiaTheme="minorEastAsia" w:cstheme="minorBidi"/>
          <w:b w:val="0"/>
          <w:smallCaps w:val="0"/>
        </w:rPr>
      </w:pPr>
      <w:r w:rsidRPr="0099219C">
        <w:rPr>
          <w:rFonts w:cs="Arial"/>
        </w:rPr>
        <w:t>IV.</w:t>
      </w:r>
      <w:r w:rsidRPr="00874967">
        <w:rPr>
          <w:rFonts w:asciiTheme="minorHAnsi" w:hAnsiTheme="minorHAnsi" w:eastAsiaTheme="minorEastAsia" w:cstheme="minorBidi"/>
          <w:b w:val="0"/>
          <w:smallCaps w:val="0"/>
        </w:rPr>
        <w:tab/>
      </w:r>
      <w:r w:rsidRPr="0099219C">
        <w:rPr>
          <w:rFonts w:cs="Arial"/>
        </w:rPr>
        <w:t>ANEXOS</w:t>
      </w:r>
      <w:r>
        <w:tab/>
      </w:r>
      <w:r>
        <w:fldChar w:fldCharType="begin"/>
      </w:r>
      <w:r>
        <w:instrText xml:space="preserve"> PAGEREF _Toc526996969 \h </w:instrText>
      </w:r>
      <w:r>
        <w:fldChar w:fldCharType="separate"/>
      </w:r>
      <w:r>
        <w:t>17</w:t>
      </w:r>
      <w:r>
        <w:fldChar w:fldCharType="end"/>
      </w:r>
    </w:p>
    <w:p w:rsidRPr="00874967" w:rsidR="007E3DE5" w:rsidRDefault="007E3DE5" w14:paraId="01E3CA8B" w14:textId="7ACBE470">
      <w:pPr>
        <w:pStyle w:val="TOC2"/>
        <w:rPr>
          <w:rFonts w:asciiTheme="minorHAnsi" w:hAnsiTheme="minorHAnsi" w:eastAsiaTheme="minorEastAsia" w:cstheme="minorBidi"/>
          <w:szCs w:val="22"/>
        </w:rPr>
      </w:pPr>
      <w:r w:rsidRPr="0099219C">
        <w:rPr>
          <w:rFonts w:cs="Arial"/>
        </w:rPr>
        <w:t>A.</w:t>
      </w:r>
      <w:r w:rsidRPr="00874967">
        <w:rPr>
          <w:rFonts w:asciiTheme="minorHAnsi" w:hAnsiTheme="minorHAnsi" w:eastAsiaTheme="minorEastAsia" w:cstheme="minorBidi"/>
          <w:szCs w:val="22"/>
        </w:rPr>
        <w:tab/>
      </w:r>
      <w:r w:rsidRPr="0099219C">
        <w:rPr>
          <w:rFonts w:cs="Arial"/>
        </w:rPr>
        <w:t>Flujo de Caja del Proyecto Guanaja</w:t>
      </w:r>
      <w:r>
        <w:tab/>
      </w:r>
      <w:r>
        <w:fldChar w:fldCharType="begin"/>
      </w:r>
      <w:r>
        <w:instrText xml:space="preserve"> PAGEREF _Toc526996970 \h </w:instrText>
      </w:r>
      <w:r>
        <w:fldChar w:fldCharType="separate"/>
      </w:r>
      <w:r>
        <w:t>17</w:t>
      </w:r>
      <w:r>
        <w:fldChar w:fldCharType="end"/>
      </w:r>
    </w:p>
    <w:p w:rsidRPr="00874967" w:rsidR="007E3DE5" w:rsidRDefault="007E3DE5" w14:paraId="1ADDF2D1" w14:textId="39A476E3">
      <w:pPr>
        <w:pStyle w:val="TOC2"/>
        <w:rPr>
          <w:rFonts w:asciiTheme="minorHAnsi" w:hAnsiTheme="minorHAnsi" w:eastAsiaTheme="minorEastAsia" w:cstheme="minorBidi"/>
          <w:szCs w:val="22"/>
        </w:rPr>
      </w:pPr>
      <w:r w:rsidRPr="0099219C">
        <w:rPr>
          <w:rFonts w:cs="Arial"/>
        </w:rPr>
        <w:t>B.</w:t>
      </w:r>
      <w:r w:rsidRPr="00874967">
        <w:rPr>
          <w:rFonts w:asciiTheme="minorHAnsi" w:hAnsiTheme="minorHAnsi" w:eastAsiaTheme="minorEastAsia" w:cstheme="minorBidi"/>
          <w:szCs w:val="22"/>
        </w:rPr>
        <w:tab/>
      </w:r>
      <w:r w:rsidRPr="0099219C">
        <w:rPr>
          <w:rFonts w:cs="Arial"/>
        </w:rPr>
        <w:t>Flujo de Caja de Proyecto Brus Laguna</w:t>
      </w:r>
      <w:r>
        <w:tab/>
      </w:r>
      <w:r>
        <w:fldChar w:fldCharType="begin"/>
      </w:r>
      <w:r>
        <w:instrText xml:space="preserve"> PAGEREF _Toc526996971 \h </w:instrText>
      </w:r>
      <w:r>
        <w:fldChar w:fldCharType="separate"/>
      </w:r>
      <w:r>
        <w:t>18</w:t>
      </w:r>
      <w:r>
        <w:fldChar w:fldCharType="end"/>
      </w:r>
    </w:p>
    <w:p w:rsidRPr="00874967" w:rsidR="007E3DE5" w:rsidRDefault="007E3DE5" w14:paraId="4FB8F7DF" w14:textId="0858FC45">
      <w:pPr>
        <w:pStyle w:val="TOC2"/>
        <w:rPr>
          <w:rFonts w:asciiTheme="minorHAnsi" w:hAnsiTheme="minorHAnsi" w:eastAsiaTheme="minorEastAsia" w:cstheme="minorBidi"/>
          <w:szCs w:val="22"/>
        </w:rPr>
      </w:pPr>
      <w:r w:rsidRPr="0099219C">
        <w:rPr>
          <w:rFonts w:cs="Arial"/>
        </w:rPr>
        <w:t>C.</w:t>
      </w:r>
      <w:r w:rsidRPr="00874967">
        <w:rPr>
          <w:rFonts w:asciiTheme="minorHAnsi" w:hAnsiTheme="minorHAnsi" w:eastAsiaTheme="minorEastAsia" w:cstheme="minorBidi"/>
          <w:szCs w:val="22"/>
        </w:rPr>
        <w:tab/>
      </w:r>
      <w:r w:rsidRPr="0099219C">
        <w:rPr>
          <w:rFonts w:cs="Arial"/>
        </w:rPr>
        <w:t>Flujo de Caja Proyecto Choluteca</w:t>
      </w:r>
      <w:r>
        <w:tab/>
      </w:r>
      <w:r>
        <w:fldChar w:fldCharType="begin"/>
      </w:r>
      <w:r>
        <w:instrText xml:space="preserve"> PAGEREF _Toc526996972 \h </w:instrText>
      </w:r>
      <w:r>
        <w:fldChar w:fldCharType="separate"/>
      </w:r>
      <w:r>
        <w:t>19</w:t>
      </w:r>
      <w:r>
        <w:fldChar w:fldCharType="end"/>
      </w:r>
    </w:p>
    <w:p w:rsidRPr="00046E14" w:rsidR="00ED751C" w:rsidP="00E90703" w:rsidRDefault="00E3347F" w14:paraId="05F76B36" w14:textId="3A41918E">
      <w:pPr>
        <w:pStyle w:val="TOC2"/>
        <w:rPr>
          <w:rFonts w:cs="Arial"/>
          <w:szCs w:val="22"/>
        </w:rPr>
      </w:pPr>
      <w:r w:rsidRPr="00BC1545">
        <w:rPr>
          <w:rFonts w:cs="Arial"/>
          <w:szCs w:val="22"/>
        </w:rPr>
        <w:fldChar w:fldCharType="end"/>
      </w:r>
    </w:p>
    <w:p w:rsidRPr="00046E14" w:rsidR="00ED751C" w:rsidP="00ED751C" w:rsidRDefault="00ED751C" w14:paraId="7FD89C01" w14:textId="35F47B1D">
      <w:pPr>
        <w:rPr>
          <w:rFonts w:ascii="Arial" w:hAnsi="Arial" w:cs="Arial"/>
          <w:sz w:val="22"/>
          <w:szCs w:val="22"/>
          <w:lang w:val="es-ES"/>
        </w:rPr>
      </w:pPr>
    </w:p>
    <w:p w:rsidR="007C6FAF" w:rsidP="00792F64" w:rsidRDefault="007C6FAF" w14:paraId="0C03EBE1" w14:textId="5A04723C">
      <w:pPr>
        <w:spacing w:after="200" w:line="276" w:lineRule="auto"/>
        <w:rPr>
          <w:rFonts w:ascii="Arial" w:hAnsi="Arial" w:cs="Arial"/>
          <w:b/>
          <w:sz w:val="22"/>
          <w:szCs w:val="22"/>
          <w:lang w:val="es-ES"/>
        </w:rPr>
      </w:pPr>
    </w:p>
    <w:p w:rsidR="007C6FAF" w:rsidRDefault="007C6FAF" w14:paraId="779F3B30" w14:textId="77777777">
      <w:pPr>
        <w:spacing w:after="200" w:line="276" w:lineRule="auto"/>
        <w:rPr>
          <w:rFonts w:ascii="Arial" w:hAnsi="Arial" w:cs="Arial"/>
          <w:b/>
          <w:sz w:val="22"/>
          <w:szCs w:val="22"/>
          <w:lang w:val="es-ES"/>
        </w:rPr>
      </w:pPr>
      <w:r>
        <w:rPr>
          <w:rFonts w:ascii="Arial" w:hAnsi="Arial" w:cs="Arial"/>
          <w:b/>
          <w:sz w:val="22"/>
          <w:szCs w:val="22"/>
          <w:lang w:val="es-ES"/>
        </w:rPr>
        <w:br w:type="page"/>
      </w:r>
    </w:p>
    <w:p w:rsidRPr="00046E14" w:rsidR="00BF5E46" w:rsidP="00792F64" w:rsidRDefault="00BF5E46" w14:paraId="5A0DAF21" w14:textId="77777777">
      <w:pPr>
        <w:spacing w:after="200" w:line="276" w:lineRule="auto"/>
        <w:rPr>
          <w:rFonts w:ascii="Arial" w:hAnsi="Arial" w:cs="Arial"/>
          <w:b/>
          <w:sz w:val="22"/>
          <w:szCs w:val="22"/>
          <w:lang w:val="es-ES"/>
        </w:rPr>
      </w:pPr>
    </w:p>
    <w:tbl>
      <w:tblPr>
        <w:tblW w:w="8640" w:type="dxa"/>
        <w:tblInd w:w="108" w:type="dxa"/>
        <w:tblLook w:val="01E0" w:firstRow="1" w:lastRow="1" w:firstColumn="1" w:lastColumn="1" w:noHBand="0" w:noVBand="0"/>
      </w:tblPr>
      <w:tblGrid>
        <w:gridCol w:w="1145"/>
        <w:gridCol w:w="7495"/>
      </w:tblGrid>
      <w:tr w:rsidRPr="00046E14" w:rsidR="00C62367" w:rsidTr="00175C6F" w14:paraId="08FE9F4B" w14:textId="77777777">
        <w:trPr>
          <w:cantSplit/>
          <w:trHeight w:val="423"/>
        </w:trPr>
        <w:tc>
          <w:tcPr>
            <w:tcW w:w="8640" w:type="dxa"/>
            <w:gridSpan w:val="2"/>
            <w:tcBorders>
              <w:top w:val="single" w:color="auto" w:sz="4" w:space="0"/>
              <w:left w:val="single" w:color="auto" w:sz="4" w:space="0"/>
              <w:bottom w:val="single" w:color="auto" w:sz="4" w:space="0"/>
              <w:right w:val="single" w:color="auto" w:sz="4" w:space="0"/>
            </w:tcBorders>
            <w:shd w:val="clear" w:color="auto" w:fill="C0C0C0"/>
            <w:vAlign w:val="center"/>
          </w:tcPr>
          <w:p w:rsidRPr="00046E14" w:rsidR="00C62367" w:rsidP="00860AB9" w:rsidRDefault="00C62367" w14:paraId="0D7CD4DB" w14:textId="77777777">
            <w:pPr>
              <w:spacing w:before="20" w:after="20"/>
              <w:jc w:val="center"/>
              <w:rPr>
                <w:rFonts w:ascii="Arial" w:hAnsi="Arial" w:eastAsia="Arial Unicode MS" w:cs="Arial"/>
                <w:b/>
                <w:bCs/>
                <w:smallCaps/>
                <w:sz w:val="22"/>
                <w:szCs w:val="22"/>
                <w:lang w:val="es-ES"/>
              </w:rPr>
            </w:pPr>
            <w:r w:rsidRPr="00046E14">
              <w:rPr>
                <w:rFonts w:ascii="Arial" w:hAnsi="Arial" w:eastAsia="Arial Unicode MS" w:cs="Arial"/>
                <w:b/>
                <w:bCs/>
                <w:smallCaps/>
                <w:sz w:val="22"/>
                <w:szCs w:val="22"/>
                <w:lang w:val="es-ES"/>
              </w:rPr>
              <w:t>Abreviaturas</w:t>
            </w:r>
          </w:p>
        </w:tc>
      </w:tr>
      <w:tr w:rsidRPr="00046E14" w:rsidR="00A25974" w:rsidTr="00682A5C" w14:paraId="1028FD00" w14:textId="77777777">
        <w:trPr>
          <w:cantSplit/>
        </w:trPr>
        <w:tc>
          <w:tcPr>
            <w:tcW w:w="1145" w:type="dxa"/>
            <w:tcBorders>
              <w:top w:val="single" w:color="auto" w:sz="4" w:space="0"/>
              <w:left w:val="single" w:color="auto" w:sz="4" w:space="0"/>
            </w:tcBorders>
          </w:tcPr>
          <w:p w:rsidRPr="00046E14" w:rsidR="00A25974" w:rsidP="00860AB9" w:rsidRDefault="00CD5D63" w14:paraId="2B31A988" w14:textId="14EA9C9C">
            <w:pPr>
              <w:spacing w:before="20" w:after="20"/>
              <w:rPr>
                <w:rFonts w:ascii="Arial" w:hAnsi="Arial" w:cs="Arial"/>
                <w:sz w:val="22"/>
                <w:szCs w:val="22"/>
                <w:lang w:val="es-ES"/>
              </w:rPr>
            </w:pPr>
            <w:r>
              <w:rPr>
                <w:rFonts w:ascii="Arial" w:hAnsi="Arial" w:cs="Arial"/>
                <w:sz w:val="22"/>
                <w:szCs w:val="22"/>
                <w:lang w:val="es-ES"/>
              </w:rPr>
              <w:t>ACE</w:t>
            </w:r>
          </w:p>
        </w:tc>
        <w:tc>
          <w:tcPr>
            <w:tcW w:w="7495" w:type="dxa"/>
            <w:tcBorders>
              <w:top w:val="single" w:color="auto" w:sz="4" w:space="0"/>
              <w:right w:val="single" w:color="auto" w:sz="4" w:space="0"/>
            </w:tcBorders>
          </w:tcPr>
          <w:p w:rsidRPr="00046E14" w:rsidR="00A25974" w:rsidP="00860AB9" w:rsidRDefault="00CD5D63" w14:paraId="2B41A378" w14:textId="480AD165">
            <w:pPr>
              <w:spacing w:before="20" w:after="20"/>
              <w:rPr>
                <w:rFonts w:ascii="Arial" w:hAnsi="Arial" w:cs="Arial"/>
                <w:sz w:val="22"/>
                <w:szCs w:val="22"/>
                <w:lang w:val="es-ES"/>
              </w:rPr>
            </w:pPr>
            <w:r w:rsidRPr="00CD5D63">
              <w:rPr>
                <w:rFonts w:ascii="Arial" w:hAnsi="Arial" w:cs="Arial"/>
                <w:sz w:val="22"/>
                <w:szCs w:val="22"/>
                <w:lang w:val="es-US"/>
              </w:rPr>
              <w:t>Análisis Costo-Efectividad</w:t>
            </w:r>
          </w:p>
        </w:tc>
      </w:tr>
      <w:tr w:rsidRPr="00046E14" w:rsidR="00CD5D63" w:rsidTr="00682A5C" w14:paraId="38206CEA" w14:textId="77777777">
        <w:trPr>
          <w:cantSplit/>
        </w:trPr>
        <w:tc>
          <w:tcPr>
            <w:tcW w:w="1145" w:type="dxa"/>
            <w:tcBorders>
              <w:left w:val="single" w:color="auto" w:sz="4" w:space="0"/>
            </w:tcBorders>
          </w:tcPr>
          <w:p w:rsidR="00CD5D63" w:rsidP="00CD5D63" w:rsidRDefault="00CD5D63" w14:paraId="4FCE17AE" w14:textId="678AD547">
            <w:pPr>
              <w:spacing w:before="20" w:after="20"/>
              <w:rPr>
                <w:rFonts w:ascii="Arial" w:hAnsi="Arial" w:cs="Arial"/>
                <w:sz w:val="22"/>
                <w:szCs w:val="22"/>
                <w:lang w:val="es-ES"/>
              </w:rPr>
            </w:pPr>
            <w:r w:rsidRPr="00046E14">
              <w:rPr>
                <w:rFonts w:ascii="Arial" w:hAnsi="Arial" w:cs="Arial"/>
                <w:sz w:val="22"/>
                <w:szCs w:val="22"/>
                <w:lang w:val="es-ES"/>
              </w:rPr>
              <w:t>BID</w:t>
            </w:r>
          </w:p>
        </w:tc>
        <w:tc>
          <w:tcPr>
            <w:tcW w:w="7495" w:type="dxa"/>
            <w:tcBorders>
              <w:right w:val="single" w:color="auto" w:sz="4" w:space="0"/>
            </w:tcBorders>
          </w:tcPr>
          <w:p w:rsidRPr="00A22BC9" w:rsidR="00CD5D63" w:rsidP="00CD5D63" w:rsidRDefault="00CD5D63" w14:paraId="306F47C0" w14:textId="6F749BD3">
            <w:pPr>
              <w:spacing w:before="20" w:after="20"/>
              <w:rPr>
                <w:rFonts w:ascii="Arial" w:hAnsi="Arial" w:cs="Arial"/>
                <w:i/>
                <w:sz w:val="22"/>
                <w:szCs w:val="22"/>
                <w:lang w:val="es-ES"/>
              </w:rPr>
            </w:pPr>
            <w:r w:rsidRPr="00046E14">
              <w:rPr>
                <w:rFonts w:ascii="Arial" w:hAnsi="Arial" w:cs="Arial"/>
                <w:sz w:val="22"/>
                <w:szCs w:val="22"/>
                <w:lang w:val="es-ES"/>
              </w:rPr>
              <w:t>Banco Interamericano de Desarrollo</w:t>
            </w:r>
          </w:p>
        </w:tc>
      </w:tr>
      <w:tr w:rsidRPr="00046E14" w:rsidR="00CD5D63" w:rsidTr="00682A5C" w14:paraId="04C5A801" w14:textId="77777777">
        <w:trPr>
          <w:cantSplit/>
        </w:trPr>
        <w:tc>
          <w:tcPr>
            <w:tcW w:w="1145" w:type="dxa"/>
            <w:tcBorders>
              <w:left w:val="single" w:color="auto" w:sz="4" w:space="0"/>
            </w:tcBorders>
          </w:tcPr>
          <w:p w:rsidRPr="00046E14" w:rsidR="00CD5D63" w:rsidP="00CD5D63" w:rsidRDefault="00CD5D63" w14:paraId="0F7EAAA4" w14:textId="0E07C590">
            <w:pPr>
              <w:spacing w:before="20" w:after="20"/>
              <w:rPr>
                <w:rFonts w:ascii="Arial" w:hAnsi="Arial" w:cs="Arial"/>
                <w:sz w:val="22"/>
                <w:szCs w:val="22"/>
                <w:lang w:val="es-ES"/>
              </w:rPr>
            </w:pPr>
            <w:r>
              <w:rPr>
                <w:rFonts w:ascii="Arial" w:hAnsi="Arial" w:cs="Arial"/>
                <w:sz w:val="22"/>
                <w:szCs w:val="22"/>
                <w:lang w:val="es-ES"/>
              </w:rPr>
              <w:t>CIF</w:t>
            </w:r>
          </w:p>
        </w:tc>
        <w:tc>
          <w:tcPr>
            <w:tcW w:w="7495" w:type="dxa"/>
            <w:tcBorders>
              <w:right w:val="single" w:color="auto" w:sz="4" w:space="0"/>
            </w:tcBorders>
          </w:tcPr>
          <w:p w:rsidRPr="00A22BC9" w:rsidR="00CD5D63" w:rsidP="00CD5D63" w:rsidRDefault="00CD5D63" w14:paraId="09650D8E" w14:textId="56658CAB">
            <w:pPr>
              <w:spacing w:before="20" w:after="20"/>
              <w:rPr>
                <w:rFonts w:ascii="Arial" w:hAnsi="Arial" w:cs="Arial"/>
                <w:i/>
                <w:sz w:val="22"/>
                <w:szCs w:val="22"/>
                <w:lang w:val="es-ES"/>
              </w:rPr>
            </w:pPr>
            <w:proofErr w:type="spellStart"/>
            <w:r w:rsidRPr="00A22BC9">
              <w:rPr>
                <w:rFonts w:ascii="Arial" w:hAnsi="Arial" w:cs="Arial"/>
                <w:i/>
                <w:sz w:val="22"/>
                <w:szCs w:val="22"/>
                <w:lang w:val="es-ES"/>
              </w:rPr>
              <w:t>Climate</w:t>
            </w:r>
            <w:proofErr w:type="spellEnd"/>
            <w:r w:rsidRPr="00A22BC9">
              <w:rPr>
                <w:rFonts w:ascii="Arial" w:hAnsi="Arial" w:cs="Arial"/>
                <w:i/>
                <w:sz w:val="22"/>
                <w:szCs w:val="22"/>
                <w:lang w:val="es-ES"/>
              </w:rPr>
              <w:t xml:space="preserve"> </w:t>
            </w:r>
            <w:proofErr w:type="spellStart"/>
            <w:r w:rsidRPr="00A22BC9">
              <w:rPr>
                <w:rFonts w:ascii="Arial" w:hAnsi="Arial" w:cs="Arial"/>
                <w:i/>
                <w:sz w:val="22"/>
                <w:szCs w:val="22"/>
                <w:lang w:val="es-ES"/>
              </w:rPr>
              <w:t>Investment</w:t>
            </w:r>
            <w:proofErr w:type="spellEnd"/>
            <w:r w:rsidRPr="00A22BC9">
              <w:rPr>
                <w:rFonts w:ascii="Arial" w:hAnsi="Arial" w:cs="Arial"/>
                <w:i/>
                <w:sz w:val="22"/>
                <w:szCs w:val="22"/>
                <w:lang w:val="es-ES"/>
              </w:rPr>
              <w:t xml:space="preserve"> </w:t>
            </w:r>
            <w:proofErr w:type="spellStart"/>
            <w:r w:rsidRPr="00A22BC9">
              <w:rPr>
                <w:rFonts w:ascii="Arial" w:hAnsi="Arial" w:cs="Arial"/>
                <w:i/>
                <w:sz w:val="22"/>
                <w:szCs w:val="22"/>
                <w:lang w:val="es-ES"/>
              </w:rPr>
              <w:t>Fund</w:t>
            </w:r>
            <w:proofErr w:type="spellEnd"/>
            <w:r>
              <w:rPr>
                <w:rFonts w:ascii="Arial" w:hAnsi="Arial" w:cs="Arial"/>
                <w:i/>
                <w:sz w:val="22"/>
                <w:szCs w:val="22"/>
                <w:lang w:val="es-ES"/>
              </w:rPr>
              <w:t xml:space="preserve"> </w:t>
            </w:r>
            <w:r w:rsidRPr="001A7CDA">
              <w:rPr>
                <w:rFonts w:ascii="Arial" w:hAnsi="Arial" w:cs="Arial"/>
                <w:sz w:val="22"/>
                <w:szCs w:val="22"/>
                <w:lang w:val="es-ES"/>
              </w:rPr>
              <w:t>(Fondo</w:t>
            </w:r>
            <w:r>
              <w:rPr>
                <w:rFonts w:ascii="Arial" w:hAnsi="Arial" w:cs="Arial"/>
                <w:sz w:val="22"/>
                <w:szCs w:val="22"/>
                <w:lang w:val="es-ES"/>
              </w:rPr>
              <w:t xml:space="preserve"> E</w:t>
            </w:r>
            <w:r w:rsidRPr="001A7CDA">
              <w:rPr>
                <w:rFonts w:ascii="Arial" w:hAnsi="Arial" w:cs="Arial"/>
                <w:sz w:val="22"/>
                <w:szCs w:val="22"/>
                <w:lang w:val="es-ES"/>
              </w:rPr>
              <w:t>stratégico sobre el Clima)</w:t>
            </w:r>
            <w:r>
              <w:rPr>
                <w:rFonts w:ascii="Arial" w:hAnsi="Arial" w:cs="Arial"/>
                <w:i/>
                <w:sz w:val="22"/>
                <w:szCs w:val="22"/>
                <w:lang w:val="es-ES"/>
              </w:rPr>
              <w:t xml:space="preserve"> </w:t>
            </w:r>
          </w:p>
        </w:tc>
      </w:tr>
      <w:tr w:rsidRPr="00046E14" w:rsidR="00CD5D63" w:rsidTr="00682A5C" w14:paraId="5D066350" w14:textId="77777777">
        <w:trPr>
          <w:cantSplit/>
        </w:trPr>
        <w:tc>
          <w:tcPr>
            <w:tcW w:w="1145" w:type="dxa"/>
            <w:tcBorders>
              <w:left w:val="single" w:color="auto" w:sz="4" w:space="0"/>
            </w:tcBorders>
          </w:tcPr>
          <w:p w:rsidRPr="00046E14" w:rsidR="00CD5D63" w:rsidP="00CD5D63" w:rsidRDefault="00CD5D63" w14:paraId="26800224" w14:textId="242A0FC1">
            <w:pPr>
              <w:spacing w:before="20" w:after="20"/>
              <w:rPr>
                <w:rFonts w:ascii="Arial" w:hAnsi="Arial" w:cs="Arial"/>
                <w:sz w:val="22"/>
                <w:szCs w:val="22"/>
                <w:lang w:val="es-ES"/>
              </w:rPr>
            </w:pPr>
            <w:r>
              <w:rPr>
                <w:rFonts w:ascii="Arial" w:hAnsi="Arial" w:cs="Arial"/>
                <w:sz w:val="22"/>
                <w:szCs w:val="22"/>
                <w:lang w:val="es-ES"/>
              </w:rPr>
              <w:t>ENEE</w:t>
            </w:r>
          </w:p>
        </w:tc>
        <w:tc>
          <w:tcPr>
            <w:tcW w:w="7495" w:type="dxa"/>
            <w:tcBorders>
              <w:right w:val="single" w:color="auto" w:sz="4" w:space="0"/>
            </w:tcBorders>
          </w:tcPr>
          <w:p w:rsidRPr="00046E14" w:rsidR="00CD5D63" w:rsidP="00CD5D63" w:rsidRDefault="00CD5D63" w14:paraId="17DEE510" w14:textId="289CCC89">
            <w:pPr>
              <w:spacing w:before="20" w:after="20"/>
              <w:rPr>
                <w:rFonts w:ascii="Arial" w:hAnsi="Arial" w:cs="Arial"/>
                <w:sz w:val="22"/>
                <w:szCs w:val="22"/>
                <w:lang w:val="es-ES"/>
              </w:rPr>
            </w:pPr>
            <w:r w:rsidRPr="0058070F">
              <w:rPr>
                <w:rFonts w:ascii="Arial" w:hAnsi="Arial" w:cs="Arial"/>
                <w:sz w:val="22"/>
                <w:szCs w:val="22"/>
                <w:lang w:val="es-ES"/>
              </w:rPr>
              <w:t>Empresa Nacional de Energía Eléctrica</w:t>
            </w:r>
          </w:p>
        </w:tc>
      </w:tr>
      <w:tr w:rsidRPr="00046E14" w:rsidR="00CD5D63" w:rsidTr="00682A5C" w14:paraId="0BCE3FE6" w14:textId="77777777">
        <w:trPr>
          <w:cantSplit/>
        </w:trPr>
        <w:tc>
          <w:tcPr>
            <w:tcW w:w="1145" w:type="dxa"/>
            <w:tcBorders>
              <w:left w:val="single" w:color="auto" w:sz="4" w:space="0"/>
            </w:tcBorders>
          </w:tcPr>
          <w:p w:rsidR="00CD5D63" w:rsidP="00CD5D63" w:rsidRDefault="00CD5D63" w14:paraId="1CD69B85" w14:textId="49174828">
            <w:pPr>
              <w:spacing w:before="20" w:after="20"/>
              <w:rPr>
                <w:rFonts w:ascii="Arial" w:hAnsi="Arial" w:cs="Arial"/>
                <w:sz w:val="22"/>
                <w:szCs w:val="22"/>
                <w:lang w:val="es-ES"/>
              </w:rPr>
            </w:pPr>
            <w:r>
              <w:rPr>
                <w:rFonts w:ascii="Arial" w:hAnsi="Arial" w:cs="Arial"/>
                <w:sz w:val="22"/>
                <w:szCs w:val="22"/>
                <w:lang w:val="es-ES"/>
              </w:rPr>
              <w:t>ER</w:t>
            </w:r>
          </w:p>
        </w:tc>
        <w:tc>
          <w:tcPr>
            <w:tcW w:w="7495" w:type="dxa"/>
            <w:tcBorders>
              <w:right w:val="single" w:color="auto" w:sz="4" w:space="0"/>
            </w:tcBorders>
          </w:tcPr>
          <w:p w:rsidR="00CD5D63" w:rsidP="00CD5D63" w:rsidRDefault="00CD5D63" w14:paraId="70190B2A" w14:textId="5CDCB6D3">
            <w:pPr>
              <w:spacing w:before="20" w:after="20"/>
              <w:rPr>
                <w:rFonts w:ascii="Arial" w:hAnsi="Arial" w:cs="Arial"/>
                <w:sz w:val="22"/>
                <w:szCs w:val="22"/>
                <w:lang w:val="es-ES"/>
              </w:rPr>
            </w:pPr>
            <w:r w:rsidRPr="00EA135B">
              <w:rPr>
                <w:rFonts w:ascii="Arial" w:hAnsi="Arial" w:cs="Arial"/>
                <w:sz w:val="22"/>
                <w:szCs w:val="22"/>
                <w:lang w:val="es-ES"/>
              </w:rPr>
              <w:t>Energía Renovable</w:t>
            </w:r>
          </w:p>
        </w:tc>
      </w:tr>
      <w:tr w:rsidRPr="00046E14" w:rsidR="00CD5D63" w:rsidTr="00682A5C" w14:paraId="4A753EBD" w14:textId="77777777">
        <w:trPr>
          <w:cantSplit/>
        </w:trPr>
        <w:tc>
          <w:tcPr>
            <w:tcW w:w="1145" w:type="dxa"/>
            <w:tcBorders>
              <w:left w:val="single" w:color="auto" w:sz="4" w:space="0"/>
            </w:tcBorders>
          </w:tcPr>
          <w:p w:rsidR="00CD5D63" w:rsidP="00CD5D63" w:rsidRDefault="00CD5D63" w14:paraId="0DB2E77C" w14:textId="16677F65">
            <w:pPr>
              <w:spacing w:before="20" w:after="20"/>
              <w:rPr>
                <w:rFonts w:ascii="Arial" w:hAnsi="Arial" w:cs="Arial"/>
                <w:sz w:val="22"/>
                <w:szCs w:val="22"/>
                <w:lang w:val="es-ES"/>
              </w:rPr>
            </w:pPr>
            <w:r>
              <w:rPr>
                <w:rFonts w:ascii="Arial" w:hAnsi="Arial" w:cs="Arial"/>
                <w:sz w:val="22"/>
                <w:szCs w:val="22"/>
                <w:lang w:val="es-ES"/>
              </w:rPr>
              <w:t>ERNC</w:t>
            </w:r>
          </w:p>
        </w:tc>
        <w:tc>
          <w:tcPr>
            <w:tcW w:w="7495" w:type="dxa"/>
            <w:tcBorders>
              <w:right w:val="single" w:color="auto" w:sz="4" w:space="0"/>
            </w:tcBorders>
          </w:tcPr>
          <w:p w:rsidR="00CD5D63" w:rsidP="00CD5D63" w:rsidRDefault="00CD5D63" w14:paraId="23673BFE" w14:textId="2C63E06D">
            <w:pPr>
              <w:spacing w:before="20" w:after="20"/>
              <w:rPr>
                <w:rFonts w:ascii="Arial" w:hAnsi="Arial" w:cs="Arial"/>
                <w:sz w:val="22"/>
                <w:szCs w:val="22"/>
                <w:lang w:val="es-ES"/>
              </w:rPr>
            </w:pPr>
            <w:r>
              <w:rPr>
                <w:rFonts w:ascii="Arial" w:hAnsi="Arial" w:cs="Arial"/>
                <w:sz w:val="22"/>
                <w:szCs w:val="22"/>
                <w:lang w:val="es-ES"/>
              </w:rPr>
              <w:t>Energía Renovable No Convencional</w:t>
            </w:r>
          </w:p>
        </w:tc>
      </w:tr>
      <w:tr w:rsidRPr="00046E14" w:rsidR="00CD5D63" w:rsidTr="00682A5C" w14:paraId="4BABC7C9" w14:textId="77777777">
        <w:trPr>
          <w:cantSplit/>
        </w:trPr>
        <w:tc>
          <w:tcPr>
            <w:tcW w:w="1145" w:type="dxa"/>
            <w:tcBorders>
              <w:left w:val="single" w:color="auto" w:sz="4" w:space="0"/>
            </w:tcBorders>
          </w:tcPr>
          <w:p w:rsidR="00CD5D63" w:rsidP="00CD5D63" w:rsidRDefault="00CD5D63" w14:paraId="4B332FCB" w14:textId="35600BE9">
            <w:pPr>
              <w:spacing w:before="20" w:after="20"/>
              <w:rPr>
                <w:rFonts w:ascii="Arial" w:hAnsi="Arial" w:cs="Arial"/>
                <w:sz w:val="22"/>
                <w:szCs w:val="22"/>
                <w:lang w:val="es-ES"/>
              </w:rPr>
            </w:pPr>
            <w:r w:rsidRPr="00782BD9">
              <w:rPr>
                <w:rFonts w:ascii="Arial" w:hAnsi="Arial" w:cs="Arial"/>
                <w:sz w:val="22"/>
                <w:szCs w:val="22"/>
              </w:rPr>
              <w:t>FOSODE</w:t>
            </w:r>
          </w:p>
        </w:tc>
        <w:tc>
          <w:tcPr>
            <w:tcW w:w="7495" w:type="dxa"/>
            <w:tcBorders>
              <w:right w:val="single" w:color="auto" w:sz="4" w:space="0"/>
            </w:tcBorders>
          </w:tcPr>
          <w:p w:rsidR="00CD5D63" w:rsidP="00CD5D63" w:rsidRDefault="00CD5D63" w14:paraId="05BD567E" w14:textId="25E20D2D">
            <w:pPr>
              <w:spacing w:before="20" w:after="20"/>
              <w:rPr>
                <w:rFonts w:ascii="Arial" w:hAnsi="Arial" w:cs="Arial"/>
                <w:sz w:val="22"/>
                <w:szCs w:val="22"/>
                <w:lang w:val="es-ES"/>
              </w:rPr>
            </w:pPr>
            <w:r w:rsidRPr="00782BD9">
              <w:rPr>
                <w:rFonts w:ascii="Arial" w:hAnsi="Arial" w:cs="Arial"/>
                <w:sz w:val="22"/>
                <w:szCs w:val="22"/>
              </w:rPr>
              <w:t xml:space="preserve">Fondo Social de Desarrollo Eléctrico </w:t>
            </w:r>
          </w:p>
        </w:tc>
      </w:tr>
      <w:tr w:rsidRPr="00046E14" w:rsidR="00CD5D63" w:rsidTr="00682A5C" w14:paraId="5C25C6AF" w14:textId="77777777">
        <w:trPr>
          <w:cantSplit/>
        </w:trPr>
        <w:tc>
          <w:tcPr>
            <w:tcW w:w="1145" w:type="dxa"/>
            <w:tcBorders>
              <w:left w:val="single" w:color="auto" w:sz="4" w:space="0"/>
            </w:tcBorders>
          </w:tcPr>
          <w:p w:rsidRPr="00046E14" w:rsidR="00CD5D63" w:rsidP="00CD5D63" w:rsidRDefault="00CD5D63" w14:paraId="40ECFA2F" w14:textId="60903235">
            <w:pPr>
              <w:spacing w:before="20" w:after="20"/>
              <w:rPr>
                <w:rFonts w:ascii="Arial" w:hAnsi="Arial" w:cs="Arial"/>
                <w:sz w:val="22"/>
                <w:szCs w:val="22"/>
                <w:lang w:val="es-ES"/>
              </w:rPr>
            </w:pPr>
            <w:r>
              <w:rPr>
                <w:rFonts w:ascii="Arial" w:hAnsi="Arial" w:cs="Arial"/>
                <w:sz w:val="22"/>
                <w:szCs w:val="22"/>
                <w:lang w:val="es-ES"/>
              </w:rPr>
              <w:t>Gobierno</w:t>
            </w:r>
          </w:p>
        </w:tc>
        <w:tc>
          <w:tcPr>
            <w:tcW w:w="7495" w:type="dxa"/>
            <w:tcBorders>
              <w:right w:val="single" w:color="auto" w:sz="4" w:space="0"/>
            </w:tcBorders>
          </w:tcPr>
          <w:p w:rsidRPr="00046E14" w:rsidR="00CD5D63" w:rsidP="00CD5D63" w:rsidRDefault="00CD5D63" w14:paraId="5E46C5F9" w14:textId="124F1058">
            <w:pPr>
              <w:spacing w:before="20" w:after="20"/>
              <w:rPr>
                <w:rFonts w:ascii="Arial" w:hAnsi="Arial" w:cs="Arial"/>
                <w:sz w:val="22"/>
                <w:szCs w:val="22"/>
                <w:lang w:val="es-ES"/>
              </w:rPr>
            </w:pPr>
            <w:r>
              <w:rPr>
                <w:rFonts w:ascii="Arial" w:hAnsi="Arial" w:cs="Arial"/>
                <w:sz w:val="22"/>
                <w:szCs w:val="22"/>
                <w:lang w:val="es-ES"/>
              </w:rPr>
              <w:t>El Gobierno de Honduras</w:t>
            </w:r>
          </w:p>
        </w:tc>
      </w:tr>
      <w:tr w:rsidRPr="00CD5D63" w:rsidR="00CD5D63" w:rsidTr="00682A5C" w14:paraId="6DAE0DBE" w14:textId="77777777">
        <w:trPr>
          <w:cantSplit/>
        </w:trPr>
        <w:tc>
          <w:tcPr>
            <w:tcW w:w="1145" w:type="dxa"/>
            <w:tcBorders>
              <w:left w:val="single" w:color="auto" w:sz="4" w:space="0"/>
            </w:tcBorders>
          </w:tcPr>
          <w:p w:rsidR="00CD5D63" w:rsidP="00CD5D63" w:rsidRDefault="00CD5D63" w14:paraId="3CA5AF1A" w14:textId="3577797B">
            <w:pPr>
              <w:spacing w:before="20" w:after="20"/>
              <w:rPr>
                <w:rFonts w:ascii="Arial" w:hAnsi="Arial" w:cs="Arial"/>
                <w:sz w:val="22"/>
                <w:szCs w:val="22"/>
                <w:lang w:val="es-ES"/>
              </w:rPr>
            </w:pPr>
            <w:r>
              <w:rPr>
                <w:rFonts w:ascii="Arial" w:hAnsi="Arial" w:cs="Arial"/>
                <w:sz w:val="22"/>
                <w:szCs w:val="22"/>
                <w:lang w:val="es-ES"/>
              </w:rPr>
              <w:t>LCOE</w:t>
            </w:r>
          </w:p>
        </w:tc>
        <w:tc>
          <w:tcPr>
            <w:tcW w:w="7495" w:type="dxa"/>
            <w:tcBorders>
              <w:right w:val="single" w:color="auto" w:sz="4" w:space="0"/>
            </w:tcBorders>
          </w:tcPr>
          <w:p w:rsidRPr="00CD5D63" w:rsidR="00CD5D63" w:rsidP="00CD5D63" w:rsidRDefault="00CD5D63" w14:paraId="3B3B5163" w14:textId="5327E96F">
            <w:pPr>
              <w:spacing w:before="20" w:after="20"/>
              <w:rPr>
                <w:rFonts w:ascii="Arial" w:hAnsi="Arial" w:cs="Arial"/>
                <w:sz w:val="22"/>
                <w:szCs w:val="22"/>
                <w:lang w:val="en-US"/>
              </w:rPr>
            </w:pPr>
            <w:r w:rsidRPr="00CD5D63">
              <w:rPr>
                <w:rFonts w:ascii="Arial" w:hAnsi="Arial" w:cs="Arial"/>
                <w:i/>
                <w:sz w:val="22"/>
                <w:szCs w:val="22"/>
                <w:lang w:val="en-US"/>
              </w:rPr>
              <w:t>Levelized Cost of Energy</w:t>
            </w:r>
          </w:p>
        </w:tc>
      </w:tr>
      <w:tr w:rsidRPr="00046E14" w:rsidR="00CD5D63" w:rsidTr="00682A5C" w14:paraId="71D18DA0" w14:textId="77777777">
        <w:trPr>
          <w:cantSplit/>
        </w:trPr>
        <w:tc>
          <w:tcPr>
            <w:tcW w:w="1145" w:type="dxa"/>
            <w:tcBorders>
              <w:left w:val="single" w:color="auto" w:sz="4" w:space="0"/>
            </w:tcBorders>
          </w:tcPr>
          <w:p w:rsidR="00CD5D63" w:rsidP="00CD5D63" w:rsidRDefault="00CD5D63" w14:paraId="62C43749" w14:textId="3FCB6DCD">
            <w:pPr>
              <w:spacing w:before="20" w:after="20"/>
              <w:rPr>
                <w:rFonts w:ascii="Arial" w:hAnsi="Arial" w:cs="Arial"/>
                <w:sz w:val="22"/>
                <w:szCs w:val="22"/>
                <w:lang w:val="es-ES"/>
              </w:rPr>
            </w:pPr>
            <w:r>
              <w:rPr>
                <w:rFonts w:ascii="Arial" w:hAnsi="Arial" w:cs="Arial"/>
                <w:sz w:val="22"/>
                <w:szCs w:val="22"/>
                <w:lang w:val="es-ES"/>
              </w:rPr>
              <w:t>LGIE</w:t>
            </w:r>
          </w:p>
        </w:tc>
        <w:tc>
          <w:tcPr>
            <w:tcW w:w="7495" w:type="dxa"/>
            <w:tcBorders>
              <w:right w:val="single" w:color="auto" w:sz="4" w:space="0"/>
            </w:tcBorders>
          </w:tcPr>
          <w:p w:rsidRPr="00B609A8" w:rsidR="00CD5D63" w:rsidP="00CD5D63" w:rsidRDefault="00CD5D63" w14:paraId="1C89E98D" w14:textId="4DBD99EB">
            <w:pPr>
              <w:spacing w:before="20" w:after="20"/>
              <w:rPr>
                <w:rFonts w:ascii="Arial" w:hAnsi="Arial" w:cs="Arial"/>
                <w:sz w:val="22"/>
                <w:szCs w:val="22"/>
                <w:lang w:val="es-ES"/>
              </w:rPr>
            </w:pPr>
            <w:r w:rsidRPr="008A0EBE">
              <w:rPr>
                <w:rFonts w:ascii="Arial" w:hAnsi="Arial" w:cs="Arial"/>
                <w:sz w:val="22"/>
                <w:szCs w:val="22"/>
              </w:rPr>
              <w:t>Ley General de la Industria Eléctrica</w:t>
            </w:r>
          </w:p>
        </w:tc>
      </w:tr>
      <w:tr w:rsidRPr="00046E14" w:rsidR="00CD5D63" w:rsidTr="00682A5C" w14:paraId="4558811D" w14:textId="77777777">
        <w:trPr>
          <w:cantSplit/>
        </w:trPr>
        <w:tc>
          <w:tcPr>
            <w:tcW w:w="1145" w:type="dxa"/>
            <w:tcBorders>
              <w:left w:val="single" w:color="auto" w:sz="4" w:space="0"/>
            </w:tcBorders>
          </w:tcPr>
          <w:p w:rsidRPr="00046E14" w:rsidR="00CD5D63" w:rsidP="00CD5D63" w:rsidRDefault="00CD5D63" w14:paraId="1BC629EA" w14:textId="72736F88">
            <w:pPr>
              <w:spacing w:before="20" w:after="20"/>
              <w:rPr>
                <w:rFonts w:ascii="Arial" w:hAnsi="Arial" w:cs="Arial"/>
                <w:sz w:val="22"/>
                <w:szCs w:val="22"/>
                <w:lang w:val="es-ES"/>
              </w:rPr>
            </w:pPr>
            <w:r>
              <w:rPr>
                <w:rFonts w:ascii="Arial" w:hAnsi="Arial" w:cs="Arial"/>
                <w:sz w:val="22"/>
                <w:szCs w:val="22"/>
                <w:lang w:val="es-ES"/>
              </w:rPr>
              <w:t>SIN</w:t>
            </w:r>
          </w:p>
        </w:tc>
        <w:tc>
          <w:tcPr>
            <w:tcW w:w="7495" w:type="dxa"/>
            <w:tcBorders>
              <w:right w:val="single" w:color="auto" w:sz="4" w:space="0"/>
            </w:tcBorders>
          </w:tcPr>
          <w:p w:rsidRPr="00046E14" w:rsidR="00CD5D63" w:rsidP="00CD5D63" w:rsidRDefault="00CD5D63" w14:paraId="1C42AFA1" w14:textId="5C96E6EF">
            <w:pPr>
              <w:spacing w:before="20" w:after="20"/>
              <w:rPr>
                <w:rFonts w:ascii="Arial" w:hAnsi="Arial" w:cs="Arial"/>
                <w:sz w:val="22"/>
                <w:szCs w:val="22"/>
                <w:lang w:val="es-ES"/>
              </w:rPr>
            </w:pPr>
            <w:r w:rsidRPr="00B609A8">
              <w:rPr>
                <w:rFonts w:ascii="Arial" w:hAnsi="Arial" w:cs="Arial"/>
                <w:sz w:val="22"/>
                <w:szCs w:val="22"/>
                <w:lang w:val="es-ES"/>
              </w:rPr>
              <w:t>Sistema Interconectado Nacional</w:t>
            </w:r>
          </w:p>
        </w:tc>
      </w:tr>
      <w:tr w:rsidRPr="001A7CDA" w:rsidR="00CD5D63" w:rsidTr="00517FD0" w14:paraId="7C1EEE37" w14:textId="77777777">
        <w:trPr>
          <w:cantSplit/>
        </w:trPr>
        <w:tc>
          <w:tcPr>
            <w:tcW w:w="1145" w:type="dxa"/>
            <w:tcBorders>
              <w:left w:val="single" w:color="auto" w:sz="4" w:space="0"/>
            </w:tcBorders>
          </w:tcPr>
          <w:p w:rsidRPr="00046E14" w:rsidR="00CD5D63" w:rsidP="00CD5D63" w:rsidRDefault="00CD5D63" w14:paraId="68E3A3B7" w14:textId="27989BED">
            <w:pPr>
              <w:spacing w:before="20" w:after="20"/>
              <w:rPr>
                <w:rFonts w:ascii="Arial" w:hAnsi="Arial" w:cs="Arial"/>
                <w:sz w:val="22"/>
                <w:szCs w:val="22"/>
                <w:lang w:val="es-ES"/>
              </w:rPr>
            </w:pPr>
            <w:r>
              <w:rPr>
                <w:rFonts w:ascii="Arial" w:hAnsi="Arial" w:cs="Arial"/>
                <w:sz w:val="22"/>
                <w:szCs w:val="22"/>
                <w:lang w:val="es-ES"/>
              </w:rPr>
              <w:t>SREP</w:t>
            </w:r>
          </w:p>
        </w:tc>
        <w:tc>
          <w:tcPr>
            <w:tcW w:w="7495" w:type="dxa"/>
            <w:tcBorders>
              <w:right w:val="single" w:color="auto" w:sz="4" w:space="0"/>
            </w:tcBorders>
          </w:tcPr>
          <w:p w:rsidRPr="001A7CDA" w:rsidR="00CD5D63" w:rsidP="00CD5D63" w:rsidRDefault="00CD5D63" w14:paraId="000C8A36" w14:textId="4FE80B79">
            <w:pPr>
              <w:spacing w:before="20" w:after="20"/>
              <w:rPr>
                <w:rFonts w:ascii="Arial" w:hAnsi="Arial" w:cs="Arial"/>
                <w:i/>
                <w:sz w:val="22"/>
                <w:szCs w:val="22"/>
                <w:lang w:val="es-US"/>
              </w:rPr>
            </w:pPr>
            <w:proofErr w:type="spellStart"/>
            <w:r w:rsidRPr="00506081">
              <w:rPr>
                <w:rFonts w:ascii="Arial" w:hAnsi="Arial" w:cs="Arial"/>
                <w:i/>
                <w:sz w:val="22"/>
                <w:szCs w:val="22"/>
                <w:lang w:val="es-US"/>
              </w:rPr>
              <w:t>Scaling</w:t>
            </w:r>
            <w:proofErr w:type="spellEnd"/>
            <w:r w:rsidRPr="00506081">
              <w:rPr>
                <w:rFonts w:ascii="Arial" w:hAnsi="Arial" w:cs="Arial"/>
                <w:i/>
                <w:sz w:val="22"/>
                <w:szCs w:val="22"/>
                <w:lang w:val="es-US"/>
              </w:rPr>
              <w:t xml:space="preserve"> Up </w:t>
            </w:r>
            <w:proofErr w:type="spellStart"/>
            <w:r w:rsidRPr="00506081">
              <w:rPr>
                <w:rFonts w:ascii="Arial" w:hAnsi="Arial" w:cs="Arial"/>
                <w:i/>
                <w:sz w:val="22"/>
                <w:szCs w:val="22"/>
                <w:lang w:val="es-US"/>
              </w:rPr>
              <w:t>Renewable</w:t>
            </w:r>
            <w:proofErr w:type="spellEnd"/>
            <w:r w:rsidRPr="00506081">
              <w:rPr>
                <w:rFonts w:ascii="Arial" w:hAnsi="Arial" w:cs="Arial"/>
                <w:i/>
                <w:sz w:val="22"/>
                <w:szCs w:val="22"/>
                <w:lang w:val="es-US"/>
              </w:rPr>
              <w:t xml:space="preserve"> Energy Program</w:t>
            </w:r>
            <w:r w:rsidRPr="001A7CDA">
              <w:rPr>
                <w:rFonts w:ascii="Arial" w:hAnsi="Arial" w:cs="Arial"/>
                <w:i/>
                <w:sz w:val="22"/>
                <w:szCs w:val="22"/>
                <w:lang w:val="es-US"/>
              </w:rPr>
              <w:t xml:space="preserve"> (</w:t>
            </w:r>
            <w:r w:rsidRPr="001A7CDA">
              <w:rPr>
                <w:rFonts w:ascii="Arial" w:hAnsi="Arial" w:cs="Arial"/>
                <w:sz w:val="22"/>
                <w:szCs w:val="22"/>
              </w:rPr>
              <w:t>Programa de Impulso a las Estrategias Renovables en Países de Bajos</w:t>
            </w:r>
            <w:r>
              <w:rPr>
                <w:rFonts w:ascii="Arial" w:hAnsi="Arial" w:cs="Arial"/>
                <w:i/>
                <w:sz w:val="22"/>
                <w:szCs w:val="22"/>
              </w:rPr>
              <w:t>)</w:t>
            </w:r>
          </w:p>
        </w:tc>
      </w:tr>
      <w:tr w:rsidRPr="001A7CDA" w:rsidR="00CD5D63" w:rsidTr="00CD5D63" w14:paraId="13255901" w14:textId="77777777">
        <w:trPr>
          <w:cantSplit/>
        </w:trPr>
        <w:tc>
          <w:tcPr>
            <w:tcW w:w="1145" w:type="dxa"/>
            <w:tcBorders>
              <w:left w:val="single" w:color="auto" w:sz="4" w:space="0"/>
            </w:tcBorders>
          </w:tcPr>
          <w:p w:rsidR="00CD5D63" w:rsidP="00CD5D63" w:rsidRDefault="00CD5D63" w14:paraId="5D72AE80" w14:textId="4B9C4BCC">
            <w:pPr>
              <w:spacing w:before="20" w:after="20"/>
              <w:rPr>
                <w:rFonts w:ascii="Arial" w:hAnsi="Arial" w:cs="Arial"/>
                <w:sz w:val="22"/>
                <w:szCs w:val="22"/>
                <w:lang w:val="es-ES"/>
              </w:rPr>
            </w:pPr>
            <w:r>
              <w:rPr>
                <w:rFonts w:ascii="Arial" w:hAnsi="Arial" w:cs="Arial"/>
                <w:sz w:val="22"/>
                <w:szCs w:val="22"/>
                <w:lang w:val="es-ES"/>
              </w:rPr>
              <w:t>TIR</w:t>
            </w:r>
          </w:p>
        </w:tc>
        <w:tc>
          <w:tcPr>
            <w:tcW w:w="7495" w:type="dxa"/>
            <w:tcBorders>
              <w:right w:val="single" w:color="auto" w:sz="4" w:space="0"/>
            </w:tcBorders>
          </w:tcPr>
          <w:p w:rsidRPr="00517FD0" w:rsidR="00CD5D63" w:rsidP="00CD5D63" w:rsidRDefault="00CD5D63" w14:paraId="139D4323" w14:textId="24DAA783">
            <w:pPr>
              <w:spacing w:before="20" w:after="20"/>
              <w:rPr>
                <w:rFonts w:ascii="Arial" w:hAnsi="Arial" w:cs="Arial"/>
                <w:sz w:val="22"/>
                <w:szCs w:val="22"/>
                <w:lang w:val="es-US"/>
              </w:rPr>
            </w:pPr>
            <w:r w:rsidRPr="00517FD0">
              <w:rPr>
                <w:rFonts w:ascii="Arial" w:hAnsi="Arial" w:cs="Arial"/>
                <w:sz w:val="22"/>
                <w:szCs w:val="22"/>
                <w:lang w:val="es-US"/>
              </w:rPr>
              <w:t>Tasa Interna de Retorno</w:t>
            </w:r>
          </w:p>
        </w:tc>
      </w:tr>
      <w:tr w:rsidRPr="001A7CDA" w:rsidR="004F6F65" w:rsidTr="00CD5D63" w14:paraId="2D11F9A4" w14:textId="77777777">
        <w:trPr>
          <w:cantSplit/>
        </w:trPr>
        <w:tc>
          <w:tcPr>
            <w:tcW w:w="1145" w:type="dxa"/>
            <w:tcBorders>
              <w:left w:val="single" w:color="auto" w:sz="4" w:space="0"/>
            </w:tcBorders>
          </w:tcPr>
          <w:p w:rsidR="004F6F65" w:rsidP="00CD5D63" w:rsidRDefault="004F6F65" w14:paraId="08A659EE" w14:textId="3DFF243A">
            <w:pPr>
              <w:spacing w:before="20" w:after="20"/>
              <w:rPr>
                <w:rFonts w:ascii="Arial" w:hAnsi="Arial" w:cs="Arial"/>
                <w:sz w:val="22"/>
                <w:szCs w:val="22"/>
                <w:lang w:val="es-ES"/>
              </w:rPr>
            </w:pPr>
            <w:r>
              <w:rPr>
                <w:rFonts w:ascii="Arial" w:hAnsi="Arial" w:cs="Arial"/>
                <w:sz w:val="22"/>
                <w:szCs w:val="22"/>
                <w:lang w:val="es-ES"/>
              </w:rPr>
              <w:t>TIRE</w:t>
            </w:r>
          </w:p>
        </w:tc>
        <w:tc>
          <w:tcPr>
            <w:tcW w:w="7495" w:type="dxa"/>
            <w:tcBorders>
              <w:right w:val="single" w:color="auto" w:sz="4" w:space="0"/>
            </w:tcBorders>
          </w:tcPr>
          <w:p w:rsidRPr="00517FD0" w:rsidR="004F6F65" w:rsidP="00CD5D63" w:rsidRDefault="004F6F65" w14:paraId="70D4C18C" w14:textId="546FD35E">
            <w:pPr>
              <w:spacing w:before="20" w:after="20"/>
              <w:rPr>
                <w:rFonts w:ascii="Arial" w:hAnsi="Arial" w:cs="Arial"/>
                <w:sz w:val="22"/>
                <w:szCs w:val="22"/>
                <w:lang w:val="es-US"/>
              </w:rPr>
            </w:pPr>
            <w:r w:rsidRPr="004F6F65">
              <w:rPr>
                <w:rFonts w:ascii="Arial" w:hAnsi="Arial" w:cs="Arial"/>
                <w:sz w:val="22"/>
                <w:szCs w:val="22"/>
                <w:lang w:val="es-US"/>
              </w:rPr>
              <w:t>Tasa Interna de Retorno</w:t>
            </w:r>
            <w:r>
              <w:rPr>
                <w:rFonts w:ascii="Arial" w:hAnsi="Arial" w:cs="Arial"/>
                <w:sz w:val="22"/>
                <w:szCs w:val="22"/>
                <w:lang w:val="es-US"/>
              </w:rPr>
              <w:t xml:space="preserve"> Económico</w:t>
            </w:r>
          </w:p>
        </w:tc>
      </w:tr>
      <w:tr w:rsidRPr="001A7CDA" w:rsidR="00CD5D63" w:rsidTr="004F6F65" w14:paraId="0A123335" w14:textId="77777777">
        <w:trPr>
          <w:cantSplit/>
        </w:trPr>
        <w:tc>
          <w:tcPr>
            <w:tcW w:w="1145" w:type="dxa"/>
            <w:tcBorders>
              <w:left w:val="single" w:color="auto" w:sz="4" w:space="0"/>
            </w:tcBorders>
          </w:tcPr>
          <w:p w:rsidR="00CD5D63" w:rsidP="00CD5D63" w:rsidRDefault="00CD5D63" w14:paraId="1C0DF43C" w14:textId="6C465160">
            <w:pPr>
              <w:spacing w:before="20" w:after="20"/>
              <w:rPr>
                <w:rFonts w:ascii="Arial" w:hAnsi="Arial" w:cs="Arial"/>
                <w:sz w:val="22"/>
                <w:szCs w:val="22"/>
                <w:lang w:val="es-ES"/>
              </w:rPr>
            </w:pPr>
            <w:r>
              <w:rPr>
                <w:rFonts w:ascii="Arial" w:hAnsi="Arial" w:cs="Arial"/>
                <w:sz w:val="22"/>
                <w:szCs w:val="22"/>
                <w:lang w:val="es-ES"/>
              </w:rPr>
              <w:t>VPN</w:t>
            </w:r>
          </w:p>
        </w:tc>
        <w:tc>
          <w:tcPr>
            <w:tcW w:w="7495" w:type="dxa"/>
            <w:tcBorders>
              <w:right w:val="single" w:color="auto" w:sz="4" w:space="0"/>
            </w:tcBorders>
          </w:tcPr>
          <w:p w:rsidRPr="00517FD0" w:rsidR="00CD5D63" w:rsidP="00CD5D63" w:rsidRDefault="00CD5D63" w14:paraId="5E5F5379" w14:textId="2B99E0D6">
            <w:pPr>
              <w:spacing w:before="20" w:after="20"/>
              <w:rPr>
                <w:rFonts w:ascii="Arial" w:hAnsi="Arial" w:cs="Arial"/>
                <w:sz w:val="22"/>
                <w:szCs w:val="22"/>
                <w:lang w:val="es-US"/>
              </w:rPr>
            </w:pPr>
            <w:r>
              <w:rPr>
                <w:rFonts w:ascii="Arial" w:hAnsi="Arial" w:cs="Arial"/>
                <w:sz w:val="22"/>
                <w:szCs w:val="22"/>
                <w:lang w:val="es-US"/>
              </w:rPr>
              <w:t>Valor Presente Neto</w:t>
            </w:r>
          </w:p>
        </w:tc>
      </w:tr>
      <w:tr w:rsidRPr="001A7CDA" w:rsidR="004F6F65" w:rsidTr="00682A5C" w14:paraId="04B689A0" w14:textId="77777777">
        <w:trPr>
          <w:cantSplit/>
        </w:trPr>
        <w:tc>
          <w:tcPr>
            <w:tcW w:w="1145" w:type="dxa"/>
            <w:tcBorders>
              <w:left w:val="single" w:color="auto" w:sz="4" w:space="0"/>
              <w:bottom w:val="single" w:color="auto" w:sz="4" w:space="0"/>
            </w:tcBorders>
          </w:tcPr>
          <w:p w:rsidR="004F6F65" w:rsidP="00CD5D63" w:rsidRDefault="004F6F65" w14:paraId="0C27729B" w14:textId="148B072F">
            <w:pPr>
              <w:spacing w:before="20" w:after="20"/>
              <w:rPr>
                <w:rFonts w:ascii="Arial" w:hAnsi="Arial" w:cs="Arial"/>
                <w:sz w:val="22"/>
                <w:szCs w:val="22"/>
                <w:lang w:val="es-ES"/>
              </w:rPr>
            </w:pPr>
            <w:r>
              <w:rPr>
                <w:rFonts w:ascii="Arial" w:hAnsi="Arial" w:cs="Arial"/>
                <w:sz w:val="22"/>
                <w:szCs w:val="22"/>
                <w:lang w:val="es-ES"/>
              </w:rPr>
              <w:t>VPNE</w:t>
            </w:r>
          </w:p>
        </w:tc>
        <w:tc>
          <w:tcPr>
            <w:tcW w:w="7495" w:type="dxa"/>
            <w:tcBorders>
              <w:bottom w:val="single" w:color="auto" w:sz="4" w:space="0"/>
              <w:right w:val="single" w:color="auto" w:sz="4" w:space="0"/>
            </w:tcBorders>
          </w:tcPr>
          <w:p w:rsidR="004F6F65" w:rsidP="00CD5D63" w:rsidRDefault="004F6F65" w14:paraId="606458FB" w14:textId="474A617B">
            <w:pPr>
              <w:spacing w:before="20" w:after="20"/>
              <w:rPr>
                <w:rFonts w:ascii="Arial" w:hAnsi="Arial" w:cs="Arial"/>
                <w:sz w:val="22"/>
                <w:szCs w:val="22"/>
                <w:lang w:val="es-US"/>
              </w:rPr>
            </w:pPr>
            <w:r w:rsidRPr="004F6F65">
              <w:rPr>
                <w:rFonts w:ascii="Arial" w:hAnsi="Arial" w:cs="Arial"/>
                <w:sz w:val="22"/>
                <w:szCs w:val="22"/>
                <w:lang w:val="es-US"/>
              </w:rPr>
              <w:t>Valor Presente Neto Económico</w:t>
            </w:r>
          </w:p>
        </w:tc>
      </w:tr>
    </w:tbl>
    <w:p w:rsidRPr="00046E14" w:rsidR="00ED751C" w:rsidP="00ED751C" w:rsidRDefault="00ED751C" w14:paraId="70F9D98C" w14:textId="77777777">
      <w:pPr>
        <w:tabs>
          <w:tab w:val="left" w:pos="3060"/>
        </w:tabs>
        <w:jc w:val="both"/>
        <w:rPr>
          <w:rFonts w:ascii="Arial" w:hAnsi="Arial" w:cs="Arial"/>
          <w:sz w:val="22"/>
          <w:szCs w:val="22"/>
          <w:lang w:val="es-ES"/>
        </w:rPr>
      </w:pPr>
    </w:p>
    <w:p w:rsidRPr="00046E14" w:rsidR="00ED751C" w:rsidP="00ED751C" w:rsidRDefault="00ED751C" w14:paraId="3C1BCC17" w14:textId="77777777">
      <w:pPr>
        <w:pStyle w:val="AbbrDesc"/>
        <w:tabs>
          <w:tab w:val="left" w:pos="1440"/>
        </w:tabs>
        <w:rPr>
          <w:rFonts w:ascii="Arial" w:hAnsi="Arial" w:cs="Arial"/>
          <w:sz w:val="22"/>
          <w:szCs w:val="22"/>
          <w:lang w:val="es-ES"/>
        </w:rPr>
        <w:sectPr w:rsidRPr="00046E14" w:rsidR="00ED751C">
          <w:headerReference w:type="first" r:id="rId17"/>
          <w:pgSz w:w="12240" w:h="15840" w:orient="portrait" w:code="1"/>
          <w:pgMar w:top="1440" w:right="1800" w:bottom="1440" w:left="1800" w:header="706" w:footer="706" w:gutter="0"/>
          <w:pgNumType w:fmt="lowerRoman" w:start="1"/>
          <w:cols w:space="720"/>
          <w:formProt w:val="0"/>
          <w:titlePg/>
        </w:sectPr>
      </w:pPr>
    </w:p>
    <w:p w:rsidRPr="00046E14" w:rsidR="00ED751C" w:rsidP="00053201" w:rsidRDefault="00ED751C" w14:paraId="7D91D8B1" w14:textId="77777777">
      <w:pPr>
        <w:pStyle w:val="Paragraph"/>
        <w:numPr>
          <w:ilvl w:val="0"/>
          <w:numId w:val="0"/>
        </w:numPr>
        <w:pBdr>
          <w:bottom w:val="single" w:color="auto" w:sz="4" w:space="1"/>
        </w:pBdr>
        <w:rPr>
          <w:rFonts w:ascii="Arial" w:hAnsi="Arial" w:cs="Arial"/>
          <w:sz w:val="22"/>
          <w:szCs w:val="22"/>
        </w:rPr>
        <w:sectPr w:rsidRPr="00046E14" w:rsidR="00ED751C">
          <w:headerReference w:type="even" r:id="rId18"/>
          <w:headerReference w:type="default" r:id="rId19"/>
          <w:footerReference w:type="even" r:id="rId20"/>
          <w:footerReference w:type="default" r:id="rId21"/>
          <w:headerReference w:type="first" r:id="rId22"/>
          <w:pgSz w:w="12240" w:h="15840" w:orient="portrait" w:code="1"/>
          <w:pgMar w:top="1440" w:right="1800" w:bottom="1440" w:left="1800" w:header="706" w:footer="706" w:gutter="0"/>
          <w:pgNumType w:start="1"/>
          <w:cols w:space="720"/>
          <w:formProt w:val="0"/>
        </w:sectPr>
      </w:pPr>
    </w:p>
    <w:p w:rsidRPr="00EB0154" w:rsidR="00ED751C" w:rsidP="00B218CB" w:rsidRDefault="00ED751C" w14:paraId="57B4B994" w14:textId="10616EE4">
      <w:pPr>
        <w:pStyle w:val="Chapter"/>
        <w:tabs>
          <w:tab w:val="clear" w:pos="1440"/>
          <w:tab w:val="clear" w:pos="1800"/>
          <w:tab w:val="num" w:pos="720"/>
        </w:tabs>
        <w:spacing w:before="0"/>
        <w:ind w:left="0" w:firstLine="0"/>
        <w:rPr>
          <w:rFonts w:ascii="Arial" w:hAnsi="Arial" w:cs="Arial"/>
          <w:szCs w:val="22"/>
        </w:rPr>
      </w:pPr>
      <w:bookmarkStart w:name="_Toc526996956" w:id="0"/>
      <w:r w:rsidRPr="00EB0154">
        <w:rPr>
          <w:rFonts w:ascii="Arial" w:hAnsi="Arial" w:cs="Arial"/>
          <w:szCs w:val="22"/>
        </w:rPr>
        <w:t xml:space="preserve">Descripción </w:t>
      </w:r>
      <w:r w:rsidRPr="00EB0154" w:rsidR="00C304B9">
        <w:rPr>
          <w:rFonts w:ascii="Arial" w:hAnsi="Arial" w:cs="Arial"/>
          <w:szCs w:val="22"/>
        </w:rPr>
        <w:t>del Pro</w:t>
      </w:r>
      <w:r w:rsidR="009403E8">
        <w:rPr>
          <w:rFonts w:ascii="Arial" w:hAnsi="Arial" w:cs="Arial"/>
          <w:szCs w:val="22"/>
        </w:rPr>
        <w:t>grama</w:t>
      </w:r>
      <w:bookmarkEnd w:id="0"/>
    </w:p>
    <w:bookmarkStart w:name="_Hlk482097918" w:id="1"/>
    <w:p w:rsidRPr="00EB0154" w:rsidR="00ED751C" w:rsidP="009F767D" w:rsidRDefault="00EB0154" w14:paraId="4B4047FE" w14:textId="5537B772">
      <w:pPr>
        <w:pStyle w:val="FirstHeading"/>
        <w:ind w:left="720"/>
        <w:rPr>
          <w:rFonts w:ascii="Arial" w:hAnsi="Arial" w:cs="Arial"/>
          <w:sz w:val="22"/>
          <w:szCs w:val="22"/>
        </w:rPr>
      </w:pPr>
      <w:r w:rsidRPr="00EB0154">
        <w:rPr>
          <w:rFonts w:ascii="Arial" w:hAnsi="Arial" w:cs="Arial"/>
          <w:sz w:val="22"/>
          <w:szCs w:val="22"/>
        </w:rPr>
        <w:fldChar w:fldCharType="begin"/>
      </w:r>
      <w:r w:rsidRPr="00EB0154">
        <w:rPr>
          <w:rFonts w:ascii="Arial" w:hAnsi="Arial" w:cs="Arial"/>
          <w:sz w:val="22"/>
          <w:szCs w:val="22"/>
        </w:rPr>
        <w:instrText xml:space="preserve"> SEQ "</w:instrText>
      </w:r>
      <w:r w:rsidRPr="00EB0154">
        <w:rPr>
          <w:rFonts w:ascii="Arial" w:hAnsi="Arial" w:cs="Arial"/>
          <w:sz w:val="22"/>
          <w:szCs w:val="22"/>
        </w:rPr>
        <w:fldChar w:fldCharType="begin"/>
      </w:r>
      <w:r w:rsidRPr="00EB0154">
        <w:rPr>
          <w:rFonts w:ascii="Arial" w:hAnsi="Arial" w:cs="Arial"/>
          <w:sz w:val="22"/>
          <w:szCs w:val="22"/>
        </w:rPr>
        <w:instrText xml:space="preserve"> SECTION  \* MERGEFORMAT </w:instrText>
      </w:r>
      <w:r w:rsidRPr="00EB0154">
        <w:rPr>
          <w:rFonts w:ascii="Arial" w:hAnsi="Arial" w:cs="Arial"/>
          <w:sz w:val="22"/>
          <w:szCs w:val="22"/>
        </w:rPr>
        <w:fldChar w:fldCharType="separate"/>
      </w:r>
      <w:r w:rsidR="005910CE">
        <w:rPr>
          <w:rFonts w:ascii="Arial" w:hAnsi="Arial" w:cs="Arial"/>
          <w:sz w:val="22"/>
          <w:szCs w:val="22"/>
        </w:rPr>
        <w:instrText>4</w:instrText>
      </w:r>
      <w:r w:rsidRPr="00EB0154">
        <w:rPr>
          <w:rFonts w:ascii="Arial" w:hAnsi="Arial" w:cs="Arial"/>
          <w:sz w:val="22"/>
          <w:szCs w:val="22"/>
        </w:rPr>
        <w:fldChar w:fldCharType="end"/>
      </w:r>
      <w:r w:rsidRPr="00EB0154">
        <w:rPr>
          <w:rFonts w:ascii="Arial" w:hAnsi="Arial" w:cs="Arial"/>
          <w:sz w:val="22"/>
          <w:szCs w:val="22"/>
        </w:rPr>
        <w:instrText xml:space="preserve">#"\* ALPHABETIC \* MERGEFORMAT </w:instrText>
      </w:r>
      <w:r w:rsidRPr="00EB0154">
        <w:rPr>
          <w:rFonts w:ascii="Arial" w:hAnsi="Arial" w:cs="Arial"/>
          <w:sz w:val="22"/>
          <w:szCs w:val="22"/>
        </w:rPr>
        <w:fldChar w:fldCharType="separate"/>
      </w:r>
      <w:bookmarkStart w:name="_Toc526996957" w:id="2"/>
      <w:r w:rsidR="005910CE">
        <w:rPr>
          <w:rFonts w:ascii="Arial" w:hAnsi="Arial" w:cs="Arial"/>
          <w:noProof/>
          <w:sz w:val="22"/>
          <w:szCs w:val="22"/>
        </w:rPr>
        <w:t>A</w:t>
      </w:r>
      <w:r w:rsidRPr="00EB0154">
        <w:rPr>
          <w:rFonts w:ascii="Arial" w:hAnsi="Arial" w:cs="Arial"/>
          <w:sz w:val="22"/>
          <w:szCs w:val="22"/>
        </w:rPr>
        <w:fldChar w:fldCharType="end"/>
      </w:r>
      <w:r w:rsidRPr="00EB0154">
        <w:rPr>
          <w:rFonts w:ascii="Arial" w:hAnsi="Arial" w:cs="Arial"/>
          <w:sz w:val="22"/>
          <w:szCs w:val="22"/>
        </w:rPr>
        <w:t>.</w:t>
      </w:r>
      <w:r w:rsidRPr="00EB0154">
        <w:rPr>
          <w:rFonts w:ascii="Arial" w:hAnsi="Arial" w:cs="Arial"/>
          <w:sz w:val="22"/>
          <w:szCs w:val="22"/>
        </w:rPr>
        <w:tab/>
      </w:r>
      <w:r w:rsidRPr="00EB0154" w:rsidR="00ED751C">
        <w:rPr>
          <w:rFonts w:ascii="Arial" w:hAnsi="Arial" w:cs="Arial"/>
          <w:sz w:val="22"/>
          <w:szCs w:val="22"/>
        </w:rPr>
        <w:t>Antecedentes</w:t>
      </w:r>
      <w:bookmarkEnd w:id="2"/>
    </w:p>
    <w:bookmarkEnd w:id="1"/>
    <w:p w:rsidRPr="001C621E" w:rsidR="001C621E" w:rsidP="003C73CE" w:rsidRDefault="00BF5328" w14:paraId="3797A3F0" w14:textId="4A3359EF">
      <w:pPr>
        <w:pStyle w:val="Paragraph"/>
        <w:tabs>
          <w:tab w:val="clear" w:pos="1656"/>
          <w:tab w:val="num" w:pos="720"/>
          <w:tab w:val="num" w:pos="2448"/>
        </w:tabs>
        <w:ind w:left="720" w:hanging="720"/>
        <w:rPr>
          <w:rFonts w:ascii="Arial" w:hAnsi="Arial" w:eastAsia="Arial" w:cs="Arial"/>
          <w:sz w:val="22"/>
          <w:szCs w:val="22"/>
        </w:rPr>
      </w:pPr>
      <w:r w:rsidRPr="001C621E">
        <w:rPr>
          <w:rFonts w:ascii="Arial" w:hAnsi="Arial" w:cs="Arial"/>
          <w:b/>
          <w:sz w:val="22"/>
          <w:szCs w:val="22"/>
        </w:rPr>
        <w:t>Acceso a energía</w:t>
      </w:r>
      <w:r w:rsidRPr="001C621E" w:rsidR="00A27587">
        <w:rPr>
          <w:rFonts w:ascii="Arial" w:hAnsi="Arial" w:cs="Arial"/>
          <w:b/>
          <w:sz w:val="22"/>
          <w:szCs w:val="22"/>
        </w:rPr>
        <w:t xml:space="preserve"> en Honduras</w:t>
      </w:r>
      <w:r w:rsidRPr="001C621E">
        <w:rPr>
          <w:rFonts w:ascii="Arial" w:hAnsi="Arial" w:cs="Arial"/>
          <w:sz w:val="22"/>
          <w:szCs w:val="22"/>
        </w:rPr>
        <w:t xml:space="preserve">. </w:t>
      </w:r>
      <w:r w:rsidRPr="001C621E" w:rsidR="001C621E">
        <w:rPr>
          <w:rFonts w:ascii="Arial" w:hAnsi="Arial" w:eastAsia="Arial" w:cs="Arial"/>
          <w:sz w:val="22"/>
          <w:szCs w:val="22"/>
        </w:rPr>
        <w:t>El último reporte de cobertura del Programa de las Naciones Unidas para el Desarrollo (PNUD)</w:t>
      </w:r>
      <w:r w:rsidRPr="3A66673B" w:rsidR="001C621E">
        <w:rPr>
          <w:rStyle w:val="FootnoteReference"/>
          <w:rFonts w:ascii="Arial" w:hAnsi="Arial" w:eastAsia="Arial" w:cs="Arial"/>
          <w:sz w:val="22"/>
          <w:szCs w:val="22"/>
        </w:rPr>
        <w:footnoteReference w:id="2"/>
      </w:r>
      <w:r w:rsidRPr="001C621E" w:rsidR="001C621E">
        <w:rPr>
          <w:rFonts w:ascii="Arial" w:hAnsi="Arial" w:eastAsia="Arial" w:cs="Arial"/>
          <w:sz w:val="22"/>
          <w:szCs w:val="22"/>
        </w:rPr>
        <w:t xml:space="preserve">, ubica a Honduras como el segundo país de </w:t>
      </w:r>
      <w:r w:rsidR="001C621E">
        <w:rPr>
          <w:rFonts w:ascii="Arial" w:hAnsi="Arial" w:eastAsia="Arial" w:cs="Arial"/>
          <w:sz w:val="22"/>
          <w:szCs w:val="22"/>
        </w:rPr>
        <w:t xml:space="preserve">América Latina y el Caribe </w:t>
      </w:r>
      <w:r w:rsidRPr="001C621E" w:rsidR="001C621E">
        <w:rPr>
          <w:rFonts w:ascii="Arial" w:hAnsi="Arial" w:eastAsia="Arial" w:cs="Arial"/>
          <w:sz w:val="22"/>
          <w:szCs w:val="22"/>
        </w:rPr>
        <w:t>con menor cobertura eléctrica y el cuarto en el uso de leña para cocción</w:t>
      </w:r>
      <w:r w:rsidRPr="00442A86" w:rsidR="001C621E">
        <w:rPr>
          <w:rFonts w:ascii="Arial" w:hAnsi="Arial" w:eastAsia="Arial" w:cs="Arial"/>
          <w:sz w:val="22"/>
          <w:szCs w:val="22"/>
          <w:vertAlign w:val="superscript"/>
        </w:rPr>
        <w:footnoteReference w:id="3"/>
      </w:r>
      <w:r w:rsidR="001C621E">
        <w:rPr>
          <w:rFonts w:ascii="Arial" w:hAnsi="Arial" w:eastAsia="Arial" w:cs="Arial"/>
          <w:sz w:val="22"/>
          <w:szCs w:val="22"/>
        </w:rPr>
        <w:t>.</w:t>
      </w:r>
      <w:r w:rsidRPr="001C621E" w:rsidR="001C621E">
        <w:rPr>
          <w:rFonts w:ascii="Arial" w:hAnsi="Arial" w:eastAsia="Arial" w:cs="Arial"/>
          <w:sz w:val="22"/>
          <w:szCs w:val="22"/>
        </w:rPr>
        <w:t xml:space="preserve"> El índice de cobertura de la ENEE en 2015</w:t>
      </w:r>
      <w:r w:rsidR="001C621E">
        <w:rPr>
          <w:rFonts w:ascii="Arial" w:hAnsi="Arial" w:eastAsia="Arial" w:cs="Arial"/>
          <w:sz w:val="22"/>
          <w:szCs w:val="22"/>
        </w:rPr>
        <w:t xml:space="preserve"> es de 74% a nivel nacional</w:t>
      </w:r>
      <w:r w:rsidRPr="00442A86" w:rsidR="001C621E">
        <w:rPr>
          <w:rFonts w:ascii="Arial" w:hAnsi="Arial" w:eastAsia="Arial" w:cs="Arial"/>
          <w:sz w:val="22"/>
          <w:szCs w:val="22"/>
          <w:vertAlign w:val="superscript"/>
        </w:rPr>
        <w:footnoteReference w:id="4"/>
      </w:r>
      <w:r w:rsidR="001C621E">
        <w:rPr>
          <w:rFonts w:ascii="Arial" w:hAnsi="Arial" w:eastAsia="Arial" w:cs="Arial"/>
          <w:sz w:val="22"/>
          <w:szCs w:val="22"/>
        </w:rPr>
        <w:t>.  Este índice</w:t>
      </w:r>
      <w:r w:rsidRPr="001C621E" w:rsidR="001C621E">
        <w:rPr>
          <w:rFonts w:ascii="Arial" w:hAnsi="Arial" w:eastAsia="Arial" w:cs="Arial"/>
          <w:sz w:val="22"/>
          <w:szCs w:val="22"/>
        </w:rPr>
        <w:t xml:space="preserve"> reporta una fuerte disparidad a nivel nacional. La población rural del país, estimada en 46%, tiene un índice promedio de cobertura de 64,4%, frente a 81,3% en zonas urbanas</w:t>
      </w:r>
      <w:bookmarkStart w:name="_Hlk479946375" w:id="3"/>
      <w:r w:rsidRPr="001C621E" w:rsidR="001C621E">
        <w:rPr>
          <w:rFonts w:ascii="Arial" w:hAnsi="Arial" w:eastAsia="Arial" w:cs="Arial"/>
          <w:sz w:val="22"/>
          <w:szCs w:val="22"/>
        </w:rPr>
        <w:t xml:space="preserve">. Los departamentos con menor cobertura eléctrica son: Santa Bárbara, Lempira, La Paz, Choluteca, Olancho, con coberturas entre el 50% y 70%, y Gracias a Dios, que forma parte de La </w:t>
      </w:r>
      <w:proofErr w:type="spellStart"/>
      <w:r w:rsidRPr="001C621E" w:rsidR="001C621E">
        <w:rPr>
          <w:rFonts w:ascii="Arial" w:hAnsi="Arial" w:eastAsia="Arial" w:cs="Arial"/>
          <w:sz w:val="22"/>
          <w:szCs w:val="22"/>
        </w:rPr>
        <w:t>Mosquitia</w:t>
      </w:r>
      <w:proofErr w:type="spellEnd"/>
      <w:r w:rsidRPr="3A66673B" w:rsidR="001C621E">
        <w:rPr>
          <w:rStyle w:val="FootnoteReference"/>
          <w:rFonts w:ascii="Arial,Calibri" w:hAnsi="Arial,Calibri" w:eastAsia="Arial,Calibri" w:cs="Arial,Calibri"/>
          <w:sz w:val="22"/>
          <w:szCs w:val="22"/>
        </w:rPr>
        <w:footnoteReference w:id="5"/>
      </w:r>
      <w:r w:rsidRPr="001C621E" w:rsidR="001C621E">
        <w:rPr>
          <w:rFonts w:ascii="Arial" w:hAnsi="Arial" w:eastAsia="Arial" w:cs="Arial"/>
          <w:sz w:val="22"/>
          <w:szCs w:val="22"/>
        </w:rPr>
        <w:t xml:space="preserve">, con cobertura del 45% atendida mediante sistemas aislados. Estos departamentos concentran municipios con altos niveles de pobreza </w:t>
      </w:r>
      <w:r w:rsidR="001C621E">
        <w:rPr>
          <w:rFonts w:ascii="Arial" w:hAnsi="Arial" w:eastAsia="Arial" w:cs="Arial"/>
          <w:sz w:val="22"/>
          <w:szCs w:val="22"/>
        </w:rPr>
        <w:t xml:space="preserve">y </w:t>
      </w:r>
      <w:r w:rsidRPr="001C621E" w:rsidR="001C621E">
        <w:rPr>
          <w:rFonts w:ascii="Arial" w:hAnsi="Arial" w:eastAsia="Arial" w:cs="Arial"/>
          <w:sz w:val="22"/>
          <w:szCs w:val="22"/>
        </w:rPr>
        <w:t>migración. La ENEE estima que para alcanzar un nivel universal de cobertura</w:t>
      </w:r>
      <w:r w:rsidR="001C621E">
        <w:rPr>
          <w:rFonts w:ascii="Arial" w:hAnsi="Arial" w:eastAsia="Arial" w:cs="Arial"/>
          <w:sz w:val="22"/>
          <w:szCs w:val="22"/>
        </w:rPr>
        <w:t xml:space="preserve"> </w:t>
      </w:r>
      <w:r w:rsidRPr="001C621E" w:rsidR="001C621E">
        <w:rPr>
          <w:rFonts w:ascii="Arial" w:hAnsi="Arial" w:eastAsia="Arial" w:cs="Arial"/>
          <w:sz w:val="22"/>
          <w:szCs w:val="22"/>
        </w:rPr>
        <w:t xml:space="preserve">se tendría que invertir a nivel </w:t>
      </w:r>
      <w:r w:rsidR="001C621E">
        <w:rPr>
          <w:rFonts w:ascii="Arial" w:hAnsi="Arial" w:eastAsia="Arial" w:cs="Arial"/>
          <w:sz w:val="22"/>
          <w:szCs w:val="22"/>
        </w:rPr>
        <w:t>nacional,</w:t>
      </w:r>
      <w:r w:rsidRPr="001C621E" w:rsidR="001C621E">
        <w:rPr>
          <w:rFonts w:ascii="Arial" w:hAnsi="Arial" w:eastAsia="Arial" w:cs="Arial"/>
          <w:sz w:val="22"/>
          <w:szCs w:val="22"/>
        </w:rPr>
        <w:t xml:space="preserve"> aproximadamente US$712,5 millones, considerando una tasa de crecimiento anual de</w:t>
      </w:r>
      <w:r w:rsidR="001C621E">
        <w:rPr>
          <w:rFonts w:ascii="Arial" w:hAnsi="Arial" w:eastAsia="Arial" w:cs="Arial"/>
          <w:sz w:val="22"/>
          <w:szCs w:val="22"/>
        </w:rPr>
        <w:t xml:space="preserve"> inversión del</w:t>
      </w:r>
      <w:r w:rsidRPr="001C621E" w:rsidR="001C621E">
        <w:rPr>
          <w:rFonts w:ascii="Arial" w:hAnsi="Arial" w:eastAsia="Arial" w:cs="Arial"/>
          <w:sz w:val="22"/>
          <w:szCs w:val="22"/>
        </w:rPr>
        <w:t xml:space="preserve"> 4%</w:t>
      </w:r>
      <w:r w:rsidR="001C621E">
        <w:rPr>
          <w:rStyle w:val="FootnoteReference"/>
          <w:rFonts w:ascii="Arial" w:hAnsi="Arial" w:eastAsia="Arial" w:cs="Arial"/>
          <w:sz w:val="22"/>
          <w:szCs w:val="22"/>
        </w:rPr>
        <w:footnoteReference w:id="6"/>
      </w:r>
      <w:r w:rsidRPr="001C621E" w:rsidR="001C621E">
        <w:rPr>
          <w:rFonts w:ascii="Arial" w:hAnsi="Arial" w:eastAsia="Arial" w:cs="Arial"/>
          <w:sz w:val="22"/>
          <w:szCs w:val="22"/>
        </w:rPr>
        <w:t>.</w:t>
      </w:r>
      <w:bookmarkEnd w:id="3"/>
      <w:r w:rsidR="001C621E">
        <w:t xml:space="preserve"> </w:t>
      </w:r>
    </w:p>
    <w:p w:rsidRPr="00677D8B" w:rsidR="00CF1B54" w:rsidP="001C621E" w:rsidRDefault="001C621E" w14:paraId="5D2922B5" w14:textId="6C54703D">
      <w:pPr>
        <w:pStyle w:val="Paragraph"/>
        <w:tabs>
          <w:tab w:val="num" w:pos="720"/>
        </w:tabs>
        <w:ind w:left="720" w:hanging="720"/>
        <w:rPr>
          <w:rFonts w:ascii="Arial" w:hAnsi="Arial" w:cs="Arial"/>
          <w:sz w:val="22"/>
          <w:szCs w:val="22"/>
        </w:rPr>
      </w:pPr>
      <w:proofErr w:type="gramStart"/>
      <w:r>
        <w:rPr>
          <w:rFonts w:ascii="Arial" w:hAnsi="Arial" w:eastAsia="Arial" w:cs="Arial"/>
          <w:sz w:val="22"/>
          <w:szCs w:val="22"/>
        </w:rPr>
        <w:t>De acuerdo a</w:t>
      </w:r>
      <w:proofErr w:type="gramEnd"/>
      <w:r>
        <w:rPr>
          <w:rFonts w:ascii="Arial" w:hAnsi="Arial" w:eastAsia="Arial" w:cs="Arial"/>
          <w:sz w:val="22"/>
          <w:szCs w:val="22"/>
        </w:rPr>
        <w:t xml:space="preserve"> reportes de la ENEE el no incremento de la cobertura se debe a que no existe viabilidad económica para extender la red por largas distancias desde el último punto de la red hacia las comunidades que no poseen servicio </w:t>
      </w:r>
      <w:r w:rsidR="00F46F9D">
        <w:rPr>
          <w:rFonts w:ascii="Arial" w:hAnsi="Arial" w:eastAsia="Arial" w:cs="Arial"/>
          <w:sz w:val="22"/>
          <w:szCs w:val="22"/>
        </w:rPr>
        <w:t>eléctrico; así</w:t>
      </w:r>
      <w:r>
        <w:rPr>
          <w:rFonts w:ascii="Arial" w:hAnsi="Arial" w:eastAsia="Arial" w:cs="Arial"/>
          <w:sz w:val="22"/>
          <w:szCs w:val="22"/>
        </w:rPr>
        <w:t xml:space="preserve"> como el grado de aislamiento, complejidad topográfica y elevado nivel de dispersión de viviendas en comunidades sin servicio de electricidad. Esto sumado a la frágil situación financiera de la ENEE, los problemas fiscales en el país y la falta de planificación para la expansión de la cobertura han provocado que no se </w:t>
      </w:r>
      <w:proofErr w:type="spellStart"/>
      <w:r>
        <w:rPr>
          <w:rFonts w:ascii="Arial" w:hAnsi="Arial" w:eastAsia="Arial" w:cs="Arial"/>
          <w:sz w:val="22"/>
          <w:szCs w:val="22"/>
        </w:rPr>
        <w:t>hallan</w:t>
      </w:r>
      <w:proofErr w:type="spellEnd"/>
      <w:r>
        <w:rPr>
          <w:rFonts w:ascii="Arial" w:hAnsi="Arial" w:eastAsia="Arial" w:cs="Arial"/>
          <w:sz w:val="22"/>
          <w:szCs w:val="22"/>
        </w:rPr>
        <w:t xml:space="preserve"> desarrollado programas de inversión para el incremento de cobertura</w:t>
      </w:r>
      <w:r w:rsidR="00303AE9">
        <w:rPr>
          <w:rFonts w:ascii="Arial" w:hAnsi="Arial" w:cs="Arial"/>
          <w:sz w:val="22"/>
          <w:szCs w:val="22"/>
          <w:lang w:val="es-ES_tradnl"/>
        </w:rPr>
        <w:t>.</w:t>
      </w:r>
    </w:p>
    <w:p w:rsidRPr="00852D2D" w:rsidR="00852D2D" w:rsidP="00852D2D" w:rsidRDefault="00852D2D" w14:paraId="3377FC7D" w14:textId="461479AC">
      <w:pPr>
        <w:pStyle w:val="FirstHeading"/>
        <w:ind w:left="720"/>
        <w:rPr>
          <w:rFonts w:ascii="Arial" w:hAnsi="Arial" w:cs="Arial"/>
          <w:sz w:val="22"/>
          <w:szCs w:val="22"/>
        </w:rPr>
      </w:pPr>
      <w:bookmarkStart w:name="_Toc526996958" w:id="4"/>
      <w:bookmarkStart w:name="_Hlk482098242" w:id="5"/>
      <w:r>
        <w:rPr>
          <w:rFonts w:ascii="Arial" w:hAnsi="Arial" w:cs="Arial"/>
          <w:sz w:val="22"/>
          <w:szCs w:val="22"/>
        </w:rPr>
        <w:t>B</w:t>
      </w:r>
      <w:r w:rsidRPr="00EB0154">
        <w:rPr>
          <w:rFonts w:ascii="Arial" w:hAnsi="Arial" w:cs="Arial"/>
          <w:sz w:val="22"/>
          <w:szCs w:val="22"/>
        </w:rPr>
        <w:t>.</w:t>
      </w:r>
      <w:r w:rsidR="00180933">
        <w:rPr>
          <w:rFonts w:ascii="Arial" w:hAnsi="Arial" w:cs="Arial"/>
          <w:sz w:val="22"/>
          <w:szCs w:val="22"/>
        </w:rPr>
        <w:tab/>
      </w:r>
      <w:r w:rsidRPr="00852D2D" w:rsidR="00A75E60">
        <w:rPr>
          <w:rFonts w:ascii="Arial" w:hAnsi="Arial" w:cs="Arial"/>
          <w:sz w:val="22"/>
          <w:szCs w:val="22"/>
        </w:rPr>
        <w:t>Características</w:t>
      </w:r>
      <w:r w:rsidRPr="00852D2D" w:rsidR="00A75E60">
        <w:rPr>
          <w:rFonts w:ascii="Arial" w:hAnsi="Arial" w:eastAsia="Arial" w:cs="Arial"/>
          <w:sz w:val="22"/>
          <w:szCs w:val="22"/>
        </w:rPr>
        <w:t xml:space="preserve"> de la población objetivo</w:t>
      </w:r>
      <w:bookmarkEnd w:id="4"/>
      <w:r w:rsidRPr="00852D2D" w:rsidR="00A75E60">
        <w:rPr>
          <w:rFonts w:ascii="Arial" w:hAnsi="Arial" w:eastAsia="Arial" w:cs="Arial"/>
          <w:sz w:val="22"/>
          <w:szCs w:val="22"/>
        </w:rPr>
        <w:t xml:space="preserve"> </w:t>
      </w:r>
    </w:p>
    <w:bookmarkEnd w:id="5"/>
    <w:p w:rsidRPr="00F46F9D" w:rsidR="00F46F9D" w:rsidP="00303AE9" w:rsidRDefault="00F46F9D" w14:paraId="2BCB1B8A" w14:textId="2F0DF64C">
      <w:pPr>
        <w:pStyle w:val="Paragraph"/>
        <w:tabs>
          <w:tab w:val="num" w:pos="720"/>
        </w:tabs>
        <w:ind w:left="720" w:hanging="720"/>
        <w:rPr>
          <w:rFonts w:ascii="Arial" w:hAnsi="Arial" w:eastAsia="Arial" w:cs="Arial"/>
          <w:sz w:val="22"/>
          <w:szCs w:val="22"/>
          <w:lang w:val="es-ES_tradnl"/>
        </w:rPr>
      </w:pPr>
      <w:r>
        <w:rPr>
          <w:rFonts w:ascii="Arial" w:hAnsi="Arial" w:eastAsia="Arial" w:cs="Arial"/>
          <w:b/>
          <w:bCs/>
          <w:sz w:val="22"/>
          <w:szCs w:val="22"/>
        </w:rPr>
        <w:t>Metodología para la selección del territorio de intervención</w:t>
      </w:r>
      <w:r w:rsidRPr="006E55A9">
        <w:rPr>
          <w:rFonts w:ascii="Arial" w:hAnsi="Arial" w:eastAsia="Arial" w:cs="Arial"/>
          <w:b/>
          <w:bCs/>
          <w:sz w:val="22"/>
          <w:szCs w:val="22"/>
        </w:rPr>
        <w:t>.</w:t>
      </w:r>
      <w:r w:rsidRPr="006E55A9">
        <w:rPr>
          <w:rFonts w:ascii="Arial" w:hAnsi="Arial" w:eastAsia="Arial" w:cs="Arial"/>
          <w:sz w:val="22"/>
          <w:szCs w:val="22"/>
        </w:rPr>
        <w:t xml:space="preserve"> Sobre la base de la aplicación de una metodología de selección multicriterio, </w:t>
      </w:r>
      <w:r w:rsidRPr="0049771D">
        <w:rPr>
          <w:rFonts w:ascii="Arial" w:hAnsi="Arial" w:eastAsia="Arial" w:cs="Arial"/>
          <w:sz w:val="22"/>
          <w:szCs w:val="22"/>
        </w:rPr>
        <w:t xml:space="preserve">empleando criterios </w:t>
      </w:r>
      <w:r w:rsidRPr="00442A86">
        <w:rPr>
          <w:rFonts w:ascii="Arial" w:hAnsi="Arial" w:eastAsia="Arial" w:cs="Arial"/>
          <w:sz w:val="22"/>
          <w:szCs w:val="22"/>
        </w:rPr>
        <w:t xml:space="preserve">de pobreza, </w:t>
      </w:r>
      <w:r>
        <w:rPr>
          <w:rFonts w:ascii="Arial" w:hAnsi="Arial" w:eastAsia="Arial" w:cs="Arial"/>
          <w:sz w:val="22"/>
          <w:szCs w:val="22"/>
        </w:rPr>
        <w:t xml:space="preserve">limitado acceso de electricidad, elevados </w:t>
      </w:r>
      <w:r w:rsidRPr="00442A86">
        <w:rPr>
          <w:rFonts w:ascii="Arial" w:hAnsi="Arial" w:eastAsia="Arial" w:cs="Arial"/>
          <w:sz w:val="22"/>
          <w:szCs w:val="22"/>
        </w:rPr>
        <w:t xml:space="preserve">costos de suministro de energía, </w:t>
      </w:r>
      <w:bookmarkStart w:name="_Hlk523108826" w:id="6"/>
      <w:r>
        <w:rPr>
          <w:rFonts w:ascii="Arial" w:hAnsi="Arial" w:eastAsia="Arial" w:cs="Arial"/>
          <w:sz w:val="22"/>
          <w:szCs w:val="22"/>
        </w:rPr>
        <w:t xml:space="preserve">estudios elaborados para desarrollo de proyectos, oportunidades de emprendimientos del sector privado, ausencia de cooperantes, colaboración de organizaciones locales, presencia del Banco en el territorio por ejecución de operaciones </w:t>
      </w:r>
      <w:bookmarkEnd w:id="6"/>
      <w:r>
        <w:rPr>
          <w:rFonts w:ascii="Arial" w:hAnsi="Arial" w:eastAsia="Arial" w:cs="Arial"/>
          <w:sz w:val="22"/>
          <w:szCs w:val="22"/>
        </w:rPr>
        <w:t xml:space="preserve">y la disponibilidad de recursos, </w:t>
      </w:r>
      <w:r w:rsidRPr="00442A86">
        <w:rPr>
          <w:rFonts w:ascii="Arial" w:hAnsi="Arial" w:eastAsia="Arial" w:cs="Arial"/>
          <w:sz w:val="22"/>
          <w:szCs w:val="22"/>
        </w:rPr>
        <w:t>se seleccionaron municipios de los Departamentos de Gracias a Dios, Islas de la Bahía y Choluteca</w:t>
      </w:r>
      <w:r w:rsidR="00CB0385">
        <w:rPr>
          <w:rFonts w:ascii="Arial" w:hAnsi="Arial" w:eastAsia="Arial" w:cs="Arial"/>
          <w:sz w:val="22"/>
          <w:szCs w:val="22"/>
        </w:rPr>
        <w:t>.</w:t>
      </w:r>
    </w:p>
    <w:p w:rsidRPr="00303AE9" w:rsidR="00303AE9" w:rsidP="00303AE9" w:rsidRDefault="00143C6F" w14:paraId="74BC0ECE" w14:textId="5F5857CA">
      <w:pPr>
        <w:pStyle w:val="Paragraph"/>
        <w:tabs>
          <w:tab w:val="num" w:pos="720"/>
        </w:tabs>
        <w:ind w:left="720" w:hanging="720"/>
        <w:rPr>
          <w:rFonts w:ascii="Arial" w:hAnsi="Arial" w:eastAsia="Arial" w:cs="Arial"/>
          <w:sz w:val="22"/>
          <w:szCs w:val="22"/>
          <w:lang w:val="es-ES_tradnl"/>
        </w:rPr>
      </w:pPr>
      <w:r w:rsidRPr="009967A8">
        <w:rPr>
          <w:rFonts w:ascii="Arial" w:hAnsi="Arial" w:eastAsia="Arial" w:cs="Arial"/>
          <w:sz w:val="22"/>
          <w:szCs w:val="22"/>
          <w:u w:val="single"/>
        </w:rPr>
        <w:lastRenderedPageBreak/>
        <w:t>Gracias a Dios</w:t>
      </w:r>
      <w:r>
        <w:rPr>
          <w:rFonts w:ascii="Arial" w:hAnsi="Arial" w:eastAsia="Arial" w:cs="Arial"/>
          <w:sz w:val="22"/>
          <w:szCs w:val="22"/>
        </w:rPr>
        <w:t xml:space="preserve"> e</w:t>
      </w:r>
      <w:r w:rsidRPr="00C70383">
        <w:rPr>
          <w:rFonts w:ascii="Arial" w:hAnsi="Arial" w:eastAsia="Arial" w:cs="Arial"/>
          <w:sz w:val="22"/>
          <w:szCs w:val="22"/>
        </w:rPr>
        <w:t>s el segundo departamento más grande del país, dominado por territorios selváticos, accesible únicamente por vía aérea.</w:t>
      </w:r>
      <w:r>
        <w:rPr>
          <w:rFonts w:ascii="Arial" w:hAnsi="Arial" w:eastAsia="Arial" w:cs="Arial"/>
          <w:sz w:val="22"/>
          <w:szCs w:val="22"/>
        </w:rPr>
        <w:t xml:space="preserve"> </w:t>
      </w:r>
      <w:r w:rsidRPr="00C70383">
        <w:rPr>
          <w:rFonts w:ascii="Arial" w:hAnsi="Arial" w:eastAsia="Arial" w:cs="Arial"/>
          <w:sz w:val="22"/>
          <w:szCs w:val="22"/>
          <w:lang w:val="es-ES_tradnl"/>
        </w:rPr>
        <w:t>Las principales actividades económicas son la agricultura</w:t>
      </w:r>
      <w:r>
        <w:rPr>
          <w:rFonts w:ascii="Arial" w:hAnsi="Arial" w:eastAsia="Arial" w:cs="Arial"/>
          <w:sz w:val="22"/>
          <w:szCs w:val="22"/>
          <w:lang w:val="es-ES_tradnl"/>
        </w:rPr>
        <w:t>,</w:t>
      </w:r>
      <w:r w:rsidRPr="00C70383">
        <w:rPr>
          <w:rFonts w:ascii="Arial" w:hAnsi="Arial" w:eastAsia="Arial" w:cs="Arial"/>
          <w:sz w:val="22"/>
          <w:szCs w:val="22"/>
          <w:lang w:val="es-ES_tradnl"/>
        </w:rPr>
        <w:t xml:space="preserve"> pesca, administración pública y comercio.</w:t>
      </w:r>
      <w:r w:rsidRPr="00C70383">
        <w:rPr>
          <w:rFonts w:ascii="Arial" w:hAnsi="Arial" w:eastAsia="Arial" w:cs="Arial"/>
          <w:sz w:val="22"/>
          <w:szCs w:val="22"/>
        </w:rPr>
        <w:t xml:space="preserve"> Reporta cobertura del 45.2%, atendida en su totalidad mediante sistemas aislados. Posee una diversidad étnica</w:t>
      </w:r>
      <w:r>
        <w:rPr>
          <w:rFonts w:ascii="Arial" w:hAnsi="Arial" w:eastAsia="Arial" w:cs="Arial"/>
          <w:sz w:val="22"/>
          <w:szCs w:val="22"/>
        </w:rPr>
        <w:t>,</w:t>
      </w:r>
      <w:r w:rsidRPr="00C70383">
        <w:rPr>
          <w:rFonts w:ascii="Arial" w:hAnsi="Arial" w:eastAsia="Arial" w:cs="Arial"/>
          <w:sz w:val="22"/>
          <w:szCs w:val="22"/>
        </w:rPr>
        <w:t xml:space="preserve"> destacándose los grupos </w:t>
      </w:r>
      <w:proofErr w:type="spellStart"/>
      <w:r w:rsidRPr="00C70383">
        <w:rPr>
          <w:rFonts w:ascii="Arial" w:hAnsi="Arial" w:eastAsia="Arial" w:cs="Arial"/>
          <w:sz w:val="22"/>
          <w:szCs w:val="22"/>
        </w:rPr>
        <w:t>Miskitos</w:t>
      </w:r>
      <w:proofErr w:type="spellEnd"/>
      <w:r w:rsidRPr="00C70383">
        <w:rPr>
          <w:rFonts w:ascii="Arial" w:hAnsi="Arial" w:eastAsia="Arial" w:cs="Arial"/>
          <w:sz w:val="22"/>
          <w:szCs w:val="22"/>
        </w:rPr>
        <w:t xml:space="preserve"> y </w:t>
      </w:r>
      <w:proofErr w:type="spellStart"/>
      <w:r w:rsidRPr="00C70383">
        <w:rPr>
          <w:rFonts w:ascii="Arial" w:hAnsi="Arial" w:eastAsia="Arial" w:cs="Arial"/>
          <w:sz w:val="22"/>
          <w:szCs w:val="22"/>
        </w:rPr>
        <w:t>Petch</w:t>
      </w:r>
      <w:proofErr w:type="spellEnd"/>
      <w:r w:rsidRPr="00C70383">
        <w:rPr>
          <w:rFonts w:ascii="Arial" w:hAnsi="Arial" w:eastAsia="Arial" w:cs="Arial"/>
          <w:sz w:val="22"/>
          <w:szCs w:val="22"/>
        </w:rPr>
        <w:t xml:space="preserve">. </w:t>
      </w:r>
      <w:r w:rsidRPr="00C70383">
        <w:rPr>
          <w:rFonts w:ascii="Arial" w:hAnsi="Arial" w:cs="Arial"/>
          <w:spacing w:val="4"/>
          <w:sz w:val="22"/>
          <w:szCs w:val="22"/>
          <w:lang w:eastAsia="es-HN"/>
        </w:rPr>
        <w:t>La región posee</w:t>
      </w:r>
      <w:r w:rsidRPr="00C70383">
        <w:rPr>
          <w:rFonts w:ascii="Arial" w:hAnsi="Arial" w:cs="Arial"/>
          <w:sz w:val="22"/>
          <w:szCs w:val="22"/>
          <w:lang w:eastAsia="es-HN"/>
        </w:rPr>
        <w:t xml:space="preserve"> un patrimonio ecológico constituido de </w:t>
      </w:r>
      <w:r w:rsidRPr="00C70383" w:rsidR="00A32858">
        <w:rPr>
          <w:rFonts w:ascii="Arial" w:hAnsi="Arial" w:cs="Arial"/>
          <w:sz w:val="22"/>
          <w:szCs w:val="22"/>
          <w:lang w:eastAsia="es-HN"/>
        </w:rPr>
        <w:t>ecosistemas</w:t>
      </w:r>
      <w:r w:rsidRPr="00C70383">
        <w:rPr>
          <w:rFonts w:ascii="Arial" w:hAnsi="Arial" w:cs="Arial"/>
          <w:sz w:val="22"/>
          <w:szCs w:val="22"/>
          <w:lang w:eastAsia="es-HN"/>
        </w:rPr>
        <w:t xml:space="preserve"> tropicales, con abundantes llanuras, valles y planicies, </w:t>
      </w:r>
      <w:r w:rsidRPr="00C70383">
        <w:rPr>
          <w:rFonts w:ascii="Arial" w:hAnsi="Arial" w:cs="Arial"/>
          <w:sz w:val="22"/>
          <w:szCs w:val="22"/>
          <w:lang w:val="es-ES_tradnl"/>
        </w:rPr>
        <w:t xml:space="preserve">ríos caudalosos, </w:t>
      </w:r>
      <w:r w:rsidRPr="00C70383">
        <w:rPr>
          <w:rFonts w:ascii="Arial" w:hAnsi="Arial" w:cs="Arial"/>
          <w:sz w:val="22"/>
          <w:szCs w:val="22"/>
          <w:lang w:eastAsia="es-HN"/>
        </w:rPr>
        <w:t xml:space="preserve">un sistema lagunar de gran diversidad biológica e intrincada red de humedales. </w:t>
      </w:r>
      <w:r w:rsidRPr="00303AE9" w:rsidR="00303AE9">
        <w:rPr>
          <w:rFonts w:ascii="Arial" w:hAnsi="Arial" w:eastAsia="Arial" w:cs="Arial"/>
          <w:sz w:val="22"/>
          <w:szCs w:val="22"/>
        </w:rPr>
        <w:t xml:space="preserve">El Departamento Gracias a Dios </w:t>
      </w:r>
      <w:r w:rsidRPr="00303AE9" w:rsidR="00303AE9">
        <w:rPr>
          <w:rFonts w:ascii="Arial" w:hAnsi="Arial" w:eastAsia="Arial" w:cs="Arial"/>
          <w:sz w:val="22"/>
          <w:szCs w:val="22"/>
          <w:lang w:val="es-ES_tradnl"/>
        </w:rPr>
        <w:t>reporta los niveles más altos de pobreza y condiciones de vulnerabilidad de Honduras</w:t>
      </w:r>
      <w:r>
        <w:rPr>
          <w:rFonts w:ascii="Arial" w:hAnsi="Arial" w:eastAsia="Arial" w:cs="Arial"/>
          <w:sz w:val="22"/>
          <w:szCs w:val="22"/>
          <w:lang w:val="es-ES_tradnl"/>
        </w:rPr>
        <w:t>. S</w:t>
      </w:r>
      <w:r w:rsidRPr="00303AE9" w:rsidR="00303AE9">
        <w:rPr>
          <w:rFonts w:ascii="Arial" w:hAnsi="Arial" w:eastAsia="Arial" w:cs="Arial"/>
          <w:sz w:val="22"/>
          <w:szCs w:val="22"/>
          <w:lang w:val="es-ES_tradnl"/>
        </w:rPr>
        <w:t>e estima que más del 69% de su población vive debajo de la línea de pobreza y 40% en extrema pobreza, ocupa el penúltimo lugar de clasificación de los 18 departamentos en el Índice de Desarrollo Humano (IDH)</w:t>
      </w:r>
      <w:r>
        <w:rPr>
          <w:rFonts w:ascii="Arial" w:hAnsi="Arial" w:eastAsia="Arial" w:cs="Arial"/>
          <w:sz w:val="22"/>
          <w:szCs w:val="22"/>
          <w:lang w:val="es-ES_tradnl"/>
        </w:rPr>
        <w:t xml:space="preserve"> del país</w:t>
      </w:r>
      <w:r w:rsidRPr="00303AE9" w:rsidR="00303AE9">
        <w:rPr>
          <w:rFonts w:ascii="Arial" w:hAnsi="Arial" w:eastAsia="Arial" w:cs="Arial"/>
          <w:sz w:val="22"/>
          <w:szCs w:val="22"/>
          <w:lang w:val="es-ES_tradnl"/>
        </w:rPr>
        <w:t xml:space="preserve"> y reporta serios problemas de seguridad ciudadana.</w:t>
      </w:r>
      <w:r w:rsidRPr="00303AE9" w:rsidR="00303AE9">
        <w:rPr>
          <w:rFonts w:ascii="Arial" w:hAnsi="Arial" w:cs="Arial"/>
          <w:sz w:val="22"/>
          <w:szCs w:val="22"/>
        </w:rPr>
        <w:t xml:space="preserve"> </w:t>
      </w:r>
      <w:proofErr w:type="gramStart"/>
      <w:r w:rsidRPr="00303AE9" w:rsidR="00303AE9">
        <w:rPr>
          <w:rFonts w:ascii="Arial" w:hAnsi="Arial" w:eastAsia="Arial" w:cs="Arial"/>
          <w:sz w:val="22"/>
          <w:szCs w:val="22"/>
          <w:lang w:val="es-ES_tradnl"/>
        </w:rPr>
        <w:t>De acuerdo al</w:t>
      </w:r>
      <w:proofErr w:type="gramEnd"/>
      <w:r w:rsidRPr="00303AE9" w:rsidR="00303AE9">
        <w:rPr>
          <w:rFonts w:ascii="Arial" w:hAnsi="Arial" w:eastAsia="Arial" w:cs="Arial"/>
          <w:sz w:val="22"/>
          <w:szCs w:val="22"/>
          <w:lang w:val="es-ES_tradnl"/>
        </w:rPr>
        <w:t xml:space="preserve"> Censo 2013, la población del departamento era de 94,450 habitantes, distribuidos en los municipios de Puerto Lempira (47</w:t>
      </w:r>
      <w:r>
        <w:rPr>
          <w:rFonts w:ascii="Arial" w:hAnsi="Arial" w:eastAsia="Arial" w:cs="Arial"/>
          <w:sz w:val="22"/>
          <w:szCs w:val="22"/>
          <w:lang w:val="es-ES_tradnl"/>
        </w:rPr>
        <w:t>.</w:t>
      </w:r>
      <w:r w:rsidRPr="00303AE9" w:rsidR="00303AE9">
        <w:rPr>
          <w:rFonts w:ascii="Arial" w:hAnsi="Arial" w:eastAsia="Arial" w:cs="Arial"/>
          <w:sz w:val="22"/>
          <w:szCs w:val="22"/>
          <w:lang w:val="es-ES_tradnl"/>
        </w:rPr>
        <w:t xml:space="preserve">528), </w:t>
      </w:r>
      <w:proofErr w:type="spellStart"/>
      <w:r w:rsidRPr="00303AE9" w:rsidR="00303AE9">
        <w:rPr>
          <w:rFonts w:ascii="Arial" w:hAnsi="Arial" w:eastAsia="Arial" w:cs="Arial"/>
          <w:sz w:val="22"/>
          <w:szCs w:val="22"/>
          <w:lang w:val="es-ES_tradnl"/>
        </w:rPr>
        <w:t>Bruss</w:t>
      </w:r>
      <w:proofErr w:type="spellEnd"/>
      <w:r w:rsidRPr="00303AE9" w:rsidR="00303AE9">
        <w:rPr>
          <w:rFonts w:ascii="Arial" w:hAnsi="Arial" w:eastAsia="Arial" w:cs="Arial"/>
          <w:sz w:val="22"/>
          <w:szCs w:val="22"/>
          <w:lang w:val="es-ES_tradnl"/>
        </w:rPr>
        <w:t xml:space="preserve"> Laguna (12</w:t>
      </w:r>
      <w:r>
        <w:rPr>
          <w:rFonts w:ascii="Arial" w:hAnsi="Arial" w:eastAsia="Arial" w:cs="Arial"/>
          <w:sz w:val="22"/>
          <w:szCs w:val="22"/>
          <w:lang w:val="es-ES_tradnl"/>
        </w:rPr>
        <w:t>.</w:t>
      </w:r>
      <w:r w:rsidRPr="00303AE9" w:rsidR="00303AE9">
        <w:rPr>
          <w:rFonts w:ascii="Arial" w:hAnsi="Arial" w:eastAsia="Arial" w:cs="Arial"/>
          <w:sz w:val="22"/>
          <w:szCs w:val="22"/>
          <w:lang w:val="es-ES_tradnl"/>
        </w:rPr>
        <w:t>71</w:t>
      </w:r>
      <w:r w:rsidR="00540265">
        <w:rPr>
          <w:rFonts w:ascii="Arial" w:hAnsi="Arial" w:eastAsia="Arial" w:cs="Arial"/>
          <w:sz w:val="22"/>
          <w:szCs w:val="22"/>
          <w:lang w:val="es-ES_tradnl"/>
        </w:rPr>
        <w:t>9</w:t>
      </w:r>
      <w:r w:rsidRPr="00303AE9" w:rsidR="00303AE9">
        <w:rPr>
          <w:rFonts w:ascii="Arial" w:hAnsi="Arial" w:eastAsia="Arial" w:cs="Arial"/>
          <w:sz w:val="22"/>
          <w:szCs w:val="22"/>
          <w:lang w:val="es-ES_tradnl"/>
        </w:rPr>
        <w:t xml:space="preserve">), </w:t>
      </w:r>
      <w:proofErr w:type="spellStart"/>
      <w:r w:rsidRPr="00303AE9" w:rsidR="00303AE9">
        <w:rPr>
          <w:rFonts w:ascii="Arial" w:hAnsi="Arial" w:eastAsia="Arial" w:cs="Arial"/>
          <w:sz w:val="22"/>
          <w:szCs w:val="22"/>
          <w:lang w:val="es-ES_tradnl"/>
        </w:rPr>
        <w:t>Awas</w:t>
      </w:r>
      <w:proofErr w:type="spellEnd"/>
      <w:r w:rsidRPr="00303AE9" w:rsidR="00303AE9">
        <w:rPr>
          <w:rFonts w:ascii="Arial" w:hAnsi="Arial" w:eastAsia="Arial" w:cs="Arial"/>
          <w:sz w:val="22"/>
          <w:szCs w:val="22"/>
          <w:lang w:val="es-ES_tradnl"/>
        </w:rPr>
        <w:t xml:space="preserve"> (3979), Villeda Morales (10</w:t>
      </w:r>
      <w:r>
        <w:rPr>
          <w:rFonts w:ascii="Arial" w:hAnsi="Arial" w:eastAsia="Arial" w:cs="Arial"/>
          <w:sz w:val="22"/>
          <w:szCs w:val="22"/>
          <w:lang w:val="es-ES_tradnl"/>
        </w:rPr>
        <w:t>.</w:t>
      </w:r>
      <w:r w:rsidRPr="00303AE9" w:rsidR="00303AE9">
        <w:rPr>
          <w:rFonts w:ascii="Arial" w:hAnsi="Arial" w:eastAsia="Arial" w:cs="Arial"/>
          <w:sz w:val="22"/>
          <w:szCs w:val="22"/>
          <w:lang w:val="es-ES_tradnl"/>
        </w:rPr>
        <w:t xml:space="preserve">313), </w:t>
      </w:r>
      <w:proofErr w:type="spellStart"/>
      <w:r w:rsidRPr="00303AE9" w:rsidR="00303AE9">
        <w:rPr>
          <w:rFonts w:ascii="Arial" w:hAnsi="Arial" w:eastAsia="Arial" w:cs="Arial"/>
          <w:sz w:val="22"/>
          <w:szCs w:val="22"/>
          <w:lang w:val="es-ES_tradnl"/>
        </w:rPr>
        <w:t>Wampusirpi</w:t>
      </w:r>
      <w:proofErr w:type="spellEnd"/>
      <w:r w:rsidRPr="00303AE9" w:rsidR="00303AE9">
        <w:rPr>
          <w:rFonts w:ascii="Arial" w:hAnsi="Arial" w:eastAsia="Arial" w:cs="Arial"/>
          <w:sz w:val="22"/>
          <w:szCs w:val="22"/>
          <w:lang w:val="es-ES_tradnl"/>
        </w:rPr>
        <w:t xml:space="preserve"> (5</w:t>
      </w:r>
      <w:r>
        <w:rPr>
          <w:rFonts w:ascii="Arial" w:hAnsi="Arial" w:eastAsia="Arial" w:cs="Arial"/>
          <w:sz w:val="22"/>
          <w:szCs w:val="22"/>
          <w:lang w:val="es-ES_tradnl"/>
        </w:rPr>
        <w:t>.</w:t>
      </w:r>
      <w:r w:rsidRPr="00303AE9" w:rsidR="00303AE9">
        <w:rPr>
          <w:rFonts w:ascii="Arial" w:hAnsi="Arial" w:eastAsia="Arial" w:cs="Arial"/>
          <w:sz w:val="22"/>
          <w:szCs w:val="22"/>
          <w:lang w:val="es-ES_tradnl"/>
        </w:rPr>
        <w:t xml:space="preserve">746). </w:t>
      </w:r>
    </w:p>
    <w:p w:rsidRPr="009967A8" w:rsidR="009967A8" w:rsidP="009967A8" w:rsidRDefault="00A75E60" w14:paraId="13DEE3DA" w14:textId="1468B94D">
      <w:pPr>
        <w:pStyle w:val="Paragraph"/>
        <w:tabs>
          <w:tab w:val="num" w:pos="720"/>
          <w:tab w:val="num" w:pos="2448"/>
        </w:tabs>
        <w:ind w:left="720" w:hanging="630"/>
        <w:rPr>
          <w:rFonts w:ascii="Arial" w:hAnsi="Arial" w:cs="Arial"/>
          <w:sz w:val="22"/>
          <w:szCs w:val="22"/>
        </w:rPr>
      </w:pPr>
      <w:r w:rsidRPr="009967A8">
        <w:rPr>
          <w:rFonts w:ascii="Arial" w:hAnsi="Arial" w:cs="Arial"/>
          <w:sz w:val="22"/>
          <w:szCs w:val="22"/>
          <w:lang w:eastAsia="es-HN"/>
        </w:rPr>
        <w:t>Brus Laguna es la cabecera municipal del municipio del mismo nombre en Gracias a Dios. La densidad poblacional es de 5 Habitantes / Km</w:t>
      </w:r>
      <w:r w:rsidRPr="009967A8">
        <w:rPr>
          <w:rFonts w:ascii="Arial" w:hAnsi="Arial" w:cs="Arial"/>
          <w:sz w:val="22"/>
          <w:szCs w:val="22"/>
          <w:vertAlign w:val="superscript"/>
          <w:lang w:eastAsia="es-HN"/>
        </w:rPr>
        <w:t>2</w:t>
      </w:r>
      <w:r w:rsidRPr="009967A8">
        <w:rPr>
          <w:rFonts w:ascii="Arial" w:hAnsi="Arial" w:cs="Arial"/>
          <w:sz w:val="22"/>
          <w:szCs w:val="22"/>
          <w:lang w:eastAsia="es-HN"/>
        </w:rPr>
        <w:t xml:space="preserve">. </w:t>
      </w:r>
      <w:r w:rsidRPr="009967A8" w:rsidR="009967A8">
        <w:rPr>
          <w:rFonts w:ascii="Arial" w:hAnsi="Arial" w:cs="Arial"/>
          <w:sz w:val="22"/>
          <w:szCs w:val="22"/>
          <w:lang w:val="es-CO" w:eastAsia="es-HN"/>
        </w:rPr>
        <w:t xml:space="preserve">La economía del municipio se basa en el sector pesquero y la producción agrícola.  Existen más de 200 pescadores artesanales de quienes dependen para su sostenimiento 7.250 personas aproximadamente. La mayor parte no poseen equipos adecuados para aprovechar los recursos de las lagunas Rapa, </w:t>
      </w:r>
      <w:proofErr w:type="spellStart"/>
      <w:r w:rsidRPr="009967A8" w:rsidR="009967A8">
        <w:rPr>
          <w:rFonts w:ascii="Arial" w:hAnsi="Arial" w:cs="Arial"/>
          <w:sz w:val="22"/>
          <w:szCs w:val="22"/>
          <w:lang w:val="es-CO" w:eastAsia="es-HN"/>
        </w:rPr>
        <w:t>Zakatá</w:t>
      </w:r>
      <w:proofErr w:type="spellEnd"/>
      <w:r w:rsidRPr="009967A8" w:rsidR="009967A8">
        <w:rPr>
          <w:rFonts w:ascii="Arial" w:hAnsi="Arial" w:cs="Arial"/>
          <w:sz w:val="22"/>
          <w:szCs w:val="22"/>
          <w:lang w:val="es-CO" w:eastAsia="es-HN"/>
        </w:rPr>
        <w:t xml:space="preserve"> y </w:t>
      </w:r>
      <w:proofErr w:type="spellStart"/>
      <w:r w:rsidRPr="009967A8" w:rsidR="009967A8">
        <w:rPr>
          <w:rFonts w:ascii="Arial" w:hAnsi="Arial" w:cs="Arial"/>
          <w:sz w:val="22"/>
          <w:szCs w:val="22"/>
          <w:lang w:val="es-CO" w:eastAsia="es-HN"/>
        </w:rPr>
        <w:t>Bismuta</w:t>
      </w:r>
      <w:proofErr w:type="spellEnd"/>
      <w:r w:rsidRPr="009967A8" w:rsidR="009967A8">
        <w:rPr>
          <w:rFonts w:ascii="Arial" w:hAnsi="Arial" w:cs="Arial"/>
          <w:sz w:val="22"/>
          <w:szCs w:val="22"/>
          <w:lang w:val="es-CO" w:eastAsia="es-HN"/>
        </w:rPr>
        <w:t xml:space="preserve">, que forman parte de este municipio. La pesca de langosta practicada por los buzos </w:t>
      </w:r>
      <w:proofErr w:type="spellStart"/>
      <w:r w:rsidRPr="009967A8" w:rsidR="009967A8">
        <w:rPr>
          <w:rFonts w:ascii="Arial" w:hAnsi="Arial" w:cs="Arial"/>
          <w:sz w:val="22"/>
          <w:szCs w:val="22"/>
          <w:lang w:val="es-CO" w:eastAsia="es-HN"/>
        </w:rPr>
        <w:t>Miskitos</w:t>
      </w:r>
      <w:proofErr w:type="spellEnd"/>
      <w:r w:rsidRPr="009967A8" w:rsidR="009967A8">
        <w:rPr>
          <w:rFonts w:ascii="Arial" w:hAnsi="Arial" w:cs="Arial"/>
          <w:sz w:val="22"/>
          <w:szCs w:val="22"/>
          <w:lang w:val="es-CO" w:eastAsia="es-HN"/>
        </w:rPr>
        <w:t xml:space="preserve"> en el mar Caribe es la más importante en cuanto al valor del recurso. En la actividad agrícola se destacan las plantaciones de cocos y bananas.  La actividad turística representa un sector considerable gracias a la creciente popularidad que ha adquirido como destino de aventura o ecoturismo, debido a la exuberante vegetación, y a la gran variedad de fauna silvestre que habita la zona. La extracción de madera también es una actividad económica de la región. La población económicamente activa es 4</w:t>
      </w:r>
      <w:r w:rsidR="00143C6F">
        <w:rPr>
          <w:rFonts w:ascii="Arial" w:hAnsi="Arial" w:cs="Arial"/>
          <w:sz w:val="22"/>
          <w:szCs w:val="22"/>
          <w:lang w:val="es-CO" w:eastAsia="es-HN"/>
        </w:rPr>
        <w:t>.</w:t>
      </w:r>
      <w:r w:rsidRPr="009967A8" w:rsidR="009967A8">
        <w:rPr>
          <w:rFonts w:ascii="Arial" w:hAnsi="Arial" w:cs="Arial"/>
          <w:sz w:val="22"/>
          <w:szCs w:val="22"/>
          <w:lang w:val="es-CO" w:eastAsia="es-HN"/>
        </w:rPr>
        <w:t xml:space="preserve">435 personas, con un índice de ingreso per cápita anual en </w:t>
      </w:r>
      <w:r w:rsidR="00143C6F">
        <w:rPr>
          <w:rFonts w:ascii="Arial" w:hAnsi="Arial" w:cs="Arial"/>
          <w:sz w:val="22"/>
          <w:szCs w:val="22"/>
          <w:lang w:val="es-CO" w:eastAsia="es-HN"/>
        </w:rPr>
        <w:t>d</w:t>
      </w:r>
      <w:r w:rsidRPr="009967A8" w:rsidR="009967A8">
        <w:rPr>
          <w:rFonts w:ascii="Arial" w:hAnsi="Arial" w:cs="Arial"/>
          <w:sz w:val="22"/>
          <w:szCs w:val="22"/>
          <w:lang w:val="es-CO" w:eastAsia="es-HN"/>
        </w:rPr>
        <w:t xml:space="preserve">ólares </w:t>
      </w:r>
      <w:r w:rsidR="00143C6F">
        <w:rPr>
          <w:rFonts w:ascii="Arial" w:hAnsi="Arial" w:cs="Arial"/>
          <w:sz w:val="22"/>
          <w:szCs w:val="22"/>
          <w:lang w:val="es-CO" w:eastAsia="es-HN"/>
        </w:rPr>
        <w:t xml:space="preserve">americanos </w:t>
      </w:r>
      <w:r w:rsidRPr="009967A8" w:rsidR="009967A8">
        <w:rPr>
          <w:rFonts w:ascii="Arial" w:hAnsi="Arial" w:cs="Arial"/>
          <w:sz w:val="22"/>
          <w:szCs w:val="22"/>
          <w:lang w:val="es-CO" w:eastAsia="es-HN"/>
        </w:rPr>
        <w:t xml:space="preserve">de </w:t>
      </w:r>
      <w:r w:rsidR="00143C6F">
        <w:rPr>
          <w:rFonts w:ascii="Arial" w:hAnsi="Arial" w:cs="Arial"/>
          <w:sz w:val="22"/>
          <w:szCs w:val="22"/>
          <w:lang w:val="es-CO" w:eastAsia="es-HN"/>
        </w:rPr>
        <w:t>$</w:t>
      </w:r>
      <w:r w:rsidRPr="009967A8" w:rsidR="009967A8">
        <w:rPr>
          <w:rFonts w:ascii="Arial" w:hAnsi="Arial" w:cs="Arial"/>
          <w:sz w:val="22"/>
          <w:szCs w:val="22"/>
          <w:lang w:val="es-CO" w:eastAsia="es-HN"/>
        </w:rPr>
        <w:t>1</w:t>
      </w:r>
      <w:r w:rsidR="00143C6F">
        <w:rPr>
          <w:rFonts w:ascii="Arial" w:hAnsi="Arial" w:cs="Arial"/>
          <w:sz w:val="22"/>
          <w:szCs w:val="22"/>
          <w:lang w:val="es-CO" w:eastAsia="es-HN"/>
        </w:rPr>
        <w:t>.090,</w:t>
      </w:r>
      <w:r w:rsidRPr="009967A8" w:rsidR="009967A8">
        <w:rPr>
          <w:rFonts w:ascii="Arial" w:hAnsi="Arial" w:cs="Arial"/>
          <w:sz w:val="22"/>
          <w:szCs w:val="22"/>
          <w:lang w:val="es-CO" w:eastAsia="es-HN"/>
        </w:rPr>
        <w:t>61</w:t>
      </w:r>
    </w:p>
    <w:p w:rsidRPr="00A75E60" w:rsidR="00303AE9" w:rsidP="001B31BA" w:rsidRDefault="00303AE9" w14:paraId="69411E8D" w14:textId="45E4B77B">
      <w:pPr>
        <w:pStyle w:val="Paragraph"/>
        <w:tabs>
          <w:tab w:val="num" w:pos="720"/>
          <w:tab w:val="num" w:pos="2448"/>
        </w:tabs>
        <w:ind w:left="720" w:hanging="630"/>
        <w:rPr>
          <w:rFonts w:ascii="Arial" w:hAnsi="Arial" w:cs="Arial"/>
          <w:sz w:val="22"/>
          <w:szCs w:val="22"/>
        </w:rPr>
      </w:pPr>
      <w:r w:rsidRPr="00A75E60">
        <w:rPr>
          <w:rFonts w:ascii="Arial" w:hAnsi="Arial" w:cs="Arial"/>
          <w:sz w:val="22"/>
          <w:szCs w:val="22"/>
          <w:lang w:eastAsia="es-HN"/>
        </w:rPr>
        <w:t>Debido a su nivel de aislamiento geográfico</w:t>
      </w:r>
      <w:r w:rsidR="00143C6F">
        <w:rPr>
          <w:rFonts w:ascii="Arial" w:hAnsi="Arial" w:cs="Arial"/>
          <w:sz w:val="22"/>
          <w:szCs w:val="22"/>
          <w:lang w:eastAsia="es-HN"/>
        </w:rPr>
        <w:t xml:space="preserve"> y pobreza</w:t>
      </w:r>
      <w:r w:rsidRPr="00A75E60">
        <w:rPr>
          <w:rFonts w:ascii="Arial" w:hAnsi="Arial" w:cs="Arial"/>
          <w:sz w:val="22"/>
          <w:szCs w:val="22"/>
          <w:lang w:eastAsia="es-HN"/>
        </w:rPr>
        <w:t xml:space="preserve">, existen grandes </w:t>
      </w:r>
      <w:r w:rsidR="00143C6F">
        <w:rPr>
          <w:rFonts w:ascii="Arial" w:hAnsi="Arial" w:cs="Arial"/>
          <w:sz w:val="22"/>
          <w:szCs w:val="22"/>
          <w:lang w:eastAsia="es-HN"/>
        </w:rPr>
        <w:t>carencias</w:t>
      </w:r>
      <w:r w:rsidRPr="00A75E60">
        <w:rPr>
          <w:rFonts w:ascii="Arial" w:hAnsi="Arial" w:cs="Arial"/>
          <w:sz w:val="22"/>
          <w:szCs w:val="22"/>
          <w:lang w:eastAsia="es-HN"/>
        </w:rPr>
        <w:t xml:space="preserve"> de dotación de servicios públicos. </w:t>
      </w:r>
      <w:r w:rsidR="004E4AB8">
        <w:rPr>
          <w:rFonts w:ascii="Arial" w:hAnsi="Arial" w:cs="Arial"/>
          <w:sz w:val="22"/>
          <w:szCs w:val="22"/>
          <w:lang w:eastAsia="es-HN"/>
        </w:rPr>
        <w:t>En</w:t>
      </w:r>
      <w:r w:rsidRPr="00A75E60">
        <w:rPr>
          <w:rFonts w:ascii="Arial" w:hAnsi="Arial" w:cs="Arial"/>
          <w:sz w:val="22"/>
          <w:szCs w:val="22"/>
          <w:lang w:eastAsia="es-HN"/>
        </w:rPr>
        <w:t xml:space="preserve"> Brus Laguna, con una población en su mayoría </w:t>
      </w:r>
      <w:proofErr w:type="spellStart"/>
      <w:r w:rsidRPr="00A75E60">
        <w:rPr>
          <w:rFonts w:ascii="Arial" w:hAnsi="Arial" w:cs="Arial"/>
          <w:sz w:val="22"/>
          <w:szCs w:val="22"/>
          <w:lang w:eastAsia="es-HN"/>
        </w:rPr>
        <w:t>Miskito</w:t>
      </w:r>
      <w:proofErr w:type="spellEnd"/>
      <w:r w:rsidR="00143C6F">
        <w:rPr>
          <w:rFonts w:ascii="Arial" w:hAnsi="Arial" w:cs="Arial"/>
          <w:sz w:val="22"/>
          <w:szCs w:val="22"/>
          <w:lang w:eastAsia="es-HN"/>
        </w:rPr>
        <w:t xml:space="preserve"> (</w:t>
      </w:r>
      <w:r w:rsidRPr="00A75E60">
        <w:rPr>
          <w:rFonts w:ascii="Arial" w:hAnsi="Arial" w:cs="Arial"/>
          <w:sz w:val="22"/>
          <w:szCs w:val="22"/>
          <w:lang w:eastAsia="es-HN"/>
        </w:rPr>
        <w:t>98%</w:t>
      </w:r>
      <w:r w:rsidR="00143C6F">
        <w:rPr>
          <w:rFonts w:ascii="Arial" w:hAnsi="Arial" w:cs="Arial"/>
          <w:sz w:val="22"/>
          <w:szCs w:val="22"/>
          <w:lang w:eastAsia="es-HN"/>
        </w:rPr>
        <w:t>)</w:t>
      </w:r>
      <w:r w:rsidRPr="00A75E60">
        <w:rPr>
          <w:rFonts w:ascii="Arial" w:hAnsi="Arial" w:cs="Arial"/>
          <w:sz w:val="22"/>
          <w:szCs w:val="22"/>
          <w:lang w:eastAsia="es-HN"/>
        </w:rPr>
        <w:t xml:space="preserve"> </w:t>
      </w:r>
      <w:r w:rsidR="004E4AB8">
        <w:rPr>
          <w:rFonts w:ascii="Arial" w:hAnsi="Arial" w:cs="Arial"/>
          <w:sz w:val="22"/>
          <w:szCs w:val="22"/>
          <w:lang w:eastAsia="es-HN"/>
        </w:rPr>
        <w:t>n</w:t>
      </w:r>
      <w:r w:rsidRPr="00A75E60">
        <w:rPr>
          <w:rFonts w:ascii="Arial" w:hAnsi="Arial" w:cs="Arial"/>
          <w:sz w:val="22"/>
          <w:szCs w:val="22"/>
          <w:lang w:eastAsia="es-HN"/>
        </w:rPr>
        <w:t xml:space="preserve">o existen empresas públicas o privadas para el suministro de electricidad. </w:t>
      </w:r>
      <w:r w:rsidRPr="007A69CB" w:rsidR="007A69CB">
        <w:rPr>
          <w:rFonts w:ascii="Arial" w:hAnsi="Arial" w:cs="Arial"/>
          <w:sz w:val="22"/>
          <w:szCs w:val="22"/>
          <w:lang w:val="es-CO" w:eastAsia="es-HN"/>
        </w:rPr>
        <w:t>No se cuenta con energía eléctrica central. La Alcaldía Municipal proporcionaba energía a través de un motor generador que e</w:t>
      </w:r>
      <w:r w:rsidR="00143C6F">
        <w:rPr>
          <w:rFonts w:ascii="Arial" w:hAnsi="Arial" w:cs="Arial"/>
          <w:sz w:val="22"/>
          <w:szCs w:val="22"/>
          <w:lang w:val="es-CO" w:eastAsia="es-HN"/>
        </w:rPr>
        <w:t>n</w:t>
      </w:r>
      <w:r w:rsidRPr="007A69CB" w:rsidR="007A69CB">
        <w:rPr>
          <w:rFonts w:ascii="Arial" w:hAnsi="Arial" w:cs="Arial"/>
          <w:sz w:val="22"/>
          <w:szCs w:val="22"/>
          <w:lang w:val="es-CO" w:eastAsia="es-HN"/>
        </w:rPr>
        <w:t xml:space="preserve"> estos mome</w:t>
      </w:r>
      <w:r w:rsidR="007A69CB">
        <w:rPr>
          <w:rFonts w:ascii="Arial" w:hAnsi="Arial" w:cs="Arial"/>
          <w:sz w:val="22"/>
          <w:szCs w:val="22"/>
          <w:lang w:val="es-CO" w:eastAsia="es-HN"/>
        </w:rPr>
        <w:t>ntos se encuentra en mal estado, r</w:t>
      </w:r>
      <w:r w:rsidRPr="007A69CB" w:rsidR="007A69CB">
        <w:rPr>
          <w:rFonts w:ascii="Arial" w:hAnsi="Arial" w:cs="Arial"/>
          <w:sz w:val="22"/>
          <w:szCs w:val="22"/>
          <w:lang w:val="es-CO" w:eastAsia="es-HN"/>
        </w:rPr>
        <w:t>azón por la cual</w:t>
      </w:r>
      <w:r w:rsidRPr="007A69CB" w:rsidR="007A69CB">
        <w:rPr>
          <w:rFonts w:ascii="Arial" w:hAnsi="Arial" w:cs="Arial"/>
          <w:sz w:val="22"/>
          <w:szCs w:val="22"/>
          <w:lang w:val="es-ES_tradnl" w:eastAsia="es-HN"/>
        </w:rPr>
        <w:t xml:space="preserve"> </w:t>
      </w:r>
      <w:r w:rsidR="007A69CB">
        <w:rPr>
          <w:rFonts w:ascii="Arial" w:hAnsi="Arial" w:cs="Arial"/>
          <w:sz w:val="22"/>
          <w:szCs w:val="22"/>
          <w:lang w:val="es-ES_tradnl" w:eastAsia="es-HN"/>
        </w:rPr>
        <w:t>l</w:t>
      </w:r>
      <w:r w:rsidRPr="00A75E60">
        <w:rPr>
          <w:rFonts w:ascii="Arial" w:hAnsi="Arial" w:cs="Arial"/>
          <w:sz w:val="22"/>
          <w:szCs w:val="22"/>
          <w:lang w:eastAsia="es-HN"/>
        </w:rPr>
        <w:t>a producción de energía se realiza a nivel residencial</w:t>
      </w:r>
      <w:r w:rsidR="00143C6F">
        <w:rPr>
          <w:rFonts w:ascii="Arial" w:hAnsi="Arial" w:cs="Arial"/>
          <w:sz w:val="22"/>
          <w:szCs w:val="22"/>
          <w:lang w:eastAsia="es-HN"/>
        </w:rPr>
        <w:t xml:space="preserve"> individual</w:t>
      </w:r>
      <w:r w:rsidR="004E4AB8">
        <w:rPr>
          <w:rFonts w:ascii="Arial" w:hAnsi="Arial" w:cs="Arial"/>
          <w:sz w:val="22"/>
          <w:szCs w:val="22"/>
          <w:lang w:eastAsia="es-HN"/>
        </w:rPr>
        <w:t>,</w:t>
      </w:r>
      <w:r w:rsidRPr="00A75E60">
        <w:rPr>
          <w:rFonts w:ascii="Arial" w:hAnsi="Arial" w:cs="Arial"/>
          <w:sz w:val="22"/>
          <w:szCs w:val="22"/>
          <w:lang w:eastAsia="es-HN"/>
        </w:rPr>
        <w:t xml:space="preserve"> con motores alimentados por derivados de petróleo. Para acceder a Brus Laguna se debe movilizar vía fluvial </w:t>
      </w:r>
      <w:r w:rsidRPr="00A75E60" w:rsidR="00143C6F">
        <w:rPr>
          <w:rFonts w:ascii="Arial" w:hAnsi="Arial" w:cs="Arial"/>
          <w:sz w:val="22"/>
          <w:szCs w:val="22"/>
          <w:lang w:eastAsia="es-HN"/>
        </w:rPr>
        <w:t xml:space="preserve">desde Puerto Lempira </w:t>
      </w:r>
      <w:r w:rsidRPr="00A75E60">
        <w:rPr>
          <w:rFonts w:ascii="Arial" w:hAnsi="Arial" w:cs="Arial"/>
          <w:sz w:val="22"/>
          <w:szCs w:val="22"/>
          <w:lang w:eastAsia="es-HN"/>
        </w:rPr>
        <w:t xml:space="preserve">(2 horas), </w:t>
      </w:r>
      <w:r w:rsidRPr="00A75E60">
        <w:rPr>
          <w:rFonts w:ascii="Arial" w:hAnsi="Arial" w:eastAsia="Arial" w:cs="Arial"/>
          <w:sz w:val="22"/>
          <w:szCs w:val="22"/>
        </w:rPr>
        <w:t xml:space="preserve">cabecera cantonal del departamento y único sitio que cuenta con electricidad provista por empresas privadas, a un precio de venta al cliente residencial de </w:t>
      </w:r>
      <w:r w:rsidRPr="00A75E60">
        <w:rPr>
          <w:rFonts w:ascii="Arial" w:hAnsi="Arial" w:eastAsia="Arial" w:cs="Arial"/>
          <w:sz w:val="22"/>
          <w:szCs w:val="22"/>
          <w:lang w:val="es-US"/>
        </w:rPr>
        <w:t>U</w:t>
      </w:r>
      <w:r w:rsidRPr="00A75E60">
        <w:rPr>
          <w:rFonts w:ascii="Arial" w:hAnsi="Arial" w:eastAsia="Arial" w:cs="Arial"/>
          <w:sz w:val="22"/>
          <w:szCs w:val="22"/>
        </w:rPr>
        <w:t>S</w:t>
      </w:r>
      <w:r w:rsidRPr="00A75E60" w:rsidR="001111EF">
        <w:rPr>
          <w:rFonts w:ascii="Arial" w:hAnsi="Arial" w:eastAsia="Arial" w:cs="Arial"/>
          <w:sz w:val="22"/>
          <w:szCs w:val="22"/>
          <w:lang w:val="es-US"/>
        </w:rPr>
        <w:t>¢</w:t>
      </w:r>
      <w:r w:rsidRPr="00A75E60">
        <w:rPr>
          <w:rFonts w:ascii="Arial" w:hAnsi="Arial" w:eastAsia="Arial" w:cs="Arial"/>
          <w:sz w:val="22"/>
          <w:szCs w:val="22"/>
        </w:rPr>
        <w:t>65/kWh</w:t>
      </w:r>
      <w:r w:rsidRPr="00D8133B">
        <w:rPr>
          <w:rStyle w:val="FootnoteReference"/>
          <w:rFonts w:ascii="Arial" w:hAnsi="Arial" w:eastAsia="Arial" w:cs="Arial"/>
          <w:sz w:val="22"/>
          <w:szCs w:val="22"/>
        </w:rPr>
        <w:footnoteReference w:id="7"/>
      </w:r>
      <w:r w:rsidRPr="00A75E60">
        <w:rPr>
          <w:rFonts w:ascii="Arial" w:hAnsi="Arial" w:eastAsia="Arial" w:cs="Arial"/>
          <w:sz w:val="22"/>
          <w:szCs w:val="22"/>
        </w:rPr>
        <w:t>,</w:t>
      </w:r>
      <w:r w:rsidR="00143C6F">
        <w:rPr>
          <w:rFonts w:ascii="Arial" w:hAnsi="Arial" w:eastAsia="Arial" w:cs="Arial"/>
          <w:sz w:val="22"/>
          <w:szCs w:val="22"/>
        </w:rPr>
        <w:t xml:space="preserve"> bastante</w:t>
      </w:r>
      <w:r w:rsidRPr="00A75E60">
        <w:rPr>
          <w:rFonts w:ascii="Arial" w:hAnsi="Arial" w:eastAsia="Arial" w:cs="Arial"/>
          <w:sz w:val="22"/>
          <w:szCs w:val="22"/>
        </w:rPr>
        <w:t xml:space="preserve"> mayor al promedio nacional de </w:t>
      </w:r>
      <w:r w:rsidRPr="00A75E60">
        <w:rPr>
          <w:rFonts w:ascii="Arial" w:hAnsi="Arial" w:eastAsia="Arial" w:cs="Arial"/>
          <w:sz w:val="22"/>
          <w:szCs w:val="22"/>
          <w:lang w:val="es-US"/>
        </w:rPr>
        <w:t>US</w:t>
      </w:r>
      <w:r w:rsidRPr="00A75E60" w:rsidR="001111EF">
        <w:rPr>
          <w:rFonts w:ascii="Arial" w:hAnsi="Arial" w:eastAsia="Arial" w:cs="Arial"/>
          <w:sz w:val="22"/>
          <w:szCs w:val="22"/>
          <w:lang w:val="es-US"/>
        </w:rPr>
        <w:t>¢</w:t>
      </w:r>
      <w:r w:rsidRPr="00A75E60">
        <w:rPr>
          <w:rFonts w:ascii="Arial" w:hAnsi="Arial" w:eastAsia="Arial" w:cs="Arial"/>
          <w:sz w:val="22"/>
          <w:szCs w:val="22"/>
        </w:rPr>
        <w:t xml:space="preserve">14/kWh. Debido a la delicada situación económica, gran parte de su población no puede acceder al servicio, lo cual limita al desarrollo social y de actividades productivas como la pesca. </w:t>
      </w:r>
    </w:p>
    <w:p w:rsidRPr="00D8133B" w:rsidR="00303AE9" w:rsidP="00303AE9" w:rsidRDefault="00303AE9" w14:paraId="023E06D4" w14:textId="725FC6BE">
      <w:pPr>
        <w:pStyle w:val="Paragraph"/>
        <w:tabs>
          <w:tab w:val="num" w:pos="720"/>
        </w:tabs>
        <w:ind w:left="720" w:hanging="720"/>
        <w:rPr>
          <w:rFonts w:ascii="Arial" w:hAnsi="Arial" w:eastAsia="Arial" w:cs="Arial"/>
          <w:sz w:val="22"/>
          <w:szCs w:val="22"/>
        </w:rPr>
      </w:pPr>
      <w:r w:rsidRPr="009967A8">
        <w:rPr>
          <w:rFonts w:ascii="Arial" w:hAnsi="Arial" w:eastAsia="Arial" w:cs="Arial"/>
          <w:sz w:val="22"/>
          <w:szCs w:val="22"/>
          <w:u w:val="single"/>
        </w:rPr>
        <w:lastRenderedPageBreak/>
        <w:t>Islas de la Bahía</w:t>
      </w:r>
      <w:r w:rsidRPr="00D8133B">
        <w:rPr>
          <w:rFonts w:ascii="Arial" w:hAnsi="Arial" w:eastAsia="Arial" w:cs="Arial"/>
          <w:sz w:val="22"/>
          <w:szCs w:val="22"/>
        </w:rPr>
        <w:t xml:space="preserve"> es e</w:t>
      </w:r>
      <w:r w:rsidRPr="00D8133B">
        <w:rPr>
          <w:rFonts w:ascii="Arial" w:hAnsi="Arial" w:cs="Arial"/>
          <w:sz w:val="22"/>
          <w:szCs w:val="22"/>
        </w:rPr>
        <w:t>l segundo lugar del país con elevados precios de electricidad</w:t>
      </w:r>
      <w:r w:rsidRPr="00D8133B">
        <w:rPr>
          <w:rFonts w:ascii="Arial" w:hAnsi="Arial" w:eastAsia="Arial" w:cs="Arial"/>
          <w:sz w:val="22"/>
          <w:szCs w:val="22"/>
        </w:rPr>
        <w:t xml:space="preserve">. El precio promedio de las empresas que suministran electricidad varía entre </w:t>
      </w:r>
      <w:bookmarkStart w:name="_Hlk482047558" w:id="7"/>
      <w:r w:rsidR="001111EF">
        <w:rPr>
          <w:rFonts w:ascii="Arial" w:hAnsi="Arial" w:eastAsia="Arial" w:cs="Arial"/>
          <w:sz w:val="22"/>
          <w:szCs w:val="22"/>
        </w:rPr>
        <w:t>US</w:t>
      </w:r>
      <w:r w:rsidRPr="00D8133B">
        <w:rPr>
          <w:rFonts w:ascii="Arial" w:hAnsi="Arial" w:eastAsia="Arial" w:cs="Arial"/>
          <w:sz w:val="22"/>
          <w:szCs w:val="22"/>
          <w:lang w:val="es-US"/>
        </w:rPr>
        <w:t>¢</w:t>
      </w:r>
      <w:bookmarkEnd w:id="7"/>
      <w:r w:rsidRPr="00D8133B">
        <w:rPr>
          <w:rFonts w:ascii="Arial" w:hAnsi="Arial" w:eastAsia="Arial" w:cs="Arial"/>
          <w:sz w:val="22"/>
          <w:szCs w:val="22"/>
          <w:lang w:val="es-US"/>
        </w:rPr>
        <w:t>40/kWh a US</w:t>
      </w:r>
      <w:r w:rsidRPr="00D8133B" w:rsidR="001111EF">
        <w:rPr>
          <w:rFonts w:ascii="Arial" w:hAnsi="Arial" w:eastAsia="Arial" w:cs="Arial"/>
          <w:sz w:val="22"/>
          <w:szCs w:val="22"/>
          <w:lang w:val="es-US"/>
        </w:rPr>
        <w:t>¢</w:t>
      </w:r>
      <w:r w:rsidRPr="00D8133B">
        <w:rPr>
          <w:rFonts w:ascii="Arial" w:hAnsi="Arial" w:eastAsia="Arial" w:cs="Arial"/>
          <w:sz w:val="22"/>
          <w:szCs w:val="22"/>
          <w:lang w:val="es-US"/>
        </w:rPr>
        <w:t xml:space="preserve">50/kWh. </w:t>
      </w:r>
      <w:r w:rsidRPr="00D8133B">
        <w:rPr>
          <w:rFonts w:ascii="Arial" w:hAnsi="Arial" w:eastAsia="Arial" w:cs="Arial"/>
          <w:sz w:val="22"/>
          <w:szCs w:val="22"/>
        </w:rPr>
        <w:t xml:space="preserve">Las Islas son el principal atractivo turístico del país, debido a su rico ecosistema terrestre y </w:t>
      </w:r>
      <w:r>
        <w:rPr>
          <w:rFonts w:ascii="Arial" w:hAnsi="Arial" w:eastAsia="Arial" w:cs="Arial"/>
          <w:sz w:val="22"/>
          <w:szCs w:val="22"/>
        </w:rPr>
        <w:t xml:space="preserve">su aún </w:t>
      </w:r>
      <w:r w:rsidRPr="00D8133B">
        <w:rPr>
          <w:rFonts w:ascii="Arial" w:hAnsi="Arial" w:eastAsia="Arial" w:cs="Arial"/>
          <w:sz w:val="22"/>
          <w:szCs w:val="22"/>
        </w:rPr>
        <w:t>más importante</w:t>
      </w:r>
      <w:r>
        <w:rPr>
          <w:rFonts w:ascii="Arial" w:hAnsi="Arial" w:eastAsia="Arial" w:cs="Arial"/>
          <w:sz w:val="22"/>
          <w:szCs w:val="22"/>
        </w:rPr>
        <w:t xml:space="preserve"> ecosistema</w:t>
      </w:r>
      <w:r w:rsidRPr="00D8133B">
        <w:rPr>
          <w:rFonts w:ascii="Arial" w:hAnsi="Arial" w:eastAsia="Arial" w:cs="Arial"/>
          <w:sz w:val="22"/>
          <w:szCs w:val="22"/>
        </w:rPr>
        <w:t xml:space="preserve"> marino</w:t>
      </w:r>
      <w:r>
        <w:rPr>
          <w:rFonts w:ascii="Arial" w:hAnsi="Arial" w:eastAsia="Arial" w:cs="Arial"/>
          <w:sz w:val="22"/>
          <w:szCs w:val="22"/>
        </w:rPr>
        <w:t>,</w:t>
      </w:r>
      <w:r w:rsidRPr="00D8133B">
        <w:rPr>
          <w:rFonts w:ascii="Arial" w:hAnsi="Arial" w:eastAsia="Arial" w:cs="Arial"/>
          <w:sz w:val="22"/>
          <w:szCs w:val="22"/>
        </w:rPr>
        <w:t xml:space="preserve"> por formar parte del segundo arrecife de coral más grande del mundo. La población total es </w:t>
      </w:r>
      <w:r>
        <w:rPr>
          <w:rFonts w:ascii="Arial" w:hAnsi="Arial" w:eastAsia="Arial" w:cs="Arial"/>
          <w:sz w:val="22"/>
          <w:szCs w:val="22"/>
        </w:rPr>
        <w:t xml:space="preserve">de </w:t>
      </w:r>
      <w:r w:rsidRPr="00D8133B">
        <w:rPr>
          <w:rFonts w:ascii="Arial" w:hAnsi="Arial" w:eastAsia="Arial" w:cs="Arial"/>
          <w:sz w:val="22"/>
          <w:szCs w:val="22"/>
        </w:rPr>
        <w:t xml:space="preserve">43,575 habitantes y </w:t>
      </w:r>
      <w:proofErr w:type="gramStart"/>
      <w:r w:rsidRPr="00D8133B">
        <w:rPr>
          <w:rFonts w:ascii="Arial" w:hAnsi="Arial" w:eastAsia="Arial" w:cs="Arial"/>
          <w:sz w:val="22"/>
          <w:szCs w:val="22"/>
        </w:rPr>
        <w:t>de acuerdo al</w:t>
      </w:r>
      <w:proofErr w:type="gramEnd"/>
      <w:r w:rsidRPr="00D8133B">
        <w:rPr>
          <w:rFonts w:ascii="Arial" w:hAnsi="Arial" w:eastAsia="Arial" w:cs="Arial"/>
          <w:sz w:val="22"/>
          <w:szCs w:val="22"/>
        </w:rPr>
        <w:t xml:space="preserve"> Censo 2013</w:t>
      </w:r>
      <w:r>
        <w:rPr>
          <w:rFonts w:ascii="Arial" w:hAnsi="Arial" w:eastAsia="Arial" w:cs="Arial"/>
          <w:sz w:val="22"/>
          <w:szCs w:val="22"/>
        </w:rPr>
        <w:t>,</w:t>
      </w:r>
      <w:r w:rsidRPr="00D8133B">
        <w:rPr>
          <w:rFonts w:ascii="Arial" w:hAnsi="Arial" w:eastAsia="Arial" w:cs="Arial"/>
          <w:sz w:val="22"/>
          <w:szCs w:val="22"/>
        </w:rPr>
        <w:t xml:space="preserve"> la zona con más alto crecimiento demográfico a nivel nacional</w:t>
      </w:r>
      <w:r>
        <w:rPr>
          <w:rFonts w:ascii="Arial" w:hAnsi="Arial" w:eastAsia="Arial" w:cs="Arial"/>
          <w:sz w:val="22"/>
          <w:szCs w:val="22"/>
        </w:rPr>
        <w:t>,</w:t>
      </w:r>
      <w:r w:rsidRPr="00D8133B">
        <w:rPr>
          <w:rFonts w:ascii="Arial" w:hAnsi="Arial" w:eastAsia="Arial" w:cs="Arial"/>
          <w:sz w:val="22"/>
          <w:szCs w:val="22"/>
        </w:rPr>
        <w:t xml:space="preserve"> producto de mejores oportunidades laborales </w:t>
      </w:r>
      <w:r>
        <w:rPr>
          <w:rFonts w:ascii="Arial" w:hAnsi="Arial" w:eastAsia="Arial" w:cs="Arial"/>
          <w:sz w:val="22"/>
          <w:szCs w:val="22"/>
        </w:rPr>
        <w:t>y de</w:t>
      </w:r>
      <w:r w:rsidRPr="00D8133B">
        <w:rPr>
          <w:rFonts w:ascii="Arial" w:hAnsi="Arial" w:eastAsia="Arial" w:cs="Arial"/>
          <w:sz w:val="22"/>
          <w:szCs w:val="22"/>
        </w:rPr>
        <w:t xml:space="preserve"> una mejor situación de seguridad. Los elevados costos y calidad en el suministro eléctrico afectan al desarrollo turístico de las Islas como lo reporta el </w:t>
      </w:r>
      <w:r w:rsidR="00A97DE8">
        <w:rPr>
          <w:rFonts w:ascii="Arial" w:hAnsi="Arial" w:eastAsia="Arial" w:cs="Arial"/>
          <w:sz w:val="22"/>
          <w:szCs w:val="22"/>
        </w:rPr>
        <w:t>i</w:t>
      </w:r>
      <w:r w:rsidRPr="00D8133B">
        <w:rPr>
          <w:rFonts w:ascii="Arial" w:hAnsi="Arial" w:eastAsia="Arial" w:cs="Arial"/>
          <w:sz w:val="22"/>
          <w:szCs w:val="22"/>
        </w:rPr>
        <w:t>nforme de diagnóstico del sector turístico en Honduras</w:t>
      </w:r>
      <w:r>
        <w:rPr>
          <w:rStyle w:val="FootnoteReference"/>
          <w:rFonts w:ascii="Arial" w:hAnsi="Arial" w:eastAsia="Arial" w:cs="Arial"/>
          <w:sz w:val="22"/>
          <w:szCs w:val="22"/>
        </w:rPr>
        <w:footnoteReference w:id="8"/>
      </w:r>
      <w:r>
        <w:rPr>
          <w:rFonts w:ascii="Arial" w:hAnsi="Arial" w:eastAsia="Arial" w:cs="Arial"/>
          <w:sz w:val="22"/>
          <w:szCs w:val="22"/>
        </w:rPr>
        <w:t>;</w:t>
      </w:r>
      <w:r w:rsidRPr="00D8133B">
        <w:rPr>
          <w:rFonts w:ascii="Arial" w:hAnsi="Arial" w:eastAsia="Arial" w:cs="Arial"/>
          <w:sz w:val="22"/>
          <w:szCs w:val="22"/>
        </w:rPr>
        <w:t xml:space="preserve"> </w:t>
      </w:r>
      <w:r w:rsidR="00143C6F">
        <w:rPr>
          <w:rFonts w:ascii="Arial" w:hAnsi="Arial" w:eastAsia="Arial" w:cs="Arial"/>
          <w:sz w:val="22"/>
          <w:szCs w:val="22"/>
        </w:rPr>
        <w:t>impactan en</w:t>
      </w:r>
      <w:r w:rsidRPr="00D8133B">
        <w:rPr>
          <w:rFonts w:ascii="Arial" w:hAnsi="Arial" w:eastAsia="Arial" w:cs="Arial"/>
          <w:sz w:val="22"/>
          <w:szCs w:val="22"/>
        </w:rPr>
        <w:t xml:space="preserve"> servicios básicos como el suministro de agua potable y tratamiento de aguas residuales</w:t>
      </w:r>
      <w:r>
        <w:rPr>
          <w:rFonts w:ascii="Arial" w:hAnsi="Arial" w:eastAsia="Arial" w:cs="Arial"/>
          <w:sz w:val="22"/>
          <w:szCs w:val="22"/>
        </w:rPr>
        <w:t>,</w:t>
      </w:r>
      <w:r w:rsidRPr="00D8133B">
        <w:rPr>
          <w:rFonts w:ascii="Arial" w:hAnsi="Arial" w:eastAsia="Arial" w:cs="Arial"/>
          <w:sz w:val="22"/>
          <w:szCs w:val="22"/>
        </w:rPr>
        <w:t xml:space="preserve"> </w:t>
      </w:r>
      <w:r w:rsidR="00143C6F">
        <w:rPr>
          <w:rFonts w:ascii="Arial" w:hAnsi="Arial" w:eastAsia="Arial" w:cs="Arial"/>
          <w:sz w:val="22"/>
          <w:szCs w:val="22"/>
        </w:rPr>
        <w:t>los cuales</w:t>
      </w:r>
      <w:r w:rsidRPr="00D8133B">
        <w:rPr>
          <w:rFonts w:ascii="Arial" w:hAnsi="Arial" w:eastAsia="Arial" w:cs="Arial"/>
          <w:sz w:val="22"/>
          <w:szCs w:val="22"/>
        </w:rPr>
        <w:t xml:space="preserve"> emplea</w:t>
      </w:r>
      <w:r>
        <w:rPr>
          <w:rFonts w:ascii="Arial" w:hAnsi="Arial" w:eastAsia="Arial" w:cs="Arial"/>
          <w:sz w:val="22"/>
          <w:szCs w:val="22"/>
        </w:rPr>
        <w:t>n</w:t>
      </w:r>
      <w:r w:rsidRPr="00D8133B">
        <w:rPr>
          <w:rFonts w:ascii="Arial" w:hAnsi="Arial" w:eastAsia="Arial" w:cs="Arial"/>
          <w:sz w:val="22"/>
          <w:szCs w:val="22"/>
        </w:rPr>
        <w:t xml:space="preserve"> energía para su procesamiento. Los elevados costos de energía en la potabilización y tratamiento de aguas residuales son afrontados por municipalidades que han reducido o suspendido la operación de sus plantas de tratamiento, afectando directamente a la población, cuerpos de agua y al arrecife de cor</w:t>
      </w:r>
      <w:r>
        <w:rPr>
          <w:rFonts w:ascii="Arial" w:hAnsi="Arial" w:eastAsia="Arial" w:cs="Arial"/>
          <w:sz w:val="22"/>
          <w:szCs w:val="22"/>
        </w:rPr>
        <w:t>al,</w:t>
      </w:r>
      <w:r w:rsidRPr="00D8133B">
        <w:rPr>
          <w:rFonts w:ascii="Arial" w:hAnsi="Arial" w:eastAsia="Arial" w:cs="Arial"/>
          <w:sz w:val="22"/>
          <w:szCs w:val="22"/>
        </w:rPr>
        <w:t xml:space="preserve"> principal atractivo turístico de Islas de la Bahía.</w:t>
      </w:r>
    </w:p>
    <w:p w:rsidRPr="00C57975" w:rsidR="00C57975" w:rsidP="00C57975" w:rsidRDefault="00C57975" w14:paraId="4D4EAC08" w14:textId="2EB10BA9">
      <w:pPr>
        <w:pStyle w:val="Paragraph"/>
        <w:tabs>
          <w:tab w:val="num" w:pos="720"/>
        </w:tabs>
        <w:ind w:left="720" w:hanging="720"/>
        <w:rPr>
          <w:rFonts w:ascii="Arial" w:hAnsi="Arial" w:eastAsia="Arial" w:cs="Arial"/>
          <w:sz w:val="22"/>
          <w:szCs w:val="22"/>
          <w:lang w:val="es-CO"/>
        </w:rPr>
      </w:pPr>
      <w:r>
        <w:rPr>
          <w:rFonts w:ascii="Arial" w:hAnsi="Arial" w:eastAsia="Arial" w:cs="Arial"/>
          <w:sz w:val="22"/>
          <w:szCs w:val="22"/>
        </w:rPr>
        <w:t>La Isla Guanaja, es l</w:t>
      </w:r>
      <w:r w:rsidR="00973F0D">
        <w:rPr>
          <w:rFonts w:ascii="Arial" w:hAnsi="Arial" w:eastAsia="Arial" w:cs="Arial"/>
          <w:sz w:val="22"/>
          <w:szCs w:val="22"/>
        </w:rPr>
        <w:t xml:space="preserve">a </w:t>
      </w:r>
      <w:r w:rsidRPr="00973F0D" w:rsidR="00303AE9">
        <w:rPr>
          <w:rFonts w:ascii="Arial" w:hAnsi="Arial" w:eastAsia="Arial" w:cs="Arial"/>
          <w:sz w:val="22"/>
          <w:szCs w:val="22"/>
        </w:rPr>
        <w:t>segunda isla más poblada de Islas de la Bahía, con 5</w:t>
      </w:r>
      <w:r w:rsidR="00143C6F">
        <w:rPr>
          <w:rFonts w:ascii="Arial" w:hAnsi="Arial" w:eastAsia="Arial" w:cs="Arial"/>
          <w:sz w:val="22"/>
          <w:szCs w:val="22"/>
        </w:rPr>
        <w:t>.4</w:t>
      </w:r>
      <w:r w:rsidRPr="00973F0D" w:rsidR="00303AE9">
        <w:rPr>
          <w:rFonts w:ascii="Arial" w:hAnsi="Arial" w:eastAsia="Arial" w:cs="Arial"/>
          <w:sz w:val="22"/>
          <w:szCs w:val="22"/>
        </w:rPr>
        <w:t xml:space="preserve">45 habitantes, de los cuales el 63% son </w:t>
      </w:r>
      <w:r w:rsidR="00A32858">
        <w:rPr>
          <w:rFonts w:ascii="Arial" w:hAnsi="Arial" w:eastAsia="Arial" w:cs="Arial"/>
          <w:sz w:val="22"/>
          <w:szCs w:val="22"/>
        </w:rPr>
        <w:t>afrodescendientes</w:t>
      </w:r>
      <w:r w:rsidRPr="00973F0D" w:rsidR="00303AE9">
        <w:rPr>
          <w:rFonts w:ascii="Arial" w:hAnsi="Arial" w:eastAsia="Arial" w:cs="Arial"/>
          <w:sz w:val="22"/>
          <w:szCs w:val="22"/>
        </w:rPr>
        <w:t xml:space="preserve"> de habla inglesa. Concentra gran parte de la población, con limitados ingresos económicos, en el cayo </w:t>
      </w:r>
      <w:proofErr w:type="spellStart"/>
      <w:r w:rsidRPr="00973F0D" w:rsidR="00303AE9">
        <w:rPr>
          <w:rFonts w:ascii="Arial" w:hAnsi="Arial" w:eastAsia="Arial" w:cs="Arial"/>
          <w:sz w:val="22"/>
          <w:szCs w:val="22"/>
        </w:rPr>
        <w:t>Bonaca</w:t>
      </w:r>
      <w:proofErr w:type="spellEnd"/>
      <w:r w:rsidRPr="00973F0D" w:rsidR="00303AE9">
        <w:rPr>
          <w:rFonts w:ascii="Arial" w:hAnsi="Arial" w:eastAsia="Arial" w:cs="Arial"/>
          <w:sz w:val="22"/>
          <w:szCs w:val="22"/>
        </w:rPr>
        <w:t>. Guanaja tiene una cobertura eléctrica de 79%.</w:t>
      </w:r>
      <w:r w:rsidRPr="00C57975">
        <w:rPr>
          <w:rFonts w:eastAsiaTheme="minorHAnsi"/>
          <w:color w:val="000000"/>
          <w:sz w:val="22"/>
          <w:szCs w:val="23"/>
          <w:lang w:val="es-CO"/>
        </w:rPr>
        <w:t xml:space="preserve"> </w:t>
      </w:r>
      <w:r w:rsidRPr="00C57975">
        <w:rPr>
          <w:rFonts w:ascii="Arial" w:hAnsi="Arial" w:eastAsia="Arial" w:cs="Arial"/>
          <w:sz w:val="22"/>
          <w:szCs w:val="22"/>
          <w:lang w:val="es-CO"/>
        </w:rPr>
        <w:t xml:space="preserve">El servicio de energía eléctrica es proporcionado por la empresa </w:t>
      </w:r>
      <w:r w:rsidRPr="00696296">
        <w:rPr>
          <w:rFonts w:ascii="Arial" w:hAnsi="Arial" w:eastAsia="Arial" w:cs="Arial"/>
          <w:sz w:val="22"/>
          <w:szCs w:val="22"/>
          <w:lang w:val="es-CO"/>
        </w:rPr>
        <w:t xml:space="preserve">privada </w:t>
      </w:r>
      <w:proofErr w:type="spellStart"/>
      <w:r w:rsidRPr="00696296">
        <w:rPr>
          <w:rFonts w:ascii="Arial" w:hAnsi="Arial" w:eastAsia="Arial" w:cs="Arial"/>
          <w:bCs/>
          <w:sz w:val="22"/>
          <w:szCs w:val="22"/>
          <w:lang w:val="es-CO"/>
        </w:rPr>
        <w:t>Bonnaca</w:t>
      </w:r>
      <w:proofErr w:type="spellEnd"/>
      <w:r w:rsidRPr="00696296">
        <w:rPr>
          <w:rFonts w:ascii="Arial" w:hAnsi="Arial" w:eastAsia="Arial" w:cs="Arial"/>
          <w:bCs/>
          <w:sz w:val="22"/>
          <w:szCs w:val="22"/>
          <w:lang w:val="es-CO"/>
        </w:rPr>
        <w:t xml:space="preserve"> Electric Company </w:t>
      </w:r>
      <w:r w:rsidRPr="00696296">
        <w:rPr>
          <w:rFonts w:ascii="Arial" w:hAnsi="Arial" w:eastAsia="Arial" w:cs="Arial"/>
          <w:sz w:val="22"/>
          <w:szCs w:val="22"/>
          <w:lang w:val="es-CO"/>
        </w:rPr>
        <w:t>(</w:t>
      </w:r>
      <w:proofErr w:type="spellStart"/>
      <w:r w:rsidRPr="00696296">
        <w:rPr>
          <w:rFonts w:ascii="Arial" w:hAnsi="Arial" w:eastAsia="Arial" w:cs="Arial"/>
          <w:sz w:val="22"/>
          <w:szCs w:val="22"/>
          <w:lang w:val="es-CO"/>
        </w:rPr>
        <w:t>Belco</w:t>
      </w:r>
      <w:proofErr w:type="spellEnd"/>
      <w:r w:rsidRPr="00696296">
        <w:rPr>
          <w:rFonts w:ascii="Arial" w:hAnsi="Arial" w:eastAsia="Arial" w:cs="Arial"/>
          <w:sz w:val="22"/>
          <w:szCs w:val="22"/>
          <w:lang w:val="es-CO"/>
        </w:rPr>
        <w:t>). La empresa cobra 11</w:t>
      </w:r>
      <w:r w:rsidR="00143C6F">
        <w:rPr>
          <w:rFonts w:ascii="Arial" w:hAnsi="Arial" w:eastAsia="Arial" w:cs="Arial"/>
          <w:sz w:val="22"/>
          <w:szCs w:val="22"/>
          <w:lang w:val="es-CO"/>
        </w:rPr>
        <w:t>,</w:t>
      </w:r>
      <w:r w:rsidRPr="00696296">
        <w:rPr>
          <w:rFonts w:ascii="Arial" w:hAnsi="Arial" w:eastAsia="Arial" w:cs="Arial"/>
          <w:sz w:val="22"/>
          <w:szCs w:val="22"/>
          <w:lang w:val="es-CO"/>
        </w:rPr>
        <w:t>00 Lempiras el k</w:t>
      </w:r>
      <w:r w:rsidRPr="00C57975">
        <w:rPr>
          <w:rFonts w:ascii="Arial" w:hAnsi="Arial" w:eastAsia="Arial" w:cs="Arial"/>
          <w:sz w:val="22"/>
          <w:szCs w:val="22"/>
          <w:lang w:val="es-CO"/>
        </w:rPr>
        <w:t>ilovatio, 5 veces más que en tierra continental</w:t>
      </w:r>
      <w:r w:rsidR="00A97DE8">
        <w:rPr>
          <w:rFonts w:ascii="Arial" w:hAnsi="Arial" w:eastAsia="Arial" w:cs="Arial"/>
          <w:sz w:val="22"/>
          <w:szCs w:val="22"/>
          <w:lang w:val="es-CO"/>
        </w:rPr>
        <w:t>,</w:t>
      </w:r>
      <w:r w:rsidRPr="00C57975">
        <w:rPr>
          <w:rFonts w:ascii="Arial" w:hAnsi="Arial" w:eastAsia="Arial" w:cs="Arial"/>
          <w:sz w:val="22"/>
          <w:szCs w:val="22"/>
          <w:lang w:val="es-CO"/>
        </w:rPr>
        <w:t xml:space="preserve"> a pesar de que el combustible está subsidiado. </w:t>
      </w:r>
    </w:p>
    <w:p w:rsidRPr="00973F0D" w:rsidR="00303AE9" w:rsidP="00A97DE8" w:rsidRDefault="00303AE9" w14:paraId="2098B34E" w14:textId="34F8BFD9">
      <w:pPr>
        <w:pStyle w:val="Paragraph"/>
        <w:tabs>
          <w:tab w:val="num" w:pos="720"/>
          <w:tab w:val="left" w:pos="2700"/>
        </w:tabs>
        <w:ind w:left="720" w:hanging="720"/>
        <w:rPr>
          <w:rFonts w:ascii="Arial" w:hAnsi="Arial" w:eastAsia="Arial" w:cs="Arial"/>
          <w:sz w:val="22"/>
          <w:szCs w:val="22"/>
        </w:rPr>
      </w:pPr>
      <w:r w:rsidRPr="00973F0D">
        <w:rPr>
          <w:rFonts w:ascii="Arial" w:hAnsi="Arial" w:eastAsia="Arial" w:cs="Arial"/>
          <w:sz w:val="22"/>
          <w:szCs w:val="22"/>
        </w:rPr>
        <w:t>La principal actividad económica de la isla es la pesca, seguida del comercio, construcción y finalmente el turismo.</w:t>
      </w:r>
      <w:r w:rsidRPr="00973F0D" w:rsidR="00973F0D">
        <w:rPr>
          <w:rFonts w:eastAsiaTheme="minorHAnsi"/>
          <w:color w:val="000000"/>
          <w:sz w:val="22"/>
          <w:szCs w:val="22"/>
          <w:lang w:val="es-CO"/>
        </w:rPr>
        <w:t xml:space="preserve"> </w:t>
      </w:r>
      <w:r w:rsidRPr="00973F0D" w:rsidR="00973F0D">
        <w:rPr>
          <w:rFonts w:ascii="Arial" w:hAnsi="Arial" w:eastAsia="Arial" w:cs="Arial"/>
          <w:sz w:val="22"/>
          <w:szCs w:val="22"/>
          <w:lang w:val="es-CO"/>
        </w:rPr>
        <w:t xml:space="preserve">Se dedican también al comercio de productos alimenticios y todo tipo de mercadería que transportan desde tierra firme. Actualmente la pesca está siendo rápidamente reemplazada por el turismo como la industria más importante. La mayoría de los hombres </w:t>
      </w:r>
      <w:r w:rsidRPr="00973F0D" w:rsidR="00143C6F">
        <w:rPr>
          <w:rFonts w:ascii="Arial" w:hAnsi="Arial" w:eastAsia="Arial" w:cs="Arial"/>
          <w:sz w:val="22"/>
          <w:szCs w:val="22"/>
          <w:lang w:val="es-CO"/>
        </w:rPr>
        <w:t xml:space="preserve">en capacidad para trabajar </w:t>
      </w:r>
      <w:r w:rsidR="00143C6F">
        <w:rPr>
          <w:rFonts w:ascii="Arial" w:hAnsi="Arial" w:eastAsia="Arial" w:cs="Arial"/>
          <w:sz w:val="22"/>
          <w:szCs w:val="22"/>
          <w:lang w:val="es-CO"/>
        </w:rPr>
        <w:t>de la Comunidad de Guanaja</w:t>
      </w:r>
      <w:r w:rsidRPr="00973F0D" w:rsidR="00973F0D">
        <w:rPr>
          <w:rFonts w:ascii="Arial" w:hAnsi="Arial" w:eastAsia="Arial" w:cs="Arial"/>
          <w:sz w:val="22"/>
          <w:szCs w:val="22"/>
          <w:lang w:val="es-CO"/>
        </w:rPr>
        <w:t xml:space="preserve"> se dedican a la pesca. Una minoría se ded</w:t>
      </w:r>
      <w:r w:rsidR="00143C6F">
        <w:rPr>
          <w:rFonts w:ascii="Arial" w:hAnsi="Arial" w:eastAsia="Arial" w:cs="Arial"/>
          <w:sz w:val="22"/>
          <w:szCs w:val="22"/>
          <w:lang w:val="es-CO"/>
        </w:rPr>
        <w:t xml:space="preserve">ica a otras ocupaciones como: </w:t>
      </w:r>
      <w:r w:rsidRPr="00973F0D" w:rsidR="00973F0D">
        <w:rPr>
          <w:rFonts w:ascii="Arial" w:hAnsi="Arial" w:eastAsia="Arial" w:cs="Arial"/>
          <w:sz w:val="22"/>
          <w:szCs w:val="22"/>
          <w:lang w:val="es-CO"/>
        </w:rPr>
        <w:t>la agricultura y crianza de cierto tipo de ganado vacuno, equino y porcino, albañiles, carpinteros, fontaneros, mecánicos</w:t>
      </w:r>
      <w:r w:rsidR="00143C6F">
        <w:rPr>
          <w:rFonts w:ascii="Arial" w:hAnsi="Arial" w:eastAsia="Arial" w:cs="Arial"/>
          <w:sz w:val="22"/>
          <w:szCs w:val="22"/>
          <w:lang w:val="es-CO"/>
        </w:rPr>
        <w:t>.</w:t>
      </w:r>
      <w:r w:rsidRPr="00973F0D">
        <w:rPr>
          <w:rFonts w:ascii="Arial" w:hAnsi="Arial" w:eastAsia="Arial" w:cs="Arial"/>
          <w:sz w:val="22"/>
          <w:szCs w:val="22"/>
        </w:rPr>
        <w:t xml:space="preserve"> Es la isla con menor actividad turística, pero con elevado potencial de desarrollo debido a su escenario paisajístico y recursos naturales disponibles. La isla fue severamente afectada por el huracán Mitch</w:t>
      </w:r>
      <w:r w:rsidR="00143C6F">
        <w:rPr>
          <w:rFonts w:ascii="Arial" w:hAnsi="Arial" w:eastAsia="Arial" w:cs="Arial"/>
          <w:sz w:val="22"/>
          <w:szCs w:val="22"/>
        </w:rPr>
        <w:t xml:space="preserve"> en 1998</w:t>
      </w:r>
      <w:r w:rsidRPr="00973F0D">
        <w:rPr>
          <w:rFonts w:ascii="Arial" w:hAnsi="Arial" w:eastAsia="Arial" w:cs="Arial"/>
          <w:sz w:val="22"/>
          <w:szCs w:val="22"/>
        </w:rPr>
        <w:t>, lo cual deprimió su desarrollo económico. Guanaja es la única isla que posee fuentes de agua dulce, pero tiene serios problemas en su distribución</w:t>
      </w:r>
      <w:r w:rsidR="00A97DE8">
        <w:rPr>
          <w:rFonts w:ascii="Arial" w:hAnsi="Arial" w:eastAsia="Arial" w:cs="Arial"/>
          <w:sz w:val="22"/>
          <w:szCs w:val="22"/>
        </w:rPr>
        <w:t>,</w:t>
      </w:r>
      <w:r w:rsidRPr="00973F0D">
        <w:rPr>
          <w:rFonts w:ascii="Arial" w:hAnsi="Arial" w:eastAsia="Arial" w:cs="Arial"/>
          <w:sz w:val="22"/>
          <w:szCs w:val="22"/>
        </w:rPr>
        <w:t xml:space="preserve"> al igual que en el tratamiento de aguas residuales por los elevados costos de energía. La isla reporta elevados costos de suministro eléctrico y </w:t>
      </w:r>
      <w:bookmarkStart w:name="_Hlk525080065" w:id="8"/>
      <w:r w:rsidR="00CA5EE7">
        <w:rPr>
          <w:rFonts w:ascii="Arial" w:hAnsi="Arial" w:eastAsia="Arial" w:cs="Arial"/>
          <w:sz w:val="22"/>
          <w:szCs w:val="22"/>
        </w:rPr>
        <w:t>cuenta con</w:t>
      </w:r>
      <w:r w:rsidRPr="00973F0D" w:rsidR="00CA5EE7">
        <w:rPr>
          <w:rFonts w:ascii="Arial" w:hAnsi="Arial" w:eastAsia="Arial" w:cs="Arial"/>
          <w:sz w:val="22"/>
          <w:szCs w:val="22"/>
        </w:rPr>
        <w:t xml:space="preserve"> </w:t>
      </w:r>
      <w:r w:rsidRPr="00973F0D">
        <w:rPr>
          <w:rFonts w:ascii="Arial" w:hAnsi="Arial" w:eastAsia="Arial" w:cs="Arial"/>
          <w:sz w:val="22"/>
          <w:szCs w:val="22"/>
        </w:rPr>
        <w:t>un operador privado que produce electricidad con motores a combustión a diésel</w:t>
      </w:r>
      <w:bookmarkEnd w:id="8"/>
      <w:r w:rsidRPr="00973F0D">
        <w:rPr>
          <w:rFonts w:ascii="Arial" w:hAnsi="Arial" w:eastAsia="Arial" w:cs="Arial"/>
          <w:sz w:val="22"/>
          <w:szCs w:val="22"/>
        </w:rPr>
        <w:t>.</w:t>
      </w:r>
    </w:p>
    <w:p w:rsidRPr="002563F7" w:rsidR="002563F7" w:rsidP="00303AE9" w:rsidRDefault="00303AE9" w14:paraId="27D056BE" w14:textId="773FC50C">
      <w:pPr>
        <w:pStyle w:val="Paragraph"/>
        <w:tabs>
          <w:tab w:val="num" w:pos="720"/>
        </w:tabs>
        <w:ind w:left="720" w:hanging="720"/>
        <w:rPr>
          <w:rFonts w:ascii="Arial" w:hAnsi="Arial" w:cs="Arial"/>
          <w:sz w:val="22"/>
          <w:szCs w:val="22"/>
        </w:rPr>
      </w:pPr>
      <w:r w:rsidRPr="009967A8">
        <w:rPr>
          <w:rFonts w:ascii="Arial" w:hAnsi="Arial" w:eastAsia="Arial" w:cs="Arial"/>
          <w:sz w:val="22"/>
          <w:szCs w:val="22"/>
          <w:u w:val="single"/>
        </w:rPr>
        <w:t>Departamento de Choluteca</w:t>
      </w:r>
      <w:r w:rsidR="002563F7">
        <w:rPr>
          <w:rFonts w:ascii="Arial" w:hAnsi="Arial" w:eastAsia="Arial" w:cs="Arial"/>
          <w:sz w:val="22"/>
          <w:szCs w:val="22"/>
        </w:rPr>
        <w:t>. Lo</w:t>
      </w:r>
      <w:r>
        <w:rPr>
          <w:rFonts w:ascii="Arial" w:hAnsi="Arial" w:eastAsia="Arial" w:cs="Arial"/>
          <w:sz w:val="22"/>
          <w:szCs w:val="22"/>
        </w:rPr>
        <w:t>s Municipios de El Corpus (24</w:t>
      </w:r>
      <w:r w:rsidR="006F677E">
        <w:rPr>
          <w:rFonts w:ascii="Arial" w:hAnsi="Arial" w:eastAsia="Arial" w:cs="Arial"/>
          <w:sz w:val="22"/>
          <w:szCs w:val="22"/>
        </w:rPr>
        <w:t>.</w:t>
      </w:r>
      <w:r>
        <w:rPr>
          <w:rFonts w:ascii="Arial" w:hAnsi="Arial" w:eastAsia="Arial" w:cs="Arial"/>
          <w:sz w:val="22"/>
          <w:szCs w:val="22"/>
        </w:rPr>
        <w:t>645 hab.) y Concepción de María (26</w:t>
      </w:r>
      <w:r w:rsidR="006F677E">
        <w:rPr>
          <w:rFonts w:ascii="Arial" w:hAnsi="Arial" w:eastAsia="Arial" w:cs="Arial"/>
          <w:sz w:val="22"/>
          <w:szCs w:val="22"/>
        </w:rPr>
        <w:t>.</w:t>
      </w:r>
      <w:r>
        <w:rPr>
          <w:rFonts w:ascii="Arial" w:hAnsi="Arial" w:eastAsia="Arial" w:cs="Arial"/>
          <w:sz w:val="22"/>
          <w:szCs w:val="22"/>
        </w:rPr>
        <w:t xml:space="preserve">874 hab.) son caracterizados como rurales, teniendo asentamientos </w:t>
      </w:r>
      <w:r w:rsidR="00143C6F">
        <w:rPr>
          <w:rFonts w:ascii="Arial" w:hAnsi="Arial" w:eastAsia="Arial" w:cs="Arial"/>
          <w:sz w:val="22"/>
          <w:szCs w:val="22"/>
        </w:rPr>
        <w:t xml:space="preserve">muy </w:t>
      </w:r>
      <w:r>
        <w:rPr>
          <w:rFonts w:ascii="Arial" w:hAnsi="Arial" w:eastAsia="Arial" w:cs="Arial"/>
          <w:sz w:val="22"/>
          <w:szCs w:val="22"/>
        </w:rPr>
        <w:t xml:space="preserve">dispersos geográficamente. Los municipios forman parte del corredor seco. La principal actividad económica es la agricultura. </w:t>
      </w:r>
      <w:r w:rsidR="002563F7">
        <w:rPr>
          <w:rFonts w:ascii="Arial" w:hAnsi="Arial" w:eastAsia="Arial" w:cs="Arial"/>
          <w:sz w:val="22"/>
          <w:szCs w:val="22"/>
        </w:rPr>
        <w:t xml:space="preserve">Son municipios que reportan elevados niveles de pobreza y migración. </w:t>
      </w:r>
      <w:r w:rsidR="00A97DE8">
        <w:rPr>
          <w:rFonts w:ascii="Arial" w:hAnsi="Arial" w:eastAsia="Arial" w:cs="Arial"/>
          <w:sz w:val="22"/>
          <w:szCs w:val="22"/>
        </w:rPr>
        <w:t>A pesar de que</w:t>
      </w:r>
      <w:r w:rsidR="002563F7">
        <w:rPr>
          <w:rFonts w:ascii="Arial" w:hAnsi="Arial" w:eastAsia="Arial" w:cs="Arial"/>
          <w:sz w:val="22"/>
          <w:szCs w:val="22"/>
        </w:rPr>
        <w:t xml:space="preserve"> el SIN llega al departamento, las redes de distribución no se han extendido debido </w:t>
      </w:r>
      <w:r w:rsidR="00930E4D">
        <w:rPr>
          <w:rFonts w:ascii="Arial" w:hAnsi="Arial" w:eastAsia="Arial" w:cs="Arial"/>
          <w:sz w:val="22"/>
          <w:szCs w:val="22"/>
        </w:rPr>
        <w:t xml:space="preserve">a su alto </w:t>
      </w:r>
      <w:r w:rsidR="00930E4D">
        <w:rPr>
          <w:rFonts w:ascii="Arial" w:hAnsi="Arial" w:eastAsia="Arial" w:cs="Arial"/>
          <w:sz w:val="22"/>
          <w:szCs w:val="22"/>
        </w:rPr>
        <w:lastRenderedPageBreak/>
        <w:t xml:space="preserve">costo por </w:t>
      </w:r>
      <w:r w:rsidR="002563F7">
        <w:rPr>
          <w:rFonts w:ascii="Arial" w:hAnsi="Arial" w:eastAsia="Arial" w:cs="Arial"/>
          <w:sz w:val="22"/>
          <w:szCs w:val="22"/>
        </w:rPr>
        <w:t>la gran dispersión de caseríos y viviendas. La cobertura eléctrica del Municipio de El Corpus es 41% y de Concepción de María es 43%</w:t>
      </w:r>
      <w:r w:rsidRPr="005867A0" w:rsidR="002563F7">
        <w:rPr>
          <w:rFonts w:ascii="Arial" w:hAnsi="Arial" w:cs="Arial"/>
          <w:sz w:val="22"/>
          <w:szCs w:val="22"/>
        </w:rPr>
        <w:t>.</w:t>
      </w:r>
    </w:p>
    <w:p w:rsidRPr="00B577E4" w:rsidR="00D71198" w:rsidP="002563F7" w:rsidRDefault="002563F7" w14:paraId="408AE633" w14:textId="7019F1A1">
      <w:pPr>
        <w:pStyle w:val="Paragraph"/>
        <w:tabs>
          <w:tab w:val="num" w:pos="720"/>
        </w:tabs>
        <w:ind w:left="720" w:hanging="720"/>
        <w:rPr>
          <w:rFonts w:ascii="Arial" w:hAnsi="Arial" w:cs="Arial"/>
          <w:sz w:val="22"/>
          <w:szCs w:val="22"/>
        </w:rPr>
      </w:pPr>
      <w:r w:rsidRPr="002563F7">
        <w:rPr>
          <w:rFonts w:ascii="Arial" w:hAnsi="Arial" w:eastAsia="Arial" w:cs="Arial"/>
          <w:sz w:val="22"/>
          <w:szCs w:val="22"/>
        </w:rPr>
        <w:t>El</w:t>
      </w:r>
      <w:r w:rsidRPr="002563F7">
        <w:rPr>
          <w:rFonts w:ascii="Arial" w:hAnsi="Arial" w:cs="Arial"/>
          <w:sz w:val="22"/>
          <w:szCs w:val="22"/>
          <w:lang w:val="es-ES_tradnl"/>
        </w:rPr>
        <w:t xml:space="preserve"> Corpus cuenta con una extensión territorial de 233</w:t>
      </w:r>
      <w:r w:rsidR="00B97181">
        <w:rPr>
          <w:rFonts w:ascii="Arial" w:hAnsi="Arial" w:cs="Arial"/>
          <w:sz w:val="22"/>
          <w:szCs w:val="22"/>
          <w:lang w:val="es-ES_tradnl"/>
        </w:rPr>
        <w:t>,</w:t>
      </w:r>
      <w:r w:rsidRPr="002563F7">
        <w:rPr>
          <w:rFonts w:ascii="Arial" w:hAnsi="Arial" w:cs="Arial"/>
          <w:sz w:val="22"/>
          <w:szCs w:val="22"/>
          <w:lang w:val="es-ES_tradnl"/>
        </w:rPr>
        <w:t>9 km</w:t>
      </w:r>
      <w:r w:rsidRPr="002563F7">
        <w:rPr>
          <w:rFonts w:ascii="Arial" w:hAnsi="Arial" w:cs="Arial"/>
          <w:sz w:val="22"/>
          <w:szCs w:val="22"/>
          <w:vertAlign w:val="superscript"/>
          <w:lang w:val="es-ES_tradnl"/>
        </w:rPr>
        <w:t>2</w:t>
      </w:r>
      <w:r w:rsidRPr="002563F7">
        <w:rPr>
          <w:rFonts w:ascii="Arial" w:hAnsi="Arial" w:cs="Arial"/>
          <w:sz w:val="22"/>
          <w:szCs w:val="22"/>
          <w:lang w:val="es-ES_tradnl"/>
        </w:rPr>
        <w:t xml:space="preserve"> y una población aproximada de 21</w:t>
      </w:r>
      <w:r w:rsidR="00B97181">
        <w:rPr>
          <w:rFonts w:ascii="Arial" w:hAnsi="Arial" w:cs="Arial"/>
          <w:sz w:val="22"/>
          <w:szCs w:val="22"/>
          <w:lang w:val="es-ES_tradnl"/>
        </w:rPr>
        <w:t>.</w:t>
      </w:r>
      <w:r w:rsidRPr="002563F7">
        <w:rPr>
          <w:rFonts w:ascii="Arial" w:hAnsi="Arial" w:cs="Arial"/>
          <w:sz w:val="22"/>
          <w:szCs w:val="22"/>
          <w:lang w:val="es-ES_tradnl"/>
        </w:rPr>
        <w:t xml:space="preserve">874 habitantes. Su economía se basa en la actividad minera, especialmente aurífera, así como en la actividad agrícola, en donde se destacan las moliendas dedicadas a la producción de dulce de caña, comúnmente conocido como dulce de rapadura. </w:t>
      </w:r>
      <w:r w:rsidRPr="002563F7">
        <w:rPr>
          <w:rFonts w:ascii="Arial" w:hAnsi="Arial" w:cs="Arial"/>
          <w:sz w:val="22"/>
          <w:szCs w:val="22"/>
          <w:lang w:val="es-CO"/>
        </w:rPr>
        <w:t xml:space="preserve">Sus principales cultivos además de la caña de </w:t>
      </w:r>
      <w:r w:rsidR="00930E4D">
        <w:rPr>
          <w:rFonts w:ascii="Arial" w:hAnsi="Arial" w:cs="Arial"/>
          <w:sz w:val="22"/>
          <w:szCs w:val="22"/>
          <w:lang w:val="es-CO"/>
        </w:rPr>
        <w:t>a</w:t>
      </w:r>
      <w:r w:rsidRPr="002563F7">
        <w:rPr>
          <w:rFonts w:ascii="Arial" w:hAnsi="Arial" w:cs="Arial"/>
          <w:sz w:val="22"/>
          <w:szCs w:val="22"/>
          <w:lang w:val="es-CO"/>
        </w:rPr>
        <w:t>zúcar son los granos básicos, café, aguacate, naranja, piña, soya, papas, tubérculos. En cuanto a la ganadería</w:t>
      </w:r>
      <w:r w:rsidR="00A97DE8">
        <w:rPr>
          <w:rFonts w:ascii="Arial" w:hAnsi="Arial" w:cs="Arial"/>
          <w:sz w:val="22"/>
          <w:szCs w:val="22"/>
          <w:lang w:val="es-CO"/>
        </w:rPr>
        <w:t>, se</w:t>
      </w:r>
      <w:r w:rsidRPr="002563F7">
        <w:rPr>
          <w:rFonts w:ascii="Arial" w:hAnsi="Arial" w:cs="Arial"/>
          <w:sz w:val="22"/>
          <w:szCs w:val="22"/>
          <w:lang w:val="es-CO"/>
        </w:rPr>
        <w:t xml:space="preserve"> desarrolla la avícola, bovin</w:t>
      </w:r>
      <w:r w:rsidR="00930E4D">
        <w:rPr>
          <w:rFonts w:ascii="Arial" w:hAnsi="Arial" w:cs="Arial"/>
          <w:sz w:val="22"/>
          <w:szCs w:val="22"/>
          <w:lang w:val="es-CO"/>
        </w:rPr>
        <w:t>a</w:t>
      </w:r>
      <w:r w:rsidRPr="002563F7">
        <w:rPr>
          <w:rFonts w:ascii="Arial" w:hAnsi="Arial" w:cs="Arial"/>
          <w:sz w:val="22"/>
          <w:szCs w:val="22"/>
          <w:lang w:val="es-CO"/>
        </w:rPr>
        <w:t>, porcin</w:t>
      </w:r>
      <w:r w:rsidR="00930E4D">
        <w:rPr>
          <w:rFonts w:ascii="Arial" w:hAnsi="Arial" w:cs="Arial"/>
          <w:sz w:val="22"/>
          <w:szCs w:val="22"/>
          <w:lang w:val="es-CO"/>
        </w:rPr>
        <w:t>a</w:t>
      </w:r>
      <w:r w:rsidRPr="002563F7">
        <w:rPr>
          <w:rFonts w:ascii="Arial" w:hAnsi="Arial" w:cs="Arial"/>
          <w:sz w:val="22"/>
          <w:szCs w:val="22"/>
          <w:lang w:val="es-CO"/>
        </w:rPr>
        <w:t>, equin</w:t>
      </w:r>
      <w:r w:rsidR="00930E4D">
        <w:rPr>
          <w:rFonts w:ascii="Arial" w:hAnsi="Arial" w:cs="Arial"/>
          <w:sz w:val="22"/>
          <w:szCs w:val="22"/>
          <w:lang w:val="es-CO"/>
        </w:rPr>
        <w:t>a</w:t>
      </w:r>
      <w:r w:rsidRPr="002563F7">
        <w:rPr>
          <w:rFonts w:ascii="Arial" w:hAnsi="Arial" w:cs="Arial"/>
          <w:sz w:val="22"/>
          <w:szCs w:val="22"/>
          <w:lang w:val="es-CO"/>
        </w:rPr>
        <w:t>.</w:t>
      </w:r>
      <w:r w:rsidRPr="002563F7" w:rsidR="00303AE9">
        <w:rPr>
          <w:rFonts w:ascii="Arial" w:hAnsi="Arial" w:eastAsia="Arial" w:cs="Arial"/>
          <w:sz w:val="22"/>
          <w:szCs w:val="22"/>
        </w:rPr>
        <w:t xml:space="preserve"> </w:t>
      </w:r>
    </w:p>
    <w:p w:rsidRPr="00180933" w:rsidR="00B577E4" w:rsidP="001B31BA" w:rsidRDefault="00B577E4" w14:paraId="2F488220" w14:textId="5EE58BDF">
      <w:pPr>
        <w:pStyle w:val="Paragraph"/>
        <w:tabs>
          <w:tab w:val="num" w:pos="720"/>
        </w:tabs>
        <w:ind w:left="720" w:hanging="720"/>
        <w:rPr>
          <w:rFonts w:ascii="Arial" w:hAnsi="Arial" w:cs="Arial"/>
          <w:sz w:val="22"/>
          <w:szCs w:val="22"/>
        </w:rPr>
      </w:pPr>
      <w:r w:rsidRPr="00762B70">
        <w:rPr>
          <w:rFonts w:ascii="Arial" w:hAnsi="Arial" w:cs="Arial"/>
          <w:sz w:val="22"/>
          <w:szCs w:val="22"/>
        </w:rPr>
        <w:t xml:space="preserve">Concepción de María </w:t>
      </w:r>
      <w:r w:rsidRPr="00762B70">
        <w:rPr>
          <w:rFonts w:ascii="Arial" w:hAnsi="Arial" w:cs="Arial"/>
          <w:sz w:val="22"/>
          <w:szCs w:val="22"/>
          <w:lang w:val="es-ES_tradnl"/>
        </w:rPr>
        <w:t>tiene u</w:t>
      </w:r>
      <w:r w:rsidR="00930E4D">
        <w:rPr>
          <w:rFonts w:ascii="Arial" w:hAnsi="Arial" w:cs="Arial"/>
          <w:sz w:val="22"/>
          <w:szCs w:val="22"/>
          <w:lang w:val="es-ES_tradnl"/>
        </w:rPr>
        <w:t>na extensión territorial de 151,</w:t>
      </w:r>
      <w:r w:rsidRPr="00762B70">
        <w:rPr>
          <w:rFonts w:ascii="Arial" w:hAnsi="Arial" w:cs="Arial"/>
          <w:sz w:val="22"/>
          <w:szCs w:val="22"/>
          <w:lang w:val="es-ES_tradnl"/>
        </w:rPr>
        <w:t>4 km</w:t>
      </w:r>
      <w:r w:rsidRPr="00762B70">
        <w:rPr>
          <w:rFonts w:ascii="Arial" w:hAnsi="Arial" w:cs="Arial"/>
          <w:sz w:val="22"/>
          <w:szCs w:val="22"/>
          <w:vertAlign w:val="superscript"/>
          <w:lang w:val="es-ES_tradnl"/>
        </w:rPr>
        <w:t>2</w:t>
      </w:r>
      <w:r w:rsidRPr="00762B70">
        <w:rPr>
          <w:rFonts w:ascii="Arial" w:hAnsi="Arial" w:cs="Arial"/>
          <w:sz w:val="22"/>
          <w:szCs w:val="22"/>
          <w:lang w:val="es-ES_tradnl"/>
        </w:rPr>
        <w:t xml:space="preserve"> y cuenta con </w:t>
      </w:r>
      <w:r w:rsidRPr="00762B70" w:rsidR="004D1867">
        <w:rPr>
          <w:rFonts w:ascii="Arial" w:hAnsi="Arial" w:cs="Arial"/>
          <w:sz w:val="22"/>
          <w:szCs w:val="22"/>
          <w:lang w:val="es-ES_tradnl"/>
        </w:rPr>
        <w:t>una</w:t>
      </w:r>
      <w:r w:rsidR="00930E4D">
        <w:rPr>
          <w:rFonts w:ascii="Arial" w:hAnsi="Arial" w:cs="Arial"/>
          <w:sz w:val="22"/>
          <w:szCs w:val="22"/>
          <w:lang w:val="es-ES_tradnl"/>
        </w:rPr>
        <w:t xml:space="preserve"> población de 24.</w:t>
      </w:r>
      <w:r w:rsidRPr="00762B70">
        <w:rPr>
          <w:rFonts w:ascii="Arial" w:hAnsi="Arial" w:cs="Arial"/>
          <w:sz w:val="22"/>
          <w:szCs w:val="22"/>
          <w:lang w:val="es-ES_tradnl"/>
        </w:rPr>
        <w:t>393 habitantes</w:t>
      </w:r>
      <w:r w:rsidRPr="00762B70" w:rsidR="004D1867">
        <w:rPr>
          <w:rFonts w:ascii="Arial" w:hAnsi="Arial" w:cs="Arial"/>
          <w:sz w:val="22"/>
          <w:szCs w:val="22"/>
          <w:lang w:val="es-ES_tradnl"/>
        </w:rPr>
        <w:t>.</w:t>
      </w:r>
      <w:r w:rsidRPr="00762B70" w:rsidR="00762B70">
        <w:rPr>
          <w:rFonts w:ascii="Arial" w:hAnsi="Arial" w:cs="Arial"/>
          <w:sz w:val="22"/>
          <w:szCs w:val="22"/>
          <w:lang w:val="es-ES_tradnl"/>
        </w:rPr>
        <w:t xml:space="preserve"> </w:t>
      </w:r>
      <w:r w:rsidRPr="00762B70" w:rsidR="00762B70">
        <w:rPr>
          <w:rFonts w:ascii="Arial" w:hAnsi="Arial" w:cs="Arial"/>
          <w:sz w:val="22"/>
          <w:szCs w:val="22"/>
          <w:lang w:val="es-CO"/>
        </w:rPr>
        <w:t xml:space="preserve">La economía del municipio se basa en la agricultura, con el cultivo de granos básicos, (maíz, maicillo, frijoles, etc.), yuca, camote, chile dulce, </w:t>
      </w:r>
      <w:r w:rsidR="00930E4D">
        <w:rPr>
          <w:rFonts w:ascii="Arial" w:hAnsi="Arial" w:cs="Arial"/>
          <w:sz w:val="22"/>
          <w:szCs w:val="22"/>
          <w:lang w:val="es-CO"/>
        </w:rPr>
        <w:t xml:space="preserve">y </w:t>
      </w:r>
      <w:r w:rsidRPr="00762B70" w:rsidR="00762B70">
        <w:rPr>
          <w:rFonts w:ascii="Arial" w:hAnsi="Arial" w:cs="Arial"/>
          <w:sz w:val="22"/>
          <w:szCs w:val="22"/>
          <w:lang w:val="es-CO"/>
        </w:rPr>
        <w:t>chile jalapeño. La población tiene poco acceso a empleo formal con el Estado y el mayor empleador a nivel local es la Municipalidad. El índice de pobreza del municipio es de 47.3% con un alto grado de necesidades básicas insatisfechas</w:t>
      </w:r>
      <w:r w:rsidR="00762B70">
        <w:rPr>
          <w:rFonts w:ascii="Arial" w:hAnsi="Arial" w:cs="Arial"/>
          <w:sz w:val="22"/>
          <w:szCs w:val="22"/>
          <w:lang w:val="es-CO"/>
        </w:rPr>
        <w:t>.</w:t>
      </w:r>
    </w:p>
    <w:p w:rsidRPr="00180933" w:rsidR="00180933" w:rsidP="00180933" w:rsidRDefault="00180933" w14:paraId="6B21EA18" w14:textId="3C1C35B1">
      <w:pPr>
        <w:pStyle w:val="FirstHeading"/>
        <w:tabs>
          <w:tab w:val="num" w:pos="720"/>
        </w:tabs>
        <w:ind w:left="720"/>
        <w:rPr>
          <w:rFonts w:ascii="Arial" w:hAnsi="Arial" w:cs="Arial"/>
          <w:sz w:val="22"/>
          <w:szCs w:val="22"/>
        </w:rPr>
      </w:pPr>
      <w:bookmarkStart w:name="_Toc526996959" w:id="9"/>
      <w:r>
        <w:rPr>
          <w:rFonts w:ascii="Arial" w:hAnsi="Arial" w:cs="Arial"/>
          <w:sz w:val="22"/>
          <w:szCs w:val="22"/>
        </w:rPr>
        <w:t>C</w:t>
      </w:r>
      <w:r w:rsidRPr="00EB0154">
        <w:rPr>
          <w:rFonts w:ascii="Arial" w:hAnsi="Arial" w:cs="Arial"/>
          <w:sz w:val="22"/>
          <w:szCs w:val="22"/>
        </w:rPr>
        <w:t>.</w:t>
      </w:r>
      <w:r>
        <w:rPr>
          <w:rFonts w:ascii="Arial" w:hAnsi="Arial" w:cs="Arial"/>
          <w:sz w:val="22"/>
          <w:szCs w:val="22"/>
        </w:rPr>
        <w:tab/>
      </w:r>
      <w:r>
        <w:rPr>
          <w:rFonts w:ascii="Arial" w:hAnsi="Arial" w:cs="Arial"/>
          <w:sz w:val="22"/>
          <w:szCs w:val="22"/>
        </w:rPr>
        <w:t>Justificación de la intervención</w:t>
      </w:r>
      <w:bookmarkEnd w:id="9"/>
      <w:r w:rsidRPr="00852D2D">
        <w:rPr>
          <w:rFonts w:ascii="Arial" w:hAnsi="Arial" w:eastAsia="Arial" w:cs="Arial"/>
          <w:sz w:val="22"/>
          <w:szCs w:val="22"/>
        </w:rPr>
        <w:t xml:space="preserve"> </w:t>
      </w:r>
    </w:p>
    <w:p w:rsidRPr="00C618BE" w:rsidR="00A374E0" w:rsidP="007C6FAF" w:rsidRDefault="00A374E0" w14:paraId="0C11C475" w14:textId="1CD15FB3">
      <w:pPr>
        <w:pStyle w:val="Paragraph"/>
        <w:tabs>
          <w:tab w:val="num" w:pos="720"/>
        </w:tabs>
        <w:ind w:left="720" w:hanging="720"/>
        <w:rPr>
          <w:rFonts w:ascii="Arial" w:hAnsi="Arial" w:cs="Arial"/>
          <w:sz w:val="22"/>
          <w:szCs w:val="22"/>
        </w:rPr>
      </w:pPr>
      <w:bookmarkStart w:name="_Hlk480985255" w:id="10"/>
      <w:r w:rsidRPr="00303AE9">
        <w:rPr>
          <w:rFonts w:ascii="Arial" w:hAnsi="Arial" w:cs="Arial"/>
          <w:b/>
          <w:sz w:val="22"/>
          <w:szCs w:val="22"/>
        </w:rPr>
        <w:t>Relación entre pobreza y bienestar y el acceso a la electricidad</w:t>
      </w:r>
      <w:r w:rsidRPr="00C618BE">
        <w:rPr>
          <w:rFonts w:ascii="Arial" w:hAnsi="Arial" w:cs="Arial"/>
          <w:sz w:val="22"/>
          <w:szCs w:val="22"/>
        </w:rPr>
        <w:t>. El vínculo entre pobreza y bienestar y el acceso a la electricidad es reconocido ampliamente</w:t>
      </w:r>
      <w:r w:rsidRPr="0046661A">
        <w:rPr>
          <w:rFonts w:ascii="Arial" w:hAnsi="Arial" w:cs="Arial"/>
          <w:sz w:val="22"/>
          <w:szCs w:val="22"/>
          <w:vertAlign w:val="superscript"/>
        </w:rPr>
        <w:footnoteReference w:id="9"/>
      </w:r>
      <w:r w:rsidRPr="00C618BE">
        <w:rPr>
          <w:rFonts w:ascii="Arial" w:hAnsi="Arial" w:cs="Arial"/>
          <w:sz w:val="22"/>
          <w:szCs w:val="22"/>
        </w:rPr>
        <w:t>. Una evaluación de impacto realizada en Etiopía</w:t>
      </w:r>
      <w:r w:rsidRPr="0046661A">
        <w:rPr>
          <w:vertAlign w:val="superscript"/>
        </w:rPr>
        <w:footnoteReference w:id="10"/>
      </w:r>
      <w:r w:rsidRPr="00C618BE">
        <w:rPr>
          <w:rFonts w:ascii="Arial" w:hAnsi="Arial" w:cs="Arial"/>
          <w:sz w:val="22"/>
          <w:szCs w:val="22"/>
        </w:rPr>
        <w:t xml:space="preserve">, concluye que el acceso de la electricidad tiene un efecto significativo sobre la probabilidad de los hogares de convertirse en no pobres. </w:t>
      </w:r>
      <w:proofErr w:type="spellStart"/>
      <w:r w:rsidRPr="00C618BE">
        <w:rPr>
          <w:rFonts w:ascii="Arial" w:hAnsi="Arial" w:cs="Arial"/>
          <w:sz w:val="22"/>
          <w:szCs w:val="22"/>
        </w:rPr>
        <w:t>Khandker</w:t>
      </w:r>
      <w:proofErr w:type="spellEnd"/>
      <w:r w:rsidRPr="00C618BE">
        <w:rPr>
          <w:rFonts w:ascii="Arial" w:hAnsi="Arial" w:cs="Arial"/>
          <w:sz w:val="22"/>
          <w:szCs w:val="22"/>
        </w:rPr>
        <w:t xml:space="preserve"> et al</w:t>
      </w:r>
      <w:r w:rsidRPr="00FB5EFF">
        <w:rPr>
          <w:rFonts w:ascii="Arial" w:hAnsi="Arial" w:cs="Arial"/>
          <w:sz w:val="22"/>
          <w:szCs w:val="22"/>
          <w:vertAlign w:val="superscript"/>
        </w:rPr>
        <w:footnoteReference w:id="11"/>
      </w:r>
      <w:r w:rsidR="0046661A">
        <w:rPr>
          <w:rFonts w:ascii="Arial" w:hAnsi="Arial" w:cs="Arial"/>
          <w:sz w:val="22"/>
          <w:szCs w:val="22"/>
        </w:rPr>
        <w:t xml:space="preserve">, </w:t>
      </w:r>
      <w:r w:rsidRPr="00C618BE">
        <w:rPr>
          <w:rFonts w:ascii="Arial" w:hAnsi="Arial" w:cs="Arial"/>
          <w:sz w:val="22"/>
          <w:szCs w:val="22"/>
        </w:rPr>
        <w:t xml:space="preserve">concluye que la electrificación puede elevar los ingresos y gastos de los hogares hasta en 28% y 23%, respectivamente. </w:t>
      </w:r>
      <w:proofErr w:type="spellStart"/>
      <w:r w:rsidRPr="00C618BE">
        <w:rPr>
          <w:rFonts w:ascii="Arial" w:hAnsi="Arial" w:cs="Arial"/>
          <w:sz w:val="22"/>
          <w:szCs w:val="22"/>
        </w:rPr>
        <w:t>Barron</w:t>
      </w:r>
      <w:proofErr w:type="spellEnd"/>
      <w:r w:rsidRPr="00C618BE">
        <w:rPr>
          <w:rFonts w:ascii="Arial" w:hAnsi="Arial" w:cs="Arial"/>
          <w:sz w:val="22"/>
          <w:szCs w:val="22"/>
        </w:rPr>
        <w:t xml:space="preserve"> y Torero</w:t>
      </w:r>
      <w:r w:rsidRPr="0046661A">
        <w:rPr>
          <w:rFonts w:ascii="Arial" w:hAnsi="Arial" w:cs="Arial"/>
          <w:sz w:val="22"/>
          <w:szCs w:val="22"/>
          <w:vertAlign w:val="superscript"/>
        </w:rPr>
        <w:footnoteReference w:id="12"/>
      </w:r>
      <w:r w:rsidRPr="00C618BE">
        <w:rPr>
          <w:rFonts w:ascii="Arial" w:hAnsi="Arial" w:cs="Arial"/>
          <w:sz w:val="22"/>
          <w:szCs w:val="22"/>
        </w:rPr>
        <w:t xml:space="preserve"> (2014) encuentran que los adultos hombres reducen tiempo dedicado al ocio y el trabajo agrícola, al tiempo que aumenta</w:t>
      </w:r>
      <w:r w:rsidR="00930E4D">
        <w:rPr>
          <w:rFonts w:ascii="Arial" w:hAnsi="Arial" w:cs="Arial"/>
          <w:sz w:val="22"/>
          <w:szCs w:val="22"/>
        </w:rPr>
        <w:t>n</w:t>
      </w:r>
      <w:r w:rsidRPr="00C618BE">
        <w:rPr>
          <w:rFonts w:ascii="Arial" w:hAnsi="Arial" w:cs="Arial"/>
          <w:sz w:val="22"/>
          <w:szCs w:val="22"/>
        </w:rPr>
        <w:t xml:space="preserve"> su dedicación a otras actividades laborales, lo que se refleja en mayores ingresos. </w:t>
      </w:r>
      <w:proofErr w:type="spellStart"/>
      <w:r w:rsidRPr="00C618BE">
        <w:rPr>
          <w:rFonts w:ascii="Arial" w:hAnsi="Arial" w:cs="Arial"/>
          <w:sz w:val="22"/>
          <w:szCs w:val="22"/>
        </w:rPr>
        <w:t>Dynkelman</w:t>
      </w:r>
      <w:proofErr w:type="spellEnd"/>
      <w:r w:rsidRPr="00C618BE">
        <w:rPr>
          <w:rFonts w:ascii="Arial" w:hAnsi="Arial" w:cs="Arial"/>
          <w:sz w:val="22"/>
          <w:szCs w:val="22"/>
        </w:rPr>
        <w:t xml:space="preserve"> (2010)</w:t>
      </w:r>
      <w:r w:rsidRPr="0046661A">
        <w:rPr>
          <w:vertAlign w:val="superscript"/>
        </w:rPr>
        <w:footnoteReference w:id="13"/>
      </w:r>
      <w:r w:rsidR="00F46F9D">
        <w:rPr>
          <w:rFonts w:ascii="Arial" w:hAnsi="Arial" w:cs="Arial"/>
          <w:sz w:val="22"/>
          <w:szCs w:val="22"/>
        </w:rPr>
        <w:t xml:space="preserve">, </w:t>
      </w:r>
      <w:r w:rsidRPr="00C618BE">
        <w:rPr>
          <w:rFonts w:ascii="Arial" w:hAnsi="Arial" w:cs="Arial"/>
          <w:sz w:val="22"/>
          <w:szCs w:val="22"/>
        </w:rPr>
        <w:t xml:space="preserve">concluye que la electrificación incrementó la tasa de empleo de las mujeres en 9,5%, en un periodo de 5 años en Sudáfrica. Un estudio llevado a cabo en Bangladesh por Abul </w:t>
      </w:r>
      <w:proofErr w:type="spellStart"/>
      <w:r w:rsidRPr="00C618BE">
        <w:rPr>
          <w:rFonts w:ascii="Arial" w:hAnsi="Arial" w:cs="Arial"/>
          <w:sz w:val="22"/>
          <w:szCs w:val="22"/>
        </w:rPr>
        <w:t>Barkat</w:t>
      </w:r>
      <w:proofErr w:type="spellEnd"/>
      <w:r w:rsidRPr="00C618BE">
        <w:rPr>
          <w:rFonts w:ascii="Arial" w:hAnsi="Arial" w:cs="Arial"/>
          <w:sz w:val="22"/>
          <w:szCs w:val="22"/>
        </w:rPr>
        <w:t xml:space="preserve"> et al</w:t>
      </w:r>
      <w:r w:rsidRPr="0046661A">
        <w:rPr>
          <w:vertAlign w:val="superscript"/>
        </w:rPr>
        <w:footnoteReference w:id="14"/>
      </w:r>
      <w:r w:rsidRPr="00C618BE" w:rsidDel="004A190D">
        <w:rPr>
          <w:rFonts w:ascii="Arial" w:hAnsi="Arial" w:cs="Arial"/>
          <w:sz w:val="22"/>
          <w:szCs w:val="22"/>
        </w:rPr>
        <w:t xml:space="preserve"> </w:t>
      </w:r>
      <w:r w:rsidRPr="00C618BE">
        <w:rPr>
          <w:rFonts w:ascii="Arial" w:hAnsi="Arial" w:cs="Arial"/>
          <w:sz w:val="22"/>
          <w:szCs w:val="22"/>
        </w:rPr>
        <w:t>(2002) muestra impactos positivos en el empleo, en especial para las mujeres</w:t>
      </w:r>
      <w:r w:rsidR="00930E4D">
        <w:rPr>
          <w:rFonts w:ascii="Arial" w:hAnsi="Arial" w:cs="Arial"/>
          <w:sz w:val="22"/>
          <w:szCs w:val="22"/>
        </w:rPr>
        <w:t>. E</w:t>
      </w:r>
      <w:r w:rsidR="00F46F9D">
        <w:rPr>
          <w:rFonts w:ascii="Arial" w:hAnsi="Arial" w:cs="Arial"/>
          <w:sz w:val="22"/>
          <w:szCs w:val="22"/>
        </w:rPr>
        <w:t>ste e</w:t>
      </w:r>
      <w:r w:rsidR="00930E4D">
        <w:rPr>
          <w:rFonts w:ascii="Arial" w:hAnsi="Arial" w:cs="Arial"/>
          <w:sz w:val="22"/>
          <w:szCs w:val="22"/>
        </w:rPr>
        <w:t>ncontró que d</w:t>
      </w:r>
      <w:r w:rsidRPr="00C618BE">
        <w:rPr>
          <w:rFonts w:ascii="Arial" w:hAnsi="Arial" w:cs="Arial"/>
          <w:sz w:val="22"/>
          <w:szCs w:val="22"/>
        </w:rPr>
        <w:t>urante los años 1997-2002, el crecimiento global del empleo en las industrias electrificadas fue del 52,8%, con 41% para los hombres y 121% para las mujeres, mientras que el crecimiento total del empleo en las industrias no electrificadas fue 28,6%, con 16,2% para los hombres y 56,3% para las mujeres.</w:t>
      </w:r>
      <w:r w:rsidR="00F46F9D">
        <w:rPr>
          <w:rFonts w:ascii="Arial" w:hAnsi="Arial" w:cs="Arial"/>
          <w:sz w:val="22"/>
          <w:szCs w:val="22"/>
        </w:rPr>
        <w:t xml:space="preserve"> </w:t>
      </w:r>
      <w:r w:rsidRPr="00F46F9D" w:rsidR="00F46F9D">
        <w:rPr>
          <w:rFonts w:ascii="Arial" w:hAnsi="Arial" w:cs="Arial"/>
          <w:sz w:val="22"/>
          <w:szCs w:val="22"/>
        </w:rPr>
        <w:t xml:space="preserve">En el reporte conjunto del Banco Interamericano de Desarrollo (BID) y del Programa de las Naciones Unidas para el Desarrollo (PNUD), sobre los beneficios del acceso </w:t>
      </w:r>
      <w:r w:rsidRPr="00F46F9D" w:rsidR="00F46F9D">
        <w:rPr>
          <w:rFonts w:ascii="Arial" w:hAnsi="Arial" w:cs="Arial"/>
          <w:sz w:val="22"/>
          <w:szCs w:val="22"/>
        </w:rPr>
        <w:lastRenderedPageBreak/>
        <w:t xml:space="preserve">sostenible de energía en América Latina y el Caribe, se reportan resultados de la evaluación de impacto del proyecto iluminando una </w:t>
      </w:r>
      <w:proofErr w:type="spellStart"/>
      <w:r w:rsidRPr="00F46F9D" w:rsidR="00F46F9D">
        <w:rPr>
          <w:rFonts w:ascii="Arial" w:hAnsi="Arial" w:cs="Arial"/>
          <w:sz w:val="22"/>
          <w:szCs w:val="22"/>
        </w:rPr>
        <w:t>via</w:t>
      </w:r>
      <w:proofErr w:type="spellEnd"/>
      <w:r w:rsidRPr="00F46F9D" w:rsidR="00F46F9D">
        <w:rPr>
          <w:rFonts w:ascii="Arial" w:hAnsi="Arial" w:cs="Arial"/>
          <w:sz w:val="22"/>
          <w:szCs w:val="22"/>
        </w:rPr>
        <w:t xml:space="preserve"> al desarrollo en la comunidad de </w:t>
      </w:r>
      <w:proofErr w:type="spellStart"/>
      <w:r w:rsidRPr="00F46F9D" w:rsidR="00F46F9D">
        <w:rPr>
          <w:rFonts w:ascii="Arial" w:hAnsi="Arial" w:cs="Arial"/>
          <w:sz w:val="22"/>
          <w:szCs w:val="22"/>
        </w:rPr>
        <w:t>Waspam</w:t>
      </w:r>
      <w:proofErr w:type="spellEnd"/>
      <w:r w:rsidRPr="00F46F9D" w:rsidR="00F46F9D">
        <w:rPr>
          <w:rFonts w:ascii="Arial" w:hAnsi="Arial" w:cs="Arial"/>
          <w:sz w:val="22"/>
          <w:szCs w:val="22"/>
        </w:rPr>
        <w:t xml:space="preserve"> al norte del Caribe de Nicaragua. Se destaca mejoras en la educación, salud y alimentación por el proyecto de electrificación.</w:t>
      </w:r>
    </w:p>
    <w:p w:rsidR="00A374E0" w:rsidP="007C6FAF" w:rsidRDefault="00A374E0" w14:paraId="20AA60C5" w14:textId="2B731949">
      <w:pPr>
        <w:pStyle w:val="Paragraph"/>
        <w:tabs>
          <w:tab w:val="num" w:pos="720"/>
        </w:tabs>
        <w:ind w:left="720" w:hanging="720"/>
        <w:rPr>
          <w:rFonts w:ascii="Arial" w:hAnsi="Arial" w:cs="Arial"/>
          <w:sz w:val="22"/>
          <w:szCs w:val="22"/>
        </w:rPr>
      </w:pPr>
      <w:proofErr w:type="gramStart"/>
      <w:r w:rsidRPr="00C618BE">
        <w:rPr>
          <w:rFonts w:ascii="Arial" w:hAnsi="Arial" w:cs="Arial"/>
          <w:sz w:val="22"/>
          <w:szCs w:val="22"/>
        </w:rPr>
        <w:t>En relación a</w:t>
      </w:r>
      <w:proofErr w:type="gramEnd"/>
      <w:r w:rsidRPr="00C618BE">
        <w:rPr>
          <w:rFonts w:ascii="Arial" w:hAnsi="Arial" w:cs="Arial"/>
          <w:sz w:val="22"/>
          <w:szCs w:val="22"/>
        </w:rPr>
        <w:t xml:space="preserve"> los usos productivos, un análisis de la electrificación del Brasil entre 1960 y 2000, estimó que un aumento de la cobertura eléctrica en 10%, incrementa la productividad agrícola (a trav</w:t>
      </w:r>
      <w:r w:rsidR="00930E4D">
        <w:rPr>
          <w:rFonts w:ascii="Arial" w:hAnsi="Arial" w:cs="Arial"/>
          <w:sz w:val="22"/>
          <w:szCs w:val="22"/>
        </w:rPr>
        <w:t>és de riego) en 9,8%. A</w:t>
      </w:r>
      <w:r w:rsidRPr="00C618BE">
        <w:rPr>
          <w:rFonts w:ascii="Arial" w:hAnsi="Arial" w:cs="Arial"/>
          <w:sz w:val="22"/>
          <w:szCs w:val="22"/>
        </w:rPr>
        <w:t xml:space="preserve"> su vez, la mayor productividad tiene efectos positivos sobre la deforestación</w:t>
      </w:r>
      <w:r w:rsidRPr="00C618BE">
        <w:rPr>
          <w:rFonts w:ascii="Arial" w:hAnsi="Arial" w:cs="Arial"/>
          <w:sz w:val="22"/>
          <w:szCs w:val="22"/>
          <w:vertAlign w:val="superscript"/>
        </w:rPr>
        <w:footnoteReference w:id="15"/>
      </w:r>
      <w:r w:rsidRPr="00C618BE">
        <w:rPr>
          <w:rFonts w:ascii="Arial" w:hAnsi="Arial" w:cs="Arial"/>
          <w:sz w:val="22"/>
          <w:szCs w:val="22"/>
        </w:rPr>
        <w:t xml:space="preserve">. </w:t>
      </w:r>
      <w:proofErr w:type="spellStart"/>
      <w:r w:rsidRPr="00C618BE">
        <w:rPr>
          <w:rFonts w:ascii="Arial" w:hAnsi="Arial" w:cs="Arial"/>
          <w:sz w:val="22"/>
          <w:szCs w:val="22"/>
        </w:rPr>
        <w:t>Kirubi</w:t>
      </w:r>
      <w:proofErr w:type="spellEnd"/>
      <w:r w:rsidRPr="00C618BE">
        <w:rPr>
          <w:rFonts w:ascii="Arial" w:hAnsi="Arial" w:cs="Arial"/>
          <w:sz w:val="22"/>
          <w:szCs w:val="22"/>
        </w:rPr>
        <w:t xml:space="preserve"> et al</w:t>
      </w:r>
      <w:r w:rsidRPr="0046661A">
        <w:rPr>
          <w:rFonts w:ascii="Arial" w:hAnsi="Arial" w:cs="Arial"/>
          <w:sz w:val="22"/>
          <w:szCs w:val="22"/>
          <w:vertAlign w:val="superscript"/>
        </w:rPr>
        <w:footnoteReference w:id="16"/>
      </w:r>
      <w:r w:rsidR="0046661A">
        <w:rPr>
          <w:rFonts w:ascii="Arial" w:hAnsi="Arial" w:cs="Arial"/>
          <w:sz w:val="22"/>
          <w:szCs w:val="22"/>
        </w:rPr>
        <w:t xml:space="preserve">, </w:t>
      </w:r>
      <w:r w:rsidRPr="00C618BE">
        <w:rPr>
          <w:rFonts w:ascii="Arial" w:hAnsi="Arial" w:cs="Arial"/>
          <w:sz w:val="22"/>
          <w:szCs w:val="22"/>
        </w:rPr>
        <w:t xml:space="preserve">muestran que el acceso a la electricidad resulta en una mejora significativa de la productividad por trabajador en pequeñas industrias rurales (100-200%) y en un crecimiento correspondiente en el nivel de ingresos del orden de 20-70%, dependiendo del producto elaborado. </w:t>
      </w:r>
    </w:p>
    <w:p w:rsidRPr="0046661A" w:rsidR="00DC2B90" w:rsidP="007C6FAF" w:rsidRDefault="00ED1D6A" w14:paraId="0EE1DBE8" w14:textId="782FA753">
      <w:pPr>
        <w:pStyle w:val="Paragraph"/>
        <w:tabs>
          <w:tab w:val="num" w:pos="720"/>
        </w:tabs>
        <w:ind w:left="720" w:hanging="720"/>
        <w:rPr>
          <w:rFonts w:ascii="Arial" w:hAnsi="Arial" w:cs="Arial"/>
          <w:sz w:val="22"/>
          <w:szCs w:val="22"/>
        </w:rPr>
      </w:pPr>
      <w:r w:rsidRPr="007C6FAF">
        <w:rPr>
          <w:rFonts w:ascii="Arial" w:hAnsi="Arial" w:cs="Arial"/>
          <w:b/>
          <w:sz w:val="22"/>
          <w:szCs w:val="22"/>
        </w:rPr>
        <w:t>El rol del Gobierno</w:t>
      </w:r>
      <w:r>
        <w:rPr>
          <w:rFonts w:ascii="Arial" w:hAnsi="Arial" w:cs="Arial"/>
          <w:sz w:val="22"/>
          <w:szCs w:val="22"/>
        </w:rPr>
        <w:t xml:space="preserve">. </w:t>
      </w:r>
      <w:r w:rsidRPr="00C11ECA" w:rsidR="00C11ECA">
        <w:rPr>
          <w:rFonts w:ascii="Arial" w:hAnsi="Arial" w:cs="Arial"/>
          <w:sz w:val="22"/>
          <w:szCs w:val="22"/>
        </w:rPr>
        <w:t xml:space="preserve">La </w:t>
      </w:r>
      <w:r w:rsidR="008A0EBE">
        <w:rPr>
          <w:rFonts w:ascii="Arial" w:hAnsi="Arial" w:cs="Arial"/>
          <w:sz w:val="22"/>
          <w:szCs w:val="22"/>
        </w:rPr>
        <w:t>Ley General de la Industria Eléctrica (</w:t>
      </w:r>
      <w:r w:rsidRPr="00C11ECA" w:rsidR="00C11ECA">
        <w:rPr>
          <w:rFonts w:ascii="Arial" w:hAnsi="Arial" w:cs="Arial"/>
          <w:sz w:val="22"/>
          <w:szCs w:val="22"/>
        </w:rPr>
        <w:t>LGIE</w:t>
      </w:r>
      <w:r w:rsidR="008A0EBE">
        <w:rPr>
          <w:rFonts w:ascii="Arial" w:hAnsi="Arial" w:cs="Arial"/>
          <w:sz w:val="22"/>
          <w:szCs w:val="22"/>
        </w:rPr>
        <w:t>)</w:t>
      </w:r>
      <w:r w:rsidRPr="00C11ECA" w:rsidR="00C11ECA">
        <w:rPr>
          <w:rFonts w:ascii="Arial" w:hAnsi="Arial" w:cs="Arial"/>
          <w:sz w:val="22"/>
          <w:szCs w:val="22"/>
        </w:rPr>
        <w:t xml:space="preserve"> </w:t>
      </w:r>
      <w:r w:rsidR="008A0EBE">
        <w:rPr>
          <w:rFonts w:ascii="Arial" w:hAnsi="Arial" w:cs="Arial"/>
          <w:sz w:val="22"/>
          <w:szCs w:val="22"/>
        </w:rPr>
        <w:t xml:space="preserve">de 2014, </w:t>
      </w:r>
      <w:r w:rsidRPr="00C11ECA" w:rsidR="00C11ECA">
        <w:rPr>
          <w:rFonts w:ascii="Arial" w:hAnsi="Arial" w:cs="Arial"/>
          <w:sz w:val="22"/>
          <w:szCs w:val="22"/>
        </w:rPr>
        <w:t xml:space="preserve">crea el Fondo Social de Desarrollo Eléctrico (FOSODE), administrado por </w:t>
      </w:r>
      <w:r w:rsidR="006F677E">
        <w:rPr>
          <w:rFonts w:ascii="Arial" w:hAnsi="Arial" w:cs="Arial"/>
          <w:sz w:val="22"/>
          <w:szCs w:val="22"/>
        </w:rPr>
        <w:t xml:space="preserve">la </w:t>
      </w:r>
      <w:r w:rsidRPr="00C11ECA" w:rsidR="00C11ECA">
        <w:rPr>
          <w:rFonts w:ascii="Arial" w:hAnsi="Arial" w:cs="Arial"/>
          <w:sz w:val="22"/>
          <w:szCs w:val="22"/>
        </w:rPr>
        <w:t xml:space="preserve">ENEE para financiar los estudios y las obras de electrificación que sean de interés social. El Fondo se financia con un aporte de las empresas distribuidoras igual al uno por ciento (1%) de las ventas a usuarios finales. Este aporte se traslada a los usuarios en la factura mensual. Como complemento al Fondo, el Gobierno Central consignará en el Presupuesto General de Ingresos y Egresos de cada año fiscal </w:t>
      </w:r>
      <w:r w:rsidRPr="0046661A" w:rsidR="00C11ECA">
        <w:rPr>
          <w:rFonts w:ascii="Arial" w:hAnsi="Arial" w:cs="Arial"/>
          <w:sz w:val="22"/>
          <w:szCs w:val="22"/>
        </w:rPr>
        <w:t>una partida de quince millone</w:t>
      </w:r>
      <w:r w:rsidR="00930E4D">
        <w:rPr>
          <w:rFonts w:ascii="Arial" w:hAnsi="Arial" w:cs="Arial"/>
          <w:sz w:val="22"/>
          <w:szCs w:val="22"/>
        </w:rPr>
        <w:t>s de lempiras</w:t>
      </w:r>
      <w:r w:rsidRPr="0046661A" w:rsidR="00C11ECA">
        <w:rPr>
          <w:rFonts w:ascii="Arial" w:hAnsi="Arial" w:cs="Arial"/>
          <w:sz w:val="22"/>
          <w:szCs w:val="22"/>
        </w:rPr>
        <w:t xml:space="preserve"> (Art. 24).</w:t>
      </w:r>
      <w:r w:rsidRPr="0046661A" w:rsidR="00C11ECA">
        <w:rPr>
          <w:rFonts w:ascii="Trebuchet MS" w:hAnsi="Trebuchet MS" w:cs="Arial"/>
          <w:caps/>
          <w:color w:val="555555"/>
          <w:szCs w:val="24"/>
          <w:lang w:eastAsia="zh-CN"/>
        </w:rPr>
        <w:t xml:space="preserve"> </w:t>
      </w:r>
    </w:p>
    <w:p w:rsidRPr="00DC2B90" w:rsidR="00C11ECA" w:rsidP="0082305A" w:rsidRDefault="00C11ECA" w14:paraId="4601111B" w14:textId="7492748D">
      <w:pPr>
        <w:pStyle w:val="Paragraph"/>
        <w:tabs>
          <w:tab w:val="num" w:pos="720"/>
        </w:tabs>
        <w:ind w:left="720" w:hanging="720"/>
        <w:rPr>
          <w:rFonts w:ascii="Arial" w:hAnsi="Arial" w:cs="Arial"/>
          <w:sz w:val="22"/>
          <w:szCs w:val="22"/>
        </w:rPr>
      </w:pPr>
      <w:r w:rsidRPr="0046661A">
        <w:rPr>
          <w:rFonts w:ascii="Arial" w:hAnsi="Arial" w:cs="Arial"/>
          <w:sz w:val="22"/>
          <w:szCs w:val="22"/>
        </w:rPr>
        <w:t>El Programa Nacional de Electrificación Rural y Social forma parte de la estrategia del Gobierno para</w:t>
      </w:r>
      <w:r w:rsidRPr="00DC2B90">
        <w:rPr>
          <w:rFonts w:ascii="Arial" w:hAnsi="Arial" w:cs="Arial"/>
          <w:sz w:val="22"/>
          <w:szCs w:val="22"/>
        </w:rPr>
        <w:t xml:space="preserve"> reducir la pobreza, elevar la calidad de vida de los sectores rurales, e integrarlos al proceso de desarrollo económico y social del país.</w:t>
      </w:r>
      <w:r w:rsidRPr="00DC2B90" w:rsidR="00DC2B90">
        <w:rPr>
          <w:rFonts w:ascii="Arial" w:hAnsi="Arial" w:cs="Arial"/>
          <w:sz w:val="22"/>
          <w:szCs w:val="22"/>
        </w:rPr>
        <w:t xml:space="preserve"> </w:t>
      </w:r>
      <w:r w:rsidRPr="00DC2B90">
        <w:rPr>
          <w:rFonts w:ascii="Arial" w:hAnsi="Arial" w:cs="Arial"/>
          <w:sz w:val="22"/>
          <w:szCs w:val="22"/>
        </w:rPr>
        <w:t>Sus objetivos específicos apuntan a solucionar las carencias de electricidad y/o a mejorar la calidad del abastecimiento energético de viviendas y centros comunitarios en el medio rural y social, disminuyendo así los incentivos para la migración de familias campesinas a zonas urbanas, fomentando el desarrollo productivo, y mejorando la calidad de vida y las oportunidades de acceso a la educación y la salud de estas familias.</w:t>
      </w:r>
    </w:p>
    <w:p w:rsidRPr="00C11ECA" w:rsidR="00C11ECA" w:rsidP="0082305A" w:rsidRDefault="00C11ECA" w14:paraId="31FA253B" w14:textId="55470737">
      <w:pPr>
        <w:pStyle w:val="Paragraph"/>
        <w:tabs>
          <w:tab w:val="num" w:pos="720"/>
        </w:tabs>
        <w:ind w:left="720" w:hanging="720"/>
        <w:rPr>
          <w:rFonts w:ascii="Arial" w:hAnsi="Arial" w:cs="Arial"/>
          <w:sz w:val="22"/>
          <w:szCs w:val="22"/>
        </w:rPr>
      </w:pPr>
      <w:r w:rsidRPr="00C11ECA">
        <w:rPr>
          <w:rFonts w:ascii="Arial" w:hAnsi="Arial" w:cs="Arial"/>
          <w:sz w:val="22"/>
          <w:szCs w:val="22"/>
        </w:rPr>
        <w:t>Para cumplir estos objetivos, el Gobierno se ha comprometido</w:t>
      </w:r>
      <w:r w:rsidR="00517FD0">
        <w:rPr>
          <w:rFonts w:ascii="Arial" w:hAnsi="Arial" w:cs="Arial"/>
          <w:sz w:val="22"/>
          <w:szCs w:val="22"/>
        </w:rPr>
        <w:t xml:space="preserve"> a</w:t>
      </w:r>
      <w:r w:rsidRPr="00C11ECA">
        <w:rPr>
          <w:rFonts w:ascii="Arial" w:hAnsi="Arial" w:cs="Arial"/>
          <w:sz w:val="22"/>
          <w:szCs w:val="22"/>
        </w:rPr>
        <w:t xml:space="preserve"> alcanzar una cobertura de 75% de las viviendas rurales electrificadas a nivel nacional y mejorar la calidad del abastecimiento de energía en las comunidades aisladas, fomentando el uso de</w:t>
      </w:r>
      <w:r w:rsidR="00113C53">
        <w:rPr>
          <w:rFonts w:ascii="Arial" w:hAnsi="Arial" w:cs="Arial"/>
          <w:sz w:val="22"/>
          <w:szCs w:val="22"/>
        </w:rPr>
        <w:t xml:space="preserve"> </w:t>
      </w:r>
      <w:r w:rsidRPr="00C11ECA">
        <w:rPr>
          <w:rFonts w:ascii="Arial" w:hAnsi="Arial" w:cs="Arial"/>
          <w:sz w:val="22"/>
          <w:szCs w:val="22"/>
        </w:rPr>
        <w:t>las energías renovables</w:t>
      </w:r>
      <w:r w:rsidR="00822B10">
        <w:rPr>
          <w:rFonts w:ascii="Arial" w:hAnsi="Arial" w:cs="Arial"/>
          <w:sz w:val="22"/>
          <w:szCs w:val="22"/>
        </w:rPr>
        <w:t xml:space="preserve"> no convencionales (ERNC)</w:t>
      </w:r>
      <w:r w:rsidR="00517FD0">
        <w:rPr>
          <w:rFonts w:ascii="Arial" w:hAnsi="Arial" w:cs="Arial"/>
          <w:sz w:val="22"/>
          <w:szCs w:val="22"/>
        </w:rPr>
        <w:t>.</w:t>
      </w:r>
    </w:p>
    <w:p w:rsidRPr="007C2C64" w:rsidR="007C2C64" w:rsidP="003C73CE" w:rsidRDefault="00ED1D6A" w14:paraId="6DCCBB21" w14:textId="6EEA77EE">
      <w:pPr>
        <w:pStyle w:val="Paragraph"/>
        <w:tabs>
          <w:tab w:val="num" w:pos="720"/>
        </w:tabs>
        <w:ind w:left="720" w:hanging="720"/>
        <w:rPr>
          <w:rFonts w:ascii="Arial" w:hAnsi="Arial" w:eastAsia="Arial" w:cs="Arial"/>
          <w:sz w:val="22"/>
          <w:szCs w:val="22"/>
        </w:rPr>
      </w:pPr>
      <w:r w:rsidRPr="007C2C64">
        <w:rPr>
          <w:rFonts w:ascii="Arial" w:hAnsi="Arial" w:cs="Arial"/>
          <w:sz w:val="22"/>
          <w:szCs w:val="22"/>
          <w:lang w:val="es-US"/>
        </w:rPr>
        <w:t xml:space="preserve">En las </w:t>
      </w:r>
      <w:r w:rsidRPr="007C2C64">
        <w:rPr>
          <w:rFonts w:ascii="Arial" w:hAnsi="Arial" w:cs="Arial"/>
          <w:sz w:val="22"/>
          <w:szCs w:val="22"/>
        </w:rPr>
        <w:t>zonas rurales aisladas del SIN, el Estado cumple un rol subsidiario para atender las viviendas que no están conectadas a la red, pues dados los altos costos de inversión, no le es rentable a una distribuidora</w:t>
      </w:r>
      <w:r w:rsidRPr="007C2C64" w:rsidR="00535152">
        <w:rPr>
          <w:rFonts w:ascii="Arial" w:hAnsi="Arial" w:cs="Arial"/>
          <w:sz w:val="22"/>
          <w:szCs w:val="22"/>
        </w:rPr>
        <w:t xml:space="preserve"> privada</w:t>
      </w:r>
      <w:r w:rsidRPr="007C2C64">
        <w:rPr>
          <w:rFonts w:ascii="Arial" w:hAnsi="Arial" w:cs="Arial"/>
          <w:sz w:val="22"/>
          <w:szCs w:val="22"/>
        </w:rPr>
        <w:t>, aten</w:t>
      </w:r>
      <w:r w:rsidRPr="007C2C64" w:rsidR="00535152">
        <w:rPr>
          <w:rFonts w:ascii="Arial" w:hAnsi="Arial" w:cs="Arial"/>
          <w:sz w:val="22"/>
          <w:szCs w:val="22"/>
        </w:rPr>
        <w:t xml:space="preserve">der </w:t>
      </w:r>
      <w:r w:rsidRPr="007C2C64">
        <w:rPr>
          <w:rFonts w:ascii="Arial" w:hAnsi="Arial" w:cs="Arial"/>
          <w:sz w:val="22"/>
          <w:szCs w:val="22"/>
        </w:rPr>
        <w:t>zonas con baja concentración de viviendas</w:t>
      </w:r>
      <w:r w:rsidRPr="007C2C64" w:rsidR="00535152">
        <w:rPr>
          <w:rFonts w:ascii="Arial" w:hAnsi="Arial" w:cs="Arial"/>
          <w:sz w:val="22"/>
          <w:szCs w:val="22"/>
        </w:rPr>
        <w:t>, requiriéndose la intervención financiera del sector público para hacer viable la inversión</w:t>
      </w:r>
      <w:r w:rsidRPr="007C2C64">
        <w:rPr>
          <w:rFonts w:ascii="Arial" w:hAnsi="Arial" w:cs="Arial"/>
          <w:sz w:val="22"/>
          <w:szCs w:val="22"/>
        </w:rPr>
        <w:t xml:space="preserve">. </w:t>
      </w:r>
      <w:r w:rsidRPr="007C2C64" w:rsidR="007C2C64">
        <w:rPr>
          <w:rFonts w:ascii="Arial" w:hAnsi="Arial" w:eastAsia="Arial" w:cs="Arial"/>
          <w:sz w:val="22"/>
          <w:szCs w:val="22"/>
        </w:rPr>
        <w:t xml:space="preserve">El Gobierno, con la ENEE, viene realizando importantes esfuerzos para impulsar la electrificación del país. Si bien existen varias iniciativas de electrificación rural, la incorporación de regiones como Islas de la Bahía y la </w:t>
      </w:r>
      <w:proofErr w:type="spellStart"/>
      <w:r w:rsidRPr="007C2C64" w:rsidR="007C2C64">
        <w:rPr>
          <w:rFonts w:ascii="Arial" w:hAnsi="Arial" w:eastAsia="Arial" w:cs="Arial"/>
          <w:sz w:val="22"/>
          <w:szCs w:val="22"/>
        </w:rPr>
        <w:t>Mosquitia</w:t>
      </w:r>
      <w:proofErr w:type="spellEnd"/>
      <w:r w:rsidRPr="007C2C64" w:rsidR="007C2C64">
        <w:rPr>
          <w:rFonts w:ascii="Arial" w:hAnsi="Arial" w:eastAsia="Arial" w:cs="Arial"/>
          <w:sz w:val="22"/>
          <w:szCs w:val="22"/>
        </w:rPr>
        <w:t xml:space="preserve"> y territorios como los seleccionados en Choluteca, es desalentada por el difícil acceso y elevados costos logísticos.</w:t>
      </w:r>
      <w:r w:rsidRPr="007C2C64" w:rsidR="007C2C64">
        <w:rPr>
          <w:rFonts w:ascii="Arial" w:hAnsi="Arial" w:cs="Arial"/>
          <w:sz w:val="22"/>
          <w:szCs w:val="22"/>
        </w:rPr>
        <w:t xml:space="preserve"> En estas zonas, </w:t>
      </w:r>
      <w:r w:rsidRPr="007C2C64" w:rsidR="007C2C64">
        <w:rPr>
          <w:rFonts w:ascii="Arial" w:hAnsi="Arial" w:cs="Arial"/>
          <w:sz w:val="22"/>
          <w:szCs w:val="22"/>
        </w:rPr>
        <w:lastRenderedPageBreak/>
        <w:t>el servicio eléctrico puede proveerse a través de sistemas eléctricos aislados con capacidad instalada de generación inferior o igual a 1 MW.</w:t>
      </w:r>
    </w:p>
    <w:p w:rsidR="00ED751C" w:rsidP="006800FC" w:rsidRDefault="0016408A" w14:paraId="735AFEEA" w14:textId="7155098B">
      <w:pPr>
        <w:pStyle w:val="FirstHeading"/>
        <w:ind w:left="720"/>
        <w:rPr>
          <w:rFonts w:ascii="Arial" w:hAnsi="Arial" w:cs="Arial"/>
          <w:sz w:val="22"/>
          <w:szCs w:val="22"/>
        </w:rPr>
      </w:pPr>
      <w:bookmarkStart w:name="_Toc526996960" w:id="11"/>
      <w:bookmarkEnd w:id="10"/>
      <w:r>
        <w:rPr>
          <w:rFonts w:ascii="Arial" w:hAnsi="Arial" w:cs="Arial"/>
          <w:sz w:val="22"/>
          <w:szCs w:val="22"/>
        </w:rPr>
        <w:t>D</w:t>
      </w:r>
      <w:r w:rsidRPr="0082305A" w:rsidR="00EB0154">
        <w:rPr>
          <w:rFonts w:ascii="Arial" w:hAnsi="Arial" w:cs="Arial"/>
          <w:sz w:val="22"/>
          <w:szCs w:val="22"/>
        </w:rPr>
        <w:t>.</w:t>
      </w:r>
      <w:r w:rsidRPr="0082305A" w:rsidR="00EB0154">
        <w:rPr>
          <w:rFonts w:ascii="Arial" w:hAnsi="Arial" w:cs="Arial"/>
          <w:sz w:val="22"/>
          <w:szCs w:val="22"/>
        </w:rPr>
        <w:tab/>
      </w:r>
      <w:r w:rsidR="00071753">
        <w:rPr>
          <w:rFonts w:ascii="Arial" w:hAnsi="Arial" w:cs="Arial"/>
          <w:sz w:val="22"/>
          <w:szCs w:val="22"/>
        </w:rPr>
        <w:t>Estrategia</w:t>
      </w:r>
      <w:r w:rsidR="00180933">
        <w:rPr>
          <w:rFonts w:ascii="Arial" w:hAnsi="Arial" w:cs="Arial"/>
          <w:sz w:val="22"/>
          <w:szCs w:val="22"/>
        </w:rPr>
        <w:t xml:space="preserve"> y </w:t>
      </w:r>
      <w:r w:rsidRPr="00180933" w:rsidR="00452976">
        <w:rPr>
          <w:rFonts w:ascii="Arial" w:hAnsi="Arial" w:cs="Arial"/>
          <w:sz w:val="22"/>
          <w:szCs w:val="22"/>
        </w:rPr>
        <w:t>Descripción de</w:t>
      </w:r>
      <w:r>
        <w:rPr>
          <w:rFonts w:ascii="Arial" w:hAnsi="Arial" w:cs="Arial"/>
          <w:sz w:val="22"/>
          <w:szCs w:val="22"/>
        </w:rPr>
        <w:t>l</w:t>
      </w:r>
      <w:r w:rsidRPr="00180933" w:rsidR="00452976">
        <w:rPr>
          <w:rFonts w:ascii="Arial" w:hAnsi="Arial" w:cs="Arial"/>
          <w:sz w:val="22"/>
          <w:szCs w:val="22"/>
        </w:rPr>
        <w:t xml:space="preserve"> Programa</w:t>
      </w:r>
      <w:bookmarkEnd w:id="11"/>
    </w:p>
    <w:p w:rsidR="000F242B" w:rsidP="00071753" w:rsidRDefault="00071753" w14:paraId="16846739" w14:textId="171D5EB8">
      <w:pPr>
        <w:pStyle w:val="Paragraph"/>
        <w:tabs>
          <w:tab w:val="num" w:pos="720"/>
        </w:tabs>
        <w:ind w:left="720" w:hanging="720"/>
        <w:rPr>
          <w:rFonts w:ascii="Arial" w:hAnsi="Arial" w:cs="Arial"/>
          <w:sz w:val="22"/>
          <w:szCs w:val="22"/>
        </w:rPr>
      </w:pPr>
      <w:r w:rsidRPr="00071753">
        <w:rPr>
          <w:rFonts w:ascii="Arial" w:hAnsi="Arial" w:cs="Arial"/>
          <w:b/>
          <w:sz w:val="22"/>
          <w:szCs w:val="22"/>
        </w:rPr>
        <w:t>Estrategia del programa</w:t>
      </w:r>
      <w:r w:rsidRPr="00071753">
        <w:rPr>
          <w:rFonts w:ascii="Arial" w:hAnsi="Arial" w:cs="Arial"/>
          <w:sz w:val="22"/>
          <w:szCs w:val="22"/>
        </w:rPr>
        <w:t>. Para dar respuesta a los desafíos de acceso de electrificación del país, la ENEE, con apoyo del Banco Interamericano de Desarrollo (Banco), analizó diferentes alternativas de tecnología con demostrada viabilidad en zonas rurales más remotas</w:t>
      </w:r>
      <w:r w:rsidR="000F242B">
        <w:rPr>
          <w:rFonts w:ascii="Arial" w:hAnsi="Arial" w:cs="Arial"/>
          <w:sz w:val="22"/>
          <w:szCs w:val="22"/>
        </w:rPr>
        <w:t xml:space="preserve">, </w:t>
      </w:r>
      <w:r w:rsidRPr="000F242B" w:rsidR="000F242B">
        <w:rPr>
          <w:rFonts w:ascii="Arial" w:hAnsi="Arial" w:cs="Arial"/>
          <w:sz w:val="22"/>
          <w:szCs w:val="22"/>
        </w:rPr>
        <w:t xml:space="preserve">sobre la base de resultados de </w:t>
      </w:r>
      <w:r w:rsidR="000F242B">
        <w:rPr>
          <w:rFonts w:ascii="Arial" w:hAnsi="Arial" w:cs="Arial"/>
          <w:sz w:val="22"/>
          <w:szCs w:val="22"/>
        </w:rPr>
        <w:t>la</w:t>
      </w:r>
      <w:r w:rsidRPr="000F242B" w:rsidR="000F242B">
        <w:rPr>
          <w:rFonts w:ascii="Arial" w:hAnsi="Arial" w:cs="Arial"/>
          <w:sz w:val="22"/>
          <w:szCs w:val="22"/>
        </w:rPr>
        <w:t xml:space="preserve"> evaluación del recurso renovable en Islas de la Bahía</w:t>
      </w:r>
      <w:r w:rsidR="000F242B">
        <w:rPr>
          <w:rFonts w:ascii="Arial" w:hAnsi="Arial" w:cs="Arial"/>
          <w:sz w:val="22"/>
          <w:szCs w:val="22"/>
        </w:rPr>
        <w:t xml:space="preserve"> y otras zonas alejadas</w:t>
      </w:r>
      <w:r w:rsidRPr="00071753">
        <w:rPr>
          <w:rFonts w:ascii="Arial" w:hAnsi="Arial" w:cs="Arial"/>
          <w:sz w:val="22"/>
          <w:szCs w:val="22"/>
        </w:rPr>
        <w:t xml:space="preserve">. </w:t>
      </w:r>
    </w:p>
    <w:p w:rsidRPr="00071753" w:rsidR="00071753" w:rsidP="00071753" w:rsidRDefault="00071753" w14:paraId="5E7BCF50" w14:textId="2F77805E">
      <w:pPr>
        <w:pStyle w:val="Paragraph"/>
        <w:tabs>
          <w:tab w:val="num" w:pos="720"/>
        </w:tabs>
        <w:ind w:left="720" w:hanging="720"/>
        <w:rPr>
          <w:rFonts w:ascii="Arial" w:hAnsi="Arial" w:cs="Arial"/>
          <w:sz w:val="22"/>
          <w:szCs w:val="22"/>
        </w:rPr>
      </w:pPr>
      <w:r w:rsidRPr="00071753">
        <w:rPr>
          <w:rFonts w:ascii="Arial" w:hAnsi="Arial" w:cs="Arial"/>
          <w:sz w:val="22"/>
          <w:szCs w:val="22"/>
        </w:rPr>
        <w:t>Se concluyó que las soluciones de generación con fuentes renovables (fotovoltaicas)</w:t>
      </w:r>
      <w:r w:rsidR="00930E4D">
        <w:rPr>
          <w:rFonts w:ascii="Arial" w:hAnsi="Arial" w:cs="Arial"/>
          <w:sz w:val="22"/>
          <w:szCs w:val="22"/>
        </w:rPr>
        <w:t>,</w:t>
      </w:r>
      <w:r w:rsidRPr="00071753">
        <w:rPr>
          <w:rFonts w:ascii="Arial" w:hAnsi="Arial" w:cs="Arial"/>
          <w:sz w:val="22"/>
          <w:szCs w:val="22"/>
        </w:rPr>
        <w:t xml:space="preserve"> incorporando sistema de almacenamiento y distribución en </w:t>
      </w:r>
      <w:proofErr w:type="spellStart"/>
      <w:r w:rsidRPr="00071753">
        <w:rPr>
          <w:rFonts w:ascii="Arial" w:hAnsi="Arial" w:cs="Arial"/>
          <w:sz w:val="22"/>
          <w:szCs w:val="22"/>
        </w:rPr>
        <w:t>micro-redes</w:t>
      </w:r>
      <w:proofErr w:type="spellEnd"/>
      <w:r w:rsidRPr="00071753">
        <w:rPr>
          <w:rFonts w:ascii="Arial" w:hAnsi="Arial" w:cs="Arial"/>
          <w:sz w:val="22"/>
          <w:szCs w:val="22"/>
        </w:rPr>
        <w:t>, son las más adecuadas en términos de costos de inversión y operación y de viabilidad técnica para instalación en localidades de difícil acceso. Dada la limitante en recursos disponibles</w:t>
      </w:r>
      <w:r w:rsidR="00930E4D">
        <w:rPr>
          <w:rFonts w:ascii="Arial" w:hAnsi="Arial" w:cs="Arial"/>
          <w:sz w:val="22"/>
          <w:szCs w:val="22"/>
        </w:rPr>
        <w:t xml:space="preserve"> bajo este programa</w:t>
      </w:r>
      <w:r w:rsidRPr="00071753">
        <w:rPr>
          <w:rFonts w:ascii="Arial" w:hAnsi="Arial" w:cs="Arial"/>
          <w:sz w:val="22"/>
          <w:szCs w:val="22"/>
        </w:rPr>
        <w:t xml:space="preserve">, </w:t>
      </w:r>
      <w:r w:rsidRPr="00071753">
        <w:rPr>
          <w:rFonts w:ascii="Arial" w:hAnsi="Arial" w:cs="Arial"/>
          <w:sz w:val="22"/>
          <w:szCs w:val="22"/>
          <w:lang w:val="es-ES_tradnl"/>
        </w:rPr>
        <w:t xml:space="preserve">con base en criterios </w:t>
      </w:r>
      <w:r w:rsidRPr="00071753" w:rsidR="00A32858">
        <w:rPr>
          <w:rFonts w:ascii="Arial" w:hAnsi="Arial" w:cs="Arial"/>
          <w:sz w:val="22"/>
          <w:szCs w:val="22"/>
          <w:lang w:val="es-ES_tradnl"/>
        </w:rPr>
        <w:t>socioeconómicos</w:t>
      </w:r>
      <w:r w:rsidRPr="00071753">
        <w:rPr>
          <w:rFonts w:ascii="Arial" w:hAnsi="Arial" w:cs="Arial"/>
          <w:sz w:val="22"/>
          <w:szCs w:val="22"/>
          <w:lang w:val="es-ES_tradnl"/>
        </w:rPr>
        <w:t xml:space="preserve">, tales como niveles de pobreza, acceso a servicio eléctrico, y costos de suministro de energía, se seleccionaron localidades en los de los Departamentos de Gracias a Dios, Islas de la Bahía y Choluteca. Concretamente, </w:t>
      </w:r>
      <w:r w:rsidRPr="00071753">
        <w:rPr>
          <w:rFonts w:ascii="Arial" w:hAnsi="Arial" w:cs="Arial"/>
          <w:sz w:val="22"/>
          <w:szCs w:val="22"/>
        </w:rPr>
        <w:t>se aplicaron los siguientes criterios de selección de comunidades beneficiarias:</w:t>
      </w:r>
    </w:p>
    <w:p w:rsidRPr="00AF1753" w:rsidR="00071753" w:rsidP="00071753" w:rsidRDefault="00071753" w14:paraId="4ECD1F55" w14:textId="5852F79E">
      <w:pPr>
        <w:pStyle w:val="ListParagraph"/>
        <w:numPr>
          <w:ilvl w:val="0"/>
          <w:numId w:val="3"/>
        </w:numPr>
        <w:spacing w:before="100" w:beforeAutospacing="1" w:after="100" w:afterAutospacing="1"/>
        <w:jc w:val="both"/>
        <w:rPr>
          <w:rFonts w:ascii="Arial" w:hAnsi="Arial" w:cs="Arial"/>
          <w:sz w:val="22"/>
          <w:szCs w:val="22"/>
        </w:rPr>
      </w:pPr>
      <w:r w:rsidRPr="00AF1753">
        <w:rPr>
          <w:rFonts w:ascii="Arial" w:hAnsi="Arial" w:cs="Arial"/>
          <w:sz w:val="22"/>
          <w:szCs w:val="22"/>
        </w:rPr>
        <w:t>Lugares aislados del Sistema de Interconexión Nacional (SIN) de la ENEE</w:t>
      </w:r>
      <w:r w:rsidR="00930E4D">
        <w:rPr>
          <w:rFonts w:ascii="Arial" w:hAnsi="Arial" w:cs="Arial"/>
          <w:sz w:val="22"/>
          <w:szCs w:val="22"/>
        </w:rPr>
        <w:t xml:space="preserve"> donde</w:t>
      </w:r>
      <w:r w:rsidRPr="00AF1753">
        <w:rPr>
          <w:rFonts w:ascii="Arial" w:hAnsi="Arial" w:cs="Arial"/>
          <w:sz w:val="22"/>
          <w:szCs w:val="22"/>
        </w:rPr>
        <w:t xml:space="preserve"> no llegará en los próximos diez años.</w:t>
      </w:r>
    </w:p>
    <w:p w:rsidRPr="00AF1753" w:rsidR="00071753" w:rsidP="00071753" w:rsidRDefault="00071753" w14:paraId="2E37CF9B" w14:textId="77777777">
      <w:pPr>
        <w:pStyle w:val="ListParagraph"/>
        <w:numPr>
          <w:ilvl w:val="0"/>
          <w:numId w:val="3"/>
        </w:numPr>
        <w:spacing w:before="100" w:beforeAutospacing="1" w:after="100" w:afterAutospacing="1"/>
        <w:jc w:val="both"/>
        <w:rPr>
          <w:rFonts w:ascii="Arial" w:hAnsi="Arial" w:cs="Arial"/>
          <w:sz w:val="22"/>
          <w:szCs w:val="22"/>
        </w:rPr>
      </w:pPr>
      <w:r w:rsidRPr="00AF1753">
        <w:rPr>
          <w:rFonts w:ascii="Arial" w:hAnsi="Arial" w:cs="Arial"/>
          <w:sz w:val="22"/>
          <w:szCs w:val="22"/>
        </w:rPr>
        <w:t>Costo de electrificación elevado.</w:t>
      </w:r>
    </w:p>
    <w:p w:rsidRPr="00AF1753" w:rsidR="00071753" w:rsidP="00071753" w:rsidRDefault="00071753" w14:paraId="2E242AFA" w14:textId="1D7638D7">
      <w:pPr>
        <w:pStyle w:val="ListParagraph"/>
        <w:numPr>
          <w:ilvl w:val="0"/>
          <w:numId w:val="3"/>
        </w:numPr>
        <w:spacing w:before="100" w:beforeAutospacing="1" w:after="100" w:afterAutospacing="1"/>
        <w:jc w:val="both"/>
        <w:rPr>
          <w:rFonts w:ascii="Arial" w:hAnsi="Arial" w:cs="Arial"/>
          <w:sz w:val="22"/>
          <w:szCs w:val="22"/>
        </w:rPr>
      </w:pPr>
      <w:r w:rsidRPr="00AF1753">
        <w:rPr>
          <w:rFonts w:ascii="Arial" w:hAnsi="Arial" w:cs="Arial"/>
          <w:sz w:val="22"/>
          <w:szCs w:val="22"/>
        </w:rPr>
        <w:t xml:space="preserve">Participación del BID con Cooperaciones técnicas en los territorios donde existe un trabajo previo de desarrollo de capacidades y gobernabilidad. </w:t>
      </w:r>
      <w:r w:rsidR="00930E4D">
        <w:rPr>
          <w:rFonts w:ascii="Arial" w:hAnsi="Arial" w:cs="Arial"/>
          <w:sz w:val="22"/>
          <w:szCs w:val="22"/>
        </w:rPr>
        <w:t>(</w:t>
      </w:r>
      <w:r w:rsidRPr="00AF1753">
        <w:rPr>
          <w:rFonts w:ascii="Arial" w:hAnsi="Arial" w:cs="Arial"/>
          <w:sz w:val="22"/>
          <w:szCs w:val="22"/>
        </w:rPr>
        <w:t xml:space="preserve">Cooperación técnica de evaluación de recurso renovable en Islas de la Bahía y Proyecto </w:t>
      </w:r>
      <w:proofErr w:type="spellStart"/>
      <w:r w:rsidRPr="00AF1753">
        <w:rPr>
          <w:rFonts w:ascii="Arial" w:hAnsi="Arial" w:cs="Arial"/>
          <w:sz w:val="22"/>
          <w:szCs w:val="22"/>
        </w:rPr>
        <w:t>MiPesca</w:t>
      </w:r>
      <w:proofErr w:type="spellEnd"/>
      <w:r w:rsidRPr="00AF1753">
        <w:rPr>
          <w:rFonts w:ascii="Arial" w:hAnsi="Arial" w:cs="Arial"/>
          <w:sz w:val="22"/>
          <w:szCs w:val="22"/>
        </w:rPr>
        <w:t xml:space="preserve"> lo cual ha permitido fortalecer las relaciones con los actores más importantes y la gobernabilidad</w:t>
      </w:r>
      <w:r w:rsidR="00930E4D">
        <w:rPr>
          <w:rFonts w:ascii="Arial" w:hAnsi="Arial" w:cs="Arial"/>
          <w:sz w:val="22"/>
          <w:szCs w:val="22"/>
        </w:rPr>
        <w:t xml:space="preserve"> y se cuenta con una b</w:t>
      </w:r>
      <w:r w:rsidRPr="00AF1753">
        <w:rPr>
          <w:rFonts w:ascii="Arial" w:hAnsi="Arial" w:cs="Arial"/>
          <w:sz w:val="22"/>
          <w:szCs w:val="22"/>
        </w:rPr>
        <w:t>uena caracterización socioeconómica del lugar.</w:t>
      </w:r>
    </w:p>
    <w:p w:rsidRPr="00AF1753" w:rsidR="00071753" w:rsidP="00071753" w:rsidRDefault="00071753" w14:paraId="3C917F1B" w14:textId="77777777">
      <w:pPr>
        <w:pStyle w:val="ListParagraph"/>
        <w:numPr>
          <w:ilvl w:val="0"/>
          <w:numId w:val="3"/>
        </w:numPr>
        <w:spacing w:before="100" w:beforeAutospacing="1" w:after="100" w:afterAutospacing="1"/>
        <w:jc w:val="both"/>
        <w:rPr>
          <w:rFonts w:ascii="Arial" w:hAnsi="Arial" w:cs="Arial"/>
          <w:sz w:val="22"/>
          <w:szCs w:val="22"/>
        </w:rPr>
      </w:pPr>
      <w:r w:rsidRPr="00AF1753">
        <w:rPr>
          <w:rFonts w:ascii="Arial" w:hAnsi="Arial" w:cs="Arial"/>
          <w:sz w:val="22"/>
          <w:szCs w:val="22"/>
        </w:rPr>
        <w:t>Potencial de desarrollo productivo de zonas deprimidas económicamente donde la energía eléctrica es clave para el desarrollo productivo.</w:t>
      </w:r>
    </w:p>
    <w:p w:rsidRPr="00AF1753" w:rsidR="00071753" w:rsidP="00071753" w:rsidRDefault="00071753" w14:paraId="34C5F0D2" w14:textId="77777777">
      <w:pPr>
        <w:pStyle w:val="ListParagraph"/>
        <w:numPr>
          <w:ilvl w:val="0"/>
          <w:numId w:val="3"/>
        </w:numPr>
        <w:spacing w:before="100" w:beforeAutospacing="1" w:after="100" w:afterAutospacing="1"/>
        <w:jc w:val="both"/>
        <w:rPr>
          <w:rFonts w:ascii="Arial" w:hAnsi="Arial" w:cs="Arial"/>
          <w:sz w:val="22"/>
          <w:szCs w:val="22"/>
        </w:rPr>
      </w:pPr>
      <w:r w:rsidRPr="00AF1753">
        <w:rPr>
          <w:rFonts w:ascii="Arial" w:hAnsi="Arial" w:cs="Arial"/>
          <w:sz w:val="22"/>
          <w:szCs w:val="22"/>
        </w:rPr>
        <w:t>Minimización de riesgos sociales con grupos indígenas.</w:t>
      </w:r>
    </w:p>
    <w:p w:rsidRPr="00B80216" w:rsidR="00071753" w:rsidP="0046661A" w:rsidRDefault="00071753" w14:paraId="28B4831B" w14:textId="1A01E34D">
      <w:pPr>
        <w:pStyle w:val="ListParagraph"/>
        <w:numPr>
          <w:ilvl w:val="0"/>
          <w:numId w:val="3"/>
        </w:numPr>
        <w:spacing w:before="100" w:beforeAutospacing="1" w:after="100" w:afterAutospacing="1"/>
        <w:jc w:val="both"/>
        <w:rPr>
          <w:rFonts w:ascii="Arial" w:hAnsi="Arial" w:cs="Arial"/>
          <w:sz w:val="22"/>
          <w:szCs w:val="22"/>
        </w:rPr>
      </w:pPr>
      <w:r w:rsidRPr="00AF1753">
        <w:rPr>
          <w:rFonts w:ascii="Arial" w:hAnsi="Arial" w:cs="Arial"/>
          <w:sz w:val="22"/>
          <w:szCs w:val="22"/>
        </w:rPr>
        <w:t xml:space="preserve">Se </w:t>
      </w:r>
      <w:r w:rsidRPr="00B80216">
        <w:rPr>
          <w:rFonts w:ascii="Arial" w:hAnsi="Arial" w:cs="Arial"/>
          <w:sz w:val="22"/>
          <w:szCs w:val="22"/>
        </w:rPr>
        <w:t>encuentr</w:t>
      </w:r>
      <w:r w:rsidR="0046661A">
        <w:rPr>
          <w:rFonts w:ascii="Arial" w:hAnsi="Arial" w:cs="Arial"/>
          <w:sz w:val="22"/>
          <w:szCs w:val="22"/>
        </w:rPr>
        <w:t>a</w:t>
      </w:r>
      <w:r w:rsidRPr="00B80216">
        <w:rPr>
          <w:rFonts w:ascii="Arial" w:hAnsi="Arial" w:cs="Arial"/>
          <w:sz w:val="22"/>
          <w:szCs w:val="22"/>
        </w:rPr>
        <w:t xml:space="preserve">n </w:t>
      </w:r>
      <w:r w:rsidR="00930E4D">
        <w:rPr>
          <w:rFonts w:ascii="Arial" w:hAnsi="Arial" w:cs="Arial"/>
          <w:sz w:val="22"/>
          <w:szCs w:val="22"/>
        </w:rPr>
        <w:t xml:space="preserve">bajo </w:t>
      </w:r>
      <w:r w:rsidRPr="00B80216">
        <w:rPr>
          <w:rFonts w:ascii="Arial" w:hAnsi="Arial" w:cs="Arial"/>
          <w:sz w:val="22"/>
          <w:szCs w:val="22"/>
        </w:rPr>
        <w:t>el Índice de extrema pobreza</w:t>
      </w:r>
    </w:p>
    <w:p w:rsidR="00071753" w:rsidP="00071753" w:rsidRDefault="00071753" w14:paraId="30165BFB" w14:textId="77777777">
      <w:pPr>
        <w:pStyle w:val="ListParagraph"/>
        <w:numPr>
          <w:ilvl w:val="0"/>
          <w:numId w:val="3"/>
        </w:numPr>
        <w:spacing w:before="100" w:beforeAutospacing="1" w:after="100" w:afterAutospacing="1"/>
        <w:jc w:val="both"/>
        <w:rPr>
          <w:rFonts w:ascii="Arial" w:hAnsi="Arial" w:cs="Arial"/>
          <w:sz w:val="22"/>
          <w:szCs w:val="22"/>
        </w:rPr>
      </w:pPr>
      <w:r w:rsidRPr="00B80216">
        <w:rPr>
          <w:rFonts w:ascii="Arial" w:hAnsi="Arial" w:cs="Arial"/>
          <w:sz w:val="22"/>
          <w:szCs w:val="22"/>
        </w:rPr>
        <w:t>No existe participación de otros donantes</w:t>
      </w:r>
    </w:p>
    <w:p w:rsidR="00071753" w:rsidP="00071753" w:rsidRDefault="00071753" w14:paraId="64D3765C" w14:textId="4DD82296">
      <w:pPr>
        <w:pStyle w:val="Paragraph"/>
        <w:tabs>
          <w:tab w:val="num" w:pos="720"/>
        </w:tabs>
        <w:ind w:left="720" w:hanging="720"/>
        <w:rPr>
          <w:rFonts w:ascii="Arial" w:hAnsi="Arial" w:cs="Arial"/>
          <w:sz w:val="22"/>
          <w:szCs w:val="22"/>
        </w:rPr>
      </w:pPr>
      <w:r>
        <w:rPr>
          <w:rFonts w:ascii="Arial" w:hAnsi="Arial" w:cs="Arial"/>
          <w:sz w:val="22"/>
          <w:szCs w:val="22"/>
        </w:rPr>
        <w:t>Con base en estos criterios, se</w:t>
      </w:r>
      <w:r w:rsidRPr="00490D02">
        <w:rPr>
          <w:rFonts w:ascii="Arial" w:hAnsi="Arial" w:cs="Arial"/>
          <w:sz w:val="22"/>
          <w:szCs w:val="22"/>
        </w:rPr>
        <w:t xml:space="preserve"> seleccionaron como beneficiarios del programa, </w:t>
      </w:r>
      <w:r>
        <w:rPr>
          <w:rFonts w:ascii="Arial" w:hAnsi="Arial" w:cs="Arial"/>
          <w:sz w:val="22"/>
          <w:szCs w:val="22"/>
        </w:rPr>
        <w:t xml:space="preserve">los siguientes </w:t>
      </w:r>
      <w:r w:rsidRPr="00490D02">
        <w:rPr>
          <w:rFonts w:ascii="Arial" w:hAnsi="Arial" w:cs="Arial"/>
          <w:sz w:val="22"/>
          <w:szCs w:val="22"/>
        </w:rPr>
        <w:t>municipios:</w:t>
      </w:r>
      <w:r w:rsidR="00930E4D">
        <w:rPr>
          <w:rFonts w:ascii="Arial" w:hAnsi="Arial" w:cs="Arial"/>
          <w:sz w:val="22"/>
          <w:szCs w:val="22"/>
        </w:rPr>
        <w:t xml:space="preserve"> (1)</w:t>
      </w:r>
      <w:r w:rsidRPr="00490D02">
        <w:rPr>
          <w:rFonts w:ascii="Arial" w:hAnsi="Arial" w:cs="Arial"/>
          <w:sz w:val="22"/>
          <w:szCs w:val="22"/>
        </w:rPr>
        <w:t xml:space="preserve"> Isla Guanaja en Islas de la Bahía; </w:t>
      </w:r>
      <w:r w:rsidR="00DA34FA">
        <w:rPr>
          <w:rFonts w:ascii="Arial" w:hAnsi="Arial" w:cs="Arial"/>
          <w:sz w:val="22"/>
          <w:szCs w:val="22"/>
        </w:rPr>
        <w:t xml:space="preserve">(2) </w:t>
      </w:r>
      <w:proofErr w:type="spellStart"/>
      <w:r w:rsidRPr="00490D02">
        <w:rPr>
          <w:rFonts w:ascii="Arial" w:hAnsi="Arial" w:cs="Arial"/>
          <w:sz w:val="22"/>
          <w:szCs w:val="22"/>
        </w:rPr>
        <w:t>Bruss</w:t>
      </w:r>
      <w:proofErr w:type="spellEnd"/>
      <w:r w:rsidRPr="00490D02">
        <w:rPr>
          <w:rFonts w:ascii="Arial" w:hAnsi="Arial" w:cs="Arial"/>
          <w:sz w:val="22"/>
          <w:szCs w:val="22"/>
        </w:rPr>
        <w:t xml:space="preserve"> Laguna en Gracias a Dios; </w:t>
      </w:r>
      <w:r w:rsidR="00DA34FA">
        <w:rPr>
          <w:rFonts w:ascii="Arial" w:hAnsi="Arial" w:cs="Arial"/>
          <w:sz w:val="22"/>
          <w:szCs w:val="22"/>
        </w:rPr>
        <w:t xml:space="preserve">(3) </w:t>
      </w:r>
      <w:r w:rsidRPr="00490D02">
        <w:rPr>
          <w:rFonts w:ascii="Arial" w:hAnsi="Arial" w:cs="Arial"/>
          <w:sz w:val="22"/>
          <w:szCs w:val="22"/>
        </w:rPr>
        <w:t>Concepción de María y</w:t>
      </w:r>
      <w:r w:rsidR="00DA34FA">
        <w:rPr>
          <w:rFonts w:ascii="Arial" w:hAnsi="Arial" w:cs="Arial"/>
          <w:sz w:val="22"/>
          <w:szCs w:val="22"/>
        </w:rPr>
        <w:t xml:space="preserve"> (4) </w:t>
      </w:r>
      <w:r w:rsidRPr="00490D02" w:rsidR="00DA34FA">
        <w:rPr>
          <w:rFonts w:ascii="Arial" w:hAnsi="Arial" w:cs="Arial"/>
          <w:sz w:val="22"/>
          <w:szCs w:val="22"/>
        </w:rPr>
        <w:t>El</w:t>
      </w:r>
      <w:r w:rsidRPr="00490D02">
        <w:rPr>
          <w:rFonts w:ascii="Arial" w:hAnsi="Arial" w:cs="Arial"/>
          <w:sz w:val="22"/>
          <w:szCs w:val="22"/>
        </w:rPr>
        <w:t xml:space="preserve"> Corpus en Choluteca, Golfo de Fonseca.</w:t>
      </w:r>
    </w:p>
    <w:p w:rsidRPr="00071753" w:rsidR="00071753" w:rsidP="00071753" w:rsidRDefault="00071753" w14:paraId="0C9413AB" w14:textId="79AAD83F">
      <w:pPr>
        <w:pStyle w:val="Paragraph"/>
        <w:tabs>
          <w:tab w:val="num" w:pos="720"/>
          <w:tab w:val="num" w:pos="1566"/>
        </w:tabs>
        <w:snapToGrid w:val="0"/>
        <w:ind w:left="720" w:hanging="720"/>
      </w:pPr>
      <w:bookmarkStart w:name="_Hlk482099534" w:id="12"/>
      <w:r>
        <w:rPr>
          <w:rFonts w:ascii="Arial" w:hAnsi="Arial" w:cs="Arial"/>
          <w:sz w:val="22"/>
          <w:szCs w:val="22"/>
          <w:lang w:val="es-US"/>
        </w:rPr>
        <w:t>El programa reconoce que la</w:t>
      </w:r>
      <w:r w:rsidRPr="001E1865">
        <w:rPr>
          <w:rFonts w:ascii="Arial" w:hAnsi="Arial" w:cs="Arial"/>
          <w:sz w:val="22"/>
          <w:szCs w:val="22"/>
          <w:lang w:val="es-US"/>
        </w:rPr>
        <w:t xml:space="preserve"> provisión de electricidad mediante </w:t>
      </w:r>
      <w:r>
        <w:rPr>
          <w:rFonts w:ascii="Arial" w:hAnsi="Arial" w:cs="Arial"/>
          <w:sz w:val="22"/>
          <w:szCs w:val="22"/>
          <w:lang w:val="es-US"/>
        </w:rPr>
        <w:t>ERNC en zonas aisladas</w:t>
      </w:r>
      <w:r w:rsidRPr="001E1865">
        <w:rPr>
          <w:rFonts w:ascii="Arial" w:hAnsi="Arial" w:cs="Arial"/>
          <w:sz w:val="22"/>
          <w:szCs w:val="22"/>
          <w:lang w:val="es-US"/>
        </w:rPr>
        <w:t xml:space="preserve">, sobre todo las de tipo individual que no cuentan con una empresa que administre, opere y mantenga el sistema eléctrico, presenta dificultades para su gestión, pues no existe una institucionalidad que la regule. </w:t>
      </w:r>
      <w:bookmarkStart w:name="_Hlk482099591" w:id="13"/>
      <w:bookmarkEnd w:id="12"/>
      <w:r>
        <w:rPr>
          <w:rFonts w:ascii="Arial" w:hAnsi="Arial" w:cs="Arial"/>
          <w:sz w:val="22"/>
          <w:szCs w:val="22"/>
          <w:lang w:val="es-US"/>
        </w:rPr>
        <w:t>El programa pone</w:t>
      </w:r>
      <w:r w:rsidRPr="001E1865">
        <w:rPr>
          <w:rFonts w:ascii="Arial" w:hAnsi="Arial" w:cs="Arial"/>
          <w:sz w:val="22"/>
          <w:szCs w:val="22"/>
          <w:lang w:val="es-US"/>
        </w:rPr>
        <w:t xml:space="preserve"> </w:t>
      </w:r>
      <w:r w:rsidRPr="001E1865">
        <w:rPr>
          <w:rFonts w:ascii="Arial" w:hAnsi="Arial" w:cs="Arial"/>
          <w:sz w:val="22"/>
          <w:szCs w:val="22"/>
          <w:lang w:val="es-ES_tradnl"/>
        </w:rPr>
        <w:t>especial</w:t>
      </w:r>
      <w:r>
        <w:rPr>
          <w:rFonts w:ascii="Arial" w:hAnsi="Arial" w:cs="Arial"/>
          <w:sz w:val="22"/>
          <w:szCs w:val="22"/>
          <w:lang w:val="es-US"/>
        </w:rPr>
        <w:t xml:space="preserve"> atención </w:t>
      </w:r>
      <w:r w:rsidR="00BF0325">
        <w:rPr>
          <w:rFonts w:ascii="Arial" w:hAnsi="Arial" w:cs="Arial"/>
          <w:sz w:val="22"/>
          <w:szCs w:val="22"/>
          <w:lang w:val="es-US"/>
        </w:rPr>
        <w:t xml:space="preserve">a </w:t>
      </w:r>
      <w:r w:rsidRPr="001E1865">
        <w:rPr>
          <w:rFonts w:ascii="Arial" w:hAnsi="Arial" w:cs="Arial"/>
          <w:sz w:val="22"/>
          <w:szCs w:val="22"/>
          <w:lang w:val="es-ES_tradnl"/>
        </w:rPr>
        <w:t xml:space="preserve">asegurar la adopción de modelos de gestión conducentes </w:t>
      </w:r>
      <w:bookmarkEnd w:id="13"/>
      <w:r w:rsidRPr="001E1865">
        <w:rPr>
          <w:rFonts w:ascii="Arial" w:hAnsi="Arial" w:cs="Arial"/>
          <w:sz w:val="22"/>
          <w:szCs w:val="22"/>
          <w:lang w:val="es-ES_tradnl"/>
        </w:rPr>
        <w:t>a la sostenibilidad financiera y operativa de los sistemas</w:t>
      </w:r>
      <w:r w:rsidRPr="001E1865">
        <w:rPr>
          <w:rFonts w:ascii="Arial" w:hAnsi="Arial" w:cs="Arial"/>
          <w:sz w:val="22"/>
          <w:szCs w:val="22"/>
          <w:lang w:val="es-US"/>
        </w:rPr>
        <w:t xml:space="preserve"> que se implementará</w:t>
      </w:r>
      <w:r>
        <w:rPr>
          <w:rFonts w:ascii="Arial" w:hAnsi="Arial" w:cs="Arial"/>
          <w:sz w:val="22"/>
          <w:szCs w:val="22"/>
          <w:lang w:val="es-US"/>
        </w:rPr>
        <w:t>n,</w:t>
      </w:r>
      <w:r w:rsidRPr="001E1865">
        <w:rPr>
          <w:rFonts w:ascii="Arial" w:hAnsi="Arial" w:cs="Arial"/>
          <w:sz w:val="22"/>
          <w:szCs w:val="22"/>
          <w:lang w:val="es-US"/>
        </w:rPr>
        <w:t xml:space="preserve"> para la operación, </w:t>
      </w:r>
      <w:r w:rsidR="00DA34FA">
        <w:rPr>
          <w:rFonts w:ascii="Arial" w:hAnsi="Arial" w:cs="Arial"/>
          <w:sz w:val="22"/>
          <w:szCs w:val="22"/>
          <w:lang w:val="es-US"/>
        </w:rPr>
        <w:t xml:space="preserve">mantenimiento, administración, </w:t>
      </w:r>
      <w:r w:rsidRPr="001E1865" w:rsidR="00DA34FA">
        <w:rPr>
          <w:rFonts w:ascii="Arial" w:hAnsi="Arial" w:cs="Arial"/>
          <w:sz w:val="22"/>
          <w:szCs w:val="22"/>
          <w:lang w:val="es-ES_tradnl"/>
        </w:rPr>
        <w:t>capitación</w:t>
      </w:r>
      <w:r w:rsidRPr="001E1865">
        <w:rPr>
          <w:rFonts w:ascii="Arial" w:hAnsi="Arial" w:cs="Arial"/>
          <w:sz w:val="22"/>
          <w:szCs w:val="22"/>
          <w:lang w:val="es-ES_tradnl"/>
        </w:rPr>
        <w:t xml:space="preserve">, </w:t>
      </w:r>
      <w:r>
        <w:rPr>
          <w:rFonts w:ascii="Arial" w:hAnsi="Arial" w:cs="Arial"/>
          <w:sz w:val="22"/>
          <w:szCs w:val="22"/>
          <w:lang w:val="es-ES_tradnl"/>
        </w:rPr>
        <w:t xml:space="preserve">y </w:t>
      </w:r>
      <w:r w:rsidRPr="001E1865">
        <w:rPr>
          <w:rFonts w:ascii="Arial" w:hAnsi="Arial" w:cs="Arial"/>
          <w:sz w:val="22"/>
          <w:szCs w:val="22"/>
          <w:lang w:val="es-ES_tradnl"/>
        </w:rPr>
        <w:t>organización comun</w:t>
      </w:r>
      <w:r>
        <w:rPr>
          <w:rFonts w:ascii="Arial" w:hAnsi="Arial" w:cs="Arial"/>
          <w:sz w:val="22"/>
          <w:szCs w:val="22"/>
          <w:lang w:val="es-ES_tradnl"/>
        </w:rPr>
        <w:t>itaria.</w:t>
      </w:r>
    </w:p>
    <w:p w:rsidRPr="00180933" w:rsidR="00D71198" w:rsidP="0082305A" w:rsidRDefault="00D71198" w14:paraId="04F25710" w14:textId="4420D181">
      <w:pPr>
        <w:pStyle w:val="Paragraph"/>
        <w:ind w:left="720" w:hanging="720"/>
        <w:rPr>
          <w:rFonts w:ascii="Arial" w:hAnsi="Arial" w:cs="Arial"/>
          <w:sz w:val="22"/>
          <w:szCs w:val="22"/>
        </w:rPr>
      </w:pPr>
      <w:r w:rsidRPr="00180933">
        <w:rPr>
          <w:rFonts w:ascii="Arial" w:hAnsi="Arial" w:cs="Arial"/>
          <w:b/>
          <w:sz w:val="22"/>
          <w:szCs w:val="22"/>
        </w:rPr>
        <w:t xml:space="preserve">Objetivo general. </w:t>
      </w:r>
      <w:r w:rsidRPr="000F242B" w:rsidR="000F242B">
        <w:rPr>
          <w:rFonts w:ascii="Arial" w:hAnsi="Arial" w:cs="Arial"/>
          <w:sz w:val="22"/>
          <w:szCs w:val="22"/>
        </w:rPr>
        <w:t xml:space="preserve">El objetivo general del programa es apoyar al incremento de la cobertura eléctrica en Honduras, mediante la implementación de proyectos de generación de energía renovable descentralizada y distribuida en </w:t>
      </w:r>
      <w:proofErr w:type="spellStart"/>
      <w:r w:rsidRPr="000F242B" w:rsidR="000F242B">
        <w:rPr>
          <w:rFonts w:ascii="Arial" w:hAnsi="Arial" w:cs="Arial"/>
          <w:sz w:val="22"/>
          <w:szCs w:val="22"/>
        </w:rPr>
        <w:t>micro-redes</w:t>
      </w:r>
      <w:proofErr w:type="spellEnd"/>
      <w:r w:rsidRPr="000F242B" w:rsidR="000F242B">
        <w:rPr>
          <w:rFonts w:ascii="Arial" w:hAnsi="Arial" w:cs="Arial"/>
          <w:sz w:val="22"/>
          <w:szCs w:val="22"/>
        </w:rPr>
        <w:t xml:space="preserve">. </w:t>
      </w:r>
      <w:r w:rsidRPr="000F242B" w:rsidR="000F242B">
        <w:rPr>
          <w:rFonts w:ascii="Arial" w:hAnsi="Arial" w:cs="Arial"/>
          <w:sz w:val="22"/>
          <w:szCs w:val="22"/>
        </w:rPr>
        <w:lastRenderedPageBreak/>
        <w:t>Los objetivos específicos son: (i) incremento al acceso de electricidad a poblaciones que no cuentan con el servicio; (</w:t>
      </w:r>
      <w:proofErr w:type="spellStart"/>
      <w:r w:rsidRPr="000F242B" w:rsidR="000F242B">
        <w:rPr>
          <w:rFonts w:ascii="Arial" w:hAnsi="Arial" w:cs="Arial"/>
          <w:sz w:val="22"/>
          <w:szCs w:val="22"/>
        </w:rPr>
        <w:t>ii</w:t>
      </w:r>
      <w:proofErr w:type="spellEnd"/>
      <w:r w:rsidRPr="000F242B" w:rsidR="000F242B">
        <w:rPr>
          <w:rFonts w:ascii="Arial" w:hAnsi="Arial" w:cs="Arial"/>
          <w:sz w:val="22"/>
          <w:szCs w:val="22"/>
        </w:rPr>
        <w:t xml:space="preserve">) reducir el costo de la energía eléctrica a poblaciones que cuentan con suministro eléctrico basado en </w:t>
      </w:r>
      <w:proofErr w:type="spellStart"/>
      <w:r w:rsidRPr="000F242B" w:rsidR="000F242B">
        <w:rPr>
          <w:rFonts w:ascii="Arial" w:hAnsi="Arial" w:cs="Arial"/>
          <w:sz w:val="22"/>
          <w:szCs w:val="22"/>
        </w:rPr>
        <w:t>micro-redes</w:t>
      </w:r>
      <w:proofErr w:type="spellEnd"/>
      <w:r w:rsidRPr="000F242B" w:rsidR="000F242B">
        <w:rPr>
          <w:rFonts w:ascii="Arial" w:hAnsi="Arial" w:cs="Arial"/>
          <w:sz w:val="22"/>
          <w:szCs w:val="22"/>
        </w:rPr>
        <w:t xml:space="preserve"> con generación diésel; y (</w:t>
      </w:r>
      <w:proofErr w:type="spellStart"/>
      <w:r w:rsidRPr="000F242B" w:rsidR="000F242B">
        <w:rPr>
          <w:rFonts w:ascii="Arial" w:hAnsi="Arial" w:cs="Arial"/>
          <w:sz w:val="22"/>
          <w:szCs w:val="22"/>
        </w:rPr>
        <w:t>iii</w:t>
      </w:r>
      <w:proofErr w:type="spellEnd"/>
      <w:r w:rsidRPr="000F242B" w:rsidR="000F242B">
        <w:rPr>
          <w:rFonts w:ascii="Arial" w:hAnsi="Arial" w:cs="Arial"/>
          <w:sz w:val="22"/>
          <w:szCs w:val="22"/>
        </w:rPr>
        <w:t>) desarrollar capacidades institucionales del sector para el diseño, construcción, operación y mantenimiento de estos proyectos</w:t>
      </w:r>
      <w:r w:rsidRPr="00180933">
        <w:rPr>
          <w:rFonts w:ascii="Arial" w:hAnsi="Arial" w:cs="Arial"/>
          <w:sz w:val="22"/>
          <w:szCs w:val="22"/>
        </w:rPr>
        <w:t>.</w:t>
      </w:r>
    </w:p>
    <w:p w:rsidRPr="009023D1" w:rsidR="00E16AE1" w:rsidP="0082305A" w:rsidRDefault="00D71198" w14:paraId="08042F68" w14:textId="2507B8B6">
      <w:pPr>
        <w:pStyle w:val="Paragraph"/>
        <w:ind w:left="720" w:hanging="720"/>
        <w:rPr>
          <w:rFonts w:ascii="Arial" w:hAnsi="Arial" w:cs="Arial"/>
          <w:sz w:val="22"/>
          <w:szCs w:val="22"/>
        </w:rPr>
      </w:pPr>
      <w:r w:rsidRPr="00180933">
        <w:rPr>
          <w:rFonts w:ascii="Arial" w:hAnsi="Arial" w:cs="Arial"/>
          <w:b/>
          <w:sz w:val="22"/>
          <w:szCs w:val="22"/>
        </w:rPr>
        <w:t>Componente 1. Desarrollo de sistemas de generación eléctrica en lugares rurales aislados del sistema interconectado (US$</w:t>
      </w:r>
      <w:r w:rsidR="0083764B">
        <w:rPr>
          <w:rFonts w:ascii="Arial" w:hAnsi="Arial" w:cs="Arial"/>
          <w:b/>
          <w:sz w:val="22"/>
          <w:szCs w:val="22"/>
        </w:rPr>
        <w:t>5</w:t>
      </w:r>
      <w:r w:rsidRPr="00180933">
        <w:rPr>
          <w:rFonts w:ascii="Arial" w:hAnsi="Arial" w:cs="Arial"/>
          <w:b/>
          <w:sz w:val="22"/>
          <w:szCs w:val="22"/>
        </w:rPr>
        <w:t>,</w:t>
      </w:r>
      <w:r w:rsidR="0083764B">
        <w:rPr>
          <w:rFonts w:ascii="Arial" w:hAnsi="Arial" w:cs="Arial"/>
          <w:b/>
          <w:sz w:val="22"/>
          <w:szCs w:val="22"/>
        </w:rPr>
        <w:t>7</w:t>
      </w:r>
      <w:r w:rsidRPr="00180933">
        <w:rPr>
          <w:rFonts w:ascii="Arial" w:hAnsi="Arial" w:cs="Arial"/>
          <w:b/>
          <w:sz w:val="22"/>
          <w:szCs w:val="22"/>
        </w:rPr>
        <w:t xml:space="preserve">3 millones). </w:t>
      </w:r>
      <w:r w:rsidRPr="00180933" w:rsidR="006D3107">
        <w:rPr>
          <w:rFonts w:ascii="Arial" w:hAnsi="Arial" w:cs="Arial"/>
          <w:sz w:val="22"/>
          <w:szCs w:val="22"/>
        </w:rPr>
        <w:t xml:space="preserve">Se financiarán sistemas de generación con energía renovable distribuida con </w:t>
      </w:r>
      <w:proofErr w:type="spellStart"/>
      <w:r w:rsidRPr="00180933" w:rsidR="006D3107">
        <w:rPr>
          <w:rFonts w:ascii="Arial" w:hAnsi="Arial" w:cs="Arial"/>
          <w:sz w:val="22"/>
          <w:szCs w:val="22"/>
        </w:rPr>
        <w:t>micro-redes</w:t>
      </w:r>
      <w:proofErr w:type="spellEnd"/>
      <w:r w:rsidRPr="00180933" w:rsidR="006D3107">
        <w:rPr>
          <w:rFonts w:ascii="Arial" w:hAnsi="Arial" w:cs="Arial"/>
          <w:sz w:val="22"/>
          <w:szCs w:val="22"/>
        </w:rPr>
        <w:t>, en Brus Laguna y Guanaja por US$5.</w:t>
      </w:r>
      <w:r w:rsidR="0083764B">
        <w:rPr>
          <w:rFonts w:ascii="Arial" w:hAnsi="Arial" w:cs="Arial"/>
          <w:sz w:val="22"/>
          <w:szCs w:val="22"/>
        </w:rPr>
        <w:t>3</w:t>
      </w:r>
      <w:r w:rsidRPr="00180933" w:rsidR="006D3107">
        <w:rPr>
          <w:rFonts w:ascii="Arial" w:hAnsi="Arial" w:cs="Arial"/>
          <w:sz w:val="22"/>
          <w:szCs w:val="22"/>
        </w:rPr>
        <w:t xml:space="preserve"> millones; y sistemas fotovoltaicos domiciliarios en El Corpus y Concepción de María por US$0.</w:t>
      </w:r>
      <w:r w:rsidR="0083764B">
        <w:rPr>
          <w:rFonts w:ascii="Arial" w:hAnsi="Arial" w:cs="Arial"/>
          <w:sz w:val="22"/>
          <w:szCs w:val="22"/>
        </w:rPr>
        <w:t>43</w:t>
      </w:r>
      <w:r w:rsidRPr="00180933" w:rsidR="0083764B">
        <w:rPr>
          <w:rFonts w:ascii="Arial" w:hAnsi="Arial" w:cs="Arial"/>
          <w:sz w:val="22"/>
          <w:szCs w:val="22"/>
        </w:rPr>
        <w:t xml:space="preserve"> </w:t>
      </w:r>
      <w:r w:rsidRPr="00180933" w:rsidR="006D3107">
        <w:rPr>
          <w:rFonts w:ascii="Arial" w:hAnsi="Arial" w:cs="Arial"/>
          <w:sz w:val="22"/>
          <w:szCs w:val="22"/>
        </w:rPr>
        <w:t>millones. Las actividades incluyen diseño definitivo, construcción y supervisión de los proyectos.</w:t>
      </w:r>
      <w:r w:rsidRPr="00180933" w:rsidR="003D2188">
        <w:rPr>
          <w:rFonts w:ascii="Arial" w:hAnsi="Arial" w:cs="Arial"/>
          <w:sz w:val="22"/>
          <w:szCs w:val="22"/>
        </w:rPr>
        <w:t xml:space="preserve"> </w:t>
      </w:r>
      <w:proofErr w:type="gramStart"/>
      <w:r w:rsidRPr="00180933" w:rsidR="003D2188">
        <w:rPr>
          <w:rFonts w:ascii="Arial" w:hAnsi="Arial" w:cs="Arial"/>
          <w:sz w:val="22"/>
          <w:szCs w:val="22"/>
        </w:rPr>
        <w:t>Los proyectos a financiar</w:t>
      </w:r>
      <w:proofErr w:type="gramEnd"/>
      <w:r w:rsidRPr="009023D1" w:rsidR="003D2188">
        <w:rPr>
          <w:rFonts w:ascii="Arial" w:hAnsi="Arial" w:cs="Arial"/>
          <w:sz w:val="22"/>
          <w:szCs w:val="22"/>
        </w:rPr>
        <w:t xml:space="preserve"> son:</w:t>
      </w:r>
    </w:p>
    <w:p w:rsidR="000C67E7" w:rsidP="008E2163" w:rsidRDefault="008D183E" w14:paraId="16EBA10C" w14:textId="475CCD1D">
      <w:pPr>
        <w:pStyle w:val="Paragraph"/>
        <w:ind w:left="720" w:hanging="720"/>
        <w:rPr>
          <w:rFonts w:ascii="Arial" w:hAnsi="Arial" w:eastAsia="Calibri" w:cs="Arial"/>
          <w:sz w:val="22"/>
          <w:szCs w:val="22"/>
        </w:rPr>
      </w:pPr>
      <w:r w:rsidRPr="00CE474C">
        <w:rPr>
          <w:rFonts w:ascii="Arial" w:hAnsi="Arial" w:cs="Arial"/>
          <w:b/>
          <w:sz w:val="22"/>
          <w:szCs w:val="22"/>
        </w:rPr>
        <w:t xml:space="preserve">Sistemas aislados de generación fotovoltaica distribuida en </w:t>
      </w:r>
      <w:proofErr w:type="spellStart"/>
      <w:r w:rsidR="0074018C">
        <w:rPr>
          <w:rFonts w:ascii="Arial" w:hAnsi="Arial" w:cs="Arial"/>
          <w:b/>
          <w:sz w:val="22"/>
          <w:szCs w:val="22"/>
        </w:rPr>
        <w:t>micro-</w:t>
      </w:r>
      <w:r w:rsidRPr="00CE474C">
        <w:rPr>
          <w:rFonts w:ascii="Arial" w:hAnsi="Arial" w:cs="Arial"/>
          <w:b/>
          <w:sz w:val="22"/>
          <w:szCs w:val="22"/>
        </w:rPr>
        <w:t>redes</w:t>
      </w:r>
      <w:proofErr w:type="spellEnd"/>
      <w:r w:rsidRPr="00CE474C">
        <w:rPr>
          <w:rFonts w:ascii="Arial" w:hAnsi="Arial" w:cs="Arial"/>
          <w:sz w:val="22"/>
          <w:szCs w:val="22"/>
        </w:rPr>
        <w:t>. Se contempla la ejecución de dos proyectos con esta tecnología</w:t>
      </w:r>
      <w:r w:rsidR="00822B10">
        <w:rPr>
          <w:rFonts w:ascii="Arial" w:hAnsi="Arial" w:cs="Arial"/>
          <w:sz w:val="22"/>
          <w:szCs w:val="22"/>
        </w:rPr>
        <w:t xml:space="preserve"> (I</w:t>
      </w:r>
      <w:r w:rsidR="00AC0F0D">
        <w:rPr>
          <w:rFonts w:ascii="Arial" w:hAnsi="Arial" w:cs="Arial"/>
          <w:sz w:val="22"/>
          <w:szCs w:val="22"/>
        </w:rPr>
        <w:t>sla Guanaja y Brus Laguna)</w:t>
      </w:r>
      <w:r w:rsidRPr="00CE474C">
        <w:rPr>
          <w:rFonts w:ascii="Arial" w:hAnsi="Arial" w:cs="Arial"/>
          <w:sz w:val="22"/>
          <w:szCs w:val="22"/>
        </w:rPr>
        <w:t>, cada uno de los cuales involucra</w:t>
      </w:r>
      <w:r w:rsidRPr="00CE474C" w:rsidR="00CE474C">
        <w:rPr>
          <w:rFonts w:ascii="Arial" w:hAnsi="Arial" w:cs="Arial"/>
          <w:sz w:val="22"/>
          <w:szCs w:val="22"/>
        </w:rPr>
        <w:t>, como mínimo:</w:t>
      </w:r>
      <w:r w:rsidRPr="00CE474C">
        <w:rPr>
          <w:rFonts w:ascii="Arial" w:hAnsi="Arial" w:cs="Arial"/>
          <w:sz w:val="22"/>
          <w:szCs w:val="22"/>
        </w:rPr>
        <w:t xml:space="preserve"> la instalación de una</w:t>
      </w:r>
      <w:r w:rsidRPr="00CE474C">
        <w:rPr>
          <w:rFonts w:ascii="Arial" w:hAnsi="Arial" w:cs="Arial" w:eastAsiaTheme="minorHAnsi"/>
          <w:sz w:val="22"/>
          <w:szCs w:val="22"/>
          <w:lang w:val="es-CO"/>
        </w:rPr>
        <w:t xml:space="preserve"> </w:t>
      </w:r>
      <w:r w:rsidRPr="00CE474C">
        <w:rPr>
          <w:rFonts w:ascii="Arial" w:hAnsi="Arial" w:cs="Arial"/>
          <w:sz w:val="22"/>
          <w:szCs w:val="22"/>
          <w:lang w:val="es-CO"/>
        </w:rPr>
        <w:t xml:space="preserve">Central Fotovoltaica que ocupará una superficie aproximada de 3 manzanas (2,1 Ha.), </w:t>
      </w:r>
      <w:r w:rsidRPr="00CE474C">
        <w:rPr>
          <w:rFonts w:ascii="Arial" w:hAnsi="Arial" w:cs="Arial"/>
          <w:sz w:val="22"/>
          <w:szCs w:val="22"/>
        </w:rPr>
        <w:t>superficie</w:t>
      </w:r>
      <w:r w:rsidRPr="00CE474C">
        <w:rPr>
          <w:rFonts w:ascii="Arial" w:hAnsi="Arial" w:cs="Arial"/>
          <w:sz w:val="22"/>
          <w:szCs w:val="22"/>
          <w:lang w:val="es-CO"/>
        </w:rPr>
        <w:t xml:space="preserve"> cubierta por estructuras fotovoltaicas, rodeada de un camino perimetral y caminos interiores; edificios de inversores que darán servicios a los módulos fotovoltaicos; </w:t>
      </w:r>
      <w:r w:rsidRPr="00CE474C" w:rsidR="0074503D">
        <w:rPr>
          <w:rFonts w:ascii="Arial" w:hAnsi="Arial" w:cs="Arial"/>
          <w:sz w:val="22"/>
          <w:szCs w:val="22"/>
          <w:lang w:val="es-CO"/>
        </w:rPr>
        <w:t>cableado</w:t>
      </w:r>
      <w:r w:rsidRPr="00CE474C" w:rsidR="009023D1">
        <w:rPr>
          <w:rFonts w:ascii="Arial" w:hAnsi="Arial" w:cs="Arial"/>
          <w:sz w:val="22"/>
          <w:szCs w:val="22"/>
          <w:lang w:val="es-CO"/>
        </w:rPr>
        <w:t>; 3</w:t>
      </w:r>
      <w:r w:rsidR="00822B10">
        <w:rPr>
          <w:rFonts w:ascii="Arial" w:hAnsi="Arial" w:cs="Arial"/>
          <w:sz w:val="22"/>
          <w:szCs w:val="22"/>
          <w:lang w:val="es-CO"/>
        </w:rPr>
        <w:t xml:space="preserve"> contenedores con un área de 50,1</w:t>
      </w:r>
      <w:r w:rsidRPr="00CE474C" w:rsidR="009023D1">
        <w:rPr>
          <w:rFonts w:ascii="Arial" w:hAnsi="Arial" w:cs="Arial"/>
          <w:sz w:val="22"/>
          <w:szCs w:val="22"/>
          <w:lang w:val="es-CO"/>
        </w:rPr>
        <w:t xml:space="preserve"> m</w:t>
      </w:r>
      <w:r w:rsidRPr="00822B10" w:rsidR="009023D1">
        <w:rPr>
          <w:rFonts w:ascii="Arial" w:hAnsi="Arial" w:cs="Arial"/>
          <w:sz w:val="22"/>
          <w:szCs w:val="22"/>
          <w:vertAlign w:val="superscript"/>
          <w:lang w:val="es-CO"/>
        </w:rPr>
        <w:t>2</w:t>
      </w:r>
      <w:r w:rsidRPr="00CE474C" w:rsidR="009023D1">
        <w:rPr>
          <w:rFonts w:ascii="Arial" w:hAnsi="Arial" w:cs="Arial"/>
          <w:sz w:val="22"/>
          <w:szCs w:val="22"/>
          <w:lang w:val="es-CO"/>
        </w:rPr>
        <w:t xml:space="preserve"> cada uno, para oficina, taller, y almacén de combustible</w:t>
      </w:r>
      <w:r w:rsidRPr="00CE474C" w:rsidR="00040490">
        <w:rPr>
          <w:rFonts w:ascii="Arial" w:hAnsi="Arial" w:cs="Arial"/>
          <w:sz w:val="22"/>
          <w:szCs w:val="22"/>
          <w:lang w:val="es-CO"/>
        </w:rPr>
        <w:t>; área para disposición de residuos</w:t>
      </w:r>
      <w:r w:rsidRPr="00CE474C" w:rsidR="007E6B57">
        <w:rPr>
          <w:rFonts w:ascii="Arial" w:hAnsi="Arial" w:cs="Arial"/>
          <w:sz w:val="22"/>
          <w:szCs w:val="22"/>
          <w:lang w:val="es-CO"/>
        </w:rPr>
        <w:t xml:space="preserve">; </w:t>
      </w:r>
      <w:r w:rsidRPr="00CE474C">
        <w:rPr>
          <w:rFonts w:ascii="Arial" w:hAnsi="Arial" w:cs="Arial"/>
          <w:sz w:val="22"/>
          <w:szCs w:val="22"/>
        </w:rPr>
        <w:t xml:space="preserve">  </w:t>
      </w:r>
      <w:r w:rsidRPr="00CE474C" w:rsidR="007E6B57">
        <w:rPr>
          <w:rFonts w:ascii="Arial" w:hAnsi="Arial" w:cs="Arial"/>
          <w:sz w:val="22"/>
          <w:szCs w:val="22"/>
          <w:lang w:val="es-CO"/>
        </w:rPr>
        <w:t>sistema de monitorización, incluyendo un sistema de adquisición de datos (SCADA) que permitirá monitorizar de manera remota la Central Fotovoltaica a través de internet.</w:t>
      </w:r>
      <w:r w:rsidRPr="00CE474C" w:rsidR="00CE474C">
        <w:rPr>
          <w:rFonts w:ascii="Arial" w:hAnsi="Arial" w:cs="Arial" w:eastAsiaTheme="minorHAnsi"/>
          <w:color w:val="000000"/>
          <w:sz w:val="22"/>
          <w:szCs w:val="22"/>
          <w:lang w:val="es-CO"/>
        </w:rPr>
        <w:t xml:space="preserve"> En </w:t>
      </w:r>
      <w:r w:rsidRPr="00CE474C" w:rsidR="00CE474C">
        <w:rPr>
          <w:rFonts w:ascii="Arial" w:hAnsi="Arial" w:cs="Arial"/>
          <w:sz w:val="22"/>
          <w:szCs w:val="22"/>
          <w:lang w:val="es-CO"/>
        </w:rPr>
        <w:t xml:space="preserve">Brus Laguna se contará con un vallado de seguridad perimetral y </w:t>
      </w:r>
      <w:r w:rsidRPr="00AC0F0D" w:rsidR="00CE474C">
        <w:rPr>
          <w:rFonts w:ascii="Arial" w:hAnsi="Arial" w:cs="Arial"/>
          <w:sz w:val="22"/>
          <w:szCs w:val="22"/>
          <w:lang w:val="es-CO"/>
        </w:rPr>
        <w:t>puerta de acceso.</w:t>
      </w:r>
      <w:r w:rsidRPr="000C67E7" w:rsidR="000C67E7">
        <w:rPr>
          <w:rFonts w:ascii="Arial" w:hAnsi="Arial" w:cs="Arial"/>
          <w:sz w:val="22"/>
          <w:szCs w:val="22"/>
        </w:rPr>
        <w:t xml:space="preserve"> </w:t>
      </w:r>
      <w:r w:rsidRPr="00AC0F0D" w:rsidR="000C67E7">
        <w:rPr>
          <w:rFonts w:ascii="Arial" w:hAnsi="Arial" w:cs="Arial"/>
          <w:sz w:val="22"/>
          <w:szCs w:val="22"/>
        </w:rPr>
        <w:t xml:space="preserve">  </w:t>
      </w:r>
    </w:p>
    <w:p w:rsidRPr="005C6FDE" w:rsidR="00FE58D4" w:rsidP="000C67E7" w:rsidRDefault="000943D1" w14:paraId="64E16C8B" w14:textId="4F13B28A">
      <w:pPr>
        <w:pStyle w:val="Paragraph"/>
        <w:ind w:left="720" w:hanging="720"/>
        <w:rPr>
          <w:rFonts w:ascii="Arial" w:hAnsi="Arial" w:eastAsia="Calibri" w:cs="Arial"/>
          <w:sz w:val="22"/>
          <w:szCs w:val="22"/>
          <w:lang w:val="es-ES_tradnl"/>
        </w:rPr>
      </w:pPr>
      <w:r w:rsidRPr="009E2576">
        <w:rPr>
          <w:rFonts w:ascii="Arial" w:hAnsi="Arial" w:cs="Arial"/>
          <w:sz w:val="22"/>
          <w:szCs w:val="22"/>
          <w:u w:val="single"/>
        </w:rPr>
        <w:t>Brus Laguna</w:t>
      </w:r>
      <w:r w:rsidRPr="00586D57" w:rsidR="00452976">
        <w:rPr>
          <w:rFonts w:ascii="Arial" w:hAnsi="Arial" w:cs="Arial"/>
          <w:sz w:val="22"/>
          <w:szCs w:val="22"/>
        </w:rPr>
        <w:t>.</w:t>
      </w:r>
      <w:r w:rsidR="009E2576">
        <w:rPr>
          <w:rFonts w:ascii="Arial" w:hAnsi="Arial" w:cs="Arial"/>
          <w:sz w:val="22"/>
          <w:szCs w:val="22"/>
        </w:rPr>
        <w:t xml:space="preserve"> I</w:t>
      </w:r>
      <w:r w:rsidRPr="009E2576" w:rsidR="009E2576">
        <w:rPr>
          <w:rFonts w:ascii="Arial" w:hAnsi="Arial" w:cs="Arial"/>
          <w:sz w:val="22"/>
          <w:szCs w:val="22"/>
        </w:rPr>
        <w:t xml:space="preserve">nstalación de un sistema aislado con capacidad de incorporar </w:t>
      </w:r>
      <w:r w:rsidR="005A2BAB">
        <w:rPr>
          <w:rFonts w:ascii="Arial" w:hAnsi="Arial" w:cs="Arial"/>
          <w:sz w:val="22"/>
          <w:szCs w:val="22"/>
        </w:rPr>
        <w:t>0,</w:t>
      </w:r>
      <w:r w:rsidR="00DB1295">
        <w:rPr>
          <w:rFonts w:ascii="Arial" w:hAnsi="Arial" w:cs="Arial"/>
          <w:sz w:val="22"/>
          <w:szCs w:val="22"/>
        </w:rPr>
        <w:t>52</w:t>
      </w:r>
      <w:r w:rsidRPr="009E2576" w:rsidR="009E2576">
        <w:rPr>
          <w:rFonts w:ascii="Arial" w:hAnsi="Arial" w:cs="Arial"/>
          <w:sz w:val="22"/>
          <w:szCs w:val="22"/>
        </w:rPr>
        <w:t xml:space="preserve"> MW de energía fotovoltaica, a través de la captación de la radiación solar utilizando alrededor de 3</w:t>
      </w:r>
      <w:r w:rsidR="00FB5EFF">
        <w:rPr>
          <w:rFonts w:ascii="Arial" w:hAnsi="Arial" w:cs="Arial"/>
          <w:sz w:val="22"/>
          <w:szCs w:val="22"/>
        </w:rPr>
        <w:t>.</w:t>
      </w:r>
      <w:r w:rsidRPr="009E2576" w:rsidR="009E2576">
        <w:rPr>
          <w:rFonts w:ascii="Arial" w:hAnsi="Arial" w:cs="Arial"/>
          <w:sz w:val="22"/>
          <w:szCs w:val="22"/>
        </w:rPr>
        <w:t>000 módulos fotovoltaicos con una capacidad de 300 W, beneficiando directamente</w:t>
      </w:r>
      <w:r w:rsidR="0041196E">
        <w:rPr>
          <w:rFonts w:ascii="Arial" w:hAnsi="Arial" w:cs="Arial"/>
          <w:sz w:val="22"/>
          <w:szCs w:val="22"/>
        </w:rPr>
        <w:t xml:space="preserve"> a</w:t>
      </w:r>
      <w:r w:rsidRPr="009E2576" w:rsidR="009E2576">
        <w:rPr>
          <w:rFonts w:ascii="Arial" w:hAnsi="Arial" w:cs="Arial"/>
          <w:sz w:val="22"/>
          <w:szCs w:val="22"/>
        </w:rPr>
        <w:t xml:space="preserve"> más de </w:t>
      </w:r>
      <w:r w:rsidR="0009550E">
        <w:rPr>
          <w:rFonts w:ascii="Arial" w:hAnsi="Arial" w:cs="Arial"/>
          <w:sz w:val="22"/>
          <w:szCs w:val="22"/>
        </w:rPr>
        <w:t>2</w:t>
      </w:r>
      <w:r w:rsidR="00822B10">
        <w:rPr>
          <w:rFonts w:ascii="Arial" w:hAnsi="Arial" w:cs="Arial"/>
          <w:sz w:val="22"/>
          <w:szCs w:val="22"/>
        </w:rPr>
        <w:t>.</w:t>
      </w:r>
      <w:r w:rsidR="0009550E">
        <w:rPr>
          <w:rFonts w:ascii="Arial" w:hAnsi="Arial" w:cs="Arial"/>
          <w:sz w:val="22"/>
          <w:szCs w:val="22"/>
        </w:rPr>
        <w:t>270</w:t>
      </w:r>
      <w:r w:rsidRPr="009E2576" w:rsidR="009E2576">
        <w:rPr>
          <w:rFonts w:ascii="Arial" w:hAnsi="Arial" w:cs="Arial"/>
          <w:sz w:val="22"/>
          <w:szCs w:val="22"/>
        </w:rPr>
        <w:t xml:space="preserve"> habitantes</w:t>
      </w:r>
      <w:r w:rsidR="009E2576">
        <w:rPr>
          <w:rFonts w:ascii="Arial" w:hAnsi="Arial" w:cs="Arial"/>
          <w:sz w:val="22"/>
          <w:szCs w:val="22"/>
        </w:rPr>
        <w:t xml:space="preserve">, </w:t>
      </w:r>
      <w:r w:rsidR="0009550E">
        <w:rPr>
          <w:rFonts w:ascii="Arial" w:hAnsi="Arial" w:cs="Arial"/>
          <w:sz w:val="22"/>
          <w:szCs w:val="22"/>
        </w:rPr>
        <w:t>en su mayoría pescadores</w:t>
      </w:r>
      <w:r w:rsidRPr="009E2576" w:rsidR="009E2576">
        <w:rPr>
          <w:rFonts w:ascii="Arial" w:hAnsi="Arial" w:cs="Arial"/>
          <w:sz w:val="22"/>
          <w:szCs w:val="22"/>
          <w:lang w:val="es-CO"/>
        </w:rPr>
        <w:t xml:space="preserve"> </w:t>
      </w:r>
      <w:r w:rsidRPr="009E2576" w:rsidR="009E2576">
        <w:rPr>
          <w:rFonts w:ascii="Arial" w:hAnsi="Arial" w:cs="Arial"/>
          <w:sz w:val="22"/>
          <w:szCs w:val="22"/>
        </w:rPr>
        <w:t xml:space="preserve">del Municipio de Brus Laguna. El </w:t>
      </w:r>
      <w:r w:rsidR="005F3ED6">
        <w:rPr>
          <w:rFonts w:ascii="Arial" w:hAnsi="Arial" w:cs="Arial"/>
          <w:sz w:val="22"/>
          <w:szCs w:val="22"/>
        </w:rPr>
        <w:t>p</w:t>
      </w:r>
      <w:r w:rsidRPr="009E2576" w:rsidR="009E2576">
        <w:rPr>
          <w:rFonts w:ascii="Arial" w:hAnsi="Arial" w:cs="Arial"/>
          <w:sz w:val="22"/>
          <w:szCs w:val="22"/>
        </w:rPr>
        <w:t xml:space="preserve">royecto tiene un presupuesto estimado </w:t>
      </w:r>
      <w:r w:rsidRPr="005F3ED6" w:rsidR="009E2576">
        <w:rPr>
          <w:rFonts w:ascii="Arial" w:hAnsi="Arial" w:cs="Arial"/>
          <w:sz w:val="22"/>
          <w:szCs w:val="22"/>
        </w:rPr>
        <w:t>de US$</w:t>
      </w:r>
      <w:r w:rsidRPr="005F3ED6" w:rsidR="005F3ED6">
        <w:rPr>
          <w:rFonts w:ascii="Arial" w:hAnsi="Arial" w:cs="Arial"/>
          <w:sz w:val="22"/>
          <w:szCs w:val="22"/>
        </w:rPr>
        <w:t>2</w:t>
      </w:r>
      <w:r w:rsidR="009803C4">
        <w:rPr>
          <w:rFonts w:ascii="Arial" w:hAnsi="Arial" w:cs="Arial"/>
          <w:sz w:val="22"/>
          <w:szCs w:val="22"/>
        </w:rPr>
        <w:t>.</w:t>
      </w:r>
      <w:r w:rsidR="00DB1295">
        <w:rPr>
          <w:rFonts w:ascii="Arial" w:hAnsi="Arial" w:cs="Arial"/>
          <w:sz w:val="22"/>
          <w:szCs w:val="22"/>
        </w:rPr>
        <w:t>550</w:t>
      </w:r>
      <w:r w:rsidR="009803C4">
        <w:rPr>
          <w:rFonts w:ascii="Arial" w:hAnsi="Arial" w:cs="Arial"/>
          <w:sz w:val="22"/>
          <w:szCs w:val="22"/>
        </w:rPr>
        <w:t>.</w:t>
      </w:r>
      <w:r w:rsidRPr="005F3ED6" w:rsidR="005F3ED6">
        <w:rPr>
          <w:rFonts w:ascii="Arial" w:hAnsi="Arial" w:cs="Arial"/>
          <w:sz w:val="22"/>
          <w:szCs w:val="22"/>
        </w:rPr>
        <w:t>000</w:t>
      </w:r>
      <w:r w:rsidRPr="005F3ED6" w:rsidR="0041196E">
        <w:rPr>
          <w:rFonts w:ascii="Arial" w:hAnsi="Arial" w:cs="Arial"/>
          <w:sz w:val="22"/>
          <w:szCs w:val="22"/>
        </w:rPr>
        <w:t>. Este</w:t>
      </w:r>
      <w:r w:rsidRPr="0041196E" w:rsidR="0041196E">
        <w:rPr>
          <w:rFonts w:ascii="Arial" w:hAnsi="Arial" w:cs="Arial"/>
          <w:sz w:val="22"/>
          <w:szCs w:val="22"/>
        </w:rPr>
        <w:t xml:space="preserve"> Proyecto generará el 60% de la energía eléctrica necesaria para la carga total del municipio y no se equipará el sistema de distribución actual</w:t>
      </w:r>
      <w:r w:rsidR="0041196E">
        <w:rPr>
          <w:rFonts w:ascii="Arial" w:hAnsi="Arial" w:cs="Arial"/>
          <w:sz w:val="22"/>
          <w:szCs w:val="22"/>
        </w:rPr>
        <w:t>.</w:t>
      </w:r>
      <w:r w:rsidR="008D183E">
        <w:rPr>
          <w:rFonts w:ascii="Arial" w:hAnsi="Arial" w:cs="Arial"/>
          <w:sz w:val="22"/>
          <w:szCs w:val="22"/>
        </w:rPr>
        <w:t xml:space="preserve"> </w:t>
      </w:r>
    </w:p>
    <w:p w:rsidRPr="008E2163" w:rsidR="005C6FDE" w:rsidP="005C6FDE" w:rsidRDefault="005C6FDE" w14:paraId="5A490002" w14:textId="12A13E42">
      <w:pPr>
        <w:pStyle w:val="Paragraph"/>
        <w:ind w:left="720" w:hanging="720"/>
        <w:rPr>
          <w:rFonts w:ascii="Arial" w:hAnsi="Arial" w:eastAsia="Calibri" w:cs="Arial"/>
          <w:sz w:val="22"/>
          <w:szCs w:val="22"/>
          <w:lang w:val="es-ES_tradnl"/>
        </w:rPr>
      </w:pPr>
      <w:r w:rsidRPr="005C6FDE">
        <w:rPr>
          <w:rFonts w:ascii="Arial" w:hAnsi="Arial" w:cs="Arial"/>
          <w:sz w:val="22"/>
          <w:szCs w:val="22"/>
          <w:u w:val="single"/>
        </w:rPr>
        <w:t xml:space="preserve">Isla Guanaja </w:t>
      </w:r>
      <w:r w:rsidRPr="005C6FDE">
        <w:rPr>
          <w:rFonts w:ascii="Arial" w:hAnsi="Arial" w:cs="Arial"/>
          <w:sz w:val="22"/>
          <w:szCs w:val="22"/>
        </w:rPr>
        <w:t xml:space="preserve">(Islas de la Bahía). Instalación de un sistema aislado con capacidad de incorporar </w:t>
      </w:r>
      <w:r w:rsidR="005A2BAB">
        <w:rPr>
          <w:rFonts w:ascii="Arial" w:hAnsi="Arial" w:cs="Arial"/>
          <w:sz w:val="22"/>
          <w:szCs w:val="22"/>
        </w:rPr>
        <w:t>0,</w:t>
      </w:r>
      <w:r w:rsidR="00DB1295">
        <w:rPr>
          <w:rFonts w:ascii="Arial" w:hAnsi="Arial" w:cs="Arial"/>
          <w:sz w:val="22"/>
          <w:szCs w:val="22"/>
        </w:rPr>
        <w:t>62</w:t>
      </w:r>
      <w:r w:rsidRPr="005C6FDE" w:rsidR="00DB1295">
        <w:rPr>
          <w:rFonts w:ascii="Arial" w:hAnsi="Arial" w:cs="Arial"/>
          <w:sz w:val="22"/>
          <w:szCs w:val="22"/>
        </w:rPr>
        <w:t xml:space="preserve"> </w:t>
      </w:r>
      <w:r w:rsidRPr="005C6FDE">
        <w:rPr>
          <w:rFonts w:ascii="Arial" w:hAnsi="Arial" w:cs="Arial"/>
          <w:sz w:val="22"/>
          <w:szCs w:val="22"/>
        </w:rPr>
        <w:t>MW de energía fotovoltaica, beneficiando directamente a más de 1</w:t>
      </w:r>
      <w:r w:rsidR="00822B10">
        <w:rPr>
          <w:rFonts w:ascii="Arial" w:hAnsi="Arial" w:cs="Arial"/>
          <w:sz w:val="22"/>
          <w:szCs w:val="22"/>
        </w:rPr>
        <w:t>.</w:t>
      </w:r>
      <w:r w:rsidR="00514D3C">
        <w:rPr>
          <w:rFonts w:ascii="Arial" w:hAnsi="Arial" w:cs="Arial"/>
          <w:sz w:val="22"/>
          <w:szCs w:val="22"/>
        </w:rPr>
        <w:t>195</w:t>
      </w:r>
      <w:r w:rsidRPr="005C6FDE">
        <w:rPr>
          <w:rFonts w:ascii="Arial" w:hAnsi="Arial" w:cs="Arial"/>
          <w:sz w:val="22"/>
          <w:szCs w:val="22"/>
        </w:rPr>
        <w:t xml:space="preserve"> habitantes del Municipio de Guanaja, cuya población </w:t>
      </w:r>
      <w:r w:rsidRPr="005C6FDE">
        <w:rPr>
          <w:rFonts w:ascii="Arial" w:hAnsi="Arial" w:cs="Arial"/>
          <w:sz w:val="22"/>
          <w:szCs w:val="22"/>
          <w:lang w:val="es-CO"/>
        </w:rPr>
        <w:t xml:space="preserve">total es de </w:t>
      </w:r>
      <w:r w:rsidRPr="005C6FDE">
        <w:rPr>
          <w:rFonts w:ascii="Arial" w:hAnsi="Arial" w:cs="Arial"/>
          <w:sz w:val="22"/>
          <w:szCs w:val="22"/>
          <w:lang w:val="es-ES_tradnl"/>
        </w:rPr>
        <w:t xml:space="preserve">5.445 </w:t>
      </w:r>
      <w:r w:rsidRPr="005C6FDE">
        <w:rPr>
          <w:rFonts w:ascii="Arial" w:hAnsi="Arial" w:cs="Arial"/>
          <w:sz w:val="22"/>
          <w:szCs w:val="22"/>
          <w:lang w:val="es-CO"/>
        </w:rPr>
        <w:t>habitantes</w:t>
      </w:r>
      <w:r w:rsidRPr="005C6FDE">
        <w:rPr>
          <w:rFonts w:ascii="Arial" w:hAnsi="Arial" w:cs="Arial"/>
          <w:sz w:val="22"/>
          <w:szCs w:val="22"/>
        </w:rPr>
        <w:t>. El proyecto tiene un presupuesto estimado de US$</w:t>
      </w:r>
      <w:r w:rsidR="00BB10FB">
        <w:rPr>
          <w:rFonts w:ascii="Arial" w:hAnsi="Arial" w:cs="Arial"/>
          <w:sz w:val="22"/>
          <w:szCs w:val="22"/>
        </w:rPr>
        <w:t>2,7</w:t>
      </w:r>
      <w:r w:rsidRPr="005C6FDE">
        <w:rPr>
          <w:rFonts w:ascii="Arial" w:hAnsi="Arial" w:cs="Arial"/>
          <w:sz w:val="22"/>
          <w:szCs w:val="22"/>
        </w:rPr>
        <w:t xml:space="preserve"> millones. </w:t>
      </w:r>
    </w:p>
    <w:p w:rsidRPr="008E2163" w:rsidR="008E2163" w:rsidP="008E2163" w:rsidRDefault="008E2163" w14:paraId="2442BFE6" w14:textId="77777777">
      <w:pPr>
        <w:pStyle w:val="Paragraph"/>
        <w:ind w:left="720" w:hanging="720"/>
        <w:rPr>
          <w:rFonts w:ascii="Arial" w:hAnsi="Arial" w:cs="Arial"/>
          <w:sz w:val="22"/>
          <w:szCs w:val="22"/>
        </w:rPr>
      </w:pPr>
      <w:r w:rsidRPr="008E2163">
        <w:rPr>
          <w:rFonts w:ascii="Arial" w:hAnsi="Arial" w:cs="Arial"/>
          <w:sz w:val="22"/>
          <w:szCs w:val="22"/>
        </w:rPr>
        <w:t>De estos proyectos se espera lograr:</w:t>
      </w:r>
    </w:p>
    <w:p w:rsidRPr="008E2163" w:rsidR="008E2163" w:rsidP="003B2E9C" w:rsidRDefault="008E2163" w14:paraId="2FC8B0CC" w14:textId="3D167A8B">
      <w:pPr>
        <w:numPr>
          <w:ilvl w:val="1"/>
          <w:numId w:val="4"/>
        </w:numPr>
        <w:autoSpaceDE w:val="0"/>
        <w:autoSpaceDN w:val="0"/>
        <w:adjustRightInd w:val="0"/>
        <w:ind w:left="1267"/>
        <w:contextualSpacing/>
        <w:jc w:val="both"/>
        <w:rPr>
          <w:rFonts w:ascii="Arial" w:hAnsi="Arial" w:eastAsia="Calibri" w:cs="Arial"/>
          <w:sz w:val="22"/>
          <w:szCs w:val="22"/>
        </w:rPr>
      </w:pPr>
      <w:r w:rsidRPr="008E2163">
        <w:rPr>
          <w:rFonts w:ascii="Arial" w:hAnsi="Arial" w:eastAsia="Calibri" w:cs="Arial"/>
          <w:sz w:val="22"/>
          <w:szCs w:val="22"/>
        </w:rPr>
        <w:t>Generación de 0,</w:t>
      </w:r>
      <w:r w:rsidR="009803C4">
        <w:rPr>
          <w:rFonts w:ascii="Arial" w:hAnsi="Arial" w:eastAsia="Calibri" w:cs="Arial"/>
          <w:sz w:val="22"/>
          <w:szCs w:val="22"/>
        </w:rPr>
        <w:t>52</w:t>
      </w:r>
      <w:r w:rsidRPr="008E2163">
        <w:rPr>
          <w:rFonts w:ascii="Arial" w:hAnsi="Arial" w:eastAsia="Calibri" w:cs="Arial"/>
          <w:sz w:val="22"/>
          <w:szCs w:val="22"/>
        </w:rPr>
        <w:t xml:space="preserve"> MW (Brus Laguna) + 0,</w:t>
      </w:r>
      <w:r w:rsidR="009803C4">
        <w:rPr>
          <w:rFonts w:ascii="Arial" w:hAnsi="Arial" w:eastAsia="Calibri" w:cs="Arial"/>
          <w:sz w:val="22"/>
          <w:szCs w:val="22"/>
        </w:rPr>
        <w:t>62</w:t>
      </w:r>
      <w:r w:rsidRPr="008E2163" w:rsidR="009803C4">
        <w:rPr>
          <w:rFonts w:ascii="Arial" w:hAnsi="Arial" w:eastAsia="Calibri" w:cs="Arial"/>
          <w:sz w:val="22"/>
          <w:szCs w:val="22"/>
        </w:rPr>
        <w:t xml:space="preserve"> </w:t>
      </w:r>
      <w:r w:rsidRPr="008E2163">
        <w:rPr>
          <w:rFonts w:ascii="Arial" w:hAnsi="Arial" w:eastAsia="Calibri" w:cs="Arial"/>
          <w:sz w:val="22"/>
          <w:szCs w:val="22"/>
        </w:rPr>
        <w:t>MW (Isla Guanaja) de energía eléctrica fotovoltaica.</w:t>
      </w:r>
    </w:p>
    <w:p w:rsidRPr="008E2163" w:rsidR="008E2163" w:rsidP="003B2E9C" w:rsidRDefault="008E2163" w14:paraId="41335E92" w14:textId="77777777">
      <w:pPr>
        <w:numPr>
          <w:ilvl w:val="1"/>
          <w:numId w:val="4"/>
        </w:numPr>
        <w:autoSpaceDE w:val="0"/>
        <w:autoSpaceDN w:val="0"/>
        <w:adjustRightInd w:val="0"/>
        <w:ind w:left="1267"/>
        <w:contextualSpacing/>
        <w:jc w:val="both"/>
        <w:rPr>
          <w:rFonts w:ascii="Arial" w:hAnsi="Arial" w:eastAsia="Calibri" w:cs="Arial"/>
          <w:sz w:val="22"/>
          <w:szCs w:val="22"/>
        </w:rPr>
      </w:pPr>
      <w:r w:rsidRPr="008E2163">
        <w:rPr>
          <w:rFonts w:ascii="Arial" w:hAnsi="Arial" w:eastAsia="Calibri" w:cs="Arial"/>
          <w:sz w:val="22"/>
          <w:szCs w:val="22"/>
        </w:rPr>
        <w:t>Promoción del desarrollo socioeconómico bajando los costos de la energía eléctrica</w:t>
      </w:r>
    </w:p>
    <w:p w:rsidR="00655C7B" w:rsidP="003B2E9C" w:rsidRDefault="008E2163" w14:paraId="2734987C" w14:textId="77777777">
      <w:pPr>
        <w:numPr>
          <w:ilvl w:val="1"/>
          <w:numId w:val="4"/>
        </w:numPr>
        <w:autoSpaceDE w:val="0"/>
        <w:autoSpaceDN w:val="0"/>
        <w:adjustRightInd w:val="0"/>
        <w:ind w:left="1267"/>
        <w:contextualSpacing/>
        <w:jc w:val="both"/>
        <w:rPr>
          <w:rFonts w:ascii="Arial" w:hAnsi="Arial" w:eastAsia="Calibri" w:cs="Arial"/>
          <w:sz w:val="22"/>
          <w:szCs w:val="22"/>
        </w:rPr>
      </w:pPr>
      <w:r w:rsidRPr="008E2163">
        <w:rPr>
          <w:rFonts w:ascii="Arial" w:hAnsi="Arial" w:eastAsia="Calibri" w:cs="Arial"/>
          <w:sz w:val="22"/>
          <w:szCs w:val="22"/>
        </w:rPr>
        <w:t xml:space="preserve">Mejoramiento a la red de distribución </w:t>
      </w:r>
    </w:p>
    <w:p w:rsidRPr="008E2163" w:rsidR="00655C7B" w:rsidP="003B2E9C" w:rsidRDefault="00655C7B" w14:paraId="7B553F86" w14:textId="10730286">
      <w:pPr>
        <w:numPr>
          <w:ilvl w:val="1"/>
          <w:numId w:val="4"/>
        </w:numPr>
        <w:autoSpaceDE w:val="0"/>
        <w:autoSpaceDN w:val="0"/>
        <w:adjustRightInd w:val="0"/>
        <w:ind w:left="1267"/>
        <w:contextualSpacing/>
        <w:jc w:val="both"/>
        <w:rPr>
          <w:rFonts w:ascii="Arial" w:hAnsi="Arial" w:eastAsia="Calibri" w:cs="Arial"/>
          <w:sz w:val="22"/>
          <w:szCs w:val="22"/>
        </w:rPr>
      </w:pPr>
      <w:r w:rsidRPr="008E2163">
        <w:rPr>
          <w:rFonts w:ascii="Arial" w:hAnsi="Arial" w:eastAsia="Calibri" w:cs="Arial"/>
          <w:sz w:val="22"/>
          <w:szCs w:val="22"/>
        </w:rPr>
        <w:t>Aumento de cobertura eléctrica</w:t>
      </w:r>
    </w:p>
    <w:p w:rsidRPr="008E2163" w:rsidR="008E2163" w:rsidP="003B2E9C" w:rsidRDefault="008E2163" w14:paraId="5EF79FD7" w14:textId="77777777">
      <w:pPr>
        <w:numPr>
          <w:ilvl w:val="1"/>
          <w:numId w:val="4"/>
        </w:numPr>
        <w:autoSpaceDE w:val="0"/>
        <w:autoSpaceDN w:val="0"/>
        <w:adjustRightInd w:val="0"/>
        <w:ind w:left="1267"/>
        <w:contextualSpacing/>
        <w:jc w:val="both"/>
        <w:rPr>
          <w:rFonts w:ascii="Arial" w:hAnsi="Arial" w:eastAsia="Calibri" w:cs="Arial"/>
          <w:sz w:val="22"/>
          <w:szCs w:val="22"/>
        </w:rPr>
      </w:pPr>
      <w:r w:rsidRPr="008E2163">
        <w:rPr>
          <w:rFonts w:ascii="Arial" w:hAnsi="Arial" w:eastAsia="Calibri" w:cs="Arial"/>
          <w:sz w:val="22"/>
          <w:szCs w:val="22"/>
        </w:rPr>
        <w:t>Sostenibilidad de la inversión</w:t>
      </w:r>
    </w:p>
    <w:p w:rsidRPr="008E2163" w:rsidR="008E2163" w:rsidP="003B2E9C" w:rsidRDefault="008E2163" w14:paraId="5CBBD671" w14:textId="77777777">
      <w:pPr>
        <w:numPr>
          <w:ilvl w:val="1"/>
          <w:numId w:val="4"/>
        </w:numPr>
        <w:autoSpaceDE w:val="0"/>
        <w:autoSpaceDN w:val="0"/>
        <w:adjustRightInd w:val="0"/>
        <w:ind w:left="1267"/>
        <w:contextualSpacing/>
        <w:jc w:val="both"/>
        <w:rPr>
          <w:rFonts w:ascii="Arial" w:hAnsi="Arial" w:eastAsia="Calibri" w:cs="Arial"/>
          <w:sz w:val="22"/>
          <w:szCs w:val="22"/>
        </w:rPr>
      </w:pPr>
      <w:r w:rsidRPr="008E2163">
        <w:rPr>
          <w:rFonts w:ascii="Arial" w:hAnsi="Arial" w:eastAsia="Calibri" w:cs="Arial"/>
          <w:sz w:val="22"/>
          <w:szCs w:val="22"/>
        </w:rPr>
        <w:t>Participación del sector privado</w:t>
      </w:r>
    </w:p>
    <w:p w:rsidRPr="008E2163" w:rsidR="008E2163" w:rsidP="003B2E9C" w:rsidRDefault="008E2163" w14:paraId="2D1E9700" w14:textId="77777777">
      <w:pPr>
        <w:numPr>
          <w:ilvl w:val="1"/>
          <w:numId w:val="4"/>
        </w:numPr>
        <w:autoSpaceDE w:val="0"/>
        <w:autoSpaceDN w:val="0"/>
        <w:adjustRightInd w:val="0"/>
        <w:ind w:left="1267"/>
        <w:contextualSpacing/>
        <w:jc w:val="both"/>
        <w:rPr>
          <w:rFonts w:ascii="Arial" w:hAnsi="Arial" w:eastAsia="Calibri" w:cs="Arial"/>
          <w:sz w:val="22"/>
          <w:szCs w:val="22"/>
        </w:rPr>
      </w:pPr>
      <w:r w:rsidRPr="008E2163">
        <w:rPr>
          <w:rFonts w:ascii="Arial" w:hAnsi="Arial" w:eastAsia="Calibri" w:cs="Arial"/>
          <w:sz w:val="22"/>
          <w:szCs w:val="22"/>
        </w:rPr>
        <w:t>Promoción de la conservación del medio ambiente.</w:t>
      </w:r>
    </w:p>
    <w:p w:rsidRPr="008E2163" w:rsidR="008E2163" w:rsidP="003B2E9C" w:rsidRDefault="008E2163" w14:paraId="0993AEB3" w14:textId="77777777">
      <w:pPr>
        <w:numPr>
          <w:ilvl w:val="1"/>
          <w:numId w:val="4"/>
        </w:numPr>
        <w:autoSpaceDE w:val="0"/>
        <w:autoSpaceDN w:val="0"/>
        <w:adjustRightInd w:val="0"/>
        <w:ind w:left="1267"/>
        <w:contextualSpacing/>
        <w:jc w:val="both"/>
        <w:rPr>
          <w:rFonts w:ascii="Arial" w:hAnsi="Arial" w:eastAsia="Calibri" w:cs="Arial"/>
          <w:sz w:val="22"/>
          <w:szCs w:val="22"/>
        </w:rPr>
      </w:pPr>
      <w:r w:rsidRPr="008E2163">
        <w:rPr>
          <w:rFonts w:ascii="Arial" w:hAnsi="Arial" w:eastAsia="Calibri" w:cs="Arial"/>
          <w:sz w:val="22"/>
          <w:szCs w:val="22"/>
        </w:rPr>
        <w:t>Promoción de participación de mujeres</w:t>
      </w:r>
    </w:p>
    <w:p w:rsidRPr="008E2163" w:rsidR="008E2163" w:rsidP="003B2E9C" w:rsidRDefault="008E2163" w14:paraId="01A1B863" w14:textId="77777777">
      <w:pPr>
        <w:numPr>
          <w:ilvl w:val="1"/>
          <w:numId w:val="4"/>
        </w:numPr>
        <w:autoSpaceDE w:val="0"/>
        <w:autoSpaceDN w:val="0"/>
        <w:adjustRightInd w:val="0"/>
        <w:ind w:left="1267"/>
        <w:contextualSpacing/>
        <w:jc w:val="both"/>
        <w:rPr>
          <w:rFonts w:ascii="Arial" w:hAnsi="Arial" w:eastAsia="Calibri" w:cs="Arial"/>
          <w:sz w:val="22"/>
          <w:szCs w:val="22"/>
        </w:rPr>
      </w:pPr>
      <w:r w:rsidRPr="008E2163">
        <w:rPr>
          <w:rFonts w:ascii="Arial" w:hAnsi="Arial" w:eastAsia="Calibri" w:cs="Arial"/>
          <w:sz w:val="22"/>
          <w:szCs w:val="22"/>
        </w:rPr>
        <w:lastRenderedPageBreak/>
        <w:t xml:space="preserve">Generación de mano de obra </w:t>
      </w:r>
    </w:p>
    <w:p w:rsidRPr="006A417F" w:rsidR="008D183E" w:rsidP="0034746A" w:rsidRDefault="00FE58D4" w14:paraId="65C94962" w14:textId="7D311180">
      <w:pPr>
        <w:pStyle w:val="Paragraph"/>
        <w:ind w:left="720" w:hanging="720"/>
        <w:rPr>
          <w:rFonts w:ascii="Arial" w:hAnsi="Arial" w:eastAsia="Calibri" w:cs="Arial"/>
          <w:sz w:val="22"/>
          <w:szCs w:val="22"/>
          <w:lang w:val="es-ES_tradnl"/>
        </w:rPr>
      </w:pPr>
      <w:r w:rsidRPr="00FE3475">
        <w:rPr>
          <w:rFonts w:ascii="Arial" w:hAnsi="Arial" w:cs="Arial"/>
          <w:b/>
          <w:sz w:val="22"/>
          <w:szCs w:val="22"/>
          <w:lang w:val="es-ES_tradnl"/>
        </w:rPr>
        <w:t>Sistema</w:t>
      </w:r>
      <w:r w:rsidRPr="00FE3475" w:rsidR="007A5F6E">
        <w:rPr>
          <w:rFonts w:ascii="Arial" w:hAnsi="Arial" w:cs="Arial"/>
          <w:b/>
          <w:sz w:val="22"/>
          <w:szCs w:val="22"/>
          <w:lang w:val="es-ES_tradnl"/>
        </w:rPr>
        <w:t>s</w:t>
      </w:r>
      <w:r w:rsidRPr="00FE3475">
        <w:rPr>
          <w:rFonts w:ascii="Arial" w:hAnsi="Arial" w:cs="Arial"/>
          <w:b/>
          <w:sz w:val="22"/>
          <w:szCs w:val="22"/>
          <w:lang w:val="es-ES_tradnl"/>
        </w:rPr>
        <w:t xml:space="preserve"> </w:t>
      </w:r>
      <w:r w:rsidRPr="00FE3475" w:rsidR="007A5F6E">
        <w:rPr>
          <w:rFonts w:ascii="Arial" w:hAnsi="Arial" w:cs="Arial"/>
          <w:b/>
          <w:sz w:val="22"/>
          <w:szCs w:val="22"/>
          <w:lang w:val="es-ES_tradnl"/>
        </w:rPr>
        <w:t>a</w:t>
      </w:r>
      <w:r w:rsidRPr="00FE3475">
        <w:rPr>
          <w:rFonts w:ascii="Arial" w:hAnsi="Arial" w:cs="Arial"/>
          <w:b/>
          <w:sz w:val="22"/>
          <w:szCs w:val="22"/>
          <w:lang w:val="es-ES_tradnl"/>
        </w:rPr>
        <w:t>islado</w:t>
      </w:r>
      <w:r w:rsidRPr="00FE3475" w:rsidR="007A5F6E">
        <w:rPr>
          <w:rFonts w:ascii="Arial" w:hAnsi="Arial" w:cs="Arial"/>
          <w:b/>
          <w:sz w:val="22"/>
          <w:szCs w:val="22"/>
          <w:lang w:val="es-ES_tradnl"/>
        </w:rPr>
        <w:t>s individuales en c</w:t>
      </w:r>
      <w:r w:rsidRPr="00FE3475">
        <w:rPr>
          <w:rFonts w:ascii="Arial" w:hAnsi="Arial" w:cs="Arial"/>
          <w:b/>
          <w:sz w:val="22"/>
          <w:szCs w:val="22"/>
          <w:lang w:val="es-ES_tradnl"/>
        </w:rPr>
        <w:t xml:space="preserve">omunidades </w:t>
      </w:r>
      <w:r w:rsidRPr="00FE3475" w:rsidR="007A5F6E">
        <w:rPr>
          <w:rFonts w:ascii="Arial" w:hAnsi="Arial" w:cs="Arial"/>
          <w:b/>
          <w:sz w:val="22"/>
          <w:szCs w:val="22"/>
          <w:lang w:val="es-ES_tradnl"/>
        </w:rPr>
        <w:t>r</w:t>
      </w:r>
      <w:r w:rsidRPr="00FE3475" w:rsidR="00AC3A1C">
        <w:rPr>
          <w:rFonts w:ascii="Arial" w:hAnsi="Arial" w:cs="Arial"/>
          <w:b/>
          <w:sz w:val="22"/>
          <w:szCs w:val="22"/>
          <w:lang w:val="es-ES_tradnl"/>
        </w:rPr>
        <w:t xml:space="preserve">urales. </w:t>
      </w:r>
      <w:r w:rsidRPr="00FE3475" w:rsidR="00FE3475">
        <w:rPr>
          <w:rFonts w:ascii="Arial" w:hAnsi="Arial" w:cs="Arial"/>
          <w:sz w:val="22"/>
          <w:szCs w:val="22"/>
          <w:lang w:val="es-ES_tradnl"/>
        </w:rPr>
        <w:t xml:space="preserve">Se contempla la instalación de sistemas </w:t>
      </w:r>
      <w:r w:rsidRPr="00FE3475" w:rsidR="00EB00AD">
        <w:rPr>
          <w:rFonts w:ascii="Arial" w:hAnsi="Arial" w:cs="Arial"/>
          <w:sz w:val="22"/>
          <w:szCs w:val="22"/>
          <w:lang w:val="es-ES_tradnl"/>
        </w:rPr>
        <w:t>fotovoltaicos</w:t>
      </w:r>
      <w:r w:rsidRPr="00FE3475" w:rsidR="00FE3475">
        <w:rPr>
          <w:rFonts w:ascii="Arial" w:hAnsi="Arial" w:cs="Arial"/>
          <w:sz w:val="22"/>
          <w:szCs w:val="22"/>
          <w:lang w:val="es-ES_tradnl"/>
        </w:rPr>
        <w:t xml:space="preserve"> individuales en dos localidades </w:t>
      </w:r>
      <w:r w:rsidRPr="00FE3475" w:rsidR="00FE3475">
        <w:rPr>
          <w:rFonts w:ascii="Arial" w:hAnsi="Arial" w:cs="Arial"/>
          <w:sz w:val="22"/>
          <w:szCs w:val="22"/>
          <w:lang w:val="es-CO"/>
        </w:rPr>
        <w:t>en el Departamento de Choluteca</w:t>
      </w:r>
      <w:r w:rsidR="00EB00AD">
        <w:rPr>
          <w:rFonts w:ascii="Arial" w:hAnsi="Arial" w:cs="Arial"/>
          <w:sz w:val="22"/>
          <w:szCs w:val="22"/>
          <w:lang w:val="es-CO"/>
        </w:rPr>
        <w:t>:</w:t>
      </w:r>
      <w:r w:rsidRPr="00FE3475" w:rsidR="00FE3475">
        <w:rPr>
          <w:rFonts w:ascii="Arial" w:hAnsi="Arial" w:cs="Arial"/>
          <w:sz w:val="22"/>
          <w:szCs w:val="22"/>
          <w:lang w:val="es-CO"/>
        </w:rPr>
        <w:t xml:space="preserve"> </w:t>
      </w:r>
      <w:r w:rsidR="00EB00AD">
        <w:rPr>
          <w:rFonts w:ascii="Arial" w:hAnsi="Arial" w:cs="Arial"/>
          <w:sz w:val="22"/>
          <w:szCs w:val="22"/>
          <w:lang w:val="es-CO"/>
        </w:rPr>
        <w:t xml:space="preserve">los </w:t>
      </w:r>
      <w:r w:rsidRPr="00FE3475" w:rsidR="00FE3475">
        <w:rPr>
          <w:rFonts w:ascii="Arial" w:hAnsi="Arial" w:cs="Arial"/>
          <w:sz w:val="22"/>
          <w:szCs w:val="22"/>
          <w:lang w:val="es-CO"/>
        </w:rPr>
        <w:t>municipios de El Corpus y Concepción de María. El objetivo de</w:t>
      </w:r>
      <w:r w:rsidR="005C1A79">
        <w:rPr>
          <w:rFonts w:ascii="Arial" w:hAnsi="Arial" w:cs="Arial"/>
          <w:sz w:val="22"/>
          <w:szCs w:val="22"/>
          <w:lang w:val="es-CO"/>
        </w:rPr>
        <w:t xml:space="preserve"> estos</w:t>
      </w:r>
      <w:r w:rsidRPr="00FE3475" w:rsidR="00FE3475">
        <w:rPr>
          <w:rFonts w:ascii="Arial" w:hAnsi="Arial" w:cs="Arial"/>
          <w:sz w:val="22"/>
          <w:szCs w:val="22"/>
          <w:lang w:val="es-CO"/>
        </w:rPr>
        <w:t xml:space="preserve"> proyecto</w:t>
      </w:r>
      <w:r w:rsidR="005C1A79">
        <w:rPr>
          <w:rFonts w:ascii="Arial" w:hAnsi="Arial" w:cs="Arial"/>
          <w:sz w:val="22"/>
          <w:szCs w:val="22"/>
          <w:lang w:val="es-CO"/>
        </w:rPr>
        <w:t>s</w:t>
      </w:r>
      <w:r w:rsidRPr="00FE3475" w:rsidR="00FE3475">
        <w:rPr>
          <w:rFonts w:ascii="Arial" w:hAnsi="Arial" w:cs="Arial"/>
          <w:sz w:val="22"/>
          <w:szCs w:val="22"/>
          <w:lang w:val="es-CO"/>
        </w:rPr>
        <w:t xml:space="preserve"> es dotar de una fuente alternativa de energía eléctrica capaz de cubrir la demanda insatisfecha de </w:t>
      </w:r>
      <w:r w:rsidR="00EA2182">
        <w:rPr>
          <w:rFonts w:ascii="Arial" w:hAnsi="Arial" w:cs="Arial"/>
          <w:sz w:val="22"/>
          <w:szCs w:val="22"/>
          <w:lang w:val="es-CO"/>
        </w:rPr>
        <w:t>6</w:t>
      </w:r>
      <w:r w:rsidR="005C1A79">
        <w:rPr>
          <w:rFonts w:ascii="Arial" w:hAnsi="Arial" w:cs="Arial"/>
          <w:sz w:val="22"/>
          <w:szCs w:val="22"/>
          <w:lang w:val="es-CO"/>
        </w:rPr>
        <w:t xml:space="preserve">50 familias </w:t>
      </w:r>
      <w:r w:rsidR="008E2163">
        <w:rPr>
          <w:rFonts w:ascii="Arial" w:hAnsi="Arial" w:cs="Arial"/>
          <w:sz w:val="22"/>
          <w:szCs w:val="22"/>
          <w:lang w:val="es-CO"/>
        </w:rPr>
        <w:t>en</w:t>
      </w:r>
      <w:r w:rsidR="005C1A79">
        <w:rPr>
          <w:rFonts w:ascii="Arial" w:hAnsi="Arial" w:cs="Arial"/>
          <w:sz w:val="22"/>
          <w:szCs w:val="22"/>
          <w:lang w:val="es-CO"/>
        </w:rPr>
        <w:t xml:space="preserve"> extrema pobreza</w:t>
      </w:r>
      <w:r w:rsidRPr="00FE3475" w:rsidR="00FE3475">
        <w:rPr>
          <w:rFonts w:ascii="Arial" w:hAnsi="Arial" w:cs="Arial"/>
          <w:sz w:val="22"/>
          <w:szCs w:val="22"/>
          <w:lang w:val="es-CO"/>
        </w:rPr>
        <w:t>. Se prevé</w:t>
      </w:r>
      <w:r w:rsidR="005C1A79">
        <w:rPr>
          <w:rFonts w:ascii="Arial" w:hAnsi="Arial" w:cs="Arial"/>
          <w:sz w:val="22"/>
          <w:szCs w:val="22"/>
          <w:lang w:val="es-CO"/>
        </w:rPr>
        <w:t xml:space="preserve"> la instalación de 3</w:t>
      </w:r>
      <w:r w:rsidR="00EA2182">
        <w:rPr>
          <w:rFonts w:ascii="Arial" w:hAnsi="Arial" w:cs="Arial"/>
          <w:sz w:val="22"/>
          <w:szCs w:val="22"/>
          <w:lang w:val="es-CO"/>
        </w:rPr>
        <w:t>0</w:t>
      </w:r>
      <w:r w:rsidR="005C1A79">
        <w:rPr>
          <w:rFonts w:ascii="Arial" w:hAnsi="Arial" w:cs="Arial"/>
          <w:sz w:val="22"/>
          <w:szCs w:val="22"/>
          <w:lang w:val="es-CO"/>
        </w:rPr>
        <w:t xml:space="preserve">0 soluciones </w:t>
      </w:r>
      <w:r w:rsidR="00A01B22">
        <w:rPr>
          <w:rFonts w:ascii="Arial" w:hAnsi="Arial" w:cs="Arial"/>
          <w:sz w:val="22"/>
          <w:szCs w:val="22"/>
          <w:lang w:val="es-CO"/>
        </w:rPr>
        <w:t xml:space="preserve">individuales </w:t>
      </w:r>
      <w:r w:rsidR="005C1A79">
        <w:rPr>
          <w:rFonts w:ascii="Arial" w:hAnsi="Arial" w:cs="Arial"/>
          <w:sz w:val="22"/>
          <w:szCs w:val="22"/>
          <w:lang w:val="es-CO"/>
        </w:rPr>
        <w:t xml:space="preserve">en El Corpus y </w:t>
      </w:r>
      <w:r w:rsidR="00EA2182">
        <w:rPr>
          <w:rFonts w:ascii="Arial" w:hAnsi="Arial" w:cs="Arial"/>
          <w:sz w:val="22"/>
          <w:szCs w:val="22"/>
          <w:lang w:val="es-CO"/>
        </w:rPr>
        <w:t>35</w:t>
      </w:r>
      <w:r w:rsidR="005C1A79">
        <w:rPr>
          <w:rFonts w:ascii="Arial" w:hAnsi="Arial" w:cs="Arial"/>
          <w:sz w:val="22"/>
          <w:szCs w:val="22"/>
          <w:lang w:val="es-CO"/>
        </w:rPr>
        <w:t>0 soluciones en Concepción de María. P</w:t>
      </w:r>
      <w:r w:rsidRPr="00FE3475" w:rsidR="00FE3475">
        <w:rPr>
          <w:rFonts w:ascii="Arial" w:hAnsi="Arial" w:cs="Arial"/>
          <w:sz w:val="22"/>
          <w:szCs w:val="22"/>
          <w:lang w:val="es-CO"/>
        </w:rPr>
        <w:t>ara cada vivienda</w:t>
      </w:r>
      <w:r w:rsidR="005C1A79">
        <w:rPr>
          <w:rFonts w:ascii="Arial" w:hAnsi="Arial" w:cs="Arial"/>
          <w:sz w:val="22"/>
          <w:szCs w:val="22"/>
          <w:lang w:val="es-CO"/>
        </w:rPr>
        <w:t xml:space="preserve"> se incluye</w:t>
      </w:r>
      <w:r w:rsidRPr="00FE3475" w:rsidR="00FE3475">
        <w:rPr>
          <w:rFonts w:ascii="Arial" w:hAnsi="Arial" w:cs="Arial"/>
          <w:sz w:val="22"/>
          <w:szCs w:val="22"/>
          <w:lang w:val="es-CO"/>
        </w:rPr>
        <w:t xml:space="preserve"> la instalación un sistema solar fotovoltaico básico de </w:t>
      </w:r>
      <w:r w:rsidR="00EA2182">
        <w:rPr>
          <w:rFonts w:ascii="Arial" w:hAnsi="Arial" w:cs="Arial"/>
          <w:sz w:val="22"/>
          <w:szCs w:val="22"/>
          <w:lang w:val="es-CO"/>
        </w:rPr>
        <w:t>70</w:t>
      </w:r>
      <w:r w:rsidRPr="00FE3475" w:rsidR="00FE3475">
        <w:rPr>
          <w:rFonts w:ascii="Arial" w:hAnsi="Arial" w:cs="Arial"/>
          <w:sz w:val="22"/>
          <w:szCs w:val="22"/>
          <w:lang w:val="es-CO"/>
        </w:rPr>
        <w:t xml:space="preserve"> watts, batería de 12 voltios y controlador 12/24, inversor </w:t>
      </w:r>
      <w:r w:rsidR="0051612D">
        <w:rPr>
          <w:rFonts w:ascii="Arial" w:hAnsi="Arial" w:cs="Arial"/>
          <w:sz w:val="22"/>
          <w:szCs w:val="22"/>
          <w:lang w:val="es-CO"/>
        </w:rPr>
        <w:t xml:space="preserve">de hasta </w:t>
      </w:r>
      <w:r w:rsidRPr="00FE3475" w:rsidR="00FE3475">
        <w:rPr>
          <w:rFonts w:ascii="Arial" w:hAnsi="Arial" w:cs="Arial"/>
          <w:sz w:val="22"/>
          <w:szCs w:val="22"/>
          <w:lang w:val="es-CO"/>
        </w:rPr>
        <w:t xml:space="preserve">450 watts para cuatro focos LED de 5 watts los cuales garantizan 4.5 horas para iluminación y </w:t>
      </w:r>
      <w:r w:rsidR="00FE3475">
        <w:rPr>
          <w:rFonts w:ascii="Arial" w:hAnsi="Arial" w:cs="Arial"/>
          <w:sz w:val="22"/>
          <w:szCs w:val="22"/>
          <w:lang w:val="es-CO"/>
        </w:rPr>
        <w:t>para</w:t>
      </w:r>
      <w:r w:rsidRPr="00FE3475" w:rsidR="00FE3475">
        <w:rPr>
          <w:rFonts w:ascii="Arial" w:hAnsi="Arial" w:cs="Arial"/>
          <w:sz w:val="22"/>
          <w:szCs w:val="22"/>
          <w:lang w:val="es-CO"/>
        </w:rPr>
        <w:t xml:space="preserve"> utilización de equipos electrónicos como </w:t>
      </w:r>
      <w:proofErr w:type="spellStart"/>
      <w:r w:rsidRPr="006A417F" w:rsidR="00FE3475">
        <w:rPr>
          <w:rFonts w:ascii="Arial" w:hAnsi="Arial" w:cs="Arial"/>
          <w:sz w:val="22"/>
          <w:szCs w:val="22"/>
          <w:lang w:val="es-CO"/>
        </w:rPr>
        <w:t>TVs</w:t>
      </w:r>
      <w:proofErr w:type="spellEnd"/>
      <w:r w:rsidRPr="006A417F" w:rsidR="00FE3475">
        <w:rPr>
          <w:rFonts w:ascii="Arial" w:hAnsi="Arial" w:cs="Arial"/>
          <w:sz w:val="22"/>
          <w:szCs w:val="22"/>
          <w:lang w:val="es-CO"/>
        </w:rPr>
        <w:t xml:space="preserve">, </w:t>
      </w:r>
      <w:r w:rsidRPr="006A417F" w:rsidR="00EB00AD">
        <w:rPr>
          <w:rFonts w:ascii="Arial" w:hAnsi="Arial" w:cs="Arial"/>
          <w:sz w:val="22"/>
          <w:szCs w:val="22"/>
          <w:lang w:val="es-CO"/>
        </w:rPr>
        <w:t xml:space="preserve">celulares, </w:t>
      </w:r>
      <w:proofErr w:type="spellStart"/>
      <w:r w:rsidRPr="006A417F" w:rsidR="00FE3475">
        <w:rPr>
          <w:rFonts w:ascii="Arial" w:hAnsi="Arial" w:cs="Arial"/>
          <w:sz w:val="22"/>
          <w:szCs w:val="22"/>
          <w:lang w:val="es-CO"/>
        </w:rPr>
        <w:t>DVDs</w:t>
      </w:r>
      <w:proofErr w:type="spellEnd"/>
      <w:r w:rsidRPr="006A417F" w:rsidR="00FE3475">
        <w:rPr>
          <w:rFonts w:ascii="Arial" w:hAnsi="Arial" w:cs="Arial"/>
          <w:sz w:val="22"/>
          <w:szCs w:val="22"/>
          <w:lang w:val="es-CO"/>
        </w:rPr>
        <w:t>.</w:t>
      </w:r>
      <w:r w:rsidRPr="006A417F" w:rsidR="00EB00AD">
        <w:rPr>
          <w:rFonts w:ascii="Arial" w:hAnsi="Arial" w:cs="Arial"/>
          <w:sz w:val="22"/>
          <w:szCs w:val="22"/>
          <w:lang w:val="es-CO"/>
        </w:rPr>
        <w:t xml:space="preserve"> </w:t>
      </w:r>
      <w:r w:rsidRPr="006A417F" w:rsidR="005C1A79">
        <w:rPr>
          <w:rFonts w:ascii="Arial" w:hAnsi="Arial" w:cs="Arial"/>
          <w:sz w:val="22"/>
          <w:szCs w:val="22"/>
          <w:lang w:val="es-ES_tradnl"/>
        </w:rPr>
        <w:t>Los dos proyectos</w:t>
      </w:r>
      <w:r w:rsidRPr="006A417F" w:rsidR="005F3ED6">
        <w:rPr>
          <w:rFonts w:ascii="Arial" w:hAnsi="Arial" w:cs="Arial"/>
          <w:sz w:val="22"/>
          <w:szCs w:val="22"/>
          <w:lang w:val="es-ES_tradnl"/>
        </w:rPr>
        <w:t xml:space="preserve"> tiene</w:t>
      </w:r>
      <w:r w:rsidRPr="006A417F" w:rsidR="005C1A79">
        <w:rPr>
          <w:rFonts w:ascii="Arial" w:hAnsi="Arial" w:cs="Arial"/>
          <w:sz w:val="22"/>
          <w:szCs w:val="22"/>
          <w:lang w:val="es-ES_tradnl"/>
        </w:rPr>
        <w:t>n</w:t>
      </w:r>
      <w:r w:rsidRPr="006A417F" w:rsidR="005F3ED6">
        <w:rPr>
          <w:rFonts w:ascii="Arial" w:hAnsi="Arial" w:cs="Arial"/>
          <w:sz w:val="22"/>
          <w:szCs w:val="22"/>
          <w:lang w:val="es-ES_tradnl"/>
        </w:rPr>
        <w:t xml:space="preserve"> un presupuesto</w:t>
      </w:r>
      <w:r w:rsidRPr="006A417F" w:rsidR="005C1A79">
        <w:rPr>
          <w:rFonts w:ascii="Arial" w:hAnsi="Arial" w:cs="Arial"/>
          <w:sz w:val="22"/>
          <w:szCs w:val="22"/>
          <w:lang w:val="es-ES_tradnl"/>
        </w:rPr>
        <w:t xml:space="preserve"> total</w:t>
      </w:r>
      <w:r w:rsidRPr="006A417F" w:rsidR="005F3ED6">
        <w:rPr>
          <w:rFonts w:ascii="Arial" w:hAnsi="Arial" w:cs="Arial"/>
          <w:sz w:val="22"/>
          <w:szCs w:val="22"/>
          <w:lang w:val="es-ES_tradnl"/>
        </w:rPr>
        <w:t xml:space="preserve"> estimado de US$</w:t>
      </w:r>
      <w:r w:rsidRPr="006A417F" w:rsidR="00F9790D">
        <w:rPr>
          <w:rFonts w:ascii="Arial" w:hAnsi="Arial" w:cs="Arial"/>
          <w:sz w:val="22"/>
          <w:szCs w:val="22"/>
          <w:lang w:val="es-ES_tradnl"/>
        </w:rPr>
        <w:t>43</w:t>
      </w:r>
      <w:r w:rsidRPr="006A417F" w:rsidR="005F3ED6">
        <w:rPr>
          <w:rFonts w:ascii="Arial" w:hAnsi="Arial" w:cs="Arial"/>
          <w:sz w:val="22"/>
          <w:szCs w:val="22"/>
          <w:lang w:val="es-ES_tradnl"/>
        </w:rPr>
        <w:t xml:space="preserve">0.000. </w:t>
      </w:r>
      <w:r w:rsidRPr="006A417F" w:rsidR="00EB00AD">
        <w:rPr>
          <w:rFonts w:ascii="Arial" w:hAnsi="Arial" w:cs="Arial"/>
          <w:sz w:val="22"/>
          <w:szCs w:val="22"/>
          <w:lang w:val="es-ES_tradnl"/>
        </w:rPr>
        <w:t xml:space="preserve">De estos proyectos se espera lograr: </w:t>
      </w:r>
    </w:p>
    <w:p w:rsidRPr="00EB00AD" w:rsidR="00EB00AD" w:rsidP="003B2E9C" w:rsidRDefault="00EB00AD" w14:paraId="4C190F90" w14:textId="230AE2C0">
      <w:pPr>
        <w:numPr>
          <w:ilvl w:val="1"/>
          <w:numId w:val="4"/>
        </w:numPr>
        <w:autoSpaceDE w:val="0"/>
        <w:autoSpaceDN w:val="0"/>
        <w:adjustRightInd w:val="0"/>
        <w:ind w:left="1267"/>
        <w:jc w:val="both"/>
        <w:rPr>
          <w:rFonts w:ascii="Arial" w:hAnsi="Arial" w:eastAsia="Calibri" w:cs="Arial"/>
          <w:sz w:val="22"/>
          <w:szCs w:val="22"/>
        </w:rPr>
      </w:pPr>
      <w:r w:rsidRPr="006A417F">
        <w:rPr>
          <w:rFonts w:ascii="Arial" w:hAnsi="Arial" w:eastAsia="Calibri" w:cs="Arial"/>
          <w:sz w:val="22"/>
          <w:szCs w:val="22"/>
        </w:rPr>
        <w:t xml:space="preserve">Generación eléctrica de </w:t>
      </w:r>
      <w:r w:rsidRPr="006A417F" w:rsidR="00CA7EC2">
        <w:rPr>
          <w:rFonts w:ascii="Arial" w:hAnsi="Arial" w:eastAsia="Calibri" w:cs="Arial"/>
          <w:sz w:val="22"/>
          <w:szCs w:val="22"/>
        </w:rPr>
        <w:t>70</w:t>
      </w:r>
      <w:r w:rsidRPr="006A417F">
        <w:rPr>
          <w:rFonts w:ascii="Arial" w:hAnsi="Arial" w:eastAsia="Calibri" w:cs="Arial"/>
          <w:sz w:val="22"/>
          <w:szCs w:val="22"/>
        </w:rPr>
        <w:t xml:space="preserve"> W por vivienda</w:t>
      </w:r>
    </w:p>
    <w:p w:rsidRPr="00EB00AD" w:rsidR="00EB00AD" w:rsidP="003B2E9C" w:rsidRDefault="00EB00AD" w14:paraId="7876DAB4" w14:textId="77777777">
      <w:pPr>
        <w:numPr>
          <w:ilvl w:val="1"/>
          <w:numId w:val="4"/>
        </w:numPr>
        <w:autoSpaceDE w:val="0"/>
        <w:autoSpaceDN w:val="0"/>
        <w:adjustRightInd w:val="0"/>
        <w:ind w:left="1267"/>
        <w:jc w:val="both"/>
        <w:rPr>
          <w:rFonts w:ascii="Arial" w:hAnsi="Arial" w:eastAsia="Calibri" w:cs="Arial"/>
          <w:sz w:val="22"/>
          <w:szCs w:val="22"/>
        </w:rPr>
      </w:pPr>
      <w:r w:rsidRPr="00EB00AD">
        <w:rPr>
          <w:rFonts w:ascii="Arial" w:hAnsi="Arial" w:eastAsia="Calibri" w:cs="Arial"/>
          <w:sz w:val="22"/>
          <w:szCs w:val="22"/>
        </w:rPr>
        <w:t>Levantamiento de una línea base con los beneficiarios en las comunidades seleccionadas.</w:t>
      </w:r>
    </w:p>
    <w:p w:rsidRPr="00EB00AD" w:rsidR="00EB00AD" w:rsidP="003B2E9C" w:rsidRDefault="00EB00AD" w14:paraId="02B131F7" w14:textId="27D723B2">
      <w:pPr>
        <w:numPr>
          <w:ilvl w:val="1"/>
          <w:numId w:val="4"/>
        </w:numPr>
        <w:autoSpaceDE w:val="0"/>
        <w:autoSpaceDN w:val="0"/>
        <w:adjustRightInd w:val="0"/>
        <w:ind w:left="1267"/>
        <w:jc w:val="both"/>
        <w:rPr>
          <w:rFonts w:ascii="Arial" w:hAnsi="Arial" w:eastAsia="Calibri" w:cs="Arial"/>
          <w:sz w:val="22"/>
          <w:szCs w:val="22"/>
        </w:rPr>
      </w:pPr>
      <w:r w:rsidRPr="00EB00AD">
        <w:rPr>
          <w:rFonts w:ascii="Arial" w:hAnsi="Arial" w:eastAsia="Calibri" w:cs="Arial"/>
          <w:sz w:val="22"/>
          <w:szCs w:val="22"/>
        </w:rPr>
        <w:t>Socialización del proyecto con las municipalidades</w:t>
      </w:r>
    </w:p>
    <w:p w:rsidRPr="00EB00AD" w:rsidR="00EB00AD" w:rsidP="003B2E9C" w:rsidRDefault="00EB00AD" w14:paraId="62D68CE5" w14:textId="77777777">
      <w:pPr>
        <w:numPr>
          <w:ilvl w:val="1"/>
          <w:numId w:val="4"/>
        </w:numPr>
        <w:autoSpaceDE w:val="0"/>
        <w:autoSpaceDN w:val="0"/>
        <w:adjustRightInd w:val="0"/>
        <w:ind w:left="1267"/>
        <w:jc w:val="both"/>
        <w:rPr>
          <w:rFonts w:ascii="Arial" w:hAnsi="Arial" w:eastAsia="Calibri" w:cs="Arial"/>
          <w:sz w:val="22"/>
          <w:szCs w:val="22"/>
        </w:rPr>
      </w:pPr>
      <w:r w:rsidRPr="00EB00AD">
        <w:rPr>
          <w:rFonts w:ascii="Arial" w:hAnsi="Arial" w:eastAsia="Calibri" w:cs="Arial"/>
          <w:sz w:val="22"/>
          <w:szCs w:val="22"/>
        </w:rPr>
        <w:t>Firma de un convenio de cumplimiento de tareas con las Municipalidades/ FOSODE, para asegurar la sostenibilidad del proyecto.</w:t>
      </w:r>
    </w:p>
    <w:p w:rsidRPr="00EB00AD" w:rsidR="00EB00AD" w:rsidP="003B2E9C" w:rsidRDefault="00EB00AD" w14:paraId="5BE827ED" w14:textId="0B02DB4B">
      <w:pPr>
        <w:numPr>
          <w:ilvl w:val="1"/>
          <w:numId w:val="4"/>
        </w:numPr>
        <w:autoSpaceDE w:val="0"/>
        <w:autoSpaceDN w:val="0"/>
        <w:adjustRightInd w:val="0"/>
        <w:ind w:left="1267"/>
        <w:jc w:val="both"/>
        <w:rPr>
          <w:rFonts w:ascii="Arial" w:hAnsi="Arial" w:eastAsia="Calibri" w:cs="Arial"/>
          <w:sz w:val="22"/>
          <w:szCs w:val="22"/>
        </w:rPr>
      </w:pPr>
      <w:r w:rsidRPr="00EB00AD">
        <w:rPr>
          <w:rFonts w:ascii="Arial" w:hAnsi="Arial" w:eastAsia="Calibri" w:cs="Arial"/>
          <w:sz w:val="22"/>
          <w:szCs w:val="22"/>
        </w:rPr>
        <w:t>Plan de Capacitaciones para garantizar el buen uso de los sistemas solares.</w:t>
      </w:r>
    </w:p>
    <w:p w:rsidRPr="000A13E4" w:rsidR="00D71198" w:rsidP="0082305A" w:rsidRDefault="00D71198" w14:paraId="653DF05C" w14:textId="5AA0A323">
      <w:pPr>
        <w:pStyle w:val="Paragraph"/>
        <w:ind w:left="720" w:hanging="720"/>
        <w:rPr>
          <w:rFonts w:ascii="Arial" w:hAnsi="Arial" w:cs="Arial"/>
          <w:sz w:val="22"/>
          <w:szCs w:val="22"/>
        </w:rPr>
      </w:pPr>
      <w:r>
        <w:rPr>
          <w:rFonts w:ascii="Arial" w:hAnsi="Arial" w:cs="Arial"/>
          <w:b/>
          <w:sz w:val="22"/>
          <w:szCs w:val="22"/>
        </w:rPr>
        <w:t>Componente 2</w:t>
      </w:r>
      <w:r w:rsidRPr="00EA4C7C">
        <w:rPr>
          <w:rFonts w:ascii="Arial" w:hAnsi="Arial" w:cs="Arial"/>
          <w:b/>
          <w:sz w:val="22"/>
          <w:szCs w:val="22"/>
        </w:rPr>
        <w:t>: Fortalecimiento de las capacidades de gestión.  (US$0</w:t>
      </w:r>
      <w:r>
        <w:rPr>
          <w:rFonts w:ascii="Arial" w:hAnsi="Arial" w:cs="Arial"/>
          <w:b/>
          <w:sz w:val="22"/>
          <w:szCs w:val="22"/>
        </w:rPr>
        <w:t>,</w:t>
      </w:r>
      <w:r w:rsidR="00DC1918">
        <w:rPr>
          <w:rFonts w:ascii="Arial" w:hAnsi="Arial" w:cs="Arial"/>
          <w:b/>
          <w:sz w:val="22"/>
          <w:szCs w:val="22"/>
        </w:rPr>
        <w:t>43</w:t>
      </w:r>
      <w:r w:rsidRPr="00EA4C7C" w:rsidR="00DC1918">
        <w:rPr>
          <w:rFonts w:ascii="Arial" w:hAnsi="Arial" w:cs="Arial"/>
          <w:b/>
          <w:sz w:val="22"/>
          <w:szCs w:val="22"/>
        </w:rPr>
        <w:t xml:space="preserve"> </w:t>
      </w:r>
      <w:r w:rsidRPr="00EA4C7C">
        <w:rPr>
          <w:rFonts w:ascii="Arial" w:hAnsi="Arial" w:cs="Arial"/>
          <w:b/>
          <w:sz w:val="22"/>
          <w:szCs w:val="22"/>
        </w:rPr>
        <w:t xml:space="preserve">millones). </w:t>
      </w:r>
      <w:r w:rsidRPr="008C6917" w:rsidR="008C6917">
        <w:rPr>
          <w:rFonts w:ascii="Arial" w:hAnsi="Arial" w:cs="Arial"/>
          <w:sz w:val="22"/>
          <w:szCs w:val="22"/>
        </w:rPr>
        <w:t>Se llevarán a cabo consultorías especializadas, talleres y programas de capacitación e intercambio de experiencias encaminadas a: (i) fomentar la participación comunitaria, en particular de mujeres, en la construcción, y O&amp;M de los proyectos; (</w:t>
      </w:r>
      <w:proofErr w:type="spellStart"/>
      <w:r w:rsidRPr="008C6917" w:rsidR="008C6917">
        <w:rPr>
          <w:rFonts w:ascii="Arial" w:hAnsi="Arial" w:cs="Arial"/>
          <w:sz w:val="22"/>
          <w:szCs w:val="22"/>
        </w:rPr>
        <w:t>ii</w:t>
      </w:r>
      <w:proofErr w:type="spellEnd"/>
      <w:r w:rsidRPr="008C6917" w:rsidR="008C6917">
        <w:rPr>
          <w:rFonts w:ascii="Arial" w:hAnsi="Arial" w:cs="Arial"/>
          <w:sz w:val="22"/>
          <w:szCs w:val="22"/>
        </w:rPr>
        <w:t>) identificar e incentivar la participación de empresas privadas en distribución y comercialización de energía; y (</w:t>
      </w:r>
      <w:proofErr w:type="spellStart"/>
      <w:r w:rsidRPr="008C6917" w:rsidR="008C6917">
        <w:rPr>
          <w:rFonts w:ascii="Arial" w:hAnsi="Arial" w:cs="Arial"/>
          <w:sz w:val="22"/>
          <w:szCs w:val="22"/>
        </w:rPr>
        <w:t>iii</w:t>
      </w:r>
      <w:proofErr w:type="spellEnd"/>
      <w:r w:rsidRPr="008C6917" w:rsidR="008C6917">
        <w:rPr>
          <w:rFonts w:ascii="Arial" w:hAnsi="Arial" w:cs="Arial"/>
          <w:sz w:val="22"/>
          <w:szCs w:val="22"/>
        </w:rPr>
        <w:t xml:space="preserve">) fortalecer la capacidad operativa y financiera del </w:t>
      </w:r>
      <w:r w:rsidRPr="00857F08" w:rsidR="00857F08">
        <w:rPr>
          <w:rFonts w:ascii="Arial" w:hAnsi="Arial" w:cs="Arial"/>
          <w:sz w:val="22"/>
          <w:szCs w:val="22"/>
        </w:rPr>
        <w:t xml:space="preserve">Fondo Social de Desarrollo Eléctrico </w:t>
      </w:r>
      <w:r w:rsidR="00857F08">
        <w:rPr>
          <w:rFonts w:ascii="Arial" w:hAnsi="Arial" w:cs="Arial"/>
          <w:sz w:val="22"/>
          <w:szCs w:val="22"/>
        </w:rPr>
        <w:t>(</w:t>
      </w:r>
      <w:r w:rsidRPr="008C6917" w:rsidR="008C6917">
        <w:rPr>
          <w:rFonts w:ascii="Arial" w:hAnsi="Arial" w:cs="Arial"/>
          <w:sz w:val="22"/>
          <w:szCs w:val="22"/>
        </w:rPr>
        <w:t>FOSODE</w:t>
      </w:r>
      <w:r w:rsidR="00857F08">
        <w:rPr>
          <w:rFonts w:ascii="Arial" w:hAnsi="Arial" w:cs="Arial"/>
          <w:sz w:val="22"/>
          <w:szCs w:val="22"/>
        </w:rPr>
        <w:t>)</w:t>
      </w:r>
      <w:r w:rsidRPr="008C6917" w:rsidR="008C6917">
        <w:rPr>
          <w:rFonts w:ascii="Arial" w:hAnsi="Arial" w:cs="Arial"/>
          <w:sz w:val="22"/>
          <w:szCs w:val="22"/>
        </w:rPr>
        <w:t xml:space="preserve"> para la gestión y desarrollo de proyectos de electrificación rural a través del diseño, construcción y supervisión de micro redes. Se financiará la dotación de herramientas especializadas para el diseño, supervisión y evaluación de experiencias de electrificación rural y capacitación en idiomas locales</w:t>
      </w:r>
      <w:r w:rsidRPr="000A13E4">
        <w:rPr>
          <w:rFonts w:ascii="Arial" w:hAnsi="Arial" w:cs="Arial"/>
          <w:sz w:val="22"/>
          <w:szCs w:val="22"/>
        </w:rPr>
        <w:t>.</w:t>
      </w:r>
    </w:p>
    <w:p w:rsidR="00EB0154" w:rsidP="0082305A" w:rsidRDefault="00D71198" w14:paraId="143AE925" w14:textId="2A56455D">
      <w:pPr>
        <w:pStyle w:val="Paragraph"/>
        <w:tabs>
          <w:tab w:val="num" w:pos="720"/>
        </w:tabs>
        <w:ind w:left="720" w:hanging="720"/>
        <w:rPr>
          <w:rFonts w:ascii="Arial" w:hAnsi="Arial" w:cs="Arial"/>
          <w:sz w:val="22"/>
          <w:szCs w:val="22"/>
        </w:rPr>
      </w:pPr>
      <w:r>
        <w:rPr>
          <w:rFonts w:ascii="Arial" w:hAnsi="Arial" w:cs="Arial"/>
          <w:b/>
          <w:sz w:val="22"/>
          <w:szCs w:val="22"/>
        </w:rPr>
        <w:t>Administración y</w:t>
      </w:r>
      <w:r w:rsidRPr="00EA4C7C">
        <w:rPr>
          <w:rFonts w:ascii="Arial" w:hAnsi="Arial" w:cs="Arial"/>
          <w:b/>
          <w:sz w:val="22"/>
          <w:szCs w:val="22"/>
        </w:rPr>
        <w:t xml:space="preserve"> evaluación (US$0</w:t>
      </w:r>
      <w:r>
        <w:rPr>
          <w:rFonts w:ascii="Arial" w:hAnsi="Arial" w:cs="Arial"/>
          <w:b/>
          <w:sz w:val="22"/>
          <w:szCs w:val="22"/>
        </w:rPr>
        <w:t>,</w:t>
      </w:r>
      <w:r w:rsidR="008D3DF4">
        <w:rPr>
          <w:rFonts w:ascii="Arial" w:hAnsi="Arial" w:cs="Arial"/>
          <w:b/>
          <w:sz w:val="22"/>
          <w:szCs w:val="22"/>
        </w:rPr>
        <w:t>26</w:t>
      </w:r>
      <w:r w:rsidRPr="00EA4C7C" w:rsidR="008D3DF4">
        <w:rPr>
          <w:rFonts w:ascii="Arial" w:hAnsi="Arial" w:cs="Arial"/>
          <w:b/>
          <w:sz w:val="22"/>
          <w:szCs w:val="22"/>
        </w:rPr>
        <w:t xml:space="preserve"> </w:t>
      </w:r>
      <w:r w:rsidRPr="00EA4C7C">
        <w:rPr>
          <w:rFonts w:ascii="Arial" w:hAnsi="Arial" w:cs="Arial"/>
          <w:b/>
          <w:sz w:val="22"/>
          <w:szCs w:val="22"/>
        </w:rPr>
        <w:t>millones).</w:t>
      </w:r>
      <w:r w:rsidRPr="00EA4C7C">
        <w:rPr>
          <w:rFonts w:ascii="Arial" w:hAnsi="Arial" w:cs="Arial"/>
          <w:sz w:val="22"/>
          <w:szCs w:val="22"/>
        </w:rPr>
        <w:t xml:space="preserve"> Se financiará la contratación de consultorías</w:t>
      </w:r>
      <w:r w:rsidRPr="00B21AA1">
        <w:rPr>
          <w:rFonts w:ascii="Arial" w:hAnsi="Arial" w:cs="Arial"/>
          <w:sz w:val="22"/>
          <w:szCs w:val="22"/>
        </w:rPr>
        <w:t xml:space="preserve"> para el desarrollo de </w:t>
      </w:r>
      <w:r w:rsidRPr="00EA4C7C">
        <w:rPr>
          <w:rFonts w:ascii="Arial" w:hAnsi="Arial" w:cs="Arial"/>
          <w:sz w:val="22"/>
          <w:szCs w:val="22"/>
        </w:rPr>
        <w:t>actividades de supervisión, evaluación y auditor</w:t>
      </w:r>
      <w:r>
        <w:rPr>
          <w:rFonts w:ascii="Arial" w:hAnsi="Arial" w:cs="Arial"/>
          <w:sz w:val="22"/>
          <w:szCs w:val="22"/>
        </w:rPr>
        <w:t>í</w:t>
      </w:r>
      <w:r w:rsidRPr="00EA4C7C">
        <w:rPr>
          <w:rFonts w:ascii="Arial" w:hAnsi="Arial" w:cs="Arial"/>
          <w:sz w:val="22"/>
          <w:szCs w:val="22"/>
        </w:rPr>
        <w:t xml:space="preserve">a del </w:t>
      </w:r>
      <w:r w:rsidRPr="000A13E4">
        <w:rPr>
          <w:rFonts w:ascii="Arial" w:hAnsi="Arial" w:cs="Arial"/>
          <w:sz w:val="22"/>
          <w:szCs w:val="22"/>
        </w:rPr>
        <w:t>programa</w:t>
      </w:r>
      <w:r>
        <w:rPr>
          <w:rFonts w:ascii="Arial" w:hAnsi="Arial" w:cs="Arial"/>
          <w:sz w:val="22"/>
          <w:szCs w:val="22"/>
        </w:rPr>
        <w:t>.</w:t>
      </w:r>
    </w:p>
    <w:p w:rsidRPr="00535152" w:rsidR="00A81B46" w:rsidP="0082305A" w:rsidRDefault="00A81B46" w14:paraId="330EDD40" w14:textId="460AE093">
      <w:pPr>
        <w:pStyle w:val="Paragraph"/>
        <w:tabs>
          <w:tab w:val="num" w:pos="720"/>
        </w:tabs>
        <w:ind w:left="720" w:hanging="720"/>
        <w:rPr>
          <w:rFonts w:ascii="Arial" w:hAnsi="Arial" w:cs="Arial"/>
          <w:sz w:val="22"/>
          <w:szCs w:val="22"/>
        </w:rPr>
      </w:pPr>
      <w:r w:rsidRPr="00A81B46">
        <w:rPr>
          <w:rFonts w:ascii="Arial" w:hAnsi="Arial" w:cs="Arial"/>
          <w:sz w:val="22"/>
          <w:szCs w:val="22"/>
          <w:lang w:val="es-ES_tradnl"/>
        </w:rPr>
        <w:t xml:space="preserve">Los </w:t>
      </w:r>
      <w:r>
        <w:rPr>
          <w:rFonts w:ascii="Arial" w:hAnsi="Arial" w:cs="Arial"/>
          <w:sz w:val="22"/>
          <w:szCs w:val="22"/>
          <w:lang w:val="es-ES_tradnl"/>
        </w:rPr>
        <w:t>co</w:t>
      </w:r>
      <w:r w:rsidRPr="00A81B46">
        <w:rPr>
          <w:rFonts w:ascii="Arial" w:hAnsi="Arial" w:cs="Arial"/>
          <w:sz w:val="22"/>
          <w:szCs w:val="22"/>
          <w:lang w:val="es-ES_tradnl"/>
        </w:rPr>
        <w:t xml:space="preserve">stos asociados a estas </w:t>
      </w:r>
      <w:r w:rsidRPr="00A81B46" w:rsidR="001C6792">
        <w:rPr>
          <w:rFonts w:ascii="Arial" w:hAnsi="Arial" w:cs="Arial"/>
          <w:sz w:val="22"/>
          <w:szCs w:val="22"/>
          <w:lang w:val="es-ES_tradnl"/>
        </w:rPr>
        <w:t>actividades</w:t>
      </w:r>
      <w:r w:rsidRPr="00A81B46">
        <w:rPr>
          <w:rFonts w:ascii="Arial" w:hAnsi="Arial" w:cs="Arial"/>
          <w:sz w:val="22"/>
          <w:szCs w:val="22"/>
          <w:lang w:val="es-ES_tradnl"/>
        </w:rPr>
        <w:t xml:space="preserve"> se detallan en el Cuadro </w:t>
      </w:r>
      <w:r w:rsidR="00CB0385">
        <w:rPr>
          <w:rFonts w:ascii="Arial" w:hAnsi="Arial" w:cs="Arial"/>
          <w:sz w:val="22"/>
          <w:szCs w:val="22"/>
          <w:lang w:val="es-ES_tradnl"/>
        </w:rPr>
        <w:t>1.</w:t>
      </w:r>
    </w:p>
    <w:p w:rsidR="00EA20DA" w:rsidP="00EA20DA" w:rsidRDefault="00EA20DA" w14:paraId="5DD270DD" w14:textId="039F5030">
      <w:pPr>
        <w:rPr>
          <w:lang w:val="es-ES"/>
        </w:rPr>
      </w:pPr>
    </w:p>
    <w:tbl>
      <w:tblPr>
        <w:tblW w:w="7920" w:type="dxa"/>
        <w:tblInd w:w="719" w:type="dxa"/>
        <w:tblLook w:val="04A0" w:firstRow="1" w:lastRow="0" w:firstColumn="1" w:lastColumn="0" w:noHBand="0" w:noVBand="1"/>
      </w:tblPr>
      <w:tblGrid>
        <w:gridCol w:w="360"/>
        <w:gridCol w:w="5199"/>
        <w:gridCol w:w="1102"/>
        <w:gridCol w:w="1259"/>
      </w:tblGrid>
      <w:tr w:rsidRPr="00A81B46" w:rsidR="00EA20DA" w:rsidTr="00EA20DA" w14:paraId="37A42F1E" w14:textId="77777777">
        <w:trPr>
          <w:trHeight w:val="244"/>
        </w:trPr>
        <w:tc>
          <w:tcPr>
            <w:tcW w:w="360" w:type="dxa"/>
            <w:tcBorders>
              <w:bottom w:val="single" w:color="auto" w:sz="4" w:space="0"/>
            </w:tcBorders>
          </w:tcPr>
          <w:p w:rsidR="00EA20DA" w:rsidP="00A81B46" w:rsidRDefault="00EA20DA" w14:paraId="38B57C0C" w14:textId="77777777">
            <w:pPr>
              <w:jc w:val="center"/>
              <w:rPr>
                <w:rFonts w:ascii="Arial" w:hAnsi="Arial" w:cs="Arial"/>
                <w:b/>
                <w:bCs/>
                <w:sz w:val="20"/>
              </w:rPr>
            </w:pPr>
          </w:p>
        </w:tc>
        <w:tc>
          <w:tcPr>
            <w:tcW w:w="7560" w:type="dxa"/>
            <w:gridSpan w:val="3"/>
            <w:tcBorders>
              <w:bottom w:val="single" w:color="auto" w:sz="4" w:space="0"/>
            </w:tcBorders>
            <w:shd w:val="clear" w:color="auto" w:fill="auto"/>
            <w:vAlign w:val="center"/>
          </w:tcPr>
          <w:p w:rsidRPr="00A81B46" w:rsidR="00EA20DA" w:rsidP="00A81B46" w:rsidRDefault="00EA20DA" w14:paraId="5C4AAB8D" w14:textId="7749243B">
            <w:pPr>
              <w:jc w:val="center"/>
              <w:rPr>
                <w:rFonts w:ascii="Arial" w:hAnsi="Arial" w:cs="Arial"/>
                <w:b/>
                <w:bCs/>
                <w:sz w:val="20"/>
                <w:lang w:val="es-AR"/>
              </w:rPr>
            </w:pPr>
            <w:r>
              <w:rPr>
                <w:rFonts w:ascii="Arial" w:hAnsi="Arial" w:cs="Arial"/>
                <w:b/>
                <w:bCs/>
                <w:sz w:val="20"/>
              </w:rPr>
              <w:t xml:space="preserve">Cuadro </w:t>
            </w:r>
            <w:r w:rsidR="00267B87">
              <w:rPr>
                <w:rFonts w:ascii="Arial" w:hAnsi="Arial" w:cs="Arial"/>
                <w:b/>
                <w:bCs/>
                <w:sz w:val="20"/>
              </w:rPr>
              <w:t>1</w:t>
            </w:r>
            <w:r w:rsidRPr="00A81B46">
              <w:rPr>
                <w:rFonts w:ascii="Arial" w:hAnsi="Arial" w:cs="Arial"/>
                <w:b/>
                <w:bCs/>
                <w:sz w:val="20"/>
              </w:rPr>
              <w:t xml:space="preserve">. Costo Total del Programa </w:t>
            </w:r>
          </w:p>
        </w:tc>
      </w:tr>
      <w:tr w:rsidRPr="00A81B46" w:rsidR="00EA20DA" w:rsidTr="00843E6B" w14:paraId="7AB246E3" w14:textId="2564A46A">
        <w:trPr>
          <w:trHeight w:val="467"/>
        </w:trPr>
        <w:tc>
          <w:tcPr>
            <w:tcW w:w="5559" w:type="dxa"/>
            <w:gridSpan w:val="2"/>
            <w:tcBorders>
              <w:top w:val="single" w:color="auto" w:sz="4" w:space="0"/>
              <w:left w:val="single" w:color="auto" w:sz="4" w:space="0"/>
              <w:bottom w:val="single" w:color="auto" w:sz="4" w:space="0"/>
              <w:right w:val="single" w:color="auto" w:sz="4" w:space="0"/>
            </w:tcBorders>
            <w:shd w:val="clear" w:color="auto" w:fill="DBE5F1" w:themeFill="accent1" w:themeFillTint="33"/>
            <w:vAlign w:val="center"/>
            <w:hideMark/>
          </w:tcPr>
          <w:p w:rsidRPr="00A81B46" w:rsidR="00EA20DA" w:rsidP="00A81B46" w:rsidRDefault="00EA20DA" w14:paraId="30B06525" w14:textId="18B90D78">
            <w:pPr>
              <w:jc w:val="center"/>
              <w:rPr>
                <w:rFonts w:ascii="Arial" w:hAnsi="Arial" w:cs="Arial"/>
                <w:b/>
                <w:bCs/>
                <w:sz w:val="18"/>
                <w:szCs w:val="18"/>
                <w:lang w:val="es-AR"/>
              </w:rPr>
            </w:pPr>
            <w:r>
              <w:rPr>
                <w:rFonts w:ascii="Arial" w:hAnsi="Arial" w:cs="Arial"/>
                <w:b/>
                <w:bCs/>
                <w:sz w:val="18"/>
                <w:szCs w:val="18"/>
                <w:lang w:val="es-AR"/>
              </w:rPr>
              <w:t>Componente</w:t>
            </w:r>
          </w:p>
        </w:tc>
        <w:tc>
          <w:tcPr>
            <w:tcW w:w="2361" w:type="dxa"/>
            <w:gridSpan w:val="2"/>
            <w:tcBorders>
              <w:top w:val="single" w:color="auto" w:sz="4" w:space="0"/>
              <w:left w:val="single" w:color="auto" w:sz="4" w:space="0"/>
              <w:bottom w:val="single" w:color="auto" w:sz="4" w:space="0"/>
              <w:right w:val="single" w:color="auto" w:sz="4" w:space="0"/>
            </w:tcBorders>
            <w:shd w:val="clear" w:color="auto" w:fill="DBE5F1" w:themeFill="accent1" w:themeFillTint="33"/>
            <w:vAlign w:val="center"/>
            <w:hideMark/>
          </w:tcPr>
          <w:p w:rsidRPr="00A81B46" w:rsidR="00EA20DA" w:rsidP="00A81B46" w:rsidRDefault="00EA20DA" w14:paraId="210437FF" w14:textId="58D536B5">
            <w:pPr>
              <w:jc w:val="center"/>
              <w:rPr>
                <w:rFonts w:ascii="Arial" w:hAnsi="Arial" w:cs="Arial"/>
                <w:b/>
                <w:bCs/>
                <w:sz w:val="18"/>
                <w:szCs w:val="18"/>
              </w:rPr>
            </w:pPr>
            <w:r>
              <w:rPr>
                <w:rFonts w:ascii="Arial" w:hAnsi="Arial" w:cs="Arial"/>
                <w:b/>
                <w:bCs/>
                <w:sz w:val="18"/>
                <w:szCs w:val="18"/>
              </w:rPr>
              <w:t>US$</w:t>
            </w:r>
          </w:p>
        </w:tc>
      </w:tr>
      <w:tr w:rsidRPr="00A81B46" w:rsidR="00EA20DA" w:rsidTr="00EA20DA" w14:paraId="2EB31A81" w14:textId="0F818371">
        <w:trPr>
          <w:trHeight w:val="236"/>
        </w:trPr>
        <w:tc>
          <w:tcPr>
            <w:tcW w:w="5559" w:type="dxa"/>
            <w:gridSpan w:val="2"/>
            <w:tcBorders>
              <w:top w:val="single" w:color="auto" w:sz="4" w:space="0"/>
              <w:left w:val="single" w:color="auto" w:sz="4" w:space="0"/>
              <w:bottom w:val="single" w:color="auto" w:sz="4" w:space="0"/>
              <w:right w:val="single" w:color="000000" w:sz="4" w:space="0"/>
            </w:tcBorders>
            <w:shd w:val="clear" w:color="auto" w:fill="auto"/>
            <w:vAlign w:val="center"/>
            <w:hideMark/>
          </w:tcPr>
          <w:p w:rsidRPr="00A81B46" w:rsidR="00EA20DA" w:rsidP="00A81B46" w:rsidRDefault="00EA20DA" w14:paraId="7C38CA33" w14:textId="235C59D1">
            <w:pPr>
              <w:rPr>
                <w:rFonts w:ascii="Arial" w:hAnsi="Arial" w:cs="Arial"/>
                <w:b/>
                <w:bCs/>
                <w:sz w:val="18"/>
                <w:szCs w:val="18"/>
              </w:rPr>
            </w:pPr>
            <w:r w:rsidRPr="00A81B46">
              <w:rPr>
                <w:rFonts w:ascii="Arial" w:hAnsi="Arial" w:cs="Arial"/>
                <w:b/>
                <w:bCs/>
                <w:sz w:val="18"/>
                <w:szCs w:val="18"/>
              </w:rPr>
              <w:t xml:space="preserve">Componente 1. </w:t>
            </w:r>
            <w:r w:rsidRPr="001B1DC9">
              <w:rPr>
                <w:rFonts w:ascii="Arial" w:hAnsi="Arial" w:cs="Arial"/>
                <w:b/>
                <w:bCs/>
                <w:sz w:val="18"/>
                <w:szCs w:val="18"/>
              </w:rPr>
              <w:t xml:space="preserve">Desarrollo de sistemas de generación eléctrica en lugares rurales aislados </w:t>
            </w:r>
          </w:p>
        </w:tc>
        <w:tc>
          <w:tcPr>
            <w:tcW w:w="1102" w:type="dxa"/>
            <w:tcBorders>
              <w:top w:val="nil"/>
              <w:left w:val="nil"/>
              <w:bottom w:val="single" w:color="auto" w:sz="4" w:space="0"/>
              <w:right w:val="single" w:color="auto" w:sz="4" w:space="0"/>
            </w:tcBorders>
            <w:shd w:val="clear" w:color="auto" w:fill="auto"/>
            <w:vAlign w:val="center"/>
          </w:tcPr>
          <w:p w:rsidRPr="00A81B46" w:rsidR="00EA20DA" w:rsidP="00A81B46" w:rsidRDefault="00EA20DA" w14:paraId="29B20D40" w14:textId="0A1926FD">
            <w:pPr>
              <w:jc w:val="right"/>
              <w:rPr>
                <w:rFonts w:ascii="Arial" w:hAnsi="Arial" w:cs="Arial"/>
                <w:b/>
                <w:bCs/>
                <w:sz w:val="18"/>
                <w:szCs w:val="18"/>
              </w:rPr>
            </w:pPr>
          </w:p>
        </w:tc>
        <w:tc>
          <w:tcPr>
            <w:tcW w:w="1259" w:type="dxa"/>
            <w:tcBorders>
              <w:top w:val="nil"/>
              <w:left w:val="nil"/>
              <w:bottom w:val="single" w:color="auto" w:sz="4" w:space="0"/>
              <w:right w:val="single" w:color="auto" w:sz="4" w:space="0"/>
            </w:tcBorders>
            <w:vAlign w:val="center"/>
          </w:tcPr>
          <w:p w:rsidR="00EA20DA" w:rsidP="00A81B46" w:rsidRDefault="001B33D1" w14:paraId="769C4B6E" w14:textId="141F1ED2">
            <w:pPr>
              <w:jc w:val="right"/>
              <w:rPr>
                <w:rFonts w:ascii="Arial" w:hAnsi="Arial" w:cs="Arial"/>
                <w:b/>
                <w:bCs/>
                <w:sz w:val="18"/>
                <w:szCs w:val="18"/>
              </w:rPr>
            </w:pPr>
            <w:r>
              <w:rPr>
                <w:rFonts w:ascii="Arial" w:hAnsi="Arial" w:cs="Arial"/>
                <w:b/>
                <w:bCs/>
                <w:sz w:val="18"/>
                <w:szCs w:val="18"/>
              </w:rPr>
              <w:t>5.730</w:t>
            </w:r>
            <w:r w:rsidR="00EA20DA">
              <w:rPr>
                <w:rFonts w:ascii="Arial" w:hAnsi="Arial" w:cs="Arial"/>
                <w:b/>
                <w:bCs/>
                <w:sz w:val="18"/>
                <w:szCs w:val="18"/>
              </w:rPr>
              <w:t>.000</w:t>
            </w:r>
          </w:p>
        </w:tc>
      </w:tr>
      <w:tr w:rsidRPr="00A81B46" w:rsidR="00EA20DA" w:rsidTr="00EA20DA" w14:paraId="33B3DF1B" w14:textId="6506C2CE">
        <w:trPr>
          <w:trHeight w:val="287"/>
        </w:trPr>
        <w:tc>
          <w:tcPr>
            <w:tcW w:w="360" w:type="dxa"/>
            <w:tcBorders>
              <w:top w:val="nil"/>
              <w:left w:val="single" w:color="auto" w:sz="4" w:space="0"/>
              <w:bottom w:val="single" w:color="auto" w:sz="4" w:space="0"/>
              <w:right w:val="nil"/>
            </w:tcBorders>
            <w:shd w:val="clear" w:color="000000" w:fill="FFFFFF"/>
            <w:vAlign w:val="center"/>
          </w:tcPr>
          <w:p w:rsidRPr="00A81B46" w:rsidR="00EA20DA" w:rsidP="00A81B46" w:rsidRDefault="00EA20DA" w14:paraId="70371F6F" w14:textId="77777777">
            <w:pPr>
              <w:rPr>
                <w:rFonts w:ascii="Arial" w:hAnsi="Arial" w:cs="Arial"/>
                <w:b/>
                <w:bCs/>
                <w:sz w:val="18"/>
                <w:szCs w:val="18"/>
              </w:rPr>
            </w:pPr>
          </w:p>
        </w:tc>
        <w:tc>
          <w:tcPr>
            <w:tcW w:w="5199" w:type="dxa"/>
            <w:tcBorders>
              <w:top w:val="nil"/>
              <w:left w:val="nil"/>
              <w:bottom w:val="single" w:color="auto" w:sz="4" w:space="0"/>
              <w:right w:val="single" w:color="auto" w:sz="4" w:space="0"/>
            </w:tcBorders>
            <w:shd w:val="clear" w:color="auto" w:fill="auto"/>
            <w:vAlign w:val="center"/>
          </w:tcPr>
          <w:p w:rsidRPr="00A81B46" w:rsidR="00EA20DA" w:rsidP="00A81B46" w:rsidRDefault="00EA20DA" w14:paraId="0DBDCF5A" w14:textId="4E840292">
            <w:pPr>
              <w:rPr>
                <w:rFonts w:ascii="Arial" w:hAnsi="Arial" w:cs="Arial"/>
                <w:sz w:val="18"/>
                <w:szCs w:val="18"/>
              </w:rPr>
            </w:pPr>
            <w:r>
              <w:rPr>
                <w:rFonts w:ascii="Arial" w:hAnsi="Arial" w:cs="Arial"/>
                <w:sz w:val="18"/>
                <w:szCs w:val="18"/>
              </w:rPr>
              <w:t>Brus Laguna (0,60 MW)</w:t>
            </w:r>
            <w:r w:rsidR="00030AD3">
              <w:rPr>
                <w:rFonts w:ascii="Arial" w:hAnsi="Arial" w:cs="Arial"/>
                <w:sz w:val="18"/>
                <w:szCs w:val="18"/>
              </w:rPr>
              <w:t xml:space="preserve"> en </w:t>
            </w:r>
            <w:proofErr w:type="spellStart"/>
            <w:r w:rsidR="00030AD3">
              <w:rPr>
                <w:rFonts w:ascii="Arial" w:hAnsi="Arial" w:cs="Arial"/>
                <w:sz w:val="18"/>
                <w:szCs w:val="18"/>
              </w:rPr>
              <w:t>micro-red</w:t>
            </w:r>
            <w:proofErr w:type="spellEnd"/>
          </w:p>
        </w:tc>
        <w:tc>
          <w:tcPr>
            <w:tcW w:w="1102" w:type="dxa"/>
            <w:tcBorders>
              <w:top w:val="nil"/>
              <w:left w:val="nil"/>
              <w:bottom w:val="single" w:color="auto" w:sz="4" w:space="0"/>
              <w:right w:val="single" w:color="auto" w:sz="4" w:space="0"/>
            </w:tcBorders>
            <w:shd w:val="clear" w:color="auto" w:fill="auto"/>
            <w:vAlign w:val="center"/>
          </w:tcPr>
          <w:p w:rsidRPr="00A81B46" w:rsidR="00EA20DA" w:rsidP="00EA20DA" w:rsidRDefault="00EA20DA" w14:paraId="45C86412" w14:textId="08EE07A7">
            <w:pPr>
              <w:jc w:val="right"/>
              <w:rPr>
                <w:rFonts w:ascii="Arial" w:hAnsi="Arial" w:cs="Arial"/>
                <w:sz w:val="18"/>
                <w:szCs w:val="18"/>
              </w:rPr>
            </w:pPr>
            <w:r>
              <w:rPr>
                <w:rFonts w:ascii="Arial" w:hAnsi="Arial" w:cs="Arial"/>
                <w:sz w:val="18"/>
                <w:szCs w:val="18"/>
              </w:rPr>
              <w:t>2.</w:t>
            </w:r>
            <w:r w:rsidR="001D1031">
              <w:rPr>
                <w:rFonts w:ascii="Arial" w:hAnsi="Arial" w:cs="Arial"/>
                <w:sz w:val="18"/>
                <w:szCs w:val="18"/>
              </w:rPr>
              <w:t>750</w:t>
            </w:r>
            <w:r>
              <w:rPr>
                <w:rFonts w:ascii="Arial" w:hAnsi="Arial" w:cs="Arial"/>
                <w:sz w:val="18"/>
                <w:szCs w:val="18"/>
              </w:rPr>
              <w:t>.000</w:t>
            </w:r>
          </w:p>
        </w:tc>
        <w:tc>
          <w:tcPr>
            <w:tcW w:w="1259" w:type="dxa"/>
            <w:tcBorders>
              <w:top w:val="nil"/>
              <w:left w:val="nil"/>
              <w:bottom w:val="single" w:color="auto" w:sz="4" w:space="0"/>
              <w:right w:val="single" w:color="auto" w:sz="4" w:space="0"/>
            </w:tcBorders>
            <w:vAlign w:val="center"/>
          </w:tcPr>
          <w:p w:rsidR="00EA20DA" w:rsidP="00EA20DA" w:rsidRDefault="00EA20DA" w14:paraId="4F6C3ED0" w14:textId="77777777">
            <w:pPr>
              <w:rPr>
                <w:rFonts w:ascii="Arial" w:hAnsi="Arial" w:cs="Arial"/>
                <w:sz w:val="18"/>
                <w:szCs w:val="18"/>
              </w:rPr>
            </w:pPr>
          </w:p>
        </w:tc>
      </w:tr>
      <w:tr w:rsidRPr="00A81B46" w:rsidR="00EA20DA" w:rsidTr="00EA20DA" w14:paraId="6A39EFB9" w14:textId="06B29393">
        <w:trPr>
          <w:trHeight w:val="287"/>
        </w:trPr>
        <w:tc>
          <w:tcPr>
            <w:tcW w:w="360" w:type="dxa"/>
            <w:tcBorders>
              <w:top w:val="nil"/>
              <w:left w:val="single" w:color="auto" w:sz="4" w:space="0"/>
              <w:bottom w:val="single" w:color="auto" w:sz="4" w:space="0"/>
              <w:right w:val="nil"/>
            </w:tcBorders>
            <w:shd w:val="clear" w:color="000000" w:fill="FFFFFF"/>
            <w:vAlign w:val="center"/>
            <w:hideMark/>
          </w:tcPr>
          <w:p w:rsidRPr="00A81B46" w:rsidR="00EA20DA" w:rsidP="00EA20DA" w:rsidRDefault="00EA20DA" w14:paraId="280CA0EE" w14:textId="77777777">
            <w:pPr>
              <w:rPr>
                <w:rFonts w:ascii="Arial" w:hAnsi="Arial" w:cs="Arial"/>
                <w:b/>
                <w:bCs/>
                <w:sz w:val="18"/>
                <w:szCs w:val="18"/>
              </w:rPr>
            </w:pPr>
            <w:r w:rsidRPr="00A81B46">
              <w:rPr>
                <w:rFonts w:ascii="Arial" w:hAnsi="Arial" w:cs="Arial"/>
                <w:b/>
                <w:bCs/>
                <w:sz w:val="18"/>
                <w:szCs w:val="18"/>
              </w:rPr>
              <w:t> </w:t>
            </w:r>
          </w:p>
        </w:tc>
        <w:tc>
          <w:tcPr>
            <w:tcW w:w="5199" w:type="dxa"/>
            <w:tcBorders>
              <w:top w:val="nil"/>
              <w:left w:val="nil"/>
              <w:bottom w:val="single" w:color="auto" w:sz="4" w:space="0"/>
              <w:right w:val="single" w:color="auto" w:sz="4" w:space="0"/>
            </w:tcBorders>
            <w:shd w:val="clear" w:color="auto" w:fill="auto"/>
            <w:vAlign w:val="center"/>
            <w:hideMark/>
          </w:tcPr>
          <w:p w:rsidRPr="00A81B46" w:rsidR="00EA20DA" w:rsidP="00EA20DA" w:rsidRDefault="00EA20DA" w14:paraId="07868AAE" w14:textId="5F431DAE">
            <w:pPr>
              <w:rPr>
                <w:rFonts w:ascii="Arial" w:hAnsi="Arial" w:cs="Arial"/>
                <w:sz w:val="18"/>
                <w:szCs w:val="18"/>
              </w:rPr>
            </w:pPr>
            <w:r>
              <w:rPr>
                <w:rFonts w:ascii="Arial" w:hAnsi="Arial" w:cs="Arial"/>
                <w:sz w:val="18"/>
                <w:szCs w:val="18"/>
              </w:rPr>
              <w:t>Isla Guanaja (0,75 MW)</w:t>
            </w:r>
            <w:r w:rsidR="00030AD3">
              <w:rPr>
                <w:rFonts w:ascii="Arial" w:hAnsi="Arial" w:cs="Arial"/>
                <w:sz w:val="18"/>
                <w:szCs w:val="18"/>
              </w:rPr>
              <w:t xml:space="preserve"> en </w:t>
            </w:r>
            <w:proofErr w:type="spellStart"/>
            <w:r w:rsidR="00030AD3">
              <w:rPr>
                <w:rFonts w:ascii="Arial" w:hAnsi="Arial" w:cs="Arial"/>
                <w:sz w:val="18"/>
                <w:szCs w:val="18"/>
              </w:rPr>
              <w:t>micro-red</w:t>
            </w:r>
            <w:proofErr w:type="spellEnd"/>
          </w:p>
        </w:tc>
        <w:tc>
          <w:tcPr>
            <w:tcW w:w="1102" w:type="dxa"/>
            <w:tcBorders>
              <w:top w:val="nil"/>
              <w:left w:val="nil"/>
              <w:bottom w:val="single" w:color="auto" w:sz="4" w:space="0"/>
              <w:right w:val="single" w:color="auto" w:sz="4" w:space="0"/>
            </w:tcBorders>
            <w:shd w:val="clear" w:color="auto" w:fill="auto"/>
            <w:vAlign w:val="center"/>
          </w:tcPr>
          <w:p w:rsidRPr="00A81B46" w:rsidR="00EA20DA" w:rsidP="00EA20DA" w:rsidRDefault="00F03917" w14:paraId="4F82DBE0" w14:textId="2EA84F56">
            <w:pPr>
              <w:jc w:val="right"/>
              <w:rPr>
                <w:rFonts w:ascii="Arial" w:hAnsi="Arial" w:cs="Arial"/>
                <w:sz w:val="18"/>
                <w:szCs w:val="18"/>
              </w:rPr>
            </w:pPr>
            <w:r>
              <w:rPr>
                <w:rFonts w:ascii="Arial" w:hAnsi="Arial" w:cs="Arial"/>
                <w:sz w:val="18"/>
                <w:szCs w:val="18"/>
              </w:rPr>
              <w:t>2.55</w:t>
            </w:r>
            <w:r w:rsidR="00EA20DA">
              <w:rPr>
                <w:rFonts w:ascii="Arial" w:hAnsi="Arial" w:cs="Arial"/>
                <w:sz w:val="18"/>
                <w:szCs w:val="18"/>
              </w:rPr>
              <w:t>0.000</w:t>
            </w:r>
          </w:p>
        </w:tc>
        <w:tc>
          <w:tcPr>
            <w:tcW w:w="1259" w:type="dxa"/>
            <w:tcBorders>
              <w:top w:val="nil"/>
              <w:left w:val="nil"/>
              <w:bottom w:val="single" w:color="auto" w:sz="4" w:space="0"/>
              <w:right w:val="single" w:color="auto" w:sz="4" w:space="0"/>
            </w:tcBorders>
            <w:vAlign w:val="center"/>
          </w:tcPr>
          <w:p w:rsidR="00EA20DA" w:rsidP="00EA20DA" w:rsidRDefault="00EA20DA" w14:paraId="0BD411FF" w14:textId="77777777">
            <w:pPr>
              <w:rPr>
                <w:rFonts w:ascii="Arial" w:hAnsi="Arial" w:cs="Arial"/>
                <w:sz w:val="18"/>
                <w:szCs w:val="18"/>
              </w:rPr>
            </w:pPr>
          </w:p>
        </w:tc>
      </w:tr>
      <w:tr w:rsidRPr="00A81B46" w:rsidR="00EA20DA" w:rsidTr="00EA20DA" w14:paraId="0B7C6A03" w14:textId="61C321D3">
        <w:trPr>
          <w:trHeight w:val="287"/>
        </w:trPr>
        <w:tc>
          <w:tcPr>
            <w:tcW w:w="360" w:type="dxa"/>
            <w:tcBorders>
              <w:top w:val="nil"/>
              <w:left w:val="single" w:color="auto" w:sz="4" w:space="0"/>
              <w:bottom w:val="single" w:color="auto" w:sz="4" w:space="0"/>
              <w:right w:val="nil"/>
            </w:tcBorders>
            <w:shd w:val="clear" w:color="000000" w:fill="FFFFFF"/>
            <w:vAlign w:val="center"/>
          </w:tcPr>
          <w:p w:rsidRPr="00A81B46" w:rsidR="00EA20DA" w:rsidP="00EA20DA" w:rsidRDefault="00EA20DA" w14:paraId="31A41E2F" w14:textId="77777777">
            <w:pPr>
              <w:rPr>
                <w:rFonts w:ascii="Arial" w:hAnsi="Arial" w:cs="Arial"/>
                <w:b/>
                <w:bCs/>
                <w:sz w:val="18"/>
                <w:szCs w:val="18"/>
              </w:rPr>
            </w:pPr>
          </w:p>
        </w:tc>
        <w:tc>
          <w:tcPr>
            <w:tcW w:w="5199" w:type="dxa"/>
            <w:tcBorders>
              <w:top w:val="nil"/>
              <w:left w:val="nil"/>
              <w:bottom w:val="single" w:color="auto" w:sz="4" w:space="0"/>
              <w:right w:val="single" w:color="auto" w:sz="4" w:space="0"/>
            </w:tcBorders>
            <w:shd w:val="clear" w:color="auto" w:fill="auto"/>
            <w:vAlign w:val="center"/>
          </w:tcPr>
          <w:p w:rsidRPr="00A81B46" w:rsidR="00EA20DA" w:rsidP="00EA20DA" w:rsidRDefault="00EA20DA" w14:paraId="0026AD2C" w14:textId="3460D20D">
            <w:pPr>
              <w:rPr>
                <w:rFonts w:ascii="Arial" w:hAnsi="Arial" w:cs="Arial"/>
                <w:sz w:val="18"/>
                <w:szCs w:val="18"/>
              </w:rPr>
            </w:pPr>
            <w:r>
              <w:rPr>
                <w:rFonts w:ascii="Arial" w:hAnsi="Arial" w:cs="Arial"/>
                <w:sz w:val="18"/>
                <w:szCs w:val="18"/>
              </w:rPr>
              <w:t>El Corpus y Concepción de María (0,0</w:t>
            </w:r>
            <w:r w:rsidR="001C6792">
              <w:rPr>
                <w:rFonts w:ascii="Arial" w:hAnsi="Arial" w:cs="Arial"/>
                <w:sz w:val="18"/>
                <w:szCs w:val="18"/>
              </w:rPr>
              <w:t>7</w:t>
            </w:r>
            <w:r>
              <w:rPr>
                <w:rFonts w:ascii="Arial" w:hAnsi="Arial" w:cs="Arial"/>
                <w:sz w:val="18"/>
                <w:szCs w:val="18"/>
              </w:rPr>
              <w:t xml:space="preserve"> MW c/u)</w:t>
            </w:r>
            <w:r w:rsidR="00030AD3">
              <w:rPr>
                <w:rFonts w:ascii="Arial" w:hAnsi="Arial" w:cs="Arial"/>
                <w:sz w:val="18"/>
                <w:szCs w:val="18"/>
              </w:rPr>
              <w:t xml:space="preserve"> con sistemas FV </w:t>
            </w:r>
            <w:r w:rsidR="00811E4D">
              <w:rPr>
                <w:rFonts w:ascii="Arial" w:hAnsi="Arial" w:cs="Arial"/>
                <w:sz w:val="18"/>
                <w:szCs w:val="18"/>
              </w:rPr>
              <w:t xml:space="preserve">domiciliarios </w:t>
            </w:r>
            <w:r w:rsidR="00030AD3">
              <w:rPr>
                <w:rFonts w:ascii="Arial" w:hAnsi="Arial" w:cs="Arial"/>
                <w:sz w:val="18"/>
                <w:szCs w:val="18"/>
              </w:rPr>
              <w:t>individuales</w:t>
            </w:r>
          </w:p>
        </w:tc>
        <w:tc>
          <w:tcPr>
            <w:tcW w:w="1102" w:type="dxa"/>
            <w:tcBorders>
              <w:top w:val="nil"/>
              <w:left w:val="nil"/>
              <w:bottom w:val="single" w:color="auto" w:sz="4" w:space="0"/>
              <w:right w:val="single" w:color="auto" w:sz="4" w:space="0"/>
            </w:tcBorders>
            <w:shd w:val="clear" w:color="auto" w:fill="auto"/>
            <w:vAlign w:val="center"/>
          </w:tcPr>
          <w:p w:rsidRPr="006A417F" w:rsidR="00EA20DA" w:rsidP="00EA20DA" w:rsidRDefault="00F03917" w14:paraId="66CE1805" w14:textId="09F85C87">
            <w:pPr>
              <w:jc w:val="right"/>
              <w:rPr>
                <w:rFonts w:ascii="Arial" w:hAnsi="Arial" w:cs="Arial"/>
                <w:sz w:val="18"/>
                <w:szCs w:val="18"/>
              </w:rPr>
            </w:pPr>
            <w:r w:rsidRPr="006A417F">
              <w:rPr>
                <w:rFonts w:ascii="Arial" w:hAnsi="Arial" w:cs="Arial"/>
                <w:sz w:val="18"/>
                <w:szCs w:val="18"/>
              </w:rPr>
              <w:t>43</w:t>
            </w:r>
            <w:r w:rsidRPr="006A417F" w:rsidR="00EA20DA">
              <w:rPr>
                <w:rFonts w:ascii="Arial" w:hAnsi="Arial" w:cs="Arial"/>
                <w:sz w:val="18"/>
                <w:szCs w:val="18"/>
              </w:rPr>
              <w:t>0.000</w:t>
            </w:r>
          </w:p>
        </w:tc>
        <w:tc>
          <w:tcPr>
            <w:tcW w:w="1259" w:type="dxa"/>
            <w:tcBorders>
              <w:top w:val="nil"/>
              <w:left w:val="nil"/>
              <w:bottom w:val="single" w:color="auto" w:sz="4" w:space="0"/>
              <w:right w:val="single" w:color="auto" w:sz="4" w:space="0"/>
            </w:tcBorders>
            <w:vAlign w:val="center"/>
          </w:tcPr>
          <w:p w:rsidRPr="006A417F" w:rsidR="00EA20DA" w:rsidP="00EA20DA" w:rsidRDefault="00EA20DA" w14:paraId="15F592B7" w14:textId="77777777">
            <w:pPr>
              <w:rPr>
                <w:rFonts w:ascii="Arial" w:hAnsi="Arial" w:cs="Arial"/>
                <w:sz w:val="18"/>
                <w:szCs w:val="18"/>
              </w:rPr>
            </w:pPr>
          </w:p>
        </w:tc>
      </w:tr>
      <w:tr w:rsidRPr="00A81B46" w:rsidR="00EA20DA" w:rsidTr="00EA20DA" w14:paraId="36633A4A" w14:textId="090A4203">
        <w:trPr>
          <w:trHeight w:val="236"/>
        </w:trPr>
        <w:tc>
          <w:tcPr>
            <w:tcW w:w="5559" w:type="dxa"/>
            <w:gridSpan w:val="2"/>
            <w:tcBorders>
              <w:top w:val="single" w:color="auto" w:sz="4" w:space="0"/>
              <w:left w:val="single" w:color="auto" w:sz="4" w:space="0"/>
              <w:bottom w:val="single" w:color="auto" w:sz="4" w:space="0"/>
              <w:right w:val="single" w:color="000000" w:sz="4" w:space="0"/>
            </w:tcBorders>
            <w:shd w:val="clear" w:color="auto" w:fill="auto"/>
            <w:vAlign w:val="center"/>
            <w:hideMark/>
          </w:tcPr>
          <w:p w:rsidRPr="00A81B46" w:rsidR="00EA20DA" w:rsidP="00EA20DA" w:rsidRDefault="00EA20DA" w14:paraId="4BAE73C2" w14:textId="39605BE5">
            <w:pPr>
              <w:rPr>
                <w:rFonts w:ascii="Arial" w:hAnsi="Arial" w:cs="Arial"/>
                <w:b/>
                <w:bCs/>
                <w:sz w:val="18"/>
                <w:szCs w:val="18"/>
              </w:rPr>
            </w:pPr>
            <w:r w:rsidRPr="00A81B46">
              <w:rPr>
                <w:rFonts w:ascii="Arial" w:hAnsi="Arial" w:cs="Arial"/>
                <w:b/>
                <w:bCs/>
                <w:sz w:val="18"/>
                <w:szCs w:val="18"/>
              </w:rPr>
              <w:t xml:space="preserve">Componente 2. </w:t>
            </w:r>
            <w:r w:rsidRPr="001B1DC9">
              <w:rPr>
                <w:rFonts w:ascii="Arial" w:hAnsi="Arial" w:cs="Arial"/>
                <w:b/>
                <w:bCs/>
                <w:sz w:val="18"/>
                <w:szCs w:val="18"/>
              </w:rPr>
              <w:t>Fortalecimiento capacidades de gestión</w:t>
            </w:r>
          </w:p>
        </w:tc>
        <w:tc>
          <w:tcPr>
            <w:tcW w:w="1102" w:type="dxa"/>
            <w:tcBorders>
              <w:top w:val="nil"/>
              <w:left w:val="nil"/>
              <w:bottom w:val="single" w:color="auto" w:sz="4" w:space="0"/>
              <w:right w:val="single" w:color="auto" w:sz="4" w:space="0"/>
            </w:tcBorders>
            <w:shd w:val="clear" w:color="auto" w:fill="auto"/>
            <w:noWrap/>
            <w:vAlign w:val="bottom"/>
          </w:tcPr>
          <w:p w:rsidRPr="00A81B46" w:rsidR="00EA20DA" w:rsidP="00EA20DA" w:rsidRDefault="00EA20DA" w14:paraId="7E9BB45C" w14:textId="2E923380">
            <w:pPr>
              <w:jc w:val="right"/>
              <w:rPr>
                <w:rFonts w:ascii="Arial" w:hAnsi="Arial" w:cs="Arial"/>
                <w:b/>
                <w:bCs/>
                <w:sz w:val="18"/>
                <w:szCs w:val="18"/>
              </w:rPr>
            </w:pPr>
          </w:p>
        </w:tc>
        <w:tc>
          <w:tcPr>
            <w:tcW w:w="1259" w:type="dxa"/>
            <w:tcBorders>
              <w:top w:val="nil"/>
              <w:left w:val="nil"/>
              <w:bottom w:val="single" w:color="auto" w:sz="4" w:space="0"/>
              <w:right w:val="single" w:color="auto" w:sz="4" w:space="0"/>
            </w:tcBorders>
            <w:vAlign w:val="center"/>
          </w:tcPr>
          <w:p w:rsidR="00EA20DA" w:rsidP="00EA20DA" w:rsidRDefault="00F03917" w14:paraId="69932429" w14:textId="1802690F">
            <w:pPr>
              <w:jc w:val="right"/>
              <w:rPr>
                <w:rFonts w:ascii="Arial" w:hAnsi="Arial" w:cs="Arial"/>
                <w:b/>
                <w:bCs/>
                <w:sz w:val="18"/>
                <w:szCs w:val="18"/>
              </w:rPr>
            </w:pPr>
            <w:r>
              <w:rPr>
                <w:rFonts w:ascii="Arial" w:hAnsi="Arial" w:cs="Arial"/>
                <w:b/>
                <w:bCs/>
                <w:sz w:val="18"/>
                <w:szCs w:val="18"/>
              </w:rPr>
              <w:t>430</w:t>
            </w:r>
            <w:r w:rsidR="00EA20DA">
              <w:rPr>
                <w:rFonts w:ascii="Arial" w:hAnsi="Arial" w:cs="Arial"/>
                <w:b/>
                <w:bCs/>
                <w:sz w:val="18"/>
                <w:szCs w:val="18"/>
              </w:rPr>
              <w:t>.000</w:t>
            </w:r>
          </w:p>
        </w:tc>
      </w:tr>
      <w:tr w:rsidRPr="00A81B46" w:rsidR="00EA20DA" w:rsidTr="00EA20DA" w14:paraId="61CC982B" w14:textId="4CDF2624">
        <w:trPr>
          <w:trHeight w:val="236"/>
        </w:trPr>
        <w:tc>
          <w:tcPr>
            <w:tcW w:w="5559" w:type="dxa"/>
            <w:gridSpan w:val="2"/>
            <w:tcBorders>
              <w:top w:val="single" w:color="auto" w:sz="4" w:space="0"/>
              <w:left w:val="single" w:color="auto" w:sz="4" w:space="0"/>
              <w:bottom w:val="single" w:color="auto" w:sz="4" w:space="0"/>
              <w:right w:val="single" w:color="000000" w:sz="4" w:space="0"/>
            </w:tcBorders>
            <w:shd w:val="clear" w:color="auto" w:fill="auto"/>
            <w:vAlign w:val="center"/>
            <w:hideMark/>
          </w:tcPr>
          <w:p w:rsidRPr="00A81B46" w:rsidR="00EA20DA" w:rsidP="00EA20DA" w:rsidRDefault="00EA20DA" w14:paraId="23EDEEE4" w14:textId="5E407FEF">
            <w:pPr>
              <w:rPr>
                <w:rFonts w:ascii="Arial" w:hAnsi="Arial" w:cs="Arial"/>
                <w:b/>
                <w:bCs/>
                <w:sz w:val="18"/>
                <w:szCs w:val="18"/>
              </w:rPr>
            </w:pPr>
            <w:r w:rsidRPr="00A81B46">
              <w:rPr>
                <w:rFonts w:ascii="Arial" w:hAnsi="Arial" w:cs="Arial"/>
                <w:b/>
                <w:bCs/>
                <w:sz w:val="18"/>
                <w:szCs w:val="18"/>
                <w:lang w:val="es-AR"/>
              </w:rPr>
              <w:t>Administración</w:t>
            </w:r>
            <w:r>
              <w:rPr>
                <w:rFonts w:ascii="Arial" w:hAnsi="Arial" w:cs="Arial"/>
                <w:b/>
                <w:bCs/>
                <w:sz w:val="18"/>
                <w:szCs w:val="18"/>
                <w:lang w:val="es-AR"/>
              </w:rPr>
              <w:t>, evaluación y auditoría</w:t>
            </w:r>
          </w:p>
        </w:tc>
        <w:tc>
          <w:tcPr>
            <w:tcW w:w="1102" w:type="dxa"/>
            <w:tcBorders>
              <w:top w:val="nil"/>
              <w:left w:val="nil"/>
              <w:bottom w:val="single" w:color="auto" w:sz="4" w:space="0"/>
              <w:right w:val="single" w:color="auto" w:sz="4" w:space="0"/>
            </w:tcBorders>
            <w:shd w:val="clear" w:color="auto" w:fill="auto"/>
            <w:vAlign w:val="center"/>
          </w:tcPr>
          <w:p w:rsidRPr="00A81B46" w:rsidR="00EA20DA" w:rsidP="00EA20DA" w:rsidRDefault="00EA20DA" w14:paraId="79F25C51" w14:textId="40FAC96A">
            <w:pPr>
              <w:jc w:val="right"/>
              <w:rPr>
                <w:rFonts w:ascii="Arial" w:hAnsi="Arial" w:cs="Arial"/>
                <w:b/>
                <w:bCs/>
                <w:sz w:val="18"/>
                <w:szCs w:val="18"/>
              </w:rPr>
            </w:pPr>
          </w:p>
        </w:tc>
        <w:tc>
          <w:tcPr>
            <w:tcW w:w="1259" w:type="dxa"/>
            <w:tcBorders>
              <w:top w:val="nil"/>
              <w:left w:val="nil"/>
              <w:bottom w:val="single" w:color="auto" w:sz="4" w:space="0"/>
              <w:right w:val="single" w:color="auto" w:sz="4" w:space="0"/>
            </w:tcBorders>
            <w:vAlign w:val="center"/>
          </w:tcPr>
          <w:p w:rsidR="00EA20DA" w:rsidP="00EA20DA" w:rsidRDefault="00F03917" w14:paraId="27C7067A" w14:textId="2F8518E6">
            <w:pPr>
              <w:jc w:val="right"/>
              <w:rPr>
                <w:rFonts w:ascii="Arial" w:hAnsi="Arial" w:cs="Arial"/>
                <w:b/>
                <w:bCs/>
                <w:sz w:val="18"/>
                <w:szCs w:val="18"/>
              </w:rPr>
            </w:pPr>
            <w:r>
              <w:rPr>
                <w:rFonts w:ascii="Arial" w:hAnsi="Arial" w:cs="Arial"/>
                <w:b/>
                <w:bCs/>
                <w:sz w:val="18"/>
                <w:szCs w:val="18"/>
              </w:rPr>
              <w:t>26</w:t>
            </w:r>
            <w:r w:rsidR="00EA20DA">
              <w:rPr>
                <w:rFonts w:ascii="Arial" w:hAnsi="Arial" w:cs="Arial"/>
                <w:b/>
                <w:bCs/>
                <w:sz w:val="18"/>
                <w:szCs w:val="18"/>
              </w:rPr>
              <w:t>0.000</w:t>
            </w:r>
          </w:p>
        </w:tc>
      </w:tr>
      <w:tr w:rsidRPr="00A81B46" w:rsidR="00EA20DA" w:rsidTr="00843E6B" w14:paraId="4B961C3F" w14:textId="1950302B">
        <w:trPr>
          <w:trHeight w:val="175"/>
        </w:trPr>
        <w:tc>
          <w:tcPr>
            <w:tcW w:w="360" w:type="dxa"/>
            <w:tcBorders>
              <w:top w:val="nil"/>
              <w:left w:val="single" w:color="auto" w:sz="4" w:space="0"/>
              <w:bottom w:val="single" w:color="auto" w:sz="4" w:space="0"/>
              <w:right w:val="nil"/>
            </w:tcBorders>
            <w:shd w:val="clear" w:color="auto" w:fill="DBE5F1" w:themeFill="accent1" w:themeFillTint="33"/>
            <w:noWrap/>
            <w:vAlign w:val="bottom"/>
            <w:hideMark/>
          </w:tcPr>
          <w:p w:rsidRPr="00A81B46" w:rsidR="00EA20DA" w:rsidP="00EA20DA" w:rsidRDefault="00EA20DA" w14:paraId="3D8D82BF" w14:textId="77777777">
            <w:pPr>
              <w:rPr>
                <w:rFonts w:ascii="Arial" w:hAnsi="Arial" w:cs="Arial"/>
                <w:sz w:val="18"/>
                <w:szCs w:val="18"/>
              </w:rPr>
            </w:pPr>
            <w:r w:rsidRPr="00A81B46">
              <w:rPr>
                <w:rFonts w:ascii="Arial" w:hAnsi="Arial" w:cs="Arial"/>
                <w:sz w:val="18"/>
                <w:szCs w:val="18"/>
              </w:rPr>
              <w:t> </w:t>
            </w:r>
          </w:p>
        </w:tc>
        <w:tc>
          <w:tcPr>
            <w:tcW w:w="5199" w:type="dxa"/>
            <w:tcBorders>
              <w:top w:val="nil"/>
              <w:left w:val="nil"/>
              <w:bottom w:val="single" w:color="auto" w:sz="4" w:space="0"/>
              <w:right w:val="single" w:color="auto" w:sz="4" w:space="0"/>
            </w:tcBorders>
            <w:shd w:val="clear" w:color="auto" w:fill="DBE5F1" w:themeFill="accent1" w:themeFillTint="33"/>
            <w:vAlign w:val="center"/>
            <w:hideMark/>
          </w:tcPr>
          <w:p w:rsidRPr="00A81B46" w:rsidR="00EA20DA" w:rsidP="00EA20DA" w:rsidRDefault="00EA20DA" w14:paraId="78DDAA88" w14:textId="77777777">
            <w:pPr>
              <w:rPr>
                <w:rFonts w:ascii="Arial" w:hAnsi="Arial" w:cs="Arial"/>
                <w:b/>
                <w:bCs/>
                <w:sz w:val="18"/>
                <w:szCs w:val="18"/>
              </w:rPr>
            </w:pPr>
            <w:r w:rsidRPr="00A81B46">
              <w:rPr>
                <w:rFonts w:ascii="Arial" w:hAnsi="Arial" w:cs="Arial"/>
                <w:b/>
                <w:bCs/>
                <w:sz w:val="18"/>
                <w:szCs w:val="18"/>
              </w:rPr>
              <w:t>Total</w:t>
            </w:r>
          </w:p>
        </w:tc>
        <w:tc>
          <w:tcPr>
            <w:tcW w:w="1102" w:type="dxa"/>
            <w:tcBorders>
              <w:top w:val="nil"/>
              <w:left w:val="nil"/>
              <w:bottom w:val="single" w:color="auto" w:sz="4" w:space="0"/>
              <w:right w:val="single" w:color="auto" w:sz="4" w:space="0"/>
            </w:tcBorders>
            <w:shd w:val="clear" w:color="auto" w:fill="DBE5F1" w:themeFill="accent1" w:themeFillTint="33"/>
            <w:noWrap/>
            <w:vAlign w:val="bottom"/>
          </w:tcPr>
          <w:p w:rsidRPr="00A81B46" w:rsidR="00EA20DA" w:rsidP="00EA20DA" w:rsidRDefault="00EA20DA" w14:paraId="6AE418BE" w14:textId="79AB855F">
            <w:pPr>
              <w:jc w:val="right"/>
              <w:rPr>
                <w:rFonts w:ascii="Arial" w:hAnsi="Arial" w:cs="Arial"/>
                <w:b/>
                <w:bCs/>
                <w:sz w:val="18"/>
                <w:szCs w:val="18"/>
                <w:lang w:val="en-US"/>
              </w:rPr>
            </w:pPr>
          </w:p>
        </w:tc>
        <w:tc>
          <w:tcPr>
            <w:tcW w:w="1259" w:type="dxa"/>
            <w:tcBorders>
              <w:top w:val="nil"/>
              <w:left w:val="nil"/>
              <w:bottom w:val="single" w:color="auto" w:sz="4" w:space="0"/>
              <w:right w:val="single" w:color="auto" w:sz="4" w:space="0"/>
            </w:tcBorders>
            <w:shd w:val="clear" w:color="auto" w:fill="DBE5F1" w:themeFill="accent1" w:themeFillTint="33"/>
            <w:vAlign w:val="center"/>
          </w:tcPr>
          <w:p w:rsidR="00EA20DA" w:rsidP="00EA20DA" w:rsidRDefault="00DC1918" w14:paraId="34549DCA" w14:textId="20190F17">
            <w:pPr>
              <w:jc w:val="right"/>
              <w:rPr>
                <w:rFonts w:ascii="Arial" w:hAnsi="Arial" w:cs="Arial"/>
                <w:b/>
                <w:bCs/>
                <w:sz w:val="18"/>
                <w:szCs w:val="18"/>
                <w:lang w:val="en-US"/>
              </w:rPr>
            </w:pPr>
            <w:r>
              <w:rPr>
                <w:rFonts w:ascii="Arial" w:hAnsi="Arial" w:cs="Arial"/>
                <w:b/>
                <w:bCs/>
                <w:sz w:val="18"/>
                <w:szCs w:val="18"/>
                <w:lang w:val="en-US"/>
              </w:rPr>
              <w:t>6.420</w:t>
            </w:r>
            <w:r w:rsidR="00EA20DA">
              <w:rPr>
                <w:rFonts w:ascii="Arial" w:hAnsi="Arial" w:cs="Arial"/>
                <w:b/>
                <w:bCs/>
                <w:sz w:val="18"/>
                <w:szCs w:val="18"/>
                <w:lang w:val="en-US"/>
              </w:rPr>
              <w:t>.000</w:t>
            </w:r>
          </w:p>
        </w:tc>
      </w:tr>
    </w:tbl>
    <w:p w:rsidRPr="00EB0154" w:rsidR="00ED751C" w:rsidP="00C361C0" w:rsidRDefault="0016408A" w14:paraId="58C67407" w14:textId="78B5FA48">
      <w:pPr>
        <w:pStyle w:val="FirstHeading"/>
        <w:spacing w:before="240"/>
        <w:ind w:left="720"/>
        <w:rPr>
          <w:rFonts w:ascii="Arial" w:hAnsi="Arial" w:cs="Arial"/>
          <w:sz w:val="22"/>
          <w:szCs w:val="22"/>
        </w:rPr>
      </w:pPr>
      <w:bookmarkStart w:name="_Toc526996961" w:id="14"/>
      <w:r>
        <w:rPr>
          <w:rFonts w:ascii="Arial" w:hAnsi="Arial" w:cs="Arial"/>
          <w:sz w:val="22"/>
          <w:szCs w:val="22"/>
        </w:rPr>
        <w:lastRenderedPageBreak/>
        <w:t>E.</w:t>
      </w:r>
      <w:r w:rsidRPr="00EB0154" w:rsidR="00EB0154">
        <w:rPr>
          <w:rFonts w:ascii="Arial" w:hAnsi="Arial" w:cs="Arial"/>
          <w:sz w:val="22"/>
          <w:szCs w:val="22"/>
        </w:rPr>
        <w:tab/>
      </w:r>
      <w:r w:rsidRPr="00EB0154" w:rsidR="00ED751C">
        <w:rPr>
          <w:rFonts w:ascii="Arial" w:hAnsi="Arial" w:cs="Arial"/>
          <w:sz w:val="22"/>
          <w:szCs w:val="22"/>
        </w:rPr>
        <w:t xml:space="preserve">Indicadores </w:t>
      </w:r>
      <w:r w:rsidR="006800FC">
        <w:rPr>
          <w:rFonts w:ascii="Arial" w:hAnsi="Arial" w:cs="Arial"/>
          <w:sz w:val="22"/>
          <w:szCs w:val="22"/>
        </w:rPr>
        <w:t>Clave</w:t>
      </w:r>
      <w:r w:rsidRPr="00EB0154" w:rsidR="003A5863">
        <w:rPr>
          <w:rFonts w:ascii="Arial" w:hAnsi="Arial" w:cs="Arial"/>
          <w:sz w:val="22"/>
          <w:szCs w:val="22"/>
        </w:rPr>
        <w:t xml:space="preserve"> de Resultados</w:t>
      </w:r>
      <w:bookmarkEnd w:id="14"/>
    </w:p>
    <w:p w:rsidRPr="00267B87" w:rsidR="00267B87" w:rsidP="00B40C8D" w:rsidRDefault="00C361C0" w14:paraId="4E8BBE26" w14:textId="77777777">
      <w:pPr>
        <w:pStyle w:val="Paragraph"/>
        <w:tabs>
          <w:tab w:val="num" w:pos="720"/>
        </w:tabs>
        <w:ind w:left="720" w:hanging="720"/>
        <w:rPr>
          <w:rFonts w:ascii="Arial" w:hAnsi="Arial" w:cs="Arial"/>
          <w:sz w:val="22"/>
          <w:szCs w:val="22"/>
        </w:rPr>
      </w:pPr>
      <w:r w:rsidRPr="00C361C0">
        <w:rPr>
          <w:rFonts w:ascii="Arial" w:hAnsi="Arial" w:cs="Arial"/>
          <w:sz w:val="22"/>
          <w:szCs w:val="22"/>
          <w:lang w:val="es-ES_tradnl"/>
        </w:rPr>
        <w:t>El logro de los objetivos del programa se medirá tomando como referencia los indicadores y metas que se presentan en la Matriz de Resultados</w:t>
      </w:r>
      <w:r w:rsidR="00440CC7">
        <w:rPr>
          <w:rFonts w:ascii="Arial" w:hAnsi="Arial" w:cs="Arial"/>
          <w:sz w:val="22"/>
          <w:szCs w:val="22"/>
          <w:lang w:val="es-ES_tradnl"/>
        </w:rPr>
        <w:t>.</w:t>
      </w:r>
      <w:r w:rsidRPr="00C361C0">
        <w:rPr>
          <w:rFonts w:ascii="Arial" w:hAnsi="Arial" w:cs="Arial"/>
          <w:sz w:val="22"/>
          <w:szCs w:val="22"/>
          <w:lang w:val="es-ES_tradnl"/>
        </w:rPr>
        <w:t xml:space="preserve"> </w:t>
      </w:r>
    </w:p>
    <w:tbl>
      <w:tblPr>
        <w:tblStyle w:val="TableGrid"/>
        <w:tblW w:w="8010" w:type="dxa"/>
        <w:tblInd w:w="828" w:type="dxa"/>
        <w:tblLook w:val="04A0" w:firstRow="1" w:lastRow="0" w:firstColumn="1" w:lastColumn="0" w:noHBand="0" w:noVBand="1"/>
      </w:tblPr>
      <w:tblGrid>
        <w:gridCol w:w="3042"/>
        <w:gridCol w:w="4968"/>
      </w:tblGrid>
      <w:tr w:rsidRPr="00787408" w:rsidR="00267B87" w:rsidTr="003C73CE" w14:paraId="119F98EA" w14:textId="77777777">
        <w:tc>
          <w:tcPr>
            <w:tcW w:w="8010" w:type="dxa"/>
            <w:gridSpan w:val="2"/>
            <w:tcBorders>
              <w:top w:val="nil"/>
              <w:left w:val="nil"/>
              <w:right w:val="nil"/>
            </w:tcBorders>
          </w:tcPr>
          <w:p w:rsidRPr="00267B87" w:rsidR="00267B87" w:rsidP="00267B87" w:rsidRDefault="00267B87" w14:paraId="61764771" w14:textId="4B69530C">
            <w:pPr>
              <w:numPr>
                <w:ilvl w:val="1"/>
                <w:numId w:val="0"/>
              </w:numPr>
              <w:spacing w:before="120" w:after="60"/>
              <w:jc w:val="center"/>
              <w:outlineLvl w:val="1"/>
              <w:rPr>
                <w:rFonts w:ascii="Arial" w:hAnsi="Arial" w:eastAsia="Arial" w:cs="Arial"/>
                <w:b/>
                <w:bCs/>
                <w:sz w:val="22"/>
                <w:szCs w:val="22"/>
                <w:lang w:val="pt-BR"/>
              </w:rPr>
            </w:pPr>
            <w:r w:rsidRPr="00267B87">
              <w:rPr>
                <w:rFonts w:ascii="Arial" w:hAnsi="Arial" w:eastAsia="Arial" w:cs="Arial"/>
                <w:b/>
                <w:bCs/>
                <w:sz w:val="20"/>
                <w:lang w:val="pt-BR"/>
              </w:rPr>
              <w:t>Cuadro 2. Resultados Esperados e Indicadores</w:t>
            </w:r>
          </w:p>
        </w:tc>
      </w:tr>
      <w:tr w:rsidRPr="00267B87" w:rsidR="00267B87" w:rsidTr="00267B87" w14:paraId="4BBA3CA3" w14:textId="77777777">
        <w:tc>
          <w:tcPr>
            <w:tcW w:w="3042" w:type="dxa"/>
            <w:shd w:val="clear" w:color="auto" w:fill="DBE5F1" w:themeFill="accent1" w:themeFillTint="33"/>
            <w:vAlign w:val="center"/>
          </w:tcPr>
          <w:p w:rsidRPr="00267B87" w:rsidR="00267B87" w:rsidP="00267B87" w:rsidRDefault="00267B87" w14:paraId="32B9FAD6" w14:textId="77777777">
            <w:pPr>
              <w:numPr>
                <w:ilvl w:val="1"/>
                <w:numId w:val="0"/>
              </w:numPr>
              <w:ind w:left="360"/>
              <w:jc w:val="center"/>
              <w:outlineLvl w:val="1"/>
              <w:rPr>
                <w:rFonts w:ascii="Arial" w:hAnsi="Arial" w:eastAsia="Arial" w:cs="Arial"/>
                <w:b/>
                <w:bCs/>
                <w:sz w:val="20"/>
                <w:lang w:val="es-ES"/>
              </w:rPr>
            </w:pPr>
            <w:r w:rsidRPr="00267B87">
              <w:rPr>
                <w:rFonts w:ascii="Arial" w:hAnsi="Arial" w:eastAsia="Arial" w:cs="Arial"/>
                <w:b/>
                <w:bCs/>
                <w:sz w:val="20"/>
                <w:lang w:val="es-ES"/>
              </w:rPr>
              <w:t>Impacto</w:t>
            </w:r>
          </w:p>
        </w:tc>
        <w:tc>
          <w:tcPr>
            <w:tcW w:w="4968" w:type="dxa"/>
            <w:shd w:val="clear" w:color="auto" w:fill="DBE5F1" w:themeFill="accent1" w:themeFillTint="33"/>
            <w:vAlign w:val="center"/>
          </w:tcPr>
          <w:p w:rsidRPr="00267B87" w:rsidR="00267B87" w:rsidP="00267B87" w:rsidRDefault="00267B87" w14:paraId="23D8B591" w14:textId="77777777">
            <w:pPr>
              <w:numPr>
                <w:ilvl w:val="1"/>
                <w:numId w:val="0"/>
              </w:numPr>
              <w:ind w:left="360"/>
              <w:jc w:val="center"/>
              <w:outlineLvl w:val="1"/>
              <w:rPr>
                <w:rFonts w:ascii="Arial" w:hAnsi="Arial" w:eastAsia="Arial" w:cs="Arial"/>
                <w:b/>
                <w:bCs/>
                <w:sz w:val="20"/>
                <w:lang w:val="es-ES"/>
              </w:rPr>
            </w:pPr>
            <w:r w:rsidRPr="00267B87">
              <w:rPr>
                <w:rFonts w:ascii="Arial" w:hAnsi="Arial" w:eastAsia="Arial" w:cs="Arial"/>
                <w:b/>
                <w:bCs/>
                <w:sz w:val="20"/>
                <w:lang w:val="es-ES"/>
              </w:rPr>
              <w:t>Indicador</w:t>
            </w:r>
          </w:p>
        </w:tc>
      </w:tr>
      <w:tr w:rsidRPr="00267B87" w:rsidR="00267B87" w:rsidTr="00267B87" w14:paraId="487403DC" w14:textId="77777777">
        <w:tc>
          <w:tcPr>
            <w:tcW w:w="3042" w:type="dxa"/>
            <w:shd w:val="clear" w:color="auto" w:fill="auto"/>
            <w:vAlign w:val="center"/>
          </w:tcPr>
          <w:p w:rsidRPr="00267B87" w:rsidR="00267B87" w:rsidP="00267B87" w:rsidRDefault="00267B87" w14:paraId="42B52590" w14:textId="77777777">
            <w:pPr>
              <w:numPr>
                <w:ilvl w:val="1"/>
                <w:numId w:val="0"/>
              </w:numPr>
              <w:outlineLvl w:val="1"/>
              <w:rPr>
                <w:rFonts w:ascii="Arial" w:hAnsi="Arial" w:eastAsia="Arial" w:cs="Arial"/>
                <w:b/>
                <w:bCs/>
                <w:sz w:val="20"/>
                <w:lang w:val="es-ES"/>
              </w:rPr>
            </w:pPr>
            <w:r w:rsidRPr="00267B87">
              <w:rPr>
                <w:rFonts w:ascii="Arial" w:hAnsi="Arial" w:cs="Arial"/>
                <w:color w:val="000000"/>
                <w:sz w:val="20"/>
                <w:shd w:val="clear" w:color="auto" w:fill="FFFFFF"/>
                <w:lang w:val="es-HN"/>
              </w:rPr>
              <w:t>Acceso de electricidad a nivel nacional</w:t>
            </w:r>
          </w:p>
        </w:tc>
        <w:tc>
          <w:tcPr>
            <w:tcW w:w="4968" w:type="dxa"/>
            <w:shd w:val="clear" w:color="auto" w:fill="auto"/>
            <w:vAlign w:val="center"/>
          </w:tcPr>
          <w:p w:rsidRPr="00267B87" w:rsidR="00267B87" w:rsidP="00267B87" w:rsidRDefault="00267B87" w14:paraId="3A6ED1D1" w14:textId="77777777">
            <w:pPr>
              <w:numPr>
                <w:ilvl w:val="1"/>
                <w:numId w:val="0"/>
              </w:numPr>
              <w:outlineLvl w:val="1"/>
              <w:rPr>
                <w:rFonts w:ascii="Arial" w:hAnsi="Arial" w:eastAsia="Arial" w:cs="Arial"/>
                <w:sz w:val="20"/>
                <w:lang w:val="es-ES"/>
              </w:rPr>
            </w:pPr>
            <w:r w:rsidRPr="00267B87">
              <w:rPr>
                <w:rFonts w:ascii="Arial" w:hAnsi="Arial" w:eastAsia="Arial,Times New Roman" w:cs="Arial"/>
                <w:sz w:val="19"/>
                <w:szCs w:val="19"/>
                <w:lang w:val="es-ES"/>
              </w:rPr>
              <w:t>Cobertura eléctrica</w:t>
            </w:r>
          </w:p>
        </w:tc>
      </w:tr>
      <w:tr w:rsidRPr="00267B87" w:rsidR="00267B87" w:rsidTr="00267B87" w14:paraId="752B6EDA" w14:textId="77777777">
        <w:tc>
          <w:tcPr>
            <w:tcW w:w="3042" w:type="dxa"/>
            <w:shd w:val="clear" w:color="auto" w:fill="auto"/>
            <w:vAlign w:val="center"/>
          </w:tcPr>
          <w:p w:rsidRPr="00267B87" w:rsidR="00267B87" w:rsidP="00267B87" w:rsidRDefault="00267B87" w14:paraId="25C4ECF5" w14:textId="77777777">
            <w:pPr>
              <w:numPr>
                <w:ilvl w:val="1"/>
                <w:numId w:val="0"/>
              </w:numPr>
              <w:outlineLvl w:val="1"/>
              <w:rPr>
                <w:rFonts w:ascii="Arial" w:hAnsi="Arial" w:eastAsia="Arial" w:cs="Arial"/>
                <w:b/>
                <w:bCs/>
                <w:sz w:val="20"/>
                <w:lang w:val="es-ES"/>
              </w:rPr>
            </w:pPr>
            <w:r w:rsidRPr="00267B87">
              <w:rPr>
                <w:rFonts w:ascii="Arial" w:hAnsi="Arial" w:cs="Arial"/>
                <w:color w:val="000000"/>
                <w:sz w:val="20"/>
                <w:lang w:val="es-HN"/>
              </w:rPr>
              <w:t>Factor de emisión de CO</w:t>
            </w:r>
            <w:r w:rsidRPr="00267B87">
              <w:rPr>
                <w:rFonts w:ascii="Arial" w:hAnsi="Arial" w:cs="Arial"/>
                <w:color w:val="000000"/>
                <w:sz w:val="20"/>
                <w:vertAlign w:val="subscript"/>
                <w:lang w:val="es-HN"/>
              </w:rPr>
              <w:t>2</w:t>
            </w:r>
            <w:r w:rsidRPr="00267B87">
              <w:rPr>
                <w:rFonts w:ascii="Arial" w:hAnsi="Arial" w:cs="Arial"/>
                <w:color w:val="000000"/>
                <w:sz w:val="20"/>
                <w:lang w:val="es-HN"/>
              </w:rPr>
              <w:t xml:space="preserve"> ponderado del sistema eléctrico </w:t>
            </w:r>
          </w:p>
        </w:tc>
        <w:tc>
          <w:tcPr>
            <w:tcW w:w="4968" w:type="dxa"/>
            <w:shd w:val="clear" w:color="auto" w:fill="auto"/>
            <w:vAlign w:val="center"/>
          </w:tcPr>
          <w:p w:rsidRPr="00267B87" w:rsidR="00267B87" w:rsidP="00267B87" w:rsidRDefault="00267B87" w14:paraId="0EC34B46" w14:textId="77777777">
            <w:pPr>
              <w:numPr>
                <w:ilvl w:val="1"/>
                <w:numId w:val="0"/>
              </w:numPr>
              <w:outlineLvl w:val="1"/>
              <w:rPr>
                <w:rFonts w:ascii="Arial" w:hAnsi="Arial" w:eastAsia="Arial" w:cs="Arial"/>
                <w:sz w:val="20"/>
                <w:lang w:val="es-ES"/>
              </w:rPr>
            </w:pPr>
            <w:r w:rsidRPr="00267B87">
              <w:rPr>
                <w:rFonts w:ascii="Arial" w:hAnsi="Arial" w:cs="Arial"/>
                <w:color w:val="000000"/>
                <w:sz w:val="19"/>
                <w:szCs w:val="19"/>
              </w:rPr>
              <w:t>Emisiones de CO2 por unidad de energía producida</w:t>
            </w:r>
          </w:p>
        </w:tc>
      </w:tr>
      <w:tr w:rsidRPr="00267B87" w:rsidR="00267B87" w:rsidTr="00267B87" w14:paraId="7D7F484A" w14:textId="77777777">
        <w:tc>
          <w:tcPr>
            <w:tcW w:w="3042" w:type="dxa"/>
            <w:shd w:val="clear" w:color="auto" w:fill="DBE5F1" w:themeFill="accent1" w:themeFillTint="33"/>
            <w:vAlign w:val="center"/>
          </w:tcPr>
          <w:p w:rsidRPr="00267B87" w:rsidR="00267B87" w:rsidP="00267B87" w:rsidRDefault="00267B87" w14:paraId="1E48AAC4" w14:textId="77777777">
            <w:pPr>
              <w:numPr>
                <w:ilvl w:val="1"/>
                <w:numId w:val="0"/>
              </w:numPr>
              <w:ind w:left="360"/>
              <w:jc w:val="center"/>
              <w:outlineLvl w:val="1"/>
              <w:rPr>
                <w:rFonts w:ascii="Arial" w:hAnsi="Arial" w:eastAsia="Arial" w:cs="Arial"/>
                <w:b/>
                <w:bCs/>
                <w:sz w:val="20"/>
                <w:lang w:val="es-ES"/>
              </w:rPr>
            </w:pPr>
            <w:r w:rsidRPr="00267B87">
              <w:rPr>
                <w:rFonts w:ascii="Arial" w:hAnsi="Arial" w:eastAsia="Arial" w:cs="Arial"/>
                <w:b/>
                <w:bCs/>
                <w:sz w:val="20"/>
                <w:lang w:val="es-ES"/>
              </w:rPr>
              <w:t>Resultados</w:t>
            </w:r>
          </w:p>
        </w:tc>
        <w:tc>
          <w:tcPr>
            <w:tcW w:w="4968" w:type="dxa"/>
            <w:shd w:val="clear" w:color="auto" w:fill="DBE5F1" w:themeFill="accent1" w:themeFillTint="33"/>
            <w:vAlign w:val="center"/>
          </w:tcPr>
          <w:p w:rsidRPr="00267B87" w:rsidR="00267B87" w:rsidP="00267B87" w:rsidRDefault="00267B87" w14:paraId="64CBE78F" w14:textId="77777777">
            <w:pPr>
              <w:numPr>
                <w:ilvl w:val="1"/>
                <w:numId w:val="0"/>
              </w:numPr>
              <w:ind w:left="360"/>
              <w:jc w:val="center"/>
              <w:outlineLvl w:val="1"/>
              <w:rPr>
                <w:rFonts w:ascii="Arial" w:hAnsi="Arial" w:eastAsia="Arial" w:cs="Arial"/>
                <w:b/>
                <w:bCs/>
                <w:sz w:val="20"/>
                <w:lang w:val="es-ES"/>
              </w:rPr>
            </w:pPr>
            <w:r w:rsidRPr="00267B87">
              <w:rPr>
                <w:rFonts w:ascii="Arial" w:hAnsi="Arial" w:eastAsia="Arial" w:cs="Arial"/>
                <w:b/>
                <w:bCs/>
                <w:sz w:val="20"/>
                <w:lang w:val="es-ES"/>
              </w:rPr>
              <w:t>Indicador</w:t>
            </w:r>
          </w:p>
        </w:tc>
      </w:tr>
      <w:tr w:rsidRPr="00267B87" w:rsidR="00267B87" w:rsidTr="003C73CE" w14:paraId="3065D39D" w14:textId="77777777">
        <w:tc>
          <w:tcPr>
            <w:tcW w:w="3042" w:type="dxa"/>
            <w:vMerge w:val="restart"/>
          </w:tcPr>
          <w:p w:rsidRPr="00267B87" w:rsidR="00267B87" w:rsidP="00267B87" w:rsidRDefault="00267B87" w14:paraId="17053BF1" w14:textId="77777777">
            <w:pPr>
              <w:numPr>
                <w:ilvl w:val="1"/>
                <w:numId w:val="0"/>
              </w:numPr>
              <w:outlineLvl w:val="1"/>
              <w:rPr>
                <w:rFonts w:ascii="Arial" w:hAnsi="Arial" w:eastAsia="Arial" w:cs="Arial"/>
                <w:sz w:val="20"/>
                <w:lang w:val="es-ES"/>
              </w:rPr>
            </w:pPr>
            <w:r w:rsidRPr="00267B87">
              <w:rPr>
                <w:rFonts w:ascii="Arial" w:hAnsi="Arial" w:eastAsia="Arial" w:cs="Arial"/>
                <w:sz w:val="20"/>
                <w:lang w:val="es-ES"/>
              </w:rPr>
              <w:t>Cobertura de energía incrementada</w:t>
            </w:r>
          </w:p>
        </w:tc>
        <w:tc>
          <w:tcPr>
            <w:tcW w:w="4968" w:type="dxa"/>
            <w:vAlign w:val="center"/>
          </w:tcPr>
          <w:p w:rsidRPr="00267B87" w:rsidR="00267B87" w:rsidP="00267B87" w:rsidRDefault="00267B87" w14:paraId="3ED9462C" w14:textId="62C72377">
            <w:pPr>
              <w:numPr>
                <w:ilvl w:val="1"/>
                <w:numId w:val="0"/>
              </w:numPr>
              <w:outlineLvl w:val="1"/>
              <w:rPr>
                <w:rFonts w:ascii="Arial" w:hAnsi="Arial" w:eastAsia="Arial" w:cs="Arial"/>
                <w:sz w:val="20"/>
                <w:lang w:val="es-ES"/>
              </w:rPr>
            </w:pPr>
            <w:r w:rsidRPr="00267B87">
              <w:rPr>
                <w:rFonts w:ascii="Arial" w:hAnsi="Arial" w:eastAsia="Arial" w:cs="Arial"/>
                <w:sz w:val="20"/>
                <w:lang w:val="es-ES"/>
              </w:rPr>
              <w:t>Hogares beneficiados por generación eléctrica con energía renovable en Guanaja</w:t>
            </w:r>
          </w:p>
        </w:tc>
      </w:tr>
      <w:tr w:rsidRPr="00267B87" w:rsidR="00267B87" w:rsidTr="003C73CE" w14:paraId="245961AC" w14:textId="77777777">
        <w:tc>
          <w:tcPr>
            <w:tcW w:w="3042" w:type="dxa"/>
            <w:vMerge/>
          </w:tcPr>
          <w:p w:rsidRPr="00267B87" w:rsidR="00267B87" w:rsidP="00267B87" w:rsidRDefault="00267B87" w14:paraId="4D73E867" w14:textId="77777777">
            <w:pPr>
              <w:ind w:left="360" w:hanging="382"/>
              <w:outlineLvl w:val="1"/>
              <w:rPr>
                <w:rFonts w:ascii="Arial" w:hAnsi="Arial" w:eastAsia="Arial,Times New Roman" w:cs="Arial"/>
                <w:b/>
                <w:bCs/>
                <w:sz w:val="20"/>
                <w:szCs w:val="22"/>
                <w:lang w:val="es-ES"/>
              </w:rPr>
            </w:pPr>
          </w:p>
        </w:tc>
        <w:tc>
          <w:tcPr>
            <w:tcW w:w="4968" w:type="dxa"/>
            <w:vAlign w:val="center"/>
          </w:tcPr>
          <w:p w:rsidRPr="00267B87" w:rsidR="00267B87" w:rsidP="00267B87" w:rsidRDefault="00267B87" w14:paraId="72A7A45C" w14:textId="0CA870B6">
            <w:pPr>
              <w:numPr>
                <w:ilvl w:val="1"/>
                <w:numId w:val="0"/>
              </w:numPr>
              <w:outlineLvl w:val="1"/>
              <w:rPr>
                <w:rFonts w:ascii="Arial" w:hAnsi="Arial" w:eastAsia="Arial" w:cs="Arial"/>
                <w:sz w:val="20"/>
                <w:lang w:val="es-ES"/>
              </w:rPr>
            </w:pPr>
            <w:r w:rsidRPr="00267B87">
              <w:rPr>
                <w:rFonts w:ascii="Arial" w:hAnsi="Arial" w:eastAsia="Arial" w:cs="Arial"/>
                <w:sz w:val="20"/>
                <w:lang w:val="es-ES"/>
              </w:rPr>
              <w:t>Hogares beneficiados por generación eléctrica con energía renovable en Brus Laguna</w:t>
            </w:r>
          </w:p>
        </w:tc>
      </w:tr>
      <w:tr w:rsidRPr="00267B87" w:rsidR="00267B87" w:rsidTr="003C73CE" w14:paraId="28506491" w14:textId="77777777">
        <w:tc>
          <w:tcPr>
            <w:tcW w:w="3042" w:type="dxa"/>
            <w:vMerge/>
          </w:tcPr>
          <w:p w:rsidRPr="00267B87" w:rsidR="00267B87" w:rsidP="00267B87" w:rsidRDefault="00267B87" w14:paraId="1404CDE4" w14:textId="77777777">
            <w:pPr>
              <w:ind w:left="360" w:hanging="382"/>
              <w:outlineLvl w:val="1"/>
              <w:rPr>
                <w:rFonts w:ascii="Arial" w:hAnsi="Arial" w:eastAsia="Arial,Times New Roman" w:cs="Arial"/>
                <w:b/>
                <w:bCs/>
                <w:sz w:val="20"/>
                <w:szCs w:val="22"/>
                <w:lang w:val="es-ES"/>
              </w:rPr>
            </w:pPr>
          </w:p>
        </w:tc>
        <w:tc>
          <w:tcPr>
            <w:tcW w:w="4968" w:type="dxa"/>
            <w:vAlign w:val="center"/>
          </w:tcPr>
          <w:p w:rsidRPr="00267B87" w:rsidR="00267B87" w:rsidP="00267B87" w:rsidRDefault="00267B87" w14:paraId="175B6578" w14:textId="77777777">
            <w:pPr>
              <w:numPr>
                <w:ilvl w:val="1"/>
                <w:numId w:val="0"/>
              </w:numPr>
              <w:outlineLvl w:val="1"/>
              <w:rPr>
                <w:rFonts w:ascii="Arial" w:hAnsi="Arial" w:eastAsia="Arial" w:cs="Arial"/>
                <w:sz w:val="20"/>
                <w:lang w:val="es-ES"/>
              </w:rPr>
            </w:pPr>
            <w:r w:rsidRPr="00267B87">
              <w:rPr>
                <w:rFonts w:ascii="Arial" w:hAnsi="Arial" w:eastAsia="Arial" w:cs="Arial"/>
                <w:sz w:val="20"/>
                <w:lang w:val="es-ES"/>
              </w:rPr>
              <w:t>Hogares beneficiados por generación eléctrica con energía renovable en El Corpus</w:t>
            </w:r>
          </w:p>
        </w:tc>
      </w:tr>
      <w:tr w:rsidRPr="00267B87" w:rsidR="00267B87" w:rsidTr="003C73CE" w14:paraId="3785F81E" w14:textId="77777777">
        <w:tc>
          <w:tcPr>
            <w:tcW w:w="3042" w:type="dxa"/>
            <w:vMerge/>
          </w:tcPr>
          <w:p w:rsidRPr="00267B87" w:rsidR="00267B87" w:rsidP="00267B87" w:rsidRDefault="00267B87" w14:paraId="2F2EDC74" w14:textId="77777777">
            <w:pPr>
              <w:ind w:left="360" w:hanging="382"/>
              <w:outlineLvl w:val="1"/>
              <w:rPr>
                <w:rFonts w:ascii="Arial" w:hAnsi="Arial" w:eastAsia="Arial,Times New Roman" w:cs="Arial"/>
                <w:b/>
                <w:bCs/>
                <w:sz w:val="20"/>
                <w:szCs w:val="22"/>
                <w:lang w:val="es-ES"/>
              </w:rPr>
            </w:pPr>
          </w:p>
        </w:tc>
        <w:tc>
          <w:tcPr>
            <w:tcW w:w="4968" w:type="dxa"/>
            <w:vAlign w:val="center"/>
          </w:tcPr>
          <w:p w:rsidRPr="00267B87" w:rsidR="00267B87" w:rsidP="00267B87" w:rsidRDefault="00267B87" w14:paraId="33CC1673" w14:textId="77777777">
            <w:pPr>
              <w:numPr>
                <w:ilvl w:val="1"/>
                <w:numId w:val="0"/>
              </w:numPr>
              <w:outlineLvl w:val="1"/>
              <w:rPr>
                <w:rFonts w:ascii="Arial" w:hAnsi="Arial" w:eastAsia="Arial" w:cs="Arial"/>
                <w:sz w:val="20"/>
                <w:lang w:val="es-ES"/>
              </w:rPr>
            </w:pPr>
            <w:r w:rsidRPr="00267B87">
              <w:rPr>
                <w:rFonts w:ascii="Arial" w:hAnsi="Arial" w:eastAsia="Arial" w:cs="Arial"/>
                <w:sz w:val="20"/>
                <w:lang w:val="es-ES"/>
              </w:rPr>
              <w:t>Hogares beneficiados por generación eléctrica con energía renovable en Concepción de María</w:t>
            </w:r>
          </w:p>
        </w:tc>
      </w:tr>
      <w:tr w:rsidRPr="00267B87" w:rsidR="00267B87" w:rsidTr="003C73CE" w14:paraId="03F21346" w14:textId="77777777">
        <w:tc>
          <w:tcPr>
            <w:tcW w:w="3042" w:type="dxa"/>
            <w:vMerge w:val="restart"/>
          </w:tcPr>
          <w:p w:rsidRPr="00267B87" w:rsidR="00267B87" w:rsidP="00267B87" w:rsidRDefault="00267B87" w14:paraId="298C7589" w14:textId="77777777">
            <w:pPr>
              <w:numPr>
                <w:ilvl w:val="1"/>
                <w:numId w:val="0"/>
              </w:numPr>
              <w:outlineLvl w:val="1"/>
              <w:rPr>
                <w:rFonts w:ascii="Arial" w:hAnsi="Arial" w:eastAsia="Arial" w:cs="Arial"/>
                <w:sz w:val="20"/>
                <w:lang w:val="es-ES"/>
              </w:rPr>
            </w:pPr>
            <w:r w:rsidRPr="00267B87">
              <w:rPr>
                <w:rFonts w:ascii="Arial" w:hAnsi="Arial" w:eastAsia="Arial" w:cs="Arial"/>
                <w:sz w:val="20"/>
                <w:lang w:val="es-ES"/>
              </w:rPr>
              <w:t>Mejora de la sostenibilidad técnica, económica y social de sistemas de electrificación en lugares aislados</w:t>
            </w:r>
          </w:p>
        </w:tc>
        <w:tc>
          <w:tcPr>
            <w:tcW w:w="4968" w:type="dxa"/>
            <w:vAlign w:val="center"/>
          </w:tcPr>
          <w:p w:rsidRPr="00267B87" w:rsidR="00267B87" w:rsidP="00267B87" w:rsidRDefault="00267B87" w14:paraId="0C85CC0F" w14:textId="77777777">
            <w:pPr>
              <w:numPr>
                <w:ilvl w:val="1"/>
                <w:numId w:val="0"/>
              </w:numPr>
              <w:jc w:val="both"/>
              <w:outlineLvl w:val="1"/>
              <w:rPr>
                <w:rFonts w:ascii="Arial" w:hAnsi="Arial" w:eastAsia="Arial" w:cs="Arial"/>
                <w:sz w:val="20"/>
                <w:lang w:val="es-ES"/>
              </w:rPr>
            </w:pPr>
            <w:r w:rsidRPr="00267B87">
              <w:rPr>
                <w:rFonts w:ascii="Arial" w:hAnsi="Arial" w:eastAsia="Arial" w:cs="Arial"/>
                <w:sz w:val="20"/>
                <w:lang w:val="es-ES"/>
              </w:rPr>
              <w:t>Energía anual facturada por consumo de los usuarios beneficiados por el programa</w:t>
            </w:r>
          </w:p>
        </w:tc>
      </w:tr>
      <w:tr w:rsidRPr="00267B87" w:rsidR="00267B87" w:rsidTr="003C73CE" w14:paraId="2E31DA11" w14:textId="77777777">
        <w:tc>
          <w:tcPr>
            <w:tcW w:w="3042" w:type="dxa"/>
            <w:vMerge/>
          </w:tcPr>
          <w:p w:rsidRPr="00267B87" w:rsidR="00267B87" w:rsidP="00267B87" w:rsidRDefault="00267B87" w14:paraId="78DA2444" w14:textId="77777777">
            <w:pPr>
              <w:ind w:left="360"/>
              <w:outlineLvl w:val="1"/>
              <w:rPr>
                <w:rFonts w:ascii="Arial" w:hAnsi="Arial" w:cs="Arial"/>
                <w:b/>
                <w:sz w:val="20"/>
                <w:szCs w:val="22"/>
              </w:rPr>
            </w:pPr>
          </w:p>
        </w:tc>
        <w:tc>
          <w:tcPr>
            <w:tcW w:w="4968" w:type="dxa"/>
            <w:vAlign w:val="center"/>
          </w:tcPr>
          <w:p w:rsidRPr="00267B87" w:rsidR="00267B87" w:rsidP="00267B87" w:rsidRDefault="00267B87" w14:paraId="63AE3B9D" w14:textId="77777777">
            <w:pPr>
              <w:numPr>
                <w:ilvl w:val="1"/>
                <w:numId w:val="0"/>
              </w:numPr>
              <w:jc w:val="both"/>
              <w:outlineLvl w:val="1"/>
              <w:rPr>
                <w:rFonts w:ascii="Arial" w:hAnsi="Arial" w:eastAsia="Arial" w:cs="Arial"/>
                <w:sz w:val="20"/>
                <w:lang w:val="es-ES"/>
              </w:rPr>
            </w:pPr>
            <w:r w:rsidRPr="00267B87">
              <w:rPr>
                <w:rFonts w:ascii="Arial" w:hAnsi="Arial" w:eastAsia="Arial" w:cs="Arial"/>
                <w:sz w:val="20"/>
                <w:lang w:val="es-ES"/>
              </w:rPr>
              <w:t>Energía anual facturada por consumo de los usuarios beneficiados por el programa en Brus Laguna</w:t>
            </w:r>
          </w:p>
        </w:tc>
      </w:tr>
      <w:tr w:rsidRPr="00267B87" w:rsidR="00267B87" w:rsidTr="003C73CE" w14:paraId="3DB7E68D" w14:textId="77777777">
        <w:tc>
          <w:tcPr>
            <w:tcW w:w="3042" w:type="dxa"/>
            <w:vMerge/>
          </w:tcPr>
          <w:p w:rsidRPr="00267B87" w:rsidR="00267B87" w:rsidP="00267B87" w:rsidRDefault="00267B87" w14:paraId="49878475" w14:textId="77777777">
            <w:pPr>
              <w:ind w:left="360"/>
              <w:outlineLvl w:val="1"/>
              <w:rPr>
                <w:rFonts w:ascii="Arial" w:hAnsi="Arial" w:cs="Arial"/>
                <w:b/>
                <w:sz w:val="20"/>
                <w:szCs w:val="22"/>
              </w:rPr>
            </w:pPr>
          </w:p>
        </w:tc>
        <w:tc>
          <w:tcPr>
            <w:tcW w:w="4968" w:type="dxa"/>
            <w:vAlign w:val="center"/>
          </w:tcPr>
          <w:p w:rsidRPr="00267B87" w:rsidR="00267B87" w:rsidP="00267B87" w:rsidRDefault="00267B87" w14:paraId="6EF164E0" w14:textId="77777777">
            <w:pPr>
              <w:numPr>
                <w:ilvl w:val="1"/>
                <w:numId w:val="0"/>
              </w:numPr>
              <w:jc w:val="both"/>
              <w:outlineLvl w:val="1"/>
              <w:rPr>
                <w:rFonts w:ascii="Arial" w:hAnsi="Arial" w:eastAsia="Arial" w:cs="Arial"/>
                <w:sz w:val="20"/>
                <w:lang w:val="es-ES"/>
              </w:rPr>
            </w:pPr>
            <w:r w:rsidRPr="00267B87">
              <w:rPr>
                <w:rFonts w:ascii="Arial" w:hAnsi="Arial" w:eastAsia="Arial" w:cs="Arial"/>
                <w:sz w:val="20"/>
                <w:lang w:val="es-ES"/>
              </w:rPr>
              <w:t>Gasto en electricidad a nivel residencial en Guanaja</w:t>
            </w:r>
          </w:p>
        </w:tc>
      </w:tr>
      <w:tr w:rsidRPr="00267B87" w:rsidR="00267B87" w:rsidTr="003C73CE" w14:paraId="09FC6A21" w14:textId="77777777">
        <w:tc>
          <w:tcPr>
            <w:tcW w:w="3042" w:type="dxa"/>
            <w:vMerge/>
          </w:tcPr>
          <w:p w:rsidRPr="00267B87" w:rsidR="00267B87" w:rsidP="00267B87" w:rsidRDefault="00267B87" w14:paraId="53148EC1" w14:textId="77777777">
            <w:pPr>
              <w:ind w:left="360"/>
              <w:outlineLvl w:val="1"/>
              <w:rPr>
                <w:rFonts w:ascii="Arial" w:hAnsi="Arial" w:cs="Arial"/>
                <w:b/>
                <w:sz w:val="20"/>
                <w:szCs w:val="22"/>
              </w:rPr>
            </w:pPr>
          </w:p>
        </w:tc>
        <w:tc>
          <w:tcPr>
            <w:tcW w:w="4968" w:type="dxa"/>
            <w:vAlign w:val="center"/>
          </w:tcPr>
          <w:p w:rsidRPr="00267B87" w:rsidR="00267B87" w:rsidP="00267B87" w:rsidRDefault="00267B87" w14:paraId="56B572A8" w14:textId="77777777">
            <w:pPr>
              <w:numPr>
                <w:ilvl w:val="1"/>
                <w:numId w:val="0"/>
              </w:numPr>
              <w:jc w:val="both"/>
              <w:outlineLvl w:val="1"/>
              <w:rPr>
                <w:rFonts w:ascii="Arial" w:hAnsi="Arial" w:eastAsia="Arial" w:cs="Arial"/>
                <w:sz w:val="20"/>
                <w:lang w:val="es-ES"/>
              </w:rPr>
            </w:pPr>
            <w:r w:rsidRPr="00267B87">
              <w:rPr>
                <w:rFonts w:ascii="Arial" w:hAnsi="Arial" w:eastAsia="Arial" w:cs="Arial"/>
                <w:sz w:val="20"/>
                <w:lang w:val="es-ES"/>
              </w:rPr>
              <w:t>Gasto en electricidad a nivel residencial en Brus Laguna</w:t>
            </w:r>
          </w:p>
        </w:tc>
      </w:tr>
      <w:tr w:rsidRPr="00267B87" w:rsidR="00267B87" w:rsidTr="003C73CE" w14:paraId="134275B6" w14:textId="77777777">
        <w:tc>
          <w:tcPr>
            <w:tcW w:w="3042" w:type="dxa"/>
            <w:vMerge/>
          </w:tcPr>
          <w:p w:rsidRPr="00267B87" w:rsidR="00267B87" w:rsidP="00267B87" w:rsidRDefault="00267B87" w14:paraId="33803853" w14:textId="77777777">
            <w:pPr>
              <w:ind w:left="360"/>
              <w:outlineLvl w:val="1"/>
              <w:rPr>
                <w:rFonts w:ascii="Arial" w:hAnsi="Arial" w:cs="Arial"/>
                <w:b/>
                <w:sz w:val="20"/>
                <w:szCs w:val="22"/>
              </w:rPr>
            </w:pPr>
          </w:p>
        </w:tc>
        <w:tc>
          <w:tcPr>
            <w:tcW w:w="4968" w:type="dxa"/>
            <w:vAlign w:val="center"/>
          </w:tcPr>
          <w:p w:rsidRPr="00267B87" w:rsidR="00267B87" w:rsidP="00267B87" w:rsidRDefault="00267B87" w14:paraId="58FD94CE" w14:textId="77777777">
            <w:pPr>
              <w:numPr>
                <w:ilvl w:val="1"/>
                <w:numId w:val="0"/>
              </w:numPr>
              <w:jc w:val="both"/>
              <w:outlineLvl w:val="1"/>
              <w:rPr>
                <w:rFonts w:ascii="Arial" w:hAnsi="Arial" w:eastAsia="Arial" w:cs="Arial"/>
                <w:sz w:val="20"/>
                <w:lang w:val="es-ES"/>
              </w:rPr>
            </w:pPr>
            <w:r w:rsidRPr="00267B87">
              <w:rPr>
                <w:rFonts w:ascii="Arial" w:hAnsi="Arial" w:eastAsia="Arial" w:cs="Arial"/>
                <w:sz w:val="20"/>
                <w:lang w:val="es-ES"/>
              </w:rPr>
              <w:t>Gasto de energía a nivel residencial en El Corpus y Concepción de María</w:t>
            </w:r>
          </w:p>
        </w:tc>
      </w:tr>
      <w:tr w:rsidRPr="00267B87" w:rsidR="00267B87" w:rsidTr="003C73CE" w14:paraId="53BEB01F" w14:textId="77777777">
        <w:trPr>
          <w:trHeight w:val="58"/>
        </w:trPr>
        <w:tc>
          <w:tcPr>
            <w:tcW w:w="3042" w:type="dxa"/>
          </w:tcPr>
          <w:p w:rsidRPr="00267B87" w:rsidR="00267B87" w:rsidP="00267B87" w:rsidRDefault="00267B87" w14:paraId="77AA768B" w14:textId="77777777">
            <w:pPr>
              <w:numPr>
                <w:ilvl w:val="1"/>
                <w:numId w:val="0"/>
              </w:numPr>
              <w:outlineLvl w:val="1"/>
              <w:rPr>
                <w:rFonts w:ascii="Arial" w:hAnsi="Arial" w:eastAsia="Arial" w:cs="Arial"/>
                <w:sz w:val="20"/>
                <w:lang w:val="es-ES"/>
              </w:rPr>
            </w:pPr>
            <w:r w:rsidRPr="00267B87">
              <w:rPr>
                <w:rFonts w:ascii="Arial" w:hAnsi="Arial" w:eastAsia="Arial" w:cs="Arial"/>
                <w:sz w:val="20"/>
                <w:lang w:val="es-ES"/>
              </w:rPr>
              <w:t>Capacidades de la ENEE para la gestión de proyectos de electrificación rural mejorada</w:t>
            </w:r>
            <w:r w:rsidRPr="00267B87">
              <w:rPr>
                <w:rFonts w:ascii="Arial" w:hAnsi="Arial" w:eastAsia="Arial" w:cs="Arial"/>
                <w:sz w:val="20"/>
                <w:vertAlign w:val="superscript"/>
                <w:lang w:val="es-ES"/>
              </w:rPr>
              <w:footnoteReference w:id="17"/>
            </w:r>
          </w:p>
        </w:tc>
        <w:tc>
          <w:tcPr>
            <w:tcW w:w="4968" w:type="dxa"/>
            <w:vAlign w:val="center"/>
          </w:tcPr>
          <w:p w:rsidRPr="00267B87" w:rsidR="00267B87" w:rsidP="00267B87" w:rsidRDefault="00267B87" w14:paraId="6192B1DF" w14:textId="24D3CB0F">
            <w:pPr>
              <w:numPr>
                <w:ilvl w:val="1"/>
                <w:numId w:val="0"/>
              </w:numPr>
              <w:jc w:val="both"/>
              <w:outlineLvl w:val="1"/>
              <w:rPr>
                <w:rFonts w:ascii="Arial" w:hAnsi="Arial" w:eastAsia="Arial" w:cs="Arial"/>
                <w:sz w:val="20"/>
                <w:lang w:val="es-ES"/>
              </w:rPr>
            </w:pPr>
            <w:r w:rsidRPr="00267B87">
              <w:rPr>
                <w:rFonts w:ascii="Arial" w:hAnsi="Arial" w:eastAsia="Arial,Times New Roman" w:cs="Arial"/>
                <w:sz w:val="19"/>
                <w:szCs w:val="19"/>
                <w:lang w:val="es-ES"/>
              </w:rPr>
              <w:t xml:space="preserve">Plan de acceso de energía a nivel nacional incorporando el desarrollo de </w:t>
            </w:r>
            <w:proofErr w:type="spellStart"/>
            <w:r w:rsidRPr="00267B87">
              <w:rPr>
                <w:rFonts w:ascii="Arial" w:hAnsi="Arial" w:eastAsia="Arial,Times New Roman" w:cs="Arial"/>
                <w:sz w:val="19"/>
                <w:szCs w:val="19"/>
                <w:lang w:val="es-ES"/>
              </w:rPr>
              <w:t>micro</w:t>
            </w:r>
            <w:r>
              <w:rPr>
                <w:rFonts w:ascii="Arial" w:hAnsi="Arial" w:eastAsia="Arial,Times New Roman" w:cs="Arial"/>
                <w:sz w:val="19"/>
                <w:szCs w:val="19"/>
                <w:lang w:val="es-ES"/>
              </w:rPr>
              <w:t>-</w:t>
            </w:r>
            <w:r w:rsidRPr="00267B87">
              <w:rPr>
                <w:rFonts w:ascii="Arial" w:hAnsi="Arial" w:eastAsia="Arial,Times New Roman" w:cs="Arial"/>
                <w:sz w:val="19"/>
                <w:szCs w:val="19"/>
                <w:lang w:val="es-ES"/>
              </w:rPr>
              <w:t>redes</w:t>
            </w:r>
            <w:proofErr w:type="spellEnd"/>
          </w:p>
        </w:tc>
      </w:tr>
    </w:tbl>
    <w:p w:rsidRPr="00510696" w:rsidR="00EB0154" w:rsidP="00510696" w:rsidRDefault="00267B87" w14:paraId="505E13E6" w14:textId="3C52711D">
      <w:pPr>
        <w:pStyle w:val="Paragraph"/>
        <w:tabs>
          <w:tab w:val="clear" w:pos="1656"/>
          <w:tab w:val="num" w:pos="720"/>
        </w:tabs>
        <w:snapToGrid w:val="0"/>
        <w:spacing w:before="240"/>
        <w:ind w:left="720" w:hanging="720"/>
        <w:rPr>
          <w:rFonts w:ascii="Arial" w:hAnsi="Arial" w:eastAsia="Arial" w:cs="Arial"/>
          <w:sz w:val="22"/>
          <w:szCs w:val="22"/>
        </w:rPr>
      </w:pPr>
      <w:r w:rsidRPr="3A66673B">
        <w:rPr>
          <w:rFonts w:ascii="Arial" w:hAnsi="Arial" w:eastAsia="Arial" w:cs="Arial"/>
          <w:b/>
          <w:bCs/>
          <w:sz w:val="22"/>
          <w:szCs w:val="22"/>
        </w:rPr>
        <w:t xml:space="preserve">Beneficiarios.  </w:t>
      </w:r>
      <w:r w:rsidRPr="3A66673B">
        <w:rPr>
          <w:rFonts w:ascii="Arial" w:hAnsi="Arial" w:eastAsia="Arial" w:cs="Arial"/>
          <w:sz w:val="22"/>
          <w:szCs w:val="22"/>
        </w:rPr>
        <w:t>Serán beneficiarios directos del programa los habitantes de las cuatro poblaciones intervenidas que se encuentran sin servicio eléctrico, quienes tendrán acceso a energía a menores precios que las alternativas energéticas a las que tiene acceso actualmente y cuya distribución se presenta en el Cuadro 3</w:t>
      </w:r>
      <w:r w:rsidR="00510696">
        <w:rPr>
          <w:rFonts w:ascii="Arial" w:hAnsi="Arial" w:eastAsia="Arial" w:cs="Arial"/>
          <w:sz w:val="22"/>
          <w:szCs w:val="22"/>
        </w:rPr>
        <w:t xml:space="preserve"> (¶</w:t>
      </w:r>
      <w:r w:rsidR="00510696">
        <w:rPr>
          <w:rFonts w:ascii="Arial" w:hAnsi="Arial" w:eastAsia="Arial" w:cs="Arial"/>
          <w:sz w:val="22"/>
          <w:szCs w:val="22"/>
        </w:rPr>
        <w:fldChar w:fldCharType="begin"/>
      </w:r>
      <w:r w:rsidR="00510696">
        <w:rPr>
          <w:rFonts w:ascii="Arial" w:hAnsi="Arial" w:eastAsia="Arial" w:cs="Arial"/>
          <w:sz w:val="22"/>
          <w:szCs w:val="22"/>
        </w:rPr>
        <w:instrText xml:space="preserve"> REF _Ref526329101 \r \h </w:instrText>
      </w:r>
      <w:r w:rsidR="00510696">
        <w:rPr>
          <w:rFonts w:ascii="Arial" w:hAnsi="Arial" w:eastAsia="Arial" w:cs="Arial"/>
          <w:sz w:val="22"/>
          <w:szCs w:val="22"/>
        </w:rPr>
      </w:r>
      <w:r w:rsidR="00510696">
        <w:rPr>
          <w:rFonts w:ascii="Arial" w:hAnsi="Arial" w:eastAsia="Arial" w:cs="Arial"/>
          <w:sz w:val="22"/>
          <w:szCs w:val="22"/>
        </w:rPr>
        <w:fldChar w:fldCharType="separate"/>
      </w:r>
      <w:r w:rsidR="00510696">
        <w:rPr>
          <w:rFonts w:ascii="Arial" w:hAnsi="Arial" w:eastAsia="Arial" w:cs="Arial"/>
          <w:sz w:val="22"/>
          <w:szCs w:val="22"/>
        </w:rPr>
        <w:t>2.4</w:t>
      </w:r>
      <w:r w:rsidR="00510696">
        <w:rPr>
          <w:rFonts w:ascii="Arial" w:hAnsi="Arial" w:eastAsia="Arial" w:cs="Arial"/>
          <w:sz w:val="22"/>
          <w:szCs w:val="22"/>
        </w:rPr>
        <w:fldChar w:fldCharType="end"/>
      </w:r>
      <w:r w:rsidR="00EF57C4">
        <w:rPr>
          <w:rFonts w:ascii="Arial" w:hAnsi="Arial" w:eastAsia="Arial" w:cs="Arial"/>
          <w:sz w:val="22"/>
          <w:szCs w:val="22"/>
        </w:rPr>
        <w:t>)</w:t>
      </w:r>
      <w:r w:rsidRPr="3A66673B">
        <w:rPr>
          <w:rFonts w:ascii="Arial" w:hAnsi="Arial" w:eastAsia="Arial" w:cs="Arial"/>
          <w:sz w:val="22"/>
          <w:szCs w:val="22"/>
        </w:rPr>
        <w:t xml:space="preserve">. </w:t>
      </w:r>
      <w:r w:rsidRPr="00510696" w:rsidR="00996B60">
        <w:rPr>
          <w:rFonts w:ascii="Arial" w:hAnsi="Arial" w:cs="Arial"/>
          <w:sz w:val="22"/>
          <w:szCs w:val="22"/>
          <w:lang w:val="es-ES_tradnl"/>
        </w:rPr>
        <w:t>Como resultados del pro</w:t>
      </w:r>
      <w:r w:rsidRPr="00510696" w:rsidR="009F767D">
        <w:rPr>
          <w:rFonts w:ascii="Arial" w:hAnsi="Arial" w:cs="Arial"/>
          <w:sz w:val="22"/>
          <w:szCs w:val="22"/>
          <w:lang w:val="es-ES_tradnl"/>
        </w:rPr>
        <w:t>yecto se espera: (i) suministro</w:t>
      </w:r>
      <w:r w:rsidRPr="00510696" w:rsidR="00996B60">
        <w:rPr>
          <w:rFonts w:ascii="Arial" w:hAnsi="Arial" w:cs="Arial"/>
          <w:sz w:val="22"/>
          <w:szCs w:val="22"/>
          <w:lang w:val="es-ES_tradnl"/>
        </w:rPr>
        <w:t xml:space="preserve"> de electricidad a </w:t>
      </w:r>
      <w:r w:rsidRPr="00510696" w:rsidR="006D3107">
        <w:rPr>
          <w:rFonts w:ascii="Arial" w:hAnsi="Arial" w:cs="Arial"/>
          <w:sz w:val="22"/>
          <w:szCs w:val="22"/>
          <w:lang w:val="es-ES_tradnl"/>
        </w:rPr>
        <w:t>4</w:t>
      </w:r>
      <w:r w:rsidRPr="00510696" w:rsidR="0046661A">
        <w:rPr>
          <w:rFonts w:ascii="Arial" w:hAnsi="Arial" w:cs="Arial"/>
          <w:sz w:val="22"/>
          <w:szCs w:val="22"/>
          <w:lang w:val="es-ES_tradnl"/>
        </w:rPr>
        <w:t>.</w:t>
      </w:r>
      <w:r w:rsidRPr="00510696" w:rsidR="002E4CC6">
        <w:rPr>
          <w:rFonts w:ascii="Arial" w:hAnsi="Arial" w:cs="Arial"/>
          <w:sz w:val="22"/>
          <w:szCs w:val="22"/>
          <w:lang w:val="es-ES_tradnl"/>
        </w:rPr>
        <w:t>1</w:t>
      </w:r>
      <w:r w:rsidRPr="00510696" w:rsidR="00535152">
        <w:rPr>
          <w:rFonts w:ascii="Arial" w:hAnsi="Arial" w:cs="Arial"/>
          <w:sz w:val="22"/>
          <w:szCs w:val="22"/>
          <w:lang w:val="es-ES_tradnl"/>
        </w:rPr>
        <w:t>15</w:t>
      </w:r>
      <w:r w:rsidRPr="00510696" w:rsidR="006D3107">
        <w:rPr>
          <w:rFonts w:ascii="Arial" w:hAnsi="Arial" w:cs="Arial"/>
          <w:sz w:val="22"/>
          <w:szCs w:val="22"/>
          <w:lang w:val="es-ES_tradnl"/>
        </w:rPr>
        <w:t xml:space="preserve"> nuevos </w:t>
      </w:r>
      <w:r w:rsidRPr="00510696" w:rsidR="006D3107">
        <w:rPr>
          <w:rFonts w:ascii="Arial" w:hAnsi="Arial" w:cs="Arial"/>
          <w:sz w:val="22"/>
          <w:szCs w:val="22"/>
          <w:lang w:val="es-CO"/>
        </w:rPr>
        <w:t>hogares</w:t>
      </w:r>
      <w:r w:rsidRPr="00510696" w:rsidR="005A6E5B">
        <w:rPr>
          <w:rFonts w:ascii="Arial" w:hAnsi="Arial" w:cs="Arial"/>
          <w:sz w:val="22"/>
          <w:szCs w:val="22"/>
          <w:lang w:val="es-CO"/>
        </w:rPr>
        <w:t xml:space="preserve"> que representan </w:t>
      </w:r>
      <w:r w:rsidRPr="00510696" w:rsidR="00642A05">
        <w:rPr>
          <w:rFonts w:ascii="Arial" w:hAnsi="Arial" w:cs="Arial"/>
          <w:sz w:val="22"/>
          <w:szCs w:val="22"/>
          <w:lang w:val="es-CO"/>
        </w:rPr>
        <w:t>aproximadamente 20.</w:t>
      </w:r>
      <w:r w:rsidRPr="00510696" w:rsidR="008C0CB8">
        <w:rPr>
          <w:rFonts w:ascii="Arial" w:hAnsi="Arial" w:cs="Arial"/>
          <w:sz w:val="22"/>
          <w:szCs w:val="22"/>
          <w:lang w:val="es-CO"/>
        </w:rPr>
        <w:t>3</w:t>
      </w:r>
      <w:r w:rsidRPr="00510696" w:rsidR="00642A05">
        <w:rPr>
          <w:rFonts w:ascii="Arial" w:hAnsi="Arial" w:cs="Arial"/>
          <w:sz w:val="22"/>
          <w:szCs w:val="22"/>
          <w:lang w:val="es-CO"/>
        </w:rPr>
        <w:t>67 personas</w:t>
      </w:r>
      <w:r w:rsidRPr="00510696" w:rsidR="00996B60">
        <w:rPr>
          <w:rFonts w:ascii="Arial" w:hAnsi="Arial" w:cs="Arial"/>
          <w:sz w:val="22"/>
          <w:szCs w:val="22"/>
          <w:lang w:val="es-ES_tradnl"/>
        </w:rPr>
        <w:t>; (</w:t>
      </w:r>
      <w:proofErr w:type="spellStart"/>
      <w:r w:rsidRPr="00510696" w:rsidR="00996B60">
        <w:rPr>
          <w:rFonts w:ascii="Arial" w:hAnsi="Arial" w:cs="Arial"/>
          <w:sz w:val="22"/>
          <w:szCs w:val="22"/>
          <w:lang w:val="es-ES_tradnl"/>
        </w:rPr>
        <w:t>ii</w:t>
      </w:r>
      <w:proofErr w:type="spellEnd"/>
      <w:r w:rsidRPr="00510696" w:rsidR="00996B60">
        <w:rPr>
          <w:rFonts w:ascii="Arial" w:hAnsi="Arial" w:cs="Arial"/>
          <w:sz w:val="22"/>
          <w:szCs w:val="22"/>
          <w:lang w:val="es-ES_tradnl"/>
        </w:rPr>
        <w:t xml:space="preserve">) reducción del costo de producción de energía eléctrica a niveles que permitan fomentar el desarrollo </w:t>
      </w:r>
      <w:r w:rsidRPr="00510696" w:rsidR="00996B60">
        <w:rPr>
          <w:rFonts w:ascii="Arial" w:hAnsi="Arial" w:cs="Arial"/>
          <w:sz w:val="22"/>
          <w:szCs w:val="22"/>
        </w:rPr>
        <w:t>socioeconómico</w:t>
      </w:r>
      <w:r w:rsidRPr="00510696" w:rsidR="00996B60">
        <w:rPr>
          <w:rFonts w:ascii="Arial" w:hAnsi="Arial" w:cs="Arial"/>
          <w:sz w:val="22"/>
          <w:szCs w:val="22"/>
          <w:lang w:val="es-ES_tradnl"/>
        </w:rPr>
        <w:t xml:space="preserve"> competitivo en los lugares intervenidos; (</w:t>
      </w:r>
      <w:proofErr w:type="spellStart"/>
      <w:r w:rsidRPr="00510696" w:rsidR="00996B60">
        <w:rPr>
          <w:rFonts w:ascii="Arial" w:hAnsi="Arial" w:cs="Arial"/>
          <w:sz w:val="22"/>
          <w:szCs w:val="22"/>
          <w:lang w:val="es-ES_tradnl"/>
        </w:rPr>
        <w:t>iii</w:t>
      </w:r>
      <w:proofErr w:type="spellEnd"/>
      <w:r w:rsidRPr="00510696" w:rsidR="00996B60">
        <w:rPr>
          <w:rFonts w:ascii="Arial" w:hAnsi="Arial" w:cs="Arial"/>
          <w:sz w:val="22"/>
          <w:szCs w:val="22"/>
          <w:lang w:val="es-ES_tradnl"/>
        </w:rPr>
        <w:t>) generación de empleo fomentando equidad de género y participación del sector privado; (</w:t>
      </w:r>
      <w:proofErr w:type="spellStart"/>
      <w:r w:rsidRPr="00510696" w:rsidR="00996B60">
        <w:rPr>
          <w:rFonts w:ascii="Arial" w:hAnsi="Arial" w:cs="Arial"/>
          <w:sz w:val="22"/>
          <w:szCs w:val="22"/>
          <w:lang w:val="es-ES_tradnl"/>
        </w:rPr>
        <w:t>iv</w:t>
      </w:r>
      <w:proofErr w:type="spellEnd"/>
      <w:r w:rsidRPr="00510696" w:rsidR="00996B60">
        <w:rPr>
          <w:rFonts w:ascii="Arial" w:hAnsi="Arial" w:cs="Arial"/>
          <w:sz w:val="22"/>
          <w:szCs w:val="22"/>
          <w:lang w:val="es-ES_tradnl"/>
        </w:rPr>
        <w:t xml:space="preserve">) capacidad en la ENEE para el desarrollo de </w:t>
      </w:r>
      <w:proofErr w:type="spellStart"/>
      <w:r w:rsidRPr="00510696" w:rsidR="00996B60">
        <w:rPr>
          <w:rFonts w:ascii="Arial" w:hAnsi="Arial" w:cs="Arial"/>
          <w:sz w:val="22"/>
          <w:szCs w:val="22"/>
          <w:lang w:val="es-ES_tradnl"/>
        </w:rPr>
        <w:t>micro-redes</w:t>
      </w:r>
      <w:proofErr w:type="spellEnd"/>
      <w:r w:rsidRPr="00510696" w:rsidR="00996B60">
        <w:rPr>
          <w:rFonts w:ascii="Arial" w:hAnsi="Arial" w:cs="Arial"/>
          <w:sz w:val="22"/>
          <w:szCs w:val="22"/>
          <w:lang w:val="es-ES_tradnl"/>
        </w:rPr>
        <w:t xml:space="preserve"> y su réplica en otros territorios a nivel nacional.</w:t>
      </w:r>
    </w:p>
    <w:p w:rsidRPr="00EB0154" w:rsidR="00ED751C" w:rsidP="00B218CB" w:rsidRDefault="00410F42" w14:paraId="442E32D9" w14:textId="5B05A7C8">
      <w:pPr>
        <w:pStyle w:val="Chapter"/>
        <w:tabs>
          <w:tab w:val="clear" w:pos="1800"/>
          <w:tab w:val="left" w:pos="720"/>
        </w:tabs>
        <w:ind w:left="0" w:firstLine="0"/>
        <w:rPr>
          <w:rFonts w:ascii="Arial" w:hAnsi="Arial" w:cs="Arial"/>
          <w:szCs w:val="22"/>
        </w:rPr>
      </w:pPr>
      <w:bookmarkStart w:name="_Toc526996962" w:id="15"/>
      <w:r>
        <w:rPr>
          <w:rFonts w:ascii="Arial" w:hAnsi="Arial" w:cs="Arial"/>
          <w:szCs w:val="22"/>
        </w:rPr>
        <w:lastRenderedPageBreak/>
        <w:t>Evaluación</w:t>
      </w:r>
      <w:r w:rsidR="00777476">
        <w:rPr>
          <w:rFonts w:ascii="Arial" w:hAnsi="Arial" w:cs="Arial"/>
          <w:szCs w:val="22"/>
        </w:rPr>
        <w:t xml:space="preserve"> Económica</w:t>
      </w:r>
      <w:r w:rsidR="00E34FAD">
        <w:rPr>
          <w:rFonts w:ascii="Arial" w:hAnsi="Arial" w:cs="Arial"/>
          <w:szCs w:val="22"/>
        </w:rPr>
        <w:t xml:space="preserve"> del Programa</w:t>
      </w:r>
      <w:bookmarkEnd w:id="15"/>
    </w:p>
    <w:p w:rsidRPr="00EB0154" w:rsidR="00ED751C" w:rsidP="009F767D" w:rsidRDefault="00EB0154" w14:paraId="3B6195EF" w14:textId="26D0EBF1">
      <w:pPr>
        <w:pStyle w:val="FirstHeading"/>
        <w:ind w:left="720"/>
        <w:rPr>
          <w:rFonts w:ascii="Arial" w:hAnsi="Arial" w:cs="Arial"/>
          <w:sz w:val="22"/>
          <w:szCs w:val="22"/>
        </w:rPr>
      </w:pPr>
      <w:r w:rsidRPr="00EB0154">
        <w:rPr>
          <w:rFonts w:ascii="Arial" w:hAnsi="Arial" w:cs="Arial"/>
          <w:noProof/>
          <w:sz w:val="22"/>
          <w:szCs w:val="22"/>
        </w:rPr>
        <w:fldChar w:fldCharType="begin"/>
      </w:r>
      <w:r w:rsidRPr="00EB0154">
        <w:rPr>
          <w:rFonts w:ascii="Arial" w:hAnsi="Arial" w:cs="Arial"/>
          <w:noProof/>
          <w:sz w:val="22"/>
          <w:szCs w:val="22"/>
        </w:rPr>
        <w:instrText xml:space="preserve"> SEQ "</w:instrText>
      </w:r>
      <w:r w:rsidRPr="00EB0154">
        <w:rPr>
          <w:rFonts w:ascii="Arial" w:hAnsi="Arial" w:cs="Arial"/>
          <w:noProof/>
          <w:sz w:val="22"/>
          <w:szCs w:val="22"/>
        </w:rPr>
        <w:fldChar w:fldCharType="begin"/>
      </w:r>
      <w:r w:rsidRPr="00EB0154">
        <w:rPr>
          <w:rFonts w:ascii="Arial" w:hAnsi="Arial" w:cs="Arial"/>
          <w:noProof/>
          <w:sz w:val="22"/>
          <w:szCs w:val="22"/>
        </w:rPr>
        <w:instrText xml:space="preserve"> SECTION  \* MERGEFORMAT </w:instrText>
      </w:r>
      <w:r w:rsidRPr="00EB0154">
        <w:rPr>
          <w:rFonts w:ascii="Arial" w:hAnsi="Arial" w:cs="Arial"/>
          <w:noProof/>
          <w:sz w:val="22"/>
          <w:szCs w:val="22"/>
        </w:rPr>
        <w:fldChar w:fldCharType="separate"/>
      </w:r>
      <w:r w:rsidR="005910CE">
        <w:rPr>
          <w:rFonts w:ascii="Arial" w:hAnsi="Arial" w:cs="Arial"/>
          <w:noProof/>
          <w:sz w:val="22"/>
          <w:szCs w:val="22"/>
        </w:rPr>
        <w:instrText>5</w:instrText>
      </w:r>
      <w:r w:rsidRPr="00EB0154">
        <w:rPr>
          <w:rFonts w:ascii="Arial" w:hAnsi="Arial" w:cs="Arial"/>
          <w:noProof/>
          <w:sz w:val="22"/>
          <w:szCs w:val="22"/>
        </w:rPr>
        <w:fldChar w:fldCharType="end"/>
      </w:r>
      <w:r w:rsidRPr="00EB0154">
        <w:rPr>
          <w:rFonts w:ascii="Arial" w:hAnsi="Arial" w:cs="Arial"/>
          <w:noProof/>
          <w:sz w:val="22"/>
          <w:szCs w:val="22"/>
        </w:rPr>
        <w:instrText xml:space="preserve">#"\* ALPHABETIC \* MERGEFORMAT </w:instrText>
      </w:r>
      <w:r w:rsidRPr="00EB0154">
        <w:rPr>
          <w:rFonts w:ascii="Arial" w:hAnsi="Arial" w:cs="Arial"/>
          <w:noProof/>
          <w:sz w:val="22"/>
          <w:szCs w:val="22"/>
        </w:rPr>
        <w:fldChar w:fldCharType="separate"/>
      </w:r>
      <w:bookmarkStart w:name="_Toc526996963" w:id="16"/>
      <w:r w:rsidR="005910CE">
        <w:rPr>
          <w:rFonts w:ascii="Arial" w:hAnsi="Arial" w:cs="Arial"/>
          <w:noProof/>
          <w:sz w:val="22"/>
          <w:szCs w:val="22"/>
        </w:rPr>
        <w:t>A</w:t>
      </w:r>
      <w:r w:rsidRPr="00EB0154">
        <w:rPr>
          <w:rFonts w:ascii="Arial" w:hAnsi="Arial" w:cs="Arial"/>
          <w:noProof/>
          <w:sz w:val="22"/>
          <w:szCs w:val="22"/>
        </w:rPr>
        <w:fldChar w:fldCharType="end"/>
      </w:r>
      <w:r w:rsidRPr="00EB0154">
        <w:rPr>
          <w:rFonts w:ascii="Arial" w:hAnsi="Arial" w:cs="Arial"/>
          <w:noProof/>
          <w:sz w:val="22"/>
          <w:szCs w:val="22"/>
        </w:rPr>
        <w:t>.</w:t>
      </w:r>
      <w:r w:rsidRPr="00EB0154">
        <w:rPr>
          <w:rFonts w:ascii="Arial" w:hAnsi="Arial" w:cs="Arial"/>
          <w:noProof/>
          <w:sz w:val="22"/>
          <w:szCs w:val="22"/>
        </w:rPr>
        <w:tab/>
      </w:r>
      <w:r w:rsidRPr="00777476" w:rsidR="00777476">
        <w:rPr>
          <w:rFonts w:ascii="Arial" w:hAnsi="Arial" w:cs="Arial"/>
          <w:noProof/>
          <w:sz w:val="22"/>
          <w:szCs w:val="22"/>
          <w:lang w:val="es-ES_tradnl"/>
        </w:rPr>
        <w:t>Metodología</w:t>
      </w:r>
      <w:bookmarkEnd w:id="16"/>
    </w:p>
    <w:p w:rsidRPr="00572B24" w:rsidR="00113C53" w:rsidP="005E4DEC" w:rsidRDefault="00113C53" w14:paraId="6AADD99F" w14:textId="6A23B9CD">
      <w:pPr>
        <w:pStyle w:val="Paragraph"/>
        <w:tabs>
          <w:tab w:val="num" w:pos="720"/>
        </w:tabs>
        <w:ind w:left="720" w:hanging="720"/>
        <w:rPr>
          <w:rFonts w:ascii="Arial" w:hAnsi="Arial" w:cs="Arial"/>
          <w:sz w:val="22"/>
          <w:szCs w:val="22"/>
        </w:rPr>
      </w:pPr>
      <w:r w:rsidRPr="00572B24">
        <w:rPr>
          <w:rFonts w:ascii="Arial" w:hAnsi="Arial" w:cs="Arial"/>
          <w:sz w:val="22"/>
          <w:szCs w:val="22"/>
        </w:rPr>
        <w:t xml:space="preserve">El </w:t>
      </w:r>
      <w:r w:rsidRPr="00572B24">
        <w:rPr>
          <w:rFonts w:ascii="Arial" w:hAnsi="Arial" w:cs="Arial"/>
          <w:sz w:val="22"/>
          <w:szCs w:val="22"/>
          <w:lang w:val="es-CO"/>
        </w:rPr>
        <w:t>objetivo</w:t>
      </w:r>
      <w:r w:rsidRPr="00572B24">
        <w:rPr>
          <w:rFonts w:ascii="Arial" w:hAnsi="Arial" w:cs="Arial"/>
          <w:sz w:val="22"/>
          <w:szCs w:val="22"/>
        </w:rPr>
        <w:t xml:space="preserve"> </w:t>
      </w:r>
      <w:r w:rsidRPr="00572B24" w:rsidR="00517FD0">
        <w:rPr>
          <w:rFonts w:ascii="Arial" w:hAnsi="Arial" w:cs="Arial"/>
          <w:sz w:val="22"/>
          <w:szCs w:val="22"/>
        </w:rPr>
        <w:t>de las inversiones del programa</w:t>
      </w:r>
      <w:r w:rsidRPr="00572B24">
        <w:rPr>
          <w:rFonts w:ascii="Arial" w:hAnsi="Arial" w:cs="Arial"/>
          <w:sz w:val="22"/>
          <w:szCs w:val="22"/>
        </w:rPr>
        <w:t xml:space="preserve"> </w:t>
      </w:r>
      <w:r w:rsidRPr="00572B24">
        <w:rPr>
          <w:rFonts w:ascii="Arial" w:hAnsi="Arial" w:cs="Arial"/>
          <w:sz w:val="22"/>
          <w:szCs w:val="22"/>
          <w:lang w:val="es-CO"/>
        </w:rPr>
        <w:t xml:space="preserve">es promover el acceso a energía en lugares rurales aislados, mediante el uso de </w:t>
      </w:r>
      <w:r w:rsidRPr="00572B24" w:rsidR="0046661A">
        <w:rPr>
          <w:rFonts w:ascii="Arial" w:hAnsi="Arial" w:cs="Arial"/>
          <w:sz w:val="22"/>
          <w:szCs w:val="22"/>
          <w:lang w:val="es-CO"/>
        </w:rPr>
        <w:t>ERNC</w:t>
      </w:r>
      <w:r w:rsidRPr="00572B24" w:rsidR="00572B24">
        <w:rPr>
          <w:rFonts w:ascii="Arial" w:hAnsi="Arial" w:cs="Arial"/>
          <w:sz w:val="22"/>
          <w:szCs w:val="22"/>
          <w:lang w:val="es-CO"/>
        </w:rPr>
        <w:t>,</w:t>
      </w:r>
      <w:r w:rsidRPr="00572B24" w:rsidR="008C0B5E">
        <w:rPr>
          <w:rFonts w:ascii="Arial" w:hAnsi="Arial" w:cs="Arial"/>
          <w:sz w:val="22"/>
          <w:szCs w:val="22"/>
          <w:lang w:val="es-CO"/>
        </w:rPr>
        <w:t xml:space="preserve"> con criterios de sostenibilidad</w:t>
      </w:r>
      <w:r w:rsidRPr="00572B24">
        <w:rPr>
          <w:rFonts w:ascii="Arial" w:hAnsi="Arial" w:cs="Arial"/>
          <w:sz w:val="22"/>
          <w:szCs w:val="22"/>
          <w:lang w:val="es-CO"/>
        </w:rPr>
        <w:t xml:space="preserve">. </w:t>
      </w:r>
      <w:r w:rsidRPr="00572B24" w:rsidR="00811E4D">
        <w:rPr>
          <w:rFonts w:ascii="Arial" w:hAnsi="Arial" w:cs="Arial"/>
          <w:sz w:val="22"/>
          <w:szCs w:val="22"/>
          <w:lang w:val="es-CO"/>
        </w:rPr>
        <w:t xml:space="preserve">La justificación de la provisión del servicio eléctrico se basa en la premisa, documentada en el capítulo anterior, </w:t>
      </w:r>
      <w:r w:rsidRPr="00572B24" w:rsidR="00682A5C">
        <w:rPr>
          <w:rFonts w:ascii="Arial" w:hAnsi="Arial" w:cs="Arial"/>
          <w:sz w:val="22"/>
          <w:szCs w:val="22"/>
          <w:lang w:val="es-CO"/>
        </w:rPr>
        <w:t xml:space="preserve">de </w:t>
      </w:r>
      <w:bookmarkStart w:name="_Hlk482178225" w:id="17"/>
      <w:r w:rsidRPr="00572B24" w:rsidR="00682A5C">
        <w:rPr>
          <w:rFonts w:ascii="Arial" w:hAnsi="Arial" w:cs="Arial"/>
          <w:sz w:val="22"/>
          <w:szCs w:val="22"/>
          <w:lang w:val="es-CO"/>
        </w:rPr>
        <w:t xml:space="preserve">la certeza de </w:t>
      </w:r>
      <w:r w:rsidRPr="00572B24" w:rsidR="00811E4D">
        <w:rPr>
          <w:rFonts w:ascii="Arial" w:hAnsi="Arial" w:cs="Arial"/>
          <w:sz w:val="22"/>
          <w:szCs w:val="22"/>
          <w:lang w:val="es-CO"/>
        </w:rPr>
        <w:t>que el acceso a energía produce beneficios económicos y sociales que directamente mejoran la calidad de vida de la población beneficiaria</w:t>
      </w:r>
      <w:bookmarkEnd w:id="17"/>
      <w:r w:rsidRPr="00572B24" w:rsidR="00811E4D">
        <w:rPr>
          <w:rFonts w:ascii="Arial" w:hAnsi="Arial" w:cs="Arial"/>
          <w:sz w:val="22"/>
          <w:szCs w:val="22"/>
          <w:lang w:val="es-CO"/>
        </w:rPr>
        <w:t xml:space="preserve">. </w:t>
      </w:r>
      <w:r w:rsidRPr="00572B24">
        <w:rPr>
          <w:rFonts w:ascii="Arial" w:hAnsi="Arial" w:cs="Arial"/>
          <w:sz w:val="22"/>
          <w:szCs w:val="22"/>
          <w:lang w:val="es-CO"/>
        </w:rPr>
        <w:t xml:space="preserve">Considerando </w:t>
      </w:r>
      <w:r w:rsidR="00572B24">
        <w:rPr>
          <w:rFonts w:ascii="Arial" w:hAnsi="Arial" w:cs="Arial"/>
          <w:sz w:val="22"/>
          <w:szCs w:val="22"/>
          <w:lang w:val="es-CO"/>
        </w:rPr>
        <w:t xml:space="preserve">adicionalmente, </w:t>
      </w:r>
      <w:r w:rsidRPr="00572B24">
        <w:rPr>
          <w:rFonts w:ascii="Arial" w:hAnsi="Arial" w:cs="Arial"/>
          <w:sz w:val="22"/>
          <w:szCs w:val="22"/>
          <w:lang w:val="es-CO"/>
        </w:rPr>
        <w:t>que la política pública vigente</w:t>
      </w:r>
      <w:r w:rsidRPr="00572B24" w:rsidR="00811E4D">
        <w:rPr>
          <w:rFonts w:ascii="Arial" w:hAnsi="Arial" w:cs="Arial"/>
          <w:sz w:val="22"/>
          <w:szCs w:val="22"/>
          <w:lang w:val="es-CO"/>
        </w:rPr>
        <w:t xml:space="preserve"> en Honduras</w:t>
      </w:r>
      <w:r w:rsidRPr="00572B24">
        <w:rPr>
          <w:rFonts w:ascii="Arial" w:hAnsi="Arial" w:cs="Arial"/>
          <w:sz w:val="22"/>
          <w:szCs w:val="22"/>
          <w:lang w:val="es-CO"/>
        </w:rPr>
        <w:t xml:space="preserve"> ha definido la necesidad de proveer el servicio a estas zonas y </w:t>
      </w:r>
      <w:bookmarkStart w:name="_Hlk525042730" w:id="18"/>
      <w:r w:rsidRPr="00572B24">
        <w:rPr>
          <w:rFonts w:ascii="Arial" w:hAnsi="Arial" w:cs="Arial"/>
          <w:sz w:val="22"/>
          <w:szCs w:val="22"/>
          <w:lang w:val="es-CO"/>
        </w:rPr>
        <w:t xml:space="preserve">que la prestación del servicio busca contar con las mejores soluciones costo-eficientes, la metodología de evaluación </w:t>
      </w:r>
      <w:r w:rsidRPr="00572B24" w:rsidR="00811E4D">
        <w:rPr>
          <w:rFonts w:ascii="Arial" w:hAnsi="Arial" w:cs="Arial"/>
          <w:sz w:val="22"/>
          <w:szCs w:val="22"/>
          <w:lang w:val="es-CO"/>
        </w:rPr>
        <w:t>seguida es l</w:t>
      </w:r>
      <w:r w:rsidRPr="00572B24">
        <w:rPr>
          <w:rFonts w:ascii="Arial" w:hAnsi="Arial" w:cs="Arial"/>
          <w:sz w:val="22"/>
          <w:szCs w:val="22"/>
          <w:lang w:val="es-CO"/>
        </w:rPr>
        <w:t xml:space="preserve">a del </w:t>
      </w:r>
      <w:r w:rsidRPr="00572B24" w:rsidR="006B24F3">
        <w:rPr>
          <w:rFonts w:ascii="Arial" w:hAnsi="Arial" w:cs="Arial"/>
          <w:sz w:val="22"/>
          <w:szCs w:val="22"/>
          <w:lang w:val="es-US"/>
        </w:rPr>
        <w:t>Análisis Costo-</w:t>
      </w:r>
      <w:r w:rsidRPr="00572B24" w:rsidR="00682A5C">
        <w:rPr>
          <w:rFonts w:ascii="Arial" w:hAnsi="Arial" w:cs="Arial"/>
          <w:sz w:val="22"/>
          <w:szCs w:val="22"/>
          <w:lang w:val="es-US"/>
        </w:rPr>
        <w:t>Efectividad</w:t>
      </w:r>
      <w:r w:rsidRPr="00572B24" w:rsidR="006B24F3">
        <w:rPr>
          <w:rFonts w:ascii="Arial" w:hAnsi="Arial" w:cs="Arial"/>
          <w:sz w:val="22"/>
          <w:szCs w:val="22"/>
          <w:lang w:val="es-US"/>
        </w:rPr>
        <w:t xml:space="preserve"> (ACE)</w:t>
      </w:r>
      <w:r w:rsidRPr="00572B24">
        <w:rPr>
          <w:rFonts w:ascii="Arial" w:hAnsi="Arial" w:cs="Arial"/>
          <w:sz w:val="22"/>
          <w:szCs w:val="22"/>
          <w:lang w:val="es-CO"/>
        </w:rPr>
        <w:t>, el cual se ba</w:t>
      </w:r>
      <w:r w:rsidRPr="00572B24" w:rsidR="0046661A">
        <w:rPr>
          <w:rFonts w:ascii="Arial" w:hAnsi="Arial" w:cs="Arial"/>
          <w:sz w:val="22"/>
          <w:szCs w:val="22"/>
          <w:lang w:val="es-CO"/>
        </w:rPr>
        <w:t>sa</w:t>
      </w:r>
      <w:r w:rsidRPr="00572B24">
        <w:rPr>
          <w:rFonts w:ascii="Arial" w:hAnsi="Arial" w:cs="Arial"/>
          <w:sz w:val="22"/>
          <w:szCs w:val="22"/>
          <w:lang w:val="es-CO"/>
        </w:rPr>
        <w:t xml:space="preserve"> en la información disponible sobre costos de suministro por kWh en las áreas delimitadas</w:t>
      </w:r>
      <w:bookmarkEnd w:id="18"/>
      <w:r w:rsidRPr="00572B24" w:rsidR="006B24F3">
        <w:rPr>
          <w:rFonts w:ascii="Arial" w:hAnsi="Arial" w:cs="Arial"/>
          <w:sz w:val="22"/>
          <w:szCs w:val="22"/>
          <w:lang w:val="es-CO"/>
        </w:rPr>
        <w:t>.</w:t>
      </w:r>
    </w:p>
    <w:p w:rsidRPr="00682A5C" w:rsidR="00ED4889" w:rsidP="001B31BA" w:rsidRDefault="006B24F3" w14:paraId="5ECBE574" w14:textId="7CF6684B">
      <w:pPr>
        <w:pStyle w:val="Paragraph"/>
        <w:tabs>
          <w:tab w:val="num" w:pos="720"/>
        </w:tabs>
        <w:ind w:left="720" w:hanging="720"/>
        <w:rPr>
          <w:rFonts w:ascii="Arial" w:hAnsi="Arial" w:cs="Arial"/>
          <w:sz w:val="22"/>
          <w:szCs w:val="22"/>
        </w:rPr>
      </w:pPr>
      <w:bookmarkStart w:name="_Hlk481507254" w:id="19"/>
      <w:r w:rsidRPr="00682A5C">
        <w:rPr>
          <w:rFonts w:ascii="Arial" w:hAnsi="Arial" w:cs="Arial"/>
          <w:sz w:val="22"/>
          <w:szCs w:val="22"/>
          <w:lang w:val="es-US"/>
        </w:rPr>
        <w:t>El ACE</w:t>
      </w:r>
      <w:bookmarkEnd w:id="19"/>
      <w:r w:rsidRPr="00682A5C">
        <w:rPr>
          <w:rFonts w:ascii="Arial" w:hAnsi="Arial" w:cs="Arial"/>
          <w:sz w:val="22"/>
          <w:szCs w:val="22"/>
          <w:lang w:val="es-US"/>
        </w:rPr>
        <w:t xml:space="preserve"> asume que los beneficios son conocidos y deseados por la sociedad, por lo que no se calcula </w:t>
      </w:r>
      <w:r w:rsidR="00517FD0">
        <w:rPr>
          <w:rFonts w:ascii="Arial" w:hAnsi="Arial" w:cs="Arial"/>
          <w:sz w:val="22"/>
          <w:szCs w:val="22"/>
          <w:lang w:val="es-US"/>
        </w:rPr>
        <w:t>su</w:t>
      </w:r>
      <w:r w:rsidRPr="00682A5C">
        <w:rPr>
          <w:rFonts w:ascii="Arial" w:hAnsi="Arial" w:cs="Arial"/>
          <w:sz w:val="22"/>
          <w:szCs w:val="22"/>
          <w:lang w:val="es-US"/>
        </w:rPr>
        <w:t xml:space="preserve"> valor monetario. </w:t>
      </w:r>
      <w:r w:rsidR="008F4E7C">
        <w:rPr>
          <w:rFonts w:ascii="Arial" w:hAnsi="Arial" w:cs="Arial"/>
          <w:sz w:val="22"/>
          <w:szCs w:val="22"/>
          <w:lang w:val="es-CO"/>
        </w:rPr>
        <w:t xml:space="preserve">Bajo el supuesto </w:t>
      </w:r>
      <w:r w:rsidR="00A346C6">
        <w:rPr>
          <w:rFonts w:ascii="Arial" w:hAnsi="Arial" w:cs="Arial"/>
          <w:sz w:val="22"/>
          <w:szCs w:val="22"/>
          <w:lang w:val="es-CO"/>
        </w:rPr>
        <w:t xml:space="preserve">de </w:t>
      </w:r>
      <w:r w:rsidR="008F4E7C">
        <w:rPr>
          <w:rFonts w:ascii="Arial" w:hAnsi="Arial" w:cs="Arial"/>
          <w:sz w:val="22"/>
          <w:szCs w:val="22"/>
          <w:lang w:val="es-CO"/>
        </w:rPr>
        <w:t>que la localidad considerada</w:t>
      </w:r>
      <w:r w:rsidR="006D773E">
        <w:rPr>
          <w:rFonts w:ascii="Arial" w:hAnsi="Arial" w:cs="Arial"/>
          <w:sz w:val="22"/>
          <w:szCs w:val="22"/>
          <w:lang w:val="es-CO"/>
        </w:rPr>
        <w:t xml:space="preserve"> </w:t>
      </w:r>
      <w:r w:rsidR="008F4E7C">
        <w:rPr>
          <w:rFonts w:ascii="Arial" w:hAnsi="Arial" w:cs="Arial"/>
          <w:sz w:val="22"/>
          <w:szCs w:val="22"/>
          <w:lang w:val="es-CO"/>
        </w:rPr>
        <w:t>cuenta con los recursos energéticos necesarios para que la alternativa ERNC sea técnicamente viable</w:t>
      </w:r>
      <w:r w:rsidR="00540265">
        <w:rPr>
          <w:rFonts w:ascii="Arial" w:hAnsi="Arial" w:cs="Arial"/>
          <w:sz w:val="22"/>
          <w:szCs w:val="22"/>
          <w:lang w:val="es-CO"/>
        </w:rPr>
        <w:t xml:space="preserve"> (solar)</w:t>
      </w:r>
      <w:r w:rsidR="008F4E7C">
        <w:rPr>
          <w:rFonts w:ascii="Arial" w:hAnsi="Arial" w:cs="Arial"/>
          <w:sz w:val="22"/>
          <w:szCs w:val="22"/>
          <w:lang w:val="es-CO"/>
        </w:rPr>
        <w:t>,</w:t>
      </w:r>
      <w:r w:rsidRPr="00682A5C" w:rsidR="00811E4D">
        <w:rPr>
          <w:rFonts w:ascii="Arial" w:hAnsi="Arial" w:cs="Arial"/>
          <w:sz w:val="22"/>
          <w:szCs w:val="22"/>
          <w:lang w:val="es-CO"/>
        </w:rPr>
        <w:t xml:space="preserve"> </w:t>
      </w:r>
      <w:bookmarkStart w:name="_Hlk525042829" w:id="20"/>
      <w:r w:rsidR="008F4E7C">
        <w:rPr>
          <w:rFonts w:ascii="Arial" w:hAnsi="Arial" w:cs="Arial"/>
          <w:sz w:val="22"/>
          <w:szCs w:val="22"/>
          <w:lang w:val="es-CO"/>
        </w:rPr>
        <w:t>l</w:t>
      </w:r>
      <w:r w:rsidRPr="008F4E7C" w:rsidR="008F4E7C">
        <w:rPr>
          <w:rFonts w:ascii="Arial" w:hAnsi="Arial" w:cs="Arial"/>
          <w:sz w:val="22"/>
          <w:szCs w:val="22"/>
          <w:lang w:val="es-CO"/>
        </w:rPr>
        <w:t xml:space="preserve">a provisión del servicio por medio de </w:t>
      </w:r>
      <w:r w:rsidR="008F4E7C">
        <w:rPr>
          <w:rFonts w:ascii="Arial" w:hAnsi="Arial" w:cs="Arial"/>
          <w:sz w:val="22"/>
          <w:szCs w:val="22"/>
          <w:lang w:val="es-CO"/>
        </w:rPr>
        <w:t>esta opción</w:t>
      </w:r>
      <w:r w:rsidRPr="008F4E7C" w:rsidR="008F4E7C">
        <w:rPr>
          <w:rFonts w:ascii="Arial" w:hAnsi="Arial" w:cs="Arial"/>
          <w:sz w:val="22"/>
          <w:szCs w:val="22"/>
          <w:lang w:val="es-CO"/>
        </w:rPr>
        <w:t xml:space="preserve"> </w:t>
      </w:r>
      <w:r w:rsidRPr="00682A5C" w:rsidR="00811E4D">
        <w:rPr>
          <w:rFonts w:ascii="Arial" w:hAnsi="Arial" w:cs="Arial"/>
          <w:sz w:val="22"/>
          <w:szCs w:val="22"/>
          <w:lang w:val="es-CO"/>
        </w:rPr>
        <w:t>debe ser justificada como la solución de menor costo, frente a otras alternativas disponibles.</w:t>
      </w:r>
      <w:bookmarkEnd w:id="20"/>
      <w:r w:rsidRPr="00682A5C" w:rsidR="00811E4D">
        <w:rPr>
          <w:rFonts w:ascii="Arial" w:hAnsi="Arial" w:cs="Arial"/>
          <w:sz w:val="22"/>
          <w:szCs w:val="22"/>
          <w:lang w:val="es-US"/>
        </w:rPr>
        <w:t xml:space="preserve"> </w:t>
      </w:r>
      <w:r w:rsidRPr="00682A5C">
        <w:rPr>
          <w:rFonts w:ascii="Arial" w:hAnsi="Arial" w:cs="Arial"/>
          <w:sz w:val="22"/>
          <w:szCs w:val="22"/>
          <w:lang w:val="es-US"/>
        </w:rPr>
        <w:t>El objetivo de este enfoque es comparar alternativas que permitan obtener el beneficio buscado, para identificar la solución que permita obtenerlo</w:t>
      </w:r>
      <w:r w:rsidRPr="00682A5C" w:rsidR="00811E4D">
        <w:rPr>
          <w:rFonts w:ascii="Arial" w:hAnsi="Arial" w:cs="Arial"/>
          <w:sz w:val="22"/>
          <w:szCs w:val="22"/>
          <w:lang w:val="es-US"/>
        </w:rPr>
        <w:t>,</w:t>
      </w:r>
      <w:r w:rsidRPr="00682A5C">
        <w:rPr>
          <w:rFonts w:ascii="Arial" w:hAnsi="Arial" w:cs="Arial"/>
          <w:sz w:val="22"/>
          <w:szCs w:val="22"/>
          <w:lang w:val="es-US"/>
        </w:rPr>
        <w:t xml:space="preserve"> utilizando la menor cantidad de recursos. Para ello, se debe realizar una completa identificación, cuantificación y valoración de los costos asociados al proyecto, para </w:t>
      </w:r>
      <w:r w:rsidRPr="00682A5C" w:rsidR="00682A5C">
        <w:rPr>
          <w:rFonts w:ascii="Arial" w:hAnsi="Arial" w:cs="Arial"/>
          <w:sz w:val="22"/>
          <w:szCs w:val="22"/>
          <w:lang w:val="es-US"/>
        </w:rPr>
        <w:t>realizar</w:t>
      </w:r>
      <w:r w:rsidRPr="00682A5C">
        <w:rPr>
          <w:rFonts w:ascii="Arial" w:hAnsi="Arial" w:cs="Arial"/>
          <w:sz w:val="22"/>
          <w:szCs w:val="22"/>
          <w:lang w:val="es-US"/>
        </w:rPr>
        <w:t xml:space="preserve"> posteriormente </w:t>
      </w:r>
      <w:r w:rsidRPr="00682A5C" w:rsidR="00ED4889">
        <w:rPr>
          <w:rFonts w:ascii="Arial" w:hAnsi="Arial" w:cs="Arial"/>
          <w:sz w:val="22"/>
          <w:szCs w:val="22"/>
          <w:lang w:val="es-US"/>
        </w:rPr>
        <w:t xml:space="preserve">una comparación de alternativas de solución tales como: conexión en red, generación aislada con diésel, solución con sistemas fotovoltaicos (FV individuales), sistemas FV comunitarios con distribución en </w:t>
      </w:r>
      <w:proofErr w:type="spellStart"/>
      <w:r w:rsidR="0074018C">
        <w:rPr>
          <w:rFonts w:ascii="Arial" w:hAnsi="Arial" w:cs="Arial"/>
          <w:sz w:val="22"/>
          <w:szCs w:val="22"/>
          <w:lang w:val="es-US"/>
        </w:rPr>
        <w:t>micro-</w:t>
      </w:r>
      <w:r w:rsidRPr="00682A5C" w:rsidR="00180933">
        <w:rPr>
          <w:rFonts w:ascii="Arial" w:hAnsi="Arial" w:cs="Arial"/>
          <w:sz w:val="22"/>
          <w:szCs w:val="22"/>
          <w:lang w:val="es-US"/>
        </w:rPr>
        <w:t>red</w:t>
      </w:r>
      <w:proofErr w:type="spellEnd"/>
      <w:r w:rsidRPr="00682A5C" w:rsidR="00180933">
        <w:rPr>
          <w:rFonts w:ascii="Arial" w:hAnsi="Arial" w:cs="Arial"/>
          <w:sz w:val="22"/>
          <w:szCs w:val="22"/>
          <w:lang w:val="es-US"/>
        </w:rPr>
        <w:t>, y</w:t>
      </w:r>
      <w:r w:rsidRPr="00682A5C" w:rsidR="00ED4889">
        <w:rPr>
          <w:rFonts w:ascii="Arial" w:hAnsi="Arial" w:cs="Arial"/>
          <w:sz w:val="22"/>
          <w:szCs w:val="22"/>
          <w:lang w:val="es-US"/>
        </w:rPr>
        <w:t xml:space="preserve"> otras consideradas viables en la zona de influencia, en </w:t>
      </w:r>
      <w:r w:rsidRPr="00682A5C" w:rsidR="00465554">
        <w:rPr>
          <w:rFonts w:ascii="Arial" w:hAnsi="Arial" w:cs="Arial"/>
          <w:sz w:val="22"/>
          <w:szCs w:val="22"/>
          <w:lang w:val="es-US"/>
        </w:rPr>
        <w:t>busca de</w:t>
      </w:r>
      <w:r w:rsidRPr="00682A5C" w:rsidR="00ED4889">
        <w:rPr>
          <w:rFonts w:ascii="Arial" w:hAnsi="Arial" w:cs="Arial"/>
          <w:sz w:val="22"/>
          <w:szCs w:val="22"/>
          <w:lang w:val="es-US"/>
        </w:rPr>
        <w:t xml:space="preserve"> la solución de mínimo costo unitario por vivienda</w:t>
      </w:r>
      <w:r w:rsidR="00A346C6">
        <w:rPr>
          <w:rFonts w:ascii="Arial" w:hAnsi="Arial" w:cs="Arial"/>
          <w:sz w:val="22"/>
          <w:szCs w:val="22"/>
          <w:lang w:val="es-US"/>
        </w:rPr>
        <w:t xml:space="preserve"> o por unidad de consumo</w:t>
      </w:r>
      <w:r w:rsidRPr="00682A5C" w:rsidR="00ED4889">
        <w:rPr>
          <w:rFonts w:ascii="Arial" w:hAnsi="Arial" w:cs="Arial"/>
          <w:sz w:val="22"/>
          <w:szCs w:val="22"/>
          <w:lang w:val="es-US"/>
        </w:rPr>
        <w:t>.</w:t>
      </w:r>
    </w:p>
    <w:p w:rsidRPr="00113C53" w:rsidR="005E3690" w:rsidP="0082305A" w:rsidRDefault="005C2DDC" w14:paraId="07724F46" w14:textId="70A8BB63">
      <w:pPr>
        <w:pStyle w:val="Paragraph"/>
        <w:tabs>
          <w:tab w:val="num" w:pos="720"/>
        </w:tabs>
        <w:ind w:left="720" w:hanging="720"/>
        <w:rPr>
          <w:rFonts w:ascii="Arial" w:hAnsi="Arial" w:cs="Arial"/>
          <w:sz w:val="22"/>
          <w:szCs w:val="22"/>
        </w:rPr>
      </w:pPr>
      <w:r>
        <w:rPr>
          <w:rFonts w:ascii="Arial" w:hAnsi="Arial" w:cs="Arial"/>
          <w:sz w:val="22"/>
          <w:szCs w:val="22"/>
          <w:lang w:val="es-US"/>
        </w:rPr>
        <w:t xml:space="preserve">Si </w:t>
      </w:r>
      <w:r w:rsidRPr="00113C53" w:rsidR="00410F42">
        <w:rPr>
          <w:rFonts w:ascii="Arial" w:hAnsi="Arial" w:cs="Arial"/>
          <w:sz w:val="22"/>
          <w:szCs w:val="22"/>
          <w:lang w:val="es-US"/>
        </w:rPr>
        <w:t>el costo de inversión</w:t>
      </w:r>
      <w:r w:rsidR="00540265">
        <w:rPr>
          <w:rFonts w:ascii="Arial" w:hAnsi="Arial" w:cs="Arial"/>
          <w:sz w:val="22"/>
          <w:szCs w:val="22"/>
          <w:lang w:val="es-US"/>
        </w:rPr>
        <w:t xml:space="preserve"> en red</w:t>
      </w:r>
      <w:r w:rsidRPr="00113C53" w:rsidR="00410F42">
        <w:rPr>
          <w:rFonts w:ascii="Arial" w:hAnsi="Arial" w:cs="Arial"/>
          <w:sz w:val="22"/>
          <w:szCs w:val="22"/>
          <w:lang w:val="es-US"/>
        </w:rPr>
        <w:t xml:space="preserve"> por vivienda es menor al de referencia por región, la decisión es la ejecución del proyecto de extensión de la red. En cambio, si el costo de inversión por vivienda (se incluye costo de instalaciones interiores, empalme e impuestos) es superior al costo de referencia, </w:t>
      </w:r>
      <w:r w:rsidR="00ED4889">
        <w:rPr>
          <w:rFonts w:ascii="Arial" w:hAnsi="Arial" w:cs="Arial"/>
          <w:sz w:val="22"/>
          <w:szCs w:val="22"/>
          <w:lang w:val="es-US"/>
        </w:rPr>
        <w:t>se</w:t>
      </w:r>
      <w:r w:rsidRPr="00113C53" w:rsidR="00410F42">
        <w:rPr>
          <w:rFonts w:ascii="Arial" w:hAnsi="Arial" w:cs="Arial"/>
          <w:sz w:val="22"/>
          <w:szCs w:val="22"/>
          <w:lang w:val="es-US"/>
        </w:rPr>
        <w:t xml:space="preserve"> plantea</w:t>
      </w:r>
      <w:r w:rsidR="00ED4889">
        <w:rPr>
          <w:rFonts w:ascii="Arial" w:hAnsi="Arial" w:cs="Arial"/>
          <w:sz w:val="22"/>
          <w:szCs w:val="22"/>
          <w:lang w:val="es-US"/>
        </w:rPr>
        <w:t>n</w:t>
      </w:r>
      <w:r w:rsidRPr="00113C53" w:rsidR="00410F42">
        <w:rPr>
          <w:rFonts w:ascii="Arial" w:hAnsi="Arial" w:cs="Arial"/>
          <w:sz w:val="22"/>
          <w:szCs w:val="22"/>
          <w:lang w:val="es-US"/>
        </w:rPr>
        <w:t xml:space="preserve"> alternativas de solución adicionales, tanto del tipo colectivas como individuales. Sobre este conjunto de alternativas, la selección de realizará aplicando el enfoque costo-eficiencia, incluyendo en esta comparación </w:t>
      </w:r>
      <w:r>
        <w:rPr>
          <w:rFonts w:ascii="Arial" w:hAnsi="Arial" w:cs="Arial"/>
          <w:sz w:val="22"/>
          <w:szCs w:val="22"/>
          <w:lang w:val="es-US"/>
        </w:rPr>
        <w:t>l</w:t>
      </w:r>
      <w:r w:rsidRPr="00113C53" w:rsidR="00410F42">
        <w:rPr>
          <w:rFonts w:ascii="Arial" w:hAnsi="Arial" w:cs="Arial"/>
          <w:sz w:val="22"/>
          <w:szCs w:val="22"/>
          <w:lang w:val="es-US"/>
        </w:rPr>
        <w:t>a extensión de red</w:t>
      </w:r>
      <w:r w:rsidR="001E544C">
        <w:rPr>
          <w:rFonts w:ascii="Arial" w:hAnsi="Arial" w:cs="Arial"/>
          <w:sz w:val="22"/>
          <w:szCs w:val="22"/>
          <w:lang w:val="es-US"/>
        </w:rPr>
        <w:t>.</w:t>
      </w:r>
    </w:p>
    <w:p w:rsidRPr="001E544C" w:rsidR="001E544C" w:rsidP="007A47C9" w:rsidRDefault="00EB0154" w14:paraId="56EACF5A" w14:textId="77777777">
      <w:pPr>
        <w:pStyle w:val="FirstHeading"/>
        <w:ind w:left="720"/>
        <w:rPr>
          <w:rFonts w:ascii="Arial" w:hAnsi="Arial" w:cs="Arial"/>
          <w:sz w:val="22"/>
          <w:szCs w:val="22"/>
        </w:rPr>
      </w:pPr>
      <w:bookmarkStart w:name="_Toc526996964" w:id="21"/>
      <w:r w:rsidRPr="00113C53">
        <w:rPr>
          <w:rFonts w:ascii="Arial" w:hAnsi="Arial" w:cs="Arial"/>
          <w:sz w:val="22"/>
          <w:szCs w:val="22"/>
        </w:rPr>
        <w:t>B.</w:t>
      </w:r>
      <w:r w:rsidRPr="00113C53">
        <w:rPr>
          <w:rFonts w:ascii="Arial" w:hAnsi="Arial" w:cs="Arial"/>
          <w:sz w:val="22"/>
          <w:szCs w:val="22"/>
        </w:rPr>
        <w:tab/>
      </w:r>
      <w:r w:rsidR="00AD61F3">
        <w:rPr>
          <w:rFonts w:ascii="Arial" w:hAnsi="Arial" w:cs="Arial"/>
          <w:sz w:val="22"/>
          <w:szCs w:val="22"/>
        </w:rPr>
        <w:t>Identificación de beneficiarios.</w:t>
      </w:r>
      <w:bookmarkEnd w:id="21"/>
      <w:r w:rsidRPr="00AD61F3" w:rsidR="00AD61F3">
        <w:t xml:space="preserve"> </w:t>
      </w:r>
    </w:p>
    <w:p w:rsidR="0024454C" w:rsidP="00510696" w:rsidRDefault="00AD61F3" w14:paraId="75A3548F" w14:textId="41CA4BD0">
      <w:pPr>
        <w:pStyle w:val="Paragraph"/>
        <w:tabs>
          <w:tab w:val="num" w:pos="720"/>
        </w:tabs>
        <w:ind w:left="720" w:hanging="720"/>
        <w:rPr>
          <w:rFonts w:ascii="Arial" w:hAnsi="Arial" w:cs="Arial"/>
          <w:sz w:val="22"/>
          <w:szCs w:val="22"/>
        </w:rPr>
      </w:pPr>
      <w:bookmarkStart w:name="_Ref526329101" w:id="22"/>
      <w:r w:rsidRPr="00510696">
        <w:rPr>
          <w:rFonts w:ascii="Arial" w:hAnsi="Arial" w:cs="Arial"/>
          <w:sz w:val="22"/>
          <w:szCs w:val="22"/>
          <w:lang w:val="es-US"/>
        </w:rPr>
        <w:t>Serán</w:t>
      </w:r>
      <w:r w:rsidRPr="0024454C">
        <w:rPr>
          <w:rFonts w:ascii="Arial" w:hAnsi="Arial" w:cs="Arial"/>
          <w:sz w:val="22"/>
          <w:szCs w:val="22"/>
        </w:rPr>
        <w:t xml:space="preserve"> beneficiarios directos del programa los habitantes de las cuatro poblaciones intervenidas</w:t>
      </w:r>
      <w:r w:rsidRPr="0024454C" w:rsidR="00FB15BD">
        <w:rPr>
          <w:rFonts w:ascii="Arial" w:hAnsi="Arial" w:cs="Arial"/>
          <w:sz w:val="22"/>
          <w:szCs w:val="22"/>
        </w:rPr>
        <w:t xml:space="preserve"> que se encuentran sin servicio eléctrico</w:t>
      </w:r>
      <w:r w:rsidRPr="0024454C">
        <w:rPr>
          <w:rFonts w:ascii="Arial" w:hAnsi="Arial" w:cs="Arial"/>
          <w:sz w:val="22"/>
          <w:szCs w:val="22"/>
        </w:rPr>
        <w:t xml:space="preserve">, quienes tendrán acceso a energía </w:t>
      </w:r>
      <w:r w:rsidRPr="0024454C" w:rsidR="001A5E09">
        <w:rPr>
          <w:rFonts w:ascii="Arial" w:hAnsi="Arial" w:cs="Arial"/>
          <w:sz w:val="22"/>
          <w:szCs w:val="22"/>
        </w:rPr>
        <w:t xml:space="preserve">a menores precios que las alternativas </w:t>
      </w:r>
      <w:r w:rsidRPr="0024454C" w:rsidR="00FB15BD">
        <w:rPr>
          <w:rFonts w:ascii="Arial" w:hAnsi="Arial" w:cs="Arial"/>
          <w:sz w:val="22"/>
          <w:szCs w:val="22"/>
        </w:rPr>
        <w:t xml:space="preserve">energéticas </w:t>
      </w:r>
      <w:r w:rsidRPr="0024454C" w:rsidR="001A5E09">
        <w:rPr>
          <w:rFonts w:ascii="Arial" w:hAnsi="Arial" w:cs="Arial"/>
          <w:sz w:val="22"/>
          <w:szCs w:val="22"/>
        </w:rPr>
        <w:t>a las que tiene acceso actualmente</w:t>
      </w:r>
      <w:r w:rsidRPr="0024454C" w:rsidR="00435BF1">
        <w:rPr>
          <w:rFonts w:ascii="Arial" w:hAnsi="Arial" w:cs="Arial"/>
          <w:sz w:val="22"/>
          <w:szCs w:val="22"/>
        </w:rPr>
        <w:t xml:space="preserve"> (velas, baterías, leña, lámparas de kerosene, </w:t>
      </w:r>
      <w:r w:rsidR="00540265">
        <w:rPr>
          <w:rFonts w:ascii="Arial" w:hAnsi="Arial" w:cs="Arial"/>
          <w:sz w:val="22"/>
          <w:szCs w:val="22"/>
        </w:rPr>
        <w:t xml:space="preserve">diésel, </w:t>
      </w:r>
      <w:r w:rsidRPr="0024454C" w:rsidR="00435BF1">
        <w:rPr>
          <w:rFonts w:ascii="Arial" w:hAnsi="Arial" w:cs="Arial"/>
          <w:sz w:val="22"/>
          <w:szCs w:val="22"/>
        </w:rPr>
        <w:t>etc.)</w:t>
      </w:r>
      <w:r w:rsidRPr="0024454C" w:rsidR="001A5E09">
        <w:rPr>
          <w:rFonts w:ascii="Arial" w:hAnsi="Arial" w:cs="Arial"/>
          <w:sz w:val="22"/>
          <w:szCs w:val="22"/>
        </w:rPr>
        <w:t xml:space="preserve">. </w:t>
      </w:r>
      <w:r w:rsidRPr="0024454C" w:rsidR="0024454C">
        <w:rPr>
          <w:rFonts w:ascii="Arial" w:hAnsi="Arial" w:cs="Arial"/>
          <w:sz w:val="22"/>
          <w:szCs w:val="22"/>
        </w:rPr>
        <w:t xml:space="preserve"> La población meta de la intervención se incluye en el Cuadro II-1</w:t>
      </w:r>
      <w:r w:rsidR="0024454C">
        <w:rPr>
          <w:rFonts w:ascii="Arial" w:hAnsi="Arial" w:cs="Arial"/>
          <w:sz w:val="22"/>
          <w:szCs w:val="22"/>
        </w:rPr>
        <w:t>.</w:t>
      </w:r>
      <w:bookmarkEnd w:id="22"/>
    </w:p>
    <w:p w:rsidR="00EF57C4" w:rsidP="00EF57C4" w:rsidRDefault="00EF57C4" w14:paraId="08CB4215" w14:textId="6E00A917">
      <w:pPr>
        <w:pStyle w:val="Chapter"/>
        <w:numPr>
          <w:ilvl w:val="0"/>
          <w:numId w:val="0"/>
        </w:numPr>
        <w:ind w:left="1440"/>
        <w:jc w:val="left"/>
      </w:pPr>
    </w:p>
    <w:p w:rsidRPr="00EF57C4" w:rsidR="00EF57C4" w:rsidP="00EF57C4" w:rsidRDefault="00EF57C4" w14:paraId="2A63BBFC" w14:textId="77777777">
      <w:pPr>
        <w:rPr>
          <w:lang w:val="es-ES"/>
        </w:rPr>
      </w:pPr>
    </w:p>
    <w:tbl>
      <w:tblPr>
        <w:tblW w:w="7480" w:type="dxa"/>
        <w:tblInd w:w="1160" w:type="dxa"/>
        <w:tblCellMar>
          <w:left w:w="0" w:type="dxa"/>
          <w:right w:w="0" w:type="dxa"/>
        </w:tblCellMar>
        <w:tblLook w:val="04A0" w:firstRow="1" w:lastRow="0" w:firstColumn="1" w:lastColumn="0" w:noHBand="0" w:noVBand="1"/>
      </w:tblPr>
      <w:tblGrid>
        <w:gridCol w:w="1792"/>
        <w:gridCol w:w="1785"/>
        <w:gridCol w:w="1391"/>
        <w:gridCol w:w="1505"/>
        <w:gridCol w:w="1007"/>
      </w:tblGrid>
      <w:tr w:rsidRPr="00B80216" w:rsidR="00623AD4" w:rsidTr="00623AD4" w14:paraId="460A07DF" w14:textId="6E993704">
        <w:trPr>
          <w:trHeight w:val="466"/>
        </w:trPr>
        <w:tc>
          <w:tcPr>
            <w:tcW w:w="6473" w:type="dxa"/>
            <w:gridSpan w:val="4"/>
            <w:tcBorders>
              <w:bottom w:val="nil"/>
            </w:tcBorders>
            <w:shd w:val="clear" w:color="auto" w:fill="auto"/>
            <w:tcMar>
              <w:top w:w="0" w:type="dxa"/>
              <w:left w:w="28" w:type="dxa"/>
              <w:bottom w:w="0" w:type="dxa"/>
              <w:right w:w="28" w:type="dxa"/>
            </w:tcMar>
            <w:vAlign w:val="center"/>
          </w:tcPr>
          <w:p w:rsidRPr="00466269" w:rsidR="00623AD4" w:rsidP="0024454C" w:rsidRDefault="00623AD4" w14:paraId="0E17E71D" w14:textId="38EEEB4D">
            <w:pPr>
              <w:spacing w:after="200"/>
              <w:jc w:val="center"/>
              <w:rPr>
                <w:rFonts w:ascii="Arial" w:hAnsi="Arial" w:eastAsia="Calibri" w:cs="Arial"/>
                <w:b/>
                <w:bCs/>
                <w:color w:val="000000" w:themeColor="text1"/>
                <w:sz w:val="22"/>
                <w:szCs w:val="22"/>
                <w:lang w:val="es-HN" w:eastAsia="es-US"/>
              </w:rPr>
            </w:pPr>
            <w:r>
              <w:rPr>
                <w:rFonts w:ascii="Arial" w:hAnsi="Arial" w:eastAsia="Calibri" w:cs="Arial"/>
                <w:b/>
                <w:bCs/>
                <w:color w:val="000000" w:themeColor="text1"/>
                <w:sz w:val="22"/>
                <w:szCs w:val="22"/>
                <w:lang w:val="es-HN" w:eastAsia="es-US"/>
              </w:rPr>
              <w:lastRenderedPageBreak/>
              <w:t xml:space="preserve">Cuadro </w:t>
            </w:r>
            <w:r w:rsidR="00510696">
              <w:rPr>
                <w:rFonts w:ascii="Arial" w:hAnsi="Arial" w:eastAsia="Calibri" w:cs="Arial"/>
                <w:b/>
                <w:bCs/>
                <w:color w:val="000000" w:themeColor="text1"/>
                <w:sz w:val="22"/>
                <w:szCs w:val="22"/>
                <w:lang w:val="es-HN" w:eastAsia="es-US"/>
              </w:rPr>
              <w:t xml:space="preserve">3 </w:t>
            </w:r>
            <w:r w:rsidR="00CB0385">
              <w:rPr>
                <w:rFonts w:ascii="Arial" w:hAnsi="Arial" w:eastAsia="Calibri" w:cs="Arial"/>
                <w:b/>
                <w:bCs/>
                <w:color w:val="000000" w:themeColor="text1"/>
                <w:sz w:val="22"/>
                <w:szCs w:val="22"/>
                <w:lang w:val="es-HN" w:eastAsia="es-US"/>
              </w:rPr>
              <w:t>- Beneficiarios</w:t>
            </w:r>
            <w:r>
              <w:rPr>
                <w:rFonts w:ascii="Arial" w:hAnsi="Arial" w:eastAsia="Calibri" w:cs="Arial"/>
                <w:b/>
                <w:bCs/>
                <w:color w:val="000000" w:themeColor="text1"/>
                <w:sz w:val="22"/>
                <w:szCs w:val="22"/>
                <w:lang w:val="es-HN" w:eastAsia="es-US"/>
              </w:rPr>
              <w:t xml:space="preserve"> meta de la intervención</w:t>
            </w:r>
          </w:p>
        </w:tc>
        <w:tc>
          <w:tcPr>
            <w:tcW w:w="1007" w:type="dxa"/>
            <w:tcBorders>
              <w:bottom w:val="nil"/>
            </w:tcBorders>
          </w:tcPr>
          <w:p w:rsidR="00623AD4" w:rsidP="0024454C" w:rsidRDefault="00623AD4" w14:paraId="06E091BD" w14:textId="77777777">
            <w:pPr>
              <w:spacing w:after="200"/>
              <w:jc w:val="center"/>
              <w:rPr>
                <w:rFonts w:ascii="Arial" w:hAnsi="Arial" w:eastAsia="Calibri" w:cs="Arial"/>
                <w:b/>
                <w:bCs/>
                <w:color w:val="000000" w:themeColor="text1"/>
                <w:sz w:val="22"/>
                <w:szCs w:val="22"/>
                <w:lang w:val="es-HN" w:eastAsia="es-US"/>
              </w:rPr>
            </w:pPr>
          </w:p>
        </w:tc>
      </w:tr>
      <w:tr w:rsidRPr="00B80216" w:rsidR="00623AD4" w:rsidTr="00843E6B" w14:paraId="25394A8D" w14:textId="528B2B1F">
        <w:trPr>
          <w:trHeight w:val="547"/>
        </w:trPr>
        <w:tc>
          <w:tcPr>
            <w:tcW w:w="1792" w:type="dxa"/>
            <w:tcBorders>
              <w:top w:val="single" w:color="4F81BD" w:sz="8" w:space="0"/>
              <w:left w:val="single" w:color="4F81BD" w:sz="8" w:space="0"/>
              <w:bottom w:val="nil"/>
              <w:right w:val="nil"/>
            </w:tcBorders>
            <w:shd w:val="clear" w:color="auto" w:fill="DBE5F1" w:themeFill="accent1" w:themeFillTint="33"/>
            <w:tcMar>
              <w:top w:w="0" w:type="dxa"/>
              <w:left w:w="28" w:type="dxa"/>
              <w:bottom w:w="0" w:type="dxa"/>
              <w:right w:w="28" w:type="dxa"/>
            </w:tcMar>
            <w:vAlign w:val="center"/>
            <w:hideMark/>
          </w:tcPr>
          <w:p w:rsidRPr="00623AD4" w:rsidR="00623AD4" w:rsidP="0034746A" w:rsidRDefault="00623AD4" w14:paraId="3FB80780" w14:textId="77777777">
            <w:pPr>
              <w:spacing w:after="200"/>
              <w:jc w:val="center"/>
              <w:rPr>
                <w:rFonts w:ascii="Arial" w:hAnsi="Arial" w:eastAsia="Calibri" w:cs="Arial"/>
                <w:color w:val="000000" w:themeColor="text1"/>
                <w:sz w:val="20"/>
                <w:lang w:val="es-HN" w:eastAsia="es-US"/>
              </w:rPr>
            </w:pPr>
            <w:r w:rsidRPr="00623AD4">
              <w:rPr>
                <w:rFonts w:ascii="Arial" w:hAnsi="Arial" w:eastAsia="Calibri" w:cs="Arial"/>
                <w:b/>
                <w:bCs/>
                <w:color w:val="000000" w:themeColor="text1"/>
                <w:sz w:val="20"/>
                <w:lang w:val="es-HN" w:eastAsia="es-US"/>
              </w:rPr>
              <w:t>Departamento</w:t>
            </w:r>
          </w:p>
        </w:tc>
        <w:tc>
          <w:tcPr>
            <w:tcW w:w="1785" w:type="dxa"/>
            <w:tcBorders>
              <w:top w:val="single" w:color="4F81BD" w:sz="8" w:space="0"/>
              <w:left w:val="nil"/>
              <w:bottom w:val="nil"/>
              <w:right w:val="nil"/>
            </w:tcBorders>
            <w:shd w:val="clear" w:color="auto" w:fill="DBE5F1" w:themeFill="accent1" w:themeFillTint="33"/>
            <w:tcMar>
              <w:top w:w="0" w:type="dxa"/>
              <w:left w:w="28" w:type="dxa"/>
              <w:bottom w:w="0" w:type="dxa"/>
              <w:right w:w="28" w:type="dxa"/>
            </w:tcMar>
            <w:vAlign w:val="center"/>
            <w:hideMark/>
          </w:tcPr>
          <w:p w:rsidRPr="00623AD4" w:rsidR="00623AD4" w:rsidP="0034746A" w:rsidRDefault="00623AD4" w14:paraId="120489D4" w14:textId="77777777">
            <w:pPr>
              <w:spacing w:after="200"/>
              <w:jc w:val="center"/>
              <w:rPr>
                <w:rFonts w:ascii="Arial" w:hAnsi="Arial" w:eastAsia="Calibri" w:cs="Arial"/>
                <w:color w:val="000000" w:themeColor="text1"/>
                <w:sz w:val="20"/>
                <w:lang w:val="es-HN" w:eastAsia="es-US"/>
              </w:rPr>
            </w:pPr>
            <w:r w:rsidRPr="00623AD4">
              <w:rPr>
                <w:rFonts w:ascii="Arial" w:hAnsi="Arial" w:eastAsia="Calibri" w:cs="Arial"/>
                <w:b/>
                <w:bCs/>
                <w:color w:val="000000" w:themeColor="text1"/>
                <w:sz w:val="20"/>
                <w:lang w:val="es-HN" w:eastAsia="es-US"/>
              </w:rPr>
              <w:t>Municipio</w:t>
            </w:r>
          </w:p>
        </w:tc>
        <w:tc>
          <w:tcPr>
            <w:tcW w:w="1391" w:type="dxa"/>
            <w:tcBorders>
              <w:top w:val="single" w:color="4F81BD" w:sz="8" w:space="0"/>
              <w:left w:val="nil"/>
              <w:bottom w:val="nil"/>
              <w:right w:val="nil"/>
            </w:tcBorders>
            <w:shd w:val="clear" w:color="auto" w:fill="DBE5F1" w:themeFill="accent1" w:themeFillTint="33"/>
            <w:tcMar>
              <w:top w:w="0" w:type="dxa"/>
              <w:left w:w="28" w:type="dxa"/>
              <w:bottom w:w="0" w:type="dxa"/>
              <w:right w:w="28" w:type="dxa"/>
            </w:tcMar>
            <w:vAlign w:val="center"/>
            <w:hideMark/>
          </w:tcPr>
          <w:p w:rsidRPr="00623AD4" w:rsidR="00623AD4" w:rsidP="0034746A" w:rsidRDefault="00623AD4" w14:paraId="532832B3" w14:textId="77777777">
            <w:pPr>
              <w:spacing w:after="200"/>
              <w:jc w:val="center"/>
              <w:rPr>
                <w:rFonts w:ascii="Arial" w:hAnsi="Arial" w:eastAsia="Calibri" w:cs="Arial"/>
                <w:color w:val="000000" w:themeColor="text1"/>
                <w:sz w:val="20"/>
                <w:lang w:val="es-HN" w:eastAsia="es-US"/>
              </w:rPr>
            </w:pPr>
            <w:r w:rsidRPr="00623AD4">
              <w:rPr>
                <w:rFonts w:ascii="Arial" w:hAnsi="Arial" w:eastAsia="Calibri" w:cs="Arial"/>
                <w:b/>
                <w:bCs/>
                <w:color w:val="000000" w:themeColor="text1"/>
                <w:sz w:val="20"/>
                <w:lang w:val="es-HN" w:eastAsia="es-US"/>
              </w:rPr>
              <w:t># de viviendas</w:t>
            </w:r>
          </w:p>
        </w:tc>
        <w:tc>
          <w:tcPr>
            <w:tcW w:w="1505" w:type="dxa"/>
            <w:tcBorders>
              <w:top w:val="single" w:color="4F81BD" w:sz="8" w:space="0"/>
              <w:left w:val="nil"/>
              <w:bottom w:val="nil"/>
              <w:right w:val="single" w:color="4F81BD" w:sz="8" w:space="0"/>
            </w:tcBorders>
            <w:shd w:val="clear" w:color="auto" w:fill="DBE5F1" w:themeFill="accent1" w:themeFillTint="33"/>
            <w:tcMar>
              <w:top w:w="0" w:type="dxa"/>
              <w:left w:w="28" w:type="dxa"/>
              <w:bottom w:w="0" w:type="dxa"/>
              <w:right w:w="28" w:type="dxa"/>
            </w:tcMar>
            <w:vAlign w:val="center"/>
            <w:hideMark/>
          </w:tcPr>
          <w:p w:rsidRPr="00623AD4" w:rsidR="00623AD4" w:rsidP="0034746A" w:rsidRDefault="00623AD4" w14:paraId="482DEF11" w14:textId="0E606CB5">
            <w:pPr>
              <w:spacing w:after="200"/>
              <w:jc w:val="center"/>
              <w:rPr>
                <w:rFonts w:ascii="Arial" w:hAnsi="Arial" w:eastAsia="Calibri" w:cs="Arial"/>
                <w:color w:val="000000" w:themeColor="text1"/>
                <w:sz w:val="20"/>
                <w:lang w:val="es-HN" w:eastAsia="es-US"/>
              </w:rPr>
            </w:pPr>
            <w:r w:rsidRPr="00623AD4">
              <w:rPr>
                <w:rFonts w:ascii="Arial" w:hAnsi="Arial" w:eastAsia="Calibri" w:cs="Arial"/>
                <w:b/>
                <w:bCs/>
                <w:color w:val="000000" w:themeColor="text1"/>
                <w:sz w:val="20"/>
                <w:lang w:val="es-HN" w:eastAsia="es-US"/>
              </w:rPr>
              <w:t>Población beneficiada</w:t>
            </w:r>
          </w:p>
        </w:tc>
        <w:tc>
          <w:tcPr>
            <w:tcW w:w="1007" w:type="dxa"/>
            <w:tcBorders>
              <w:top w:val="single" w:color="4F81BD" w:sz="8" w:space="0"/>
              <w:left w:val="nil"/>
              <w:bottom w:val="nil"/>
              <w:right w:val="single" w:color="4F81BD" w:sz="8" w:space="0"/>
            </w:tcBorders>
            <w:shd w:val="clear" w:color="auto" w:fill="DBE5F1" w:themeFill="accent1" w:themeFillTint="33"/>
          </w:tcPr>
          <w:p w:rsidR="00623AD4" w:rsidP="00623AD4" w:rsidRDefault="00623AD4" w14:paraId="7F3576E5" w14:textId="77777777">
            <w:pPr>
              <w:jc w:val="center"/>
              <w:rPr>
                <w:rFonts w:ascii="Arial" w:hAnsi="Arial" w:eastAsia="Calibri" w:cs="Arial"/>
                <w:b/>
                <w:bCs/>
                <w:color w:val="000000" w:themeColor="text1"/>
                <w:sz w:val="20"/>
                <w:lang w:val="es-HN" w:eastAsia="es-US"/>
              </w:rPr>
            </w:pPr>
            <w:r w:rsidRPr="00623AD4">
              <w:rPr>
                <w:rFonts w:ascii="Arial" w:hAnsi="Arial" w:eastAsia="Calibri" w:cs="Arial"/>
                <w:b/>
                <w:bCs/>
                <w:color w:val="000000" w:themeColor="text1"/>
                <w:sz w:val="20"/>
                <w:lang w:val="es-HN" w:eastAsia="es-US"/>
              </w:rPr>
              <w:t>Costo por usuario</w:t>
            </w:r>
          </w:p>
          <w:p w:rsidRPr="00623AD4" w:rsidR="00623AD4" w:rsidP="00623AD4" w:rsidRDefault="00623AD4" w14:paraId="40023448" w14:textId="33B3D778">
            <w:pPr>
              <w:jc w:val="center"/>
              <w:rPr>
                <w:rFonts w:ascii="Arial" w:hAnsi="Arial" w:eastAsia="Calibri" w:cs="Arial"/>
                <w:b/>
                <w:bCs/>
                <w:color w:val="000000" w:themeColor="text1"/>
                <w:sz w:val="20"/>
                <w:lang w:val="es-HN" w:eastAsia="es-US"/>
              </w:rPr>
            </w:pPr>
            <w:r>
              <w:rPr>
                <w:rFonts w:ascii="Arial" w:hAnsi="Arial" w:eastAsia="Calibri" w:cs="Arial"/>
                <w:b/>
                <w:bCs/>
                <w:color w:val="000000" w:themeColor="text1"/>
                <w:sz w:val="20"/>
                <w:lang w:val="es-HN" w:eastAsia="es-US"/>
              </w:rPr>
              <w:t>(US$)</w:t>
            </w:r>
          </w:p>
        </w:tc>
      </w:tr>
      <w:tr w:rsidRPr="00B80216" w:rsidR="00623AD4" w:rsidTr="00623AD4" w14:paraId="4B65D5E4" w14:textId="1566DE21">
        <w:trPr>
          <w:trHeight w:val="367"/>
        </w:trPr>
        <w:tc>
          <w:tcPr>
            <w:tcW w:w="1792" w:type="dxa"/>
            <w:tcBorders>
              <w:top w:val="single" w:color="4F81BD" w:sz="8" w:space="0"/>
              <w:left w:val="single" w:color="4F81BD" w:sz="8" w:space="0"/>
              <w:bottom w:val="single" w:color="4F81BD" w:sz="8" w:space="0"/>
              <w:right w:val="nil"/>
            </w:tcBorders>
            <w:tcMar>
              <w:top w:w="0" w:type="dxa"/>
              <w:left w:w="28" w:type="dxa"/>
              <w:bottom w:w="0" w:type="dxa"/>
              <w:right w:w="28" w:type="dxa"/>
            </w:tcMar>
            <w:vAlign w:val="center"/>
            <w:hideMark/>
          </w:tcPr>
          <w:p w:rsidRPr="00623AD4" w:rsidR="00623AD4" w:rsidP="0034746A" w:rsidRDefault="00623AD4" w14:paraId="21EDC1DD" w14:textId="77777777">
            <w:pPr>
              <w:spacing w:before="100" w:beforeAutospacing="1" w:after="100" w:afterAutospacing="1"/>
              <w:jc w:val="center"/>
              <w:rPr>
                <w:rFonts w:ascii="Arial" w:hAnsi="Arial" w:eastAsia="Calibri" w:cs="Arial"/>
                <w:b/>
                <w:bCs/>
                <w:sz w:val="20"/>
                <w:lang w:val="es-HN" w:eastAsia="es-US"/>
              </w:rPr>
            </w:pPr>
            <w:r w:rsidRPr="00623AD4">
              <w:rPr>
                <w:rFonts w:ascii="Arial" w:hAnsi="Arial" w:eastAsia="Calibri" w:cs="Arial"/>
                <w:b/>
                <w:bCs/>
                <w:sz w:val="20"/>
                <w:lang w:val="es-HN" w:eastAsia="es-US"/>
              </w:rPr>
              <w:t>Islas de la Bahía</w:t>
            </w:r>
          </w:p>
        </w:tc>
        <w:tc>
          <w:tcPr>
            <w:tcW w:w="1785" w:type="dxa"/>
            <w:tcBorders>
              <w:top w:val="single" w:color="4F81BD" w:sz="8" w:space="0"/>
              <w:left w:val="nil"/>
              <w:bottom w:val="single" w:color="4F81BD" w:sz="8" w:space="0"/>
              <w:right w:val="nil"/>
            </w:tcBorders>
            <w:tcMar>
              <w:top w:w="0" w:type="dxa"/>
              <w:left w:w="28" w:type="dxa"/>
              <w:bottom w:w="0" w:type="dxa"/>
              <w:right w:w="28" w:type="dxa"/>
            </w:tcMar>
            <w:vAlign w:val="center"/>
            <w:hideMark/>
          </w:tcPr>
          <w:p w:rsidRPr="00623AD4" w:rsidR="00623AD4" w:rsidP="0034746A" w:rsidRDefault="00623AD4" w14:paraId="39330F6E" w14:textId="77777777">
            <w:pPr>
              <w:spacing w:before="100" w:beforeAutospacing="1" w:after="100" w:afterAutospacing="1"/>
              <w:jc w:val="center"/>
              <w:rPr>
                <w:rFonts w:ascii="Arial" w:hAnsi="Arial" w:eastAsia="Calibri" w:cs="Arial"/>
                <w:sz w:val="20"/>
                <w:lang w:val="es-HN" w:eastAsia="es-US"/>
              </w:rPr>
            </w:pPr>
            <w:r w:rsidRPr="00623AD4">
              <w:rPr>
                <w:rFonts w:ascii="Arial" w:hAnsi="Arial" w:eastAsia="Calibri" w:cs="Arial"/>
                <w:sz w:val="20"/>
                <w:lang w:val="es-HN" w:eastAsia="es-US"/>
              </w:rPr>
              <w:t>Guanaja</w:t>
            </w:r>
          </w:p>
        </w:tc>
        <w:tc>
          <w:tcPr>
            <w:tcW w:w="1391" w:type="dxa"/>
            <w:tcBorders>
              <w:top w:val="single" w:color="4F81BD" w:sz="8" w:space="0"/>
              <w:left w:val="nil"/>
              <w:bottom w:val="single" w:color="4F81BD" w:sz="8" w:space="0"/>
              <w:right w:val="nil"/>
            </w:tcBorders>
            <w:tcMar>
              <w:top w:w="0" w:type="dxa"/>
              <w:left w:w="28" w:type="dxa"/>
              <w:bottom w:w="0" w:type="dxa"/>
              <w:right w:w="28" w:type="dxa"/>
            </w:tcMar>
            <w:vAlign w:val="center"/>
            <w:hideMark/>
          </w:tcPr>
          <w:p w:rsidRPr="00623AD4" w:rsidR="00623AD4" w:rsidP="0034746A" w:rsidRDefault="00623AD4" w14:paraId="76E3C81F" w14:textId="5173E888">
            <w:pPr>
              <w:spacing w:before="100" w:beforeAutospacing="1" w:after="100" w:afterAutospacing="1"/>
              <w:ind w:left="-834" w:right="612" w:firstLine="66"/>
              <w:jc w:val="right"/>
              <w:rPr>
                <w:rFonts w:ascii="Arial" w:hAnsi="Arial" w:eastAsia="Calibri" w:cs="Arial"/>
                <w:sz w:val="20"/>
                <w:lang w:val="es-HN" w:eastAsia="es-US"/>
              </w:rPr>
            </w:pPr>
            <w:r w:rsidRPr="00623AD4">
              <w:rPr>
                <w:rFonts w:ascii="Arial" w:hAnsi="Arial" w:eastAsia="Calibri" w:cs="Arial"/>
                <w:sz w:val="20"/>
                <w:lang w:val="es-HN" w:eastAsia="es-US"/>
              </w:rPr>
              <w:t>1.195</w:t>
            </w:r>
          </w:p>
        </w:tc>
        <w:tc>
          <w:tcPr>
            <w:tcW w:w="1505" w:type="dxa"/>
            <w:tcBorders>
              <w:top w:val="single" w:color="4F81BD" w:sz="8" w:space="0"/>
              <w:left w:val="nil"/>
              <w:bottom w:val="single" w:color="4F81BD" w:sz="8" w:space="0"/>
              <w:right w:val="single" w:color="4F81BD" w:sz="8" w:space="0"/>
            </w:tcBorders>
            <w:tcMar>
              <w:top w:w="0" w:type="dxa"/>
              <w:left w:w="28" w:type="dxa"/>
              <w:bottom w:w="0" w:type="dxa"/>
              <w:right w:w="28" w:type="dxa"/>
            </w:tcMar>
            <w:vAlign w:val="center"/>
            <w:hideMark/>
          </w:tcPr>
          <w:p w:rsidRPr="00623AD4" w:rsidR="00623AD4" w:rsidP="0034746A" w:rsidRDefault="00623AD4" w14:paraId="1B815350" w14:textId="06A32526">
            <w:pPr>
              <w:spacing w:before="100" w:beforeAutospacing="1" w:after="100" w:afterAutospacing="1"/>
              <w:ind w:left="-294" w:right="612" w:hanging="474"/>
              <w:jc w:val="right"/>
              <w:rPr>
                <w:rFonts w:ascii="Arial" w:hAnsi="Arial" w:eastAsia="Calibri" w:cs="Arial"/>
                <w:sz w:val="20"/>
                <w:lang w:val="es-HN" w:eastAsia="es-US"/>
              </w:rPr>
            </w:pPr>
            <w:r w:rsidRPr="00623AD4">
              <w:rPr>
                <w:rFonts w:ascii="Arial" w:hAnsi="Arial" w:eastAsia="Calibri" w:cs="Arial"/>
                <w:sz w:val="20"/>
                <w:lang w:val="es-HN" w:eastAsia="es-US"/>
              </w:rPr>
              <w:t>4.398</w:t>
            </w:r>
          </w:p>
        </w:tc>
        <w:tc>
          <w:tcPr>
            <w:tcW w:w="1007" w:type="dxa"/>
            <w:tcBorders>
              <w:top w:val="single" w:color="4F81BD" w:sz="8" w:space="0"/>
              <w:left w:val="nil"/>
              <w:bottom w:val="single" w:color="4F81BD" w:sz="8" w:space="0"/>
              <w:right w:val="single" w:color="4F81BD" w:sz="8" w:space="0"/>
            </w:tcBorders>
          </w:tcPr>
          <w:p w:rsidRPr="00623AD4" w:rsidR="00623AD4" w:rsidP="00623AD4" w:rsidRDefault="00623AD4" w14:paraId="26645D26" w14:textId="53ECDDEA">
            <w:pPr>
              <w:spacing w:before="100" w:beforeAutospacing="1" w:after="100" w:afterAutospacing="1"/>
              <w:ind w:left="-294" w:right="170" w:hanging="474"/>
              <w:jc w:val="right"/>
              <w:rPr>
                <w:rFonts w:ascii="Arial" w:hAnsi="Arial" w:eastAsia="Calibri" w:cs="Arial"/>
                <w:sz w:val="20"/>
                <w:lang w:val="es-HN" w:eastAsia="es-US"/>
              </w:rPr>
            </w:pPr>
            <w:r w:rsidRPr="00623AD4">
              <w:rPr>
                <w:rFonts w:ascii="Arial" w:hAnsi="Arial" w:eastAsia="Calibri" w:cs="Arial"/>
                <w:sz w:val="20"/>
                <w:lang w:val="es-HN" w:eastAsia="es-US"/>
              </w:rPr>
              <w:t>2</w:t>
            </w:r>
            <w:r>
              <w:rPr>
                <w:rFonts w:ascii="Arial" w:hAnsi="Arial" w:eastAsia="Calibri" w:cs="Arial"/>
                <w:sz w:val="20"/>
                <w:lang w:val="es-HN" w:eastAsia="es-US"/>
              </w:rPr>
              <w:t>.</w:t>
            </w:r>
            <w:r w:rsidR="009F2AE1">
              <w:rPr>
                <w:rFonts w:ascii="Arial" w:hAnsi="Arial" w:eastAsia="Calibri" w:cs="Arial"/>
                <w:sz w:val="20"/>
                <w:lang w:val="es-HN" w:eastAsia="es-US"/>
              </w:rPr>
              <w:t>301</w:t>
            </w:r>
          </w:p>
        </w:tc>
      </w:tr>
      <w:tr w:rsidRPr="00B80216" w:rsidR="00623AD4" w:rsidTr="00623AD4" w14:paraId="45F017D2" w14:textId="42869CDA">
        <w:trPr>
          <w:trHeight w:val="340"/>
        </w:trPr>
        <w:tc>
          <w:tcPr>
            <w:tcW w:w="1792" w:type="dxa"/>
            <w:tcBorders>
              <w:top w:val="nil"/>
              <w:left w:val="single" w:color="4F81BD" w:sz="8" w:space="0"/>
              <w:bottom w:val="nil"/>
              <w:right w:val="nil"/>
            </w:tcBorders>
            <w:tcMar>
              <w:top w:w="0" w:type="dxa"/>
              <w:left w:w="28" w:type="dxa"/>
              <w:bottom w:w="0" w:type="dxa"/>
              <w:right w:w="28" w:type="dxa"/>
            </w:tcMar>
            <w:vAlign w:val="center"/>
            <w:hideMark/>
          </w:tcPr>
          <w:p w:rsidRPr="00623AD4" w:rsidR="00623AD4" w:rsidP="0034746A" w:rsidRDefault="00623AD4" w14:paraId="1CCB5DA7" w14:textId="77777777">
            <w:pPr>
              <w:spacing w:before="100" w:beforeAutospacing="1" w:after="100" w:afterAutospacing="1"/>
              <w:jc w:val="center"/>
              <w:rPr>
                <w:rFonts w:ascii="Arial" w:hAnsi="Arial" w:eastAsia="Calibri" w:cs="Arial"/>
                <w:b/>
                <w:bCs/>
                <w:sz w:val="20"/>
                <w:lang w:val="es-HN" w:eastAsia="es-US"/>
              </w:rPr>
            </w:pPr>
            <w:r w:rsidRPr="00623AD4">
              <w:rPr>
                <w:rFonts w:ascii="Arial" w:hAnsi="Arial" w:eastAsia="Calibri" w:cs="Arial"/>
                <w:b/>
                <w:bCs/>
                <w:sz w:val="20"/>
                <w:lang w:val="es-HN" w:eastAsia="es-US"/>
              </w:rPr>
              <w:t>Gracias a Dios</w:t>
            </w:r>
          </w:p>
        </w:tc>
        <w:tc>
          <w:tcPr>
            <w:tcW w:w="1785" w:type="dxa"/>
            <w:tcMar>
              <w:top w:w="0" w:type="dxa"/>
              <w:left w:w="28" w:type="dxa"/>
              <w:bottom w:w="0" w:type="dxa"/>
              <w:right w:w="28" w:type="dxa"/>
            </w:tcMar>
            <w:vAlign w:val="center"/>
            <w:hideMark/>
          </w:tcPr>
          <w:p w:rsidRPr="00623AD4" w:rsidR="00623AD4" w:rsidP="0034746A" w:rsidRDefault="00623AD4" w14:paraId="40D490A2" w14:textId="77777777">
            <w:pPr>
              <w:spacing w:before="100" w:beforeAutospacing="1" w:after="100" w:afterAutospacing="1"/>
              <w:jc w:val="center"/>
              <w:rPr>
                <w:rFonts w:ascii="Arial" w:hAnsi="Arial" w:eastAsia="Calibri" w:cs="Arial"/>
                <w:sz w:val="20"/>
                <w:lang w:val="es-HN" w:eastAsia="es-US"/>
              </w:rPr>
            </w:pPr>
            <w:r w:rsidRPr="00623AD4">
              <w:rPr>
                <w:rFonts w:ascii="Arial" w:hAnsi="Arial" w:eastAsia="Calibri" w:cs="Arial"/>
                <w:sz w:val="20"/>
                <w:lang w:val="es-HN" w:eastAsia="es-US"/>
              </w:rPr>
              <w:t>Brus Laguna</w:t>
            </w:r>
          </w:p>
        </w:tc>
        <w:tc>
          <w:tcPr>
            <w:tcW w:w="1391" w:type="dxa"/>
            <w:tcMar>
              <w:top w:w="0" w:type="dxa"/>
              <w:left w:w="28" w:type="dxa"/>
              <w:bottom w:w="0" w:type="dxa"/>
              <w:right w:w="28" w:type="dxa"/>
            </w:tcMar>
            <w:vAlign w:val="center"/>
            <w:hideMark/>
          </w:tcPr>
          <w:p w:rsidRPr="00623AD4" w:rsidR="00623AD4" w:rsidP="0034746A" w:rsidRDefault="00623AD4" w14:paraId="35BD5CD6" w14:textId="18DEC290">
            <w:pPr>
              <w:spacing w:before="100" w:beforeAutospacing="1" w:after="100" w:afterAutospacing="1"/>
              <w:ind w:left="-834" w:right="612" w:firstLine="66"/>
              <w:jc w:val="right"/>
              <w:rPr>
                <w:rFonts w:ascii="Arial" w:hAnsi="Arial" w:eastAsia="Calibri" w:cs="Arial"/>
                <w:sz w:val="20"/>
                <w:lang w:val="es-HN" w:eastAsia="es-US"/>
              </w:rPr>
            </w:pPr>
            <w:r w:rsidRPr="00623AD4">
              <w:rPr>
                <w:rFonts w:ascii="Arial" w:hAnsi="Arial" w:eastAsia="Calibri" w:cs="Arial"/>
                <w:sz w:val="20"/>
                <w:lang w:val="es-HN" w:eastAsia="es-US"/>
              </w:rPr>
              <w:t>2.270</w:t>
            </w:r>
          </w:p>
        </w:tc>
        <w:tc>
          <w:tcPr>
            <w:tcW w:w="1505" w:type="dxa"/>
            <w:tcBorders>
              <w:top w:val="nil"/>
              <w:left w:val="nil"/>
              <w:bottom w:val="nil"/>
              <w:right w:val="single" w:color="4F81BD" w:sz="8" w:space="0"/>
            </w:tcBorders>
            <w:tcMar>
              <w:top w:w="0" w:type="dxa"/>
              <w:left w:w="28" w:type="dxa"/>
              <w:bottom w:w="0" w:type="dxa"/>
              <w:right w:w="28" w:type="dxa"/>
            </w:tcMar>
            <w:vAlign w:val="center"/>
            <w:hideMark/>
          </w:tcPr>
          <w:p w:rsidRPr="00623AD4" w:rsidR="00623AD4" w:rsidP="0034746A" w:rsidRDefault="00623AD4" w14:paraId="3C9F4A3F" w14:textId="1C46791D">
            <w:pPr>
              <w:spacing w:before="100" w:beforeAutospacing="1" w:after="100" w:afterAutospacing="1"/>
              <w:ind w:left="-294" w:right="612" w:hanging="474"/>
              <w:jc w:val="right"/>
              <w:rPr>
                <w:rFonts w:ascii="Arial" w:hAnsi="Arial" w:eastAsia="Calibri" w:cs="Arial"/>
                <w:sz w:val="20"/>
                <w:lang w:val="es-HN" w:eastAsia="es-US"/>
              </w:rPr>
            </w:pPr>
            <w:r w:rsidRPr="00623AD4">
              <w:rPr>
                <w:rFonts w:ascii="Arial" w:hAnsi="Arial" w:eastAsia="Calibri" w:cs="Arial"/>
                <w:sz w:val="20"/>
                <w:lang w:val="es-HN" w:eastAsia="es-US"/>
              </w:rPr>
              <w:t>12.719</w:t>
            </w:r>
          </w:p>
        </w:tc>
        <w:tc>
          <w:tcPr>
            <w:tcW w:w="1007" w:type="dxa"/>
            <w:tcBorders>
              <w:top w:val="nil"/>
              <w:left w:val="nil"/>
              <w:bottom w:val="nil"/>
              <w:right w:val="single" w:color="4F81BD" w:sz="8" w:space="0"/>
            </w:tcBorders>
          </w:tcPr>
          <w:p w:rsidRPr="00623AD4" w:rsidR="00623AD4" w:rsidP="00623AD4" w:rsidRDefault="00623AD4" w14:paraId="413C36CE" w14:textId="410A3426">
            <w:pPr>
              <w:spacing w:before="100" w:beforeAutospacing="1" w:after="100" w:afterAutospacing="1"/>
              <w:ind w:left="-294" w:right="170" w:hanging="474"/>
              <w:jc w:val="right"/>
              <w:rPr>
                <w:rFonts w:ascii="Arial" w:hAnsi="Arial" w:eastAsia="Calibri" w:cs="Arial"/>
                <w:sz w:val="20"/>
                <w:lang w:val="es-HN" w:eastAsia="es-US"/>
              </w:rPr>
            </w:pPr>
            <w:r w:rsidRPr="00623AD4">
              <w:rPr>
                <w:rFonts w:ascii="Arial" w:hAnsi="Arial" w:eastAsia="Calibri" w:cs="Arial"/>
                <w:sz w:val="20"/>
                <w:lang w:val="es-HN" w:eastAsia="es-US"/>
              </w:rPr>
              <w:t>1</w:t>
            </w:r>
            <w:r>
              <w:rPr>
                <w:rFonts w:ascii="Arial" w:hAnsi="Arial" w:eastAsia="Calibri" w:cs="Arial"/>
                <w:sz w:val="20"/>
                <w:lang w:val="es-HN" w:eastAsia="es-US"/>
              </w:rPr>
              <w:t>.</w:t>
            </w:r>
            <w:r w:rsidR="0041367D">
              <w:rPr>
                <w:rFonts w:ascii="Arial" w:hAnsi="Arial" w:eastAsia="Calibri" w:cs="Arial"/>
                <w:sz w:val="20"/>
                <w:lang w:val="es-HN" w:eastAsia="es-US"/>
              </w:rPr>
              <w:t>123</w:t>
            </w:r>
          </w:p>
        </w:tc>
      </w:tr>
      <w:tr w:rsidRPr="00B80216" w:rsidR="00623AD4" w:rsidTr="00A61980" w14:paraId="36870A4E" w14:textId="77085863">
        <w:trPr>
          <w:trHeight w:val="511"/>
        </w:trPr>
        <w:tc>
          <w:tcPr>
            <w:tcW w:w="1792" w:type="dxa"/>
            <w:tcBorders>
              <w:top w:val="single" w:color="4F81BD" w:sz="8" w:space="0"/>
              <w:left w:val="single" w:color="4F81BD" w:sz="8" w:space="0"/>
              <w:bottom w:val="single" w:color="4F81BD" w:sz="8" w:space="0"/>
              <w:right w:val="nil"/>
            </w:tcBorders>
            <w:tcMar>
              <w:top w:w="0" w:type="dxa"/>
              <w:left w:w="28" w:type="dxa"/>
              <w:bottom w:w="0" w:type="dxa"/>
              <w:right w:w="28" w:type="dxa"/>
            </w:tcMar>
            <w:vAlign w:val="center"/>
            <w:hideMark/>
          </w:tcPr>
          <w:p w:rsidRPr="00623AD4" w:rsidR="00623AD4" w:rsidP="0034746A" w:rsidRDefault="00623AD4" w14:paraId="26CEB153" w14:textId="77777777">
            <w:pPr>
              <w:spacing w:before="100" w:beforeAutospacing="1" w:after="100" w:afterAutospacing="1"/>
              <w:jc w:val="center"/>
              <w:rPr>
                <w:rFonts w:ascii="Arial" w:hAnsi="Arial" w:eastAsia="Calibri" w:cs="Arial"/>
                <w:b/>
                <w:bCs/>
                <w:sz w:val="20"/>
                <w:lang w:val="es-HN" w:eastAsia="es-US"/>
              </w:rPr>
            </w:pPr>
            <w:r w:rsidRPr="00623AD4">
              <w:rPr>
                <w:rFonts w:ascii="Arial" w:hAnsi="Arial" w:eastAsia="Calibri" w:cs="Arial"/>
                <w:b/>
                <w:bCs/>
                <w:sz w:val="20"/>
                <w:lang w:val="es-HN" w:eastAsia="es-US"/>
              </w:rPr>
              <w:t>Choluteca</w:t>
            </w:r>
          </w:p>
        </w:tc>
        <w:tc>
          <w:tcPr>
            <w:tcW w:w="1785" w:type="dxa"/>
            <w:tcBorders>
              <w:top w:val="single" w:color="4F81BD" w:sz="8" w:space="0"/>
              <w:left w:val="nil"/>
              <w:bottom w:val="single" w:color="4F81BD" w:sz="8" w:space="0"/>
              <w:right w:val="nil"/>
            </w:tcBorders>
            <w:tcMar>
              <w:top w:w="0" w:type="dxa"/>
              <w:left w:w="28" w:type="dxa"/>
              <w:bottom w:w="0" w:type="dxa"/>
              <w:right w:w="28" w:type="dxa"/>
            </w:tcMar>
            <w:vAlign w:val="center"/>
            <w:hideMark/>
          </w:tcPr>
          <w:p w:rsidRPr="00623AD4" w:rsidR="00623AD4" w:rsidP="00580978" w:rsidRDefault="00623AD4" w14:paraId="57D45C5F" w14:textId="77777777">
            <w:pPr>
              <w:snapToGrid w:val="0"/>
              <w:jc w:val="center"/>
              <w:rPr>
                <w:rFonts w:ascii="Arial" w:hAnsi="Arial" w:eastAsia="Calibri" w:cs="Arial"/>
                <w:sz w:val="20"/>
                <w:lang w:val="es-HN" w:eastAsia="es-US"/>
              </w:rPr>
            </w:pPr>
            <w:r w:rsidRPr="00623AD4">
              <w:rPr>
                <w:rFonts w:ascii="Arial" w:hAnsi="Arial" w:eastAsia="Calibri" w:cs="Arial"/>
                <w:sz w:val="20"/>
                <w:lang w:val="es-HN" w:eastAsia="es-US"/>
              </w:rPr>
              <w:t xml:space="preserve">Concepción </w:t>
            </w:r>
          </w:p>
          <w:p w:rsidRPr="00623AD4" w:rsidR="00623AD4" w:rsidP="00580978" w:rsidRDefault="00623AD4" w14:paraId="6275956B" w14:textId="4BAD70FC">
            <w:pPr>
              <w:snapToGrid w:val="0"/>
              <w:jc w:val="center"/>
              <w:rPr>
                <w:rFonts w:ascii="Arial" w:hAnsi="Arial" w:eastAsia="Calibri" w:cs="Arial"/>
                <w:sz w:val="20"/>
                <w:lang w:val="es-HN" w:eastAsia="es-US"/>
              </w:rPr>
            </w:pPr>
            <w:r w:rsidRPr="00623AD4">
              <w:rPr>
                <w:rFonts w:ascii="Arial" w:hAnsi="Arial" w:eastAsia="Calibri" w:cs="Arial"/>
                <w:sz w:val="20"/>
                <w:lang w:val="es-HN" w:eastAsia="es-US"/>
              </w:rPr>
              <w:t>de María</w:t>
            </w:r>
          </w:p>
        </w:tc>
        <w:tc>
          <w:tcPr>
            <w:tcW w:w="1391" w:type="dxa"/>
            <w:tcBorders>
              <w:top w:val="single" w:color="4F81BD" w:sz="8" w:space="0"/>
              <w:left w:val="nil"/>
              <w:bottom w:val="single" w:color="4F81BD" w:sz="8" w:space="0"/>
              <w:right w:val="nil"/>
            </w:tcBorders>
            <w:tcMar>
              <w:top w:w="0" w:type="dxa"/>
              <w:left w:w="28" w:type="dxa"/>
              <w:bottom w:w="0" w:type="dxa"/>
              <w:right w:w="28" w:type="dxa"/>
            </w:tcMar>
            <w:vAlign w:val="center"/>
            <w:hideMark/>
          </w:tcPr>
          <w:p w:rsidRPr="00623AD4" w:rsidR="00623AD4" w:rsidP="0034746A" w:rsidRDefault="00DE4558" w14:paraId="53F202A9" w14:textId="6F7EE3C3">
            <w:pPr>
              <w:spacing w:before="100" w:beforeAutospacing="1" w:after="100" w:afterAutospacing="1"/>
              <w:ind w:left="-834" w:right="612" w:firstLine="66"/>
              <w:jc w:val="right"/>
              <w:rPr>
                <w:rFonts w:ascii="Arial" w:hAnsi="Arial" w:eastAsia="Calibri" w:cs="Arial"/>
                <w:sz w:val="20"/>
                <w:lang w:val="es-HN" w:eastAsia="es-US"/>
              </w:rPr>
            </w:pPr>
            <w:r>
              <w:rPr>
                <w:rFonts w:ascii="Arial" w:hAnsi="Arial" w:eastAsia="Calibri" w:cs="Arial"/>
                <w:sz w:val="20"/>
                <w:lang w:val="es-HN" w:eastAsia="es-US"/>
              </w:rPr>
              <w:t>350</w:t>
            </w:r>
          </w:p>
        </w:tc>
        <w:tc>
          <w:tcPr>
            <w:tcW w:w="1505" w:type="dxa"/>
            <w:tcBorders>
              <w:top w:val="single" w:color="4F81BD" w:sz="8" w:space="0"/>
              <w:left w:val="nil"/>
              <w:bottom w:val="single" w:color="4F81BD" w:sz="8" w:space="0"/>
              <w:right w:val="single" w:color="4F81BD" w:sz="8" w:space="0"/>
            </w:tcBorders>
            <w:tcMar>
              <w:top w:w="0" w:type="dxa"/>
              <w:left w:w="28" w:type="dxa"/>
              <w:bottom w:w="0" w:type="dxa"/>
              <w:right w:w="28" w:type="dxa"/>
            </w:tcMar>
            <w:vAlign w:val="center"/>
            <w:hideMark/>
          </w:tcPr>
          <w:p w:rsidRPr="00623AD4" w:rsidR="00623AD4" w:rsidP="0034746A" w:rsidRDefault="00623AD4" w14:paraId="065CF09A" w14:textId="753015F6">
            <w:pPr>
              <w:spacing w:before="100" w:beforeAutospacing="1" w:after="100" w:afterAutospacing="1"/>
              <w:ind w:left="-294" w:right="612" w:hanging="474"/>
              <w:jc w:val="right"/>
              <w:rPr>
                <w:rFonts w:ascii="Arial" w:hAnsi="Arial" w:eastAsia="Calibri" w:cs="Arial"/>
                <w:sz w:val="20"/>
                <w:lang w:val="es-HN" w:eastAsia="es-US"/>
              </w:rPr>
            </w:pPr>
            <w:r w:rsidRPr="00623AD4">
              <w:rPr>
                <w:rFonts w:ascii="Arial" w:hAnsi="Arial" w:eastAsia="Calibri" w:cs="Arial"/>
                <w:sz w:val="20"/>
                <w:lang w:val="es-HN" w:eastAsia="es-US"/>
              </w:rPr>
              <w:t>2.000</w:t>
            </w:r>
          </w:p>
        </w:tc>
        <w:tc>
          <w:tcPr>
            <w:tcW w:w="1007" w:type="dxa"/>
            <w:tcBorders>
              <w:top w:val="single" w:color="4F81BD" w:sz="8" w:space="0"/>
              <w:left w:val="nil"/>
              <w:bottom w:val="single" w:color="4F81BD" w:sz="8" w:space="0"/>
              <w:right w:val="single" w:color="4F81BD" w:sz="8" w:space="0"/>
            </w:tcBorders>
            <w:shd w:val="clear" w:color="auto" w:fill="auto"/>
          </w:tcPr>
          <w:p w:rsidRPr="00A61980" w:rsidR="00623AD4" w:rsidP="00623AD4" w:rsidRDefault="00CA5EE7" w14:paraId="1633BD89" w14:textId="368716D3">
            <w:pPr>
              <w:spacing w:before="100" w:beforeAutospacing="1" w:after="100" w:afterAutospacing="1"/>
              <w:ind w:left="-294" w:right="170" w:hanging="474"/>
              <w:jc w:val="right"/>
              <w:rPr>
                <w:rFonts w:ascii="Arial" w:hAnsi="Arial" w:eastAsia="Calibri" w:cs="Arial"/>
                <w:sz w:val="20"/>
                <w:lang w:val="es-HN" w:eastAsia="es-US"/>
              </w:rPr>
            </w:pPr>
            <w:r w:rsidRPr="00A61980">
              <w:rPr>
                <w:rFonts w:ascii="Arial" w:hAnsi="Arial" w:eastAsia="Calibri" w:cs="Arial"/>
                <w:sz w:val="20"/>
                <w:lang w:val="es-HN" w:eastAsia="es-US"/>
              </w:rPr>
              <w:t>650</w:t>
            </w:r>
          </w:p>
        </w:tc>
      </w:tr>
      <w:tr w:rsidRPr="00B80216" w:rsidR="00623AD4" w:rsidTr="00A61980" w14:paraId="405A9A4E" w14:textId="41CBB751">
        <w:trPr>
          <w:trHeight w:val="448"/>
        </w:trPr>
        <w:tc>
          <w:tcPr>
            <w:tcW w:w="1792" w:type="dxa"/>
            <w:tcBorders>
              <w:top w:val="single" w:color="4F81BD" w:sz="8" w:space="0"/>
              <w:left w:val="single" w:color="4F81BD" w:sz="8" w:space="0"/>
              <w:bottom w:val="single" w:color="4F81BD" w:sz="8" w:space="0"/>
              <w:right w:val="nil"/>
            </w:tcBorders>
            <w:tcMar>
              <w:top w:w="0" w:type="dxa"/>
              <w:left w:w="28" w:type="dxa"/>
              <w:bottom w:w="0" w:type="dxa"/>
              <w:right w:w="28" w:type="dxa"/>
            </w:tcMar>
            <w:vAlign w:val="center"/>
          </w:tcPr>
          <w:p w:rsidRPr="00623AD4" w:rsidR="00623AD4" w:rsidP="0034746A" w:rsidRDefault="00623AD4" w14:paraId="75A31B50" w14:textId="77777777">
            <w:pPr>
              <w:spacing w:before="100" w:beforeAutospacing="1" w:after="100" w:afterAutospacing="1"/>
              <w:jc w:val="center"/>
              <w:rPr>
                <w:rFonts w:ascii="Arial" w:hAnsi="Arial" w:eastAsia="Calibri" w:cs="Arial"/>
                <w:b/>
                <w:bCs/>
                <w:sz w:val="20"/>
                <w:lang w:val="es-HN" w:eastAsia="es-US"/>
              </w:rPr>
            </w:pPr>
            <w:r w:rsidRPr="00623AD4">
              <w:rPr>
                <w:rFonts w:ascii="Arial" w:hAnsi="Arial" w:eastAsia="Calibri" w:cs="Arial"/>
                <w:b/>
                <w:bCs/>
                <w:sz w:val="20"/>
                <w:lang w:val="es-HN" w:eastAsia="es-US"/>
              </w:rPr>
              <w:t>Choluteca</w:t>
            </w:r>
          </w:p>
        </w:tc>
        <w:tc>
          <w:tcPr>
            <w:tcW w:w="1785" w:type="dxa"/>
            <w:tcBorders>
              <w:top w:val="single" w:color="4F81BD" w:sz="8" w:space="0"/>
              <w:left w:val="nil"/>
              <w:bottom w:val="single" w:color="4F81BD" w:sz="8" w:space="0"/>
              <w:right w:val="nil"/>
            </w:tcBorders>
            <w:tcMar>
              <w:top w:w="0" w:type="dxa"/>
              <w:left w:w="28" w:type="dxa"/>
              <w:bottom w:w="0" w:type="dxa"/>
              <w:right w:w="28" w:type="dxa"/>
            </w:tcMar>
            <w:vAlign w:val="center"/>
          </w:tcPr>
          <w:p w:rsidRPr="00623AD4" w:rsidR="00623AD4" w:rsidP="0034746A" w:rsidRDefault="00623AD4" w14:paraId="0D5BC91F" w14:textId="77777777">
            <w:pPr>
              <w:spacing w:before="100" w:beforeAutospacing="1" w:after="100" w:afterAutospacing="1"/>
              <w:jc w:val="center"/>
              <w:rPr>
                <w:rFonts w:ascii="Arial" w:hAnsi="Arial" w:eastAsia="Calibri" w:cs="Arial"/>
                <w:sz w:val="20"/>
                <w:lang w:val="es-HN" w:eastAsia="es-US"/>
              </w:rPr>
            </w:pPr>
            <w:r w:rsidRPr="00623AD4">
              <w:rPr>
                <w:rFonts w:ascii="Arial" w:hAnsi="Arial" w:eastAsia="Calibri" w:cs="Arial"/>
                <w:sz w:val="20"/>
                <w:lang w:val="es-HN" w:eastAsia="es-US"/>
              </w:rPr>
              <w:t>El Corpus</w:t>
            </w:r>
          </w:p>
        </w:tc>
        <w:tc>
          <w:tcPr>
            <w:tcW w:w="1391" w:type="dxa"/>
            <w:tcBorders>
              <w:top w:val="single" w:color="4F81BD" w:sz="8" w:space="0"/>
              <w:left w:val="nil"/>
              <w:bottom w:val="single" w:color="4F81BD" w:sz="8" w:space="0"/>
              <w:right w:val="nil"/>
            </w:tcBorders>
            <w:tcMar>
              <w:top w:w="0" w:type="dxa"/>
              <w:left w:w="28" w:type="dxa"/>
              <w:bottom w:w="0" w:type="dxa"/>
              <w:right w:w="28" w:type="dxa"/>
            </w:tcMar>
            <w:vAlign w:val="center"/>
          </w:tcPr>
          <w:p w:rsidRPr="00623AD4" w:rsidR="00623AD4" w:rsidP="0034746A" w:rsidRDefault="00623AD4" w14:paraId="153F63E2" w14:textId="71F4B5BC">
            <w:pPr>
              <w:spacing w:before="100" w:beforeAutospacing="1" w:after="100" w:afterAutospacing="1"/>
              <w:ind w:left="-834" w:right="612" w:firstLine="66"/>
              <w:jc w:val="right"/>
              <w:rPr>
                <w:rFonts w:ascii="Arial" w:hAnsi="Arial" w:eastAsia="Calibri" w:cs="Arial"/>
                <w:sz w:val="20"/>
                <w:lang w:val="es-HN" w:eastAsia="es-US"/>
              </w:rPr>
            </w:pPr>
            <w:r w:rsidRPr="00623AD4">
              <w:rPr>
                <w:rFonts w:ascii="Arial" w:hAnsi="Arial" w:eastAsia="Calibri" w:cs="Arial"/>
                <w:sz w:val="20"/>
                <w:lang w:val="es-HN" w:eastAsia="es-US"/>
              </w:rPr>
              <w:t>3</w:t>
            </w:r>
            <w:r w:rsidR="00DE4558">
              <w:rPr>
                <w:rFonts w:ascii="Arial" w:hAnsi="Arial" w:eastAsia="Calibri" w:cs="Arial"/>
                <w:sz w:val="20"/>
                <w:lang w:val="es-HN" w:eastAsia="es-US"/>
              </w:rPr>
              <w:t>0</w:t>
            </w:r>
            <w:r w:rsidRPr="00623AD4">
              <w:rPr>
                <w:rFonts w:ascii="Arial" w:hAnsi="Arial" w:eastAsia="Calibri" w:cs="Arial"/>
                <w:sz w:val="20"/>
                <w:lang w:val="es-HN" w:eastAsia="es-US"/>
              </w:rPr>
              <w:t>0</w:t>
            </w:r>
          </w:p>
        </w:tc>
        <w:tc>
          <w:tcPr>
            <w:tcW w:w="1505" w:type="dxa"/>
            <w:tcBorders>
              <w:top w:val="single" w:color="4F81BD" w:sz="8" w:space="0"/>
              <w:left w:val="nil"/>
              <w:bottom w:val="single" w:color="4F81BD" w:sz="8" w:space="0"/>
              <w:right w:val="single" w:color="4F81BD" w:sz="8" w:space="0"/>
            </w:tcBorders>
            <w:tcMar>
              <w:top w:w="0" w:type="dxa"/>
              <w:left w:w="28" w:type="dxa"/>
              <w:bottom w:w="0" w:type="dxa"/>
              <w:right w:w="28" w:type="dxa"/>
            </w:tcMar>
            <w:vAlign w:val="center"/>
          </w:tcPr>
          <w:p w:rsidRPr="00623AD4" w:rsidR="00623AD4" w:rsidP="0034746A" w:rsidRDefault="00623AD4" w14:paraId="3BE7A2BA" w14:textId="4FB6BAB3">
            <w:pPr>
              <w:spacing w:before="100" w:beforeAutospacing="1" w:after="100" w:afterAutospacing="1"/>
              <w:ind w:left="-294" w:right="612" w:hanging="474"/>
              <w:jc w:val="right"/>
              <w:rPr>
                <w:rFonts w:ascii="Arial" w:hAnsi="Arial" w:eastAsia="Calibri" w:cs="Arial"/>
                <w:sz w:val="20"/>
                <w:lang w:val="es-HN" w:eastAsia="es-US"/>
              </w:rPr>
            </w:pPr>
            <w:r w:rsidRPr="00623AD4">
              <w:rPr>
                <w:rFonts w:ascii="Arial" w:hAnsi="Arial" w:eastAsia="Calibri" w:cs="Arial"/>
                <w:sz w:val="20"/>
                <w:lang w:val="es-HN" w:eastAsia="es-US"/>
              </w:rPr>
              <w:t>1.750</w:t>
            </w:r>
          </w:p>
        </w:tc>
        <w:tc>
          <w:tcPr>
            <w:tcW w:w="1007" w:type="dxa"/>
            <w:tcBorders>
              <w:top w:val="single" w:color="4F81BD" w:sz="8" w:space="0"/>
              <w:left w:val="nil"/>
              <w:bottom w:val="single" w:color="4F81BD" w:sz="8" w:space="0"/>
              <w:right w:val="single" w:color="4F81BD" w:sz="8" w:space="0"/>
            </w:tcBorders>
            <w:shd w:val="clear" w:color="auto" w:fill="auto"/>
          </w:tcPr>
          <w:p w:rsidRPr="00A61980" w:rsidR="00623AD4" w:rsidP="00623AD4" w:rsidRDefault="00CA5EE7" w14:paraId="3F447917" w14:textId="76FD53A5">
            <w:pPr>
              <w:spacing w:before="100" w:beforeAutospacing="1" w:after="100" w:afterAutospacing="1"/>
              <w:ind w:left="-294" w:right="170" w:hanging="474"/>
              <w:jc w:val="right"/>
              <w:rPr>
                <w:rFonts w:ascii="Arial" w:hAnsi="Arial" w:eastAsia="Calibri" w:cs="Arial"/>
                <w:sz w:val="20"/>
                <w:lang w:val="es-HN" w:eastAsia="es-US"/>
              </w:rPr>
            </w:pPr>
            <w:r w:rsidRPr="00A61980">
              <w:rPr>
                <w:rFonts w:ascii="Arial" w:hAnsi="Arial" w:eastAsia="Calibri" w:cs="Arial"/>
                <w:sz w:val="20"/>
                <w:lang w:val="es-HN" w:eastAsia="es-US"/>
              </w:rPr>
              <w:t>650</w:t>
            </w:r>
          </w:p>
        </w:tc>
      </w:tr>
      <w:tr w:rsidRPr="00B80216" w:rsidR="00623AD4" w:rsidTr="00623AD4" w14:paraId="77062C3C" w14:textId="04CC272A">
        <w:trPr>
          <w:trHeight w:val="520"/>
        </w:trPr>
        <w:tc>
          <w:tcPr>
            <w:tcW w:w="3577" w:type="dxa"/>
            <w:gridSpan w:val="2"/>
            <w:tcBorders>
              <w:top w:val="single" w:color="4F81BD" w:sz="8" w:space="0"/>
              <w:left w:val="single" w:color="4F81BD" w:sz="8" w:space="0"/>
              <w:bottom w:val="single" w:color="4F81BD" w:sz="8" w:space="0"/>
              <w:right w:val="nil"/>
            </w:tcBorders>
            <w:tcMar>
              <w:top w:w="0" w:type="dxa"/>
              <w:left w:w="28" w:type="dxa"/>
              <w:bottom w:w="0" w:type="dxa"/>
              <w:right w:w="28" w:type="dxa"/>
            </w:tcMar>
            <w:vAlign w:val="center"/>
          </w:tcPr>
          <w:p w:rsidRPr="00623AD4" w:rsidR="00623AD4" w:rsidP="0034746A" w:rsidRDefault="00623AD4" w14:paraId="6EDE68EA" w14:textId="77777777">
            <w:pPr>
              <w:spacing w:before="100" w:beforeAutospacing="1" w:after="100" w:afterAutospacing="1"/>
              <w:jc w:val="center"/>
              <w:rPr>
                <w:rFonts w:ascii="Arial" w:hAnsi="Arial" w:eastAsia="Calibri" w:cs="Arial"/>
                <w:sz w:val="20"/>
                <w:lang w:val="es-HN" w:eastAsia="es-US"/>
              </w:rPr>
            </w:pPr>
            <w:r w:rsidRPr="00623AD4">
              <w:rPr>
                <w:rFonts w:ascii="Arial" w:hAnsi="Arial" w:eastAsia="Calibri" w:cs="Arial"/>
                <w:b/>
                <w:bCs/>
                <w:sz w:val="20"/>
                <w:lang w:val="es-HN" w:eastAsia="es-US"/>
              </w:rPr>
              <w:t>Total</w:t>
            </w:r>
          </w:p>
        </w:tc>
        <w:tc>
          <w:tcPr>
            <w:tcW w:w="1391" w:type="dxa"/>
            <w:tcBorders>
              <w:top w:val="single" w:color="4F81BD" w:sz="8" w:space="0"/>
              <w:left w:val="nil"/>
              <w:bottom w:val="single" w:color="4F81BD" w:sz="8" w:space="0"/>
              <w:right w:val="nil"/>
            </w:tcBorders>
            <w:tcMar>
              <w:top w:w="0" w:type="dxa"/>
              <w:left w:w="28" w:type="dxa"/>
              <w:bottom w:w="0" w:type="dxa"/>
              <w:right w:w="28" w:type="dxa"/>
            </w:tcMar>
            <w:vAlign w:val="center"/>
          </w:tcPr>
          <w:p w:rsidRPr="00623AD4" w:rsidR="00623AD4" w:rsidP="0034746A" w:rsidRDefault="00623AD4" w14:paraId="656BDD41" w14:textId="3F7F5CFD">
            <w:pPr>
              <w:spacing w:before="100" w:beforeAutospacing="1" w:after="100" w:afterAutospacing="1"/>
              <w:ind w:left="-834" w:right="612" w:firstLine="66"/>
              <w:jc w:val="right"/>
              <w:rPr>
                <w:rFonts w:ascii="Arial" w:hAnsi="Arial" w:eastAsia="Calibri" w:cs="Arial"/>
                <w:b/>
                <w:sz w:val="20"/>
                <w:lang w:val="es-HN" w:eastAsia="es-US"/>
              </w:rPr>
            </w:pPr>
            <w:r w:rsidRPr="00623AD4">
              <w:rPr>
                <w:rFonts w:ascii="Arial" w:hAnsi="Arial" w:eastAsia="Calibri" w:cs="Arial"/>
                <w:b/>
                <w:sz w:val="20"/>
                <w:lang w:val="es-HN" w:eastAsia="es-US"/>
              </w:rPr>
              <w:t>4.</w:t>
            </w:r>
            <w:r w:rsidR="00DE4558">
              <w:rPr>
                <w:rFonts w:ascii="Arial" w:hAnsi="Arial" w:eastAsia="Calibri" w:cs="Arial"/>
                <w:b/>
                <w:sz w:val="20"/>
                <w:lang w:val="es-HN" w:eastAsia="es-US"/>
              </w:rPr>
              <w:t>1</w:t>
            </w:r>
            <w:r w:rsidRPr="00623AD4">
              <w:rPr>
                <w:rFonts w:ascii="Arial" w:hAnsi="Arial" w:eastAsia="Calibri" w:cs="Arial"/>
                <w:b/>
                <w:sz w:val="20"/>
                <w:lang w:val="es-HN" w:eastAsia="es-US"/>
              </w:rPr>
              <w:t>15</w:t>
            </w:r>
          </w:p>
        </w:tc>
        <w:tc>
          <w:tcPr>
            <w:tcW w:w="1505" w:type="dxa"/>
            <w:tcBorders>
              <w:top w:val="single" w:color="4F81BD" w:sz="8" w:space="0"/>
              <w:left w:val="nil"/>
              <w:bottom w:val="single" w:color="4F81BD" w:sz="8" w:space="0"/>
              <w:right w:val="single" w:color="4F81BD" w:sz="8" w:space="0"/>
            </w:tcBorders>
            <w:tcMar>
              <w:top w:w="0" w:type="dxa"/>
              <w:left w:w="28" w:type="dxa"/>
              <w:bottom w:w="0" w:type="dxa"/>
              <w:right w:w="28" w:type="dxa"/>
            </w:tcMar>
            <w:vAlign w:val="center"/>
          </w:tcPr>
          <w:p w:rsidRPr="00623AD4" w:rsidR="00623AD4" w:rsidP="0034746A" w:rsidRDefault="00623AD4" w14:paraId="7613F761" w14:textId="1E2442EC">
            <w:pPr>
              <w:spacing w:before="100" w:beforeAutospacing="1" w:after="100" w:afterAutospacing="1"/>
              <w:ind w:left="-294" w:right="612" w:hanging="474"/>
              <w:jc w:val="right"/>
              <w:rPr>
                <w:rFonts w:ascii="Arial" w:hAnsi="Arial" w:eastAsia="Calibri" w:cs="Arial"/>
                <w:b/>
                <w:sz w:val="20"/>
                <w:lang w:val="es-HN" w:eastAsia="es-US"/>
              </w:rPr>
            </w:pPr>
            <w:r w:rsidRPr="00623AD4">
              <w:rPr>
                <w:rFonts w:ascii="Arial" w:hAnsi="Arial" w:eastAsia="Calibri" w:cs="Arial"/>
                <w:b/>
                <w:sz w:val="20"/>
                <w:lang w:val="es-HN" w:eastAsia="es-US"/>
              </w:rPr>
              <w:t>20.867</w:t>
            </w:r>
          </w:p>
        </w:tc>
        <w:tc>
          <w:tcPr>
            <w:tcW w:w="1007" w:type="dxa"/>
            <w:tcBorders>
              <w:top w:val="single" w:color="4F81BD" w:sz="8" w:space="0"/>
              <w:left w:val="nil"/>
              <w:bottom w:val="single" w:color="4F81BD" w:sz="8" w:space="0"/>
              <w:right w:val="single" w:color="4F81BD" w:sz="8" w:space="0"/>
            </w:tcBorders>
          </w:tcPr>
          <w:p w:rsidRPr="00623AD4" w:rsidR="00623AD4" w:rsidP="0034746A" w:rsidRDefault="00623AD4" w14:paraId="27071B46" w14:textId="77777777">
            <w:pPr>
              <w:spacing w:before="100" w:beforeAutospacing="1" w:after="100" w:afterAutospacing="1"/>
              <w:ind w:left="-294" w:right="612" w:hanging="474"/>
              <w:jc w:val="right"/>
              <w:rPr>
                <w:rFonts w:ascii="Arial" w:hAnsi="Arial" w:eastAsia="Calibri" w:cs="Arial"/>
                <w:b/>
                <w:sz w:val="20"/>
                <w:lang w:val="es-HN" w:eastAsia="es-US"/>
              </w:rPr>
            </w:pPr>
          </w:p>
        </w:tc>
      </w:tr>
    </w:tbl>
    <w:p w:rsidR="00E90703" w:rsidP="0024454C" w:rsidRDefault="00E90703" w14:paraId="57161E07" w14:textId="74FCBBD7">
      <w:pPr>
        <w:pStyle w:val="FirstHeading"/>
        <w:spacing w:before="240"/>
        <w:ind w:left="720"/>
        <w:rPr>
          <w:rFonts w:ascii="Arial" w:hAnsi="Arial" w:cs="Arial"/>
          <w:sz w:val="22"/>
          <w:szCs w:val="22"/>
        </w:rPr>
      </w:pPr>
      <w:bookmarkStart w:name="_Toc526996965" w:id="23"/>
      <w:r>
        <w:rPr>
          <w:rFonts w:ascii="Arial" w:hAnsi="Arial" w:cs="Arial"/>
          <w:sz w:val="22"/>
          <w:szCs w:val="22"/>
        </w:rPr>
        <w:t>C</w:t>
      </w:r>
      <w:r w:rsidRPr="00E90703">
        <w:rPr>
          <w:rFonts w:ascii="Arial" w:hAnsi="Arial" w:cs="Arial"/>
          <w:sz w:val="22"/>
          <w:szCs w:val="22"/>
        </w:rPr>
        <w:t>.</w:t>
      </w:r>
      <w:r w:rsidRPr="00E90703">
        <w:rPr>
          <w:rFonts w:ascii="Arial" w:hAnsi="Arial" w:cs="Arial"/>
          <w:sz w:val="22"/>
          <w:szCs w:val="22"/>
        </w:rPr>
        <w:tab/>
      </w:r>
      <w:r w:rsidR="00423432">
        <w:rPr>
          <w:rFonts w:ascii="Arial" w:hAnsi="Arial" w:cs="Arial"/>
          <w:sz w:val="22"/>
          <w:szCs w:val="22"/>
        </w:rPr>
        <w:t xml:space="preserve">Análisis </w:t>
      </w:r>
      <w:r w:rsidR="003C73CE">
        <w:rPr>
          <w:rFonts w:ascii="Arial" w:hAnsi="Arial" w:cs="Arial"/>
          <w:sz w:val="22"/>
          <w:szCs w:val="22"/>
        </w:rPr>
        <w:t>C</w:t>
      </w:r>
      <w:r>
        <w:rPr>
          <w:rFonts w:ascii="Arial" w:hAnsi="Arial" w:cs="Arial"/>
          <w:sz w:val="22"/>
          <w:szCs w:val="22"/>
        </w:rPr>
        <w:t>osto</w:t>
      </w:r>
      <w:r w:rsidR="003C73CE">
        <w:rPr>
          <w:rFonts w:ascii="Arial" w:hAnsi="Arial" w:cs="Arial"/>
          <w:sz w:val="22"/>
          <w:szCs w:val="22"/>
        </w:rPr>
        <w:t xml:space="preserve"> </w:t>
      </w:r>
      <w:r w:rsidR="00423432">
        <w:rPr>
          <w:rFonts w:ascii="Arial" w:hAnsi="Arial" w:cs="Arial"/>
          <w:sz w:val="22"/>
          <w:szCs w:val="22"/>
        </w:rPr>
        <w:t>-</w:t>
      </w:r>
      <w:r w:rsidR="003C73CE">
        <w:rPr>
          <w:rFonts w:ascii="Arial" w:hAnsi="Arial" w:cs="Arial"/>
          <w:sz w:val="22"/>
          <w:szCs w:val="22"/>
        </w:rPr>
        <w:t xml:space="preserve"> E</w:t>
      </w:r>
      <w:r w:rsidR="00423432">
        <w:rPr>
          <w:rFonts w:ascii="Arial" w:hAnsi="Arial" w:cs="Arial"/>
          <w:sz w:val="22"/>
          <w:szCs w:val="22"/>
        </w:rPr>
        <w:t>fectividad</w:t>
      </w:r>
      <w:bookmarkEnd w:id="23"/>
    </w:p>
    <w:p w:rsidRPr="00435BF1" w:rsidR="00435BF1" w:rsidP="00E90703" w:rsidRDefault="00423432" w14:paraId="5AD4DCE8" w14:textId="40BECF18">
      <w:pPr>
        <w:pStyle w:val="Paragraph"/>
        <w:tabs>
          <w:tab w:val="num" w:pos="720"/>
        </w:tabs>
        <w:ind w:left="720" w:hanging="720"/>
        <w:rPr>
          <w:rFonts w:ascii="Arial" w:hAnsi="Arial" w:cs="Arial"/>
          <w:b/>
          <w:sz w:val="22"/>
          <w:szCs w:val="22"/>
        </w:rPr>
      </w:pPr>
      <w:r>
        <w:rPr>
          <w:rFonts w:ascii="Arial" w:hAnsi="Arial" w:cs="Arial"/>
          <w:sz w:val="22"/>
          <w:szCs w:val="22"/>
        </w:rPr>
        <w:t>Con base en los estimados de ENEE de los costos de electrificación</w:t>
      </w:r>
      <w:r w:rsidR="00B55C68">
        <w:rPr>
          <w:rFonts w:ascii="Arial" w:hAnsi="Arial" w:cs="Arial"/>
          <w:sz w:val="22"/>
          <w:szCs w:val="22"/>
        </w:rPr>
        <w:t xml:space="preserve"> bajo</w:t>
      </w:r>
      <w:r>
        <w:rPr>
          <w:rFonts w:ascii="Arial" w:hAnsi="Arial" w:cs="Arial"/>
          <w:sz w:val="22"/>
          <w:szCs w:val="22"/>
        </w:rPr>
        <w:t xml:space="preserve"> diferentes tecnologías</w:t>
      </w:r>
      <w:r w:rsidRPr="00423432">
        <w:rPr>
          <w:rFonts w:ascii="Arial" w:hAnsi="Arial" w:cs="Arial"/>
          <w:sz w:val="22"/>
          <w:szCs w:val="22"/>
        </w:rPr>
        <w:t xml:space="preserve"> </w:t>
      </w:r>
      <w:r>
        <w:rPr>
          <w:rFonts w:ascii="Arial" w:hAnsi="Arial" w:cs="Arial"/>
          <w:sz w:val="22"/>
          <w:szCs w:val="22"/>
        </w:rPr>
        <w:t xml:space="preserve">en zonas aisladas en Honduras, se obtuvo el costo unitario promedio por kWh de las soluciones. </w:t>
      </w:r>
      <w:r w:rsidR="00435BF1">
        <w:rPr>
          <w:rFonts w:ascii="Arial" w:hAnsi="Arial" w:cs="Arial"/>
          <w:sz w:val="22"/>
          <w:szCs w:val="22"/>
        </w:rPr>
        <w:t xml:space="preserve">De acuerdo con cálculos de FOSODE/ENEE, el promedio del costo unitario de electrificación mediante </w:t>
      </w:r>
      <w:r w:rsidR="000F1D2B">
        <w:rPr>
          <w:rFonts w:ascii="Arial" w:hAnsi="Arial" w:cs="Arial"/>
          <w:sz w:val="22"/>
          <w:szCs w:val="22"/>
        </w:rPr>
        <w:t>red es</w:t>
      </w:r>
      <w:r w:rsidR="00A346C6">
        <w:rPr>
          <w:rFonts w:ascii="Arial" w:hAnsi="Arial" w:cs="Arial"/>
          <w:sz w:val="22"/>
          <w:szCs w:val="22"/>
        </w:rPr>
        <w:t xml:space="preserve">tá </w:t>
      </w:r>
      <w:bookmarkStart w:name="_Hlk525079611" w:id="24"/>
      <w:r w:rsidR="00A346C6">
        <w:rPr>
          <w:rFonts w:ascii="Arial" w:hAnsi="Arial" w:cs="Arial"/>
          <w:sz w:val="22"/>
          <w:szCs w:val="22"/>
        </w:rPr>
        <w:t xml:space="preserve">por encima </w:t>
      </w:r>
      <w:r w:rsidR="000F1D2B">
        <w:rPr>
          <w:rFonts w:ascii="Arial" w:hAnsi="Arial" w:cs="Arial"/>
          <w:sz w:val="22"/>
          <w:szCs w:val="22"/>
        </w:rPr>
        <w:t xml:space="preserve">de US$8.000 para las localidades continentales. </w:t>
      </w:r>
      <w:bookmarkEnd w:id="24"/>
      <w:r w:rsidR="000F1D2B">
        <w:rPr>
          <w:rFonts w:ascii="Arial" w:hAnsi="Arial" w:cs="Arial"/>
          <w:sz w:val="22"/>
          <w:szCs w:val="22"/>
        </w:rPr>
        <w:t>Para las localidades insulares</w:t>
      </w:r>
      <w:r w:rsidR="00A346C6">
        <w:rPr>
          <w:rFonts w:ascii="Arial" w:hAnsi="Arial" w:cs="Arial"/>
          <w:sz w:val="22"/>
          <w:szCs w:val="22"/>
        </w:rPr>
        <w:t xml:space="preserve"> </w:t>
      </w:r>
      <w:r w:rsidR="000F1D2B">
        <w:rPr>
          <w:rFonts w:ascii="Arial" w:hAnsi="Arial" w:cs="Arial"/>
          <w:sz w:val="22"/>
          <w:szCs w:val="22"/>
        </w:rPr>
        <w:t>no se considera técnicamente viable esta solución.</w:t>
      </w:r>
      <w:r w:rsidRPr="00540265" w:rsidR="00540265">
        <w:rPr>
          <w:rFonts w:ascii="Arial" w:hAnsi="Arial" w:cs="Arial"/>
          <w:sz w:val="22"/>
          <w:szCs w:val="22"/>
          <w:lang w:val="es-ES_tradnl"/>
        </w:rPr>
        <w:t xml:space="preserve"> </w:t>
      </w:r>
      <w:r w:rsidR="00540265">
        <w:rPr>
          <w:rFonts w:ascii="Arial" w:hAnsi="Arial" w:cs="Arial"/>
          <w:sz w:val="22"/>
          <w:szCs w:val="22"/>
          <w:lang w:val="es-ES_tradnl"/>
        </w:rPr>
        <w:t>Por tanto, l</w:t>
      </w:r>
      <w:r w:rsidRPr="00540265" w:rsidR="00540265">
        <w:rPr>
          <w:rFonts w:ascii="Arial" w:hAnsi="Arial" w:cs="Arial"/>
          <w:sz w:val="22"/>
          <w:szCs w:val="22"/>
          <w:lang w:val="es-ES_tradnl"/>
        </w:rPr>
        <w:t xml:space="preserve">a opción de cobertura por medio de extensión de la red del SIN fue descartada por ser la de mayor costo.  </w:t>
      </w:r>
    </w:p>
    <w:p w:rsidR="000F0425" w:rsidP="000F0425" w:rsidRDefault="000F0425" w14:paraId="411CF3F5" w14:textId="21B0089E">
      <w:pPr>
        <w:pStyle w:val="Paragraph"/>
        <w:tabs>
          <w:tab w:val="num" w:pos="720"/>
        </w:tabs>
        <w:ind w:left="720" w:hanging="720"/>
        <w:rPr>
          <w:rFonts w:ascii="Arial" w:hAnsi="Arial" w:cs="Arial"/>
          <w:sz w:val="22"/>
          <w:szCs w:val="22"/>
        </w:rPr>
      </w:pPr>
      <w:r w:rsidRPr="00874967">
        <w:rPr>
          <w:rFonts w:ascii="Arial" w:hAnsi="Arial" w:cs="Arial"/>
          <w:b/>
          <w:sz w:val="22"/>
          <w:szCs w:val="22"/>
        </w:rPr>
        <w:t>Consideraciones – Supuestos</w:t>
      </w:r>
      <w:r>
        <w:rPr>
          <w:rFonts w:ascii="Arial" w:hAnsi="Arial" w:cs="Arial"/>
          <w:sz w:val="22"/>
          <w:szCs w:val="22"/>
        </w:rPr>
        <w:t>. Para la</w:t>
      </w:r>
      <w:r w:rsidR="009F1A6C">
        <w:rPr>
          <w:rFonts w:ascii="Arial" w:hAnsi="Arial" w:cs="Arial"/>
          <w:sz w:val="22"/>
          <w:szCs w:val="22"/>
        </w:rPr>
        <w:t xml:space="preserve"> determinación de los costos unitarios de cada alternativa se utilizaron los siguientes considerandos.</w:t>
      </w:r>
    </w:p>
    <w:p w:rsidR="009F1A6C" w:rsidP="00874967" w:rsidRDefault="009F1A6C" w14:paraId="79476B0A" w14:textId="5638879D">
      <w:pPr>
        <w:pStyle w:val="Paragraph"/>
        <w:numPr>
          <w:ilvl w:val="0"/>
          <w:numId w:val="0"/>
        </w:numPr>
        <w:tabs>
          <w:tab w:val="num" w:pos="1800"/>
        </w:tabs>
        <w:ind w:left="720"/>
        <w:rPr>
          <w:rFonts w:ascii="Arial" w:hAnsi="Arial" w:cs="Arial"/>
          <w:sz w:val="22"/>
          <w:szCs w:val="22"/>
        </w:rPr>
      </w:pPr>
      <w:r w:rsidRPr="00874967">
        <w:rPr>
          <w:rFonts w:ascii="Arial" w:hAnsi="Arial" w:cs="Arial"/>
          <w:b/>
          <w:sz w:val="22"/>
          <w:szCs w:val="22"/>
        </w:rPr>
        <w:t>Energía térmica</w:t>
      </w:r>
      <w:r>
        <w:rPr>
          <w:rFonts w:ascii="Arial" w:hAnsi="Arial" w:cs="Arial"/>
          <w:sz w:val="22"/>
          <w:szCs w:val="22"/>
        </w:rPr>
        <w:t xml:space="preserve">: El valor de la generación térmica </w:t>
      </w:r>
      <w:r w:rsidR="004825EB">
        <w:rPr>
          <w:rFonts w:ascii="Arial" w:hAnsi="Arial" w:cs="Arial"/>
          <w:sz w:val="22"/>
          <w:szCs w:val="22"/>
        </w:rPr>
        <w:t xml:space="preserve">en los sitios de Guanaja y Brus Laguna, donde se implementarán soluciones de </w:t>
      </w:r>
      <w:proofErr w:type="spellStart"/>
      <w:r w:rsidR="004825EB">
        <w:rPr>
          <w:rFonts w:ascii="Arial" w:hAnsi="Arial" w:cs="Arial"/>
          <w:sz w:val="22"/>
          <w:szCs w:val="22"/>
        </w:rPr>
        <w:t>microredes</w:t>
      </w:r>
      <w:proofErr w:type="spellEnd"/>
      <w:r w:rsidR="004825EB">
        <w:rPr>
          <w:rFonts w:ascii="Arial" w:hAnsi="Arial" w:cs="Arial"/>
          <w:sz w:val="22"/>
          <w:szCs w:val="22"/>
        </w:rPr>
        <w:t xml:space="preserve">, </w:t>
      </w:r>
      <w:r>
        <w:rPr>
          <w:rFonts w:ascii="Arial" w:hAnsi="Arial" w:cs="Arial"/>
          <w:sz w:val="22"/>
          <w:szCs w:val="22"/>
        </w:rPr>
        <w:t xml:space="preserve">se determinó en función del precio de </w:t>
      </w:r>
      <w:proofErr w:type="spellStart"/>
      <w:r>
        <w:rPr>
          <w:rFonts w:ascii="Arial" w:hAnsi="Arial" w:cs="Arial"/>
          <w:sz w:val="22"/>
          <w:szCs w:val="22"/>
        </w:rPr>
        <w:t>diesel</w:t>
      </w:r>
      <w:proofErr w:type="spellEnd"/>
      <w:r>
        <w:rPr>
          <w:rStyle w:val="FootnoteReference"/>
          <w:rFonts w:ascii="Arial" w:hAnsi="Arial" w:cs="Arial"/>
          <w:sz w:val="22"/>
          <w:szCs w:val="22"/>
        </w:rPr>
        <w:footnoteReference w:id="18"/>
      </w:r>
      <w:r>
        <w:rPr>
          <w:rFonts w:ascii="Arial" w:hAnsi="Arial" w:cs="Arial"/>
          <w:sz w:val="22"/>
          <w:szCs w:val="22"/>
        </w:rPr>
        <w:t xml:space="preserve"> tomando como referencia el precio internacional del petróleo de </w:t>
      </w:r>
      <w:r w:rsidR="00BE51FE">
        <w:rPr>
          <w:rFonts w:ascii="Arial" w:hAnsi="Arial" w:cs="Arial"/>
          <w:sz w:val="22"/>
          <w:szCs w:val="22"/>
        </w:rPr>
        <w:t>5</w:t>
      </w:r>
      <w:r>
        <w:rPr>
          <w:rFonts w:ascii="Arial" w:hAnsi="Arial" w:cs="Arial"/>
          <w:sz w:val="22"/>
          <w:szCs w:val="22"/>
        </w:rPr>
        <w:t>5 US$/ barril</w:t>
      </w:r>
      <w:r w:rsidR="004825EB">
        <w:rPr>
          <w:rStyle w:val="FootnoteReference"/>
          <w:rFonts w:ascii="Arial" w:hAnsi="Arial" w:cs="Arial"/>
          <w:sz w:val="22"/>
          <w:szCs w:val="22"/>
        </w:rPr>
        <w:footnoteReference w:id="19"/>
      </w:r>
      <w:r>
        <w:rPr>
          <w:rFonts w:ascii="Arial" w:hAnsi="Arial" w:cs="Arial"/>
          <w:sz w:val="22"/>
          <w:szCs w:val="22"/>
        </w:rPr>
        <w:t xml:space="preserve">. </w:t>
      </w:r>
      <w:r w:rsidR="004825EB">
        <w:rPr>
          <w:rFonts w:ascii="Arial" w:hAnsi="Arial" w:cs="Arial"/>
          <w:sz w:val="22"/>
          <w:szCs w:val="22"/>
        </w:rPr>
        <w:t>Los valores de los costos de la energía fueron determinados en función de los pliegos tarifarios de los sistemas de Guanaja y Brus Laguna, reportados por las Empresas de distribución en Guanaja y Puerto Lempira y que es regulado por la Comisión Reguladora de Energía Eléctrica - CREE. Se consideró que el costo de la energía térmica en Brus Laguna es el mismo que en Puerto Lempira (cabecera cantonal del Departamento de Gracias a Dios). Esta consideración se realiza porque en Brus Laguna (segundo municipio de mayor poblado de Gracias a Dios) no posee en la actualidad servicio de suministro eléctrico y la referencia sería comparar con la generación térmica del sitio más cercano con similares complejidades.</w:t>
      </w:r>
    </w:p>
    <w:p w:rsidR="000F0425" w:rsidP="000F0425" w:rsidRDefault="004825EB" w14:paraId="0EC7E3E9" w14:textId="64C10538">
      <w:pPr>
        <w:pStyle w:val="Paragraph"/>
        <w:numPr>
          <w:ilvl w:val="0"/>
          <w:numId w:val="0"/>
        </w:numPr>
        <w:tabs>
          <w:tab w:val="num" w:pos="1800"/>
        </w:tabs>
        <w:ind w:left="720"/>
        <w:rPr>
          <w:rFonts w:ascii="Arial" w:hAnsi="Arial" w:cs="Arial"/>
          <w:sz w:val="22"/>
          <w:szCs w:val="22"/>
        </w:rPr>
      </w:pPr>
      <w:proofErr w:type="spellStart"/>
      <w:r w:rsidRPr="00874967">
        <w:rPr>
          <w:rFonts w:ascii="Arial" w:hAnsi="Arial" w:cs="Arial"/>
          <w:b/>
          <w:sz w:val="22"/>
          <w:szCs w:val="22"/>
        </w:rPr>
        <w:t>Microredes</w:t>
      </w:r>
      <w:proofErr w:type="spellEnd"/>
      <w:r w:rsidRPr="00874967">
        <w:rPr>
          <w:rFonts w:ascii="Arial" w:hAnsi="Arial" w:cs="Arial"/>
          <w:b/>
          <w:sz w:val="22"/>
          <w:szCs w:val="22"/>
        </w:rPr>
        <w:t>:</w:t>
      </w:r>
      <w:r>
        <w:rPr>
          <w:rFonts w:ascii="Arial" w:hAnsi="Arial" w:cs="Arial"/>
          <w:sz w:val="22"/>
          <w:szCs w:val="22"/>
        </w:rPr>
        <w:t xml:space="preserve"> Para la determinación del costo nivelado de energía se realiza un análisis del flujo de caja tomando en consideración las inversiones en cada </w:t>
      </w:r>
      <w:r>
        <w:rPr>
          <w:rFonts w:ascii="Arial" w:hAnsi="Arial" w:cs="Arial"/>
          <w:sz w:val="22"/>
          <w:szCs w:val="22"/>
        </w:rPr>
        <w:lastRenderedPageBreak/>
        <w:t xml:space="preserve">proyecto que incluye obras civiles, generación, transmisión y distribución, almacenamiento de energía y el costo logístico asociado. </w:t>
      </w:r>
      <w:r w:rsidR="003A2D4E">
        <w:rPr>
          <w:rFonts w:ascii="Arial" w:hAnsi="Arial" w:cs="Arial"/>
          <w:sz w:val="22"/>
          <w:szCs w:val="22"/>
        </w:rPr>
        <w:t xml:space="preserve">Los valores de la inversión fueron determinados en el estudio de factibilidad para el desarrollo de energía renovable y almacenamiento de energía en Islas de la Bahía que fue financiado por el programa </w:t>
      </w:r>
      <w:r w:rsidR="00F26F81">
        <w:rPr>
          <w:rFonts w:ascii="Arial" w:hAnsi="Arial" w:cs="Arial"/>
          <w:sz w:val="22"/>
          <w:szCs w:val="22"/>
        </w:rPr>
        <w:t xml:space="preserve">de intercambio de Conocimiento - </w:t>
      </w:r>
      <w:r w:rsidR="003A2D4E">
        <w:rPr>
          <w:rFonts w:ascii="Arial" w:hAnsi="Arial" w:cs="Arial"/>
          <w:sz w:val="22"/>
          <w:szCs w:val="22"/>
        </w:rPr>
        <w:t>KSP (</w:t>
      </w:r>
      <w:proofErr w:type="spellStart"/>
      <w:r w:rsidR="003A2D4E">
        <w:rPr>
          <w:rFonts w:ascii="Arial" w:hAnsi="Arial" w:cs="Arial"/>
          <w:sz w:val="22"/>
          <w:szCs w:val="22"/>
        </w:rPr>
        <w:t>Knowledge</w:t>
      </w:r>
      <w:proofErr w:type="spellEnd"/>
      <w:r w:rsidR="003A2D4E">
        <w:rPr>
          <w:rFonts w:ascii="Arial" w:hAnsi="Arial" w:cs="Arial"/>
          <w:sz w:val="22"/>
          <w:szCs w:val="22"/>
        </w:rPr>
        <w:t xml:space="preserve"> </w:t>
      </w:r>
      <w:proofErr w:type="spellStart"/>
      <w:r w:rsidR="003A2D4E">
        <w:rPr>
          <w:rFonts w:ascii="Arial" w:hAnsi="Arial" w:cs="Arial"/>
          <w:sz w:val="22"/>
          <w:szCs w:val="22"/>
        </w:rPr>
        <w:t>Sharing</w:t>
      </w:r>
      <w:proofErr w:type="spellEnd"/>
      <w:r w:rsidR="003A2D4E">
        <w:rPr>
          <w:rFonts w:ascii="Arial" w:hAnsi="Arial" w:cs="Arial"/>
          <w:sz w:val="22"/>
          <w:szCs w:val="22"/>
        </w:rPr>
        <w:t xml:space="preserve"> programe</w:t>
      </w:r>
      <w:r w:rsidR="00F26F81">
        <w:rPr>
          <w:rFonts w:ascii="Arial" w:hAnsi="Arial" w:cs="Arial"/>
          <w:sz w:val="22"/>
          <w:szCs w:val="22"/>
        </w:rPr>
        <w:t xml:space="preserve"> por sus siglas en inglés</w:t>
      </w:r>
      <w:r w:rsidR="003A2D4E">
        <w:rPr>
          <w:rFonts w:ascii="Arial" w:hAnsi="Arial" w:cs="Arial"/>
          <w:sz w:val="22"/>
          <w:szCs w:val="22"/>
        </w:rPr>
        <w:t>)</w:t>
      </w:r>
      <w:r w:rsidR="00F26F81">
        <w:rPr>
          <w:rFonts w:ascii="Arial" w:hAnsi="Arial" w:cs="Arial"/>
          <w:sz w:val="22"/>
          <w:szCs w:val="22"/>
        </w:rPr>
        <w:t>, cooperación técnica</w:t>
      </w:r>
      <w:r w:rsidR="003A2D4E">
        <w:rPr>
          <w:rFonts w:ascii="Arial" w:hAnsi="Arial" w:cs="Arial"/>
          <w:sz w:val="22"/>
          <w:szCs w:val="22"/>
        </w:rPr>
        <w:t xml:space="preserve"> fi</w:t>
      </w:r>
      <w:r w:rsidR="00F26F81">
        <w:rPr>
          <w:rFonts w:ascii="Arial" w:hAnsi="Arial" w:cs="Arial"/>
          <w:sz w:val="22"/>
          <w:szCs w:val="22"/>
        </w:rPr>
        <w:t>nanciada por el Corea del Sur y apoyada por el BID</w:t>
      </w:r>
      <w:r w:rsidR="00BE51FE">
        <w:rPr>
          <w:rStyle w:val="FootnoteReference"/>
          <w:rFonts w:ascii="Arial" w:hAnsi="Arial" w:cs="Arial"/>
          <w:sz w:val="22"/>
          <w:szCs w:val="22"/>
        </w:rPr>
        <w:footnoteReference w:id="20"/>
      </w:r>
      <w:r w:rsidR="00F26F81">
        <w:rPr>
          <w:rFonts w:ascii="Arial" w:hAnsi="Arial" w:cs="Arial"/>
          <w:sz w:val="22"/>
          <w:szCs w:val="22"/>
        </w:rPr>
        <w:t xml:space="preserve">. Para la determinación de los costos de operación y mantenimiento se han tomado en consideración los valores reportados en los estudios de la Cooperación técnica de evaluación de recurso renovable para Islas de la bahía y que representa el 2% de la inversión, y es un valor estándar en el desarrollo de proyectos con </w:t>
      </w:r>
      <w:proofErr w:type="spellStart"/>
      <w:r w:rsidR="00F26F81">
        <w:rPr>
          <w:rFonts w:ascii="Arial" w:hAnsi="Arial" w:cs="Arial"/>
          <w:sz w:val="22"/>
          <w:szCs w:val="22"/>
        </w:rPr>
        <w:t>microredes</w:t>
      </w:r>
      <w:proofErr w:type="spellEnd"/>
      <w:r w:rsidR="00F26F81">
        <w:rPr>
          <w:rFonts w:ascii="Arial" w:hAnsi="Arial" w:cs="Arial"/>
          <w:sz w:val="22"/>
          <w:szCs w:val="22"/>
        </w:rPr>
        <w:t xml:space="preserve"> de proyectos fotovoltaicos. Se tomó en consideración que tanto baterías como inversores serán reemplazados en función de la vida de estos equipos y cuyo tiempo de vida útil se reporta en los estudios realizados mediante cooperación técnica. Los valores empleados para la inversión de reemplazo de baterías e inversores han tomado en consideración las estimaciones presentadas por la Agencia Internacional de Energía Renovable (IRENA, por sus siglas en </w:t>
      </w:r>
      <w:r w:rsidR="00BE51FE">
        <w:rPr>
          <w:rFonts w:ascii="Arial" w:hAnsi="Arial" w:cs="Arial"/>
          <w:sz w:val="22"/>
          <w:szCs w:val="22"/>
        </w:rPr>
        <w:t>i</w:t>
      </w:r>
      <w:r w:rsidR="00F26F81">
        <w:rPr>
          <w:rFonts w:ascii="Arial" w:hAnsi="Arial" w:cs="Arial"/>
          <w:sz w:val="22"/>
          <w:szCs w:val="22"/>
        </w:rPr>
        <w:t xml:space="preserve">nglés) que considera la reducción progresiva del costo de los principales elementos de los proyectos fotovoltaicos y almacenamiento de energía. </w:t>
      </w:r>
    </w:p>
    <w:p w:rsidRPr="00874967" w:rsidR="009B25E0" w:rsidP="000F0425" w:rsidRDefault="009B25E0" w14:paraId="5140A607" w14:textId="429E88C1">
      <w:pPr>
        <w:pStyle w:val="Paragraph"/>
        <w:numPr>
          <w:ilvl w:val="0"/>
          <w:numId w:val="0"/>
        </w:numPr>
        <w:tabs>
          <w:tab w:val="num" w:pos="1800"/>
        </w:tabs>
        <w:ind w:left="720"/>
        <w:rPr>
          <w:rFonts w:ascii="Arial" w:hAnsi="Arial" w:cs="Arial"/>
          <w:sz w:val="22"/>
          <w:szCs w:val="22"/>
          <w:lang w:val="es-ES_tradnl"/>
        </w:rPr>
      </w:pPr>
      <w:r w:rsidRPr="00874967">
        <w:rPr>
          <w:rFonts w:ascii="Arial" w:hAnsi="Arial" w:cs="Arial"/>
          <w:b/>
          <w:sz w:val="22"/>
          <w:szCs w:val="22"/>
          <w:lang w:val="es-ES_tradnl"/>
        </w:rPr>
        <w:t>Sistemas solares fotovoltaicos:</w:t>
      </w:r>
      <w:r w:rsidRPr="00874967">
        <w:rPr>
          <w:rFonts w:ascii="Arial" w:hAnsi="Arial" w:cs="Arial"/>
          <w:sz w:val="22"/>
          <w:szCs w:val="22"/>
          <w:lang w:val="es-ES_tradnl"/>
        </w:rPr>
        <w:t xml:space="preserve"> para la determinación de</w:t>
      </w:r>
      <w:r>
        <w:rPr>
          <w:rFonts w:ascii="Arial" w:hAnsi="Arial" w:cs="Arial"/>
          <w:sz w:val="22"/>
          <w:szCs w:val="22"/>
          <w:lang w:val="es-ES_tradnl"/>
        </w:rPr>
        <w:t xml:space="preserve"> las inversiones de cada solución individual se tomaron como referencia los resultados de la </w:t>
      </w:r>
      <w:proofErr w:type="spellStart"/>
      <w:r>
        <w:rPr>
          <w:rFonts w:ascii="Arial" w:hAnsi="Arial" w:cs="Arial"/>
          <w:sz w:val="22"/>
          <w:szCs w:val="22"/>
          <w:lang w:val="es-ES_tradnl"/>
        </w:rPr>
        <w:t>ultima</w:t>
      </w:r>
      <w:proofErr w:type="spellEnd"/>
      <w:r>
        <w:rPr>
          <w:rFonts w:ascii="Arial" w:hAnsi="Arial" w:cs="Arial"/>
          <w:sz w:val="22"/>
          <w:szCs w:val="22"/>
          <w:lang w:val="es-ES_tradnl"/>
        </w:rPr>
        <w:t xml:space="preserve"> licitación nacional llevada a cabo en el marco del proyecto de cooperación técnica programa pueblos indígenas y </w:t>
      </w:r>
      <w:proofErr w:type="spellStart"/>
      <w:r>
        <w:rPr>
          <w:rFonts w:ascii="Arial" w:hAnsi="Arial" w:cs="Arial"/>
          <w:sz w:val="22"/>
          <w:szCs w:val="22"/>
          <w:lang w:val="es-ES_tradnl"/>
        </w:rPr>
        <w:t>afrohondureños</w:t>
      </w:r>
      <w:proofErr w:type="spellEnd"/>
      <w:r>
        <w:rPr>
          <w:rFonts w:ascii="Arial" w:hAnsi="Arial" w:cs="Arial"/>
          <w:sz w:val="22"/>
          <w:szCs w:val="22"/>
          <w:lang w:val="es-ES_tradnl"/>
        </w:rPr>
        <w:t xml:space="preserve"> y cambio climático ATN/ NV-13535, financiado con recursos del fondo nórdico para el desarrollo de sistemas solares </w:t>
      </w:r>
      <w:proofErr w:type="spellStart"/>
      <w:r>
        <w:rPr>
          <w:rFonts w:ascii="Arial" w:hAnsi="Arial" w:cs="Arial"/>
          <w:sz w:val="22"/>
          <w:szCs w:val="22"/>
          <w:lang w:val="es-ES_tradnl"/>
        </w:rPr>
        <w:t>fotovotaicos</w:t>
      </w:r>
      <w:proofErr w:type="spellEnd"/>
      <w:r>
        <w:rPr>
          <w:rFonts w:ascii="Arial" w:hAnsi="Arial" w:cs="Arial"/>
          <w:sz w:val="22"/>
          <w:szCs w:val="22"/>
          <w:lang w:val="es-ES_tradnl"/>
        </w:rPr>
        <w:t xml:space="preserve"> individuales que fueron suministrados al occidente de Honduras en lugares con aislamiento similar al de los proyectos a ser desarrollado en Choluteca. Los resultados de licitación para el suministro, transporte, instalación, puesta en marcha y capacitación que llevada a cabo en el </w:t>
      </w:r>
      <w:proofErr w:type="spellStart"/>
      <w:r>
        <w:rPr>
          <w:rFonts w:ascii="Arial" w:hAnsi="Arial" w:cs="Arial"/>
          <w:sz w:val="22"/>
          <w:szCs w:val="22"/>
          <w:lang w:val="es-ES_tradnl"/>
        </w:rPr>
        <w:t>ultimo</w:t>
      </w:r>
      <w:proofErr w:type="spellEnd"/>
      <w:r>
        <w:rPr>
          <w:rFonts w:ascii="Arial" w:hAnsi="Arial" w:cs="Arial"/>
          <w:sz w:val="22"/>
          <w:szCs w:val="22"/>
          <w:lang w:val="es-ES_tradnl"/>
        </w:rPr>
        <w:t xml:space="preserve"> trimestre del 2016. </w:t>
      </w:r>
      <w:r w:rsidR="00BE51FE">
        <w:rPr>
          <w:rFonts w:ascii="Arial" w:hAnsi="Arial" w:cs="Arial"/>
          <w:sz w:val="22"/>
          <w:szCs w:val="22"/>
          <w:lang w:val="es-ES_tradnl"/>
        </w:rPr>
        <w:t>Las cifras empleadas son del contratista cuyo contrato fue</w:t>
      </w:r>
      <w:r>
        <w:rPr>
          <w:rFonts w:ascii="Arial" w:hAnsi="Arial" w:cs="Arial"/>
          <w:sz w:val="22"/>
          <w:szCs w:val="22"/>
          <w:lang w:val="es-ES_tradnl"/>
        </w:rPr>
        <w:t xml:space="preserve"> adjudicad</w:t>
      </w:r>
      <w:r w:rsidR="00BE51FE">
        <w:rPr>
          <w:rFonts w:ascii="Arial" w:hAnsi="Arial" w:cs="Arial"/>
          <w:sz w:val="22"/>
          <w:szCs w:val="22"/>
          <w:lang w:val="es-ES_tradnl"/>
        </w:rPr>
        <w:t>o</w:t>
      </w:r>
      <w:r>
        <w:rPr>
          <w:rFonts w:ascii="Arial" w:hAnsi="Arial" w:cs="Arial"/>
          <w:sz w:val="22"/>
          <w:szCs w:val="22"/>
          <w:lang w:val="es-ES_tradnl"/>
        </w:rPr>
        <w:t xml:space="preserve"> y </w:t>
      </w:r>
      <w:proofErr w:type="spellStart"/>
      <w:r w:rsidR="00BE51FE">
        <w:rPr>
          <w:rFonts w:ascii="Arial" w:hAnsi="Arial" w:cs="Arial"/>
          <w:sz w:val="22"/>
          <w:szCs w:val="22"/>
          <w:lang w:val="es-ES_tradnl"/>
        </w:rPr>
        <w:t>s</w:t>
      </w:r>
      <w:proofErr w:type="spellEnd"/>
      <w:r w:rsidR="00BE51FE">
        <w:rPr>
          <w:rFonts w:ascii="Arial" w:hAnsi="Arial" w:cs="Arial"/>
          <w:sz w:val="22"/>
          <w:szCs w:val="22"/>
          <w:lang w:val="es-ES_tradnl"/>
        </w:rPr>
        <w:t xml:space="preserve"> encuentra </w:t>
      </w:r>
      <w:r>
        <w:rPr>
          <w:rFonts w:ascii="Arial" w:hAnsi="Arial" w:cs="Arial"/>
          <w:sz w:val="22"/>
          <w:szCs w:val="22"/>
          <w:lang w:val="es-ES_tradnl"/>
        </w:rPr>
        <w:t xml:space="preserve">en operación </w:t>
      </w:r>
      <w:r w:rsidR="00BE51FE">
        <w:rPr>
          <w:rFonts w:ascii="Arial" w:hAnsi="Arial" w:cs="Arial"/>
          <w:sz w:val="22"/>
          <w:szCs w:val="22"/>
          <w:lang w:val="es-ES_tradnl"/>
        </w:rPr>
        <w:t>desde el segundo julio de</w:t>
      </w:r>
      <w:r>
        <w:rPr>
          <w:rFonts w:ascii="Arial" w:hAnsi="Arial" w:cs="Arial"/>
          <w:sz w:val="22"/>
          <w:szCs w:val="22"/>
          <w:lang w:val="es-ES_tradnl"/>
        </w:rPr>
        <w:t>l 2017</w:t>
      </w:r>
      <w:r w:rsidR="00BE51FE">
        <w:rPr>
          <w:rFonts w:ascii="Arial" w:hAnsi="Arial" w:cs="Arial"/>
          <w:sz w:val="22"/>
          <w:szCs w:val="22"/>
          <w:lang w:val="es-ES_tradnl"/>
        </w:rPr>
        <w:t>.</w:t>
      </w:r>
    </w:p>
    <w:p w:rsidR="00EF57C4" w:rsidP="00EF57C4" w:rsidRDefault="00897A78" w14:paraId="0BB1C4BA" w14:textId="093C82E9">
      <w:pPr>
        <w:pStyle w:val="Paragraph"/>
        <w:tabs>
          <w:tab w:val="num" w:pos="720"/>
        </w:tabs>
        <w:ind w:left="720" w:hanging="720"/>
        <w:rPr>
          <w:rFonts w:ascii="Arial" w:hAnsi="Arial" w:cs="Arial"/>
          <w:sz w:val="22"/>
          <w:szCs w:val="22"/>
        </w:rPr>
      </w:pPr>
      <w:r w:rsidRPr="00EF57C4">
        <w:rPr>
          <w:rFonts w:ascii="Arial" w:hAnsi="Arial" w:cs="Arial"/>
          <w:sz w:val="22"/>
          <w:szCs w:val="22"/>
          <w:u w:val="single"/>
        </w:rPr>
        <w:t xml:space="preserve">Proyectos en </w:t>
      </w:r>
      <w:proofErr w:type="spellStart"/>
      <w:r w:rsidRPr="00EF57C4" w:rsidR="0074018C">
        <w:rPr>
          <w:rFonts w:ascii="Arial" w:hAnsi="Arial" w:cs="Arial"/>
          <w:sz w:val="22"/>
          <w:szCs w:val="22"/>
          <w:u w:val="single"/>
        </w:rPr>
        <w:t>micro-</w:t>
      </w:r>
      <w:r w:rsidRPr="00EF57C4">
        <w:rPr>
          <w:rFonts w:ascii="Arial" w:hAnsi="Arial" w:cs="Arial"/>
          <w:sz w:val="22"/>
          <w:szCs w:val="22"/>
          <w:u w:val="single"/>
        </w:rPr>
        <w:t>red</w:t>
      </w:r>
      <w:proofErr w:type="spellEnd"/>
      <w:r w:rsidRPr="00EF57C4">
        <w:rPr>
          <w:rFonts w:ascii="Arial" w:hAnsi="Arial" w:cs="Arial"/>
          <w:sz w:val="22"/>
          <w:szCs w:val="22"/>
        </w:rPr>
        <w:t xml:space="preserve">. </w:t>
      </w:r>
      <w:r w:rsidRPr="00EF57C4" w:rsidR="00FE6813">
        <w:rPr>
          <w:rFonts w:ascii="Arial" w:hAnsi="Arial" w:cs="Arial"/>
          <w:sz w:val="22"/>
          <w:szCs w:val="22"/>
        </w:rPr>
        <w:t xml:space="preserve">Para hallar la </w:t>
      </w:r>
      <w:r w:rsidRPr="00EF57C4" w:rsidR="00FE6813">
        <w:rPr>
          <w:rFonts w:ascii="Arial" w:hAnsi="Arial" w:cs="Arial"/>
          <w:sz w:val="22"/>
          <w:szCs w:val="22"/>
          <w:lang w:val="es-US"/>
        </w:rPr>
        <w:t>solución</w:t>
      </w:r>
      <w:r w:rsidRPr="00EF57C4" w:rsidR="00FE6813">
        <w:rPr>
          <w:rFonts w:ascii="Arial" w:hAnsi="Arial" w:cs="Arial"/>
          <w:sz w:val="22"/>
          <w:szCs w:val="22"/>
        </w:rPr>
        <w:t xml:space="preserve"> aislada óptima</w:t>
      </w:r>
      <w:r w:rsidRPr="00EF57C4" w:rsidR="001F0D62">
        <w:rPr>
          <w:rFonts w:ascii="Arial" w:hAnsi="Arial" w:cs="Arial"/>
          <w:sz w:val="22"/>
          <w:szCs w:val="22"/>
        </w:rPr>
        <w:t xml:space="preserve"> de electrificación</w:t>
      </w:r>
      <w:r w:rsidRPr="00EF57C4" w:rsidR="00FE6813">
        <w:rPr>
          <w:rFonts w:ascii="Arial" w:hAnsi="Arial" w:cs="Arial"/>
          <w:sz w:val="22"/>
          <w:szCs w:val="22"/>
        </w:rPr>
        <w:t>, se procedió a comparar el costo unitario de la solución solar fotovoltaica</w:t>
      </w:r>
      <w:r w:rsidRPr="00EF57C4" w:rsidR="00564B13">
        <w:rPr>
          <w:rFonts w:ascii="Arial" w:hAnsi="Arial" w:cs="Arial"/>
          <w:sz w:val="22"/>
          <w:szCs w:val="22"/>
        </w:rPr>
        <w:t xml:space="preserve"> en </w:t>
      </w:r>
      <w:proofErr w:type="spellStart"/>
      <w:r w:rsidRPr="00EF57C4" w:rsidR="0074018C">
        <w:rPr>
          <w:rFonts w:ascii="Arial" w:hAnsi="Arial" w:cs="Arial"/>
          <w:sz w:val="22"/>
          <w:szCs w:val="22"/>
        </w:rPr>
        <w:t>micro-</w:t>
      </w:r>
      <w:r w:rsidRPr="00EF57C4" w:rsidR="00564B13">
        <w:rPr>
          <w:rFonts w:ascii="Arial" w:hAnsi="Arial" w:cs="Arial"/>
          <w:sz w:val="22"/>
          <w:szCs w:val="22"/>
        </w:rPr>
        <w:t>red</w:t>
      </w:r>
      <w:proofErr w:type="spellEnd"/>
      <w:r w:rsidRPr="00EF57C4" w:rsidR="00FE6813">
        <w:rPr>
          <w:rFonts w:ascii="Arial" w:hAnsi="Arial" w:cs="Arial"/>
          <w:sz w:val="22"/>
          <w:szCs w:val="22"/>
        </w:rPr>
        <w:t>,</w:t>
      </w:r>
      <w:r w:rsidRPr="00EF57C4" w:rsidR="000A123D">
        <w:rPr>
          <w:rFonts w:ascii="Arial" w:hAnsi="Arial" w:cs="Arial"/>
          <w:sz w:val="22"/>
          <w:szCs w:val="22"/>
          <w:lang w:val="es-ES_tradnl"/>
        </w:rPr>
        <w:t xml:space="preserve"> la cual representa </w:t>
      </w:r>
      <w:r w:rsidRPr="00EF57C4" w:rsidR="00074226">
        <w:rPr>
          <w:rFonts w:ascii="Arial" w:hAnsi="Arial" w:cs="Arial"/>
          <w:sz w:val="22"/>
          <w:szCs w:val="22"/>
          <w:lang w:val="es-ES_tradnl"/>
        </w:rPr>
        <w:t>cerca del 9</w:t>
      </w:r>
      <w:r w:rsidRPr="00EF57C4" w:rsidR="005C2F4E">
        <w:rPr>
          <w:rFonts w:ascii="Arial" w:hAnsi="Arial" w:cs="Arial"/>
          <w:sz w:val="22"/>
          <w:szCs w:val="22"/>
          <w:lang w:val="es-ES_tradnl"/>
        </w:rPr>
        <w:t>4</w:t>
      </w:r>
      <w:r w:rsidRPr="00EF57C4" w:rsidR="000A123D">
        <w:rPr>
          <w:rFonts w:ascii="Arial" w:hAnsi="Arial" w:cs="Arial"/>
          <w:sz w:val="22"/>
          <w:szCs w:val="22"/>
          <w:lang w:val="es-ES_tradnl"/>
        </w:rPr>
        <w:t>% de la inversión del programa,</w:t>
      </w:r>
      <w:r w:rsidRPr="00EF57C4" w:rsidR="00FE6813">
        <w:rPr>
          <w:rFonts w:ascii="Arial" w:hAnsi="Arial" w:cs="Arial"/>
          <w:sz w:val="22"/>
          <w:szCs w:val="22"/>
        </w:rPr>
        <w:t xml:space="preserve"> con la solución</w:t>
      </w:r>
      <w:r w:rsidRPr="00EF57C4" w:rsidR="00B55C68">
        <w:rPr>
          <w:rFonts w:ascii="Arial" w:hAnsi="Arial" w:cs="Arial"/>
          <w:sz w:val="22"/>
          <w:szCs w:val="22"/>
        </w:rPr>
        <w:t xml:space="preserve"> de generación térmica con</w:t>
      </w:r>
      <w:r w:rsidRPr="00EF57C4" w:rsidR="00FE6813">
        <w:rPr>
          <w:rFonts w:ascii="Arial" w:hAnsi="Arial" w:cs="Arial"/>
          <w:sz w:val="22"/>
          <w:szCs w:val="22"/>
        </w:rPr>
        <w:t xml:space="preserve"> diésel. </w:t>
      </w:r>
      <w:r w:rsidRPr="00EF57C4" w:rsidR="00D70159">
        <w:rPr>
          <w:rFonts w:ascii="Arial" w:hAnsi="Arial" w:cs="Arial"/>
          <w:sz w:val="22"/>
          <w:szCs w:val="22"/>
        </w:rPr>
        <w:t xml:space="preserve">Para ello se calculó el costo </w:t>
      </w:r>
      <w:r w:rsidRPr="00EF57C4" w:rsidR="009C1CE2">
        <w:rPr>
          <w:rFonts w:ascii="Arial" w:hAnsi="Arial" w:cs="Arial"/>
          <w:sz w:val="22"/>
          <w:szCs w:val="22"/>
        </w:rPr>
        <w:t>nivelad</w:t>
      </w:r>
      <w:r w:rsidRPr="00EF57C4" w:rsidR="00D70159">
        <w:rPr>
          <w:rFonts w:ascii="Arial" w:hAnsi="Arial" w:cs="Arial"/>
          <w:sz w:val="22"/>
          <w:szCs w:val="22"/>
        </w:rPr>
        <w:t>o de la solución fotovoltaica ofrecida</w:t>
      </w:r>
      <w:r w:rsidRPr="00EF57C4" w:rsidR="009C1CE2">
        <w:rPr>
          <w:rFonts w:ascii="Arial" w:hAnsi="Arial" w:cs="Arial"/>
          <w:sz w:val="22"/>
          <w:szCs w:val="22"/>
        </w:rPr>
        <w:t xml:space="preserve"> bajo el programa </w:t>
      </w:r>
      <w:bookmarkStart w:name="_Hlk525043268" w:id="25"/>
      <w:r w:rsidRPr="00EF57C4" w:rsidR="009C1CE2">
        <w:rPr>
          <w:rFonts w:ascii="Arial" w:hAnsi="Arial" w:cs="Arial"/>
          <w:sz w:val="22"/>
          <w:szCs w:val="22"/>
        </w:rPr>
        <w:t>(</w:t>
      </w:r>
      <w:proofErr w:type="spellStart"/>
      <w:r w:rsidRPr="00EF57C4" w:rsidR="009C1CE2">
        <w:rPr>
          <w:rFonts w:ascii="Arial" w:hAnsi="Arial" w:cs="Arial"/>
          <w:i/>
          <w:sz w:val="22"/>
          <w:szCs w:val="22"/>
        </w:rPr>
        <w:t>Levelized</w:t>
      </w:r>
      <w:proofErr w:type="spellEnd"/>
      <w:r w:rsidRPr="00EF57C4" w:rsidR="009C1CE2">
        <w:rPr>
          <w:rFonts w:ascii="Arial" w:hAnsi="Arial" w:cs="Arial"/>
          <w:i/>
          <w:sz w:val="22"/>
          <w:szCs w:val="22"/>
        </w:rPr>
        <w:t xml:space="preserve"> </w:t>
      </w:r>
      <w:proofErr w:type="spellStart"/>
      <w:r w:rsidRPr="00EF57C4" w:rsidR="009C1CE2">
        <w:rPr>
          <w:rFonts w:ascii="Arial" w:hAnsi="Arial" w:cs="Arial"/>
          <w:i/>
          <w:sz w:val="22"/>
          <w:szCs w:val="22"/>
        </w:rPr>
        <w:t>Cost</w:t>
      </w:r>
      <w:proofErr w:type="spellEnd"/>
      <w:r w:rsidRPr="00EF57C4" w:rsidR="009C1CE2">
        <w:rPr>
          <w:rFonts w:ascii="Arial" w:hAnsi="Arial" w:cs="Arial"/>
          <w:i/>
          <w:sz w:val="22"/>
          <w:szCs w:val="22"/>
        </w:rPr>
        <w:t xml:space="preserve"> of Energy</w:t>
      </w:r>
      <w:r w:rsidRPr="00EF57C4" w:rsidR="009C1CE2">
        <w:rPr>
          <w:rFonts w:ascii="Arial" w:hAnsi="Arial" w:cs="Arial"/>
          <w:sz w:val="22"/>
          <w:szCs w:val="22"/>
        </w:rPr>
        <w:t>, LCOE</w:t>
      </w:r>
      <w:bookmarkEnd w:id="25"/>
      <w:r w:rsidRPr="00EF57C4" w:rsidR="009C1CE2">
        <w:rPr>
          <w:rFonts w:ascii="Arial" w:hAnsi="Arial" w:cs="Arial"/>
          <w:sz w:val="22"/>
          <w:szCs w:val="22"/>
        </w:rPr>
        <w:t>)</w:t>
      </w:r>
      <w:r w:rsidRPr="00EF57C4" w:rsidR="00B5381C">
        <w:rPr>
          <w:rFonts w:ascii="Arial" w:hAnsi="Arial" w:cs="Arial"/>
          <w:sz w:val="22"/>
          <w:szCs w:val="22"/>
        </w:rPr>
        <w:t xml:space="preserve"> con base en los valores de la inversión y las proyecciones de costos operativos y de mantenimiento a largo plazo</w:t>
      </w:r>
      <w:r w:rsidRPr="00EF57C4" w:rsidR="00D70159">
        <w:rPr>
          <w:rFonts w:ascii="Arial" w:hAnsi="Arial" w:cs="Arial"/>
          <w:sz w:val="22"/>
          <w:szCs w:val="22"/>
        </w:rPr>
        <w:t>.</w:t>
      </w:r>
      <w:r w:rsidRPr="00EF57C4" w:rsidR="00EB7178">
        <w:rPr>
          <w:rFonts w:ascii="Arial" w:hAnsi="Arial" w:cs="Arial"/>
          <w:sz w:val="22"/>
          <w:szCs w:val="22"/>
        </w:rPr>
        <w:t xml:space="preserve"> El LCOE se calcula como la fracción entre el promedio anual del valor presente de los costos incurridos con el proyecto en 25 años, incluyendo la inversión inicial, y el promedio anual de la energía vendida por el sistema, ajustado por deterioro en el tiempo</w:t>
      </w:r>
      <w:r w:rsidRPr="00EF57C4" w:rsidR="00EF57C4">
        <w:rPr>
          <w:rFonts w:ascii="Arial" w:hAnsi="Arial" w:cs="Arial"/>
          <w:sz w:val="22"/>
          <w:szCs w:val="22"/>
        </w:rPr>
        <w:t>.</w:t>
      </w:r>
      <w:r w:rsidRPr="00EF57C4" w:rsidR="00EB7178">
        <w:rPr>
          <w:rFonts w:ascii="Arial" w:hAnsi="Arial" w:cs="Arial"/>
          <w:sz w:val="22"/>
          <w:szCs w:val="22"/>
        </w:rPr>
        <w:t xml:space="preserve"> </w:t>
      </w:r>
    </w:p>
    <w:p w:rsidRPr="00EF57C4" w:rsidR="00D45BFD" w:rsidP="00F26F81" w:rsidRDefault="00D45BFD" w14:paraId="0999DDF5" w14:textId="713EA7A1">
      <w:pPr>
        <w:pStyle w:val="Paragraph"/>
        <w:numPr>
          <w:ilvl w:val="0"/>
          <w:numId w:val="0"/>
        </w:numPr>
        <w:tabs>
          <w:tab w:val="num" w:pos="720"/>
          <w:tab w:val="num" w:pos="1800"/>
        </w:tabs>
        <w:spacing w:after="0"/>
        <w:ind w:left="720"/>
        <w:jc w:val="center"/>
        <w:rPr>
          <w:rFonts w:ascii="Arial" w:hAnsi="Arial" w:cs="Arial"/>
          <w:sz w:val="20"/>
        </w:rPr>
      </w:pPr>
      <w:r w:rsidRPr="00EF57C4">
        <w:rPr>
          <w:rFonts w:ascii="Arial" w:hAnsi="Arial" w:cs="Arial"/>
          <w:b/>
          <w:sz w:val="20"/>
          <w:lang w:val="es-US"/>
        </w:rPr>
        <w:t xml:space="preserve">Cuadro </w:t>
      </w:r>
      <w:r w:rsidRPr="00EF57C4" w:rsidR="00CB0385">
        <w:rPr>
          <w:rFonts w:ascii="Arial" w:hAnsi="Arial" w:cs="Arial"/>
          <w:b/>
          <w:sz w:val="20"/>
          <w:lang w:val="es-US"/>
        </w:rPr>
        <w:t>4</w:t>
      </w:r>
      <w:r w:rsidRPr="00EF57C4">
        <w:rPr>
          <w:rFonts w:ascii="Arial" w:hAnsi="Arial" w:cs="Arial"/>
          <w:b/>
          <w:sz w:val="20"/>
          <w:lang w:val="es-US"/>
        </w:rPr>
        <w:t>.  Comparación de costos unitarios por tecnología</w:t>
      </w:r>
    </w:p>
    <w:tbl>
      <w:tblPr>
        <w:tblStyle w:val="TableGrid"/>
        <w:tblW w:w="4385" w:type="dxa"/>
        <w:tblInd w:w="2575" w:type="dxa"/>
        <w:tblLayout w:type="fixed"/>
        <w:tblLook w:val="04A0" w:firstRow="1" w:lastRow="0" w:firstColumn="1" w:lastColumn="0" w:noHBand="0" w:noVBand="1"/>
      </w:tblPr>
      <w:tblGrid>
        <w:gridCol w:w="3235"/>
        <w:gridCol w:w="1150"/>
      </w:tblGrid>
      <w:tr w:rsidRPr="00D55DC0" w:rsidR="00D45BFD" w:rsidTr="00843E6B" w14:paraId="06B23950" w14:textId="6BAD4D84">
        <w:tc>
          <w:tcPr>
            <w:tcW w:w="4385" w:type="dxa"/>
            <w:gridSpan w:val="2"/>
            <w:shd w:val="clear" w:color="auto" w:fill="DBE5F1" w:themeFill="accent1" w:themeFillTint="33"/>
          </w:tcPr>
          <w:p w:rsidRPr="009A1249" w:rsidR="00D45BFD" w:rsidP="00564B13" w:rsidRDefault="00D45BFD" w14:paraId="63A173BF" w14:textId="66908076">
            <w:pPr>
              <w:pStyle w:val="Paragraph"/>
              <w:numPr>
                <w:ilvl w:val="0"/>
                <w:numId w:val="0"/>
              </w:numPr>
              <w:tabs>
                <w:tab w:val="num" w:pos="1800"/>
              </w:tabs>
              <w:jc w:val="center"/>
              <w:rPr>
                <w:rFonts w:ascii="Arial" w:hAnsi="Arial" w:cs="Arial"/>
                <w:b/>
                <w:sz w:val="20"/>
                <w:lang w:val="es-ES_tradnl"/>
              </w:rPr>
            </w:pPr>
            <w:r w:rsidRPr="009A1249">
              <w:rPr>
                <w:rFonts w:ascii="Arial" w:hAnsi="Arial" w:cs="Arial"/>
                <w:b/>
                <w:sz w:val="20"/>
                <w:lang w:val="es-ES_tradnl"/>
              </w:rPr>
              <w:t xml:space="preserve">FV </w:t>
            </w:r>
            <w:proofErr w:type="spellStart"/>
            <w:r w:rsidRPr="009A1249" w:rsidR="0074018C">
              <w:rPr>
                <w:rFonts w:ascii="Arial" w:hAnsi="Arial" w:cs="Arial"/>
                <w:b/>
                <w:sz w:val="20"/>
                <w:lang w:val="es-ES_tradnl"/>
              </w:rPr>
              <w:t>micro-</w:t>
            </w:r>
            <w:r w:rsidRPr="009A1249">
              <w:rPr>
                <w:rFonts w:ascii="Arial" w:hAnsi="Arial" w:cs="Arial"/>
                <w:b/>
                <w:sz w:val="20"/>
                <w:lang w:val="es-ES_tradnl"/>
              </w:rPr>
              <w:t>red</w:t>
            </w:r>
            <w:proofErr w:type="spellEnd"/>
            <w:r w:rsidRPr="009A1249">
              <w:rPr>
                <w:rFonts w:ascii="Arial" w:hAnsi="Arial" w:cs="Arial"/>
                <w:b/>
                <w:sz w:val="20"/>
                <w:lang w:val="es-ES_tradnl"/>
              </w:rPr>
              <w:t xml:space="preserve"> vs. </w:t>
            </w:r>
            <w:proofErr w:type="spellStart"/>
            <w:r w:rsidRPr="009A1249" w:rsidR="00514D3C">
              <w:rPr>
                <w:rFonts w:ascii="Arial" w:hAnsi="Arial" w:cs="Arial"/>
                <w:b/>
                <w:sz w:val="20"/>
                <w:lang w:val="es-ES_tradnl"/>
              </w:rPr>
              <w:t>diesel</w:t>
            </w:r>
            <w:proofErr w:type="spellEnd"/>
          </w:p>
        </w:tc>
      </w:tr>
      <w:tr w:rsidRPr="001B31BA" w:rsidR="00D45BFD" w:rsidTr="00D45BFD" w14:paraId="4636778E" w14:textId="3F9C5B0F">
        <w:trPr>
          <w:trHeight w:val="323"/>
        </w:trPr>
        <w:tc>
          <w:tcPr>
            <w:tcW w:w="3235" w:type="dxa"/>
            <w:tcBorders>
              <w:bottom w:val="single" w:color="auto" w:sz="4" w:space="0"/>
            </w:tcBorders>
          </w:tcPr>
          <w:p w:rsidRPr="00D55DC0" w:rsidR="00D45BFD" w:rsidP="00A330DD" w:rsidRDefault="00D45BFD" w14:paraId="4359A85D" w14:textId="3432D01E">
            <w:pPr>
              <w:pStyle w:val="Paragraph"/>
              <w:numPr>
                <w:ilvl w:val="0"/>
                <w:numId w:val="0"/>
              </w:numPr>
              <w:tabs>
                <w:tab w:val="num" w:pos="1800"/>
              </w:tabs>
              <w:snapToGrid w:val="0"/>
              <w:spacing w:before="0" w:after="0"/>
              <w:rPr>
                <w:rFonts w:ascii="Arial" w:hAnsi="Arial" w:cs="Arial"/>
                <w:b/>
                <w:sz w:val="20"/>
                <w:lang w:val="es-US"/>
              </w:rPr>
            </w:pPr>
            <w:bookmarkStart w:name="_Hlk526086794" w:id="26"/>
            <w:r w:rsidRPr="00D55DC0">
              <w:rPr>
                <w:rFonts w:ascii="Arial" w:hAnsi="Arial" w:cs="Arial"/>
                <w:b/>
                <w:sz w:val="20"/>
                <w:lang w:val="es-US"/>
              </w:rPr>
              <w:t xml:space="preserve">FV </w:t>
            </w:r>
            <w:proofErr w:type="spellStart"/>
            <w:r w:rsidR="0074018C">
              <w:rPr>
                <w:rFonts w:ascii="Arial" w:hAnsi="Arial" w:cs="Arial"/>
                <w:b/>
                <w:sz w:val="20"/>
                <w:lang w:val="es-US"/>
              </w:rPr>
              <w:t>micro-</w:t>
            </w:r>
            <w:r w:rsidRPr="00D55DC0">
              <w:rPr>
                <w:rFonts w:ascii="Arial" w:hAnsi="Arial" w:cs="Arial"/>
                <w:b/>
                <w:sz w:val="20"/>
                <w:lang w:val="es-US"/>
              </w:rPr>
              <w:t>red</w:t>
            </w:r>
            <w:proofErr w:type="spellEnd"/>
          </w:p>
          <w:p w:rsidRPr="00B261FE" w:rsidR="00D45BFD" w:rsidP="00A330DD" w:rsidRDefault="00D45BFD" w14:paraId="7E4D55A6" w14:textId="4B34697A">
            <w:pPr>
              <w:pStyle w:val="Paragraph"/>
              <w:numPr>
                <w:ilvl w:val="0"/>
                <w:numId w:val="0"/>
              </w:numPr>
              <w:tabs>
                <w:tab w:val="num" w:pos="1800"/>
              </w:tabs>
              <w:snapToGrid w:val="0"/>
              <w:spacing w:before="0" w:after="0"/>
              <w:rPr>
                <w:rFonts w:ascii="Arial" w:hAnsi="Arial" w:cs="Arial"/>
                <w:sz w:val="20"/>
                <w:lang w:val="es-US"/>
              </w:rPr>
            </w:pPr>
          </w:p>
        </w:tc>
        <w:tc>
          <w:tcPr>
            <w:tcW w:w="1150" w:type="dxa"/>
            <w:tcBorders>
              <w:bottom w:val="single" w:color="auto" w:sz="4" w:space="0"/>
            </w:tcBorders>
          </w:tcPr>
          <w:p w:rsidRPr="001B31BA" w:rsidR="00D45BFD" w:rsidP="00B261FE" w:rsidRDefault="00D45BFD" w14:paraId="5E784CAF" w14:textId="6856EA69">
            <w:pPr>
              <w:pStyle w:val="Paragraph"/>
              <w:numPr>
                <w:ilvl w:val="0"/>
                <w:numId w:val="0"/>
              </w:numPr>
              <w:tabs>
                <w:tab w:val="num" w:pos="1800"/>
              </w:tabs>
              <w:rPr>
                <w:rFonts w:ascii="Arial" w:hAnsi="Arial" w:cs="Arial"/>
                <w:sz w:val="20"/>
                <w:lang w:val="en-US"/>
              </w:rPr>
            </w:pPr>
            <w:bookmarkStart w:name="_Hlk525077879" w:id="27"/>
            <w:r w:rsidRPr="00740F51">
              <w:rPr>
                <w:rFonts w:ascii="Arial" w:hAnsi="Arial" w:cs="Arial"/>
                <w:b/>
                <w:sz w:val="20"/>
                <w:lang w:val="en-US"/>
              </w:rPr>
              <w:t>US¢/kWh</w:t>
            </w:r>
            <w:bookmarkEnd w:id="27"/>
          </w:p>
        </w:tc>
      </w:tr>
      <w:tr w:rsidRPr="001B31BA" w:rsidR="005C2F4E" w:rsidTr="00D45BFD" w14:paraId="6DD91931" w14:textId="77777777">
        <w:tc>
          <w:tcPr>
            <w:tcW w:w="3235" w:type="dxa"/>
            <w:tcBorders>
              <w:bottom w:val="nil"/>
            </w:tcBorders>
          </w:tcPr>
          <w:p w:rsidR="005C2F4E" w:rsidP="005C2F4E" w:rsidRDefault="005C2F4E" w14:paraId="2360DD4A" w14:textId="3D9EC91C">
            <w:pPr>
              <w:pStyle w:val="Paragraph"/>
              <w:numPr>
                <w:ilvl w:val="0"/>
                <w:numId w:val="0"/>
              </w:numPr>
              <w:tabs>
                <w:tab w:val="num" w:pos="1800"/>
              </w:tabs>
              <w:snapToGrid w:val="0"/>
              <w:spacing w:before="0" w:after="0"/>
              <w:ind w:left="720"/>
              <w:rPr>
                <w:rFonts w:ascii="Arial" w:hAnsi="Arial" w:cs="Arial"/>
                <w:sz w:val="20"/>
                <w:lang w:val="en-US"/>
              </w:rPr>
            </w:pPr>
            <w:r w:rsidRPr="00B261FE">
              <w:rPr>
                <w:rFonts w:ascii="Arial" w:hAnsi="Arial" w:cs="Arial"/>
                <w:sz w:val="20"/>
                <w:lang w:val="es-US"/>
              </w:rPr>
              <w:t>Brus Laguna</w:t>
            </w:r>
          </w:p>
        </w:tc>
        <w:tc>
          <w:tcPr>
            <w:tcW w:w="1150" w:type="dxa"/>
            <w:tcBorders>
              <w:bottom w:val="nil"/>
            </w:tcBorders>
          </w:tcPr>
          <w:p w:rsidR="005C2F4E" w:rsidP="005C2F4E" w:rsidRDefault="005C2F4E" w14:paraId="56162989" w14:textId="720D02C2">
            <w:pPr>
              <w:pStyle w:val="Paragraph"/>
              <w:numPr>
                <w:ilvl w:val="0"/>
                <w:numId w:val="0"/>
              </w:numPr>
              <w:tabs>
                <w:tab w:val="num" w:pos="1800"/>
              </w:tabs>
              <w:spacing w:before="0" w:after="0"/>
              <w:jc w:val="center"/>
              <w:rPr>
                <w:rFonts w:ascii="Arial" w:hAnsi="Arial" w:cs="Arial"/>
                <w:sz w:val="20"/>
                <w:lang w:val="en-US"/>
              </w:rPr>
            </w:pPr>
            <w:r>
              <w:rPr>
                <w:rFonts w:ascii="Arial" w:hAnsi="Arial" w:cs="Arial"/>
                <w:sz w:val="20"/>
                <w:lang w:val="en-US"/>
              </w:rPr>
              <w:t>48,24</w:t>
            </w:r>
          </w:p>
        </w:tc>
      </w:tr>
      <w:tr w:rsidRPr="001B31BA" w:rsidR="005C2F4E" w:rsidTr="00D45BFD" w14:paraId="05D187DD" w14:textId="77777777">
        <w:trPr>
          <w:trHeight w:val="63"/>
        </w:trPr>
        <w:tc>
          <w:tcPr>
            <w:tcW w:w="3235" w:type="dxa"/>
            <w:tcBorders>
              <w:top w:val="nil"/>
            </w:tcBorders>
          </w:tcPr>
          <w:p w:rsidRPr="001B31BA" w:rsidR="005C2F4E" w:rsidP="005C2F4E" w:rsidRDefault="005C2F4E" w14:paraId="48254990" w14:textId="0F43BE00">
            <w:pPr>
              <w:pStyle w:val="Paragraph"/>
              <w:numPr>
                <w:ilvl w:val="0"/>
                <w:numId w:val="0"/>
              </w:numPr>
              <w:tabs>
                <w:tab w:val="num" w:pos="1800"/>
              </w:tabs>
              <w:snapToGrid w:val="0"/>
              <w:spacing w:before="0" w:after="0"/>
              <w:ind w:left="720"/>
              <w:rPr>
                <w:rFonts w:ascii="Arial" w:hAnsi="Arial" w:cs="Arial"/>
                <w:sz w:val="20"/>
                <w:lang w:val="en-US"/>
              </w:rPr>
            </w:pPr>
            <w:proofErr w:type="spellStart"/>
            <w:r>
              <w:rPr>
                <w:rFonts w:ascii="Arial" w:hAnsi="Arial" w:cs="Arial"/>
                <w:sz w:val="20"/>
                <w:lang w:val="en-US"/>
              </w:rPr>
              <w:lastRenderedPageBreak/>
              <w:t>Guanaja</w:t>
            </w:r>
            <w:proofErr w:type="spellEnd"/>
          </w:p>
        </w:tc>
        <w:tc>
          <w:tcPr>
            <w:tcW w:w="1150" w:type="dxa"/>
            <w:tcBorders>
              <w:top w:val="nil"/>
            </w:tcBorders>
          </w:tcPr>
          <w:p w:rsidR="005C2F4E" w:rsidP="005C2F4E" w:rsidRDefault="005C2F4E" w14:paraId="5983EEE1" w14:textId="5CF9FEE3">
            <w:pPr>
              <w:pStyle w:val="Paragraph"/>
              <w:numPr>
                <w:ilvl w:val="0"/>
                <w:numId w:val="0"/>
              </w:numPr>
              <w:tabs>
                <w:tab w:val="num" w:pos="1800"/>
              </w:tabs>
              <w:spacing w:before="0" w:after="0"/>
              <w:jc w:val="center"/>
              <w:rPr>
                <w:rFonts w:ascii="Arial" w:hAnsi="Arial" w:cs="Arial"/>
                <w:sz w:val="20"/>
                <w:lang w:val="en-US"/>
              </w:rPr>
            </w:pPr>
            <w:r>
              <w:rPr>
                <w:rFonts w:ascii="Arial" w:hAnsi="Arial" w:cs="Arial"/>
                <w:sz w:val="20"/>
                <w:lang w:val="en-US"/>
              </w:rPr>
              <w:t>34,08</w:t>
            </w:r>
          </w:p>
        </w:tc>
      </w:tr>
      <w:tr w:rsidRPr="001B31BA" w:rsidR="005C2F4E" w:rsidTr="00D45BFD" w14:paraId="2F8FEFE5" w14:textId="7461A35C">
        <w:tc>
          <w:tcPr>
            <w:tcW w:w="3235" w:type="dxa"/>
            <w:vAlign w:val="center"/>
          </w:tcPr>
          <w:p w:rsidRPr="00D55DC0" w:rsidR="005C2F4E" w:rsidP="005C2F4E" w:rsidRDefault="005C2F4E" w14:paraId="32955C20" w14:textId="5CB5F38A">
            <w:pPr>
              <w:pStyle w:val="Paragraph"/>
              <w:numPr>
                <w:ilvl w:val="0"/>
                <w:numId w:val="0"/>
              </w:numPr>
              <w:tabs>
                <w:tab w:val="num" w:pos="1800"/>
              </w:tabs>
              <w:snapToGrid w:val="0"/>
              <w:spacing w:before="0" w:after="0"/>
              <w:rPr>
                <w:rFonts w:ascii="Arial" w:hAnsi="Arial" w:cs="Arial"/>
                <w:b/>
                <w:sz w:val="20"/>
                <w:lang w:val="es-ES_tradnl"/>
              </w:rPr>
            </w:pPr>
            <w:r w:rsidRPr="00D55DC0">
              <w:rPr>
                <w:rFonts w:ascii="Arial" w:hAnsi="Arial" w:cs="Arial"/>
                <w:b/>
                <w:sz w:val="20"/>
                <w:lang w:val="es-ES_tradnl"/>
              </w:rPr>
              <w:t>Diésel</w:t>
            </w:r>
          </w:p>
        </w:tc>
        <w:tc>
          <w:tcPr>
            <w:tcW w:w="1150" w:type="dxa"/>
            <w:tcBorders>
              <w:bottom w:val="single" w:color="auto" w:sz="4" w:space="0"/>
            </w:tcBorders>
          </w:tcPr>
          <w:p w:rsidRPr="005979F3" w:rsidR="005C2F4E" w:rsidP="005C2F4E" w:rsidRDefault="005C2F4E" w14:paraId="762EC17D" w14:textId="057C7802">
            <w:pPr>
              <w:pStyle w:val="Paragraph"/>
              <w:numPr>
                <w:ilvl w:val="0"/>
                <w:numId w:val="0"/>
              </w:numPr>
              <w:tabs>
                <w:tab w:val="num" w:pos="1800"/>
              </w:tabs>
              <w:rPr>
                <w:rFonts w:ascii="Arial" w:hAnsi="Arial" w:cs="Arial"/>
                <w:sz w:val="20"/>
                <w:lang w:val="es-ES_tradnl"/>
              </w:rPr>
            </w:pPr>
            <w:r w:rsidRPr="00564B13">
              <w:rPr>
                <w:rFonts w:ascii="Arial" w:hAnsi="Arial" w:cs="Arial"/>
                <w:b/>
                <w:sz w:val="20"/>
                <w:lang w:val="en-US"/>
              </w:rPr>
              <w:t>US</w:t>
            </w:r>
            <w:r w:rsidRPr="00B261FE">
              <w:rPr>
                <w:rFonts w:ascii="Arial" w:hAnsi="Arial" w:cs="Arial"/>
                <w:b/>
                <w:sz w:val="20"/>
                <w:lang w:val="en-US"/>
              </w:rPr>
              <w:t>¢</w:t>
            </w:r>
            <w:r w:rsidRPr="00564B13">
              <w:rPr>
                <w:rFonts w:ascii="Arial" w:hAnsi="Arial" w:cs="Arial"/>
                <w:b/>
                <w:sz w:val="20"/>
                <w:lang w:val="en-US"/>
              </w:rPr>
              <w:t>/kWh</w:t>
            </w:r>
          </w:p>
        </w:tc>
      </w:tr>
      <w:tr w:rsidRPr="001B31BA" w:rsidR="005C2F4E" w:rsidTr="00D45BFD" w14:paraId="2438C096" w14:textId="77777777">
        <w:trPr>
          <w:trHeight w:val="152"/>
        </w:trPr>
        <w:tc>
          <w:tcPr>
            <w:tcW w:w="3235" w:type="dxa"/>
            <w:tcBorders>
              <w:bottom w:val="nil"/>
            </w:tcBorders>
          </w:tcPr>
          <w:p w:rsidRPr="00D55DC0" w:rsidR="005C2F4E" w:rsidP="005C2F4E" w:rsidRDefault="005C2F4E" w14:paraId="1C434808" w14:textId="642B1F11">
            <w:pPr>
              <w:pStyle w:val="Paragraph"/>
              <w:numPr>
                <w:ilvl w:val="0"/>
                <w:numId w:val="0"/>
              </w:numPr>
              <w:tabs>
                <w:tab w:val="num" w:pos="1800"/>
              </w:tabs>
              <w:snapToGrid w:val="0"/>
              <w:spacing w:before="0" w:after="0"/>
              <w:ind w:left="720"/>
              <w:rPr>
                <w:rFonts w:ascii="Arial" w:hAnsi="Arial" w:cs="Arial"/>
                <w:sz w:val="20"/>
                <w:lang w:val="es-US"/>
              </w:rPr>
            </w:pPr>
            <w:bookmarkStart w:name="_Hlk482174377" w:id="28"/>
            <w:r w:rsidRPr="00B261FE">
              <w:rPr>
                <w:rFonts w:ascii="Arial" w:hAnsi="Arial" w:cs="Arial"/>
                <w:sz w:val="20"/>
                <w:lang w:val="es-US"/>
              </w:rPr>
              <w:t>Brus Laguna</w:t>
            </w:r>
          </w:p>
        </w:tc>
        <w:tc>
          <w:tcPr>
            <w:tcW w:w="1150" w:type="dxa"/>
            <w:tcBorders>
              <w:bottom w:val="nil"/>
            </w:tcBorders>
          </w:tcPr>
          <w:p w:rsidR="005C2F4E" w:rsidP="005C2F4E" w:rsidRDefault="005C2F4E" w14:paraId="5C2F2E26" w14:textId="18874FE9">
            <w:pPr>
              <w:pStyle w:val="Paragraph"/>
              <w:numPr>
                <w:ilvl w:val="0"/>
                <w:numId w:val="0"/>
              </w:numPr>
              <w:tabs>
                <w:tab w:val="num" w:pos="1800"/>
              </w:tabs>
              <w:snapToGrid w:val="0"/>
              <w:spacing w:before="0" w:after="0"/>
              <w:jc w:val="center"/>
              <w:rPr>
                <w:rFonts w:ascii="Arial" w:hAnsi="Arial" w:cs="Arial"/>
                <w:sz w:val="20"/>
                <w:lang w:val="es-ES_tradnl"/>
              </w:rPr>
            </w:pPr>
            <w:r>
              <w:rPr>
                <w:rFonts w:ascii="Arial" w:hAnsi="Arial" w:cs="Arial"/>
                <w:sz w:val="20"/>
                <w:lang w:val="en-US"/>
              </w:rPr>
              <w:t>65,0</w:t>
            </w:r>
          </w:p>
        </w:tc>
      </w:tr>
      <w:tr w:rsidRPr="001B31BA" w:rsidR="005C2F4E" w:rsidTr="00D45BFD" w14:paraId="62E4E191" w14:textId="77777777">
        <w:trPr>
          <w:trHeight w:val="116"/>
        </w:trPr>
        <w:tc>
          <w:tcPr>
            <w:tcW w:w="3235" w:type="dxa"/>
            <w:tcBorders>
              <w:top w:val="nil"/>
            </w:tcBorders>
          </w:tcPr>
          <w:p w:rsidRPr="00D55DC0" w:rsidR="005C2F4E" w:rsidP="005C2F4E" w:rsidRDefault="005C2F4E" w14:paraId="4717BC7E" w14:textId="43F93F2F">
            <w:pPr>
              <w:pStyle w:val="Paragraph"/>
              <w:numPr>
                <w:ilvl w:val="0"/>
                <w:numId w:val="0"/>
              </w:numPr>
              <w:tabs>
                <w:tab w:val="num" w:pos="1800"/>
              </w:tabs>
              <w:snapToGrid w:val="0"/>
              <w:spacing w:before="0" w:after="0"/>
              <w:ind w:left="720"/>
              <w:rPr>
                <w:rFonts w:ascii="Arial" w:hAnsi="Arial" w:cs="Arial"/>
                <w:sz w:val="20"/>
                <w:lang w:val="es-US"/>
              </w:rPr>
            </w:pPr>
            <w:r w:rsidRPr="00D55DC0">
              <w:rPr>
                <w:rFonts w:ascii="Arial" w:hAnsi="Arial" w:cs="Arial"/>
                <w:sz w:val="20"/>
                <w:lang w:val="es-US"/>
              </w:rPr>
              <w:t>Guanaja</w:t>
            </w:r>
            <w:r>
              <w:rPr>
                <w:rFonts w:ascii="Arial" w:hAnsi="Arial" w:cs="Arial"/>
                <w:sz w:val="20"/>
                <w:lang w:val="es-US"/>
              </w:rPr>
              <w:t xml:space="preserve"> (promedio)</w:t>
            </w:r>
          </w:p>
        </w:tc>
        <w:tc>
          <w:tcPr>
            <w:tcW w:w="1150" w:type="dxa"/>
            <w:tcBorders>
              <w:top w:val="nil"/>
            </w:tcBorders>
          </w:tcPr>
          <w:p w:rsidR="005C2F4E" w:rsidP="005C2F4E" w:rsidRDefault="005C2F4E" w14:paraId="74A6FFEE" w14:textId="26141BEB">
            <w:pPr>
              <w:pStyle w:val="Paragraph"/>
              <w:numPr>
                <w:ilvl w:val="0"/>
                <w:numId w:val="0"/>
              </w:numPr>
              <w:tabs>
                <w:tab w:val="num" w:pos="1800"/>
              </w:tabs>
              <w:snapToGrid w:val="0"/>
              <w:spacing w:before="0" w:after="0"/>
              <w:jc w:val="center"/>
              <w:rPr>
                <w:rFonts w:ascii="Arial" w:hAnsi="Arial" w:cs="Arial"/>
                <w:sz w:val="20"/>
                <w:lang w:val="es-ES_tradnl"/>
              </w:rPr>
            </w:pPr>
            <w:r>
              <w:rPr>
                <w:rFonts w:ascii="Arial" w:hAnsi="Arial" w:cs="Arial"/>
                <w:sz w:val="20"/>
                <w:lang w:val="es-ES_tradnl"/>
              </w:rPr>
              <w:t>45,0</w:t>
            </w:r>
          </w:p>
        </w:tc>
      </w:tr>
      <w:bookmarkEnd w:id="28"/>
      <w:tr w:rsidRPr="001B31BA" w:rsidR="005C2F4E" w:rsidTr="00D45BFD" w14:paraId="3EFF864A" w14:textId="00E3C9CF">
        <w:tc>
          <w:tcPr>
            <w:tcW w:w="3235" w:type="dxa"/>
          </w:tcPr>
          <w:p w:rsidRPr="007B1A63" w:rsidR="005C2F4E" w:rsidP="005C2F4E" w:rsidRDefault="005C2F4E" w14:paraId="3FF2F0EB" w14:textId="2EB15DBC">
            <w:pPr>
              <w:pStyle w:val="Paragraph"/>
              <w:numPr>
                <w:ilvl w:val="0"/>
                <w:numId w:val="0"/>
              </w:numPr>
              <w:tabs>
                <w:tab w:val="num" w:pos="1800"/>
              </w:tabs>
              <w:rPr>
                <w:rFonts w:ascii="Arial" w:hAnsi="Arial" w:cs="Arial"/>
                <w:b/>
                <w:sz w:val="20"/>
                <w:lang w:val="es-US"/>
              </w:rPr>
            </w:pPr>
            <w:r w:rsidRPr="007B1A63">
              <w:rPr>
                <w:rFonts w:ascii="Arial" w:hAnsi="Arial" w:cs="Arial"/>
                <w:b/>
                <w:sz w:val="20"/>
                <w:lang w:val="es-US"/>
              </w:rPr>
              <w:t xml:space="preserve">FV </w:t>
            </w:r>
            <w:proofErr w:type="spellStart"/>
            <w:r w:rsidR="0074018C">
              <w:rPr>
                <w:rFonts w:ascii="Arial" w:hAnsi="Arial" w:cs="Arial"/>
                <w:b/>
                <w:sz w:val="20"/>
                <w:lang w:val="es-US"/>
              </w:rPr>
              <w:t>micro-</w:t>
            </w:r>
            <w:r w:rsidRPr="007B1A63">
              <w:rPr>
                <w:rFonts w:ascii="Arial" w:hAnsi="Arial" w:cs="Arial"/>
                <w:b/>
                <w:sz w:val="20"/>
                <w:lang w:val="es-US"/>
              </w:rPr>
              <w:t>red</w:t>
            </w:r>
            <w:proofErr w:type="spellEnd"/>
            <w:r w:rsidRPr="007B1A63">
              <w:rPr>
                <w:rFonts w:ascii="Arial" w:hAnsi="Arial" w:cs="Arial"/>
                <w:b/>
                <w:sz w:val="20"/>
                <w:lang w:val="es-US"/>
              </w:rPr>
              <w:t xml:space="preserve"> vs.</w:t>
            </w:r>
            <w:r>
              <w:rPr>
                <w:rFonts w:ascii="Arial" w:hAnsi="Arial" w:cs="Arial"/>
                <w:b/>
                <w:sz w:val="20"/>
                <w:lang w:val="es-US"/>
              </w:rPr>
              <w:t xml:space="preserve"> Dié</w:t>
            </w:r>
            <w:r w:rsidRPr="007B1A63">
              <w:rPr>
                <w:rFonts w:ascii="Arial" w:hAnsi="Arial" w:cs="Arial"/>
                <w:b/>
                <w:sz w:val="20"/>
                <w:lang w:val="es-US"/>
              </w:rPr>
              <w:t>sel</w:t>
            </w:r>
          </w:p>
        </w:tc>
        <w:tc>
          <w:tcPr>
            <w:tcW w:w="1150" w:type="dxa"/>
          </w:tcPr>
          <w:p w:rsidRPr="007B1A63" w:rsidR="005C2F4E" w:rsidP="005C2F4E" w:rsidRDefault="005C2F4E" w14:paraId="756141AA" w14:textId="7CEC75C6">
            <w:pPr>
              <w:pStyle w:val="Paragraph"/>
              <w:numPr>
                <w:ilvl w:val="0"/>
                <w:numId w:val="0"/>
              </w:numPr>
              <w:tabs>
                <w:tab w:val="num" w:pos="1800"/>
              </w:tabs>
              <w:jc w:val="center"/>
              <w:rPr>
                <w:rFonts w:ascii="Arial" w:hAnsi="Arial" w:cs="Arial"/>
                <w:b/>
                <w:sz w:val="20"/>
                <w:lang w:val="es-US"/>
              </w:rPr>
            </w:pPr>
            <w:r w:rsidRPr="007B1A63">
              <w:rPr>
                <w:rFonts w:ascii="Arial" w:hAnsi="Arial" w:cs="Arial"/>
                <w:b/>
                <w:sz w:val="20"/>
                <w:lang w:val="es-US"/>
              </w:rPr>
              <w:t>%</w:t>
            </w:r>
          </w:p>
        </w:tc>
      </w:tr>
      <w:tr w:rsidRPr="001B31BA" w:rsidR="005C2F4E" w:rsidTr="00D45BFD" w14:paraId="7CF60725" w14:textId="77777777">
        <w:tc>
          <w:tcPr>
            <w:tcW w:w="3235" w:type="dxa"/>
            <w:tcBorders>
              <w:bottom w:val="nil"/>
            </w:tcBorders>
          </w:tcPr>
          <w:p w:rsidRPr="007B1A63" w:rsidR="005C2F4E" w:rsidP="005C2F4E" w:rsidRDefault="005C2F4E" w14:paraId="0EE391B6" w14:textId="3B5D3280">
            <w:pPr>
              <w:pStyle w:val="Paragraph"/>
              <w:numPr>
                <w:ilvl w:val="0"/>
                <w:numId w:val="0"/>
              </w:numPr>
              <w:tabs>
                <w:tab w:val="num" w:pos="1800"/>
              </w:tabs>
              <w:snapToGrid w:val="0"/>
              <w:spacing w:before="0" w:after="0"/>
              <w:ind w:left="720"/>
              <w:rPr>
                <w:rFonts w:ascii="Arial" w:hAnsi="Arial" w:cs="Arial"/>
                <w:sz w:val="20"/>
                <w:lang w:val="es-US"/>
              </w:rPr>
            </w:pPr>
            <w:r w:rsidRPr="00B261FE">
              <w:rPr>
                <w:rFonts w:ascii="Arial" w:hAnsi="Arial" w:cs="Arial"/>
                <w:sz w:val="20"/>
                <w:lang w:val="es-US"/>
              </w:rPr>
              <w:t>Brus Laguna</w:t>
            </w:r>
          </w:p>
        </w:tc>
        <w:tc>
          <w:tcPr>
            <w:tcW w:w="1150" w:type="dxa"/>
            <w:tcBorders>
              <w:bottom w:val="nil"/>
            </w:tcBorders>
          </w:tcPr>
          <w:p w:rsidRPr="007B1A63" w:rsidR="005C2F4E" w:rsidP="005C2F4E" w:rsidRDefault="005C2F4E" w14:paraId="4B59B654" w14:textId="41D2C6B8">
            <w:pPr>
              <w:pStyle w:val="Paragraph"/>
              <w:numPr>
                <w:ilvl w:val="0"/>
                <w:numId w:val="0"/>
              </w:numPr>
              <w:tabs>
                <w:tab w:val="num" w:pos="1800"/>
              </w:tabs>
              <w:snapToGrid w:val="0"/>
              <w:spacing w:before="0" w:after="0"/>
              <w:jc w:val="center"/>
              <w:rPr>
                <w:rFonts w:ascii="Arial" w:hAnsi="Arial" w:cs="Arial"/>
                <w:sz w:val="20"/>
                <w:lang w:val="es-US"/>
              </w:rPr>
            </w:pPr>
            <w:r>
              <w:rPr>
                <w:rFonts w:ascii="Arial" w:hAnsi="Arial" w:cs="Arial"/>
                <w:sz w:val="20"/>
                <w:lang w:val="es-US"/>
              </w:rPr>
              <w:t>74</w:t>
            </w:r>
            <w:r w:rsidRPr="007B1A63">
              <w:rPr>
                <w:rFonts w:ascii="Arial" w:hAnsi="Arial" w:cs="Arial"/>
                <w:sz w:val="20"/>
                <w:lang w:val="es-US"/>
              </w:rPr>
              <w:t>,</w:t>
            </w:r>
            <w:r>
              <w:rPr>
                <w:rFonts w:ascii="Arial" w:hAnsi="Arial" w:cs="Arial"/>
                <w:sz w:val="20"/>
                <w:lang w:val="es-US"/>
              </w:rPr>
              <w:t>21</w:t>
            </w:r>
          </w:p>
        </w:tc>
      </w:tr>
      <w:tr w:rsidRPr="001B31BA" w:rsidR="005C2F4E" w:rsidTr="00D45BFD" w14:paraId="1182272D" w14:textId="77777777">
        <w:tc>
          <w:tcPr>
            <w:tcW w:w="3235" w:type="dxa"/>
            <w:tcBorders>
              <w:top w:val="nil"/>
            </w:tcBorders>
          </w:tcPr>
          <w:p w:rsidRPr="007B1A63" w:rsidR="005C2F4E" w:rsidP="005C2F4E" w:rsidRDefault="005C2F4E" w14:paraId="6F5AE8C1" w14:textId="354CACCE">
            <w:pPr>
              <w:pStyle w:val="Paragraph"/>
              <w:numPr>
                <w:ilvl w:val="0"/>
                <w:numId w:val="0"/>
              </w:numPr>
              <w:tabs>
                <w:tab w:val="num" w:pos="1800"/>
              </w:tabs>
              <w:snapToGrid w:val="0"/>
              <w:spacing w:before="0" w:after="0"/>
              <w:ind w:left="720"/>
              <w:rPr>
                <w:rFonts w:ascii="Arial" w:hAnsi="Arial" w:cs="Arial"/>
                <w:sz w:val="20"/>
                <w:lang w:val="es-US"/>
              </w:rPr>
            </w:pPr>
            <w:r w:rsidRPr="00D55DC0">
              <w:rPr>
                <w:rFonts w:ascii="Arial" w:hAnsi="Arial" w:cs="Arial"/>
                <w:sz w:val="20"/>
                <w:lang w:val="es-US"/>
              </w:rPr>
              <w:t>Guanaja</w:t>
            </w:r>
          </w:p>
        </w:tc>
        <w:tc>
          <w:tcPr>
            <w:tcW w:w="1150" w:type="dxa"/>
            <w:tcBorders>
              <w:top w:val="nil"/>
            </w:tcBorders>
          </w:tcPr>
          <w:p w:rsidRPr="007B1A63" w:rsidR="005C2F4E" w:rsidP="005C2F4E" w:rsidRDefault="005C2F4E" w14:paraId="0DA0397D" w14:textId="7E8F5179">
            <w:pPr>
              <w:pStyle w:val="Paragraph"/>
              <w:numPr>
                <w:ilvl w:val="0"/>
                <w:numId w:val="0"/>
              </w:numPr>
              <w:tabs>
                <w:tab w:val="num" w:pos="1800"/>
              </w:tabs>
              <w:snapToGrid w:val="0"/>
              <w:spacing w:before="0" w:after="0"/>
              <w:jc w:val="center"/>
              <w:rPr>
                <w:rFonts w:ascii="Arial" w:hAnsi="Arial" w:cs="Arial"/>
                <w:sz w:val="20"/>
                <w:lang w:val="es-US"/>
              </w:rPr>
            </w:pPr>
            <w:r>
              <w:rPr>
                <w:rFonts w:ascii="Arial" w:hAnsi="Arial" w:cs="Arial"/>
                <w:sz w:val="20"/>
                <w:lang w:val="es-US"/>
              </w:rPr>
              <w:t>75</w:t>
            </w:r>
            <w:r w:rsidRPr="007B1A63">
              <w:rPr>
                <w:rFonts w:ascii="Arial" w:hAnsi="Arial" w:cs="Arial"/>
                <w:sz w:val="20"/>
                <w:lang w:val="es-US"/>
              </w:rPr>
              <w:t>,</w:t>
            </w:r>
            <w:r>
              <w:rPr>
                <w:rFonts w:ascii="Arial" w:hAnsi="Arial" w:cs="Arial"/>
                <w:sz w:val="20"/>
                <w:lang w:val="es-US"/>
              </w:rPr>
              <w:t>57</w:t>
            </w:r>
          </w:p>
        </w:tc>
      </w:tr>
    </w:tbl>
    <w:bookmarkEnd w:id="26"/>
    <w:p w:rsidR="00EF57C4" w:rsidP="00E90703" w:rsidRDefault="00EF57C4" w14:paraId="3A3A344B" w14:textId="03D1B151">
      <w:pPr>
        <w:pStyle w:val="Paragraph"/>
        <w:tabs>
          <w:tab w:val="num" w:pos="720"/>
        </w:tabs>
        <w:ind w:left="720" w:hanging="720"/>
        <w:rPr>
          <w:rFonts w:ascii="Arial" w:hAnsi="Arial" w:cs="Arial"/>
          <w:sz w:val="22"/>
          <w:szCs w:val="22"/>
          <w:lang w:val="es-US"/>
        </w:rPr>
      </w:pPr>
      <w:r w:rsidRPr="00EF57C4">
        <w:rPr>
          <w:rFonts w:ascii="Arial" w:hAnsi="Arial" w:cs="Arial"/>
          <w:sz w:val="22"/>
          <w:szCs w:val="22"/>
          <w:lang w:val="es-US"/>
        </w:rPr>
        <w:t>Este costo unitario se compara con el precio real con base diésel</w:t>
      </w:r>
      <w:r>
        <w:rPr>
          <w:rFonts w:ascii="Arial" w:hAnsi="Arial" w:cs="Arial"/>
          <w:sz w:val="22"/>
          <w:szCs w:val="22"/>
          <w:lang w:val="es-US"/>
        </w:rPr>
        <w:t>,</w:t>
      </w:r>
      <w:r w:rsidRPr="00EF57C4">
        <w:rPr>
          <w:rFonts w:ascii="Arial" w:hAnsi="Arial" w:cs="Arial"/>
          <w:sz w:val="22"/>
          <w:szCs w:val="22"/>
          <w:lang w:val="es-US"/>
        </w:rPr>
        <w:t xml:space="preserve"> estimado por ENEE</w:t>
      </w:r>
      <w:r>
        <w:rPr>
          <w:rFonts w:ascii="Arial" w:hAnsi="Arial" w:cs="Arial"/>
          <w:sz w:val="22"/>
          <w:szCs w:val="22"/>
          <w:lang w:val="es-US"/>
        </w:rPr>
        <w:t>,</w:t>
      </w:r>
      <w:r w:rsidRPr="00EF57C4">
        <w:rPr>
          <w:rFonts w:ascii="Arial" w:hAnsi="Arial" w:cs="Arial"/>
          <w:sz w:val="22"/>
          <w:szCs w:val="22"/>
          <w:lang w:val="es-US"/>
        </w:rPr>
        <w:t xml:space="preserve"> que enfrentan las comunidades actualmente como en Isla Guanaja, o el que enfrenta comunidades comparables en la zona de Gracias a Dios que cuentan con ese tipo de acceso. Los resultados se resumen en el Cuadro 4.</w:t>
      </w:r>
    </w:p>
    <w:p w:rsidRPr="00474979" w:rsidR="00423432" w:rsidP="00E90703" w:rsidRDefault="002136CC" w14:paraId="69FF52B8" w14:textId="507F2EFB">
      <w:pPr>
        <w:pStyle w:val="Paragraph"/>
        <w:tabs>
          <w:tab w:val="num" w:pos="720"/>
        </w:tabs>
        <w:ind w:left="720" w:hanging="720"/>
        <w:rPr>
          <w:rFonts w:ascii="Arial" w:hAnsi="Arial" w:cs="Arial"/>
          <w:sz w:val="22"/>
          <w:szCs w:val="22"/>
          <w:lang w:val="es-US"/>
        </w:rPr>
      </w:pPr>
      <w:r w:rsidRPr="001B31BA">
        <w:rPr>
          <w:rFonts w:ascii="Arial" w:hAnsi="Arial" w:cs="Arial"/>
          <w:sz w:val="22"/>
          <w:szCs w:val="22"/>
          <w:lang w:val="es-US"/>
        </w:rPr>
        <w:t>El análisis evid</w:t>
      </w:r>
      <w:r w:rsidRPr="002136CC">
        <w:rPr>
          <w:rFonts w:ascii="Arial" w:hAnsi="Arial" w:cs="Arial"/>
          <w:sz w:val="22"/>
          <w:szCs w:val="22"/>
          <w:lang w:val="es-US"/>
        </w:rPr>
        <w:t>encia una ventaja en términos de costos de las soluciones fotovolta</w:t>
      </w:r>
      <w:r>
        <w:rPr>
          <w:rFonts w:ascii="Arial" w:hAnsi="Arial" w:cs="Arial"/>
          <w:sz w:val="22"/>
          <w:szCs w:val="22"/>
          <w:lang w:val="es-US"/>
        </w:rPr>
        <w:t>icas</w:t>
      </w:r>
      <w:r w:rsidR="006B7D03">
        <w:rPr>
          <w:rFonts w:ascii="Arial" w:hAnsi="Arial" w:cs="Arial"/>
          <w:sz w:val="22"/>
          <w:szCs w:val="22"/>
          <w:lang w:val="es-US"/>
        </w:rPr>
        <w:t xml:space="preserve"> en </w:t>
      </w:r>
      <w:proofErr w:type="spellStart"/>
      <w:r w:rsidR="0074018C">
        <w:rPr>
          <w:rFonts w:ascii="Arial" w:hAnsi="Arial" w:cs="Arial"/>
          <w:sz w:val="22"/>
          <w:szCs w:val="22"/>
          <w:lang w:val="es-US"/>
        </w:rPr>
        <w:t>micro-</w:t>
      </w:r>
      <w:r w:rsidR="006B7D03">
        <w:rPr>
          <w:rFonts w:ascii="Arial" w:hAnsi="Arial" w:cs="Arial"/>
          <w:sz w:val="22"/>
          <w:szCs w:val="22"/>
          <w:lang w:val="es-US"/>
        </w:rPr>
        <w:t>red</w:t>
      </w:r>
      <w:proofErr w:type="spellEnd"/>
      <w:r w:rsidR="00BA099A">
        <w:rPr>
          <w:rFonts w:ascii="Arial" w:hAnsi="Arial" w:cs="Arial"/>
          <w:sz w:val="22"/>
          <w:szCs w:val="22"/>
          <w:lang w:val="es-US"/>
        </w:rPr>
        <w:t>,</w:t>
      </w:r>
      <w:r w:rsidR="006B7D03">
        <w:rPr>
          <w:rFonts w:ascii="Arial" w:hAnsi="Arial" w:cs="Arial"/>
          <w:sz w:val="22"/>
          <w:szCs w:val="22"/>
          <w:lang w:val="es-US"/>
        </w:rPr>
        <w:t xml:space="preserve"> con respecto a la solución diésel</w:t>
      </w:r>
      <w:r w:rsidR="00BA099A">
        <w:rPr>
          <w:rFonts w:ascii="Arial" w:hAnsi="Arial" w:cs="Arial"/>
          <w:sz w:val="22"/>
          <w:szCs w:val="22"/>
          <w:lang w:val="es-US"/>
        </w:rPr>
        <w:t>,</w:t>
      </w:r>
      <w:r w:rsidR="006B7D03">
        <w:rPr>
          <w:rFonts w:ascii="Arial" w:hAnsi="Arial" w:cs="Arial"/>
          <w:sz w:val="22"/>
          <w:szCs w:val="22"/>
          <w:lang w:val="es-US"/>
        </w:rPr>
        <w:t xml:space="preserve"> de entre </w:t>
      </w:r>
      <w:r w:rsidR="006A3D1A">
        <w:rPr>
          <w:rFonts w:ascii="Arial" w:hAnsi="Arial" w:cs="Arial"/>
          <w:sz w:val="22"/>
          <w:szCs w:val="22"/>
          <w:lang w:val="es-US"/>
        </w:rPr>
        <w:t>74,21</w:t>
      </w:r>
      <w:r w:rsidR="006B7D03">
        <w:rPr>
          <w:rFonts w:ascii="Arial" w:hAnsi="Arial" w:cs="Arial"/>
          <w:sz w:val="22"/>
          <w:szCs w:val="22"/>
          <w:lang w:val="es-US"/>
        </w:rPr>
        <w:t xml:space="preserve">% y </w:t>
      </w:r>
      <w:r w:rsidR="006A3D1A">
        <w:rPr>
          <w:rFonts w:ascii="Arial" w:hAnsi="Arial" w:cs="Arial"/>
          <w:sz w:val="22"/>
          <w:szCs w:val="22"/>
          <w:lang w:val="es-US"/>
        </w:rPr>
        <w:t>75,57</w:t>
      </w:r>
      <w:r w:rsidR="006B7D03">
        <w:rPr>
          <w:rFonts w:ascii="Arial" w:hAnsi="Arial" w:cs="Arial"/>
          <w:sz w:val="22"/>
          <w:szCs w:val="22"/>
          <w:lang w:val="es-US"/>
        </w:rPr>
        <w:t xml:space="preserve">% en </w:t>
      </w:r>
      <w:r w:rsidRPr="00474979" w:rsidR="006B7D03">
        <w:rPr>
          <w:rFonts w:ascii="Arial" w:hAnsi="Arial" w:cs="Arial"/>
          <w:sz w:val="22"/>
          <w:szCs w:val="22"/>
          <w:lang w:val="es-US"/>
        </w:rPr>
        <w:t xml:space="preserve">Brus </w:t>
      </w:r>
      <w:r w:rsidRPr="00474979" w:rsidR="00A346C6">
        <w:rPr>
          <w:rFonts w:ascii="Arial" w:hAnsi="Arial" w:cs="Arial"/>
          <w:sz w:val="22"/>
          <w:szCs w:val="22"/>
          <w:lang w:val="es-US"/>
        </w:rPr>
        <w:t>L</w:t>
      </w:r>
      <w:r w:rsidRPr="00474979" w:rsidR="006B7D03">
        <w:rPr>
          <w:rFonts w:ascii="Arial" w:hAnsi="Arial" w:cs="Arial"/>
          <w:sz w:val="22"/>
          <w:szCs w:val="22"/>
          <w:lang w:val="es-US"/>
        </w:rPr>
        <w:t>aguna e Isla Guanaja</w:t>
      </w:r>
      <w:r w:rsidRPr="00474979" w:rsidR="007B1A63">
        <w:rPr>
          <w:rFonts w:ascii="Arial" w:hAnsi="Arial" w:cs="Arial"/>
          <w:sz w:val="22"/>
          <w:szCs w:val="22"/>
          <w:lang w:val="es-US"/>
        </w:rPr>
        <w:t>, por lo cual se recomienda la instalación de la solución fotovoltaica propuesta</w:t>
      </w:r>
      <w:r w:rsidRPr="00474979" w:rsidR="006B7D03">
        <w:rPr>
          <w:rFonts w:ascii="Arial" w:hAnsi="Arial" w:cs="Arial"/>
          <w:sz w:val="22"/>
          <w:szCs w:val="22"/>
          <w:lang w:val="es-US"/>
        </w:rPr>
        <w:t xml:space="preserve">. </w:t>
      </w:r>
    </w:p>
    <w:p w:rsidR="00C54E57" w:rsidP="00AF6194" w:rsidRDefault="00897A78" w14:paraId="4D4A6042" w14:textId="1725BE41">
      <w:pPr>
        <w:pStyle w:val="Paragraph"/>
        <w:tabs>
          <w:tab w:val="num" w:pos="720"/>
        </w:tabs>
        <w:ind w:left="720" w:hanging="720"/>
        <w:rPr>
          <w:rFonts w:ascii="Arial" w:hAnsi="Arial" w:cs="Arial"/>
          <w:sz w:val="22"/>
          <w:szCs w:val="22"/>
          <w:lang w:val="es-US"/>
        </w:rPr>
      </w:pPr>
      <w:bookmarkStart w:name="_Hlk525075140" w:id="29"/>
      <w:r w:rsidRPr="00474979">
        <w:rPr>
          <w:rFonts w:ascii="Arial" w:hAnsi="Arial" w:cs="Arial"/>
          <w:sz w:val="22"/>
          <w:szCs w:val="22"/>
          <w:u w:val="single"/>
          <w:lang w:val="es-US"/>
        </w:rPr>
        <w:t xml:space="preserve">Proyectos con soluciones </w:t>
      </w:r>
      <w:r w:rsidR="001F7BCB">
        <w:rPr>
          <w:rFonts w:ascii="Arial" w:hAnsi="Arial" w:cs="Arial"/>
          <w:sz w:val="22"/>
          <w:szCs w:val="22"/>
          <w:u w:val="single"/>
          <w:lang w:val="es-US"/>
        </w:rPr>
        <w:t>fotovoltaicas domiciliarias (</w:t>
      </w:r>
      <w:r w:rsidRPr="00474979">
        <w:rPr>
          <w:rFonts w:ascii="Arial" w:hAnsi="Arial" w:cs="Arial"/>
          <w:sz w:val="22"/>
          <w:szCs w:val="22"/>
          <w:u w:val="single"/>
          <w:lang w:val="es-US"/>
        </w:rPr>
        <w:t>individuales</w:t>
      </w:r>
      <w:r w:rsidR="001F7BCB">
        <w:rPr>
          <w:rFonts w:ascii="Arial" w:hAnsi="Arial" w:cs="Arial"/>
          <w:sz w:val="22"/>
          <w:szCs w:val="22"/>
          <w:u w:val="single"/>
          <w:lang w:val="es-US"/>
        </w:rPr>
        <w:t>)</w:t>
      </w:r>
      <w:r w:rsidRPr="00474979">
        <w:rPr>
          <w:rFonts w:ascii="Arial" w:hAnsi="Arial" w:cs="Arial"/>
          <w:sz w:val="22"/>
          <w:szCs w:val="22"/>
          <w:lang w:val="es-US"/>
        </w:rPr>
        <w:t xml:space="preserve">. </w:t>
      </w:r>
      <w:bookmarkStart w:name="_Hlk526087299" w:id="30"/>
      <w:r w:rsidRPr="00474979" w:rsidR="0063764A">
        <w:rPr>
          <w:rFonts w:ascii="Arial" w:hAnsi="Arial" w:cs="Arial"/>
          <w:sz w:val="22"/>
          <w:szCs w:val="22"/>
          <w:lang w:val="es-US"/>
        </w:rPr>
        <w:t xml:space="preserve">Para </w:t>
      </w:r>
      <w:r w:rsidR="003C73CE">
        <w:rPr>
          <w:rFonts w:ascii="Arial" w:hAnsi="Arial" w:cs="Arial"/>
          <w:sz w:val="22"/>
          <w:szCs w:val="22"/>
          <w:lang w:val="es-US"/>
        </w:rPr>
        <w:t xml:space="preserve">el ACE de </w:t>
      </w:r>
      <w:r w:rsidRPr="00474979" w:rsidR="0063764A">
        <w:rPr>
          <w:rFonts w:ascii="Arial" w:hAnsi="Arial" w:cs="Arial"/>
          <w:sz w:val="22"/>
          <w:szCs w:val="22"/>
          <w:lang w:val="es-US"/>
        </w:rPr>
        <w:t>la inversión en 3</w:t>
      </w:r>
      <w:r w:rsidR="003E3D4C">
        <w:rPr>
          <w:rFonts w:ascii="Arial" w:hAnsi="Arial" w:cs="Arial"/>
          <w:sz w:val="22"/>
          <w:szCs w:val="22"/>
          <w:lang w:val="es-US"/>
        </w:rPr>
        <w:t>0</w:t>
      </w:r>
      <w:r w:rsidRPr="00474979" w:rsidR="0063764A">
        <w:rPr>
          <w:rFonts w:ascii="Arial" w:hAnsi="Arial" w:cs="Arial"/>
          <w:sz w:val="22"/>
          <w:szCs w:val="22"/>
          <w:lang w:val="es-US"/>
        </w:rPr>
        <w:t xml:space="preserve">0 sistemas fotovoltaicos domiciliarios en El Corpus y </w:t>
      </w:r>
      <w:r w:rsidR="003E3D4C">
        <w:rPr>
          <w:rFonts w:ascii="Arial" w:hAnsi="Arial" w:cs="Arial"/>
          <w:sz w:val="22"/>
          <w:szCs w:val="22"/>
          <w:lang w:val="es-US"/>
        </w:rPr>
        <w:t>35</w:t>
      </w:r>
      <w:r w:rsidRPr="00474979" w:rsidR="0063764A">
        <w:rPr>
          <w:rFonts w:ascii="Arial" w:hAnsi="Arial" w:cs="Arial"/>
          <w:sz w:val="22"/>
          <w:szCs w:val="22"/>
          <w:lang w:val="es-US"/>
        </w:rPr>
        <w:t>0 sistemas en Concepción de María en el Departamento de Choluteca</w:t>
      </w:r>
      <w:bookmarkEnd w:id="30"/>
      <w:r w:rsidR="0063764A">
        <w:rPr>
          <w:rFonts w:ascii="Arial" w:hAnsi="Arial" w:cs="Arial"/>
          <w:sz w:val="22"/>
          <w:szCs w:val="22"/>
          <w:lang w:val="es-US"/>
        </w:rPr>
        <w:t>,</w:t>
      </w:r>
      <w:r w:rsidRPr="00474979" w:rsidR="0063764A">
        <w:rPr>
          <w:rFonts w:ascii="Arial" w:hAnsi="Arial" w:cs="Arial"/>
          <w:sz w:val="22"/>
          <w:szCs w:val="22"/>
          <w:lang w:val="es-US"/>
        </w:rPr>
        <w:t xml:space="preserve"> </w:t>
      </w:r>
      <w:bookmarkStart w:name="_Hlk526087354" w:id="31"/>
      <w:r w:rsidRPr="00474979" w:rsidR="0063764A">
        <w:rPr>
          <w:rFonts w:ascii="Arial" w:hAnsi="Arial" w:cs="Arial"/>
          <w:sz w:val="22"/>
          <w:szCs w:val="22"/>
          <w:lang w:val="es-US"/>
        </w:rPr>
        <w:t>se estableció que el costo de inversión por solución de US$650 es bastante inferior al costo por beneficiario por medio de extensión de redes</w:t>
      </w:r>
      <w:bookmarkEnd w:id="31"/>
      <w:r w:rsidR="0063764A">
        <w:rPr>
          <w:rFonts w:ascii="Arial" w:hAnsi="Arial" w:cs="Arial"/>
          <w:sz w:val="22"/>
          <w:szCs w:val="22"/>
          <w:lang w:val="es-US"/>
        </w:rPr>
        <w:t xml:space="preserve"> (</w:t>
      </w:r>
      <w:r w:rsidRPr="004E0946" w:rsidR="0063764A">
        <w:rPr>
          <w:rFonts w:ascii="Arial" w:hAnsi="Arial" w:cs="Arial"/>
          <w:sz w:val="22"/>
          <w:szCs w:val="22"/>
          <w:lang w:val="es-US"/>
        </w:rPr>
        <w:t>por encima de US$8.000 para las localidades continentales</w:t>
      </w:r>
      <w:r w:rsidR="0063764A">
        <w:rPr>
          <w:rFonts w:ascii="Arial" w:hAnsi="Arial" w:cs="Arial"/>
          <w:sz w:val="22"/>
          <w:szCs w:val="22"/>
          <w:lang w:val="es-US"/>
        </w:rPr>
        <w:t>)</w:t>
      </w:r>
      <w:r w:rsidRPr="00474979" w:rsidR="0063764A">
        <w:rPr>
          <w:rFonts w:ascii="Arial" w:hAnsi="Arial" w:cs="Arial"/>
          <w:sz w:val="22"/>
          <w:szCs w:val="22"/>
          <w:lang w:val="es-US"/>
        </w:rPr>
        <w:t xml:space="preserve">. </w:t>
      </w:r>
      <w:r w:rsidR="003E3D4C">
        <w:rPr>
          <w:rFonts w:ascii="Arial" w:hAnsi="Arial" w:cs="Arial"/>
          <w:sz w:val="22"/>
          <w:szCs w:val="22"/>
          <w:lang w:val="es-US"/>
        </w:rPr>
        <w:t>S</w:t>
      </w:r>
      <w:r w:rsidRPr="00474979" w:rsidR="0063764A">
        <w:rPr>
          <w:rFonts w:ascii="Arial" w:hAnsi="Arial" w:cs="Arial"/>
          <w:sz w:val="22"/>
          <w:szCs w:val="22"/>
          <w:lang w:val="es-US"/>
        </w:rPr>
        <w:t>e</w:t>
      </w:r>
      <w:r w:rsidRPr="00474979" w:rsidR="0063764A">
        <w:rPr>
          <w:rFonts w:ascii="Arial" w:hAnsi="Arial" w:cs="Arial"/>
          <w:sz w:val="22"/>
          <w:szCs w:val="22"/>
        </w:rPr>
        <w:t xml:space="preserve"> calculó</w:t>
      </w:r>
      <w:r w:rsidR="003530BB">
        <w:rPr>
          <w:rFonts w:ascii="Arial" w:hAnsi="Arial" w:cs="Arial"/>
          <w:sz w:val="22"/>
          <w:szCs w:val="22"/>
        </w:rPr>
        <w:t xml:space="preserve"> el costo nivelado (LCOE)</w:t>
      </w:r>
      <w:r w:rsidRPr="00736B55" w:rsidR="0063764A">
        <w:rPr>
          <w:rFonts w:ascii="Arial" w:hAnsi="Arial" w:cs="Arial"/>
          <w:sz w:val="22"/>
          <w:szCs w:val="22"/>
          <w:lang w:val="es-US"/>
        </w:rPr>
        <w:t xml:space="preserve"> </w:t>
      </w:r>
      <w:r w:rsidR="003530BB">
        <w:rPr>
          <w:rFonts w:ascii="Arial" w:hAnsi="Arial" w:cs="Arial"/>
          <w:sz w:val="22"/>
          <w:szCs w:val="22"/>
          <w:lang w:val="es-US"/>
        </w:rPr>
        <w:t xml:space="preserve">de la solución propuesta, </w:t>
      </w:r>
      <w:r w:rsidRPr="00736B55" w:rsidR="0063764A">
        <w:rPr>
          <w:rFonts w:ascii="Arial" w:hAnsi="Arial" w:cs="Arial"/>
          <w:sz w:val="22"/>
          <w:szCs w:val="22"/>
          <w:lang w:val="es-US"/>
        </w:rPr>
        <w:t xml:space="preserve">con base en los valores de la inversión y las proyecciones de costos operativos y de mantenimiento a largo plazo.  </w:t>
      </w:r>
      <w:r w:rsidR="002F6AF2">
        <w:rPr>
          <w:rFonts w:ascii="Arial" w:hAnsi="Arial" w:cs="Arial"/>
          <w:sz w:val="22"/>
          <w:szCs w:val="22"/>
          <w:lang w:val="es-US"/>
        </w:rPr>
        <w:t xml:space="preserve">Este valor </w:t>
      </w:r>
      <w:bookmarkStart w:name="_Hlk526087441" w:id="32"/>
      <w:r w:rsidR="002F6AF2">
        <w:rPr>
          <w:rFonts w:ascii="Arial" w:hAnsi="Arial" w:cs="Arial"/>
          <w:sz w:val="22"/>
          <w:szCs w:val="22"/>
          <w:lang w:val="es-US"/>
        </w:rPr>
        <w:t>s</w:t>
      </w:r>
      <w:r w:rsidRPr="00736B55" w:rsidR="0063764A">
        <w:rPr>
          <w:rFonts w:ascii="Arial" w:hAnsi="Arial" w:cs="Arial"/>
          <w:sz w:val="22"/>
          <w:szCs w:val="22"/>
          <w:lang w:val="es-US"/>
        </w:rPr>
        <w:t xml:space="preserve">e comparó con el costo nivelado de una solución </w:t>
      </w:r>
      <w:r w:rsidR="0063764A">
        <w:rPr>
          <w:rFonts w:ascii="Arial" w:hAnsi="Arial" w:cs="Arial"/>
          <w:sz w:val="22"/>
          <w:szCs w:val="22"/>
          <w:lang w:val="es-US"/>
        </w:rPr>
        <w:t xml:space="preserve">técnicamente viable </w:t>
      </w:r>
      <w:r w:rsidR="003530BB">
        <w:rPr>
          <w:rFonts w:ascii="Arial" w:hAnsi="Arial" w:cs="Arial"/>
          <w:sz w:val="22"/>
          <w:szCs w:val="22"/>
          <w:lang w:val="es-US"/>
        </w:rPr>
        <w:t>que ofrecería el mismo nivel de servicio, por medio de un</w:t>
      </w:r>
      <w:r w:rsidR="0063764A">
        <w:rPr>
          <w:rFonts w:ascii="Arial" w:hAnsi="Arial" w:cs="Arial"/>
          <w:sz w:val="22"/>
          <w:szCs w:val="22"/>
          <w:lang w:val="es-US"/>
        </w:rPr>
        <w:t xml:space="preserve"> generador individual </w:t>
      </w:r>
      <w:r w:rsidRPr="00736B55" w:rsidR="0063764A">
        <w:rPr>
          <w:rFonts w:ascii="Arial" w:hAnsi="Arial" w:cs="Arial"/>
          <w:sz w:val="22"/>
          <w:szCs w:val="22"/>
          <w:lang w:val="es-US"/>
        </w:rPr>
        <w:t>basad</w:t>
      </w:r>
      <w:r w:rsidR="0063764A">
        <w:rPr>
          <w:rFonts w:ascii="Arial" w:hAnsi="Arial" w:cs="Arial"/>
          <w:sz w:val="22"/>
          <w:szCs w:val="22"/>
          <w:lang w:val="es-US"/>
        </w:rPr>
        <w:t>o</w:t>
      </w:r>
      <w:r w:rsidRPr="00736B55" w:rsidR="0063764A">
        <w:rPr>
          <w:rFonts w:ascii="Arial" w:hAnsi="Arial" w:cs="Arial"/>
          <w:sz w:val="22"/>
          <w:szCs w:val="22"/>
          <w:lang w:val="es-US"/>
        </w:rPr>
        <w:t xml:space="preserve"> en </w:t>
      </w:r>
      <w:r w:rsidR="0063764A">
        <w:rPr>
          <w:rFonts w:ascii="Arial" w:hAnsi="Arial" w:cs="Arial"/>
          <w:sz w:val="22"/>
          <w:szCs w:val="22"/>
          <w:lang w:val="es-US"/>
        </w:rPr>
        <w:t>gasolina</w:t>
      </w:r>
      <w:r w:rsidRPr="00736B55" w:rsidR="0063764A">
        <w:rPr>
          <w:rFonts w:ascii="Arial" w:hAnsi="Arial" w:cs="Arial"/>
          <w:sz w:val="22"/>
          <w:szCs w:val="22"/>
          <w:lang w:val="es-US"/>
        </w:rPr>
        <w:t xml:space="preserve"> (</w:t>
      </w:r>
      <w:r w:rsidR="0063764A">
        <w:rPr>
          <w:rFonts w:ascii="Arial" w:hAnsi="Arial" w:cs="Arial"/>
          <w:sz w:val="22"/>
          <w:szCs w:val="22"/>
          <w:lang w:val="es-US"/>
        </w:rPr>
        <w:t>1,</w:t>
      </w:r>
      <w:r w:rsidRPr="00736B55" w:rsidR="0063764A">
        <w:rPr>
          <w:rFonts w:ascii="Arial" w:hAnsi="Arial" w:cs="Arial"/>
          <w:sz w:val="22"/>
          <w:szCs w:val="22"/>
          <w:lang w:val="es-US"/>
        </w:rPr>
        <w:t>20</w:t>
      </w:r>
      <w:r w:rsidR="003E3D4C">
        <w:rPr>
          <w:rFonts w:ascii="Arial" w:hAnsi="Arial" w:cs="Arial"/>
          <w:sz w:val="22"/>
          <w:szCs w:val="22"/>
          <w:lang w:val="es-US"/>
        </w:rPr>
        <w:t xml:space="preserve"> </w:t>
      </w:r>
      <w:r w:rsidR="0063764A">
        <w:rPr>
          <w:rFonts w:ascii="Arial" w:hAnsi="Arial" w:cs="Arial"/>
          <w:sz w:val="22"/>
          <w:szCs w:val="22"/>
          <w:lang w:val="es-US"/>
        </w:rPr>
        <w:t>US</w:t>
      </w:r>
      <w:r w:rsidRPr="000F015E" w:rsidR="0063764A">
        <w:rPr>
          <w:rFonts w:ascii="Arial" w:hAnsi="Arial" w:cs="Arial"/>
          <w:sz w:val="22"/>
          <w:szCs w:val="22"/>
          <w:lang w:val="es-US"/>
        </w:rPr>
        <w:t>¢/kWh</w:t>
      </w:r>
      <w:r w:rsidR="0063764A">
        <w:rPr>
          <w:rFonts w:ascii="Arial" w:hAnsi="Arial" w:cs="Arial"/>
          <w:sz w:val="22"/>
          <w:szCs w:val="22"/>
          <w:lang w:val="es-US"/>
        </w:rPr>
        <w:t>).</w:t>
      </w:r>
      <w:r w:rsidRPr="000F015E" w:rsidR="0063764A">
        <w:rPr>
          <w:rFonts w:ascii="Arial" w:hAnsi="Arial" w:cs="Arial"/>
          <w:sz w:val="22"/>
          <w:szCs w:val="22"/>
          <w:lang w:val="es-US"/>
        </w:rPr>
        <w:t xml:space="preserve"> </w:t>
      </w:r>
      <w:r w:rsidR="0063764A">
        <w:rPr>
          <w:rFonts w:ascii="Arial" w:hAnsi="Arial" w:cs="Arial"/>
          <w:sz w:val="22"/>
          <w:szCs w:val="22"/>
          <w:lang w:val="es-US"/>
        </w:rPr>
        <w:t>La comparación</w:t>
      </w:r>
      <w:r w:rsidR="003530BB">
        <w:rPr>
          <w:rFonts w:ascii="Arial" w:hAnsi="Arial" w:cs="Arial"/>
          <w:sz w:val="22"/>
          <w:szCs w:val="22"/>
          <w:lang w:val="es-US"/>
        </w:rPr>
        <w:t xml:space="preserve"> de los LCOE</w:t>
      </w:r>
      <w:r w:rsidR="0063764A">
        <w:rPr>
          <w:rFonts w:ascii="Arial" w:hAnsi="Arial" w:cs="Arial"/>
          <w:sz w:val="22"/>
          <w:szCs w:val="22"/>
          <w:lang w:val="es-US"/>
        </w:rPr>
        <w:t xml:space="preserve"> comprueba la ventaja en costo-eficiencia de la solución</w:t>
      </w:r>
      <w:bookmarkEnd w:id="32"/>
      <w:r w:rsidR="0063764A">
        <w:rPr>
          <w:rFonts w:ascii="Arial" w:hAnsi="Arial" w:cs="Arial"/>
          <w:sz w:val="22"/>
          <w:szCs w:val="22"/>
          <w:lang w:val="es-US"/>
        </w:rPr>
        <w:t xml:space="preserve"> fotovoltaica domiciliaria</w:t>
      </w:r>
      <w:r w:rsidR="000F015E">
        <w:rPr>
          <w:rFonts w:ascii="Arial" w:hAnsi="Arial" w:cs="Arial"/>
          <w:sz w:val="22"/>
          <w:szCs w:val="22"/>
          <w:lang w:val="es-US"/>
        </w:rPr>
        <w:t>.</w:t>
      </w:r>
    </w:p>
    <w:p w:rsidRPr="00AF6194" w:rsidR="00897A78" w:rsidP="00AF6194" w:rsidRDefault="003530BB" w14:paraId="3CC7AF4F" w14:textId="45CA3FF3">
      <w:pPr>
        <w:pStyle w:val="Paragraph"/>
        <w:tabs>
          <w:tab w:val="num" w:pos="720"/>
        </w:tabs>
        <w:ind w:left="720" w:hanging="720"/>
        <w:rPr>
          <w:rFonts w:ascii="Arial" w:hAnsi="Arial" w:cs="Arial"/>
          <w:sz w:val="22"/>
          <w:szCs w:val="22"/>
          <w:lang w:val="es-US"/>
        </w:rPr>
      </w:pPr>
      <w:bookmarkStart w:name="_Hlk526087525" w:id="33"/>
      <w:r>
        <w:rPr>
          <w:rFonts w:ascii="Arial" w:hAnsi="Arial" w:cs="Arial"/>
          <w:sz w:val="22"/>
          <w:szCs w:val="22"/>
          <w:lang w:val="es-US"/>
        </w:rPr>
        <w:t>Como estudio adicional de la propuesta, p</w:t>
      </w:r>
      <w:r w:rsidR="00AF6194">
        <w:rPr>
          <w:rFonts w:ascii="Arial" w:hAnsi="Arial" w:cs="Arial"/>
          <w:sz w:val="22"/>
          <w:szCs w:val="22"/>
          <w:lang w:val="es-US"/>
        </w:rPr>
        <w:t xml:space="preserve">ara determinar la </w:t>
      </w:r>
      <w:r w:rsidR="000F015E">
        <w:rPr>
          <w:rFonts w:ascii="Arial" w:hAnsi="Arial" w:cs="Arial"/>
          <w:sz w:val="22"/>
          <w:szCs w:val="22"/>
          <w:lang w:val="es-US"/>
        </w:rPr>
        <w:t xml:space="preserve">potencial </w:t>
      </w:r>
      <w:r w:rsidR="00AF6194">
        <w:rPr>
          <w:rFonts w:ascii="Arial" w:hAnsi="Arial" w:cs="Arial"/>
          <w:sz w:val="22"/>
          <w:szCs w:val="22"/>
          <w:lang w:val="es-US"/>
        </w:rPr>
        <w:t>ventaja económica</w:t>
      </w:r>
      <w:r>
        <w:rPr>
          <w:rFonts w:ascii="Arial" w:hAnsi="Arial" w:cs="Arial"/>
          <w:sz w:val="22"/>
          <w:szCs w:val="22"/>
          <w:lang w:val="es-US"/>
        </w:rPr>
        <w:t>,</w:t>
      </w:r>
      <w:r w:rsidR="00AF6194">
        <w:rPr>
          <w:rFonts w:ascii="Arial" w:hAnsi="Arial" w:cs="Arial"/>
          <w:sz w:val="22"/>
          <w:szCs w:val="22"/>
          <w:lang w:val="es-US"/>
        </w:rPr>
        <w:t xml:space="preserve"> a nivel individual para el beneficiario</w:t>
      </w:r>
      <w:r>
        <w:rPr>
          <w:rFonts w:ascii="Arial" w:hAnsi="Arial" w:cs="Arial"/>
          <w:sz w:val="22"/>
          <w:szCs w:val="22"/>
          <w:lang w:val="es-US"/>
        </w:rPr>
        <w:t>,</w:t>
      </w:r>
      <w:r w:rsidR="00AF6194">
        <w:rPr>
          <w:rFonts w:ascii="Arial" w:hAnsi="Arial" w:cs="Arial"/>
          <w:sz w:val="22"/>
          <w:szCs w:val="22"/>
          <w:lang w:val="es-US"/>
        </w:rPr>
        <w:t xml:space="preserve"> de contar son el sistema domiciliario fotovoltaico, se realizó un </w:t>
      </w:r>
      <w:r w:rsidRPr="00AF6194" w:rsidR="00AF6194">
        <w:rPr>
          <w:rFonts w:ascii="Arial" w:hAnsi="Arial" w:cs="Arial"/>
          <w:sz w:val="22"/>
          <w:szCs w:val="22"/>
          <w:lang w:val="es-US"/>
        </w:rPr>
        <w:t>análisis</w:t>
      </w:r>
      <w:r w:rsidR="00AF6194">
        <w:rPr>
          <w:rFonts w:ascii="Arial" w:hAnsi="Arial" w:cs="Arial"/>
          <w:sz w:val="22"/>
          <w:szCs w:val="22"/>
          <w:lang w:val="es-US"/>
        </w:rPr>
        <w:t xml:space="preserve"> costo-beneficio de la inversión</w:t>
      </w:r>
      <w:bookmarkEnd w:id="33"/>
      <w:r>
        <w:rPr>
          <w:rFonts w:ascii="Arial" w:hAnsi="Arial" w:cs="Arial"/>
          <w:sz w:val="22"/>
          <w:szCs w:val="22"/>
          <w:lang w:val="es-US"/>
        </w:rPr>
        <w:t xml:space="preserve"> de su situación</w:t>
      </w:r>
      <w:r w:rsidR="00AF6194">
        <w:rPr>
          <w:rFonts w:ascii="Arial" w:hAnsi="Arial" w:cs="Arial"/>
          <w:sz w:val="22"/>
          <w:szCs w:val="22"/>
          <w:lang w:val="es-US"/>
        </w:rPr>
        <w:t>. S</w:t>
      </w:r>
      <w:r w:rsidRPr="00AF6194" w:rsidR="00CA432A">
        <w:rPr>
          <w:rFonts w:ascii="Arial" w:hAnsi="Arial" w:cs="Arial"/>
          <w:sz w:val="22"/>
          <w:szCs w:val="22"/>
          <w:lang w:val="es-US"/>
        </w:rPr>
        <w:t xml:space="preserve">e estimó el costo promedio actual </w:t>
      </w:r>
      <w:r w:rsidRPr="00AF6194" w:rsidR="00AF6194">
        <w:rPr>
          <w:rFonts w:ascii="Arial" w:hAnsi="Arial" w:cs="Arial"/>
          <w:sz w:val="22"/>
          <w:szCs w:val="22"/>
          <w:lang w:val="es-US"/>
        </w:rPr>
        <w:t>de provisión</w:t>
      </w:r>
      <w:r w:rsidR="00D30F2F">
        <w:rPr>
          <w:rFonts w:ascii="Arial" w:hAnsi="Arial" w:cs="Arial"/>
          <w:sz w:val="22"/>
          <w:szCs w:val="22"/>
          <w:lang w:val="es-US"/>
        </w:rPr>
        <w:t xml:space="preserve"> de un nivel básico de energía</w:t>
      </w:r>
      <w:r w:rsidRPr="00AF6194" w:rsidR="00AF6194">
        <w:rPr>
          <w:rFonts w:ascii="Arial" w:hAnsi="Arial" w:cs="Arial"/>
          <w:sz w:val="22"/>
          <w:szCs w:val="22"/>
          <w:lang w:val="es-US"/>
        </w:rPr>
        <w:t xml:space="preserve"> </w:t>
      </w:r>
      <w:r w:rsidR="00AF6194">
        <w:rPr>
          <w:rFonts w:ascii="Arial" w:hAnsi="Arial" w:cs="Arial"/>
          <w:sz w:val="22"/>
          <w:szCs w:val="22"/>
          <w:lang w:val="es-US"/>
        </w:rPr>
        <w:t>en que incurre el beneficiario</w:t>
      </w:r>
      <w:r w:rsidR="001F7BCB">
        <w:rPr>
          <w:rFonts w:ascii="Arial" w:hAnsi="Arial" w:cs="Arial"/>
          <w:sz w:val="22"/>
          <w:szCs w:val="22"/>
          <w:lang w:val="es-US"/>
        </w:rPr>
        <w:t xml:space="preserve">. </w:t>
      </w:r>
      <w:r w:rsidRPr="00AF6194" w:rsidR="001F7BCB">
        <w:rPr>
          <w:rFonts w:ascii="Arial" w:hAnsi="Arial" w:cs="Arial"/>
          <w:sz w:val="22"/>
          <w:szCs w:val="22"/>
          <w:lang w:val="es-US"/>
        </w:rPr>
        <w:t>Con datos de la ENEE</w:t>
      </w:r>
      <w:r w:rsidR="001F7BCB">
        <w:rPr>
          <w:rFonts w:ascii="Arial" w:hAnsi="Arial" w:cs="Arial"/>
          <w:sz w:val="22"/>
          <w:szCs w:val="22"/>
          <w:lang w:val="es-US"/>
        </w:rPr>
        <w:t xml:space="preserve"> se estimó el gasto actual promedio por hogar para financiar necesidades de luz, carga de celular, uso de radio y TV</w:t>
      </w:r>
      <w:r w:rsidR="007E335F">
        <w:rPr>
          <w:rFonts w:ascii="Arial" w:hAnsi="Arial" w:cs="Arial"/>
          <w:sz w:val="22"/>
          <w:szCs w:val="22"/>
          <w:lang w:val="es-US"/>
        </w:rPr>
        <w:t>,</w:t>
      </w:r>
      <w:r w:rsidR="00AF6194">
        <w:rPr>
          <w:rFonts w:ascii="Arial" w:hAnsi="Arial" w:cs="Arial"/>
          <w:sz w:val="22"/>
          <w:szCs w:val="22"/>
          <w:lang w:val="es-US"/>
        </w:rPr>
        <w:t xml:space="preserve"> </w:t>
      </w:r>
      <w:r>
        <w:rPr>
          <w:rFonts w:ascii="Arial" w:hAnsi="Arial" w:cs="Arial"/>
          <w:sz w:val="22"/>
          <w:szCs w:val="22"/>
          <w:lang w:val="es-US"/>
        </w:rPr>
        <w:t xml:space="preserve">en US$178/año, </w:t>
      </w:r>
      <w:r w:rsidRPr="00AF6194" w:rsidR="00CA432A">
        <w:rPr>
          <w:rFonts w:ascii="Arial" w:hAnsi="Arial" w:cs="Arial"/>
          <w:sz w:val="22"/>
          <w:szCs w:val="22"/>
          <w:lang w:val="es-US"/>
        </w:rPr>
        <w:t xml:space="preserve">basado en </w:t>
      </w:r>
      <w:r w:rsidR="000F015E">
        <w:rPr>
          <w:rFonts w:ascii="Arial" w:hAnsi="Arial" w:cs="Arial"/>
          <w:sz w:val="22"/>
          <w:szCs w:val="22"/>
          <w:lang w:val="es-US"/>
        </w:rPr>
        <w:t>su</w:t>
      </w:r>
      <w:r w:rsidRPr="00AF6194" w:rsidR="00CA432A">
        <w:rPr>
          <w:rFonts w:ascii="Arial" w:hAnsi="Arial" w:cs="Arial"/>
          <w:sz w:val="22"/>
          <w:szCs w:val="22"/>
          <w:lang w:val="es-US"/>
        </w:rPr>
        <w:t xml:space="preserve"> uso de velas, baterías y kerosene. Estos recursos ser</w:t>
      </w:r>
      <w:r w:rsidR="00AF6194">
        <w:rPr>
          <w:rFonts w:ascii="Arial" w:hAnsi="Arial" w:cs="Arial"/>
          <w:sz w:val="22"/>
          <w:szCs w:val="22"/>
          <w:lang w:val="es-US"/>
        </w:rPr>
        <w:t>ía</w:t>
      </w:r>
      <w:r w:rsidRPr="00AF6194" w:rsidR="00CA432A">
        <w:rPr>
          <w:rFonts w:ascii="Arial" w:hAnsi="Arial" w:cs="Arial"/>
          <w:sz w:val="22"/>
          <w:szCs w:val="22"/>
          <w:lang w:val="es-US"/>
        </w:rPr>
        <w:t xml:space="preserve">n sustituidos por la provisión del servicio eléctrico proveniente de los sistemas fotovoltaicos a instalar en cada vivienda. La capacidad de generación de estos sistemas </w:t>
      </w:r>
      <w:r w:rsidR="000F015E">
        <w:rPr>
          <w:rFonts w:ascii="Arial" w:hAnsi="Arial" w:cs="Arial"/>
          <w:sz w:val="22"/>
          <w:szCs w:val="22"/>
          <w:lang w:val="es-US"/>
        </w:rPr>
        <w:t xml:space="preserve">domiciliarios </w:t>
      </w:r>
      <w:r w:rsidRPr="00AF6194" w:rsidR="00CA432A">
        <w:rPr>
          <w:rFonts w:ascii="Arial" w:hAnsi="Arial" w:cs="Arial"/>
          <w:sz w:val="22"/>
          <w:szCs w:val="22"/>
          <w:lang w:val="es-US"/>
        </w:rPr>
        <w:t xml:space="preserve">es de aproximadamente 110kWh al mes, suficiente para suplir la demanda de electricidad de los hogares a beneficiar </w:t>
      </w:r>
      <w:r w:rsidRPr="00AF6194" w:rsidR="00AF6194">
        <w:rPr>
          <w:rFonts w:ascii="Arial" w:hAnsi="Arial" w:cs="Arial"/>
          <w:sz w:val="22"/>
          <w:szCs w:val="22"/>
          <w:lang w:val="es-US"/>
        </w:rPr>
        <w:t>de acuerdo con</w:t>
      </w:r>
      <w:r w:rsidRPr="00AF6194" w:rsidR="00CA432A">
        <w:rPr>
          <w:rFonts w:ascii="Arial" w:hAnsi="Arial" w:cs="Arial"/>
          <w:sz w:val="22"/>
          <w:szCs w:val="22"/>
          <w:lang w:val="es-US"/>
        </w:rPr>
        <w:t xml:space="preserve"> sus patrones de consumo actúales.</w:t>
      </w:r>
    </w:p>
    <w:p w:rsidRPr="00AF6194" w:rsidR="00AF6194" w:rsidP="00AF6194" w:rsidRDefault="007E335F" w14:paraId="5C2A7446" w14:textId="7743DB0F">
      <w:pPr>
        <w:pStyle w:val="Paragraph"/>
        <w:tabs>
          <w:tab w:val="num" w:pos="720"/>
        </w:tabs>
        <w:ind w:left="720" w:hanging="720"/>
        <w:rPr>
          <w:rFonts w:ascii="Arial" w:hAnsi="Arial" w:cs="Arial"/>
          <w:sz w:val="22"/>
          <w:szCs w:val="22"/>
          <w:lang w:val="es-US"/>
        </w:rPr>
      </w:pPr>
      <w:r>
        <w:rPr>
          <w:rFonts w:ascii="Arial" w:hAnsi="Arial" w:cs="Arial"/>
          <w:sz w:val="22"/>
          <w:szCs w:val="22"/>
          <w:lang w:val="es-US"/>
        </w:rPr>
        <w:t>E</w:t>
      </w:r>
      <w:r w:rsidR="00D30F2F">
        <w:rPr>
          <w:rFonts w:ascii="Arial" w:hAnsi="Arial" w:cs="Arial"/>
          <w:sz w:val="22"/>
          <w:szCs w:val="22"/>
          <w:lang w:val="es-US"/>
        </w:rPr>
        <w:t xml:space="preserve">l valor de la energía a sustituir constituye un beneficio de la inversión </w:t>
      </w:r>
      <w:r w:rsidR="00C7542C">
        <w:rPr>
          <w:rFonts w:ascii="Arial" w:hAnsi="Arial" w:cs="Arial"/>
          <w:sz w:val="22"/>
          <w:szCs w:val="22"/>
          <w:lang w:val="es-US"/>
        </w:rPr>
        <w:t xml:space="preserve">por </w:t>
      </w:r>
      <w:r w:rsidR="00D30F2F">
        <w:rPr>
          <w:rFonts w:ascii="Arial" w:hAnsi="Arial" w:cs="Arial"/>
          <w:sz w:val="22"/>
          <w:szCs w:val="22"/>
          <w:lang w:val="es-US"/>
        </w:rPr>
        <w:t xml:space="preserve">ser un ahorro </w:t>
      </w:r>
      <w:r w:rsidR="00C7542C">
        <w:rPr>
          <w:rFonts w:ascii="Arial" w:hAnsi="Arial" w:cs="Arial"/>
          <w:sz w:val="22"/>
          <w:szCs w:val="22"/>
          <w:lang w:val="es-US"/>
        </w:rPr>
        <w:t>para el</w:t>
      </w:r>
      <w:r w:rsidR="00D30F2F">
        <w:rPr>
          <w:rFonts w:ascii="Arial" w:hAnsi="Arial" w:cs="Arial"/>
          <w:sz w:val="22"/>
          <w:szCs w:val="22"/>
          <w:lang w:val="es-US"/>
        </w:rPr>
        <w:t xml:space="preserve"> consumidor</w:t>
      </w:r>
      <w:r w:rsidR="003530BB">
        <w:rPr>
          <w:rFonts w:ascii="Arial" w:hAnsi="Arial" w:cs="Arial"/>
          <w:sz w:val="22"/>
          <w:szCs w:val="22"/>
          <w:lang w:val="es-US"/>
        </w:rPr>
        <w:t xml:space="preserve"> típico</w:t>
      </w:r>
      <w:r w:rsidR="00D30F2F">
        <w:rPr>
          <w:rFonts w:ascii="Arial" w:hAnsi="Arial" w:cs="Arial"/>
          <w:sz w:val="22"/>
          <w:szCs w:val="22"/>
          <w:lang w:val="es-US"/>
        </w:rPr>
        <w:t>. Los costos por incurrir incluyen el costo de la inversión, cargos por operación y mantenimiento</w:t>
      </w:r>
      <w:r w:rsidR="00C7542C">
        <w:rPr>
          <w:rFonts w:ascii="Arial" w:hAnsi="Arial" w:cs="Arial"/>
          <w:sz w:val="22"/>
          <w:szCs w:val="22"/>
          <w:lang w:val="es-US"/>
        </w:rPr>
        <w:t xml:space="preserve"> y</w:t>
      </w:r>
      <w:r w:rsidR="00D30F2F">
        <w:rPr>
          <w:rFonts w:ascii="Arial" w:hAnsi="Arial" w:cs="Arial"/>
          <w:sz w:val="22"/>
          <w:szCs w:val="22"/>
          <w:lang w:val="es-US"/>
        </w:rPr>
        <w:t xml:space="preserve"> remplazo de partes y equipo de uso doméstico</w:t>
      </w:r>
      <w:r>
        <w:rPr>
          <w:rFonts w:ascii="Arial" w:hAnsi="Arial" w:cs="Arial"/>
          <w:sz w:val="22"/>
          <w:szCs w:val="22"/>
          <w:lang w:val="es-US"/>
        </w:rPr>
        <w:t xml:space="preserve"> a largo plazo (25 años)</w:t>
      </w:r>
      <w:r w:rsidR="00D30F2F">
        <w:rPr>
          <w:rFonts w:ascii="Arial" w:hAnsi="Arial" w:cs="Arial"/>
          <w:sz w:val="22"/>
          <w:szCs w:val="22"/>
          <w:lang w:val="es-US"/>
        </w:rPr>
        <w:t xml:space="preserve">. Se obtiene un </w:t>
      </w:r>
      <w:r w:rsidR="004F6F65">
        <w:rPr>
          <w:rFonts w:ascii="Arial" w:hAnsi="Arial" w:cs="Arial"/>
          <w:sz w:val="22"/>
          <w:szCs w:val="22"/>
          <w:lang w:val="es-US"/>
        </w:rPr>
        <w:t>V</w:t>
      </w:r>
      <w:r w:rsidR="00D30F2F">
        <w:rPr>
          <w:rFonts w:ascii="Arial" w:hAnsi="Arial" w:cs="Arial"/>
          <w:sz w:val="22"/>
          <w:szCs w:val="22"/>
          <w:lang w:val="es-US"/>
        </w:rPr>
        <w:t xml:space="preserve">alor </w:t>
      </w:r>
      <w:r w:rsidR="004F6F65">
        <w:rPr>
          <w:rFonts w:ascii="Arial" w:hAnsi="Arial" w:cs="Arial"/>
          <w:sz w:val="22"/>
          <w:szCs w:val="22"/>
          <w:lang w:val="es-US"/>
        </w:rPr>
        <w:t>P</w:t>
      </w:r>
      <w:r w:rsidR="00D30F2F">
        <w:rPr>
          <w:rFonts w:ascii="Arial" w:hAnsi="Arial" w:cs="Arial"/>
          <w:sz w:val="22"/>
          <w:szCs w:val="22"/>
          <w:lang w:val="es-US"/>
        </w:rPr>
        <w:t xml:space="preserve">resente </w:t>
      </w:r>
      <w:r w:rsidR="004F6F65">
        <w:rPr>
          <w:rFonts w:ascii="Arial" w:hAnsi="Arial" w:cs="Arial"/>
          <w:sz w:val="22"/>
          <w:szCs w:val="22"/>
          <w:lang w:val="es-US"/>
        </w:rPr>
        <w:t>N</w:t>
      </w:r>
      <w:r w:rsidR="00D30F2F">
        <w:rPr>
          <w:rFonts w:ascii="Arial" w:hAnsi="Arial" w:cs="Arial"/>
          <w:sz w:val="22"/>
          <w:szCs w:val="22"/>
          <w:lang w:val="es-US"/>
        </w:rPr>
        <w:t xml:space="preserve">eto </w:t>
      </w:r>
      <w:r w:rsidR="004F6F65">
        <w:rPr>
          <w:rFonts w:ascii="Arial" w:hAnsi="Arial" w:cs="Arial"/>
          <w:sz w:val="22"/>
          <w:szCs w:val="22"/>
          <w:lang w:val="es-US"/>
        </w:rPr>
        <w:t>E</w:t>
      </w:r>
      <w:r w:rsidR="00D30F2F">
        <w:rPr>
          <w:rFonts w:ascii="Arial" w:hAnsi="Arial" w:cs="Arial"/>
          <w:sz w:val="22"/>
          <w:szCs w:val="22"/>
          <w:lang w:val="es-US"/>
        </w:rPr>
        <w:t xml:space="preserve">conómico </w:t>
      </w:r>
      <w:r w:rsidR="004F6F65">
        <w:rPr>
          <w:rFonts w:ascii="Arial" w:hAnsi="Arial" w:cs="Arial"/>
          <w:sz w:val="22"/>
          <w:szCs w:val="22"/>
          <w:lang w:val="es-US"/>
        </w:rPr>
        <w:t>(</w:t>
      </w:r>
      <w:bookmarkStart w:name="_Hlk526087675" w:id="34"/>
      <w:r w:rsidR="004F6F65">
        <w:rPr>
          <w:rFonts w:ascii="Arial" w:hAnsi="Arial" w:cs="Arial"/>
          <w:sz w:val="22"/>
          <w:szCs w:val="22"/>
          <w:lang w:val="es-US"/>
        </w:rPr>
        <w:t xml:space="preserve">VPNE) </w:t>
      </w:r>
      <w:r w:rsidR="00D30F2F">
        <w:rPr>
          <w:rFonts w:ascii="Arial" w:hAnsi="Arial" w:cs="Arial"/>
          <w:sz w:val="22"/>
          <w:szCs w:val="22"/>
          <w:lang w:val="es-US"/>
        </w:rPr>
        <w:t>promedio de US$770,11 y una Tasa Interna de Retorno</w:t>
      </w:r>
      <w:r w:rsidR="004F6F65">
        <w:rPr>
          <w:rFonts w:ascii="Arial" w:hAnsi="Arial" w:cs="Arial"/>
          <w:sz w:val="22"/>
          <w:szCs w:val="22"/>
          <w:lang w:val="es-US"/>
        </w:rPr>
        <w:t xml:space="preserve"> Económica (TIRE)</w:t>
      </w:r>
      <w:r w:rsidR="00D30F2F">
        <w:rPr>
          <w:rFonts w:ascii="Arial" w:hAnsi="Arial" w:cs="Arial"/>
          <w:sz w:val="22"/>
          <w:szCs w:val="22"/>
          <w:lang w:val="es-US"/>
        </w:rPr>
        <w:t xml:space="preserve"> de 25,03%, evidenciando la bondad de la inversión</w:t>
      </w:r>
      <w:bookmarkEnd w:id="34"/>
      <w:r w:rsidR="003530BB">
        <w:rPr>
          <w:rFonts w:ascii="Arial" w:hAnsi="Arial" w:cs="Arial"/>
          <w:sz w:val="22"/>
          <w:szCs w:val="22"/>
          <w:lang w:val="es-US"/>
        </w:rPr>
        <w:t xml:space="preserve"> para el usuario</w:t>
      </w:r>
      <w:r w:rsidR="00D30F2F">
        <w:rPr>
          <w:rFonts w:ascii="Arial" w:hAnsi="Arial" w:cs="Arial"/>
          <w:sz w:val="22"/>
          <w:szCs w:val="22"/>
          <w:lang w:val="es-US"/>
        </w:rPr>
        <w:t>.</w:t>
      </w:r>
    </w:p>
    <w:p w:rsidRPr="002B1842" w:rsidR="002B1842" w:rsidP="002B1842" w:rsidRDefault="002B1842" w14:paraId="3AC0C214" w14:textId="4218B674">
      <w:pPr>
        <w:pStyle w:val="FirstHeading"/>
        <w:ind w:left="720"/>
        <w:rPr>
          <w:rFonts w:ascii="Arial" w:hAnsi="Arial" w:cs="Arial"/>
          <w:sz w:val="22"/>
          <w:szCs w:val="22"/>
        </w:rPr>
      </w:pPr>
      <w:bookmarkStart w:name="_Toc526996966" w:id="35"/>
      <w:bookmarkEnd w:id="29"/>
      <w:r w:rsidRPr="002B1842">
        <w:rPr>
          <w:rFonts w:ascii="Arial" w:hAnsi="Arial" w:cs="Arial"/>
          <w:sz w:val="22"/>
          <w:szCs w:val="22"/>
        </w:rPr>
        <w:lastRenderedPageBreak/>
        <w:t>D.</w:t>
      </w:r>
      <w:r w:rsidRPr="002B1842">
        <w:rPr>
          <w:rFonts w:ascii="Arial" w:hAnsi="Arial" w:cs="Arial"/>
          <w:sz w:val="22"/>
          <w:szCs w:val="22"/>
        </w:rPr>
        <w:tab/>
      </w:r>
      <w:r w:rsidRPr="002B1842">
        <w:rPr>
          <w:rFonts w:ascii="Arial" w:hAnsi="Arial" w:cs="Arial"/>
          <w:sz w:val="22"/>
          <w:szCs w:val="22"/>
        </w:rPr>
        <w:t>Análisis Financiero</w:t>
      </w:r>
      <w:bookmarkEnd w:id="35"/>
    </w:p>
    <w:p w:rsidR="002B1842" w:rsidP="002B1842" w:rsidRDefault="00122050" w14:paraId="69648347" w14:textId="697ED1AB">
      <w:pPr>
        <w:pStyle w:val="Paragraph"/>
        <w:tabs>
          <w:tab w:val="num" w:pos="720"/>
        </w:tabs>
        <w:ind w:left="720" w:hanging="720"/>
        <w:rPr>
          <w:rFonts w:ascii="Arial" w:hAnsi="Arial" w:cs="Arial"/>
          <w:sz w:val="22"/>
          <w:szCs w:val="22"/>
        </w:rPr>
      </w:pPr>
      <w:r>
        <w:rPr>
          <w:rFonts w:ascii="Arial" w:hAnsi="Arial" w:cs="Arial"/>
          <w:sz w:val="22"/>
          <w:szCs w:val="22"/>
        </w:rPr>
        <w:t xml:space="preserve">Para </w:t>
      </w:r>
      <w:r w:rsidRPr="002B1842">
        <w:rPr>
          <w:rFonts w:ascii="Arial" w:hAnsi="Arial" w:cs="Arial"/>
          <w:sz w:val="22"/>
          <w:szCs w:val="22"/>
        </w:rPr>
        <w:t xml:space="preserve">las inversiones en los </w:t>
      </w:r>
      <w:r>
        <w:rPr>
          <w:rFonts w:ascii="Arial" w:hAnsi="Arial" w:cs="Arial"/>
          <w:sz w:val="22"/>
          <w:szCs w:val="22"/>
        </w:rPr>
        <w:t xml:space="preserve">dos </w:t>
      </w:r>
      <w:r w:rsidRPr="002B1842">
        <w:rPr>
          <w:rFonts w:ascii="Arial" w:hAnsi="Arial" w:cs="Arial"/>
          <w:sz w:val="22"/>
          <w:szCs w:val="22"/>
        </w:rPr>
        <w:t xml:space="preserve">sistemas con </w:t>
      </w:r>
      <w:proofErr w:type="spellStart"/>
      <w:r w:rsidR="0074018C">
        <w:rPr>
          <w:rFonts w:ascii="Arial" w:hAnsi="Arial" w:cs="Arial"/>
          <w:sz w:val="22"/>
          <w:szCs w:val="22"/>
        </w:rPr>
        <w:t>micro-</w:t>
      </w:r>
      <w:r w:rsidRPr="002B1842">
        <w:rPr>
          <w:rFonts w:ascii="Arial" w:hAnsi="Arial" w:cs="Arial"/>
          <w:sz w:val="22"/>
          <w:szCs w:val="22"/>
        </w:rPr>
        <w:t>red</w:t>
      </w:r>
      <w:proofErr w:type="spellEnd"/>
      <w:r>
        <w:rPr>
          <w:rFonts w:ascii="Arial" w:hAnsi="Arial" w:cs="Arial"/>
          <w:sz w:val="22"/>
          <w:szCs w:val="22"/>
        </w:rPr>
        <w:t xml:space="preserve"> </w:t>
      </w:r>
      <w:r w:rsidRPr="002B1842">
        <w:rPr>
          <w:rFonts w:ascii="Arial" w:hAnsi="Arial" w:cs="Arial"/>
          <w:sz w:val="22"/>
          <w:szCs w:val="22"/>
        </w:rPr>
        <w:t>se realizó un análisis financiero costo-beneficio, calculando los flujos netos de costos de inversión, operación y mantenimiento y los ingresos esperados por venta de la energía para un</w:t>
      </w:r>
      <w:r>
        <w:rPr>
          <w:rFonts w:ascii="Arial" w:hAnsi="Arial" w:cs="Arial"/>
          <w:sz w:val="22"/>
          <w:szCs w:val="22"/>
        </w:rPr>
        <w:t xml:space="preserve"> período de 25 años</w:t>
      </w:r>
      <w:r w:rsidRPr="002B1842">
        <w:rPr>
          <w:rFonts w:ascii="Arial" w:hAnsi="Arial" w:cs="Arial"/>
          <w:sz w:val="22"/>
          <w:szCs w:val="22"/>
        </w:rPr>
        <w:t xml:space="preserve">. </w:t>
      </w:r>
      <w:bookmarkStart w:name="_Hlk526086970" w:id="36"/>
      <w:r w:rsidRPr="002B1842">
        <w:rPr>
          <w:rFonts w:ascii="Arial" w:hAnsi="Arial" w:cs="Arial"/>
          <w:sz w:val="22"/>
          <w:szCs w:val="22"/>
        </w:rPr>
        <w:t xml:space="preserve">Se obtiene una </w:t>
      </w:r>
      <w:r>
        <w:rPr>
          <w:rFonts w:ascii="Arial" w:hAnsi="Arial" w:cs="Arial"/>
          <w:sz w:val="22"/>
          <w:szCs w:val="22"/>
        </w:rPr>
        <w:t>tasa interna de retorno (</w:t>
      </w:r>
      <w:r w:rsidRPr="002B1842">
        <w:rPr>
          <w:rFonts w:ascii="Arial" w:hAnsi="Arial" w:cs="Arial"/>
          <w:sz w:val="22"/>
          <w:szCs w:val="22"/>
        </w:rPr>
        <w:t>TIR</w:t>
      </w:r>
      <w:r>
        <w:rPr>
          <w:rFonts w:ascii="Arial" w:hAnsi="Arial" w:cs="Arial"/>
          <w:sz w:val="22"/>
          <w:szCs w:val="22"/>
        </w:rPr>
        <w:t>)</w:t>
      </w:r>
      <w:r w:rsidRPr="002B1842">
        <w:rPr>
          <w:rFonts w:ascii="Arial" w:hAnsi="Arial" w:cs="Arial"/>
          <w:sz w:val="22"/>
          <w:szCs w:val="22"/>
        </w:rPr>
        <w:t xml:space="preserve"> de 1</w:t>
      </w:r>
      <w:r>
        <w:rPr>
          <w:rFonts w:ascii="Arial" w:hAnsi="Arial" w:cs="Arial"/>
          <w:sz w:val="22"/>
          <w:szCs w:val="22"/>
        </w:rPr>
        <w:t>4,24</w:t>
      </w:r>
      <w:r w:rsidRPr="002B1842">
        <w:rPr>
          <w:rFonts w:ascii="Arial" w:hAnsi="Arial" w:cs="Arial"/>
          <w:sz w:val="22"/>
          <w:szCs w:val="22"/>
        </w:rPr>
        <w:t xml:space="preserve">% para Isla Guanaja y </w:t>
      </w:r>
      <w:r>
        <w:rPr>
          <w:rFonts w:ascii="Arial" w:hAnsi="Arial" w:cs="Arial"/>
          <w:sz w:val="22"/>
          <w:szCs w:val="22"/>
        </w:rPr>
        <w:t xml:space="preserve">14,75% para Brus Laguna. Descontando los flujos al 12%, se obtiene un Valor Presente Neto (VPN) de US$448.119 para Isla Guanaja y US$491.468 para Brus Laguna. Estos resultados demuestran la bondad de la inversión desde el punto de vista </w:t>
      </w:r>
      <w:r w:rsidR="00461841">
        <w:rPr>
          <w:rFonts w:ascii="Arial" w:hAnsi="Arial" w:cs="Arial"/>
          <w:sz w:val="22"/>
          <w:szCs w:val="22"/>
        </w:rPr>
        <w:t>financiero</w:t>
      </w:r>
      <w:bookmarkEnd w:id="36"/>
      <w:r w:rsidR="007F24FD">
        <w:rPr>
          <w:rFonts w:ascii="Arial" w:hAnsi="Arial" w:cs="Arial"/>
          <w:sz w:val="22"/>
          <w:szCs w:val="22"/>
        </w:rPr>
        <w:t xml:space="preserve">, </w:t>
      </w:r>
      <w:r w:rsidRPr="007F24FD" w:rsidR="007F24FD">
        <w:rPr>
          <w:rFonts w:ascii="Arial" w:hAnsi="Arial" w:cs="Arial"/>
          <w:sz w:val="22"/>
          <w:szCs w:val="22"/>
        </w:rPr>
        <w:t>a pesar de estar usando como escenario base, cifras conservadoras asumiendo las tarifas bajas, que se logran con precios bajo de petróleo, menor a US$55/ barril</w:t>
      </w:r>
      <w:r w:rsidR="00461841">
        <w:rPr>
          <w:rFonts w:ascii="Arial" w:hAnsi="Arial" w:cs="Arial"/>
          <w:sz w:val="22"/>
          <w:szCs w:val="22"/>
        </w:rPr>
        <w:t>.</w:t>
      </w:r>
    </w:p>
    <w:p w:rsidRPr="002B1842" w:rsidR="004F63E0" w:rsidP="002B1842" w:rsidRDefault="004F63E0" w14:paraId="244261D2" w14:textId="124FA64A">
      <w:pPr>
        <w:pStyle w:val="Paragraph"/>
        <w:tabs>
          <w:tab w:val="num" w:pos="720"/>
        </w:tabs>
        <w:ind w:left="720" w:hanging="720"/>
        <w:rPr>
          <w:rFonts w:ascii="Arial" w:hAnsi="Arial" w:cs="Arial"/>
          <w:sz w:val="22"/>
          <w:szCs w:val="22"/>
        </w:rPr>
      </w:pPr>
      <w:r>
        <w:rPr>
          <w:rFonts w:ascii="Arial" w:hAnsi="Arial" w:cs="Arial"/>
          <w:sz w:val="22"/>
          <w:szCs w:val="22"/>
        </w:rPr>
        <w:t>E</w:t>
      </w:r>
      <w:r w:rsidR="008C723D">
        <w:rPr>
          <w:rFonts w:ascii="Arial" w:hAnsi="Arial" w:cs="Arial"/>
          <w:sz w:val="22"/>
          <w:szCs w:val="22"/>
        </w:rPr>
        <w:t>n e</w:t>
      </w:r>
      <w:r>
        <w:rPr>
          <w:rFonts w:ascii="Arial" w:hAnsi="Arial" w:cs="Arial"/>
          <w:sz w:val="22"/>
          <w:szCs w:val="22"/>
        </w:rPr>
        <w:t xml:space="preserve">l caso base de la evaluación de los proyectos de </w:t>
      </w:r>
      <w:proofErr w:type="spellStart"/>
      <w:r w:rsidR="0074018C">
        <w:rPr>
          <w:rFonts w:ascii="Arial" w:hAnsi="Arial" w:cs="Arial"/>
          <w:sz w:val="22"/>
          <w:szCs w:val="22"/>
        </w:rPr>
        <w:t>micro-</w:t>
      </w:r>
      <w:r>
        <w:rPr>
          <w:rFonts w:ascii="Arial" w:hAnsi="Arial" w:cs="Arial"/>
          <w:sz w:val="22"/>
          <w:szCs w:val="22"/>
        </w:rPr>
        <w:t>red</w:t>
      </w:r>
      <w:proofErr w:type="spellEnd"/>
      <w:r>
        <w:rPr>
          <w:rFonts w:ascii="Arial" w:hAnsi="Arial" w:cs="Arial"/>
          <w:sz w:val="22"/>
          <w:szCs w:val="22"/>
        </w:rPr>
        <w:t xml:space="preserve"> no </w:t>
      </w:r>
      <w:r w:rsidR="008C723D">
        <w:rPr>
          <w:rFonts w:ascii="Arial" w:hAnsi="Arial" w:cs="Arial"/>
          <w:sz w:val="22"/>
          <w:szCs w:val="22"/>
        </w:rPr>
        <w:t xml:space="preserve">se </w:t>
      </w:r>
      <w:r>
        <w:rPr>
          <w:rFonts w:ascii="Arial" w:hAnsi="Arial" w:cs="Arial"/>
          <w:sz w:val="22"/>
          <w:szCs w:val="22"/>
        </w:rPr>
        <w:t>considera venta de CO</w:t>
      </w:r>
      <w:r w:rsidRPr="004F63E0">
        <w:rPr>
          <w:rFonts w:ascii="Arial" w:hAnsi="Arial" w:cs="Arial"/>
          <w:sz w:val="22"/>
          <w:szCs w:val="22"/>
          <w:vertAlign w:val="superscript"/>
        </w:rPr>
        <w:t>2</w:t>
      </w:r>
      <w:r>
        <w:rPr>
          <w:rFonts w:ascii="Arial" w:hAnsi="Arial" w:cs="Arial"/>
          <w:sz w:val="22"/>
          <w:szCs w:val="22"/>
        </w:rPr>
        <w:t xml:space="preserve">. </w:t>
      </w:r>
      <w:r w:rsidR="008C723D">
        <w:rPr>
          <w:rFonts w:ascii="Arial" w:hAnsi="Arial" w:cs="Arial"/>
          <w:sz w:val="22"/>
          <w:szCs w:val="22"/>
        </w:rPr>
        <w:t xml:space="preserve"> En el análisis de sensibilidad se considera el potencial impacto de esta venta.</w:t>
      </w:r>
    </w:p>
    <w:p w:rsidRPr="009D7DC5" w:rsidR="00E90703" w:rsidP="00E90703" w:rsidRDefault="002B1842" w14:paraId="78507AE4" w14:textId="6DE50F08">
      <w:pPr>
        <w:pStyle w:val="FirstHeading"/>
        <w:ind w:left="720"/>
        <w:rPr>
          <w:rFonts w:ascii="Arial" w:hAnsi="Arial" w:cs="Arial"/>
          <w:b w:val="0"/>
          <w:sz w:val="22"/>
          <w:szCs w:val="22"/>
        </w:rPr>
      </w:pPr>
      <w:bookmarkStart w:name="_Toc481494024" w:id="37"/>
      <w:bookmarkStart w:name="_Toc526996967" w:id="38"/>
      <w:bookmarkStart w:name="_Hlk482176344" w:id="39"/>
      <w:r>
        <w:rPr>
          <w:rFonts w:ascii="Arial" w:hAnsi="Arial" w:cs="Arial"/>
          <w:sz w:val="22"/>
          <w:szCs w:val="22"/>
        </w:rPr>
        <w:t>E</w:t>
      </w:r>
      <w:r w:rsidRPr="00113C53" w:rsidR="00E90703">
        <w:rPr>
          <w:rFonts w:ascii="Arial" w:hAnsi="Arial" w:cs="Arial"/>
          <w:sz w:val="22"/>
          <w:szCs w:val="22"/>
        </w:rPr>
        <w:t>.</w:t>
      </w:r>
      <w:bookmarkEnd w:id="37"/>
      <w:r w:rsidRPr="00113C53" w:rsidR="00E90703">
        <w:rPr>
          <w:rFonts w:ascii="Arial" w:hAnsi="Arial" w:cs="Arial"/>
          <w:sz w:val="22"/>
          <w:szCs w:val="22"/>
        </w:rPr>
        <w:tab/>
      </w:r>
      <w:r w:rsidR="00E90703">
        <w:rPr>
          <w:rFonts w:ascii="Arial" w:hAnsi="Arial" w:cs="Arial"/>
          <w:sz w:val="22"/>
          <w:szCs w:val="22"/>
        </w:rPr>
        <w:t>Análisis de Sensibilidad</w:t>
      </w:r>
      <w:bookmarkEnd w:id="38"/>
    </w:p>
    <w:bookmarkEnd w:id="39"/>
    <w:p w:rsidR="009D7DC5" w:rsidP="004B5EA9" w:rsidRDefault="00235C23" w14:paraId="021E6A51" w14:textId="5BFE7493">
      <w:pPr>
        <w:pStyle w:val="Paragraph"/>
        <w:tabs>
          <w:tab w:val="num" w:pos="720"/>
        </w:tabs>
        <w:ind w:left="720" w:hanging="720"/>
        <w:rPr>
          <w:rFonts w:ascii="Arial" w:hAnsi="Arial" w:cs="Arial"/>
          <w:sz w:val="22"/>
          <w:szCs w:val="22"/>
        </w:rPr>
      </w:pPr>
      <w:r>
        <w:rPr>
          <w:rFonts w:ascii="Arial" w:hAnsi="Arial" w:cs="Arial"/>
          <w:sz w:val="22"/>
          <w:szCs w:val="22"/>
        </w:rPr>
        <w:t xml:space="preserve">En el caso de las soluciones con </w:t>
      </w:r>
      <w:proofErr w:type="spellStart"/>
      <w:r w:rsidR="0074018C">
        <w:rPr>
          <w:rFonts w:ascii="Arial" w:hAnsi="Arial" w:cs="Arial"/>
          <w:sz w:val="22"/>
          <w:szCs w:val="22"/>
        </w:rPr>
        <w:t>micro-</w:t>
      </w:r>
      <w:r>
        <w:rPr>
          <w:rFonts w:ascii="Arial" w:hAnsi="Arial" w:cs="Arial"/>
          <w:sz w:val="22"/>
          <w:szCs w:val="22"/>
        </w:rPr>
        <w:t>red</w:t>
      </w:r>
      <w:proofErr w:type="spellEnd"/>
      <w:r>
        <w:rPr>
          <w:rFonts w:ascii="Arial" w:hAnsi="Arial" w:cs="Arial"/>
          <w:sz w:val="22"/>
          <w:szCs w:val="22"/>
        </w:rPr>
        <w:t>, e</w:t>
      </w:r>
      <w:r w:rsidRPr="009C1CE2" w:rsidR="009D7DC5">
        <w:rPr>
          <w:rFonts w:ascii="Arial" w:hAnsi="Arial" w:cs="Arial"/>
          <w:sz w:val="22"/>
          <w:szCs w:val="22"/>
        </w:rPr>
        <w:t xml:space="preserve">l análisis de sensibilidad </w:t>
      </w:r>
      <w:r w:rsidR="001F2A6F">
        <w:rPr>
          <w:rFonts w:ascii="Arial" w:hAnsi="Arial" w:cs="Arial"/>
          <w:sz w:val="22"/>
          <w:szCs w:val="22"/>
        </w:rPr>
        <w:t xml:space="preserve">al costo-efectividad </w:t>
      </w:r>
      <w:r w:rsidRPr="009C1CE2" w:rsidR="009D7DC5">
        <w:rPr>
          <w:rFonts w:ascii="Arial" w:hAnsi="Arial" w:cs="Arial"/>
          <w:sz w:val="22"/>
          <w:szCs w:val="22"/>
        </w:rPr>
        <w:t>considera el margen de diferencia en el costo unitario de las alternativas</w:t>
      </w:r>
      <w:r w:rsidR="00461841">
        <w:rPr>
          <w:rFonts w:ascii="Arial" w:hAnsi="Arial" w:cs="Arial"/>
          <w:sz w:val="22"/>
          <w:szCs w:val="22"/>
        </w:rPr>
        <w:t>, o sea el margen disponible de aumento en los costos de la solución seleccionada, antes de perder su ventaja en costos</w:t>
      </w:r>
      <w:r w:rsidRPr="009C1CE2" w:rsidR="009D7DC5">
        <w:rPr>
          <w:rFonts w:ascii="Arial" w:hAnsi="Arial" w:cs="Arial"/>
          <w:sz w:val="22"/>
          <w:szCs w:val="22"/>
        </w:rPr>
        <w:t xml:space="preserve">. </w:t>
      </w:r>
      <w:r>
        <w:rPr>
          <w:rFonts w:ascii="Arial" w:hAnsi="Arial" w:cs="Arial"/>
          <w:sz w:val="22"/>
          <w:szCs w:val="22"/>
        </w:rPr>
        <w:t>T</w:t>
      </w:r>
      <w:r w:rsidR="00E15BC2">
        <w:rPr>
          <w:rFonts w:ascii="Arial" w:hAnsi="Arial" w:cs="Arial"/>
          <w:sz w:val="22"/>
          <w:szCs w:val="22"/>
        </w:rPr>
        <w:t xml:space="preserve">eniendo en cuenta que la solución ofrecida cuesta </w:t>
      </w:r>
      <w:r w:rsidR="00B80F87">
        <w:rPr>
          <w:rFonts w:ascii="Arial" w:hAnsi="Arial" w:cs="Arial"/>
          <w:sz w:val="22"/>
          <w:szCs w:val="22"/>
        </w:rPr>
        <w:t>entre 74,2</w:t>
      </w:r>
      <w:r w:rsidR="00E15BC2">
        <w:rPr>
          <w:rFonts w:ascii="Arial" w:hAnsi="Arial" w:cs="Arial"/>
          <w:sz w:val="22"/>
          <w:szCs w:val="22"/>
        </w:rPr>
        <w:t>%</w:t>
      </w:r>
      <w:r w:rsidR="00B80F87">
        <w:rPr>
          <w:rFonts w:ascii="Arial" w:hAnsi="Arial" w:cs="Arial"/>
          <w:sz w:val="22"/>
          <w:szCs w:val="22"/>
        </w:rPr>
        <w:t xml:space="preserve"> y 75,6% </w:t>
      </w:r>
      <w:r w:rsidR="00A346C6">
        <w:rPr>
          <w:rFonts w:ascii="Arial" w:hAnsi="Arial" w:cs="Arial"/>
          <w:sz w:val="22"/>
          <w:szCs w:val="22"/>
        </w:rPr>
        <w:t>d</w:t>
      </w:r>
      <w:r w:rsidR="00E15BC2">
        <w:rPr>
          <w:rFonts w:ascii="Arial" w:hAnsi="Arial" w:cs="Arial"/>
          <w:sz w:val="22"/>
          <w:szCs w:val="22"/>
        </w:rPr>
        <w:t xml:space="preserve">el costo de la solución </w:t>
      </w:r>
      <w:r w:rsidR="00B55C68">
        <w:rPr>
          <w:rFonts w:ascii="Arial" w:hAnsi="Arial" w:cs="Arial"/>
          <w:sz w:val="22"/>
          <w:szCs w:val="22"/>
        </w:rPr>
        <w:t>basada en</w:t>
      </w:r>
      <w:r w:rsidR="00E15BC2">
        <w:rPr>
          <w:rFonts w:ascii="Arial" w:hAnsi="Arial" w:cs="Arial"/>
          <w:sz w:val="22"/>
          <w:szCs w:val="22"/>
        </w:rPr>
        <w:t xml:space="preserve"> diésel, el margen de movimiento de precios es bastante amplio</w:t>
      </w:r>
      <w:r w:rsidR="00B55C68">
        <w:rPr>
          <w:rFonts w:ascii="Arial" w:hAnsi="Arial" w:cs="Arial"/>
          <w:sz w:val="22"/>
          <w:szCs w:val="22"/>
        </w:rPr>
        <w:t xml:space="preserve"> para conservar</w:t>
      </w:r>
      <w:r w:rsidR="00E15BC2">
        <w:rPr>
          <w:rFonts w:ascii="Arial" w:hAnsi="Arial" w:cs="Arial"/>
          <w:sz w:val="22"/>
          <w:szCs w:val="22"/>
        </w:rPr>
        <w:t xml:space="preserve"> la ventaja </w:t>
      </w:r>
      <w:r w:rsidR="001426C5">
        <w:rPr>
          <w:rFonts w:ascii="Arial" w:hAnsi="Arial" w:cs="Arial"/>
          <w:sz w:val="22"/>
          <w:szCs w:val="22"/>
        </w:rPr>
        <w:t>en costo</w:t>
      </w:r>
      <w:r w:rsidR="00E15BC2">
        <w:rPr>
          <w:rFonts w:ascii="Arial" w:hAnsi="Arial" w:cs="Arial"/>
          <w:sz w:val="22"/>
          <w:szCs w:val="22"/>
        </w:rPr>
        <w:t xml:space="preserve"> de la solución fotovoltaica en </w:t>
      </w:r>
      <w:proofErr w:type="spellStart"/>
      <w:r w:rsidR="0074018C">
        <w:rPr>
          <w:rFonts w:ascii="Arial" w:hAnsi="Arial" w:cs="Arial"/>
          <w:sz w:val="22"/>
          <w:szCs w:val="22"/>
        </w:rPr>
        <w:t>micro-</w:t>
      </w:r>
      <w:r w:rsidR="00E15BC2">
        <w:rPr>
          <w:rFonts w:ascii="Arial" w:hAnsi="Arial" w:cs="Arial"/>
          <w:sz w:val="22"/>
          <w:szCs w:val="22"/>
        </w:rPr>
        <w:t>red</w:t>
      </w:r>
      <w:proofErr w:type="spellEnd"/>
      <w:r w:rsidR="00E15BC2">
        <w:rPr>
          <w:rFonts w:ascii="Arial" w:hAnsi="Arial" w:cs="Arial"/>
          <w:sz w:val="22"/>
          <w:szCs w:val="22"/>
        </w:rPr>
        <w:t>.</w:t>
      </w:r>
      <w:r w:rsidR="00693A3F">
        <w:rPr>
          <w:rFonts w:ascii="Arial" w:hAnsi="Arial" w:cs="Arial"/>
          <w:sz w:val="22"/>
          <w:szCs w:val="22"/>
        </w:rPr>
        <w:t xml:space="preserve"> Concretamente para </w:t>
      </w:r>
      <w:r w:rsidRPr="00693A3F" w:rsidR="00693A3F">
        <w:rPr>
          <w:rFonts w:ascii="Arial" w:hAnsi="Arial" w:cs="Arial"/>
          <w:sz w:val="22"/>
          <w:szCs w:val="22"/>
        </w:rPr>
        <w:t>el caso de Guanaja, el costo de la solución propuesta tendría que ser 32% más alto (umbral de costo-efectividad) para que la solución sea equivalente en términos de costo</w:t>
      </w:r>
      <w:r w:rsidR="0034650B">
        <w:rPr>
          <w:rFonts w:ascii="Arial" w:hAnsi="Arial" w:cs="Arial"/>
          <w:sz w:val="22"/>
          <w:szCs w:val="22"/>
        </w:rPr>
        <w:t>,</w:t>
      </w:r>
      <w:r w:rsidR="00693A3F">
        <w:rPr>
          <w:rFonts w:ascii="Arial" w:hAnsi="Arial" w:cs="Arial"/>
          <w:sz w:val="22"/>
          <w:szCs w:val="22"/>
        </w:rPr>
        <w:t xml:space="preserve"> a la </w:t>
      </w:r>
      <w:r w:rsidR="00BD4131">
        <w:rPr>
          <w:rFonts w:ascii="Arial" w:hAnsi="Arial" w:cs="Arial"/>
          <w:sz w:val="22"/>
          <w:szCs w:val="22"/>
        </w:rPr>
        <w:t>alternativa</w:t>
      </w:r>
      <w:r w:rsidR="00693A3F">
        <w:rPr>
          <w:rFonts w:ascii="Arial" w:hAnsi="Arial" w:cs="Arial"/>
          <w:sz w:val="22"/>
          <w:szCs w:val="22"/>
        </w:rPr>
        <w:t xml:space="preserve"> </w:t>
      </w:r>
      <w:r w:rsidR="00BD4131">
        <w:rPr>
          <w:rFonts w:ascii="Arial" w:hAnsi="Arial" w:cs="Arial"/>
          <w:sz w:val="22"/>
          <w:szCs w:val="22"/>
        </w:rPr>
        <w:t>actual</w:t>
      </w:r>
      <w:r w:rsidR="0034650B">
        <w:rPr>
          <w:rFonts w:ascii="Arial" w:hAnsi="Arial" w:cs="Arial"/>
          <w:sz w:val="22"/>
          <w:szCs w:val="22"/>
        </w:rPr>
        <w:t xml:space="preserve"> con base en diésel</w:t>
      </w:r>
      <w:r w:rsidRPr="00693A3F" w:rsidR="00693A3F">
        <w:rPr>
          <w:rFonts w:ascii="Arial" w:hAnsi="Arial" w:cs="Arial"/>
          <w:sz w:val="22"/>
          <w:szCs w:val="22"/>
        </w:rPr>
        <w:t>.  Para el caso de Brus Laguna, este umbral sería de 34,7%.</w:t>
      </w:r>
      <w:r w:rsidR="0034650B">
        <w:rPr>
          <w:rFonts w:ascii="Arial" w:hAnsi="Arial" w:cs="Arial"/>
          <w:sz w:val="22"/>
          <w:szCs w:val="22"/>
        </w:rPr>
        <w:t xml:space="preserve"> </w:t>
      </w:r>
      <w:r w:rsidRPr="0034650B" w:rsidR="00273A24">
        <w:rPr>
          <w:rFonts w:ascii="Arial" w:hAnsi="Arial" w:cs="Arial"/>
          <w:sz w:val="22"/>
          <w:szCs w:val="22"/>
        </w:rPr>
        <w:t>Est</w:t>
      </w:r>
      <w:r w:rsidR="00273A24">
        <w:rPr>
          <w:rFonts w:ascii="Arial" w:hAnsi="Arial" w:cs="Arial"/>
          <w:sz w:val="22"/>
          <w:szCs w:val="22"/>
        </w:rPr>
        <w:t>os</w:t>
      </w:r>
      <w:r w:rsidRPr="0034650B" w:rsidR="00273A24">
        <w:rPr>
          <w:rFonts w:ascii="Arial" w:hAnsi="Arial" w:cs="Arial"/>
          <w:sz w:val="22"/>
          <w:szCs w:val="22"/>
        </w:rPr>
        <w:t xml:space="preserve"> rango</w:t>
      </w:r>
      <w:r w:rsidR="00273A24">
        <w:rPr>
          <w:rFonts w:ascii="Arial" w:hAnsi="Arial" w:cs="Arial"/>
          <w:sz w:val="22"/>
          <w:szCs w:val="22"/>
        </w:rPr>
        <w:t>s</w:t>
      </w:r>
      <w:r w:rsidRPr="0034650B" w:rsidR="00273A24">
        <w:rPr>
          <w:rFonts w:ascii="Arial" w:hAnsi="Arial" w:cs="Arial"/>
          <w:sz w:val="22"/>
          <w:szCs w:val="22"/>
        </w:rPr>
        <w:t xml:space="preserve"> se con</w:t>
      </w:r>
      <w:r w:rsidR="00273A24">
        <w:rPr>
          <w:rFonts w:ascii="Arial" w:hAnsi="Arial" w:cs="Arial"/>
          <w:sz w:val="22"/>
          <w:szCs w:val="22"/>
        </w:rPr>
        <w:t>sideran suficientemente</w:t>
      </w:r>
      <w:r w:rsidR="0034650B">
        <w:rPr>
          <w:rFonts w:ascii="Arial" w:hAnsi="Arial" w:cs="Arial"/>
          <w:sz w:val="22"/>
          <w:szCs w:val="22"/>
        </w:rPr>
        <w:t xml:space="preserve"> amplios</w:t>
      </w:r>
      <w:r w:rsidR="00273A24">
        <w:rPr>
          <w:rFonts w:ascii="Arial" w:hAnsi="Arial" w:cs="Arial"/>
          <w:sz w:val="22"/>
          <w:szCs w:val="22"/>
        </w:rPr>
        <w:t xml:space="preserve"> </w:t>
      </w:r>
      <w:r w:rsidR="0034650B">
        <w:rPr>
          <w:rFonts w:ascii="Arial" w:hAnsi="Arial" w:cs="Arial"/>
          <w:sz w:val="22"/>
          <w:szCs w:val="22"/>
        </w:rPr>
        <w:t xml:space="preserve">para tener certeza de la </w:t>
      </w:r>
      <w:r w:rsidR="00273A24">
        <w:rPr>
          <w:rFonts w:ascii="Arial" w:hAnsi="Arial" w:cs="Arial"/>
          <w:sz w:val="22"/>
          <w:szCs w:val="22"/>
        </w:rPr>
        <w:t xml:space="preserve">solidez de la </w:t>
      </w:r>
      <w:r w:rsidR="0034650B">
        <w:rPr>
          <w:rFonts w:ascii="Arial" w:hAnsi="Arial" w:cs="Arial"/>
          <w:sz w:val="22"/>
          <w:szCs w:val="22"/>
        </w:rPr>
        <w:t>efectividad de la solución desde el punto de vista de costos</w:t>
      </w:r>
      <w:r w:rsidR="00DB06E0">
        <w:rPr>
          <w:rFonts w:ascii="Arial" w:hAnsi="Arial" w:cs="Arial"/>
          <w:sz w:val="22"/>
          <w:szCs w:val="22"/>
        </w:rPr>
        <w:t xml:space="preserve">. Un alza en los costos de estas soluciones se anticipa de baja probabilidad de ocurrencia, </w:t>
      </w:r>
      <w:r w:rsidR="0034650B">
        <w:rPr>
          <w:rFonts w:ascii="Arial" w:hAnsi="Arial" w:cs="Arial"/>
          <w:sz w:val="22"/>
          <w:szCs w:val="22"/>
        </w:rPr>
        <w:t xml:space="preserve">particularmente teniendo en cuenta que los costos de las soluciones con base en generación solar </w:t>
      </w:r>
      <w:r w:rsidR="00273A24">
        <w:rPr>
          <w:rFonts w:ascii="Arial" w:hAnsi="Arial" w:cs="Arial"/>
          <w:sz w:val="22"/>
          <w:szCs w:val="22"/>
        </w:rPr>
        <w:t>traen</w:t>
      </w:r>
      <w:r w:rsidR="0034650B">
        <w:rPr>
          <w:rFonts w:ascii="Arial" w:hAnsi="Arial" w:cs="Arial"/>
          <w:sz w:val="22"/>
          <w:szCs w:val="22"/>
        </w:rPr>
        <w:t xml:space="preserve"> </w:t>
      </w:r>
      <w:r w:rsidR="00273A24">
        <w:rPr>
          <w:rFonts w:ascii="Arial" w:hAnsi="Arial" w:cs="Arial"/>
          <w:sz w:val="22"/>
          <w:szCs w:val="22"/>
        </w:rPr>
        <w:t>una tendencia continua</w:t>
      </w:r>
      <w:r w:rsidR="0034650B">
        <w:rPr>
          <w:rFonts w:ascii="Arial" w:hAnsi="Arial" w:cs="Arial"/>
          <w:sz w:val="22"/>
          <w:szCs w:val="22"/>
        </w:rPr>
        <w:t xml:space="preserve"> a la baja</w:t>
      </w:r>
      <w:r w:rsidR="00273A24">
        <w:rPr>
          <w:rFonts w:ascii="Arial" w:hAnsi="Arial" w:cs="Arial"/>
          <w:sz w:val="22"/>
          <w:szCs w:val="22"/>
        </w:rPr>
        <w:t>,</w:t>
      </w:r>
      <w:r w:rsidR="0034650B">
        <w:rPr>
          <w:rFonts w:ascii="Arial" w:hAnsi="Arial" w:cs="Arial"/>
          <w:sz w:val="22"/>
          <w:szCs w:val="22"/>
        </w:rPr>
        <w:t xml:space="preserve"> como resultado de los avances de estas tecnologías.  </w:t>
      </w:r>
    </w:p>
    <w:p w:rsidR="00837F58" w:rsidP="004B5EA9" w:rsidRDefault="00EA4B5A" w14:paraId="78567055" w14:textId="473D10F9">
      <w:pPr>
        <w:pStyle w:val="Paragraph"/>
        <w:tabs>
          <w:tab w:val="num" w:pos="720"/>
        </w:tabs>
        <w:ind w:left="720" w:hanging="720"/>
        <w:rPr>
          <w:rFonts w:ascii="Arial" w:hAnsi="Arial" w:cs="Arial"/>
          <w:sz w:val="22"/>
          <w:szCs w:val="22"/>
        </w:rPr>
      </w:pPr>
      <w:bookmarkStart w:name="_Hlk526088308" w:id="40"/>
      <w:r>
        <w:rPr>
          <w:rFonts w:ascii="Arial" w:hAnsi="Arial" w:cs="Arial"/>
          <w:sz w:val="22"/>
          <w:szCs w:val="22"/>
        </w:rPr>
        <w:t>Se realizaron simulaciones de cambios en el precio de la electricidad,</w:t>
      </w:r>
      <w:r w:rsidR="00997CAF">
        <w:rPr>
          <w:rFonts w:ascii="Arial" w:hAnsi="Arial" w:cs="Arial"/>
          <w:sz w:val="22"/>
          <w:szCs w:val="22"/>
        </w:rPr>
        <w:t xml:space="preserve"> Anexo D.1 y E.1</w:t>
      </w:r>
      <w:r>
        <w:rPr>
          <w:rFonts w:ascii="Arial" w:hAnsi="Arial" w:cs="Arial"/>
          <w:sz w:val="22"/>
          <w:szCs w:val="22"/>
        </w:rPr>
        <w:t xml:space="preserve"> el cual determina</w:t>
      </w:r>
      <w:r w:rsidR="00837F58">
        <w:rPr>
          <w:rFonts w:ascii="Arial" w:hAnsi="Arial" w:cs="Arial"/>
          <w:sz w:val="22"/>
          <w:szCs w:val="22"/>
        </w:rPr>
        <w:t>ría</w:t>
      </w:r>
      <w:r>
        <w:rPr>
          <w:rFonts w:ascii="Arial" w:hAnsi="Arial" w:cs="Arial"/>
          <w:sz w:val="22"/>
          <w:szCs w:val="22"/>
        </w:rPr>
        <w:t xml:space="preserve"> </w:t>
      </w:r>
      <w:r w:rsidR="004F63E0">
        <w:rPr>
          <w:rFonts w:ascii="Arial" w:hAnsi="Arial" w:cs="Arial"/>
          <w:sz w:val="22"/>
          <w:szCs w:val="22"/>
        </w:rPr>
        <w:t xml:space="preserve">las tarifas cobradas y </w:t>
      </w:r>
      <w:r>
        <w:rPr>
          <w:rFonts w:ascii="Arial" w:hAnsi="Arial" w:cs="Arial"/>
          <w:sz w:val="22"/>
          <w:szCs w:val="22"/>
        </w:rPr>
        <w:t xml:space="preserve">el ingreso al sistema de la </w:t>
      </w:r>
      <w:proofErr w:type="spellStart"/>
      <w:r w:rsidR="0074018C">
        <w:rPr>
          <w:rFonts w:ascii="Arial" w:hAnsi="Arial" w:cs="Arial"/>
          <w:sz w:val="22"/>
          <w:szCs w:val="22"/>
        </w:rPr>
        <w:t>micro-</w:t>
      </w:r>
      <w:r>
        <w:rPr>
          <w:rFonts w:ascii="Arial" w:hAnsi="Arial" w:cs="Arial"/>
          <w:sz w:val="22"/>
          <w:szCs w:val="22"/>
        </w:rPr>
        <w:t>red</w:t>
      </w:r>
      <w:proofErr w:type="spellEnd"/>
      <w:r>
        <w:rPr>
          <w:rFonts w:ascii="Arial" w:hAnsi="Arial" w:cs="Arial"/>
          <w:sz w:val="22"/>
          <w:szCs w:val="22"/>
        </w:rPr>
        <w:t xml:space="preserve">. </w:t>
      </w:r>
      <w:r w:rsidR="00CD2543">
        <w:rPr>
          <w:rFonts w:ascii="Arial" w:hAnsi="Arial" w:cs="Arial"/>
          <w:sz w:val="22"/>
          <w:szCs w:val="22"/>
        </w:rPr>
        <w:t>Para el caso de Guanaja s</w:t>
      </w:r>
      <w:r w:rsidR="004F63E0">
        <w:rPr>
          <w:rFonts w:ascii="Arial" w:hAnsi="Arial" w:cs="Arial"/>
          <w:sz w:val="22"/>
          <w:szCs w:val="22"/>
        </w:rPr>
        <w:t>e encontró que una r</w:t>
      </w:r>
      <w:r>
        <w:rPr>
          <w:rFonts w:ascii="Arial" w:hAnsi="Arial" w:cs="Arial"/>
          <w:sz w:val="22"/>
          <w:szCs w:val="22"/>
        </w:rPr>
        <w:t>educción de hasta el 10% del precio</w:t>
      </w:r>
      <w:r w:rsidR="004F63E0">
        <w:rPr>
          <w:rFonts w:ascii="Arial" w:hAnsi="Arial" w:cs="Arial"/>
          <w:sz w:val="22"/>
          <w:szCs w:val="22"/>
        </w:rPr>
        <w:t>,</w:t>
      </w:r>
      <w:r>
        <w:rPr>
          <w:rFonts w:ascii="Arial" w:hAnsi="Arial" w:cs="Arial"/>
          <w:sz w:val="22"/>
          <w:szCs w:val="22"/>
        </w:rPr>
        <w:t xml:space="preserve"> </w:t>
      </w:r>
      <w:r w:rsidR="004F63E0">
        <w:rPr>
          <w:rFonts w:ascii="Arial" w:hAnsi="Arial" w:cs="Arial"/>
          <w:sz w:val="22"/>
          <w:szCs w:val="22"/>
        </w:rPr>
        <w:t xml:space="preserve">representa el umbral de rentabilidad </w:t>
      </w:r>
      <w:r w:rsidR="00E078CD">
        <w:rPr>
          <w:rFonts w:ascii="Arial" w:hAnsi="Arial" w:cs="Arial"/>
          <w:sz w:val="22"/>
          <w:szCs w:val="22"/>
        </w:rPr>
        <w:t>financiera</w:t>
      </w:r>
      <w:r w:rsidR="004F63E0">
        <w:rPr>
          <w:rFonts w:ascii="Arial" w:hAnsi="Arial" w:cs="Arial"/>
          <w:sz w:val="22"/>
          <w:szCs w:val="22"/>
        </w:rPr>
        <w:t>, al mantener la TIR hasta ese punto dentro</w:t>
      </w:r>
      <w:r>
        <w:rPr>
          <w:rFonts w:ascii="Arial" w:hAnsi="Arial" w:cs="Arial"/>
          <w:sz w:val="22"/>
          <w:szCs w:val="22"/>
        </w:rPr>
        <w:t xml:space="preserve"> del margen del 12%</w:t>
      </w:r>
      <w:r w:rsidR="004F63E0">
        <w:rPr>
          <w:rFonts w:ascii="Arial" w:hAnsi="Arial" w:cs="Arial"/>
          <w:sz w:val="22"/>
          <w:szCs w:val="22"/>
        </w:rPr>
        <w:t xml:space="preserve">. </w:t>
      </w:r>
      <w:bookmarkEnd w:id="40"/>
      <w:r w:rsidR="004F63E0">
        <w:rPr>
          <w:rFonts w:ascii="Arial" w:hAnsi="Arial" w:cs="Arial"/>
          <w:sz w:val="22"/>
          <w:szCs w:val="22"/>
        </w:rPr>
        <w:t xml:space="preserve"> En este punto, el VPN de la inversión sería de US$112,462.</w:t>
      </w:r>
      <w:r w:rsidR="00CD2543">
        <w:rPr>
          <w:rFonts w:ascii="Arial" w:hAnsi="Arial" w:cs="Arial"/>
          <w:sz w:val="22"/>
          <w:szCs w:val="22"/>
        </w:rPr>
        <w:t xml:space="preserve"> </w:t>
      </w:r>
      <w:r w:rsidR="00837F58">
        <w:rPr>
          <w:rFonts w:ascii="Arial" w:hAnsi="Arial" w:cs="Arial"/>
          <w:sz w:val="22"/>
          <w:szCs w:val="22"/>
        </w:rPr>
        <w:t>Este análisis es equivalente al caso en que los precios del combustible fósil se redujeran</w:t>
      </w:r>
      <w:r w:rsidR="00CD5CB0">
        <w:rPr>
          <w:rFonts w:ascii="Arial" w:hAnsi="Arial" w:cs="Arial"/>
          <w:sz w:val="22"/>
          <w:szCs w:val="22"/>
        </w:rPr>
        <w:t xml:space="preserve">, </w:t>
      </w:r>
      <w:r w:rsidR="00997CAF">
        <w:rPr>
          <w:rFonts w:ascii="Arial" w:hAnsi="Arial" w:cs="Arial"/>
          <w:sz w:val="22"/>
          <w:szCs w:val="22"/>
        </w:rPr>
        <w:t xml:space="preserve">Anexo D.2 y E.2 </w:t>
      </w:r>
      <w:r w:rsidR="00CD5CB0">
        <w:rPr>
          <w:rFonts w:ascii="Arial" w:hAnsi="Arial" w:cs="Arial"/>
          <w:sz w:val="22"/>
          <w:szCs w:val="22"/>
        </w:rPr>
        <w:t>reflejando menor costo de generación, lo que llevaría a dar mayor viabilidad financiera a</w:t>
      </w:r>
      <w:r w:rsidR="00837F58">
        <w:rPr>
          <w:rFonts w:ascii="Arial" w:hAnsi="Arial" w:cs="Arial"/>
          <w:sz w:val="22"/>
          <w:szCs w:val="22"/>
        </w:rPr>
        <w:t xml:space="preserve"> una solución con base en este combustible. El umbral de precio encontrado es de 3,83 </w:t>
      </w:r>
      <w:r w:rsidR="00CD5CB0">
        <w:rPr>
          <w:rFonts w:ascii="Arial" w:hAnsi="Arial" w:cs="Arial"/>
          <w:sz w:val="22"/>
          <w:szCs w:val="22"/>
        </w:rPr>
        <w:t>$</w:t>
      </w:r>
      <w:r w:rsidRPr="00837F58" w:rsidR="00837F58">
        <w:rPr>
          <w:rFonts w:ascii="Arial" w:hAnsi="Arial" w:cs="Arial"/>
          <w:sz w:val="22"/>
          <w:szCs w:val="22"/>
        </w:rPr>
        <w:t>US/</w:t>
      </w:r>
      <w:proofErr w:type="spellStart"/>
      <w:r w:rsidR="000B1E0B">
        <w:rPr>
          <w:rFonts w:ascii="Arial" w:hAnsi="Arial" w:cs="Arial"/>
          <w:sz w:val="22"/>
          <w:szCs w:val="22"/>
        </w:rPr>
        <w:t>ga</w:t>
      </w:r>
      <w:proofErr w:type="spellEnd"/>
      <w:r w:rsidR="00772393">
        <w:rPr>
          <w:rStyle w:val="FootnoteReference"/>
          <w:rFonts w:ascii="Arial" w:hAnsi="Arial" w:cs="Arial"/>
          <w:sz w:val="22"/>
          <w:szCs w:val="22"/>
        </w:rPr>
        <w:footnoteReference w:id="21"/>
      </w:r>
      <w:r w:rsidR="000B1E0B">
        <w:rPr>
          <w:rFonts w:ascii="Arial" w:hAnsi="Arial" w:cs="Arial"/>
          <w:sz w:val="22"/>
          <w:szCs w:val="22"/>
        </w:rPr>
        <w:t>l</w:t>
      </w:r>
      <w:r w:rsidR="00837F58">
        <w:rPr>
          <w:rFonts w:ascii="Arial" w:hAnsi="Arial" w:cs="Arial"/>
          <w:sz w:val="22"/>
          <w:szCs w:val="22"/>
        </w:rPr>
        <w:t xml:space="preserve">, debajo del cual la solución propuesta se vuelve menos atractiva. El precio base usado en el análisis es de 4,26 </w:t>
      </w:r>
      <w:r w:rsidR="00CD5CB0">
        <w:rPr>
          <w:rFonts w:ascii="Arial" w:hAnsi="Arial" w:cs="Arial"/>
          <w:sz w:val="22"/>
          <w:szCs w:val="22"/>
        </w:rPr>
        <w:t>$</w:t>
      </w:r>
      <w:r w:rsidRPr="00837F58" w:rsidR="00837F58">
        <w:rPr>
          <w:rFonts w:ascii="Arial" w:hAnsi="Arial" w:cs="Arial"/>
          <w:sz w:val="22"/>
          <w:szCs w:val="22"/>
        </w:rPr>
        <w:t>US/</w:t>
      </w:r>
      <w:r w:rsidR="000B1E0B">
        <w:rPr>
          <w:rFonts w:ascii="Arial" w:hAnsi="Arial" w:cs="Arial"/>
          <w:sz w:val="22"/>
          <w:szCs w:val="22"/>
        </w:rPr>
        <w:t>gal</w:t>
      </w:r>
      <w:r w:rsidR="00772393">
        <w:rPr>
          <w:rFonts w:ascii="Arial" w:hAnsi="Arial" w:cs="Arial"/>
          <w:sz w:val="22"/>
          <w:szCs w:val="22"/>
        </w:rPr>
        <w:t xml:space="preserve"> (valor de referencia 55 US$/barril)</w:t>
      </w:r>
      <w:r w:rsidR="00837F58">
        <w:rPr>
          <w:rFonts w:ascii="Arial" w:hAnsi="Arial" w:cs="Arial"/>
          <w:sz w:val="22"/>
          <w:szCs w:val="22"/>
        </w:rPr>
        <w:t>.</w:t>
      </w:r>
    </w:p>
    <w:p w:rsidR="00BE51FE" w:rsidP="004B5EA9" w:rsidRDefault="00BE51FE" w14:paraId="58DC2BE2" w14:textId="7D1A1E28">
      <w:pPr>
        <w:pStyle w:val="Paragraph"/>
        <w:tabs>
          <w:tab w:val="num" w:pos="720"/>
        </w:tabs>
        <w:ind w:left="720" w:hanging="720"/>
        <w:rPr>
          <w:rFonts w:ascii="Arial" w:hAnsi="Arial" w:cs="Arial"/>
          <w:sz w:val="22"/>
          <w:szCs w:val="22"/>
        </w:rPr>
      </w:pPr>
      <w:r>
        <w:rPr>
          <w:rFonts w:ascii="Arial" w:hAnsi="Arial" w:cs="Arial"/>
          <w:sz w:val="22"/>
          <w:szCs w:val="22"/>
        </w:rPr>
        <w:lastRenderedPageBreak/>
        <w:t xml:space="preserve">Se realizaron simulaciones de incremento en la inversión </w:t>
      </w:r>
      <w:r w:rsidR="00772393">
        <w:rPr>
          <w:rFonts w:ascii="Arial" w:hAnsi="Arial" w:cs="Arial"/>
          <w:sz w:val="22"/>
          <w:szCs w:val="22"/>
        </w:rPr>
        <w:t xml:space="preserve">(obras civiles y </w:t>
      </w:r>
      <w:r w:rsidR="00F1210A">
        <w:rPr>
          <w:rFonts w:ascii="Arial" w:hAnsi="Arial" w:cs="Arial"/>
          <w:sz w:val="22"/>
          <w:szCs w:val="22"/>
        </w:rPr>
        <w:t xml:space="preserve">logística, que representan el 29% de la inversión) </w:t>
      </w:r>
      <w:proofErr w:type="gramStart"/>
      <w:r w:rsidR="00F1210A">
        <w:rPr>
          <w:rFonts w:ascii="Arial" w:hAnsi="Arial" w:cs="Arial"/>
          <w:sz w:val="22"/>
          <w:szCs w:val="22"/>
        </w:rPr>
        <w:t>a pesar que</w:t>
      </w:r>
      <w:proofErr w:type="gramEnd"/>
      <w:r w:rsidR="00F1210A">
        <w:rPr>
          <w:rFonts w:ascii="Arial" w:hAnsi="Arial" w:cs="Arial"/>
          <w:sz w:val="22"/>
          <w:szCs w:val="22"/>
        </w:rPr>
        <w:t xml:space="preserve"> en los estudios de factibilidad </w:t>
      </w:r>
      <w:r>
        <w:rPr>
          <w:rFonts w:ascii="Arial" w:hAnsi="Arial" w:cs="Arial"/>
          <w:sz w:val="22"/>
          <w:szCs w:val="22"/>
        </w:rPr>
        <w:t>se incluyen gastos de imprevistos para logístic</w:t>
      </w:r>
      <w:r w:rsidR="00F1210A">
        <w:rPr>
          <w:rFonts w:ascii="Arial" w:hAnsi="Arial" w:cs="Arial"/>
          <w:sz w:val="22"/>
          <w:szCs w:val="22"/>
        </w:rPr>
        <w:t>a</w:t>
      </w:r>
      <w:r>
        <w:rPr>
          <w:rFonts w:ascii="Arial" w:hAnsi="Arial" w:cs="Arial"/>
          <w:sz w:val="22"/>
          <w:szCs w:val="22"/>
        </w:rPr>
        <w:t xml:space="preserve"> y de obras civiles</w:t>
      </w:r>
      <w:r w:rsidR="00F1210A">
        <w:rPr>
          <w:rFonts w:ascii="Arial" w:hAnsi="Arial" w:cs="Arial"/>
          <w:sz w:val="22"/>
          <w:szCs w:val="22"/>
        </w:rPr>
        <w:t>. No se ha considerado incrementos en obras de generación, almacenamiento de energía, por</w:t>
      </w:r>
      <w:r>
        <w:rPr>
          <w:rFonts w:ascii="Arial" w:hAnsi="Arial" w:cs="Arial"/>
          <w:sz w:val="22"/>
          <w:szCs w:val="22"/>
        </w:rPr>
        <w:t>que los estudios de la cooperación técnica fueron presentados en el 2017</w:t>
      </w:r>
      <w:r w:rsidR="00772393">
        <w:rPr>
          <w:rFonts w:ascii="Arial" w:hAnsi="Arial" w:cs="Arial"/>
          <w:sz w:val="22"/>
          <w:szCs w:val="22"/>
        </w:rPr>
        <w:t xml:space="preserve"> empleando valores de la tecnología solar de dicho año</w:t>
      </w:r>
      <w:r>
        <w:rPr>
          <w:rFonts w:ascii="Arial" w:hAnsi="Arial" w:cs="Arial"/>
          <w:sz w:val="22"/>
          <w:szCs w:val="22"/>
        </w:rPr>
        <w:t xml:space="preserve">, y </w:t>
      </w:r>
      <w:r w:rsidR="00772393">
        <w:rPr>
          <w:rFonts w:ascii="Arial" w:hAnsi="Arial" w:cs="Arial"/>
          <w:sz w:val="22"/>
          <w:szCs w:val="22"/>
        </w:rPr>
        <w:t xml:space="preserve">que </w:t>
      </w:r>
      <w:proofErr w:type="gramStart"/>
      <w:r w:rsidR="00772393">
        <w:rPr>
          <w:rFonts w:ascii="Arial" w:hAnsi="Arial" w:cs="Arial"/>
          <w:sz w:val="22"/>
          <w:szCs w:val="22"/>
        </w:rPr>
        <w:t>de acuerdo al</w:t>
      </w:r>
      <w:proofErr w:type="gramEnd"/>
      <w:r w:rsidR="00772393">
        <w:rPr>
          <w:rFonts w:ascii="Arial" w:hAnsi="Arial" w:cs="Arial"/>
          <w:sz w:val="22"/>
          <w:szCs w:val="22"/>
        </w:rPr>
        <w:t xml:space="preserve"> Reporte de </w:t>
      </w:r>
      <w:proofErr w:type="spellStart"/>
      <w:r w:rsidR="00772393">
        <w:rPr>
          <w:rFonts w:ascii="Arial" w:hAnsi="Arial" w:cs="Arial"/>
          <w:sz w:val="22"/>
          <w:szCs w:val="22"/>
        </w:rPr>
        <w:t>EnergyTrend</w:t>
      </w:r>
      <w:proofErr w:type="spellEnd"/>
      <w:r w:rsidR="00772393">
        <w:rPr>
          <w:rFonts w:ascii="Arial" w:hAnsi="Arial" w:cs="Arial"/>
          <w:sz w:val="22"/>
          <w:szCs w:val="22"/>
        </w:rPr>
        <w:t xml:space="preserve"> (Q3 2018) </w:t>
      </w:r>
      <w:r>
        <w:rPr>
          <w:rFonts w:ascii="Arial" w:hAnsi="Arial" w:cs="Arial"/>
          <w:sz w:val="22"/>
          <w:szCs w:val="22"/>
        </w:rPr>
        <w:t xml:space="preserve">los costos de la tecnología </w:t>
      </w:r>
      <w:r w:rsidR="00772393">
        <w:rPr>
          <w:rFonts w:ascii="Arial" w:hAnsi="Arial" w:cs="Arial"/>
          <w:sz w:val="22"/>
          <w:szCs w:val="22"/>
        </w:rPr>
        <w:t>solar se estima que reducirán han reducido en un 20%</w:t>
      </w:r>
      <w:r w:rsidR="00F1210A">
        <w:rPr>
          <w:rFonts w:ascii="Arial" w:hAnsi="Arial" w:cs="Arial"/>
          <w:sz w:val="22"/>
          <w:szCs w:val="22"/>
        </w:rPr>
        <w:t xml:space="preserve"> en el 2018</w:t>
      </w:r>
      <w:r w:rsidR="00772393">
        <w:rPr>
          <w:rFonts w:ascii="Arial" w:hAnsi="Arial" w:cs="Arial"/>
          <w:sz w:val="22"/>
          <w:szCs w:val="22"/>
        </w:rPr>
        <w:t xml:space="preserve">. No obstante, se realizó el análisis de sensibilidad </w:t>
      </w:r>
      <w:r w:rsidR="00F1210A">
        <w:rPr>
          <w:rFonts w:ascii="Arial" w:hAnsi="Arial" w:cs="Arial"/>
          <w:sz w:val="22"/>
          <w:szCs w:val="22"/>
        </w:rPr>
        <w:t>de incremento de inversión de obras civiles y logística, y para mantener la TIR hasta ese punto dentro del margen del 12%, los valores de incremento de obras civiles y logística deberían incrementar en 45%</w:t>
      </w:r>
      <w:r w:rsidR="00997CAF">
        <w:rPr>
          <w:rFonts w:ascii="Arial" w:hAnsi="Arial" w:cs="Arial"/>
          <w:sz w:val="22"/>
          <w:szCs w:val="22"/>
        </w:rPr>
        <w:t>, Anexos D.3 y E.3</w:t>
      </w:r>
      <w:r w:rsidR="00F1210A">
        <w:rPr>
          <w:rFonts w:ascii="Arial" w:hAnsi="Arial" w:cs="Arial"/>
          <w:sz w:val="22"/>
          <w:szCs w:val="22"/>
        </w:rPr>
        <w:t>.</w:t>
      </w:r>
    </w:p>
    <w:p w:rsidR="004F63E0" w:rsidP="004B5EA9" w:rsidRDefault="004F63E0" w14:paraId="3A04E314" w14:textId="45A442DC">
      <w:pPr>
        <w:pStyle w:val="Paragraph"/>
        <w:tabs>
          <w:tab w:val="num" w:pos="720"/>
        </w:tabs>
        <w:ind w:left="720" w:hanging="720"/>
        <w:rPr>
          <w:rFonts w:ascii="Arial" w:hAnsi="Arial" w:cs="Arial"/>
          <w:sz w:val="22"/>
          <w:szCs w:val="22"/>
        </w:rPr>
      </w:pPr>
      <w:bookmarkStart w:name="_Hlk526088354" w:id="41"/>
      <w:r>
        <w:rPr>
          <w:rFonts w:ascii="Arial" w:hAnsi="Arial" w:cs="Arial"/>
          <w:sz w:val="22"/>
          <w:szCs w:val="22"/>
        </w:rPr>
        <w:t>Se consideró un escenario de un volumen de venta de CO</w:t>
      </w:r>
      <w:r w:rsidRPr="004F63E0">
        <w:rPr>
          <w:rFonts w:ascii="Arial" w:hAnsi="Arial" w:cs="Arial"/>
          <w:sz w:val="22"/>
          <w:szCs w:val="22"/>
          <w:vertAlign w:val="subscript"/>
        </w:rPr>
        <w:t>2</w:t>
      </w:r>
      <w:r>
        <w:rPr>
          <w:rFonts w:ascii="Arial" w:hAnsi="Arial" w:cs="Arial"/>
          <w:sz w:val="22"/>
          <w:szCs w:val="22"/>
        </w:rPr>
        <w:t xml:space="preserve"> que se </w:t>
      </w:r>
      <w:r w:rsidR="00E078CD">
        <w:rPr>
          <w:rFonts w:ascii="Arial" w:hAnsi="Arial" w:cs="Arial"/>
          <w:sz w:val="22"/>
          <w:szCs w:val="22"/>
        </w:rPr>
        <w:t>estima</w:t>
      </w:r>
      <w:r>
        <w:rPr>
          <w:rFonts w:ascii="Arial" w:hAnsi="Arial" w:cs="Arial"/>
          <w:sz w:val="22"/>
          <w:szCs w:val="22"/>
        </w:rPr>
        <w:t xml:space="preserve"> se obtiene de la sustitución de </w:t>
      </w:r>
      <w:r w:rsidRPr="00524BD6">
        <w:rPr>
          <w:rFonts w:ascii="Arial" w:hAnsi="Arial" w:cs="Arial"/>
          <w:sz w:val="22"/>
          <w:szCs w:val="22"/>
        </w:rPr>
        <w:t xml:space="preserve">fuentes no renovables con la implementación de la </w:t>
      </w:r>
      <w:proofErr w:type="spellStart"/>
      <w:r w:rsidRPr="00524BD6" w:rsidR="0074018C">
        <w:rPr>
          <w:rFonts w:ascii="Arial" w:hAnsi="Arial" w:cs="Arial"/>
          <w:sz w:val="22"/>
          <w:szCs w:val="22"/>
        </w:rPr>
        <w:t>micro-</w:t>
      </w:r>
      <w:r w:rsidRPr="00524BD6">
        <w:rPr>
          <w:rFonts w:ascii="Arial" w:hAnsi="Arial" w:cs="Arial"/>
          <w:sz w:val="22"/>
          <w:szCs w:val="22"/>
        </w:rPr>
        <w:t>red</w:t>
      </w:r>
      <w:proofErr w:type="spellEnd"/>
      <w:r w:rsidRPr="00524BD6">
        <w:rPr>
          <w:rFonts w:ascii="Arial" w:hAnsi="Arial" w:cs="Arial"/>
          <w:sz w:val="22"/>
          <w:szCs w:val="22"/>
        </w:rPr>
        <w:t xml:space="preserve"> con base solar. Al precio de US$40/Ton de CO</w:t>
      </w:r>
      <w:r w:rsidRPr="00524BD6">
        <w:rPr>
          <w:rFonts w:ascii="Arial" w:hAnsi="Arial" w:cs="Arial"/>
          <w:sz w:val="22"/>
          <w:szCs w:val="22"/>
          <w:vertAlign w:val="subscript"/>
        </w:rPr>
        <w:t>2</w:t>
      </w:r>
      <w:r w:rsidRPr="00524BD6">
        <w:rPr>
          <w:rFonts w:ascii="Arial" w:hAnsi="Arial" w:cs="Arial"/>
          <w:sz w:val="22"/>
          <w:szCs w:val="22"/>
        </w:rPr>
        <w:t>,</w:t>
      </w:r>
      <w:r w:rsidR="009B25E0">
        <w:rPr>
          <w:rFonts w:ascii="Arial" w:hAnsi="Arial" w:cs="Arial"/>
          <w:sz w:val="22"/>
          <w:szCs w:val="22"/>
        </w:rPr>
        <w:t xml:space="preserve"> tomando como referencia el reporte del Banco Mundial de precio sombra de emisiones de gases de efecto invernadero para análisis </w:t>
      </w:r>
      <w:r w:rsidR="00F1210A">
        <w:rPr>
          <w:rFonts w:ascii="Arial" w:hAnsi="Arial" w:cs="Arial"/>
          <w:sz w:val="22"/>
          <w:szCs w:val="22"/>
        </w:rPr>
        <w:t>económico</w:t>
      </w:r>
      <w:r w:rsidR="009B25E0">
        <w:rPr>
          <w:rFonts w:ascii="Arial" w:hAnsi="Arial" w:cs="Arial"/>
          <w:sz w:val="22"/>
          <w:szCs w:val="22"/>
        </w:rPr>
        <w:t>,</w:t>
      </w:r>
      <w:r w:rsidRPr="00524BD6">
        <w:rPr>
          <w:rFonts w:ascii="Arial" w:hAnsi="Arial" w:cs="Arial"/>
          <w:sz w:val="22"/>
          <w:szCs w:val="22"/>
        </w:rPr>
        <w:t xml:space="preserve"> la</w:t>
      </w:r>
      <w:r>
        <w:rPr>
          <w:rFonts w:ascii="Arial" w:hAnsi="Arial" w:cs="Arial"/>
          <w:sz w:val="22"/>
          <w:szCs w:val="22"/>
        </w:rPr>
        <w:t xml:space="preserve"> TIR sube de 14,2% a 15,94% y el VPN sube de US$448.118 a US</w:t>
      </w:r>
      <w:r w:rsidR="00997CAF">
        <w:rPr>
          <w:rFonts w:ascii="Arial" w:hAnsi="Arial" w:cs="Arial"/>
          <w:sz w:val="22"/>
          <w:szCs w:val="22"/>
        </w:rPr>
        <w:t>$</w:t>
      </w:r>
      <w:r>
        <w:rPr>
          <w:rFonts w:ascii="Arial" w:hAnsi="Arial" w:cs="Arial"/>
          <w:sz w:val="22"/>
          <w:szCs w:val="22"/>
        </w:rPr>
        <w:t>716.643</w:t>
      </w:r>
      <w:r w:rsidR="00CE12E8">
        <w:rPr>
          <w:rFonts w:ascii="Arial" w:hAnsi="Arial" w:cs="Arial"/>
          <w:sz w:val="22"/>
          <w:szCs w:val="22"/>
        </w:rPr>
        <w:t>, lo que demuestra la conveniencia de ofrecer esta venta en el mercado de carbono</w:t>
      </w:r>
      <w:bookmarkEnd w:id="41"/>
      <w:r w:rsidR="00CE12E8">
        <w:rPr>
          <w:rFonts w:ascii="Arial" w:hAnsi="Arial" w:cs="Arial"/>
          <w:sz w:val="22"/>
          <w:szCs w:val="22"/>
        </w:rPr>
        <w:t>.</w:t>
      </w:r>
    </w:p>
    <w:p w:rsidR="001F2A6F" w:rsidP="004B5EA9" w:rsidRDefault="001F2A6F" w14:paraId="7FC709B4" w14:textId="2637A98C">
      <w:pPr>
        <w:pStyle w:val="Paragraph"/>
        <w:tabs>
          <w:tab w:val="num" w:pos="720"/>
        </w:tabs>
        <w:ind w:left="720" w:hanging="720"/>
        <w:rPr>
          <w:rFonts w:ascii="Arial" w:hAnsi="Arial" w:cs="Arial"/>
          <w:sz w:val="22"/>
          <w:szCs w:val="22"/>
        </w:rPr>
      </w:pPr>
      <w:r>
        <w:rPr>
          <w:rFonts w:ascii="Arial" w:hAnsi="Arial" w:cs="Arial"/>
          <w:sz w:val="22"/>
          <w:szCs w:val="22"/>
        </w:rPr>
        <w:t xml:space="preserve">Se realizó </w:t>
      </w:r>
      <w:r w:rsidR="00461841">
        <w:rPr>
          <w:rFonts w:ascii="Arial" w:hAnsi="Arial" w:cs="Arial"/>
          <w:sz w:val="22"/>
          <w:szCs w:val="22"/>
        </w:rPr>
        <w:t xml:space="preserve">adicionalmente </w:t>
      </w:r>
      <w:r>
        <w:rPr>
          <w:rFonts w:ascii="Arial" w:hAnsi="Arial" w:cs="Arial"/>
          <w:sz w:val="22"/>
          <w:szCs w:val="22"/>
        </w:rPr>
        <w:t>un análisis de sensibilidad a variables claves en los flujos financieros, tales como alza en el costo de operación y mantenimiento.  En todos los casos, se mantuvo la solidez de los resultados de viabilidad financiera de la inversión.</w:t>
      </w:r>
    </w:p>
    <w:p w:rsidR="00A25B4F" w:rsidP="004B5EA9" w:rsidRDefault="00BA099A" w14:paraId="407032E1" w14:textId="42BAC69A">
      <w:pPr>
        <w:pStyle w:val="Paragraph"/>
        <w:tabs>
          <w:tab w:val="num" w:pos="720"/>
        </w:tabs>
        <w:ind w:left="720" w:hanging="720"/>
        <w:rPr>
          <w:rFonts w:ascii="Arial" w:hAnsi="Arial" w:cs="Arial"/>
          <w:sz w:val="22"/>
          <w:szCs w:val="22"/>
        </w:rPr>
      </w:pPr>
      <w:bookmarkStart w:name="_Hlk526088389" w:id="42"/>
      <w:r>
        <w:rPr>
          <w:rFonts w:ascii="Arial" w:hAnsi="Arial" w:cs="Arial"/>
          <w:sz w:val="22"/>
          <w:szCs w:val="22"/>
        </w:rPr>
        <w:t xml:space="preserve">Para el caso de las soluciones individuales en Choluteca, se simuló un menor valor de la energía sustituida </w:t>
      </w:r>
      <w:bookmarkEnd w:id="42"/>
      <w:r>
        <w:rPr>
          <w:rFonts w:ascii="Arial" w:hAnsi="Arial" w:cs="Arial"/>
          <w:sz w:val="22"/>
          <w:szCs w:val="22"/>
        </w:rPr>
        <w:t>en un 20%</w:t>
      </w:r>
      <w:r w:rsidR="003E24B8">
        <w:rPr>
          <w:rFonts w:ascii="Arial" w:hAnsi="Arial" w:cs="Arial"/>
          <w:sz w:val="22"/>
          <w:szCs w:val="22"/>
        </w:rPr>
        <w:t>.  En este caso</w:t>
      </w:r>
      <w:r w:rsidR="00843E6B">
        <w:rPr>
          <w:rFonts w:ascii="Arial" w:hAnsi="Arial" w:cs="Arial"/>
          <w:sz w:val="22"/>
          <w:szCs w:val="22"/>
        </w:rPr>
        <w:t xml:space="preserve"> </w:t>
      </w:r>
      <w:bookmarkStart w:name="_Hlk526089360" w:id="43"/>
      <w:r w:rsidR="00843E6B">
        <w:rPr>
          <w:rFonts w:ascii="Arial" w:hAnsi="Arial" w:cs="Arial"/>
          <w:sz w:val="22"/>
          <w:szCs w:val="22"/>
        </w:rPr>
        <w:t>se obtuvo una TIR de 19.69% y un VPN individual de US$315</w:t>
      </w:r>
      <w:bookmarkEnd w:id="43"/>
      <w:r w:rsidR="00843E6B">
        <w:rPr>
          <w:rFonts w:ascii="Arial" w:hAnsi="Arial" w:cs="Arial"/>
          <w:sz w:val="22"/>
          <w:szCs w:val="22"/>
        </w:rPr>
        <w:t xml:space="preserve">.  Se </w:t>
      </w:r>
      <w:bookmarkStart w:name="_Hlk526088438" w:id="44"/>
      <w:r w:rsidR="00843E6B">
        <w:rPr>
          <w:rFonts w:ascii="Arial" w:hAnsi="Arial" w:cs="Arial"/>
          <w:sz w:val="22"/>
          <w:szCs w:val="22"/>
        </w:rPr>
        <w:t>encontró que el umbral en el nivel de energía sustituida que pone la solución propuesta en un 12% de TIR es un 58% del valor del caso base</w:t>
      </w:r>
      <w:bookmarkEnd w:id="44"/>
      <w:r>
        <w:rPr>
          <w:rFonts w:ascii="Arial" w:hAnsi="Arial" w:cs="Arial"/>
          <w:sz w:val="22"/>
          <w:szCs w:val="22"/>
        </w:rPr>
        <w:t xml:space="preserve">. </w:t>
      </w:r>
      <w:bookmarkStart w:name="_Hlk526088526" w:id="45"/>
      <w:r w:rsidR="003E24B8">
        <w:rPr>
          <w:rFonts w:ascii="Arial" w:hAnsi="Arial" w:cs="Arial"/>
          <w:sz w:val="22"/>
          <w:szCs w:val="22"/>
        </w:rPr>
        <w:t>Esto significa que únicamente en el caso en que el consumo actual de energía fuera significativamente menor, se podría cuestionar la justificación de la solución propuesta</w:t>
      </w:r>
      <w:bookmarkEnd w:id="45"/>
      <w:r w:rsidR="003E24B8">
        <w:rPr>
          <w:rFonts w:ascii="Arial" w:hAnsi="Arial" w:cs="Arial"/>
          <w:sz w:val="22"/>
          <w:szCs w:val="22"/>
        </w:rPr>
        <w:t xml:space="preserve">. Sin embargo, el nivel de consumo del caso base es un escenario realista de la comunidad a atender, </w:t>
      </w:r>
      <w:bookmarkStart w:name="_Hlk526089446" w:id="46"/>
      <w:r w:rsidR="003E24B8">
        <w:rPr>
          <w:rFonts w:ascii="Arial" w:hAnsi="Arial" w:cs="Arial"/>
          <w:sz w:val="22"/>
          <w:szCs w:val="22"/>
        </w:rPr>
        <w:t>cuyo valor ya se encuentra en estándares mínimos de satisfacción básica</w:t>
      </w:r>
      <w:bookmarkEnd w:id="46"/>
      <w:r w:rsidR="003E24B8">
        <w:rPr>
          <w:rFonts w:ascii="Arial" w:hAnsi="Arial" w:cs="Arial"/>
          <w:sz w:val="22"/>
          <w:szCs w:val="22"/>
        </w:rPr>
        <w:t xml:space="preserve">. </w:t>
      </w:r>
      <w:r>
        <w:rPr>
          <w:rFonts w:ascii="Arial" w:hAnsi="Arial" w:cs="Arial"/>
          <w:sz w:val="22"/>
          <w:szCs w:val="22"/>
        </w:rPr>
        <w:t xml:space="preserve"> </w:t>
      </w:r>
    </w:p>
    <w:tbl>
      <w:tblPr>
        <w:tblStyle w:val="TableGrid"/>
        <w:tblW w:w="0" w:type="auto"/>
        <w:tblInd w:w="1530" w:type="dxa"/>
        <w:tblLook w:val="04A0" w:firstRow="1" w:lastRow="0" w:firstColumn="1" w:lastColumn="0" w:noHBand="0" w:noVBand="1"/>
      </w:tblPr>
      <w:tblGrid>
        <w:gridCol w:w="3325"/>
        <w:gridCol w:w="1163"/>
        <w:gridCol w:w="1087"/>
      </w:tblGrid>
      <w:tr w:rsidR="00CB0385" w:rsidTr="005D42D3" w14:paraId="1B8A467D" w14:textId="77777777">
        <w:tc>
          <w:tcPr>
            <w:tcW w:w="5575" w:type="dxa"/>
            <w:gridSpan w:val="3"/>
            <w:tcBorders>
              <w:top w:val="nil"/>
              <w:left w:val="nil"/>
              <w:right w:val="nil"/>
            </w:tcBorders>
            <w:shd w:val="clear" w:color="auto" w:fill="auto"/>
          </w:tcPr>
          <w:p w:rsidRPr="00843E6B" w:rsidR="00CB0385" w:rsidP="00843E6B" w:rsidRDefault="005D42D3" w14:paraId="7E01864D" w14:textId="13E21E1B">
            <w:pPr>
              <w:pStyle w:val="Paragraph"/>
              <w:numPr>
                <w:ilvl w:val="0"/>
                <w:numId w:val="0"/>
              </w:numPr>
              <w:tabs>
                <w:tab w:val="num" w:pos="1800"/>
              </w:tabs>
              <w:jc w:val="center"/>
              <w:rPr>
                <w:rFonts w:ascii="Arial" w:hAnsi="Arial" w:cs="Arial"/>
                <w:b/>
                <w:sz w:val="20"/>
              </w:rPr>
            </w:pPr>
            <w:r>
              <w:rPr>
                <w:rFonts w:ascii="Arial" w:hAnsi="Arial" w:cs="Arial"/>
                <w:b/>
                <w:sz w:val="20"/>
              </w:rPr>
              <w:t>Cuadro 5 – Sensibilidad en solución individual</w:t>
            </w:r>
          </w:p>
        </w:tc>
      </w:tr>
      <w:tr w:rsidR="00843E6B" w:rsidTr="005D42D3" w14:paraId="1C9030C6" w14:textId="77777777">
        <w:tc>
          <w:tcPr>
            <w:tcW w:w="3325" w:type="dxa"/>
            <w:shd w:val="clear" w:color="auto" w:fill="DBE5F1" w:themeFill="accent1" w:themeFillTint="33"/>
          </w:tcPr>
          <w:p w:rsidRPr="00843E6B" w:rsidR="00843E6B" w:rsidP="00843E6B" w:rsidRDefault="00843E6B" w14:paraId="3701986A" w14:textId="65AFB648">
            <w:pPr>
              <w:pStyle w:val="Paragraph"/>
              <w:numPr>
                <w:ilvl w:val="0"/>
                <w:numId w:val="0"/>
              </w:numPr>
              <w:tabs>
                <w:tab w:val="num" w:pos="1800"/>
              </w:tabs>
              <w:jc w:val="center"/>
              <w:rPr>
                <w:rFonts w:ascii="Arial" w:hAnsi="Arial" w:cs="Arial"/>
                <w:b/>
                <w:sz w:val="20"/>
              </w:rPr>
            </w:pPr>
            <w:r w:rsidRPr="00843E6B">
              <w:rPr>
                <w:rFonts w:ascii="Arial" w:hAnsi="Arial" w:cs="Arial"/>
                <w:b/>
                <w:sz w:val="20"/>
              </w:rPr>
              <w:t>Escenario</w:t>
            </w:r>
          </w:p>
        </w:tc>
        <w:tc>
          <w:tcPr>
            <w:tcW w:w="1163" w:type="dxa"/>
            <w:shd w:val="clear" w:color="auto" w:fill="DBE5F1" w:themeFill="accent1" w:themeFillTint="33"/>
          </w:tcPr>
          <w:p w:rsidRPr="00843E6B" w:rsidR="00843E6B" w:rsidP="00843E6B" w:rsidRDefault="00843E6B" w14:paraId="5340DDB8" w14:textId="3807D9EE">
            <w:pPr>
              <w:pStyle w:val="Paragraph"/>
              <w:numPr>
                <w:ilvl w:val="0"/>
                <w:numId w:val="0"/>
              </w:numPr>
              <w:tabs>
                <w:tab w:val="num" w:pos="1800"/>
              </w:tabs>
              <w:jc w:val="center"/>
              <w:rPr>
                <w:rFonts w:ascii="Arial" w:hAnsi="Arial" w:cs="Arial"/>
                <w:b/>
                <w:sz w:val="20"/>
              </w:rPr>
            </w:pPr>
            <w:r w:rsidRPr="00843E6B">
              <w:rPr>
                <w:rFonts w:ascii="Arial" w:hAnsi="Arial" w:cs="Arial"/>
                <w:b/>
                <w:sz w:val="20"/>
              </w:rPr>
              <w:t>TIR %</w:t>
            </w:r>
          </w:p>
        </w:tc>
        <w:tc>
          <w:tcPr>
            <w:tcW w:w="1087" w:type="dxa"/>
            <w:shd w:val="clear" w:color="auto" w:fill="DBE5F1" w:themeFill="accent1" w:themeFillTint="33"/>
          </w:tcPr>
          <w:p w:rsidRPr="00843E6B" w:rsidR="00843E6B" w:rsidP="00843E6B" w:rsidRDefault="00843E6B" w14:paraId="7A86B30F" w14:textId="723E799F">
            <w:pPr>
              <w:pStyle w:val="Paragraph"/>
              <w:numPr>
                <w:ilvl w:val="0"/>
                <w:numId w:val="0"/>
              </w:numPr>
              <w:tabs>
                <w:tab w:val="num" w:pos="1800"/>
              </w:tabs>
              <w:jc w:val="center"/>
              <w:rPr>
                <w:rFonts w:ascii="Arial" w:hAnsi="Arial" w:cs="Arial"/>
                <w:b/>
                <w:sz w:val="20"/>
              </w:rPr>
            </w:pPr>
            <w:r w:rsidRPr="00843E6B">
              <w:rPr>
                <w:rFonts w:ascii="Arial" w:hAnsi="Arial" w:cs="Arial"/>
                <w:b/>
                <w:sz w:val="20"/>
              </w:rPr>
              <w:t>VPN US$</w:t>
            </w:r>
          </w:p>
        </w:tc>
      </w:tr>
      <w:tr w:rsidR="00843E6B" w:rsidTr="005D42D3" w14:paraId="42C1D692" w14:textId="77777777">
        <w:trPr>
          <w:trHeight w:val="422"/>
        </w:trPr>
        <w:tc>
          <w:tcPr>
            <w:tcW w:w="3325" w:type="dxa"/>
          </w:tcPr>
          <w:p w:rsidRPr="00843E6B" w:rsidR="00843E6B" w:rsidP="00BA099A" w:rsidRDefault="00843E6B" w14:paraId="62ABEC2D" w14:textId="58447245">
            <w:pPr>
              <w:pStyle w:val="Paragraph"/>
              <w:numPr>
                <w:ilvl w:val="0"/>
                <w:numId w:val="0"/>
              </w:numPr>
              <w:tabs>
                <w:tab w:val="num" w:pos="1800"/>
              </w:tabs>
              <w:rPr>
                <w:rFonts w:ascii="Arial" w:hAnsi="Arial" w:cs="Arial"/>
                <w:sz w:val="20"/>
              </w:rPr>
            </w:pPr>
            <w:r w:rsidRPr="00843E6B">
              <w:rPr>
                <w:rFonts w:ascii="Arial" w:hAnsi="Arial" w:cs="Arial"/>
                <w:sz w:val="20"/>
              </w:rPr>
              <w:t>Caso base</w:t>
            </w:r>
          </w:p>
        </w:tc>
        <w:tc>
          <w:tcPr>
            <w:tcW w:w="1163" w:type="dxa"/>
          </w:tcPr>
          <w:p w:rsidRPr="00843E6B" w:rsidR="00843E6B" w:rsidP="00843E6B" w:rsidRDefault="00843E6B" w14:paraId="789068CA" w14:textId="42C16160">
            <w:pPr>
              <w:pStyle w:val="Paragraph"/>
              <w:numPr>
                <w:ilvl w:val="0"/>
                <w:numId w:val="0"/>
              </w:numPr>
              <w:tabs>
                <w:tab w:val="num" w:pos="1800"/>
              </w:tabs>
              <w:jc w:val="center"/>
              <w:rPr>
                <w:rFonts w:ascii="Arial" w:hAnsi="Arial" w:cs="Arial"/>
                <w:sz w:val="20"/>
              </w:rPr>
            </w:pPr>
            <w:r w:rsidRPr="00843E6B">
              <w:rPr>
                <w:rFonts w:ascii="Arial" w:hAnsi="Arial" w:cs="Arial"/>
                <w:sz w:val="20"/>
              </w:rPr>
              <w:t>25,89</w:t>
            </w:r>
          </w:p>
        </w:tc>
        <w:tc>
          <w:tcPr>
            <w:tcW w:w="1087" w:type="dxa"/>
          </w:tcPr>
          <w:p w:rsidRPr="00843E6B" w:rsidR="00843E6B" w:rsidP="00843E6B" w:rsidRDefault="00843E6B" w14:paraId="5711038B" w14:textId="30FC8EA8">
            <w:pPr>
              <w:pStyle w:val="Paragraph"/>
              <w:numPr>
                <w:ilvl w:val="0"/>
                <w:numId w:val="0"/>
              </w:numPr>
              <w:tabs>
                <w:tab w:val="num" w:pos="1800"/>
              </w:tabs>
              <w:jc w:val="center"/>
              <w:rPr>
                <w:rFonts w:ascii="Arial" w:hAnsi="Arial" w:cs="Arial"/>
                <w:sz w:val="20"/>
              </w:rPr>
            </w:pPr>
            <w:r w:rsidRPr="00843E6B">
              <w:rPr>
                <w:rFonts w:ascii="Arial" w:hAnsi="Arial" w:cs="Arial"/>
                <w:sz w:val="20"/>
              </w:rPr>
              <w:t>564</w:t>
            </w:r>
          </w:p>
        </w:tc>
      </w:tr>
      <w:tr w:rsidR="00843E6B" w:rsidTr="005D42D3" w14:paraId="712D82C6" w14:textId="77777777">
        <w:tc>
          <w:tcPr>
            <w:tcW w:w="3325" w:type="dxa"/>
          </w:tcPr>
          <w:p w:rsidRPr="00843E6B" w:rsidR="00843E6B" w:rsidP="00BA099A" w:rsidRDefault="00843E6B" w14:paraId="2151682C" w14:textId="45AE4CE9">
            <w:pPr>
              <w:pStyle w:val="Paragraph"/>
              <w:numPr>
                <w:ilvl w:val="0"/>
                <w:numId w:val="0"/>
              </w:numPr>
              <w:tabs>
                <w:tab w:val="num" w:pos="1800"/>
              </w:tabs>
              <w:rPr>
                <w:rFonts w:ascii="Arial" w:hAnsi="Arial" w:cs="Arial"/>
                <w:sz w:val="20"/>
              </w:rPr>
            </w:pPr>
            <w:r w:rsidRPr="00843E6B">
              <w:rPr>
                <w:rFonts w:ascii="Arial" w:hAnsi="Arial" w:cs="Arial"/>
                <w:sz w:val="20"/>
              </w:rPr>
              <w:t>80% Energía sustituida</w:t>
            </w:r>
          </w:p>
        </w:tc>
        <w:tc>
          <w:tcPr>
            <w:tcW w:w="1163" w:type="dxa"/>
          </w:tcPr>
          <w:p w:rsidRPr="00843E6B" w:rsidR="00843E6B" w:rsidP="00843E6B" w:rsidRDefault="00843E6B" w14:paraId="4B161E40" w14:textId="213C9B2D">
            <w:pPr>
              <w:pStyle w:val="Paragraph"/>
              <w:numPr>
                <w:ilvl w:val="0"/>
                <w:numId w:val="0"/>
              </w:numPr>
              <w:tabs>
                <w:tab w:val="num" w:pos="1800"/>
              </w:tabs>
              <w:jc w:val="center"/>
              <w:rPr>
                <w:rFonts w:ascii="Arial" w:hAnsi="Arial" w:cs="Arial"/>
                <w:sz w:val="20"/>
              </w:rPr>
            </w:pPr>
            <w:r w:rsidRPr="00843E6B">
              <w:rPr>
                <w:rFonts w:ascii="Arial" w:hAnsi="Arial" w:cs="Arial"/>
                <w:sz w:val="20"/>
              </w:rPr>
              <w:t>19,69</w:t>
            </w:r>
          </w:p>
        </w:tc>
        <w:tc>
          <w:tcPr>
            <w:tcW w:w="1087" w:type="dxa"/>
          </w:tcPr>
          <w:p w:rsidRPr="00843E6B" w:rsidR="00843E6B" w:rsidP="00843E6B" w:rsidRDefault="00843E6B" w14:paraId="2A9354EB" w14:textId="6DD15B40">
            <w:pPr>
              <w:pStyle w:val="Paragraph"/>
              <w:numPr>
                <w:ilvl w:val="0"/>
                <w:numId w:val="0"/>
              </w:numPr>
              <w:tabs>
                <w:tab w:val="num" w:pos="1800"/>
              </w:tabs>
              <w:jc w:val="center"/>
              <w:rPr>
                <w:rFonts w:ascii="Arial" w:hAnsi="Arial" w:cs="Arial"/>
                <w:sz w:val="20"/>
              </w:rPr>
            </w:pPr>
            <w:r w:rsidRPr="00843E6B">
              <w:rPr>
                <w:rFonts w:ascii="Arial" w:hAnsi="Arial" w:cs="Arial"/>
                <w:sz w:val="20"/>
              </w:rPr>
              <w:t>315</w:t>
            </w:r>
          </w:p>
        </w:tc>
      </w:tr>
      <w:tr w:rsidR="00843E6B" w:rsidTr="005D42D3" w14:paraId="0BB253F8" w14:textId="77777777">
        <w:tc>
          <w:tcPr>
            <w:tcW w:w="3325" w:type="dxa"/>
          </w:tcPr>
          <w:p w:rsidRPr="00843E6B" w:rsidR="00843E6B" w:rsidP="00BA099A" w:rsidRDefault="00843E6B" w14:paraId="6C7B3872" w14:textId="2EC5F02F">
            <w:pPr>
              <w:pStyle w:val="Paragraph"/>
              <w:numPr>
                <w:ilvl w:val="0"/>
                <w:numId w:val="0"/>
              </w:numPr>
              <w:tabs>
                <w:tab w:val="num" w:pos="1800"/>
              </w:tabs>
              <w:rPr>
                <w:rFonts w:ascii="Arial" w:hAnsi="Arial" w:cs="Arial"/>
                <w:sz w:val="20"/>
              </w:rPr>
            </w:pPr>
            <w:r w:rsidRPr="00843E6B">
              <w:rPr>
                <w:rFonts w:ascii="Arial" w:hAnsi="Arial" w:cs="Arial"/>
                <w:sz w:val="20"/>
              </w:rPr>
              <w:t>5</w:t>
            </w:r>
            <w:r>
              <w:rPr>
                <w:rFonts w:ascii="Arial" w:hAnsi="Arial" w:cs="Arial"/>
                <w:sz w:val="20"/>
              </w:rPr>
              <w:t>7,2</w:t>
            </w:r>
            <w:r w:rsidRPr="00843E6B">
              <w:rPr>
                <w:rFonts w:ascii="Arial" w:hAnsi="Arial" w:cs="Arial"/>
                <w:sz w:val="20"/>
              </w:rPr>
              <w:t>% Energía sustituida</w:t>
            </w:r>
            <w:r w:rsidR="005D42D3">
              <w:rPr>
                <w:rFonts w:ascii="Arial" w:hAnsi="Arial" w:cs="Arial"/>
                <w:sz w:val="20"/>
              </w:rPr>
              <w:t xml:space="preserve"> (umbral)</w:t>
            </w:r>
          </w:p>
        </w:tc>
        <w:tc>
          <w:tcPr>
            <w:tcW w:w="1163" w:type="dxa"/>
          </w:tcPr>
          <w:p w:rsidRPr="00843E6B" w:rsidR="00843E6B" w:rsidP="00843E6B" w:rsidRDefault="00843E6B" w14:paraId="4E316C0B" w14:textId="4C9A85D6">
            <w:pPr>
              <w:pStyle w:val="Paragraph"/>
              <w:numPr>
                <w:ilvl w:val="0"/>
                <w:numId w:val="0"/>
              </w:numPr>
              <w:tabs>
                <w:tab w:val="num" w:pos="1800"/>
              </w:tabs>
              <w:jc w:val="center"/>
              <w:rPr>
                <w:rFonts w:ascii="Arial" w:hAnsi="Arial" w:cs="Arial"/>
                <w:sz w:val="20"/>
              </w:rPr>
            </w:pPr>
            <w:r w:rsidRPr="00843E6B">
              <w:rPr>
                <w:rFonts w:ascii="Arial" w:hAnsi="Arial" w:cs="Arial"/>
                <w:sz w:val="20"/>
              </w:rPr>
              <w:t>12,</w:t>
            </w:r>
            <w:r>
              <w:rPr>
                <w:rFonts w:ascii="Arial" w:hAnsi="Arial" w:cs="Arial"/>
                <w:sz w:val="20"/>
              </w:rPr>
              <w:t>02</w:t>
            </w:r>
          </w:p>
        </w:tc>
        <w:tc>
          <w:tcPr>
            <w:tcW w:w="1087" w:type="dxa"/>
          </w:tcPr>
          <w:p w:rsidRPr="00843E6B" w:rsidR="00843E6B" w:rsidP="00843E6B" w:rsidRDefault="00843E6B" w14:paraId="590ABAEF" w14:textId="6CBE9908">
            <w:pPr>
              <w:pStyle w:val="Paragraph"/>
              <w:numPr>
                <w:ilvl w:val="0"/>
                <w:numId w:val="0"/>
              </w:numPr>
              <w:tabs>
                <w:tab w:val="num" w:pos="1800"/>
              </w:tabs>
              <w:jc w:val="center"/>
              <w:rPr>
                <w:rFonts w:ascii="Arial" w:hAnsi="Arial" w:cs="Arial"/>
                <w:sz w:val="20"/>
              </w:rPr>
            </w:pPr>
            <w:r>
              <w:rPr>
                <w:rFonts w:ascii="Arial" w:hAnsi="Arial" w:cs="Arial"/>
                <w:sz w:val="20"/>
              </w:rPr>
              <w:t>30</w:t>
            </w:r>
          </w:p>
        </w:tc>
      </w:tr>
    </w:tbl>
    <w:p w:rsidRPr="009C1CE2" w:rsidR="00BA099A" w:rsidP="00F7065C" w:rsidRDefault="009510DC" w14:paraId="3B78B68D" w14:textId="31D8F6B0">
      <w:pPr>
        <w:pStyle w:val="Paragraph"/>
        <w:tabs>
          <w:tab w:val="num" w:pos="720"/>
        </w:tabs>
        <w:spacing w:before="240"/>
        <w:ind w:left="720" w:hanging="720"/>
        <w:rPr>
          <w:rFonts w:ascii="Arial" w:hAnsi="Arial" w:cs="Arial"/>
          <w:sz w:val="22"/>
          <w:szCs w:val="22"/>
        </w:rPr>
      </w:pPr>
      <w:bookmarkStart w:name="_Hlk526088561" w:id="47"/>
      <w:r>
        <w:rPr>
          <w:rFonts w:ascii="Arial" w:hAnsi="Arial" w:cs="Arial"/>
          <w:sz w:val="22"/>
          <w:szCs w:val="22"/>
        </w:rPr>
        <w:t>Un aumento en el costo de la inversión de los sistemas individuales en un 20%</w:t>
      </w:r>
      <w:r w:rsidR="004675A5">
        <w:rPr>
          <w:rFonts w:ascii="Arial" w:hAnsi="Arial" w:cs="Arial"/>
          <w:sz w:val="22"/>
          <w:szCs w:val="22"/>
        </w:rPr>
        <w:t>,</w:t>
      </w:r>
      <w:r>
        <w:rPr>
          <w:rFonts w:ascii="Arial" w:hAnsi="Arial" w:cs="Arial"/>
          <w:sz w:val="22"/>
          <w:szCs w:val="22"/>
        </w:rPr>
        <w:t xml:space="preserve"> resulta en una TIR de 21% y un VPN de US$448</w:t>
      </w:r>
      <w:r w:rsidR="004675A5">
        <w:rPr>
          <w:rFonts w:ascii="Arial" w:hAnsi="Arial" w:cs="Arial"/>
          <w:sz w:val="22"/>
          <w:szCs w:val="22"/>
        </w:rPr>
        <w:t>, verificando que l</w:t>
      </w:r>
      <w:r>
        <w:rPr>
          <w:rFonts w:ascii="Arial" w:hAnsi="Arial" w:cs="Arial"/>
          <w:sz w:val="22"/>
          <w:szCs w:val="22"/>
        </w:rPr>
        <w:t>os resultados se mantienen sólidos ante un alza en la inversión</w:t>
      </w:r>
      <w:bookmarkEnd w:id="47"/>
      <w:r>
        <w:rPr>
          <w:rFonts w:ascii="Arial" w:hAnsi="Arial" w:cs="Arial"/>
          <w:sz w:val="22"/>
          <w:szCs w:val="22"/>
        </w:rPr>
        <w:t xml:space="preserve">. Sin embargo, se considera poco probable que esta alza ocurra, debido </w:t>
      </w:r>
      <w:r w:rsidR="006F162B">
        <w:rPr>
          <w:rFonts w:ascii="Arial" w:hAnsi="Arial" w:cs="Arial"/>
          <w:sz w:val="22"/>
          <w:szCs w:val="22"/>
        </w:rPr>
        <w:t>al avance tecnológico</w:t>
      </w:r>
      <w:r w:rsidR="004675A5">
        <w:rPr>
          <w:rFonts w:ascii="Arial" w:hAnsi="Arial" w:cs="Arial"/>
          <w:sz w:val="22"/>
          <w:szCs w:val="22"/>
        </w:rPr>
        <w:t xml:space="preserve"> que está induciendo</w:t>
      </w:r>
      <w:r w:rsidR="006F162B">
        <w:rPr>
          <w:rFonts w:ascii="Arial" w:hAnsi="Arial" w:cs="Arial"/>
          <w:sz w:val="22"/>
          <w:szCs w:val="22"/>
        </w:rPr>
        <w:t xml:space="preserve"> </w:t>
      </w:r>
      <w:r w:rsidR="004675A5">
        <w:rPr>
          <w:rFonts w:ascii="Arial" w:hAnsi="Arial" w:cs="Arial"/>
          <w:sz w:val="22"/>
          <w:szCs w:val="22"/>
        </w:rPr>
        <w:t xml:space="preserve">la tendencia a la baja en </w:t>
      </w:r>
      <w:r>
        <w:rPr>
          <w:rFonts w:ascii="Arial" w:hAnsi="Arial" w:cs="Arial"/>
          <w:sz w:val="22"/>
          <w:szCs w:val="22"/>
        </w:rPr>
        <w:t xml:space="preserve">el costo de las soluciones fotovoltaicas en el mercado. </w:t>
      </w:r>
    </w:p>
    <w:p w:rsidR="00B62CE0" w:rsidP="00B218CB" w:rsidRDefault="00771F92" w14:paraId="3168C7C2" w14:textId="77777777">
      <w:pPr>
        <w:pStyle w:val="Chapter"/>
        <w:tabs>
          <w:tab w:val="clear" w:pos="1800"/>
          <w:tab w:val="left" w:pos="720"/>
        </w:tabs>
        <w:ind w:left="0" w:firstLine="0"/>
        <w:rPr>
          <w:rFonts w:ascii="Arial" w:hAnsi="Arial" w:cs="Arial"/>
          <w:sz w:val="22"/>
          <w:szCs w:val="22"/>
        </w:rPr>
      </w:pPr>
      <w:bookmarkStart w:name="_Toc526996968" w:id="48"/>
      <w:r w:rsidRPr="00771F92">
        <w:rPr>
          <w:rFonts w:ascii="Arial" w:hAnsi="Arial" w:cs="Arial"/>
          <w:szCs w:val="22"/>
        </w:rPr>
        <w:lastRenderedPageBreak/>
        <w:t>Conclusiones</w:t>
      </w:r>
      <w:r w:rsidRPr="00771F92">
        <w:rPr>
          <w:rFonts w:ascii="Arial" w:hAnsi="Arial" w:cs="Arial"/>
          <w:sz w:val="22"/>
          <w:szCs w:val="22"/>
        </w:rPr>
        <w:t xml:space="preserve"> y Recomendaciones</w:t>
      </w:r>
      <w:bookmarkEnd w:id="48"/>
    </w:p>
    <w:p w:rsidRPr="004B5EA9" w:rsidR="00EB0154" w:rsidP="00B62CE0" w:rsidRDefault="003C2AAF" w14:paraId="3378472D" w14:textId="37A4371D">
      <w:pPr>
        <w:pStyle w:val="Paragraph"/>
        <w:tabs>
          <w:tab w:val="num" w:pos="720"/>
        </w:tabs>
        <w:snapToGrid w:val="0"/>
        <w:ind w:left="720" w:hanging="720"/>
        <w:rPr>
          <w:rFonts w:ascii="Arial" w:hAnsi="Arial" w:cs="Arial"/>
          <w:b/>
          <w:smallCaps/>
          <w:sz w:val="22"/>
          <w:szCs w:val="22"/>
        </w:rPr>
      </w:pPr>
      <w:r>
        <w:rPr>
          <w:rFonts w:ascii="Arial" w:hAnsi="Arial" w:cs="Arial"/>
          <w:sz w:val="22"/>
          <w:szCs w:val="22"/>
          <w:lang w:val="es-CO"/>
        </w:rPr>
        <w:t xml:space="preserve">El análisis económico se basa en </w:t>
      </w:r>
      <w:r w:rsidRPr="003C2AAF">
        <w:rPr>
          <w:rFonts w:ascii="Arial" w:hAnsi="Arial" w:cs="Arial"/>
          <w:sz w:val="22"/>
          <w:szCs w:val="22"/>
          <w:lang w:val="es-CO"/>
        </w:rPr>
        <w:t>la certeza de que el acceso a energía produce beneficios económicos y sociales que directamente mejoran la calidad de vida de la población beneficiaria</w:t>
      </w:r>
      <w:r>
        <w:rPr>
          <w:rFonts w:ascii="Arial" w:hAnsi="Arial" w:cs="Arial"/>
          <w:sz w:val="22"/>
          <w:szCs w:val="22"/>
          <w:lang w:val="es-CO"/>
        </w:rPr>
        <w:t xml:space="preserve"> y que </w:t>
      </w:r>
      <w:r w:rsidR="00A917D0">
        <w:rPr>
          <w:rFonts w:ascii="Arial" w:hAnsi="Arial" w:cs="Arial"/>
          <w:sz w:val="22"/>
          <w:szCs w:val="22"/>
          <w:lang w:val="es-CO"/>
        </w:rPr>
        <w:t>el</w:t>
      </w:r>
      <w:r>
        <w:rPr>
          <w:rFonts w:ascii="Arial" w:hAnsi="Arial" w:cs="Arial"/>
          <w:sz w:val="22"/>
          <w:szCs w:val="22"/>
          <w:lang w:val="es-CO"/>
        </w:rPr>
        <w:t xml:space="preserve"> Gobierno</w:t>
      </w:r>
      <w:r w:rsidR="00834D52">
        <w:rPr>
          <w:rFonts w:ascii="Arial" w:hAnsi="Arial" w:cs="Arial"/>
          <w:sz w:val="22"/>
          <w:szCs w:val="22"/>
          <w:lang w:val="es-CO"/>
        </w:rPr>
        <w:t>,</w:t>
      </w:r>
      <w:r>
        <w:rPr>
          <w:rFonts w:ascii="Arial" w:hAnsi="Arial" w:cs="Arial"/>
          <w:sz w:val="22"/>
          <w:szCs w:val="22"/>
          <w:lang w:val="es-CO"/>
        </w:rPr>
        <w:t xml:space="preserve"> </w:t>
      </w:r>
      <w:r w:rsidR="00A917D0">
        <w:rPr>
          <w:rFonts w:ascii="Arial" w:hAnsi="Arial" w:cs="Arial"/>
          <w:sz w:val="22"/>
          <w:szCs w:val="22"/>
          <w:lang w:val="es-CO"/>
        </w:rPr>
        <w:t xml:space="preserve">reconociendo estos beneficios, adoptó como política </w:t>
      </w:r>
      <w:r>
        <w:rPr>
          <w:rFonts w:ascii="Arial" w:hAnsi="Arial" w:cs="Arial"/>
          <w:sz w:val="22"/>
          <w:szCs w:val="22"/>
          <w:lang w:val="es-CO"/>
        </w:rPr>
        <w:t>asegurar estos beneficios</w:t>
      </w:r>
      <w:r w:rsidR="00A917D0">
        <w:rPr>
          <w:rFonts w:ascii="Arial" w:hAnsi="Arial" w:cs="Arial"/>
          <w:sz w:val="22"/>
          <w:szCs w:val="22"/>
          <w:lang w:val="es-CO"/>
        </w:rPr>
        <w:t xml:space="preserve"> a comunidades sin acceso al servicio eléctrico</w:t>
      </w:r>
      <w:r>
        <w:rPr>
          <w:rFonts w:ascii="Arial" w:hAnsi="Arial" w:cs="Arial"/>
          <w:sz w:val="22"/>
          <w:szCs w:val="22"/>
          <w:lang w:val="es-CO"/>
        </w:rPr>
        <w:t xml:space="preserve">. </w:t>
      </w:r>
      <w:r w:rsidR="00641EE7">
        <w:rPr>
          <w:rFonts w:ascii="Arial" w:hAnsi="Arial" w:cs="Arial"/>
          <w:sz w:val="22"/>
          <w:szCs w:val="22"/>
          <w:lang w:val="es-CO"/>
        </w:rPr>
        <w:t>La metodología de ACE permite</w:t>
      </w:r>
      <w:r>
        <w:rPr>
          <w:rFonts w:ascii="Arial" w:hAnsi="Arial" w:cs="Arial"/>
          <w:sz w:val="22"/>
          <w:szCs w:val="22"/>
          <w:lang w:val="es-CO"/>
        </w:rPr>
        <w:t xml:space="preserve"> asegurar que se ofrece la solución más costo-efectiva</w:t>
      </w:r>
      <w:r w:rsidR="00A917D0">
        <w:rPr>
          <w:rFonts w:ascii="Arial" w:hAnsi="Arial" w:cs="Arial"/>
          <w:sz w:val="22"/>
          <w:szCs w:val="22"/>
          <w:lang w:val="es-CO"/>
        </w:rPr>
        <w:t xml:space="preserve"> disponible para lograr el objetivo</w:t>
      </w:r>
      <w:r>
        <w:rPr>
          <w:rFonts w:ascii="Arial" w:hAnsi="Arial" w:cs="Arial"/>
          <w:sz w:val="22"/>
          <w:szCs w:val="22"/>
          <w:lang w:val="es-CO"/>
        </w:rPr>
        <w:t>.</w:t>
      </w:r>
      <w:r w:rsidRPr="003C2AAF">
        <w:rPr>
          <w:rFonts w:ascii="Arial" w:hAnsi="Arial" w:cs="Arial"/>
          <w:sz w:val="22"/>
          <w:szCs w:val="22"/>
          <w:lang w:val="es-ES_tradnl"/>
        </w:rPr>
        <w:t xml:space="preserve"> </w:t>
      </w:r>
      <w:r w:rsidR="004B5EA9">
        <w:rPr>
          <w:rFonts w:ascii="Arial" w:hAnsi="Arial" w:cs="Arial"/>
          <w:sz w:val="22"/>
          <w:szCs w:val="22"/>
        </w:rPr>
        <w:t xml:space="preserve">Con base en </w:t>
      </w:r>
      <w:r w:rsidR="00CB2FF3">
        <w:rPr>
          <w:rFonts w:ascii="Arial" w:hAnsi="Arial" w:cs="Arial"/>
          <w:sz w:val="22"/>
          <w:szCs w:val="22"/>
        </w:rPr>
        <w:t>la evaluación</w:t>
      </w:r>
      <w:r w:rsidR="004B5EA9">
        <w:rPr>
          <w:rFonts w:ascii="Arial" w:hAnsi="Arial" w:cs="Arial"/>
          <w:sz w:val="22"/>
          <w:szCs w:val="22"/>
        </w:rPr>
        <w:t xml:space="preserve"> realizad</w:t>
      </w:r>
      <w:r w:rsidR="00CB2FF3">
        <w:rPr>
          <w:rFonts w:ascii="Arial" w:hAnsi="Arial" w:cs="Arial"/>
          <w:sz w:val="22"/>
          <w:szCs w:val="22"/>
        </w:rPr>
        <w:t>a</w:t>
      </w:r>
      <w:r w:rsidR="004B5EA9">
        <w:rPr>
          <w:rFonts w:ascii="Arial" w:hAnsi="Arial" w:cs="Arial"/>
          <w:sz w:val="22"/>
          <w:szCs w:val="22"/>
        </w:rPr>
        <w:t>, se concluye que las soluciones ofrecidas bajo el programa son</w:t>
      </w:r>
      <w:r w:rsidR="00A917D0">
        <w:rPr>
          <w:rFonts w:ascii="Arial" w:hAnsi="Arial" w:cs="Arial"/>
          <w:sz w:val="22"/>
          <w:szCs w:val="22"/>
        </w:rPr>
        <w:t xml:space="preserve"> inversiones</w:t>
      </w:r>
      <w:r w:rsidR="004B5EA9">
        <w:rPr>
          <w:rFonts w:ascii="Arial" w:hAnsi="Arial" w:cs="Arial"/>
          <w:sz w:val="22"/>
          <w:szCs w:val="22"/>
        </w:rPr>
        <w:t xml:space="preserve"> sólidas financiera y económicamente. La viabilidad de estas inversiones depende en gran medida de los esquemas de gestión que se implementen, para asegurar su sostenibilidad técnica, financiera y económica.  </w:t>
      </w:r>
      <w:r w:rsidR="00056014">
        <w:rPr>
          <w:rFonts w:ascii="Arial" w:hAnsi="Arial" w:cs="Arial"/>
          <w:sz w:val="22"/>
          <w:szCs w:val="22"/>
        </w:rPr>
        <w:t>Estas condiciones se facilitarán con los servicios y apoyo a ofrecer en el Componente 2 del programa.</w:t>
      </w:r>
    </w:p>
    <w:p w:rsidR="004419CE" w:rsidP="004419CE" w:rsidRDefault="004B5EA9" w14:paraId="4C14E1DE" w14:textId="3C30DDE7">
      <w:pPr>
        <w:pStyle w:val="Paragraph"/>
        <w:tabs>
          <w:tab w:val="num" w:pos="720"/>
        </w:tabs>
        <w:snapToGrid w:val="0"/>
        <w:ind w:left="720" w:hanging="720"/>
        <w:rPr>
          <w:rFonts w:ascii="Arial" w:hAnsi="Arial" w:cs="Arial"/>
          <w:sz w:val="22"/>
          <w:szCs w:val="22"/>
        </w:rPr>
      </w:pPr>
      <w:r>
        <w:rPr>
          <w:rFonts w:ascii="Arial" w:hAnsi="Arial" w:cs="Arial"/>
          <w:sz w:val="22"/>
          <w:szCs w:val="22"/>
        </w:rPr>
        <w:t>El desarrollo de las tecnologías de electrificación</w:t>
      </w:r>
      <w:r w:rsidR="009A3011">
        <w:rPr>
          <w:rFonts w:ascii="Arial" w:hAnsi="Arial" w:cs="Arial"/>
          <w:sz w:val="22"/>
          <w:szCs w:val="22"/>
        </w:rPr>
        <w:t xml:space="preserve"> con base en energías renovables no convencionales</w:t>
      </w:r>
      <w:r>
        <w:rPr>
          <w:rFonts w:ascii="Arial" w:hAnsi="Arial" w:cs="Arial"/>
          <w:sz w:val="22"/>
          <w:szCs w:val="22"/>
        </w:rPr>
        <w:t xml:space="preserve"> en zonas aisladas está permitiendo la reducción significativa en los precios</w:t>
      </w:r>
      <w:r w:rsidR="009A3011">
        <w:rPr>
          <w:rFonts w:ascii="Arial" w:hAnsi="Arial" w:cs="Arial"/>
          <w:sz w:val="22"/>
          <w:szCs w:val="22"/>
        </w:rPr>
        <w:t xml:space="preserve"> de la inversión</w:t>
      </w:r>
      <w:r>
        <w:rPr>
          <w:rFonts w:ascii="Arial" w:hAnsi="Arial" w:cs="Arial"/>
          <w:sz w:val="22"/>
          <w:szCs w:val="22"/>
        </w:rPr>
        <w:t xml:space="preserve">, lo que </w:t>
      </w:r>
      <w:r w:rsidR="00A917D0">
        <w:rPr>
          <w:rFonts w:ascii="Arial" w:hAnsi="Arial" w:cs="Arial"/>
          <w:sz w:val="22"/>
          <w:szCs w:val="22"/>
        </w:rPr>
        <w:t xml:space="preserve">fortalecerá la toma de decisiones para </w:t>
      </w:r>
      <w:r>
        <w:rPr>
          <w:rFonts w:ascii="Arial" w:hAnsi="Arial" w:cs="Arial"/>
          <w:sz w:val="22"/>
          <w:szCs w:val="22"/>
        </w:rPr>
        <w:t xml:space="preserve">extender estas soluciones </w:t>
      </w:r>
      <w:r w:rsidR="00CB0385">
        <w:rPr>
          <w:rFonts w:ascii="Arial" w:hAnsi="Arial" w:cs="Arial"/>
          <w:sz w:val="22"/>
          <w:szCs w:val="22"/>
        </w:rPr>
        <w:t xml:space="preserve">en forma económica y financieramente viable, </w:t>
      </w:r>
      <w:r>
        <w:rPr>
          <w:rFonts w:ascii="Arial" w:hAnsi="Arial" w:cs="Arial"/>
          <w:sz w:val="22"/>
          <w:szCs w:val="22"/>
        </w:rPr>
        <w:t xml:space="preserve">a </w:t>
      </w:r>
      <w:r w:rsidR="001F7BCB">
        <w:rPr>
          <w:rFonts w:ascii="Arial" w:hAnsi="Arial" w:cs="Arial"/>
          <w:sz w:val="22"/>
          <w:szCs w:val="22"/>
        </w:rPr>
        <w:t>más</w:t>
      </w:r>
      <w:r>
        <w:rPr>
          <w:rFonts w:ascii="Arial" w:hAnsi="Arial" w:cs="Arial"/>
          <w:sz w:val="22"/>
          <w:szCs w:val="22"/>
        </w:rPr>
        <w:t xml:space="preserve"> comunidades en el futuro. </w:t>
      </w:r>
    </w:p>
    <w:p w:rsidRPr="004419CE" w:rsidR="004419CE" w:rsidP="004419CE" w:rsidRDefault="004419CE" w14:paraId="39BDBB10" w14:textId="77777777">
      <w:pPr>
        <w:pStyle w:val="Chapter"/>
        <w:numPr>
          <w:ilvl w:val="0"/>
          <w:numId w:val="0"/>
        </w:numPr>
        <w:jc w:val="left"/>
      </w:pPr>
    </w:p>
    <w:p w:rsidR="004419CE" w:rsidP="004419CE" w:rsidRDefault="004419CE" w14:paraId="4F55853D" w14:textId="77777777">
      <w:pPr>
        <w:pStyle w:val="Paragraph"/>
        <w:numPr>
          <w:ilvl w:val="0"/>
          <w:numId w:val="0"/>
        </w:numPr>
        <w:snapToGrid w:val="0"/>
        <w:rPr>
          <w:rFonts w:ascii="Arial" w:hAnsi="Arial" w:cs="Arial"/>
          <w:sz w:val="18"/>
          <w:szCs w:val="18"/>
        </w:rPr>
      </w:pPr>
    </w:p>
    <w:p w:rsidRPr="004419CE" w:rsidR="004419CE" w:rsidP="004419CE" w:rsidRDefault="004419CE" w14:paraId="67C7D873" w14:textId="2E996F74">
      <w:pPr>
        <w:pStyle w:val="Paragraph"/>
        <w:numPr>
          <w:ilvl w:val="0"/>
          <w:numId w:val="0"/>
        </w:numPr>
        <w:snapToGrid w:val="0"/>
        <w:rPr>
          <w:rFonts w:ascii="Arial" w:hAnsi="Arial" w:cs="Arial"/>
          <w:sz w:val="18"/>
          <w:szCs w:val="18"/>
        </w:rPr>
      </w:pPr>
      <w:r w:rsidRPr="004419CE">
        <w:rPr>
          <w:rFonts w:ascii="Arial" w:hAnsi="Arial" w:cs="Arial"/>
          <w:sz w:val="18"/>
          <w:szCs w:val="18"/>
        </w:rPr>
        <w:t>Octubre 2018</w:t>
      </w:r>
    </w:p>
    <w:p w:rsidR="00E74123" w:rsidP="009D48F9" w:rsidRDefault="00E74123" w14:paraId="096A0AB4" w14:textId="2CBD3743">
      <w:pPr>
        <w:pStyle w:val="FirstHeading"/>
        <w:ind w:left="720"/>
        <w:rPr>
          <w:rFonts w:ascii="Arial" w:hAnsi="Arial" w:cs="Arial"/>
          <w:sz w:val="22"/>
          <w:szCs w:val="22"/>
        </w:rPr>
        <w:sectPr w:rsidR="00E74123" w:rsidSect="001B4F67">
          <w:headerReference w:type="even" r:id="rId23"/>
          <w:headerReference w:type="default" r:id="rId24"/>
          <w:headerReference w:type="first" r:id="rId25"/>
          <w:type w:val="continuous"/>
          <w:pgSz w:w="12240" w:h="15840" w:orient="portrait" w:code="1"/>
          <w:pgMar w:top="1170" w:right="1800" w:bottom="1170" w:left="1800" w:header="706" w:footer="706" w:gutter="0"/>
          <w:pgNumType w:fmt="numberInDash"/>
          <w:cols w:space="720"/>
          <w:formProt w:val="0"/>
          <w:titlePg/>
        </w:sectPr>
      </w:pPr>
    </w:p>
    <w:p w:rsidRPr="001B545D" w:rsidR="001B545D" w:rsidP="001B545D" w:rsidRDefault="001B545D" w14:paraId="7CC3EC31" w14:textId="77777777">
      <w:pPr>
        <w:pStyle w:val="Chapter"/>
        <w:tabs>
          <w:tab w:val="clear" w:pos="1800"/>
          <w:tab w:val="left" w:pos="720"/>
        </w:tabs>
        <w:ind w:left="0" w:firstLine="0"/>
        <w:rPr>
          <w:rFonts w:ascii="Arial" w:hAnsi="Arial" w:cs="Arial"/>
          <w:sz w:val="22"/>
          <w:szCs w:val="22"/>
        </w:rPr>
      </w:pPr>
      <w:bookmarkStart w:name="_Toc526996969" w:id="49"/>
      <w:r w:rsidRPr="001B545D">
        <w:rPr>
          <w:rFonts w:ascii="Arial" w:hAnsi="Arial" w:cs="Arial"/>
          <w:szCs w:val="22"/>
        </w:rPr>
        <w:lastRenderedPageBreak/>
        <w:t>ANEXOS</w:t>
      </w:r>
      <w:bookmarkEnd w:id="49"/>
    </w:p>
    <w:p w:rsidR="001B545D" w:rsidP="009D48F9" w:rsidRDefault="001B545D" w14:paraId="43C790F0" w14:textId="77777777">
      <w:pPr>
        <w:pStyle w:val="FirstHeading"/>
        <w:ind w:left="720"/>
        <w:rPr>
          <w:rFonts w:ascii="Arial" w:hAnsi="Arial" w:cs="Arial"/>
          <w:sz w:val="22"/>
          <w:szCs w:val="22"/>
        </w:rPr>
      </w:pPr>
    </w:p>
    <w:p w:rsidR="009D48F9" w:rsidP="009D48F9" w:rsidRDefault="00E74123" w14:paraId="628A1D32" w14:textId="17F8EDCD">
      <w:pPr>
        <w:pStyle w:val="FirstHeading"/>
        <w:ind w:left="720"/>
        <w:rPr>
          <w:rFonts w:ascii="Arial" w:hAnsi="Arial" w:cs="Arial"/>
          <w:sz w:val="22"/>
          <w:szCs w:val="22"/>
        </w:rPr>
      </w:pPr>
      <w:bookmarkStart w:name="_Toc526996970" w:id="50"/>
      <w:r>
        <w:rPr>
          <w:rFonts w:ascii="Arial" w:hAnsi="Arial" w:cs="Arial"/>
          <w:sz w:val="22"/>
          <w:szCs w:val="22"/>
        </w:rPr>
        <w:t>A.</w:t>
      </w:r>
      <w:r>
        <w:rPr>
          <w:rFonts w:ascii="Arial" w:hAnsi="Arial" w:cs="Arial"/>
          <w:sz w:val="22"/>
          <w:szCs w:val="22"/>
        </w:rPr>
        <w:tab/>
      </w:r>
      <w:r w:rsidR="009D48F9">
        <w:rPr>
          <w:rFonts w:ascii="Arial" w:hAnsi="Arial" w:cs="Arial"/>
          <w:sz w:val="22"/>
          <w:szCs w:val="22"/>
        </w:rPr>
        <w:t>Flujo de Caja del Proyecto Guanaja</w:t>
      </w:r>
      <w:bookmarkEnd w:id="50"/>
    </w:p>
    <w:p w:rsidR="00E74123" w:rsidP="00C44514" w:rsidRDefault="00E74123" w14:paraId="245CACE2" w14:textId="7CA4E22E">
      <w:pPr>
        <w:ind w:left="-540"/>
        <w:rPr>
          <w:lang w:val="es-ES"/>
        </w:rPr>
      </w:pPr>
      <w:r>
        <w:rPr>
          <w:noProof/>
          <w:lang w:val="es-ES"/>
        </w:rPr>
        <w:drawing>
          <wp:inline distT="0" distB="0" distL="0" distR="0" wp14:anchorId="5C85F8FE" wp14:editId="50D0E86C">
            <wp:extent cx="4125526" cy="9227169"/>
            <wp:effectExtent l="1905" t="0" r="0" b="0"/>
            <wp:docPr id="1" name="Picture 1" descr="A picture containing device&#10;&#10;Description generated with high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nexo Guanaja Flujo Landscape.PNG"/>
                    <pic:cNvPicPr/>
                  </pic:nvPicPr>
                  <pic:blipFill>
                    <a:blip r:embed="rId26">
                      <a:extLst>
                        <a:ext uri="{28A0092B-C50C-407E-A947-70E740481C1C}">
                          <a14:useLocalDpi xmlns:a14="http://schemas.microsoft.com/office/drawing/2010/main" val="0"/>
                        </a:ext>
                      </a:extLst>
                    </a:blip>
                    <a:stretch>
                      <a:fillRect/>
                    </a:stretch>
                  </pic:blipFill>
                  <pic:spPr>
                    <a:xfrm rot="5400000">
                      <a:off x="0" y="0"/>
                      <a:ext cx="4169414" cy="9325329"/>
                    </a:xfrm>
                    <a:prstGeom prst="rect">
                      <a:avLst/>
                    </a:prstGeom>
                  </pic:spPr>
                </pic:pic>
              </a:graphicData>
            </a:graphic>
          </wp:inline>
        </w:drawing>
      </w:r>
    </w:p>
    <w:p w:rsidR="00E74123" w:rsidP="00C44514" w:rsidRDefault="00E74123" w14:paraId="31698BE5" w14:textId="0D788B52">
      <w:pPr>
        <w:ind w:right="-352"/>
        <w:rPr>
          <w:lang w:val="es-ES"/>
        </w:rPr>
      </w:pPr>
    </w:p>
    <w:p w:rsidRPr="00E74123" w:rsidR="00E74123" w:rsidP="00E74123" w:rsidRDefault="00E74123" w14:paraId="16392FEE" w14:textId="77777777">
      <w:pPr>
        <w:rPr>
          <w:lang w:val="es-ES"/>
        </w:rPr>
      </w:pPr>
    </w:p>
    <w:p w:rsidR="00C44514" w:rsidP="009D48F9" w:rsidRDefault="00C44514" w14:paraId="6F4D4E0B" w14:textId="77777777">
      <w:pPr>
        <w:pStyle w:val="FirstHeading"/>
        <w:ind w:left="720"/>
        <w:rPr>
          <w:rFonts w:ascii="Arial" w:hAnsi="Arial" w:cs="Arial"/>
          <w:sz w:val="22"/>
          <w:szCs w:val="22"/>
        </w:rPr>
      </w:pPr>
    </w:p>
    <w:p w:rsidR="009D48F9" w:rsidP="009D48F9" w:rsidRDefault="009D48F9" w14:paraId="1D3EFBBE" w14:textId="2598BB11">
      <w:pPr>
        <w:pStyle w:val="FirstHeading"/>
        <w:ind w:left="720"/>
        <w:rPr>
          <w:rFonts w:ascii="Arial" w:hAnsi="Arial" w:cs="Arial"/>
          <w:sz w:val="22"/>
          <w:szCs w:val="22"/>
        </w:rPr>
      </w:pPr>
      <w:bookmarkStart w:name="_Toc526996971" w:id="51"/>
      <w:r>
        <w:rPr>
          <w:rFonts w:ascii="Arial" w:hAnsi="Arial" w:cs="Arial"/>
          <w:sz w:val="22"/>
          <w:szCs w:val="22"/>
        </w:rPr>
        <w:t>B.</w:t>
      </w:r>
      <w:r>
        <w:rPr>
          <w:rFonts w:ascii="Arial" w:hAnsi="Arial" w:cs="Arial"/>
          <w:sz w:val="22"/>
          <w:szCs w:val="22"/>
        </w:rPr>
        <w:tab/>
      </w:r>
      <w:r>
        <w:rPr>
          <w:rFonts w:ascii="Arial" w:hAnsi="Arial" w:cs="Arial"/>
          <w:sz w:val="22"/>
          <w:szCs w:val="22"/>
        </w:rPr>
        <w:t xml:space="preserve">Flujo de </w:t>
      </w:r>
      <w:r w:rsidR="00252AC4">
        <w:rPr>
          <w:rFonts w:ascii="Arial" w:hAnsi="Arial" w:cs="Arial"/>
          <w:sz w:val="22"/>
          <w:szCs w:val="22"/>
        </w:rPr>
        <w:t>C</w:t>
      </w:r>
      <w:r>
        <w:rPr>
          <w:rFonts w:ascii="Arial" w:hAnsi="Arial" w:cs="Arial"/>
          <w:sz w:val="22"/>
          <w:szCs w:val="22"/>
        </w:rPr>
        <w:t>aja de Proyecto Brus Laguna</w:t>
      </w:r>
      <w:bookmarkEnd w:id="51"/>
    </w:p>
    <w:p w:rsidRPr="00C44514" w:rsidR="00C44514" w:rsidP="00C44514" w:rsidRDefault="00C44514" w14:paraId="4DE6AD72" w14:textId="29EEA2E9">
      <w:pPr>
        <w:ind w:hanging="900"/>
        <w:rPr>
          <w:lang w:val="es-ES"/>
        </w:rPr>
      </w:pPr>
      <w:r>
        <w:rPr>
          <w:noProof/>
        </w:rPr>
        <w:drawing>
          <wp:inline distT="0" distB="0" distL="0" distR="0" wp14:anchorId="23CF3958" wp14:editId="605A922D">
            <wp:extent cx="3940148" cy="9707125"/>
            <wp:effectExtent l="0" t="6985"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rot="5400000">
                      <a:off x="0" y="0"/>
                      <a:ext cx="3959261" cy="9754213"/>
                    </a:xfrm>
                    <a:prstGeom prst="rect">
                      <a:avLst/>
                    </a:prstGeom>
                    <a:noFill/>
                    <a:ln>
                      <a:noFill/>
                    </a:ln>
                  </pic:spPr>
                </pic:pic>
              </a:graphicData>
            </a:graphic>
          </wp:inline>
        </w:drawing>
      </w:r>
    </w:p>
    <w:p w:rsidR="00C44514" w:rsidP="00232AAC" w:rsidRDefault="00C44514" w14:paraId="5C6E3119" w14:textId="62C337E5">
      <w:pPr>
        <w:pStyle w:val="FirstHeading"/>
        <w:ind w:left="720"/>
      </w:pPr>
    </w:p>
    <w:p w:rsidR="00C44514" w:rsidP="00C44514" w:rsidRDefault="00C44514" w14:paraId="76442D85" w14:textId="794F8123">
      <w:pPr>
        <w:rPr>
          <w:lang w:val="es-ES"/>
        </w:rPr>
      </w:pPr>
    </w:p>
    <w:p w:rsidRPr="00C44514" w:rsidR="00C44514" w:rsidP="00C44514" w:rsidRDefault="00C44514" w14:paraId="7A1A1758" w14:textId="77777777">
      <w:pPr>
        <w:rPr>
          <w:lang w:val="es-ES"/>
        </w:rPr>
      </w:pPr>
    </w:p>
    <w:p w:rsidR="003A2AA8" w:rsidP="00C44514" w:rsidRDefault="00232AAC" w14:paraId="569D199E" w14:textId="59C1C280">
      <w:pPr>
        <w:pStyle w:val="FirstHeading"/>
        <w:tabs>
          <w:tab w:val="num" w:pos="1800"/>
        </w:tabs>
        <w:snapToGrid w:val="0"/>
        <w:ind w:left="720"/>
        <w:rPr>
          <w:rFonts w:ascii="Arial" w:hAnsi="Arial" w:cs="Arial"/>
          <w:b w:val="0"/>
          <w:smallCaps/>
          <w:sz w:val="22"/>
          <w:szCs w:val="22"/>
        </w:rPr>
      </w:pPr>
      <w:bookmarkStart w:name="_Toc526996972" w:id="52"/>
      <w:r w:rsidRPr="00C44514">
        <w:rPr>
          <w:rFonts w:ascii="Arial" w:hAnsi="Arial" w:cs="Arial"/>
          <w:sz w:val="22"/>
          <w:szCs w:val="22"/>
        </w:rPr>
        <w:lastRenderedPageBreak/>
        <w:t>C.</w:t>
      </w:r>
      <w:r w:rsidRPr="00C44514">
        <w:rPr>
          <w:rFonts w:ascii="Arial" w:hAnsi="Arial" w:cs="Arial"/>
          <w:sz w:val="22"/>
          <w:szCs w:val="22"/>
        </w:rPr>
        <w:tab/>
      </w:r>
      <w:r w:rsidRPr="00C44514">
        <w:rPr>
          <w:rFonts w:ascii="Arial" w:hAnsi="Arial" w:cs="Arial"/>
          <w:sz w:val="22"/>
          <w:szCs w:val="22"/>
        </w:rPr>
        <w:t>Flujo de Caja Proyecto Choluteca</w:t>
      </w:r>
      <w:bookmarkEnd w:id="52"/>
    </w:p>
    <w:p w:rsidR="00D73C9C" w:rsidP="00232AAC" w:rsidRDefault="00D73C9C" w14:paraId="590D8126" w14:textId="55FE8015">
      <w:pPr>
        <w:spacing w:after="200" w:line="276" w:lineRule="auto"/>
        <w:jc w:val="center"/>
        <w:rPr>
          <w:rFonts w:ascii="Arial" w:hAnsi="Arial" w:cs="Arial"/>
          <w:b/>
          <w:smallCaps/>
          <w:sz w:val="22"/>
          <w:szCs w:val="22"/>
          <w:lang w:val="es-ES"/>
        </w:rPr>
      </w:pPr>
    </w:p>
    <w:p w:rsidR="009D48F9" w:rsidP="001B4F67" w:rsidRDefault="00C33E0B" w14:paraId="2DD2D640" w14:textId="49390569">
      <w:pPr>
        <w:pStyle w:val="Paragraph"/>
        <w:numPr>
          <w:ilvl w:val="0"/>
          <w:numId w:val="0"/>
        </w:numPr>
        <w:tabs>
          <w:tab w:val="num" w:pos="1800"/>
        </w:tabs>
        <w:snapToGrid w:val="0"/>
        <w:ind w:left="720" w:hanging="1170"/>
        <w:jc w:val="center"/>
        <w:rPr>
          <w:noProof/>
        </w:rPr>
      </w:pPr>
      <w:r>
        <w:rPr>
          <w:noProof/>
        </w:rPr>
        <w:drawing>
          <wp:inline distT="0" distB="0" distL="0" distR="0" wp14:anchorId="147453AE" wp14:editId="57065842">
            <wp:extent cx="9333095" cy="4010025"/>
            <wp:effectExtent l="0" t="0" r="190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9367527" cy="4024819"/>
                    </a:xfrm>
                    <a:prstGeom prst="rect">
                      <a:avLst/>
                    </a:prstGeom>
                    <a:noFill/>
                    <a:ln>
                      <a:noFill/>
                    </a:ln>
                  </pic:spPr>
                </pic:pic>
              </a:graphicData>
            </a:graphic>
          </wp:inline>
        </w:drawing>
      </w:r>
    </w:p>
    <w:p w:rsidR="00B45FF4" w:rsidRDefault="00B45FF4" w14:paraId="2B91705A" w14:textId="672CA107">
      <w:pPr>
        <w:spacing w:after="200" w:line="276" w:lineRule="auto"/>
        <w:rPr>
          <w:lang w:val="es-ES"/>
        </w:rPr>
      </w:pPr>
      <w:r>
        <w:rPr>
          <w:lang w:val="es-ES"/>
        </w:rPr>
        <w:br w:type="page"/>
      </w:r>
    </w:p>
    <w:p w:rsidRPr="00787408" w:rsidR="0067178A" w:rsidP="00787408" w:rsidRDefault="00B45FF4" w14:paraId="362A857A" w14:textId="116F2134">
      <w:pPr>
        <w:pStyle w:val="FirstHeading"/>
        <w:tabs>
          <w:tab w:val="num" w:pos="1800"/>
        </w:tabs>
        <w:snapToGrid w:val="0"/>
        <w:ind w:left="720"/>
        <w:rPr>
          <w:rFonts w:ascii="Arial" w:hAnsi="Arial" w:cs="Arial"/>
          <w:sz w:val="22"/>
          <w:szCs w:val="22"/>
        </w:rPr>
      </w:pPr>
      <w:r w:rsidRPr="00787408">
        <w:rPr>
          <w:rFonts w:ascii="Arial" w:hAnsi="Arial" w:cs="Arial"/>
          <w:sz w:val="22"/>
          <w:szCs w:val="22"/>
        </w:rPr>
        <w:lastRenderedPageBreak/>
        <w:t xml:space="preserve">D. </w:t>
      </w:r>
      <w:r w:rsidRPr="00787408" w:rsidR="00843BDC">
        <w:rPr>
          <w:rFonts w:ascii="Arial" w:hAnsi="Arial" w:cs="Arial"/>
          <w:sz w:val="22"/>
          <w:szCs w:val="22"/>
        </w:rPr>
        <w:tab/>
      </w:r>
      <w:r w:rsidRPr="00787408" w:rsidR="00843BDC">
        <w:rPr>
          <w:rFonts w:ascii="Arial" w:hAnsi="Arial" w:cs="Arial"/>
          <w:sz w:val="22"/>
          <w:szCs w:val="22"/>
        </w:rPr>
        <w:t>Análisis de Sensibilidad en Guanaja</w:t>
      </w:r>
    </w:p>
    <w:p w:rsidR="00843BDC" w:rsidP="00787408" w:rsidRDefault="0000398A" w14:paraId="3BBA0F9B" w14:textId="45277FDE">
      <w:pPr>
        <w:pStyle w:val="Heading8"/>
        <w:numPr>
          <w:ilvl w:val="7"/>
          <w:numId w:val="14"/>
        </w:numPr>
        <w:ind w:left="2250" w:hanging="450"/>
        <w:rPr>
          <w:lang w:val="es-ES"/>
        </w:rPr>
      </w:pPr>
      <w:r>
        <w:rPr>
          <w:lang w:val="es-ES"/>
        </w:rPr>
        <w:t xml:space="preserve">En función </w:t>
      </w:r>
      <w:r w:rsidR="006A4C86">
        <w:rPr>
          <w:lang w:val="es-ES"/>
        </w:rPr>
        <w:t>de la tarifa</w:t>
      </w:r>
      <w:r w:rsidR="00B654FA">
        <w:rPr>
          <w:lang w:val="es-ES"/>
        </w:rPr>
        <w:t>. Considerando la comercialización de reducción de emisiones de CO</w:t>
      </w:r>
      <w:r w:rsidRPr="00787408" w:rsidR="00B654FA">
        <w:rPr>
          <w:vertAlign w:val="subscript"/>
          <w:lang w:val="es-ES"/>
        </w:rPr>
        <w:t>2</w:t>
      </w:r>
      <w:r w:rsidR="00B654FA">
        <w:rPr>
          <w:lang w:val="es-ES"/>
        </w:rPr>
        <w:t>.</w:t>
      </w:r>
    </w:p>
    <w:p w:rsidRPr="00B654FA" w:rsidR="00B654FA" w:rsidP="00B654FA" w:rsidRDefault="00B654FA" w14:paraId="090EAA9A" w14:textId="77777777">
      <w:pPr>
        <w:rPr>
          <w:lang w:val="es-ES"/>
        </w:rPr>
      </w:pPr>
    </w:p>
    <w:p w:rsidR="0067178A" w:rsidP="002B64E3" w:rsidRDefault="002B64E3" w14:paraId="7E6C2910" w14:textId="788B4B1F">
      <w:pPr>
        <w:jc w:val="center"/>
        <w:rPr>
          <w:lang w:val="es-ES"/>
        </w:rPr>
      </w:pPr>
      <w:r w:rsidRPr="002B64E3">
        <w:rPr>
          <w:noProof/>
        </w:rPr>
        <w:drawing>
          <wp:inline distT="0" distB="0" distL="0" distR="0" wp14:anchorId="12CDD9C1" wp14:editId="5366458D">
            <wp:extent cx="4220688" cy="1590775"/>
            <wp:effectExtent l="0" t="0" r="889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4246249" cy="1600409"/>
                    </a:xfrm>
                    <a:prstGeom prst="rect">
                      <a:avLst/>
                    </a:prstGeom>
                  </pic:spPr>
                </pic:pic>
              </a:graphicData>
            </a:graphic>
          </wp:inline>
        </w:drawing>
      </w:r>
    </w:p>
    <w:p w:rsidR="0088589A" w:rsidP="00787408" w:rsidRDefault="0088589A" w14:paraId="4C9095F4" w14:textId="1314236D">
      <w:pPr>
        <w:pStyle w:val="Heading8"/>
        <w:numPr>
          <w:ilvl w:val="7"/>
          <w:numId w:val="14"/>
        </w:numPr>
        <w:ind w:left="2250" w:hanging="450"/>
        <w:rPr>
          <w:lang w:val="es-ES"/>
        </w:rPr>
      </w:pPr>
      <w:r w:rsidRPr="00F37066">
        <w:rPr>
          <w:lang w:val="es-ES"/>
        </w:rPr>
        <w:t>En función de</w:t>
      </w:r>
      <w:r w:rsidR="00997CAF">
        <w:rPr>
          <w:lang w:val="es-ES"/>
        </w:rPr>
        <w:t xml:space="preserve">l precio del </w:t>
      </w:r>
      <w:proofErr w:type="spellStart"/>
      <w:r w:rsidR="00997CAF">
        <w:rPr>
          <w:lang w:val="es-ES"/>
        </w:rPr>
        <w:t>diesel</w:t>
      </w:r>
      <w:proofErr w:type="spellEnd"/>
      <w:r w:rsidRPr="00F37066">
        <w:rPr>
          <w:lang w:val="es-ES"/>
        </w:rPr>
        <w:t xml:space="preserve"> </w:t>
      </w:r>
    </w:p>
    <w:p w:rsidR="00F37066" w:rsidP="005F5B25" w:rsidRDefault="005F5B25" w14:paraId="749192C4" w14:textId="37206C0F">
      <w:pPr>
        <w:jc w:val="center"/>
        <w:rPr>
          <w:lang w:val="es-ES"/>
        </w:rPr>
      </w:pPr>
      <w:r w:rsidRPr="005F5B25">
        <w:rPr>
          <w:noProof/>
        </w:rPr>
        <w:drawing>
          <wp:inline distT="0" distB="0" distL="0" distR="0" wp14:anchorId="71DE4C5E" wp14:editId="04C2A5C9">
            <wp:extent cx="3009900" cy="1388749"/>
            <wp:effectExtent l="0" t="0" r="0" b="190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3019967" cy="1393394"/>
                    </a:xfrm>
                    <a:prstGeom prst="rect">
                      <a:avLst/>
                    </a:prstGeom>
                  </pic:spPr>
                </pic:pic>
              </a:graphicData>
            </a:graphic>
          </wp:inline>
        </w:drawing>
      </w:r>
    </w:p>
    <w:p w:rsidRPr="005F5B25" w:rsidR="005F5B25" w:rsidP="00787408" w:rsidRDefault="005F5B25" w14:paraId="53F08614" w14:textId="65B0D5DF">
      <w:pPr>
        <w:pStyle w:val="Heading8"/>
        <w:numPr>
          <w:ilvl w:val="7"/>
          <w:numId w:val="14"/>
        </w:numPr>
        <w:ind w:left="2250" w:hanging="450"/>
        <w:rPr>
          <w:lang w:val="es-ES"/>
        </w:rPr>
      </w:pPr>
      <w:r w:rsidRPr="005F5B25">
        <w:rPr>
          <w:lang w:val="es-ES"/>
        </w:rPr>
        <w:t>En función de</w:t>
      </w:r>
      <w:r w:rsidR="0013336A">
        <w:rPr>
          <w:lang w:val="es-ES"/>
        </w:rPr>
        <w:t>l incremento en los costos de inversión (obras civiles y logística)</w:t>
      </w:r>
      <w:r w:rsidRPr="005F5B25">
        <w:rPr>
          <w:lang w:val="es-ES"/>
        </w:rPr>
        <w:t xml:space="preserve"> </w:t>
      </w:r>
    </w:p>
    <w:p w:rsidR="005F5B25" w:rsidP="005F5B25" w:rsidRDefault="00745DDC" w14:paraId="32647BDC" w14:textId="1807811A">
      <w:pPr>
        <w:jc w:val="center"/>
        <w:rPr>
          <w:lang w:val="es-ES"/>
        </w:rPr>
      </w:pPr>
      <w:r w:rsidRPr="00745DDC">
        <w:rPr>
          <w:noProof/>
        </w:rPr>
        <w:drawing>
          <wp:inline distT="0" distB="0" distL="0" distR="0" wp14:anchorId="72F08A60" wp14:editId="3F227D37">
            <wp:extent cx="2529840" cy="1114632"/>
            <wp:effectExtent l="0" t="0" r="381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2547136" cy="1122252"/>
                    </a:xfrm>
                    <a:prstGeom prst="rect">
                      <a:avLst/>
                    </a:prstGeom>
                  </pic:spPr>
                </pic:pic>
              </a:graphicData>
            </a:graphic>
          </wp:inline>
        </w:drawing>
      </w:r>
    </w:p>
    <w:p w:rsidRPr="00E97976" w:rsidR="009554AE" w:rsidP="00787408" w:rsidRDefault="004C6DD9" w14:paraId="01F33075" w14:textId="692E7ACF">
      <w:pPr>
        <w:pStyle w:val="FirstHeading"/>
        <w:tabs>
          <w:tab w:val="num" w:pos="1800"/>
        </w:tabs>
        <w:snapToGrid w:val="0"/>
        <w:ind w:left="720"/>
        <w:rPr>
          <w:rFonts w:ascii="Arial" w:hAnsi="Arial" w:cs="Arial"/>
          <w:sz w:val="22"/>
          <w:szCs w:val="22"/>
        </w:rPr>
      </w:pPr>
      <w:r>
        <w:rPr>
          <w:rFonts w:ascii="Arial" w:hAnsi="Arial" w:cs="Arial"/>
          <w:sz w:val="22"/>
          <w:szCs w:val="22"/>
        </w:rPr>
        <w:lastRenderedPageBreak/>
        <w:t>E.</w:t>
      </w:r>
      <w:r>
        <w:rPr>
          <w:rFonts w:ascii="Arial" w:hAnsi="Arial" w:cs="Arial"/>
          <w:sz w:val="22"/>
          <w:szCs w:val="22"/>
        </w:rPr>
        <w:tab/>
      </w:r>
      <w:r w:rsidRPr="00E97976" w:rsidR="009554AE">
        <w:rPr>
          <w:rFonts w:ascii="Arial" w:hAnsi="Arial" w:cs="Arial"/>
          <w:sz w:val="22"/>
          <w:szCs w:val="22"/>
        </w:rPr>
        <w:t xml:space="preserve">Análisis de Sensibilidad en </w:t>
      </w:r>
      <w:r w:rsidR="009554AE">
        <w:rPr>
          <w:rFonts w:ascii="Arial" w:hAnsi="Arial" w:cs="Arial"/>
          <w:sz w:val="22"/>
          <w:szCs w:val="22"/>
        </w:rPr>
        <w:t>Brus Laguna</w:t>
      </w:r>
    </w:p>
    <w:p w:rsidRPr="004C6DD9" w:rsidR="009554AE" w:rsidP="00787408" w:rsidRDefault="009554AE" w14:paraId="6996BC63" w14:textId="77777777">
      <w:pPr>
        <w:pStyle w:val="Heading8"/>
        <w:numPr>
          <w:ilvl w:val="7"/>
          <w:numId w:val="15"/>
        </w:numPr>
        <w:ind w:left="2250" w:hanging="450"/>
        <w:rPr>
          <w:lang w:val="es-ES"/>
        </w:rPr>
      </w:pPr>
      <w:r w:rsidRPr="004C6DD9">
        <w:rPr>
          <w:lang w:val="es-ES"/>
        </w:rPr>
        <w:t>En función de la tarifa. Considerando la comercialización de reducción de emisiones de CO</w:t>
      </w:r>
      <w:r w:rsidRPr="00787408">
        <w:rPr>
          <w:lang w:val="es-ES"/>
        </w:rPr>
        <w:t>2</w:t>
      </w:r>
      <w:r w:rsidRPr="004C6DD9">
        <w:rPr>
          <w:lang w:val="es-ES"/>
        </w:rPr>
        <w:t>.</w:t>
      </w:r>
    </w:p>
    <w:p w:rsidRPr="00B654FA" w:rsidR="009554AE" w:rsidP="00787408" w:rsidRDefault="00103957" w14:paraId="56C61189" w14:textId="39C01F72">
      <w:pPr>
        <w:jc w:val="center"/>
        <w:rPr>
          <w:lang w:val="es-ES"/>
        </w:rPr>
      </w:pPr>
      <w:r w:rsidRPr="00103957">
        <w:rPr>
          <w:noProof/>
        </w:rPr>
        <w:drawing>
          <wp:inline distT="0" distB="0" distL="0" distR="0" wp14:anchorId="1A8324C5" wp14:editId="7892DF3F">
            <wp:extent cx="4404360" cy="152666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4415226" cy="1530431"/>
                    </a:xfrm>
                    <a:prstGeom prst="rect">
                      <a:avLst/>
                    </a:prstGeom>
                  </pic:spPr>
                </pic:pic>
              </a:graphicData>
            </a:graphic>
          </wp:inline>
        </w:drawing>
      </w:r>
    </w:p>
    <w:p w:rsidR="002B64E3" w:rsidP="00787408" w:rsidRDefault="009554AE" w14:paraId="4900E4B9" w14:textId="18B9917E">
      <w:pPr>
        <w:pStyle w:val="Heading8"/>
        <w:numPr>
          <w:ilvl w:val="7"/>
          <w:numId w:val="15"/>
        </w:numPr>
        <w:ind w:left="2250" w:hanging="450"/>
        <w:rPr>
          <w:lang w:val="es-ES"/>
        </w:rPr>
      </w:pPr>
      <w:r w:rsidRPr="00F37066">
        <w:rPr>
          <w:lang w:val="es-ES"/>
        </w:rPr>
        <w:t>En función de</w:t>
      </w:r>
      <w:r w:rsidR="00997CAF">
        <w:rPr>
          <w:lang w:val="es-ES"/>
        </w:rPr>
        <w:t xml:space="preserve">l precio de </w:t>
      </w:r>
      <w:proofErr w:type="spellStart"/>
      <w:r w:rsidR="00997CAF">
        <w:rPr>
          <w:lang w:val="es-ES"/>
        </w:rPr>
        <w:t>diesel</w:t>
      </w:r>
      <w:proofErr w:type="spellEnd"/>
      <w:r w:rsidRPr="00F37066">
        <w:rPr>
          <w:lang w:val="es-ES"/>
        </w:rPr>
        <w:t xml:space="preserve">. </w:t>
      </w:r>
    </w:p>
    <w:p w:rsidR="00235D5B" w:rsidP="00787408" w:rsidRDefault="00B74A1E" w14:paraId="76C6B89D" w14:textId="1D854CD1">
      <w:pPr>
        <w:jc w:val="center"/>
        <w:rPr>
          <w:lang w:val="es-ES"/>
        </w:rPr>
      </w:pPr>
      <w:r w:rsidRPr="00B74A1E">
        <w:rPr>
          <w:noProof/>
        </w:rPr>
        <w:drawing>
          <wp:inline distT="0" distB="0" distL="0" distR="0" wp14:anchorId="1DE0B9C1" wp14:editId="54ED8CC5">
            <wp:extent cx="3400425" cy="1295400"/>
            <wp:effectExtent l="0" t="0" r="952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3402635" cy="1296242"/>
                    </a:xfrm>
                    <a:prstGeom prst="rect">
                      <a:avLst/>
                    </a:prstGeom>
                  </pic:spPr>
                </pic:pic>
              </a:graphicData>
            </a:graphic>
          </wp:inline>
        </w:drawing>
      </w:r>
    </w:p>
    <w:p w:rsidR="00235D5B" w:rsidP="00787408" w:rsidRDefault="00235D5B" w14:paraId="234EF864" w14:textId="383E338A">
      <w:pPr>
        <w:pStyle w:val="Heading8"/>
        <w:numPr>
          <w:ilvl w:val="7"/>
          <w:numId w:val="15"/>
        </w:numPr>
        <w:ind w:left="2250" w:hanging="450"/>
        <w:rPr>
          <w:lang w:val="es-ES"/>
        </w:rPr>
      </w:pPr>
      <w:r w:rsidRPr="005F5B25">
        <w:rPr>
          <w:lang w:val="es-ES"/>
        </w:rPr>
        <w:t>En función de</w:t>
      </w:r>
      <w:r>
        <w:rPr>
          <w:lang w:val="es-ES"/>
        </w:rPr>
        <w:t>l incremento en los costos de inversión (obras civiles y logística)</w:t>
      </w:r>
    </w:p>
    <w:p w:rsidRPr="00B74A1E" w:rsidR="00B74A1E" w:rsidP="00787408" w:rsidRDefault="00B74A1E" w14:paraId="454C0408" w14:textId="77777777">
      <w:pPr>
        <w:rPr>
          <w:lang w:val="es-ES"/>
        </w:rPr>
      </w:pPr>
    </w:p>
    <w:p w:rsidRPr="0067178A" w:rsidR="0013336A" w:rsidP="00B13A71" w:rsidRDefault="00103957" w14:paraId="509F6F83" w14:textId="3EB8FC32">
      <w:pPr>
        <w:tabs>
          <w:tab w:val="left" w:pos="11835"/>
        </w:tabs>
        <w:jc w:val="center"/>
        <w:rPr>
          <w:lang w:val="es-ES"/>
        </w:rPr>
      </w:pPr>
      <w:bookmarkStart w:name="_GoBack" w:id="53"/>
      <w:r w:rsidRPr="00103957">
        <w:rPr>
          <w:noProof/>
        </w:rPr>
        <w:drawing>
          <wp:inline distT="0" distB="0" distL="0" distR="0" wp14:anchorId="72D73FEE" wp14:editId="4F331287">
            <wp:extent cx="2834640" cy="1248925"/>
            <wp:effectExtent l="0" t="0" r="3810" b="889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a:stretch>
                      <a:fillRect/>
                    </a:stretch>
                  </pic:blipFill>
                  <pic:spPr>
                    <a:xfrm>
                      <a:off x="0" y="0"/>
                      <a:ext cx="2839799" cy="1251198"/>
                    </a:xfrm>
                    <a:prstGeom prst="rect">
                      <a:avLst/>
                    </a:prstGeom>
                  </pic:spPr>
                </pic:pic>
              </a:graphicData>
            </a:graphic>
          </wp:inline>
        </w:drawing>
      </w:r>
      <w:bookmarkEnd w:id="53"/>
    </w:p>
    <w:sectPr w:rsidRPr="0067178A" w:rsidR="0013336A" w:rsidSect="00E74123">
      <w:pgSz w:w="15840" w:h="12240" w:orient="landscape" w:code="1"/>
      <w:pgMar w:top="1800" w:right="1166" w:bottom="1800" w:left="1166" w:header="706" w:footer="706" w:gutter="0"/>
      <w:cols w:space="720"/>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D654D" w:rsidP="00ED751C" w:rsidRDefault="00CD654D" w14:paraId="7A2CE6C1" w14:textId="77777777">
      <w:r>
        <w:separator/>
      </w:r>
    </w:p>
    <w:p w:rsidR="00CD654D" w:rsidRDefault="00CD654D" w14:paraId="279D7885" w14:textId="77777777"/>
  </w:endnote>
  <w:endnote w:type="continuationSeparator" w:id="0">
    <w:p w:rsidR="00CD654D" w:rsidP="00ED751C" w:rsidRDefault="00CD654D" w14:paraId="349F55F8" w14:textId="77777777">
      <w:r>
        <w:continuationSeparator/>
      </w:r>
    </w:p>
    <w:p w:rsidR="00CD654D" w:rsidRDefault="00CD654D" w14:paraId="5FB1CC34" w14:textId="77777777"/>
  </w:endnote>
  <w:endnote w:type="continuationNotice" w:id="1">
    <w:p w:rsidR="00CD654D" w:rsidRDefault="00CD654D" w14:paraId="21123F9C"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altName w:val="Palatino Linotype"/>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Bold">
    <w:altName w:val="Times New Roman"/>
    <w:panose1 w:val="02020803070505020304"/>
    <w:charset w:val="00"/>
    <w:family w:val="roman"/>
    <w:pitch w:val="variable"/>
    <w:sig w:usb0="E0002AE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Calibri">
    <w:altName w:val="Arial"/>
    <w:panose1 w:val="00000000000000000000"/>
    <w:charset w:val="00"/>
    <w:family w:val="roman"/>
    <w:notTrueType/>
    <w:pitch w:val="default"/>
  </w:font>
  <w:font w:name="Trebuchet MS">
    <w:panose1 w:val="020B0603020202020204"/>
    <w:charset w:val="00"/>
    <w:family w:val="swiss"/>
    <w:pitch w:val="variable"/>
    <w:sig w:usb0="00000687" w:usb1="00000000" w:usb2="00000000" w:usb3="00000000" w:csb0="0000009F" w:csb1="00000000"/>
  </w:font>
  <w:font w:name="Arial,Times New Roman">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4A1E" w:rsidRDefault="00B74A1E" w14:paraId="6FA25CE6" w14:textId="77777777">
    <w:pPr>
      <w:pStyle w:val="Footer"/>
      <w:framePr w:wrap="around" w:hAnchor="margin" w:vAnchor="text" w:xAlign="right" w:y="1"/>
      <w:rPr>
        <w:rStyle w:val="PageNumber"/>
      </w:rPr>
    </w:pPr>
  </w:p>
  <w:p w:rsidR="00B74A1E" w:rsidRDefault="00B74A1E" w14:paraId="42D2DFC9" w14:textId="777777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4A1E" w:rsidRDefault="00B74A1E" w14:paraId="5E0CA096" w14:textId="77777777">
    <w:pPr>
      <w:pStyle w:val="Footer"/>
      <w:rPr>
        <w:sz w:val="16"/>
      </w:rPr>
    </w:pPr>
  </w:p>
  <w:p w:rsidR="00B74A1E" w:rsidRDefault="00B74A1E" w14:paraId="25797CCD" w14:textId="48F66CA0">
    <w:pPr>
      <w:pStyle w:val="Footer"/>
    </w:pPr>
    <w:r>
      <w:rPr>
        <w:sz w:val="16"/>
      </w:rPr>
      <w:fldChar w:fldCharType="begin"/>
    </w:r>
    <w:r w:rsidRPr="0006112F">
      <w:rPr>
        <w:sz w:val="16"/>
        <w:lang w:val="en-US"/>
      </w:rPr>
      <w:instrText xml:space="preserve"> REF Book15 </w:instrText>
    </w:r>
    <w:r>
      <w:rPr>
        <w:sz w:val="16"/>
      </w:rPr>
      <w:fldChar w:fldCharType="separate"/>
    </w:r>
    <w:r>
      <w:rPr>
        <w:b/>
        <w:bCs/>
        <w:sz w:val="16"/>
        <w:lang w:val="en-US"/>
      </w:rPr>
      <w:t>Error! Reference source not found.</w:t>
    </w:r>
    <w:r>
      <w:rPr>
        <w:sz w:val="16"/>
      </w:rPr>
      <w:fldChar w:fldCharType="end"/>
    </w:r>
    <w:r>
      <w:rPr>
        <w:caps/>
        <w:sz w:val="16"/>
      </w:rPr>
      <w:fldChar w:fldCharType="begin"/>
    </w:r>
    <w:r w:rsidRPr="0006112F">
      <w:rPr>
        <w:caps/>
        <w:sz w:val="16"/>
        <w:lang w:val="en-US"/>
      </w:rPr>
      <w:instrText xml:space="preserve"> MACROBUTTON AllCaps \RESUMEN EJECUTIVO </w:instrText>
    </w:r>
    <w:r>
      <w:rPr>
        <w:caps/>
        <w:sz w:val="16"/>
      </w:rPr>
      <w:fldChar w:fldCharType="end"/>
    </w:r>
    <w:r w:rsidRPr="0006112F">
      <w:rPr>
        <w:sz w:val="16"/>
        <w:lang w:val="en-US"/>
      </w:rPr>
      <w:tab/>
    </w:r>
    <w:r w:rsidRPr="0006112F">
      <w:rPr>
        <w:sz w:val="16"/>
        <w:lang w:val="en-US"/>
      </w:rPr>
      <w:tab/>
    </w:r>
    <w:r>
      <w:rPr>
        <w:sz w:val="16"/>
        <w:lang w:val="es-ES"/>
      </w:rPr>
      <w:t>Versión al</w:t>
    </w:r>
    <w:r>
      <w:rPr>
        <w:sz w:val="16"/>
      </w:rPr>
      <w:t xml:space="preserve">: </w:t>
    </w:r>
    <w:r>
      <w:rPr>
        <w:noProof/>
        <w:sz w:val="16"/>
      </w:rPr>
      <w:fldChar w:fldCharType="begin"/>
    </w:r>
    <w:r>
      <w:rPr>
        <w:noProof/>
        <w:sz w:val="16"/>
      </w:rPr>
      <w:instrText xml:space="preserve"> SAVEDATE  \* MERGEFORMAT </w:instrText>
    </w:r>
    <w:r>
      <w:rPr>
        <w:noProof/>
        <w:sz w:val="16"/>
      </w:rPr>
      <w:fldChar w:fldCharType="separate"/>
    </w:r>
    <w:r w:rsidR="00787408">
      <w:rPr>
        <w:noProof/>
        <w:sz w:val="16"/>
      </w:rPr>
      <w:t>12/10/2018 11:54:00</w:t>
    </w:r>
    <w:r>
      <w:rPr>
        <w:noProof/>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99739622"/>
      <w:docPartObj>
        <w:docPartGallery w:val="Page Numbers (Bottom of Page)"/>
        <w:docPartUnique/>
      </w:docPartObj>
    </w:sdtPr>
    <w:sdtEndPr>
      <w:rPr>
        <w:rFonts w:ascii="Arial" w:hAnsi="Arial" w:cs="Arial"/>
        <w:noProof/>
        <w:sz w:val="20"/>
      </w:rPr>
    </w:sdtEndPr>
    <w:sdtContent>
      <w:p w:rsidRPr="001B4F67" w:rsidR="00B74A1E" w:rsidRDefault="00B74A1E" w14:paraId="329438BD" w14:textId="007D5DE0">
        <w:pPr>
          <w:pStyle w:val="Footer"/>
          <w:jc w:val="center"/>
          <w:rPr>
            <w:rFonts w:ascii="Arial" w:hAnsi="Arial" w:cs="Arial"/>
            <w:sz w:val="20"/>
          </w:rPr>
        </w:pPr>
        <w:r w:rsidRPr="001B4F67">
          <w:rPr>
            <w:rFonts w:ascii="Arial" w:hAnsi="Arial" w:cs="Arial"/>
            <w:sz w:val="18"/>
            <w:szCs w:val="18"/>
          </w:rPr>
          <w:fldChar w:fldCharType="begin"/>
        </w:r>
        <w:r w:rsidRPr="001B4F67">
          <w:rPr>
            <w:rFonts w:ascii="Arial" w:hAnsi="Arial" w:cs="Arial"/>
            <w:sz w:val="18"/>
            <w:szCs w:val="18"/>
          </w:rPr>
          <w:instrText xml:space="preserve"> PAGE   \* MERGEFORMAT </w:instrText>
        </w:r>
        <w:r w:rsidRPr="001B4F67">
          <w:rPr>
            <w:rFonts w:ascii="Arial" w:hAnsi="Arial" w:cs="Arial"/>
            <w:sz w:val="18"/>
            <w:szCs w:val="18"/>
          </w:rPr>
          <w:fldChar w:fldCharType="separate"/>
        </w:r>
        <w:r w:rsidRPr="001B4F67">
          <w:rPr>
            <w:rFonts w:ascii="Arial" w:hAnsi="Arial" w:cs="Arial"/>
            <w:noProof/>
            <w:sz w:val="18"/>
            <w:szCs w:val="18"/>
          </w:rPr>
          <w:t>2</w:t>
        </w:r>
        <w:r w:rsidRPr="001B4F67">
          <w:rPr>
            <w:rFonts w:ascii="Arial" w:hAnsi="Arial" w:cs="Arial"/>
            <w:noProof/>
            <w:sz w:val="18"/>
            <w:szCs w:val="18"/>
          </w:rPr>
          <w:fldChar w:fldCharType="end"/>
        </w:r>
      </w:p>
    </w:sdtContent>
  </w:sdt>
  <w:p w:rsidRPr="00683DA9" w:rsidR="00B74A1E" w:rsidP="00683DA9" w:rsidRDefault="00B74A1E" w14:paraId="0E936243"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D654D" w:rsidP="00ED751C" w:rsidRDefault="00CD654D" w14:paraId="0DD390E5" w14:textId="77777777">
      <w:r>
        <w:separator/>
      </w:r>
    </w:p>
    <w:p w:rsidR="00CD654D" w:rsidRDefault="00CD654D" w14:paraId="086A6B00" w14:textId="77777777"/>
  </w:footnote>
  <w:footnote w:type="continuationSeparator" w:id="0">
    <w:p w:rsidR="00CD654D" w:rsidP="00ED751C" w:rsidRDefault="00CD654D" w14:paraId="525F898D" w14:textId="77777777">
      <w:r>
        <w:continuationSeparator/>
      </w:r>
    </w:p>
    <w:p w:rsidR="00CD654D" w:rsidRDefault="00CD654D" w14:paraId="362CD771" w14:textId="77777777"/>
  </w:footnote>
  <w:footnote w:type="continuationNotice" w:id="1">
    <w:p w:rsidR="00CD654D" w:rsidRDefault="00CD654D" w14:paraId="6A843752" w14:textId="77777777"/>
  </w:footnote>
  <w:footnote w:id="2">
    <w:p w:rsidRPr="001C621E" w:rsidR="00B74A1E" w:rsidP="001C621E" w:rsidRDefault="00B74A1E" w14:paraId="6EC8E226" w14:textId="77777777">
      <w:pPr>
        <w:pStyle w:val="FootnoteText"/>
        <w:spacing w:after="0"/>
        <w:rPr>
          <w:rFonts w:ascii="Arial" w:hAnsi="Arial" w:eastAsia="Arial" w:cs="Arial"/>
          <w:i/>
          <w:sz w:val="18"/>
          <w:szCs w:val="18"/>
        </w:rPr>
      </w:pPr>
      <w:r w:rsidRPr="3A66673B">
        <w:rPr>
          <w:rFonts w:ascii="Arial" w:hAnsi="Arial" w:eastAsia="Arial" w:cs="Arial"/>
          <w:sz w:val="18"/>
          <w:szCs w:val="18"/>
          <w:vertAlign w:val="superscript"/>
        </w:rPr>
        <w:footnoteRef/>
      </w:r>
      <w:r w:rsidRPr="3A66673B">
        <w:rPr>
          <w:rFonts w:ascii="Arial" w:hAnsi="Arial" w:eastAsia="Arial" w:cs="Arial"/>
          <w:sz w:val="18"/>
          <w:szCs w:val="18"/>
          <w:vertAlign w:val="superscript"/>
        </w:rPr>
        <w:t xml:space="preserve"> </w:t>
      </w:r>
      <w:r w:rsidRPr="001C621E">
        <w:rPr>
          <w:rFonts w:ascii="Arial" w:hAnsi="Arial" w:cs="Arial"/>
          <w:sz w:val="18"/>
          <w:szCs w:val="18"/>
        </w:rPr>
        <w:tab/>
      </w:r>
      <w:r w:rsidRPr="001C621E">
        <w:rPr>
          <w:rFonts w:ascii="Arial" w:hAnsi="Arial" w:eastAsia="Arial" w:cs="Arial"/>
          <w:sz w:val="18"/>
          <w:szCs w:val="18"/>
        </w:rPr>
        <w:t xml:space="preserve">Rivas Salvador.- Análisis de la situación de acceso de energía para América Latina. </w:t>
      </w:r>
      <w:r w:rsidRPr="001C621E">
        <w:rPr>
          <w:rFonts w:ascii="Arial" w:hAnsi="Arial" w:eastAsia="Arial" w:cs="Arial"/>
          <w:i/>
          <w:sz w:val="18"/>
          <w:szCs w:val="18"/>
        </w:rPr>
        <w:t xml:space="preserve">UNDP </w:t>
      </w:r>
      <w:r w:rsidRPr="001C621E">
        <w:rPr>
          <w:rFonts w:ascii="Arial" w:hAnsi="Arial" w:eastAsia="Arial" w:cs="Arial"/>
          <w:i/>
          <w:sz w:val="18"/>
          <w:szCs w:val="18"/>
          <w:lang w:val="es-US"/>
        </w:rPr>
        <w:t xml:space="preserve">Regional Center for </w:t>
      </w:r>
      <w:r w:rsidRPr="001C621E">
        <w:rPr>
          <w:rFonts w:ascii="Arial" w:hAnsi="Arial" w:eastAsia="Arial" w:cs="Arial"/>
          <w:i/>
          <w:sz w:val="18"/>
          <w:szCs w:val="18"/>
        </w:rPr>
        <w:t>Latin America</w:t>
      </w:r>
      <w:r w:rsidRPr="001C621E">
        <w:rPr>
          <w:rFonts w:ascii="Arial" w:hAnsi="Arial" w:eastAsia="Arial" w:cs="Arial"/>
          <w:i/>
          <w:sz w:val="18"/>
          <w:szCs w:val="18"/>
          <w:lang w:val="es-US"/>
        </w:rPr>
        <w:t>,</w:t>
      </w:r>
      <w:r w:rsidRPr="001C621E">
        <w:rPr>
          <w:rFonts w:ascii="Arial" w:hAnsi="Arial" w:eastAsia="Arial" w:cs="Arial"/>
          <w:i/>
          <w:sz w:val="18"/>
          <w:szCs w:val="18"/>
        </w:rPr>
        <w:t xml:space="preserve"> Julio, 2016.</w:t>
      </w:r>
    </w:p>
  </w:footnote>
  <w:footnote w:id="3">
    <w:p w:rsidRPr="001C621E" w:rsidR="00B74A1E" w:rsidP="001C621E" w:rsidRDefault="00B74A1E" w14:paraId="2B98ACFD" w14:textId="77777777">
      <w:pPr>
        <w:pStyle w:val="FootnoteText"/>
        <w:spacing w:after="0"/>
        <w:rPr>
          <w:rFonts w:ascii="Arial" w:hAnsi="Arial" w:eastAsia="Arial" w:cs="Arial"/>
          <w:sz w:val="18"/>
          <w:szCs w:val="18"/>
        </w:rPr>
      </w:pPr>
      <w:r w:rsidRPr="001C621E">
        <w:rPr>
          <w:rFonts w:ascii="Arial" w:hAnsi="Arial" w:eastAsia="Arial" w:cs="Arial"/>
          <w:sz w:val="18"/>
          <w:szCs w:val="18"/>
          <w:vertAlign w:val="superscript"/>
        </w:rPr>
        <w:footnoteRef/>
      </w:r>
      <w:r w:rsidRPr="001C621E">
        <w:rPr>
          <w:rFonts w:ascii="Arial" w:hAnsi="Arial" w:eastAsia="Arial" w:cs="Arial"/>
          <w:sz w:val="18"/>
          <w:szCs w:val="18"/>
          <w:vertAlign w:val="superscript"/>
        </w:rPr>
        <w:t xml:space="preserve"> </w:t>
      </w:r>
      <w:r w:rsidRPr="001C621E">
        <w:rPr>
          <w:rFonts w:ascii="Arial" w:hAnsi="Arial" w:cs="Arial"/>
          <w:sz w:val="18"/>
          <w:szCs w:val="18"/>
        </w:rPr>
        <w:tab/>
      </w:r>
      <w:r w:rsidRPr="001C621E">
        <w:rPr>
          <w:rFonts w:ascii="Arial" w:hAnsi="Arial" w:eastAsia="Arial" w:cs="Arial"/>
          <w:sz w:val="18"/>
          <w:szCs w:val="18"/>
        </w:rPr>
        <w:t xml:space="preserve">De acuerdo con datos del Censo de Población y Vivienda 2013, a nivel nacional el uso de leña para la cocción es de 55% en hogares, empleándose en el 89% en las zonas rurales. </w:t>
      </w:r>
    </w:p>
  </w:footnote>
  <w:footnote w:id="4">
    <w:p w:rsidRPr="00E14597" w:rsidR="00B74A1E" w:rsidP="001C621E" w:rsidRDefault="00B74A1E" w14:paraId="1B313004" w14:textId="7046CB97">
      <w:pPr>
        <w:pStyle w:val="FootnoteText"/>
        <w:spacing w:after="0"/>
        <w:rPr>
          <w:rFonts w:ascii="Arial" w:hAnsi="Arial" w:eastAsia="Arial" w:cs="Arial"/>
          <w:sz w:val="18"/>
          <w:szCs w:val="18"/>
        </w:rPr>
      </w:pPr>
      <w:r w:rsidRPr="001C621E">
        <w:rPr>
          <w:rStyle w:val="FootnoteReference"/>
          <w:rFonts w:ascii="Arial" w:hAnsi="Arial" w:eastAsia="Arial" w:cs="Arial"/>
          <w:sz w:val="18"/>
          <w:szCs w:val="18"/>
        </w:rPr>
        <w:footnoteRef/>
      </w:r>
      <w:r w:rsidRPr="001C621E">
        <w:rPr>
          <w:rFonts w:ascii="Arial" w:hAnsi="Arial" w:eastAsia="Arial" w:cs="Arial"/>
          <w:sz w:val="18"/>
          <w:szCs w:val="18"/>
        </w:rPr>
        <w:t xml:space="preserve"> </w:t>
      </w:r>
      <w:r w:rsidRPr="001C621E">
        <w:rPr>
          <w:rFonts w:ascii="Arial" w:hAnsi="Arial" w:cs="Arial"/>
          <w:sz w:val="18"/>
          <w:szCs w:val="18"/>
        </w:rPr>
        <w:tab/>
      </w:r>
      <w:hyperlink w:history="1" r:id="rId1">
        <w:r w:rsidRPr="001C621E">
          <w:rPr>
            <w:rStyle w:val="Hyperlink"/>
            <w:rFonts w:ascii="Arial" w:hAnsi="Arial" w:eastAsia="Arial" w:cs="Arial"/>
            <w:sz w:val="18"/>
            <w:szCs w:val="18"/>
          </w:rPr>
          <w:t>Informe de Cobertura Eléctrica 2015</w:t>
        </w:r>
      </w:hyperlink>
      <w:r w:rsidRPr="001C621E">
        <w:rPr>
          <w:rFonts w:ascii="Arial" w:hAnsi="Arial" w:eastAsia="Arial" w:cs="Arial"/>
          <w:sz w:val="18"/>
          <w:szCs w:val="18"/>
        </w:rPr>
        <w:t xml:space="preserve">. Este no incorpora clientes residenciales conectados informalmente al SIN. Para una adecuada planificación de la electrificación, la ENEE continúa revisando su metodología de cálculo, reduciendo </w:t>
      </w:r>
      <w:r w:rsidRPr="00E14597">
        <w:rPr>
          <w:rFonts w:ascii="Arial" w:hAnsi="Arial" w:eastAsia="Arial" w:cs="Arial"/>
          <w:sz w:val="18"/>
          <w:szCs w:val="18"/>
        </w:rPr>
        <w:t>inconsistencias con los datos socio-económicos oficiales a nivel nacional.</w:t>
      </w:r>
    </w:p>
  </w:footnote>
  <w:footnote w:id="5">
    <w:p w:rsidRPr="00E14597" w:rsidR="00B74A1E" w:rsidP="001C621E" w:rsidRDefault="00B74A1E" w14:paraId="490BD594" w14:textId="77777777">
      <w:pPr>
        <w:pStyle w:val="FootnoteText"/>
        <w:spacing w:after="0"/>
        <w:rPr>
          <w:rFonts w:ascii="Arial" w:hAnsi="Arial" w:eastAsia="Arial" w:cs="Arial"/>
          <w:sz w:val="18"/>
          <w:szCs w:val="18"/>
        </w:rPr>
      </w:pPr>
      <w:r w:rsidRPr="00E14597">
        <w:rPr>
          <w:rStyle w:val="FootnoteReference"/>
          <w:rFonts w:ascii="Arial" w:hAnsi="Arial" w:eastAsia="Arial" w:cs="Arial"/>
          <w:sz w:val="18"/>
          <w:szCs w:val="18"/>
        </w:rPr>
        <w:footnoteRef/>
      </w:r>
      <w:r w:rsidRPr="00E14597">
        <w:rPr>
          <w:rFonts w:ascii="Arial" w:hAnsi="Arial" w:eastAsia="Arial" w:cs="Arial"/>
          <w:sz w:val="18"/>
          <w:szCs w:val="18"/>
        </w:rPr>
        <w:t xml:space="preserve"> </w:t>
      </w:r>
      <w:r w:rsidRPr="00E14597">
        <w:rPr>
          <w:rFonts w:ascii="Arial" w:hAnsi="Arial" w:cs="Arial"/>
          <w:sz w:val="18"/>
          <w:szCs w:val="18"/>
        </w:rPr>
        <w:tab/>
      </w:r>
      <w:r w:rsidRPr="00E14597">
        <w:rPr>
          <w:rFonts w:ascii="Arial" w:hAnsi="Arial" w:eastAsia="Arial" w:cs="Arial"/>
          <w:sz w:val="18"/>
          <w:szCs w:val="18"/>
        </w:rPr>
        <w:t>La Mosquitia es el segundo bosque tropical más grande de América, seguido únicamente por la Amazonía.</w:t>
      </w:r>
    </w:p>
  </w:footnote>
  <w:footnote w:id="6">
    <w:p w:rsidRPr="00E14597" w:rsidR="00B74A1E" w:rsidP="001C621E" w:rsidRDefault="00B74A1E" w14:paraId="2E97AFC5" w14:textId="2D5B97D4">
      <w:pPr>
        <w:pStyle w:val="FootnoteText"/>
        <w:spacing w:after="0"/>
        <w:rPr>
          <w:rFonts w:ascii="Arial" w:hAnsi="Arial" w:cs="Arial"/>
          <w:sz w:val="18"/>
          <w:szCs w:val="18"/>
        </w:rPr>
      </w:pPr>
      <w:r w:rsidRPr="00E14597">
        <w:rPr>
          <w:rStyle w:val="FootnoteReference"/>
          <w:rFonts w:ascii="Arial" w:hAnsi="Arial" w:cs="Arial" w:eastAsiaTheme="majorEastAsia"/>
          <w:sz w:val="18"/>
          <w:szCs w:val="18"/>
        </w:rPr>
        <w:footnoteRef/>
      </w:r>
      <w:r w:rsidRPr="00E14597">
        <w:rPr>
          <w:rFonts w:ascii="Arial" w:hAnsi="Arial" w:cs="Arial"/>
          <w:sz w:val="18"/>
          <w:szCs w:val="18"/>
        </w:rPr>
        <w:t xml:space="preserve"> </w:t>
      </w:r>
      <w:r w:rsidRPr="00E14597">
        <w:rPr>
          <w:rFonts w:ascii="Arial" w:hAnsi="Arial" w:cs="Arial"/>
          <w:sz w:val="18"/>
          <w:szCs w:val="18"/>
        </w:rPr>
        <w:tab/>
      </w:r>
      <w:r w:rsidRPr="00E14597">
        <w:rPr>
          <w:rFonts w:ascii="Arial" w:hAnsi="Arial" w:cs="Arial"/>
          <w:sz w:val="18"/>
          <w:szCs w:val="18"/>
        </w:rPr>
        <w:t>ENEE, Dirección de Planificación, Informe de Cobertura Eléctrica, 2015 (op.cit.).</w:t>
      </w:r>
    </w:p>
  </w:footnote>
  <w:footnote w:id="7">
    <w:p w:rsidRPr="00E902E1" w:rsidR="00B74A1E" w:rsidP="00303AE9" w:rsidRDefault="00B74A1E" w14:paraId="1480F709" w14:textId="3066E74D">
      <w:pPr>
        <w:pStyle w:val="FootnoteText"/>
        <w:spacing w:after="0"/>
        <w:rPr>
          <w:rFonts w:ascii="Arial" w:hAnsi="Arial" w:cs="Arial"/>
          <w:sz w:val="18"/>
          <w:szCs w:val="18"/>
        </w:rPr>
      </w:pPr>
      <w:r w:rsidRPr="00E902E1">
        <w:rPr>
          <w:rStyle w:val="FootnoteReference"/>
          <w:rFonts w:ascii="Arial" w:hAnsi="Arial" w:cs="Arial"/>
          <w:sz w:val="18"/>
          <w:szCs w:val="18"/>
        </w:rPr>
        <w:footnoteRef/>
      </w:r>
      <w:r w:rsidRPr="00E902E1">
        <w:rPr>
          <w:rFonts w:ascii="Arial" w:hAnsi="Arial" w:cs="Arial"/>
          <w:sz w:val="18"/>
          <w:szCs w:val="18"/>
        </w:rPr>
        <w:t xml:space="preserve"> </w:t>
      </w:r>
      <w:r>
        <w:rPr>
          <w:rFonts w:ascii="Arial" w:hAnsi="Arial" w:cs="Arial"/>
          <w:sz w:val="18"/>
          <w:szCs w:val="18"/>
        </w:rPr>
        <w:tab/>
      </w:r>
      <w:r w:rsidRPr="00E902E1">
        <w:rPr>
          <w:rFonts w:ascii="Arial" w:hAnsi="Arial" w:cs="Arial"/>
          <w:sz w:val="18"/>
          <w:szCs w:val="18"/>
        </w:rPr>
        <w:t>En las condiciones actuales de precio bajo de derivados de petróleo. La generación eléctrica se realiza con motores a combustión interna que emplean diésel como combustible.</w:t>
      </w:r>
    </w:p>
  </w:footnote>
  <w:footnote w:id="8">
    <w:p w:rsidRPr="00D8133B" w:rsidR="00B74A1E" w:rsidP="00303AE9" w:rsidRDefault="00B74A1E" w14:paraId="4FC31F06" w14:textId="61B79D4B">
      <w:pPr>
        <w:pStyle w:val="FootnoteText"/>
        <w:spacing w:after="0"/>
        <w:rPr>
          <w:rFonts w:ascii="Arial" w:hAnsi="Arial" w:cs="Arial"/>
          <w:sz w:val="18"/>
          <w:szCs w:val="18"/>
        </w:rPr>
      </w:pPr>
      <w:r w:rsidRPr="00D8133B">
        <w:rPr>
          <w:rStyle w:val="FootnoteReference"/>
          <w:rFonts w:ascii="Arial" w:hAnsi="Arial" w:cs="Arial"/>
          <w:sz w:val="18"/>
          <w:szCs w:val="18"/>
        </w:rPr>
        <w:footnoteRef/>
      </w:r>
      <w:r w:rsidRPr="00D8133B">
        <w:rPr>
          <w:rFonts w:ascii="Arial" w:hAnsi="Arial" w:cs="Arial"/>
          <w:sz w:val="18"/>
          <w:szCs w:val="18"/>
        </w:rPr>
        <w:t xml:space="preserve">   </w:t>
      </w:r>
      <w:r>
        <w:rPr>
          <w:rFonts w:ascii="Arial" w:hAnsi="Arial" w:cs="Arial"/>
          <w:sz w:val="18"/>
          <w:szCs w:val="18"/>
        </w:rPr>
        <w:tab/>
      </w:r>
      <w:r w:rsidRPr="00D8133B">
        <w:rPr>
          <w:rFonts w:ascii="Arial" w:hAnsi="Arial" w:cs="Arial"/>
          <w:sz w:val="18"/>
          <w:szCs w:val="18"/>
        </w:rPr>
        <w:t xml:space="preserve">Ramirez, Yanu </w:t>
      </w:r>
      <w:r>
        <w:rPr>
          <w:rFonts w:ascii="Arial" w:hAnsi="Arial" w:cs="Arial"/>
          <w:sz w:val="18"/>
          <w:szCs w:val="18"/>
        </w:rPr>
        <w:t xml:space="preserve">&amp; </w:t>
      </w:r>
      <w:r w:rsidRPr="00D8133B">
        <w:rPr>
          <w:rFonts w:ascii="Arial" w:hAnsi="Arial" w:cs="Arial"/>
          <w:sz w:val="18"/>
          <w:szCs w:val="18"/>
        </w:rPr>
        <w:t>Erazo, Benjamín</w:t>
      </w:r>
      <w:r>
        <w:rPr>
          <w:rFonts w:ascii="Arial" w:hAnsi="Arial" w:cs="Arial"/>
          <w:sz w:val="18"/>
          <w:szCs w:val="18"/>
        </w:rPr>
        <w:t xml:space="preserve">. </w:t>
      </w:r>
      <w:r w:rsidRPr="00D8133B">
        <w:rPr>
          <w:rFonts w:ascii="Arial" w:hAnsi="Arial" w:cs="Arial"/>
          <w:sz w:val="18"/>
          <w:szCs w:val="18"/>
        </w:rPr>
        <w:t xml:space="preserve"> Informe del diagnóstico del sector turismo en Honduras</w:t>
      </w:r>
      <w:r>
        <w:rPr>
          <w:rFonts w:ascii="Arial" w:hAnsi="Arial" w:cs="Arial"/>
          <w:sz w:val="18"/>
          <w:szCs w:val="18"/>
        </w:rPr>
        <w:t xml:space="preserve">. </w:t>
      </w:r>
      <w:r w:rsidRPr="00D8133B">
        <w:rPr>
          <w:rFonts w:ascii="Arial" w:hAnsi="Arial" w:cs="Arial"/>
          <w:sz w:val="18"/>
          <w:szCs w:val="18"/>
        </w:rPr>
        <w:t xml:space="preserve"> BID, </w:t>
      </w:r>
      <w:r>
        <w:rPr>
          <w:rFonts w:ascii="Arial" w:hAnsi="Arial" w:cs="Arial"/>
          <w:sz w:val="18"/>
          <w:szCs w:val="18"/>
        </w:rPr>
        <w:t>septiembre</w:t>
      </w:r>
      <w:r w:rsidRPr="00D8133B">
        <w:rPr>
          <w:rFonts w:ascii="Arial" w:hAnsi="Arial" w:cs="Arial"/>
          <w:sz w:val="18"/>
          <w:szCs w:val="18"/>
        </w:rPr>
        <w:t xml:space="preserve"> 2016</w:t>
      </w:r>
    </w:p>
  </w:footnote>
  <w:footnote w:id="9">
    <w:p w:rsidRPr="00634F0E" w:rsidR="00B74A1E" w:rsidP="00A374E0" w:rsidRDefault="00B74A1E" w14:paraId="434F3C1C" w14:textId="77777777">
      <w:pPr>
        <w:pStyle w:val="FootnoteText"/>
        <w:spacing w:after="0"/>
        <w:ind w:hanging="270"/>
        <w:rPr>
          <w:rFonts w:ascii="Arial" w:hAnsi="Arial" w:cs="Arial"/>
          <w:sz w:val="18"/>
          <w:szCs w:val="18"/>
          <w:lang w:val="en-US"/>
        </w:rPr>
      </w:pPr>
      <w:r w:rsidRPr="00634F0E">
        <w:rPr>
          <w:rStyle w:val="FootnoteReference"/>
          <w:rFonts w:ascii="Arial" w:hAnsi="Arial" w:cs="Arial"/>
          <w:sz w:val="18"/>
          <w:szCs w:val="18"/>
        </w:rPr>
        <w:footnoteRef/>
      </w:r>
      <w:r w:rsidRPr="00634F0E">
        <w:rPr>
          <w:rFonts w:ascii="Arial" w:hAnsi="Arial" w:cs="Arial"/>
          <w:sz w:val="18"/>
          <w:szCs w:val="18"/>
        </w:rPr>
        <w:t xml:space="preserve"> </w:t>
      </w:r>
      <w:r w:rsidRPr="00634F0E">
        <w:rPr>
          <w:rFonts w:ascii="Arial" w:hAnsi="Arial" w:cs="Arial"/>
          <w:sz w:val="18"/>
          <w:szCs w:val="18"/>
        </w:rPr>
        <w:tab/>
      </w:r>
      <w:r w:rsidRPr="00634F0E">
        <w:rPr>
          <w:rFonts w:ascii="Arial" w:hAnsi="Arial" w:cs="Arial"/>
          <w:sz w:val="18"/>
          <w:szCs w:val="18"/>
        </w:rPr>
        <w:t xml:space="preserve">Documento Marco Sectorial de Energía. División de Energía - GN-2830. </w:t>
      </w:r>
      <w:r w:rsidRPr="00634F0E">
        <w:rPr>
          <w:rFonts w:ascii="Arial" w:hAnsi="Arial" w:cs="Arial"/>
          <w:sz w:val="18"/>
          <w:szCs w:val="18"/>
          <w:lang w:val="en-US"/>
        </w:rPr>
        <w:t xml:space="preserve">BID (2015). Sección II.  </w:t>
      </w:r>
    </w:p>
  </w:footnote>
  <w:footnote w:id="10">
    <w:p w:rsidRPr="00634F0E" w:rsidR="00B74A1E" w:rsidP="00A374E0" w:rsidRDefault="00B74A1E" w14:paraId="51C1D025" w14:textId="77777777">
      <w:pPr>
        <w:pStyle w:val="FootnoteText"/>
        <w:spacing w:after="0"/>
        <w:rPr>
          <w:rFonts w:ascii="Arial" w:hAnsi="Arial" w:cs="Arial"/>
          <w:sz w:val="18"/>
          <w:szCs w:val="18"/>
          <w:lang w:val="en-US"/>
        </w:rPr>
      </w:pPr>
      <w:r w:rsidRPr="00634F0E">
        <w:rPr>
          <w:rStyle w:val="FootnoteReference"/>
          <w:rFonts w:ascii="Arial" w:hAnsi="Arial" w:cs="Arial"/>
          <w:sz w:val="18"/>
          <w:szCs w:val="18"/>
        </w:rPr>
        <w:footnoteRef/>
      </w:r>
      <w:r w:rsidRPr="00634F0E">
        <w:rPr>
          <w:rFonts w:ascii="Arial" w:hAnsi="Arial" w:cs="Arial"/>
          <w:sz w:val="18"/>
          <w:szCs w:val="18"/>
          <w:lang w:val="en-US"/>
        </w:rPr>
        <w:t xml:space="preserve"> </w:t>
      </w:r>
      <w:r w:rsidRPr="00634F0E">
        <w:rPr>
          <w:rFonts w:ascii="Arial" w:hAnsi="Arial" w:cs="Arial"/>
          <w:sz w:val="18"/>
          <w:szCs w:val="18"/>
          <w:lang w:val="en-US"/>
        </w:rPr>
        <w:tab/>
      </w:r>
      <w:r w:rsidRPr="00634F0E">
        <w:rPr>
          <w:rFonts w:ascii="Arial" w:hAnsi="Arial" w:cs="Arial"/>
          <w:sz w:val="18"/>
          <w:szCs w:val="18"/>
          <w:lang w:val="en-US"/>
        </w:rPr>
        <w:t xml:space="preserve">Tegene G., Berhe, G., Teklemariam, D., (2015), </w:t>
      </w:r>
      <w:r w:rsidRPr="00634F0E">
        <w:rPr>
          <w:rFonts w:ascii="Arial" w:hAnsi="Arial" w:cs="Arial"/>
          <w:i/>
          <w:sz w:val="18"/>
          <w:szCs w:val="18"/>
          <w:lang w:val="en-US"/>
        </w:rPr>
        <w:t>Impact of Rural Electrification on Poverty Reduction Evidence from Rural Districts of Tigrai, Northern Ethiopia</w:t>
      </w:r>
      <w:r w:rsidRPr="00634F0E">
        <w:rPr>
          <w:rFonts w:ascii="Arial" w:hAnsi="Arial" w:cs="Arial"/>
          <w:sz w:val="18"/>
          <w:szCs w:val="18"/>
          <w:lang w:val="en-US"/>
        </w:rPr>
        <w:t xml:space="preserve">, Journal of Business Management &amp; Social Sciences Research, Volume 4, No.1. </w:t>
      </w:r>
    </w:p>
  </w:footnote>
  <w:footnote w:id="11">
    <w:p w:rsidRPr="00634F0E" w:rsidR="00B74A1E" w:rsidP="00A374E0" w:rsidRDefault="00B74A1E" w14:paraId="135AEA58" w14:textId="77777777">
      <w:pPr>
        <w:pStyle w:val="FootnoteText"/>
        <w:spacing w:after="0"/>
        <w:ind w:hanging="270"/>
        <w:rPr>
          <w:rFonts w:ascii="Arial" w:hAnsi="Arial" w:cs="Arial"/>
          <w:sz w:val="18"/>
          <w:szCs w:val="18"/>
          <w:lang w:val="en-US"/>
        </w:rPr>
      </w:pPr>
      <w:r w:rsidRPr="00634F0E">
        <w:rPr>
          <w:rStyle w:val="FootnoteReference"/>
          <w:rFonts w:ascii="Arial" w:hAnsi="Arial" w:cs="Arial"/>
          <w:sz w:val="18"/>
          <w:szCs w:val="18"/>
        </w:rPr>
        <w:footnoteRef/>
      </w:r>
      <w:r w:rsidRPr="00634F0E">
        <w:rPr>
          <w:rFonts w:ascii="Arial" w:hAnsi="Arial" w:cs="Arial"/>
          <w:sz w:val="18"/>
          <w:szCs w:val="18"/>
          <w:lang w:val="en-US"/>
        </w:rPr>
        <w:t xml:space="preserve"> </w:t>
      </w:r>
      <w:r w:rsidRPr="00634F0E">
        <w:rPr>
          <w:rFonts w:ascii="Arial" w:hAnsi="Arial" w:cs="Arial"/>
          <w:sz w:val="18"/>
          <w:szCs w:val="18"/>
          <w:lang w:val="en-US"/>
        </w:rPr>
        <w:tab/>
      </w:r>
      <w:r w:rsidRPr="00634F0E">
        <w:rPr>
          <w:rFonts w:ascii="Arial" w:hAnsi="Arial" w:cs="Arial"/>
          <w:sz w:val="18"/>
          <w:szCs w:val="18"/>
          <w:lang w:val="en-US"/>
        </w:rPr>
        <w:t xml:space="preserve">Khandker S., Barnes D.F., Samad H., (2013), </w:t>
      </w:r>
      <w:r w:rsidRPr="00634F0E">
        <w:rPr>
          <w:rFonts w:ascii="Arial" w:hAnsi="Arial" w:cs="Arial"/>
          <w:i/>
          <w:sz w:val="18"/>
          <w:szCs w:val="18"/>
          <w:lang w:val="en-US"/>
        </w:rPr>
        <w:t>Welfare Impacts of Rural Electrification: A Panel Data Analysis from Vietnam</w:t>
      </w:r>
      <w:r w:rsidRPr="00634F0E">
        <w:rPr>
          <w:rFonts w:ascii="Arial" w:hAnsi="Arial" w:cs="Arial"/>
          <w:sz w:val="18"/>
          <w:szCs w:val="18"/>
          <w:lang w:val="en-US"/>
        </w:rPr>
        <w:t>, Economic Development and Cultural Change, Vol. 61, No. 3, pp. 659-692.</w:t>
      </w:r>
    </w:p>
  </w:footnote>
  <w:footnote w:id="12">
    <w:p w:rsidRPr="00634F0E" w:rsidR="00B74A1E" w:rsidP="00A374E0" w:rsidRDefault="00B74A1E" w14:paraId="21DCEFB6" w14:textId="77777777">
      <w:pPr>
        <w:pStyle w:val="FootnoteText"/>
        <w:spacing w:after="0"/>
        <w:ind w:hanging="270"/>
        <w:rPr>
          <w:rFonts w:ascii="Arial" w:hAnsi="Arial" w:cs="Arial"/>
          <w:sz w:val="18"/>
          <w:szCs w:val="18"/>
          <w:lang w:val="en-US"/>
        </w:rPr>
      </w:pPr>
      <w:r w:rsidRPr="00634F0E">
        <w:rPr>
          <w:rStyle w:val="FootnoteReference"/>
          <w:rFonts w:ascii="Arial" w:hAnsi="Arial" w:cs="Arial"/>
          <w:sz w:val="18"/>
          <w:szCs w:val="18"/>
        </w:rPr>
        <w:footnoteRef/>
      </w:r>
      <w:r w:rsidRPr="00634F0E">
        <w:rPr>
          <w:rFonts w:ascii="Arial" w:hAnsi="Arial" w:cs="Arial"/>
          <w:sz w:val="18"/>
          <w:szCs w:val="18"/>
          <w:lang w:val="en-US"/>
        </w:rPr>
        <w:t xml:space="preserve"> </w:t>
      </w:r>
      <w:r w:rsidRPr="00634F0E">
        <w:rPr>
          <w:rFonts w:ascii="Arial" w:hAnsi="Arial" w:cs="Arial"/>
          <w:sz w:val="18"/>
          <w:szCs w:val="18"/>
          <w:lang w:val="en-US"/>
        </w:rPr>
        <w:tab/>
      </w:r>
      <w:r w:rsidRPr="00634F0E">
        <w:rPr>
          <w:rFonts w:ascii="Arial" w:hAnsi="Arial" w:cs="Arial"/>
          <w:sz w:val="18"/>
          <w:szCs w:val="18"/>
          <w:lang w:val="en-US"/>
        </w:rPr>
        <w:t xml:space="preserve">Barron M., Torero M., (2014), </w:t>
      </w:r>
      <w:r w:rsidRPr="00634F0E">
        <w:rPr>
          <w:rFonts w:ascii="Arial" w:hAnsi="Arial" w:cs="Arial"/>
          <w:i/>
          <w:sz w:val="18"/>
          <w:szCs w:val="18"/>
          <w:lang w:val="en-US"/>
        </w:rPr>
        <w:t>Short Term Effects of Household Electrification: Experimental Evidence from Northern El Salvador.</w:t>
      </w:r>
      <w:r w:rsidRPr="00634F0E">
        <w:rPr>
          <w:rFonts w:ascii="Arial" w:hAnsi="Arial" w:cs="Arial"/>
          <w:sz w:val="18"/>
          <w:szCs w:val="18"/>
          <w:lang w:val="en-US"/>
        </w:rPr>
        <w:t xml:space="preserve"> </w:t>
      </w:r>
    </w:p>
  </w:footnote>
  <w:footnote w:id="13">
    <w:p w:rsidRPr="00634F0E" w:rsidR="00B74A1E" w:rsidP="00A374E0" w:rsidRDefault="00B74A1E" w14:paraId="33E4E65F" w14:textId="77777777">
      <w:pPr>
        <w:pStyle w:val="FootnoteText"/>
        <w:spacing w:after="0"/>
        <w:rPr>
          <w:rFonts w:ascii="Arial" w:hAnsi="Arial" w:cs="Arial"/>
          <w:sz w:val="18"/>
          <w:szCs w:val="18"/>
          <w:lang w:val="en-US"/>
        </w:rPr>
      </w:pPr>
      <w:r w:rsidRPr="00634F0E">
        <w:rPr>
          <w:rStyle w:val="FootnoteReference"/>
          <w:rFonts w:ascii="Arial" w:hAnsi="Arial" w:cs="Arial"/>
          <w:sz w:val="18"/>
          <w:szCs w:val="18"/>
        </w:rPr>
        <w:footnoteRef/>
      </w:r>
      <w:r w:rsidRPr="00634F0E">
        <w:rPr>
          <w:rFonts w:ascii="Arial" w:hAnsi="Arial" w:cs="Arial"/>
          <w:sz w:val="18"/>
          <w:szCs w:val="18"/>
          <w:lang w:val="en-US"/>
        </w:rPr>
        <w:t xml:space="preserve"> </w:t>
      </w:r>
      <w:r w:rsidRPr="00634F0E">
        <w:rPr>
          <w:rFonts w:ascii="Arial" w:hAnsi="Arial" w:cs="Arial"/>
          <w:sz w:val="18"/>
          <w:szCs w:val="18"/>
          <w:lang w:val="en-US"/>
        </w:rPr>
        <w:tab/>
      </w:r>
      <w:r w:rsidRPr="00634F0E">
        <w:rPr>
          <w:rFonts w:ascii="Arial" w:hAnsi="Arial" w:cs="Arial"/>
          <w:sz w:val="18"/>
          <w:szCs w:val="18"/>
          <w:lang w:val="en-US"/>
        </w:rPr>
        <w:t xml:space="preserve">Dinkelman T., (2010), </w:t>
      </w:r>
      <w:r w:rsidRPr="00634F0E">
        <w:rPr>
          <w:rFonts w:ascii="Arial" w:hAnsi="Arial" w:cs="Arial"/>
          <w:i/>
          <w:sz w:val="18"/>
          <w:szCs w:val="18"/>
          <w:lang w:val="en-US"/>
        </w:rPr>
        <w:t>The Effects of Rural Electrification on Employment: New Evidence from South Africa</w:t>
      </w:r>
      <w:r w:rsidRPr="00634F0E">
        <w:rPr>
          <w:rFonts w:ascii="Arial" w:hAnsi="Arial" w:cs="Arial"/>
          <w:sz w:val="18"/>
          <w:szCs w:val="18"/>
          <w:lang w:val="en-US"/>
        </w:rPr>
        <w:t xml:space="preserve">, Princeton University. </w:t>
      </w:r>
    </w:p>
  </w:footnote>
  <w:footnote w:id="14">
    <w:p w:rsidRPr="00634F0E" w:rsidR="00B74A1E" w:rsidP="00A374E0" w:rsidRDefault="00B74A1E" w14:paraId="6F668866" w14:textId="77777777">
      <w:pPr>
        <w:pStyle w:val="FootnoteText"/>
        <w:spacing w:after="0"/>
        <w:rPr>
          <w:rFonts w:ascii="Arial" w:hAnsi="Arial" w:cs="Arial"/>
          <w:sz w:val="18"/>
          <w:szCs w:val="18"/>
          <w:lang w:val="en-US"/>
        </w:rPr>
      </w:pPr>
      <w:r w:rsidRPr="00634F0E">
        <w:rPr>
          <w:rStyle w:val="FootnoteReference"/>
          <w:rFonts w:ascii="Arial" w:hAnsi="Arial" w:cs="Arial"/>
          <w:sz w:val="18"/>
          <w:szCs w:val="18"/>
        </w:rPr>
        <w:footnoteRef/>
      </w:r>
      <w:r w:rsidRPr="00634F0E">
        <w:rPr>
          <w:rFonts w:ascii="Arial" w:hAnsi="Arial" w:cs="Arial"/>
          <w:sz w:val="18"/>
          <w:szCs w:val="18"/>
          <w:lang w:val="en-US"/>
        </w:rPr>
        <w:t xml:space="preserve"> </w:t>
      </w:r>
      <w:r w:rsidRPr="00634F0E">
        <w:rPr>
          <w:rFonts w:ascii="Arial" w:hAnsi="Arial" w:cs="Arial"/>
          <w:sz w:val="18"/>
          <w:szCs w:val="18"/>
          <w:lang w:val="en-US"/>
        </w:rPr>
        <w:tab/>
      </w:r>
      <w:r w:rsidRPr="00634F0E">
        <w:rPr>
          <w:rFonts w:ascii="Arial" w:hAnsi="Arial" w:cs="Arial"/>
          <w:sz w:val="18"/>
          <w:szCs w:val="18"/>
          <w:lang w:val="en-US"/>
        </w:rPr>
        <w:t xml:space="preserve">Barkat et al.,(2002), </w:t>
      </w:r>
      <w:r w:rsidRPr="00634F0E">
        <w:rPr>
          <w:rFonts w:ascii="Arial" w:hAnsi="Arial" w:cs="Arial"/>
          <w:i/>
          <w:sz w:val="18"/>
          <w:szCs w:val="18"/>
          <w:lang w:val="en-US"/>
        </w:rPr>
        <w:t>Economic and Social Impact Evaluation Study of the Rural Electrification Program in Bangladesh</w:t>
      </w:r>
      <w:r w:rsidRPr="00634F0E">
        <w:rPr>
          <w:rFonts w:ascii="Arial" w:hAnsi="Arial" w:cs="Arial"/>
          <w:sz w:val="18"/>
          <w:szCs w:val="18"/>
          <w:lang w:val="en-US"/>
        </w:rPr>
        <w:t>, NRECA Report.</w:t>
      </w:r>
    </w:p>
  </w:footnote>
  <w:footnote w:id="15">
    <w:p w:rsidRPr="00634F0E" w:rsidR="00B74A1E" w:rsidP="00A374E0" w:rsidRDefault="00B74A1E" w14:paraId="4B8BB29B" w14:textId="77777777">
      <w:pPr>
        <w:pStyle w:val="FootnoteText"/>
        <w:spacing w:after="0"/>
        <w:rPr>
          <w:rFonts w:ascii="Arial" w:hAnsi="Arial" w:cs="Arial"/>
          <w:sz w:val="18"/>
          <w:szCs w:val="18"/>
          <w:lang w:val="en-US"/>
        </w:rPr>
      </w:pPr>
      <w:r w:rsidRPr="00634F0E">
        <w:rPr>
          <w:rStyle w:val="FootnoteReference"/>
          <w:rFonts w:ascii="Arial" w:hAnsi="Arial" w:cs="Arial"/>
          <w:sz w:val="18"/>
          <w:szCs w:val="18"/>
        </w:rPr>
        <w:footnoteRef/>
      </w:r>
      <w:r w:rsidRPr="00634F0E">
        <w:rPr>
          <w:rFonts w:ascii="Arial" w:hAnsi="Arial" w:cs="Arial"/>
          <w:sz w:val="18"/>
          <w:szCs w:val="18"/>
          <w:lang w:val="en-US"/>
        </w:rPr>
        <w:t xml:space="preserve"> </w:t>
      </w:r>
      <w:r w:rsidRPr="00634F0E">
        <w:rPr>
          <w:rFonts w:ascii="Arial" w:hAnsi="Arial" w:cs="Arial"/>
          <w:sz w:val="18"/>
          <w:szCs w:val="18"/>
          <w:lang w:val="en-US"/>
        </w:rPr>
        <w:tab/>
      </w:r>
      <w:r w:rsidRPr="00634F0E">
        <w:rPr>
          <w:rFonts w:ascii="Arial" w:hAnsi="Arial" w:cs="Arial"/>
          <w:sz w:val="18"/>
          <w:szCs w:val="18"/>
          <w:lang w:val="en-US"/>
        </w:rPr>
        <w:t>Assunção et al. Electrification, Agricultural Productivity and Deforestation in Brazil (Working paper).</w:t>
      </w:r>
    </w:p>
  </w:footnote>
  <w:footnote w:id="16">
    <w:p w:rsidRPr="00634F0E" w:rsidR="00B74A1E" w:rsidP="00A374E0" w:rsidRDefault="00B74A1E" w14:paraId="494FC065" w14:textId="51EFF010">
      <w:pPr>
        <w:pStyle w:val="FootnoteText"/>
        <w:spacing w:after="0"/>
        <w:rPr>
          <w:rFonts w:ascii="Arial" w:hAnsi="Arial" w:cs="Arial"/>
          <w:sz w:val="18"/>
          <w:szCs w:val="18"/>
        </w:rPr>
      </w:pPr>
      <w:r w:rsidRPr="00634F0E">
        <w:rPr>
          <w:rStyle w:val="FootnoteReference"/>
          <w:rFonts w:ascii="Arial" w:hAnsi="Arial" w:cs="Arial"/>
          <w:sz w:val="18"/>
          <w:szCs w:val="18"/>
        </w:rPr>
        <w:footnoteRef/>
      </w:r>
      <w:r w:rsidRPr="00634F0E">
        <w:rPr>
          <w:rFonts w:ascii="Arial" w:hAnsi="Arial" w:cs="Arial"/>
          <w:sz w:val="18"/>
          <w:szCs w:val="18"/>
          <w:lang w:val="en-US"/>
        </w:rPr>
        <w:t xml:space="preserve"> </w:t>
      </w:r>
      <w:r w:rsidRPr="00634F0E">
        <w:rPr>
          <w:rFonts w:ascii="Arial" w:hAnsi="Arial" w:cs="Arial"/>
          <w:sz w:val="18"/>
          <w:szCs w:val="18"/>
          <w:lang w:val="en-US"/>
        </w:rPr>
        <w:tab/>
      </w:r>
      <w:r w:rsidRPr="00634F0E">
        <w:rPr>
          <w:rFonts w:ascii="Arial" w:hAnsi="Arial" w:cs="Arial"/>
          <w:sz w:val="18"/>
          <w:szCs w:val="18"/>
          <w:lang w:val="en-US"/>
        </w:rPr>
        <w:t xml:space="preserve">Kirubi, C., Jacobson, A., Kammen, D. M., &amp; Mills, A. (2009). Community-based electric micro-grids can contribute to rural development: evidence from Kenya. </w:t>
      </w:r>
      <w:r>
        <w:rPr>
          <w:rFonts w:ascii="Arial" w:hAnsi="Arial" w:cs="Arial"/>
          <w:sz w:val="18"/>
          <w:szCs w:val="18"/>
        </w:rPr>
        <w:t>World D</w:t>
      </w:r>
      <w:r w:rsidRPr="00634F0E">
        <w:rPr>
          <w:rFonts w:ascii="Arial" w:hAnsi="Arial" w:cs="Arial"/>
          <w:sz w:val="18"/>
          <w:szCs w:val="18"/>
        </w:rPr>
        <w:t>evelopment, 37(7), 1208-1221.</w:t>
      </w:r>
    </w:p>
  </w:footnote>
  <w:footnote w:id="17">
    <w:p w:rsidRPr="00711F22" w:rsidR="00B74A1E" w:rsidP="00FC1579" w:rsidRDefault="00B74A1E" w14:paraId="7DF4F6C6" w14:textId="51A75AD2">
      <w:pPr>
        <w:pStyle w:val="FootnoteText"/>
        <w:ind w:left="360" w:hanging="360"/>
      </w:pPr>
      <w:r w:rsidRPr="3A66673B">
        <w:rPr>
          <w:rStyle w:val="FootnoteReference"/>
          <w:rFonts w:ascii="Arial" w:hAnsi="Arial" w:eastAsia="Arial" w:cs="Arial"/>
        </w:rPr>
        <w:footnoteRef/>
      </w:r>
      <w:r w:rsidRPr="3A66673B">
        <w:rPr>
          <w:rFonts w:ascii="Arial" w:hAnsi="Arial" w:eastAsia="Arial" w:cs="Arial"/>
        </w:rPr>
        <w:t xml:space="preserve"> </w:t>
      </w:r>
      <w:r>
        <w:rPr>
          <w:rFonts w:ascii="Arial" w:hAnsi="Arial" w:eastAsia="Arial" w:cs="Arial"/>
        </w:rPr>
        <w:tab/>
      </w:r>
      <w:r w:rsidRPr="3A66673B">
        <w:rPr>
          <w:rFonts w:ascii="Arial" w:hAnsi="Arial" w:eastAsia="Arial" w:cs="Arial"/>
          <w:sz w:val="18"/>
          <w:szCs w:val="18"/>
        </w:rPr>
        <w:t>La ENEE ha desarrollado proyectos de electrificación rural convencional mediante extensión de red y apoyando soluciones individuales en zonas aisladas.</w:t>
      </w:r>
    </w:p>
  </w:footnote>
  <w:footnote w:id="18">
    <w:p w:rsidRPr="009F1A6C" w:rsidR="00B74A1E" w:rsidRDefault="00B74A1E" w14:paraId="05C9A42F" w14:textId="56F12410">
      <w:pPr>
        <w:pStyle w:val="FootnoteText"/>
      </w:pPr>
      <w:r>
        <w:rPr>
          <w:rStyle w:val="FootnoteReference"/>
        </w:rPr>
        <w:footnoteRef/>
      </w:r>
      <w:r>
        <w:t xml:space="preserve"> </w:t>
      </w:r>
      <w:r w:rsidRPr="00874967">
        <w:tab/>
      </w:r>
      <w:r>
        <w:t>Los precios correspondientes de diesel para la generación térmica fueron 4.26 US$/ galón y 5.35</w:t>
      </w:r>
      <w:r w:rsidRPr="00BE51FE">
        <w:t xml:space="preserve"> </w:t>
      </w:r>
      <w:r>
        <w:t>US$/galón p</w:t>
      </w:r>
      <w:r w:rsidRPr="00874967">
        <w:t xml:space="preserve">ara el caso de Guanaja </w:t>
      </w:r>
      <w:r>
        <w:t>y Brus Laguna</w:t>
      </w:r>
    </w:p>
  </w:footnote>
  <w:footnote w:id="19">
    <w:p w:rsidRPr="004825EB" w:rsidR="00B74A1E" w:rsidRDefault="00B74A1E" w14:paraId="59982BF9" w14:textId="52D7E0ED">
      <w:pPr>
        <w:pStyle w:val="FootnoteText"/>
      </w:pPr>
      <w:r>
        <w:rPr>
          <w:rStyle w:val="FootnoteReference"/>
        </w:rPr>
        <w:footnoteRef/>
      </w:r>
      <w:r>
        <w:t xml:space="preserve"> </w:t>
      </w:r>
      <w:r>
        <w:tab/>
      </w:r>
      <w:r w:rsidRPr="00874967">
        <w:t>El valor del precio internacional d</w:t>
      </w:r>
      <w:r>
        <w:t>el petróleo se ha incrementado en el último periodo, alcanzando valores de 80 US$/ barril, con tendencia al alza</w:t>
      </w:r>
    </w:p>
  </w:footnote>
  <w:footnote w:id="20">
    <w:p w:rsidRPr="00BE51FE" w:rsidR="00B74A1E" w:rsidRDefault="00B74A1E" w14:paraId="5BF21F11" w14:textId="016D09E5">
      <w:pPr>
        <w:pStyle w:val="FootnoteText"/>
      </w:pPr>
      <w:r>
        <w:rPr>
          <w:rStyle w:val="FootnoteReference"/>
        </w:rPr>
        <w:footnoteRef/>
      </w:r>
      <w:r>
        <w:t xml:space="preserve"> </w:t>
      </w:r>
      <w:r w:rsidRPr="00874967">
        <w:t>En las cooperaciones técnicas para l</w:t>
      </w:r>
      <w:r>
        <w:t>a determinación de las inversiones se tomaron en consideración imprevistos, principalmente asociados a los costos de logística y obras civiles para el proyecto.</w:t>
      </w:r>
    </w:p>
  </w:footnote>
  <w:footnote w:id="21">
    <w:p w:rsidRPr="00772393" w:rsidR="00B74A1E" w:rsidRDefault="00B74A1E" w14:paraId="6E2D7FFF" w14:textId="306F1C9F">
      <w:pPr>
        <w:pStyle w:val="FootnoteText"/>
      </w:pPr>
      <w:r>
        <w:rPr>
          <w:rStyle w:val="FootnoteReference"/>
        </w:rPr>
        <w:footnoteRef/>
      </w:r>
      <w:r>
        <w:t xml:space="preserve"> </w:t>
      </w:r>
      <w:r w:rsidRPr="00874967">
        <w:t>Debido a las condiciones logísticas e</w:t>
      </w:r>
      <w:r>
        <w:t>l precio de diesel incluye el costo del diesel internacional importado, los costos de traslado via marítima, lagunar  (en el caso de Brus Laguna) y terrestre (caso de Brus laguna), lo cual hace que el precio del combustible en estos lugares sea mayor al 50% del valore a nivel nacional.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4A1E" w:rsidRDefault="00B74A1E" w14:paraId="7B12FC40" w14:textId="77777777">
    <w:pPr>
      <w:pStyle w:val="Header"/>
      <w:ind w:right="360"/>
      <w:jc w:val="both"/>
      <w:rPr>
        <w:rStyle w:val="PageNumber"/>
        <w:snapToGrid w:val="0"/>
      </w:rPr>
    </w:pPr>
    <w:r>
      <w:rPr>
        <w:rStyle w:val="PageNumber"/>
        <w:snapToGrid w:val="0"/>
      </w:rPr>
      <w:tab/>
    </w:r>
    <w:r>
      <w:rPr>
        <w:rStyle w:val="PageNumber"/>
        <w:snapToGrid w:val="0"/>
      </w:rPr>
      <w:t xml:space="preserve">- </w:t>
    </w:r>
    <w:r>
      <w:rPr>
        <w:rStyle w:val="PageNumber"/>
        <w:snapToGrid w:val="0"/>
      </w:rPr>
      <w:fldChar w:fldCharType="begin"/>
    </w:r>
    <w:r>
      <w:rPr>
        <w:rStyle w:val="PageNumber"/>
        <w:snapToGrid w:val="0"/>
      </w:rPr>
      <w:instrText xml:space="preserve"> PAGE </w:instrText>
    </w:r>
    <w:r>
      <w:rPr>
        <w:rStyle w:val="PageNumber"/>
        <w:snapToGrid w:val="0"/>
      </w:rPr>
      <w:fldChar w:fldCharType="separate"/>
    </w:r>
    <w:r>
      <w:rPr>
        <w:rStyle w:val="PageNumber"/>
        <w:noProof/>
        <w:snapToGrid w:val="0"/>
      </w:rPr>
      <w:t>iii</w:t>
    </w:r>
    <w:r>
      <w:rPr>
        <w:rStyle w:val="PageNumber"/>
        <w:snapToGrid w:val="0"/>
      </w:rPr>
      <w:fldChar w:fldCharType="end"/>
    </w:r>
    <w:r>
      <w:rPr>
        <w:rStyle w:val="PageNumber"/>
        <w:snapToGrid w:val="0"/>
      </w:rPr>
      <w:t xml:space="preserve"> -</w:t>
    </w:r>
  </w:p>
  <w:p w:rsidR="00B74A1E" w:rsidRDefault="00B74A1E" w14:paraId="22642A46" w14:textId="77777777">
    <w:pPr>
      <w:pStyle w:val="Header"/>
      <w:ind w:right="360"/>
      <w:jc w:val="both"/>
      <w:rPr>
        <w:rStyle w:val="PageNumber"/>
        <w:snapToGrid w:val="0"/>
      </w:rPr>
    </w:pPr>
    <w:r>
      <w:rPr>
        <w:rStyle w:val="PageNumber"/>
        <w:snapToGrid w:val="0"/>
      </w:rPr>
      <w:tab/>
    </w:r>
  </w:p>
  <w:p w:rsidR="00B74A1E" w:rsidRDefault="00B74A1E" w14:paraId="77B67F31" w14:textId="77777777">
    <w:pPr>
      <w:pStyle w:val="Header"/>
      <w:ind w:right="360"/>
      <w:jc w:val="both"/>
    </w:pPr>
    <w:r>
      <w:rPr>
        <w:snapToGrid w:val="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Pr="00706FA8" w:rsidR="00B74A1E" w:rsidRDefault="00B74A1E" w14:paraId="6F1DE33F" w14:textId="3269F420">
    <w:pPr>
      <w:pStyle w:val="Header"/>
      <w:jc w:val="center"/>
      <w:rPr>
        <w:rFonts w:ascii="Arial" w:hAnsi="Arial" w:cs="Arial"/>
        <w:snapToGrid w:val="0"/>
        <w:sz w:val="18"/>
      </w:rPr>
    </w:pPr>
    <w:r w:rsidRPr="00706FA8">
      <w:rPr>
        <w:rFonts w:ascii="Arial" w:hAnsi="Arial" w:cs="Arial"/>
        <w:snapToGrid w:val="0"/>
        <w:sz w:val="18"/>
      </w:rPr>
      <w:t xml:space="preserve">- </w:t>
    </w:r>
    <w:r w:rsidRPr="00706FA8">
      <w:rPr>
        <w:rFonts w:ascii="Arial" w:hAnsi="Arial" w:cs="Arial"/>
        <w:snapToGrid w:val="0"/>
        <w:sz w:val="18"/>
      </w:rPr>
      <w:fldChar w:fldCharType="begin"/>
    </w:r>
    <w:r w:rsidRPr="00706FA8">
      <w:rPr>
        <w:rFonts w:ascii="Arial" w:hAnsi="Arial" w:cs="Arial"/>
        <w:snapToGrid w:val="0"/>
        <w:sz w:val="18"/>
      </w:rPr>
      <w:instrText xml:space="preserve"> PAGE </w:instrText>
    </w:r>
    <w:r w:rsidRPr="00706FA8">
      <w:rPr>
        <w:rFonts w:ascii="Arial" w:hAnsi="Arial" w:cs="Arial"/>
        <w:snapToGrid w:val="0"/>
        <w:sz w:val="18"/>
      </w:rPr>
      <w:fldChar w:fldCharType="separate"/>
    </w:r>
    <w:r>
      <w:rPr>
        <w:rFonts w:ascii="Arial" w:hAnsi="Arial" w:cs="Arial"/>
        <w:noProof/>
        <w:snapToGrid w:val="0"/>
        <w:sz w:val="18"/>
      </w:rPr>
      <w:t>ii</w:t>
    </w:r>
    <w:r w:rsidRPr="00706FA8">
      <w:rPr>
        <w:rFonts w:ascii="Arial" w:hAnsi="Arial" w:cs="Arial"/>
        <w:snapToGrid w:val="0"/>
        <w:sz w:val="18"/>
      </w:rPr>
      <w:fldChar w:fldCharType="end"/>
    </w:r>
    <w:r w:rsidRPr="00706FA8">
      <w:rPr>
        <w:rFonts w:ascii="Arial" w:hAnsi="Arial" w:cs="Arial"/>
        <w:snapToGrid w:val="0"/>
        <w:sz w:val="18"/>
      </w:rPr>
      <w:t xml:space="preserve"> - </w:t>
    </w:r>
  </w:p>
  <w:p w:rsidR="00B74A1E" w:rsidRDefault="00B74A1E" w14:paraId="68A3DB20" w14:textId="77777777">
    <w:pPr>
      <w:pStyle w:val="Header"/>
      <w:jc w:val="center"/>
    </w:pPr>
  </w:p>
  <w:p w:rsidR="00B74A1E" w:rsidRDefault="00B74A1E" w14:paraId="711A428C" w14:textId="77777777">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Pr="008175A8" w:rsidR="00B74A1E" w:rsidP="008175A8" w:rsidRDefault="00B74A1E" w14:paraId="62BF6DBB" w14:textId="7777777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4A1E" w:rsidRDefault="00B74A1E" w14:paraId="38AF57EE" w14:textId="77777777">
    <w:pPr>
      <w:pStyle w:val="Header"/>
      <w:framePr w:wrap="around" w:hAnchor="margin" w:vAnchor="text" w:xAlign="center" w:y="1"/>
      <w:rPr>
        <w:rStyle w:val="PageNumber"/>
      </w:rPr>
    </w:pPr>
  </w:p>
  <w:p w:rsidR="00B74A1E" w:rsidRDefault="00B74A1E" w14:paraId="39CD1C4E" w14:textId="77777777">
    <w:pPr>
      <w:pStyle w:val="Header"/>
      <w:ind w:right="360"/>
      <w:jc w:val="both"/>
      <w:rPr>
        <w:rStyle w:val="PageNumber"/>
        <w:snapToGrid w:val="0"/>
      </w:rPr>
    </w:pPr>
    <w:r>
      <w:rPr>
        <w:rStyle w:val="PageNumber"/>
        <w:snapToGrid w:val="0"/>
        <w:sz w:val="20"/>
        <w:lang w:val="es-ES"/>
      </w:rPr>
      <w:t xml:space="preserve">Página </w:t>
    </w:r>
    <w:r>
      <w:rPr>
        <w:rStyle w:val="PageNumber"/>
        <w:snapToGrid w:val="0"/>
        <w:sz w:val="20"/>
        <w:lang w:val="es-ES"/>
      </w:rPr>
      <w:fldChar w:fldCharType="begin"/>
    </w:r>
    <w:r>
      <w:rPr>
        <w:rStyle w:val="PageNumber"/>
        <w:snapToGrid w:val="0"/>
        <w:sz w:val="20"/>
        <w:lang w:val="es-ES"/>
      </w:rPr>
      <w:instrText xml:space="preserve"> PAGE </w:instrText>
    </w:r>
    <w:r>
      <w:rPr>
        <w:rStyle w:val="PageNumber"/>
        <w:snapToGrid w:val="0"/>
        <w:sz w:val="20"/>
        <w:lang w:val="es-ES"/>
      </w:rPr>
      <w:fldChar w:fldCharType="separate"/>
    </w:r>
    <w:r>
      <w:rPr>
        <w:rStyle w:val="PageNumber"/>
        <w:noProof/>
        <w:snapToGrid w:val="0"/>
        <w:sz w:val="20"/>
        <w:lang w:val="es-ES"/>
      </w:rPr>
      <w:t>2</w:t>
    </w:r>
    <w:r>
      <w:rPr>
        <w:rStyle w:val="PageNumber"/>
        <w:snapToGrid w:val="0"/>
        <w:sz w:val="20"/>
        <w:lang w:val="es-ES"/>
      </w:rPr>
      <w:fldChar w:fldCharType="end"/>
    </w:r>
    <w:r>
      <w:rPr>
        <w:rStyle w:val="PageNumber"/>
        <w:snapToGrid w:val="0"/>
        <w:sz w:val="20"/>
        <w:lang w:val="es-ES"/>
      </w:rPr>
      <w:t xml:space="preserve"> de </w:t>
    </w:r>
    <w:r>
      <w:fldChar w:fldCharType="begin"/>
    </w:r>
    <w:r>
      <w:instrText xml:space="preserve"> PAGEREF ESSectionPages  \* MERGEFORMAT </w:instrText>
    </w:r>
    <w:r>
      <w:fldChar w:fldCharType="separate"/>
    </w:r>
    <w:r>
      <w:rPr>
        <w:b/>
        <w:bCs/>
        <w:noProof/>
        <w:lang w:val="en-US"/>
      </w:rPr>
      <w:t>Error! Bookmark not defined.</w:t>
    </w:r>
    <w:r>
      <w:rPr>
        <w:rStyle w:val="PageNumber"/>
        <w:noProof/>
        <w:snapToGrid w:val="0"/>
        <w:sz w:val="20"/>
      </w:rPr>
      <w:fldChar w:fldCharType="end"/>
    </w:r>
  </w:p>
  <w:p w:rsidR="00B74A1E" w:rsidRDefault="00B74A1E" w14:paraId="0CC3A3D2" w14:textId="77777777">
    <w:pPr>
      <w:pStyle w:val="Header"/>
      <w:pBdr>
        <w:top w:val="single" w:color="auto" w:sz="4" w:space="1"/>
      </w:pBdr>
      <w:tabs>
        <w:tab w:val="clear" w:pos="8640"/>
        <w:tab w:val="right" w:pos="8730"/>
      </w:tabs>
      <w:ind w:right="25"/>
      <w:jc w:val="both"/>
      <w:rPr>
        <w:rStyle w:val="PageNumber"/>
        <w:snapToGrid w:val="0"/>
      </w:rPr>
    </w:pPr>
  </w:p>
  <w:p w:rsidR="00B74A1E" w:rsidRDefault="00B74A1E" w14:paraId="48706DB4" w14:textId="77777777">
    <w:pPr>
      <w:pStyle w:val="Header"/>
      <w:ind w:right="360"/>
      <w:jc w:val="both"/>
      <w:rPr>
        <w:rStyle w:val="PageNumber"/>
        <w:snapToGrid w:val="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4A1E" w:rsidRDefault="00B74A1E" w14:paraId="176130CE" w14:textId="77777777">
    <w:pPr>
      <w:pStyle w:val="Header"/>
      <w:ind w:right="360"/>
      <w:jc w:val="right"/>
      <w:rPr>
        <w:snapToGrid w:val="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4A1E" w:rsidRDefault="00B74A1E" w14:paraId="30698BCA" w14:textId="77777777">
    <w:pPr>
      <w:pStyle w:val="Header"/>
    </w:pPr>
    <w:r>
      <w:rPr>
        <w:rStyle w:val="PageNumber"/>
        <w:snapToGrid w:val="0"/>
      </w:rPr>
      <w:tab/>
    </w:r>
    <w:r>
      <w:rPr>
        <w:rStyle w:val="PageNumber"/>
        <w:snapToGrid w:val="0"/>
      </w:rPr>
      <w:tab/>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4A1E" w:rsidRDefault="00B74A1E" w14:paraId="2802FA78" w14:textId="77777777">
    <w:pPr>
      <w:pStyle w:val="Header"/>
      <w:ind w:right="360"/>
      <w:jc w:val="both"/>
    </w:pPr>
  </w:p>
  <w:p w:rsidR="00B74A1E" w:rsidRDefault="00B74A1E" w14:paraId="5193690F" w14:textId="77777777"/>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4A1E" w:rsidP="001B4F67" w:rsidRDefault="00B74A1E" w14:paraId="5608E541" w14:textId="0BCE8726">
    <w:pPr>
      <w:pStyle w:val="Header"/>
      <w:tabs>
        <w:tab w:val="left" w:pos="3840"/>
        <w:tab w:val="center" w:pos="4140"/>
      </w:tabs>
      <w:ind w:right="360"/>
    </w:pPr>
    <w:r>
      <w:rPr>
        <w:snapToGrid w:val="0"/>
      </w:rPr>
      <w:tab/>
    </w:r>
    <w:r w:rsidRPr="00706FA8">
      <w:rPr>
        <w:rFonts w:ascii="Arial" w:hAnsi="Arial" w:cs="Arial"/>
        <w:snapToGrid w:val="0"/>
        <w:sz w:val="18"/>
      </w:rPr>
      <w:tab/>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4A1E" w:rsidRDefault="00B74A1E" w14:paraId="2CBAE891" w14:textId="77777777">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875C87"/>
    <w:multiLevelType w:val="hybridMultilevel"/>
    <w:tmpl w:val="F8545266"/>
    <w:lvl w:ilvl="0" w:tplc="C0A4DD58">
      <w:numFmt w:val="bullet"/>
      <w:lvlText w:val=""/>
      <w:lvlJc w:val="left"/>
      <w:pPr>
        <w:ind w:left="705" w:hanging="525"/>
      </w:pPr>
      <w:rPr>
        <w:rFonts w:hint="default" w:ascii="Symbol" w:hAnsi="Symbol" w:eastAsiaTheme="minorHAnsi" w:cstheme="minorBidi"/>
      </w:rPr>
    </w:lvl>
    <w:lvl w:ilvl="1" w:tplc="240A0001">
      <w:start w:val="1"/>
      <w:numFmt w:val="bullet"/>
      <w:lvlText w:val=""/>
      <w:lvlJc w:val="left"/>
      <w:pPr>
        <w:ind w:left="1260" w:hanging="360"/>
      </w:pPr>
      <w:rPr>
        <w:rFonts w:hint="default" w:ascii="Symbol" w:hAnsi="Symbol"/>
      </w:rPr>
    </w:lvl>
    <w:lvl w:ilvl="2" w:tplc="080A0005">
      <w:start w:val="1"/>
      <w:numFmt w:val="bullet"/>
      <w:lvlText w:val=""/>
      <w:lvlJc w:val="left"/>
      <w:pPr>
        <w:ind w:left="1980" w:hanging="360"/>
      </w:pPr>
      <w:rPr>
        <w:rFonts w:hint="default" w:ascii="Wingdings" w:hAnsi="Wingdings"/>
      </w:rPr>
    </w:lvl>
    <w:lvl w:ilvl="3" w:tplc="080A0001" w:tentative="1">
      <w:start w:val="1"/>
      <w:numFmt w:val="bullet"/>
      <w:lvlText w:val=""/>
      <w:lvlJc w:val="left"/>
      <w:pPr>
        <w:ind w:left="2700" w:hanging="360"/>
      </w:pPr>
      <w:rPr>
        <w:rFonts w:hint="default" w:ascii="Symbol" w:hAnsi="Symbol"/>
      </w:rPr>
    </w:lvl>
    <w:lvl w:ilvl="4" w:tplc="080A0003" w:tentative="1">
      <w:start w:val="1"/>
      <w:numFmt w:val="bullet"/>
      <w:lvlText w:val="o"/>
      <w:lvlJc w:val="left"/>
      <w:pPr>
        <w:ind w:left="3420" w:hanging="360"/>
      </w:pPr>
      <w:rPr>
        <w:rFonts w:hint="default" w:ascii="Courier New" w:hAnsi="Courier New" w:cs="Courier New"/>
      </w:rPr>
    </w:lvl>
    <w:lvl w:ilvl="5" w:tplc="080A0005" w:tentative="1">
      <w:start w:val="1"/>
      <w:numFmt w:val="bullet"/>
      <w:lvlText w:val=""/>
      <w:lvlJc w:val="left"/>
      <w:pPr>
        <w:ind w:left="4140" w:hanging="360"/>
      </w:pPr>
      <w:rPr>
        <w:rFonts w:hint="default" w:ascii="Wingdings" w:hAnsi="Wingdings"/>
      </w:rPr>
    </w:lvl>
    <w:lvl w:ilvl="6" w:tplc="080A0001" w:tentative="1">
      <w:start w:val="1"/>
      <w:numFmt w:val="bullet"/>
      <w:lvlText w:val=""/>
      <w:lvlJc w:val="left"/>
      <w:pPr>
        <w:ind w:left="4860" w:hanging="360"/>
      </w:pPr>
      <w:rPr>
        <w:rFonts w:hint="default" w:ascii="Symbol" w:hAnsi="Symbol"/>
      </w:rPr>
    </w:lvl>
    <w:lvl w:ilvl="7" w:tplc="080A0003" w:tentative="1">
      <w:start w:val="1"/>
      <w:numFmt w:val="bullet"/>
      <w:lvlText w:val="o"/>
      <w:lvlJc w:val="left"/>
      <w:pPr>
        <w:ind w:left="5580" w:hanging="360"/>
      </w:pPr>
      <w:rPr>
        <w:rFonts w:hint="default" w:ascii="Courier New" w:hAnsi="Courier New" w:cs="Courier New"/>
      </w:rPr>
    </w:lvl>
    <w:lvl w:ilvl="8" w:tplc="080A0005" w:tentative="1">
      <w:start w:val="1"/>
      <w:numFmt w:val="bullet"/>
      <w:lvlText w:val=""/>
      <w:lvlJc w:val="left"/>
      <w:pPr>
        <w:ind w:left="6300" w:hanging="360"/>
      </w:pPr>
      <w:rPr>
        <w:rFonts w:hint="default" w:ascii="Wingdings" w:hAnsi="Wingdings"/>
      </w:rPr>
    </w:lvl>
  </w:abstractNum>
  <w:abstractNum w:abstractNumId="1" w15:restartNumberingAfterBreak="0">
    <w:nsid w:val="1EAB336E"/>
    <w:multiLevelType w:val="multilevel"/>
    <w:tmpl w:val="8B863E9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decimal"/>
      <w:lvlText w:val="%8."/>
      <w:lvlJc w:val="left"/>
      <w:pPr>
        <w:ind w:left="2880" w:hanging="360"/>
      </w:pPr>
    </w:lvl>
    <w:lvl w:ilvl="8">
      <w:start w:val="1"/>
      <w:numFmt w:val="lowerRoman"/>
      <w:lvlText w:val="%9."/>
      <w:lvlJc w:val="left"/>
      <w:pPr>
        <w:ind w:left="3240" w:hanging="360"/>
      </w:pPr>
    </w:lvl>
  </w:abstractNum>
  <w:abstractNum w:abstractNumId="2" w15:restartNumberingAfterBreak="0">
    <w:nsid w:val="316370B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59B4991"/>
    <w:multiLevelType w:val="multilevel"/>
    <w:tmpl w:val="05FA8F80"/>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lvlText w:val="%1.%2"/>
      <w:lvlJc w:val="left"/>
      <w:pPr>
        <w:tabs>
          <w:tab w:val="num" w:pos="1656"/>
        </w:tabs>
        <w:ind w:left="1656" w:hanging="1296"/>
      </w:pPr>
      <w:rPr>
        <w:b w:val="0"/>
      </w:r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4" w15:restartNumberingAfterBreak="0">
    <w:nsid w:val="60AE3557"/>
    <w:multiLevelType w:val="multilevel"/>
    <w:tmpl w:val="8B863E9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decimal"/>
      <w:lvlText w:val="%8."/>
      <w:lvlJc w:val="left"/>
      <w:pPr>
        <w:ind w:left="2880" w:hanging="360"/>
      </w:pPr>
    </w:lvl>
    <w:lvl w:ilvl="8">
      <w:start w:val="1"/>
      <w:numFmt w:val="lowerRoman"/>
      <w:lvlText w:val="%9."/>
      <w:lvlJc w:val="left"/>
      <w:pPr>
        <w:ind w:left="3240" w:hanging="360"/>
      </w:pPr>
    </w:lvl>
  </w:abstractNum>
  <w:abstractNum w:abstractNumId="5" w15:restartNumberingAfterBreak="0">
    <w:nsid w:val="61780A2D"/>
    <w:multiLevelType w:val="hybridMultilevel"/>
    <w:tmpl w:val="0A548402"/>
    <w:lvl w:ilvl="0" w:tplc="540A0001">
      <w:start w:val="1"/>
      <w:numFmt w:val="bullet"/>
      <w:lvlText w:val=""/>
      <w:lvlJc w:val="left"/>
      <w:pPr>
        <w:ind w:left="1080" w:hanging="360"/>
      </w:pPr>
      <w:rPr>
        <w:rFonts w:hint="default" w:ascii="Symbol" w:hAnsi="Symbol"/>
      </w:rPr>
    </w:lvl>
    <w:lvl w:ilvl="1" w:tplc="540A0003" w:tentative="1">
      <w:start w:val="1"/>
      <w:numFmt w:val="bullet"/>
      <w:lvlText w:val="o"/>
      <w:lvlJc w:val="left"/>
      <w:pPr>
        <w:ind w:left="1800" w:hanging="360"/>
      </w:pPr>
      <w:rPr>
        <w:rFonts w:hint="default" w:ascii="Courier New" w:hAnsi="Courier New" w:cs="Courier New"/>
      </w:rPr>
    </w:lvl>
    <w:lvl w:ilvl="2" w:tplc="540A0005" w:tentative="1">
      <w:start w:val="1"/>
      <w:numFmt w:val="bullet"/>
      <w:lvlText w:val=""/>
      <w:lvlJc w:val="left"/>
      <w:pPr>
        <w:ind w:left="2520" w:hanging="360"/>
      </w:pPr>
      <w:rPr>
        <w:rFonts w:hint="default" w:ascii="Wingdings" w:hAnsi="Wingdings"/>
      </w:rPr>
    </w:lvl>
    <w:lvl w:ilvl="3" w:tplc="540A0001" w:tentative="1">
      <w:start w:val="1"/>
      <w:numFmt w:val="bullet"/>
      <w:lvlText w:val=""/>
      <w:lvlJc w:val="left"/>
      <w:pPr>
        <w:ind w:left="3240" w:hanging="360"/>
      </w:pPr>
      <w:rPr>
        <w:rFonts w:hint="default" w:ascii="Symbol" w:hAnsi="Symbol"/>
      </w:rPr>
    </w:lvl>
    <w:lvl w:ilvl="4" w:tplc="540A0003" w:tentative="1">
      <w:start w:val="1"/>
      <w:numFmt w:val="bullet"/>
      <w:lvlText w:val="o"/>
      <w:lvlJc w:val="left"/>
      <w:pPr>
        <w:ind w:left="3960" w:hanging="360"/>
      </w:pPr>
      <w:rPr>
        <w:rFonts w:hint="default" w:ascii="Courier New" w:hAnsi="Courier New" w:cs="Courier New"/>
      </w:rPr>
    </w:lvl>
    <w:lvl w:ilvl="5" w:tplc="540A0005" w:tentative="1">
      <w:start w:val="1"/>
      <w:numFmt w:val="bullet"/>
      <w:lvlText w:val=""/>
      <w:lvlJc w:val="left"/>
      <w:pPr>
        <w:ind w:left="4680" w:hanging="360"/>
      </w:pPr>
      <w:rPr>
        <w:rFonts w:hint="default" w:ascii="Wingdings" w:hAnsi="Wingdings"/>
      </w:rPr>
    </w:lvl>
    <w:lvl w:ilvl="6" w:tplc="540A0001" w:tentative="1">
      <w:start w:val="1"/>
      <w:numFmt w:val="bullet"/>
      <w:lvlText w:val=""/>
      <w:lvlJc w:val="left"/>
      <w:pPr>
        <w:ind w:left="5400" w:hanging="360"/>
      </w:pPr>
      <w:rPr>
        <w:rFonts w:hint="default" w:ascii="Symbol" w:hAnsi="Symbol"/>
      </w:rPr>
    </w:lvl>
    <w:lvl w:ilvl="7" w:tplc="540A0003" w:tentative="1">
      <w:start w:val="1"/>
      <w:numFmt w:val="bullet"/>
      <w:lvlText w:val="o"/>
      <w:lvlJc w:val="left"/>
      <w:pPr>
        <w:ind w:left="6120" w:hanging="360"/>
      </w:pPr>
      <w:rPr>
        <w:rFonts w:hint="default" w:ascii="Courier New" w:hAnsi="Courier New" w:cs="Courier New"/>
      </w:rPr>
    </w:lvl>
    <w:lvl w:ilvl="8" w:tplc="540A0005" w:tentative="1">
      <w:start w:val="1"/>
      <w:numFmt w:val="bullet"/>
      <w:lvlText w:val=""/>
      <w:lvlJc w:val="left"/>
      <w:pPr>
        <w:ind w:left="6840" w:hanging="360"/>
      </w:pPr>
      <w:rPr>
        <w:rFonts w:hint="default" w:ascii="Wingdings" w:hAnsi="Wingdings"/>
      </w:rPr>
    </w:lvl>
  </w:abstractNum>
  <w:abstractNum w:abstractNumId="6" w15:restartNumberingAfterBreak="0">
    <w:nsid w:val="6D0B0E37"/>
    <w:multiLevelType w:val="multilevel"/>
    <w:tmpl w:val="1BCA9B94"/>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upperRoman"/>
      <w:lvlText w:val="%8."/>
      <w:lvlJc w:val="right"/>
      <w:pPr>
        <w:ind w:left="3744" w:hanging="1224"/>
      </w:pPr>
    </w:lvl>
    <w:lvl w:ilvl="8">
      <w:start w:val="1"/>
      <w:numFmt w:val="decimal"/>
      <w:lvlText w:val="%1.%2.%3.%4.%5.%6.%7.%8.%9."/>
      <w:lvlJc w:val="left"/>
      <w:pPr>
        <w:ind w:left="4320" w:hanging="1440"/>
      </w:pPr>
    </w:lvl>
  </w:abstractNum>
  <w:abstractNum w:abstractNumId="7" w15:restartNumberingAfterBreak="0">
    <w:nsid w:val="74441DC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3"/>
  </w:num>
  <w:num w:numId="3">
    <w:abstractNumId w:val="5"/>
  </w:num>
  <w:num w:numId="4">
    <w:abstractNumId w:val="0"/>
  </w:num>
  <w:num w:numId="5">
    <w:abstractNumId w:val="3"/>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2"/>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7"/>
  </w:num>
  <w:num w:numId="14">
    <w:abstractNumId w:val="1"/>
  </w:num>
  <w:num w:numId="15">
    <w:abstractNumId w:val="4"/>
  </w:num>
  <w:numIdMacAtCleanup w:val="4"/>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00"/>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751C"/>
    <w:rsid w:val="000032CC"/>
    <w:rsid w:val="00003613"/>
    <w:rsid w:val="0000398A"/>
    <w:rsid w:val="00003B36"/>
    <w:rsid w:val="00005A2A"/>
    <w:rsid w:val="00005BE6"/>
    <w:rsid w:val="000101FB"/>
    <w:rsid w:val="00012402"/>
    <w:rsid w:val="000141C7"/>
    <w:rsid w:val="0001519E"/>
    <w:rsid w:val="0002020D"/>
    <w:rsid w:val="000250A5"/>
    <w:rsid w:val="00025F9F"/>
    <w:rsid w:val="00030AD3"/>
    <w:rsid w:val="00031679"/>
    <w:rsid w:val="00034A37"/>
    <w:rsid w:val="00034B0A"/>
    <w:rsid w:val="00036128"/>
    <w:rsid w:val="00036843"/>
    <w:rsid w:val="00037E95"/>
    <w:rsid w:val="00040043"/>
    <w:rsid w:val="00040490"/>
    <w:rsid w:val="000415F0"/>
    <w:rsid w:val="00041B48"/>
    <w:rsid w:val="000420CC"/>
    <w:rsid w:val="000438F7"/>
    <w:rsid w:val="00043F2F"/>
    <w:rsid w:val="00046109"/>
    <w:rsid w:val="00046E14"/>
    <w:rsid w:val="00052D8D"/>
    <w:rsid w:val="00053201"/>
    <w:rsid w:val="00055E21"/>
    <w:rsid w:val="00056014"/>
    <w:rsid w:val="00057A4A"/>
    <w:rsid w:val="00057C11"/>
    <w:rsid w:val="00060908"/>
    <w:rsid w:val="00060BE1"/>
    <w:rsid w:val="0006112F"/>
    <w:rsid w:val="000615F5"/>
    <w:rsid w:val="0006356C"/>
    <w:rsid w:val="000636B9"/>
    <w:rsid w:val="00065094"/>
    <w:rsid w:val="00067023"/>
    <w:rsid w:val="000705F5"/>
    <w:rsid w:val="00070B8F"/>
    <w:rsid w:val="00071753"/>
    <w:rsid w:val="00074226"/>
    <w:rsid w:val="000765F1"/>
    <w:rsid w:val="000839F7"/>
    <w:rsid w:val="00084081"/>
    <w:rsid w:val="00084EC7"/>
    <w:rsid w:val="00084FA6"/>
    <w:rsid w:val="00086B78"/>
    <w:rsid w:val="00090951"/>
    <w:rsid w:val="0009312F"/>
    <w:rsid w:val="000936C2"/>
    <w:rsid w:val="000943D1"/>
    <w:rsid w:val="0009550E"/>
    <w:rsid w:val="000A123D"/>
    <w:rsid w:val="000A3533"/>
    <w:rsid w:val="000A3685"/>
    <w:rsid w:val="000A3ABD"/>
    <w:rsid w:val="000A5425"/>
    <w:rsid w:val="000A57EB"/>
    <w:rsid w:val="000A65AC"/>
    <w:rsid w:val="000B1E0B"/>
    <w:rsid w:val="000B4434"/>
    <w:rsid w:val="000B7AF4"/>
    <w:rsid w:val="000C42F4"/>
    <w:rsid w:val="000C58FD"/>
    <w:rsid w:val="000C67E7"/>
    <w:rsid w:val="000C6BE2"/>
    <w:rsid w:val="000C6FE1"/>
    <w:rsid w:val="000D039E"/>
    <w:rsid w:val="000D0A51"/>
    <w:rsid w:val="000D0C96"/>
    <w:rsid w:val="000D2C1F"/>
    <w:rsid w:val="000D3BCC"/>
    <w:rsid w:val="000D4844"/>
    <w:rsid w:val="000E05AC"/>
    <w:rsid w:val="000E193B"/>
    <w:rsid w:val="000E26B6"/>
    <w:rsid w:val="000E2AEA"/>
    <w:rsid w:val="000E2F15"/>
    <w:rsid w:val="000E4A38"/>
    <w:rsid w:val="000E578D"/>
    <w:rsid w:val="000F015E"/>
    <w:rsid w:val="000F0425"/>
    <w:rsid w:val="000F1C95"/>
    <w:rsid w:val="000F1D2B"/>
    <w:rsid w:val="000F242B"/>
    <w:rsid w:val="000F3059"/>
    <w:rsid w:val="000F5472"/>
    <w:rsid w:val="000F626A"/>
    <w:rsid w:val="000F6493"/>
    <w:rsid w:val="000F699A"/>
    <w:rsid w:val="00102DAE"/>
    <w:rsid w:val="00103957"/>
    <w:rsid w:val="00106820"/>
    <w:rsid w:val="001101FD"/>
    <w:rsid w:val="001111EF"/>
    <w:rsid w:val="00113C53"/>
    <w:rsid w:val="00113DDC"/>
    <w:rsid w:val="00114BEC"/>
    <w:rsid w:val="00115832"/>
    <w:rsid w:val="001162B9"/>
    <w:rsid w:val="00120128"/>
    <w:rsid w:val="00120A7E"/>
    <w:rsid w:val="00121A7F"/>
    <w:rsid w:val="00122050"/>
    <w:rsid w:val="001237DA"/>
    <w:rsid w:val="0013336A"/>
    <w:rsid w:val="0013469A"/>
    <w:rsid w:val="001362B3"/>
    <w:rsid w:val="00137375"/>
    <w:rsid w:val="001426C5"/>
    <w:rsid w:val="00143C6F"/>
    <w:rsid w:val="001452D2"/>
    <w:rsid w:val="001469BA"/>
    <w:rsid w:val="00151C58"/>
    <w:rsid w:val="00153752"/>
    <w:rsid w:val="001547A4"/>
    <w:rsid w:val="00154985"/>
    <w:rsid w:val="00160BAC"/>
    <w:rsid w:val="0016255E"/>
    <w:rsid w:val="00163041"/>
    <w:rsid w:val="00163272"/>
    <w:rsid w:val="0016408A"/>
    <w:rsid w:val="00165C47"/>
    <w:rsid w:val="00175C6F"/>
    <w:rsid w:val="00177ABA"/>
    <w:rsid w:val="00180933"/>
    <w:rsid w:val="0018233D"/>
    <w:rsid w:val="00182D05"/>
    <w:rsid w:val="00183139"/>
    <w:rsid w:val="001870DE"/>
    <w:rsid w:val="00187543"/>
    <w:rsid w:val="001A1738"/>
    <w:rsid w:val="001A46A4"/>
    <w:rsid w:val="001A4D8E"/>
    <w:rsid w:val="001A5E09"/>
    <w:rsid w:val="001A7ADF"/>
    <w:rsid w:val="001A7CDA"/>
    <w:rsid w:val="001B1DC9"/>
    <w:rsid w:val="001B2ADE"/>
    <w:rsid w:val="001B30FF"/>
    <w:rsid w:val="001B31BA"/>
    <w:rsid w:val="001B33D1"/>
    <w:rsid w:val="001B37BA"/>
    <w:rsid w:val="001B4F67"/>
    <w:rsid w:val="001B545D"/>
    <w:rsid w:val="001B6CB4"/>
    <w:rsid w:val="001C3038"/>
    <w:rsid w:val="001C621E"/>
    <w:rsid w:val="001C6792"/>
    <w:rsid w:val="001D1031"/>
    <w:rsid w:val="001D1D7E"/>
    <w:rsid w:val="001D3282"/>
    <w:rsid w:val="001D3475"/>
    <w:rsid w:val="001D4153"/>
    <w:rsid w:val="001E024E"/>
    <w:rsid w:val="001E1865"/>
    <w:rsid w:val="001E201F"/>
    <w:rsid w:val="001E3D18"/>
    <w:rsid w:val="001E544C"/>
    <w:rsid w:val="001F0D62"/>
    <w:rsid w:val="001F2A6F"/>
    <w:rsid w:val="001F3D46"/>
    <w:rsid w:val="001F47BE"/>
    <w:rsid w:val="001F7BCB"/>
    <w:rsid w:val="00201038"/>
    <w:rsid w:val="00201989"/>
    <w:rsid w:val="00202FD9"/>
    <w:rsid w:val="002053DC"/>
    <w:rsid w:val="0020632B"/>
    <w:rsid w:val="00207AEA"/>
    <w:rsid w:val="00210879"/>
    <w:rsid w:val="00211FF3"/>
    <w:rsid w:val="002136CC"/>
    <w:rsid w:val="002138BB"/>
    <w:rsid w:val="00214F10"/>
    <w:rsid w:val="00215E2B"/>
    <w:rsid w:val="002168E0"/>
    <w:rsid w:val="002169EB"/>
    <w:rsid w:val="00216DC8"/>
    <w:rsid w:val="0022111F"/>
    <w:rsid w:val="0022458D"/>
    <w:rsid w:val="00224F5B"/>
    <w:rsid w:val="0022695C"/>
    <w:rsid w:val="00226B71"/>
    <w:rsid w:val="00230A54"/>
    <w:rsid w:val="00231A1F"/>
    <w:rsid w:val="00232AAC"/>
    <w:rsid w:val="0023376A"/>
    <w:rsid w:val="002346DA"/>
    <w:rsid w:val="00235356"/>
    <w:rsid w:val="00235C23"/>
    <w:rsid w:val="00235D5B"/>
    <w:rsid w:val="00237BC0"/>
    <w:rsid w:val="00240095"/>
    <w:rsid w:val="00240B67"/>
    <w:rsid w:val="00241F17"/>
    <w:rsid w:val="00242AFC"/>
    <w:rsid w:val="00242DCF"/>
    <w:rsid w:val="0024454C"/>
    <w:rsid w:val="00246B1F"/>
    <w:rsid w:val="00247C06"/>
    <w:rsid w:val="00251388"/>
    <w:rsid w:val="00252AC4"/>
    <w:rsid w:val="00254FAE"/>
    <w:rsid w:val="00255F60"/>
    <w:rsid w:val="002563F7"/>
    <w:rsid w:val="00257B3A"/>
    <w:rsid w:val="002610FC"/>
    <w:rsid w:val="00262B5D"/>
    <w:rsid w:val="00267B87"/>
    <w:rsid w:val="00270ABF"/>
    <w:rsid w:val="0027257F"/>
    <w:rsid w:val="00273A24"/>
    <w:rsid w:val="00274067"/>
    <w:rsid w:val="002753C5"/>
    <w:rsid w:val="00275DC1"/>
    <w:rsid w:val="00277AC8"/>
    <w:rsid w:val="00277C59"/>
    <w:rsid w:val="00282741"/>
    <w:rsid w:val="00285E70"/>
    <w:rsid w:val="00287710"/>
    <w:rsid w:val="00287E63"/>
    <w:rsid w:val="00290D32"/>
    <w:rsid w:val="002916B4"/>
    <w:rsid w:val="00295292"/>
    <w:rsid w:val="00296191"/>
    <w:rsid w:val="002A0B04"/>
    <w:rsid w:val="002A3A24"/>
    <w:rsid w:val="002A6F44"/>
    <w:rsid w:val="002B1842"/>
    <w:rsid w:val="002B1B3E"/>
    <w:rsid w:val="002B4CF0"/>
    <w:rsid w:val="002B4D63"/>
    <w:rsid w:val="002B50F6"/>
    <w:rsid w:val="002B614A"/>
    <w:rsid w:val="002B64E3"/>
    <w:rsid w:val="002B76CB"/>
    <w:rsid w:val="002C01D2"/>
    <w:rsid w:val="002C05D3"/>
    <w:rsid w:val="002C119D"/>
    <w:rsid w:val="002C4AEF"/>
    <w:rsid w:val="002D1B2E"/>
    <w:rsid w:val="002D5913"/>
    <w:rsid w:val="002D5CB6"/>
    <w:rsid w:val="002D7DCB"/>
    <w:rsid w:val="002E234F"/>
    <w:rsid w:val="002E3603"/>
    <w:rsid w:val="002E4CC6"/>
    <w:rsid w:val="002E66B7"/>
    <w:rsid w:val="002E6FDE"/>
    <w:rsid w:val="002F03E5"/>
    <w:rsid w:val="002F1961"/>
    <w:rsid w:val="002F2E55"/>
    <w:rsid w:val="002F677E"/>
    <w:rsid w:val="002F69AD"/>
    <w:rsid w:val="002F6A3A"/>
    <w:rsid w:val="002F6AF2"/>
    <w:rsid w:val="00300333"/>
    <w:rsid w:val="00302961"/>
    <w:rsid w:val="00303AE9"/>
    <w:rsid w:val="00305426"/>
    <w:rsid w:val="00311735"/>
    <w:rsid w:val="003146AC"/>
    <w:rsid w:val="003168D8"/>
    <w:rsid w:val="00316DB4"/>
    <w:rsid w:val="00320C3F"/>
    <w:rsid w:val="00321456"/>
    <w:rsid w:val="003224B7"/>
    <w:rsid w:val="003338EA"/>
    <w:rsid w:val="00334467"/>
    <w:rsid w:val="00334B91"/>
    <w:rsid w:val="003352B2"/>
    <w:rsid w:val="00340D54"/>
    <w:rsid w:val="003414E3"/>
    <w:rsid w:val="00342094"/>
    <w:rsid w:val="0034312B"/>
    <w:rsid w:val="00343219"/>
    <w:rsid w:val="00343BDD"/>
    <w:rsid w:val="00343DFC"/>
    <w:rsid w:val="00344301"/>
    <w:rsid w:val="00344457"/>
    <w:rsid w:val="0034650B"/>
    <w:rsid w:val="00347425"/>
    <w:rsid w:val="0034746A"/>
    <w:rsid w:val="003474DA"/>
    <w:rsid w:val="00350250"/>
    <w:rsid w:val="00352369"/>
    <w:rsid w:val="003530BB"/>
    <w:rsid w:val="00356743"/>
    <w:rsid w:val="0036172D"/>
    <w:rsid w:val="00362220"/>
    <w:rsid w:val="00363C51"/>
    <w:rsid w:val="003648D6"/>
    <w:rsid w:val="00365D27"/>
    <w:rsid w:val="003710BF"/>
    <w:rsid w:val="0037226C"/>
    <w:rsid w:val="00373CA5"/>
    <w:rsid w:val="003749D5"/>
    <w:rsid w:val="003761F7"/>
    <w:rsid w:val="00377ECF"/>
    <w:rsid w:val="0038109A"/>
    <w:rsid w:val="00381B93"/>
    <w:rsid w:val="00382BA1"/>
    <w:rsid w:val="00382FEA"/>
    <w:rsid w:val="00385807"/>
    <w:rsid w:val="00386E96"/>
    <w:rsid w:val="003907AE"/>
    <w:rsid w:val="00391302"/>
    <w:rsid w:val="003944F9"/>
    <w:rsid w:val="003A2AA8"/>
    <w:rsid w:val="003A2D4E"/>
    <w:rsid w:val="003A2FA5"/>
    <w:rsid w:val="003A5863"/>
    <w:rsid w:val="003A7D30"/>
    <w:rsid w:val="003B0022"/>
    <w:rsid w:val="003B1B94"/>
    <w:rsid w:val="003B2507"/>
    <w:rsid w:val="003B2E9C"/>
    <w:rsid w:val="003B46AC"/>
    <w:rsid w:val="003B7CEE"/>
    <w:rsid w:val="003C2AAF"/>
    <w:rsid w:val="003C73CE"/>
    <w:rsid w:val="003C7771"/>
    <w:rsid w:val="003D2188"/>
    <w:rsid w:val="003D2300"/>
    <w:rsid w:val="003D5631"/>
    <w:rsid w:val="003D66FF"/>
    <w:rsid w:val="003E24B8"/>
    <w:rsid w:val="003E3D4C"/>
    <w:rsid w:val="003E5C50"/>
    <w:rsid w:val="003F2560"/>
    <w:rsid w:val="00403FF0"/>
    <w:rsid w:val="00404425"/>
    <w:rsid w:val="004045EC"/>
    <w:rsid w:val="00404E56"/>
    <w:rsid w:val="00407024"/>
    <w:rsid w:val="00410F42"/>
    <w:rsid w:val="00411564"/>
    <w:rsid w:val="0041196E"/>
    <w:rsid w:val="00411AFB"/>
    <w:rsid w:val="0041367D"/>
    <w:rsid w:val="004172EA"/>
    <w:rsid w:val="00417A06"/>
    <w:rsid w:val="00423432"/>
    <w:rsid w:val="00424ED7"/>
    <w:rsid w:val="00425ED8"/>
    <w:rsid w:val="004264C7"/>
    <w:rsid w:val="00427B5E"/>
    <w:rsid w:val="004303CC"/>
    <w:rsid w:val="00430F4E"/>
    <w:rsid w:val="0043233A"/>
    <w:rsid w:val="00434AB4"/>
    <w:rsid w:val="00435BF1"/>
    <w:rsid w:val="00440CC7"/>
    <w:rsid w:val="004419CE"/>
    <w:rsid w:val="00442AEE"/>
    <w:rsid w:val="00447AEA"/>
    <w:rsid w:val="00447D6C"/>
    <w:rsid w:val="00452976"/>
    <w:rsid w:val="0045438B"/>
    <w:rsid w:val="00454C52"/>
    <w:rsid w:val="0046144F"/>
    <w:rsid w:val="00461841"/>
    <w:rsid w:val="00463E09"/>
    <w:rsid w:val="00465554"/>
    <w:rsid w:val="00465A6A"/>
    <w:rsid w:val="00466269"/>
    <w:rsid w:val="0046661A"/>
    <w:rsid w:val="00467365"/>
    <w:rsid w:val="004675A5"/>
    <w:rsid w:val="004676E9"/>
    <w:rsid w:val="00472276"/>
    <w:rsid w:val="00472E37"/>
    <w:rsid w:val="00473621"/>
    <w:rsid w:val="00474979"/>
    <w:rsid w:val="004756C5"/>
    <w:rsid w:val="00476096"/>
    <w:rsid w:val="004800F2"/>
    <w:rsid w:val="004825EB"/>
    <w:rsid w:val="00482825"/>
    <w:rsid w:val="00482D05"/>
    <w:rsid w:val="00483AC5"/>
    <w:rsid w:val="0048453C"/>
    <w:rsid w:val="00485858"/>
    <w:rsid w:val="00490524"/>
    <w:rsid w:val="00490D02"/>
    <w:rsid w:val="0049453D"/>
    <w:rsid w:val="004974CE"/>
    <w:rsid w:val="004A0D49"/>
    <w:rsid w:val="004A20FE"/>
    <w:rsid w:val="004A2D28"/>
    <w:rsid w:val="004A4D0F"/>
    <w:rsid w:val="004A5AAD"/>
    <w:rsid w:val="004A78A3"/>
    <w:rsid w:val="004B4E44"/>
    <w:rsid w:val="004B5EA9"/>
    <w:rsid w:val="004B6177"/>
    <w:rsid w:val="004B710A"/>
    <w:rsid w:val="004C4B96"/>
    <w:rsid w:val="004C6DD9"/>
    <w:rsid w:val="004C7EE0"/>
    <w:rsid w:val="004D1867"/>
    <w:rsid w:val="004D21CF"/>
    <w:rsid w:val="004D3933"/>
    <w:rsid w:val="004D5E58"/>
    <w:rsid w:val="004D6E46"/>
    <w:rsid w:val="004D757D"/>
    <w:rsid w:val="004E0946"/>
    <w:rsid w:val="004E11FF"/>
    <w:rsid w:val="004E33E2"/>
    <w:rsid w:val="004E35AD"/>
    <w:rsid w:val="004E36E4"/>
    <w:rsid w:val="004E3EE8"/>
    <w:rsid w:val="004E4AB8"/>
    <w:rsid w:val="004E5268"/>
    <w:rsid w:val="004E59E1"/>
    <w:rsid w:val="004E7CB5"/>
    <w:rsid w:val="004F0BD1"/>
    <w:rsid w:val="004F3B01"/>
    <w:rsid w:val="004F4EF7"/>
    <w:rsid w:val="004F52BD"/>
    <w:rsid w:val="004F63E0"/>
    <w:rsid w:val="004F6F65"/>
    <w:rsid w:val="004F7E3B"/>
    <w:rsid w:val="00503EC7"/>
    <w:rsid w:val="00506081"/>
    <w:rsid w:val="0050795C"/>
    <w:rsid w:val="00510696"/>
    <w:rsid w:val="00514D3C"/>
    <w:rsid w:val="00514EFB"/>
    <w:rsid w:val="0051612D"/>
    <w:rsid w:val="00516187"/>
    <w:rsid w:val="00517FD0"/>
    <w:rsid w:val="00520AAC"/>
    <w:rsid w:val="0052133D"/>
    <w:rsid w:val="005220B8"/>
    <w:rsid w:val="00524BD6"/>
    <w:rsid w:val="00524DCC"/>
    <w:rsid w:val="00525921"/>
    <w:rsid w:val="005265BB"/>
    <w:rsid w:val="00526E4E"/>
    <w:rsid w:val="005300D2"/>
    <w:rsid w:val="00531BF9"/>
    <w:rsid w:val="005324A3"/>
    <w:rsid w:val="0053385E"/>
    <w:rsid w:val="00535152"/>
    <w:rsid w:val="00535970"/>
    <w:rsid w:val="0053638D"/>
    <w:rsid w:val="00540265"/>
    <w:rsid w:val="00540432"/>
    <w:rsid w:val="00540ED9"/>
    <w:rsid w:val="00544C7D"/>
    <w:rsid w:val="00545A16"/>
    <w:rsid w:val="00545CAA"/>
    <w:rsid w:val="00546117"/>
    <w:rsid w:val="00547157"/>
    <w:rsid w:val="00547CB8"/>
    <w:rsid w:val="00551224"/>
    <w:rsid w:val="0055126D"/>
    <w:rsid w:val="005525E9"/>
    <w:rsid w:val="0055657A"/>
    <w:rsid w:val="005566FB"/>
    <w:rsid w:val="0055718B"/>
    <w:rsid w:val="00557EE1"/>
    <w:rsid w:val="005635F5"/>
    <w:rsid w:val="00564B13"/>
    <w:rsid w:val="00564BA7"/>
    <w:rsid w:val="0056711E"/>
    <w:rsid w:val="0056775B"/>
    <w:rsid w:val="00570867"/>
    <w:rsid w:val="005709B2"/>
    <w:rsid w:val="005709B9"/>
    <w:rsid w:val="00572496"/>
    <w:rsid w:val="00572B24"/>
    <w:rsid w:val="0057314E"/>
    <w:rsid w:val="005738B4"/>
    <w:rsid w:val="00576079"/>
    <w:rsid w:val="005771F5"/>
    <w:rsid w:val="00577709"/>
    <w:rsid w:val="0058070F"/>
    <w:rsid w:val="00580978"/>
    <w:rsid w:val="00580A29"/>
    <w:rsid w:val="0058292D"/>
    <w:rsid w:val="00582F49"/>
    <w:rsid w:val="005867A0"/>
    <w:rsid w:val="00586810"/>
    <w:rsid w:val="00586D57"/>
    <w:rsid w:val="00590B8F"/>
    <w:rsid w:val="005910CE"/>
    <w:rsid w:val="00591C5E"/>
    <w:rsid w:val="005929E8"/>
    <w:rsid w:val="00592A81"/>
    <w:rsid w:val="0059318E"/>
    <w:rsid w:val="005943B9"/>
    <w:rsid w:val="005962F5"/>
    <w:rsid w:val="005979F3"/>
    <w:rsid w:val="005A10C6"/>
    <w:rsid w:val="005A2BAB"/>
    <w:rsid w:val="005A40C1"/>
    <w:rsid w:val="005A4682"/>
    <w:rsid w:val="005A5C81"/>
    <w:rsid w:val="005A5D63"/>
    <w:rsid w:val="005A6758"/>
    <w:rsid w:val="005A6E5B"/>
    <w:rsid w:val="005A799F"/>
    <w:rsid w:val="005B0265"/>
    <w:rsid w:val="005B02D9"/>
    <w:rsid w:val="005B1809"/>
    <w:rsid w:val="005B304E"/>
    <w:rsid w:val="005B669F"/>
    <w:rsid w:val="005B71AC"/>
    <w:rsid w:val="005C17E4"/>
    <w:rsid w:val="005C1A79"/>
    <w:rsid w:val="005C2D07"/>
    <w:rsid w:val="005C2DDC"/>
    <w:rsid w:val="005C2F4E"/>
    <w:rsid w:val="005C43DB"/>
    <w:rsid w:val="005C6FDE"/>
    <w:rsid w:val="005C763C"/>
    <w:rsid w:val="005C7725"/>
    <w:rsid w:val="005D0FC3"/>
    <w:rsid w:val="005D42D3"/>
    <w:rsid w:val="005D6E69"/>
    <w:rsid w:val="005D7533"/>
    <w:rsid w:val="005E21D7"/>
    <w:rsid w:val="005E3690"/>
    <w:rsid w:val="005E4DEC"/>
    <w:rsid w:val="005E5E9E"/>
    <w:rsid w:val="005F3ED6"/>
    <w:rsid w:val="005F3F4C"/>
    <w:rsid w:val="005F5B25"/>
    <w:rsid w:val="005F71FD"/>
    <w:rsid w:val="0060383A"/>
    <w:rsid w:val="006059BF"/>
    <w:rsid w:val="00606827"/>
    <w:rsid w:val="00610E7F"/>
    <w:rsid w:val="00611233"/>
    <w:rsid w:val="00613741"/>
    <w:rsid w:val="006142E0"/>
    <w:rsid w:val="006177D3"/>
    <w:rsid w:val="0062273E"/>
    <w:rsid w:val="00622F78"/>
    <w:rsid w:val="00623467"/>
    <w:rsid w:val="00623AD4"/>
    <w:rsid w:val="00624A5C"/>
    <w:rsid w:val="0062667F"/>
    <w:rsid w:val="00630C7C"/>
    <w:rsid w:val="00632F09"/>
    <w:rsid w:val="0063389E"/>
    <w:rsid w:val="00636D8A"/>
    <w:rsid w:val="0063764A"/>
    <w:rsid w:val="0064158B"/>
    <w:rsid w:val="006419D3"/>
    <w:rsid w:val="00641EE7"/>
    <w:rsid w:val="00642A05"/>
    <w:rsid w:val="00644A7C"/>
    <w:rsid w:val="00644EBD"/>
    <w:rsid w:val="006473D6"/>
    <w:rsid w:val="00652385"/>
    <w:rsid w:val="0065362C"/>
    <w:rsid w:val="006551DF"/>
    <w:rsid w:val="00655C7B"/>
    <w:rsid w:val="006629E2"/>
    <w:rsid w:val="00664BF9"/>
    <w:rsid w:val="00665A66"/>
    <w:rsid w:val="00667E0D"/>
    <w:rsid w:val="00670017"/>
    <w:rsid w:val="0067178A"/>
    <w:rsid w:val="00671A1D"/>
    <w:rsid w:val="00671F1C"/>
    <w:rsid w:val="006723AC"/>
    <w:rsid w:val="00672854"/>
    <w:rsid w:val="00673242"/>
    <w:rsid w:val="0067795C"/>
    <w:rsid w:val="00677D8B"/>
    <w:rsid w:val="006800FC"/>
    <w:rsid w:val="00682A5C"/>
    <w:rsid w:val="00683DA9"/>
    <w:rsid w:val="00685181"/>
    <w:rsid w:val="00693A3F"/>
    <w:rsid w:val="00695498"/>
    <w:rsid w:val="00695E68"/>
    <w:rsid w:val="00696296"/>
    <w:rsid w:val="0069663A"/>
    <w:rsid w:val="006A2C47"/>
    <w:rsid w:val="006A3D1A"/>
    <w:rsid w:val="006A417F"/>
    <w:rsid w:val="006A4C86"/>
    <w:rsid w:val="006B24F3"/>
    <w:rsid w:val="006B2979"/>
    <w:rsid w:val="006B5733"/>
    <w:rsid w:val="006B7D03"/>
    <w:rsid w:val="006C2A1D"/>
    <w:rsid w:val="006D168A"/>
    <w:rsid w:val="006D3107"/>
    <w:rsid w:val="006D773E"/>
    <w:rsid w:val="006D7BA6"/>
    <w:rsid w:val="006E0C0D"/>
    <w:rsid w:val="006E1CDD"/>
    <w:rsid w:val="006E7410"/>
    <w:rsid w:val="006F162B"/>
    <w:rsid w:val="006F41D8"/>
    <w:rsid w:val="006F48E2"/>
    <w:rsid w:val="006F51F8"/>
    <w:rsid w:val="006F5DE4"/>
    <w:rsid w:val="006F677E"/>
    <w:rsid w:val="006F71C3"/>
    <w:rsid w:val="006F7E6A"/>
    <w:rsid w:val="007004F6"/>
    <w:rsid w:val="007005CC"/>
    <w:rsid w:val="007018A5"/>
    <w:rsid w:val="00701E88"/>
    <w:rsid w:val="00706202"/>
    <w:rsid w:val="00706C47"/>
    <w:rsid w:val="00706FA8"/>
    <w:rsid w:val="0070777A"/>
    <w:rsid w:val="00711E37"/>
    <w:rsid w:val="00711E53"/>
    <w:rsid w:val="0071296D"/>
    <w:rsid w:val="00713A5F"/>
    <w:rsid w:val="00713DE9"/>
    <w:rsid w:val="0071522F"/>
    <w:rsid w:val="00715643"/>
    <w:rsid w:val="007161D0"/>
    <w:rsid w:val="007205F6"/>
    <w:rsid w:val="0072090B"/>
    <w:rsid w:val="00726807"/>
    <w:rsid w:val="0072747F"/>
    <w:rsid w:val="00733C07"/>
    <w:rsid w:val="007359E5"/>
    <w:rsid w:val="00737BDD"/>
    <w:rsid w:val="0074018C"/>
    <w:rsid w:val="00740F51"/>
    <w:rsid w:val="0074358C"/>
    <w:rsid w:val="00744344"/>
    <w:rsid w:val="0074503D"/>
    <w:rsid w:val="00745852"/>
    <w:rsid w:val="0074591E"/>
    <w:rsid w:val="00745DDC"/>
    <w:rsid w:val="00750971"/>
    <w:rsid w:val="00751220"/>
    <w:rsid w:val="00753F8B"/>
    <w:rsid w:val="00756080"/>
    <w:rsid w:val="007561DB"/>
    <w:rsid w:val="00762B48"/>
    <w:rsid w:val="00762B70"/>
    <w:rsid w:val="007633AB"/>
    <w:rsid w:val="007638CA"/>
    <w:rsid w:val="00765EC7"/>
    <w:rsid w:val="00770056"/>
    <w:rsid w:val="007703D7"/>
    <w:rsid w:val="00770D36"/>
    <w:rsid w:val="00771190"/>
    <w:rsid w:val="00771F92"/>
    <w:rsid w:val="00772393"/>
    <w:rsid w:val="00777476"/>
    <w:rsid w:val="00782BD9"/>
    <w:rsid w:val="0078396F"/>
    <w:rsid w:val="007844E0"/>
    <w:rsid w:val="00787408"/>
    <w:rsid w:val="00790C2E"/>
    <w:rsid w:val="00790CF0"/>
    <w:rsid w:val="00792F64"/>
    <w:rsid w:val="007944DE"/>
    <w:rsid w:val="00797E89"/>
    <w:rsid w:val="007A00EA"/>
    <w:rsid w:val="007A47C9"/>
    <w:rsid w:val="007A5473"/>
    <w:rsid w:val="007A56D3"/>
    <w:rsid w:val="007A5F6E"/>
    <w:rsid w:val="007A69CB"/>
    <w:rsid w:val="007A7B27"/>
    <w:rsid w:val="007A7CC6"/>
    <w:rsid w:val="007B18A0"/>
    <w:rsid w:val="007B1A63"/>
    <w:rsid w:val="007B57BD"/>
    <w:rsid w:val="007B692E"/>
    <w:rsid w:val="007B740F"/>
    <w:rsid w:val="007B768A"/>
    <w:rsid w:val="007C2C64"/>
    <w:rsid w:val="007C5030"/>
    <w:rsid w:val="007C6FAF"/>
    <w:rsid w:val="007D319E"/>
    <w:rsid w:val="007E1E09"/>
    <w:rsid w:val="007E335F"/>
    <w:rsid w:val="007E3C7D"/>
    <w:rsid w:val="007E3DE5"/>
    <w:rsid w:val="007E6A84"/>
    <w:rsid w:val="007E6B57"/>
    <w:rsid w:val="007E7576"/>
    <w:rsid w:val="007F0409"/>
    <w:rsid w:val="007F149F"/>
    <w:rsid w:val="007F24FD"/>
    <w:rsid w:val="007F29B8"/>
    <w:rsid w:val="007F44C2"/>
    <w:rsid w:val="007F577F"/>
    <w:rsid w:val="007F691B"/>
    <w:rsid w:val="00801982"/>
    <w:rsid w:val="00803850"/>
    <w:rsid w:val="00805842"/>
    <w:rsid w:val="008058B3"/>
    <w:rsid w:val="00811E4D"/>
    <w:rsid w:val="00812FB3"/>
    <w:rsid w:val="00814B55"/>
    <w:rsid w:val="00814BC8"/>
    <w:rsid w:val="008175A8"/>
    <w:rsid w:val="00817B08"/>
    <w:rsid w:val="00822B10"/>
    <w:rsid w:val="0082305A"/>
    <w:rsid w:val="00825262"/>
    <w:rsid w:val="008318A9"/>
    <w:rsid w:val="00832240"/>
    <w:rsid w:val="0083371A"/>
    <w:rsid w:val="00834772"/>
    <w:rsid w:val="00834D52"/>
    <w:rsid w:val="0083764B"/>
    <w:rsid w:val="00837E71"/>
    <w:rsid w:val="00837F58"/>
    <w:rsid w:val="008409F2"/>
    <w:rsid w:val="00840DCE"/>
    <w:rsid w:val="00841E9C"/>
    <w:rsid w:val="00843BDC"/>
    <w:rsid w:val="00843E6B"/>
    <w:rsid w:val="008447DF"/>
    <w:rsid w:val="00844C0A"/>
    <w:rsid w:val="00846B1F"/>
    <w:rsid w:val="00846C61"/>
    <w:rsid w:val="00852D2D"/>
    <w:rsid w:val="00853381"/>
    <w:rsid w:val="008558B8"/>
    <w:rsid w:val="00857F08"/>
    <w:rsid w:val="0086051E"/>
    <w:rsid w:val="00860AB9"/>
    <w:rsid w:val="00866CC6"/>
    <w:rsid w:val="008674B9"/>
    <w:rsid w:val="008678E8"/>
    <w:rsid w:val="00867D55"/>
    <w:rsid w:val="00873511"/>
    <w:rsid w:val="00873C2E"/>
    <w:rsid w:val="00873F19"/>
    <w:rsid w:val="00874967"/>
    <w:rsid w:val="0087680D"/>
    <w:rsid w:val="008846A7"/>
    <w:rsid w:val="00884953"/>
    <w:rsid w:val="0088560A"/>
    <w:rsid w:val="0088589A"/>
    <w:rsid w:val="00894D6D"/>
    <w:rsid w:val="00895008"/>
    <w:rsid w:val="00897A78"/>
    <w:rsid w:val="008A0059"/>
    <w:rsid w:val="008A0EBE"/>
    <w:rsid w:val="008A1D05"/>
    <w:rsid w:val="008A231A"/>
    <w:rsid w:val="008A5AFA"/>
    <w:rsid w:val="008A71C9"/>
    <w:rsid w:val="008B20FD"/>
    <w:rsid w:val="008C08F3"/>
    <w:rsid w:val="008C0B5E"/>
    <w:rsid w:val="008C0CB8"/>
    <w:rsid w:val="008C561A"/>
    <w:rsid w:val="008C6917"/>
    <w:rsid w:val="008C723D"/>
    <w:rsid w:val="008C7CDE"/>
    <w:rsid w:val="008D183E"/>
    <w:rsid w:val="008D3C1A"/>
    <w:rsid w:val="008D3DE5"/>
    <w:rsid w:val="008D3DF4"/>
    <w:rsid w:val="008D3F6A"/>
    <w:rsid w:val="008D6A54"/>
    <w:rsid w:val="008D70BE"/>
    <w:rsid w:val="008D7C6A"/>
    <w:rsid w:val="008E022F"/>
    <w:rsid w:val="008E2163"/>
    <w:rsid w:val="008E2A0C"/>
    <w:rsid w:val="008F1BAF"/>
    <w:rsid w:val="008F4672"/>
    <w:rsid w:val="008F4E7C"/>
    <w:rsid w:val="008F6DB8"/>
    <w:rsid w:val="009007DB"/>
    <w:rsid w:val="009013CA"/>
    <w:rsid w:val="009023D1"/>
    <w:rsid w:val="00903107"/>
    <w:rsid w:val="00905DE0"/>
    <w:rsid w:val="00910DC0"/>
    <w:rsid w:val="00912449"/>
    <w:rsid w:val="00912502"/>
    <w:rsid w:val="009128D2"/>
    <w:rsid w:val="00913EBE"/>
    <w:rsid w:val="00914273"/>
    <w:rsid w:val="009214F1"/>
    <w:rsid w:val="0092211B"/>
    <w:rsid w:val="00922AAE"/>
    <w:rsid w:val="00930E4D"/>
    <w:rsid w:val="00932237"/>
    <w:rsid w:val="00932893"/>
    <w:rsid w:val="009357C3"/>
    <w:rsid w:val="00936A77"/>
    <w:rsid w:val="009403E8"/>
    <w:rsid w:val="0094556D"/>
    <w:rsid w:val="009510DC"/>
    <w:rsid w:val="009531BB"/>
    <w:rsid w:val="0095322F"/>
    <w:rsid w:val="00954428"/>
    <w:rsid w:val="009554AE"/>
    <w:rsid w:val="00956094"/>
    <w:rsid w:val="00961808"/>
    <w:rsid w:val="00961822"/>
    <w:rsid w:val="0096187B"/>
    <w:rsid w:val="00966A0B"/>
    <w:rsid w:val="00971B64"/>
    <w:rsid w:val="00972402"/>
    <w:rsid w:val="00972CEF"/>
    <w:rsid w:val="00973C63"/>
    <w:rsid w:val="00973F0D"/>
    <w:rsid w:val="009745CB"/>
    <w:rsid w:val="009803C4"/>
    <w:rsid w:val="00990EB8"/>
    <w:rsid w:val="00994993"/>
    <w:rsid w:val="009959A9"/>
    <w:rsid w:val="009967A8"/>
    <w:rsid w:val="00996B60"/>
    <w:rsid w:val="00997BAD"/>
    <w:rsid w:val="00997CAF"/>
    <w:rsid w:val="009A1212"/>
    <w:rsid w:val="009A1249"/>
    <w:rsid w:val="009A3011"/>
    <w:rsid w:val="009A530A"/>
    <w:rsid w:val="009A6D65"/>
    <w:rsid w:val="009A7236"/>
    <w:rsid w:val="009B25E0"/>
    <w:rsid w:val="009B2777"/>
    <w:rsid w:val="009B4666"/>
    <w:rsid w:val="009B5D6F"/>
    <w:rsid w:val="009B5F79"/>
    <w:rsid w:val="009B7938"/>
    <w:rsid w:val="009C063B"/>
    <w:rsid w:val="009C1CE2"/>
    <w:rsid w:val="009C2D84"/>
    <w:rsid w:val="009C3B53"/>
    <w:rsid w:val="009C4A74"/>
    <w:rsid w:val="009D0314"/>
    <w:rsid w:val="009D1A32"/>
    <w:rsid w:val="009D2396"/>
    <w:rsid w:val="009D4508"/>
    <w:rsid w:val="009D48F9"/>
    <w:rsid w:val="009D5390"/>
    <w:rsid w:val="009D543F"/>
    <w:rsid w:val="009D578D"/>
    <w:rsid w:val="009D7280"/>
    <w:rsid w:val="009D7DC5"/>
    <w:rsid w:val="009E2576"/>
    <w:rsid w:val="009E285E"/>
    <w:rsid w:val="009E2B7E"/>
    <w:rsid w:val="009E5EE7"/>
    <w:rsid w:val="009F1A6C"/>
    <w:rsid w:val="009F2AE1"/>
    <w:rsid w:val="009F5844"/>
    <w:rsid w:val="009F5F60"/>
    <w:rsid w:val="009F767D"/>
    <w:rsid w:val="00A00BF7"/>
    <w:rsid w:val="00A01B22"/>
    <w:rsid w:val="00A03A9E"/>
    <w:rsid w:val="00A062BD"/>
    <w:rsid w:val="00A069E9"/>
    <w:rsid w:val="00A07DA5"/>
    <w:rsid w:val="00A12228"/>
    <w:rsid w:val="00A1459F"/>
    <w:rsid w:val="00A14D58"/>
    <w:rsid w:val="00A1704E"/>
    <w:rsid w:val="00A201C3"/>
    <w:rsid w:val="00A204A9"/>
    <w:rsid w:val="00A22BC9"/>
    <w:rsid w:val="00A237B9"/>
    <w:rsid w:val="00A23CA0"/>
    <w:rsid w:val="00A25974"/>
    <w:rsid w:val="00A25B4F"/>
    <w:rsid w:val="00A267B8"/>
    <w:rsid w:val="00A27587"/>
    <w:rsid w:val="00A31FBE"/>
    <w:rsid w:val="00A32858"/>
    <w:rsid w:val="00A330DD"/>
    <w:rsid w:val="00A34044"/>
    <w:rsid w:val="00A346C6"/>
    <w:rsid w:val="00A3688E"/>
    <w:rsid w:val="00A374E0"/>
    <w:rsid w:val="00A402B4"/>
    <w:rsid w:val="00A40A0B"/>
    <w:rsid w:val="00A428F4"/>
    <w:rsid w:val="00A42943"/>
    <w:rsid w:val="00A441BE"/>
    <w:rsid w:val="00A445B0"/>
    <w:rsid w:val="00A502D9"/>
    <w:rsid w:val="00A54964"/>
    <w:rsid w:val="00A554B2"/>
    <w:rsid w:val="00A56D04"/>
    <w:rsid w:val="00A56E1C"/>
    <w:rsid w:val="00A57109"/>
    <w:rsid w:val="00A578D0"/>
    <w:rsid w:val="00A57E6B"/>
    <w:rsid w:val="00A61980"/>
    <w:rsid w:val="00A61F56"/>
    <w:rsid w:val="00A62D3B"/>
    <w:rsid w:val="00A65C4A"/>
    <w:rsid w:val="00A7147D"/>
    <w:rsid w:val="00A7454D"/>
    <w:rsid w:val="00A751DE"/>
    <w:rsid w:val="00A75E60"/>
    <w:rsid w:val="00A81B46"/>
    <w:rsid w:val="00A83C1B"/>
    <w:rsid w:val="00A868B0"/>
    <w:rsid w:val="00A8696F"/>
    <w:rsid w:val="00A900A6"/>
    <w:rsid w:val="00A917D0"/>
    <w:rsid w:val="00A94E59"/>
    <w:rsid w:val="00A97DE8"/>
    <w:rsid w:val="00AA1A82"/>
    <w:rsid w:val="00AA2F64"/>
    <w:rsid w:val="00AB0D6B"/>
    <w:rsid w:val="00AB1836"/>
    <w:rsid w:val="00AB1C99"/>
    <w:rsid w:val="00AB2B4D"/>
    <w:rsid w:val="00AB3743"/>
    <w:rsid w:val="00AB4986"/>
    <w:rsid w:val="00AB6801"/>
    <w:rsid w:val="00AB714F"/>
    <w:rsid w:val="00AC0F0D"/>
    <w:rsid w:val="00AC3752"/>
    <w:rsid w:val="00AC3A1C"/>
    <w:rsid w:val="00AC47C3"/>
    <w:rsid w:val="00AC69D9"/>
    <w:rsid w:val="00AC6F57"/>
    <w:rsid w:val="00AD4BE4"/>
    <w:rsid w:val="00AD5CF3"/>
    <w:rsid w:val="00AD61F3"/>
    <w:rsid w:val="00AD620F"/>
    <w:rsid w:val="00AD6A96"/>
    <w:rsid w:val="00AD7E16"/>
    <w:rsid w:val="00AE27CD"/>
    <w:rsid w:val="00AE3AA3"/>
    <w:rsid w:val="00AE3CCF"/>
    <w:rsid w:val="00AE649D"/>
    <w:rsid w:val="00AE780E"/>
    <w:rsid w:val="00AF0228"/>
    <w:rsid w:val="00AF166F"/>
    <w:rsid w:val="00AF1753"/>
    <w:rsid w:val="00AF24CD"/>
    <w:rsid w:val="00AF275B"/>
    <w:rsid w:val="00AF6194"/>
    <w:rsid w:val="00AF6CE5"/>
    <w:rsid w:val="00B00A25"/>
    <w:rsid w:val="00B05228"/>
    <w:rsid w:val="00B053F5"/>
    <w:rsid w:val="00B12AE4"/>
    <w:rsid w:val="00B132BC"/>
    <w:rsid w:val="00B13A71"/>
    <w:rsid w:val="00B1558B"/>
    <w:rsid w:val="00B17B2B"/>
    <w:rsid w:val="00B211A0"/>
    <w:rsid w:val="00B21450"/>
    <w:rsid w:val="00B218CB"/>
    <w:rsid w:val="00B21F0E"/>
    <w:rsid w:val="00B238B3"/>
    <w:rsid w:val="00B251A9"/>
    <w:rsid w:val="00B261FE"/>
    <w:rsid w:val="00B27267"/>
    <w:rsid w:val="00B276ED"/>
    <w:rsid w:val="00B302B1"/>
    <w:rsid w:val="00B36F1E"/>
    <w:rsid w:val="00B406C2"/>
    <w:rsid w:val="00B40C8D"/>
    <w:rsid w:val="00B4425D"/>
    <w:rsid w:val="00B451C6"/>
    <w:rsid w:val="00B45FF4"/>
    <w:rsid w:val="00B463F7"/>
    <w:rsid w:val="00B51622"/>
    <w:rsid w:val="00B51EB7"/>
    <w:rsid w:val="00B5381C"/>
    <w:rsid w:val="00B558CC"/>
    <w:rsid w:val="00B55A40"/>
    <w:rsid w:val="00B55C68"/>
    <w:rsid w:val="00B577E4"/>
    <w:rsid w:val="00B57806"/>
    <w:rsid w:val="00B57C65"/>
    <w:rsid w:val="00B57C67"/>
    <w:rsid w:val="00B609A8"/>
    <w:rsid w:val="00B62CE0"/>
    <w:rsid w:val="00B63471"/>
    <w:rsid w:val="00B637F5"/>
    <w:rsid w:val="00B6386D"/>
    <w:rsid w:val="00B646D5"/>
    <w:rsid w:val="00B6512D"/>
    <w:rsid w:val="00B654FA"/>
    <w:rsid w:val="00B6767C"/>
    <w:rsid w:val="00B72996"/>
    <w:rsid w:val="00B74A1E"/>
    <w:rsid w:val="00B80216"/>
    <w:rsid w:val="00B8025A"/>
    <w:rsid w:val="00B80F87"/>
    <w:rsid w:val="00B83868"/>
    <w:rsid w:val="00B861A4"/>
    <w:rsid w:val="00B86F82"/>
    <w:rsid w:val="00B904BD"/>
    <w:rsid w:val="00B90CBA"/>
    <w:rsid w:val="00B92E60"/>
    <w:rsid w:val="00B94705"/>
    <w:rsid w:val="00B97181"/>
    <w:rsid w:val="00BA021D"/>
    <w:rsid w:val="00BA099A"/>
    <w:rsid w:val="00BA2D68"/>
    <w:rsid w:val="00BA65A5"/>
    <w:rsid w:val="00BB091D"/>
    <w:rsid w:val="00BB10FB"/>
    <w:rsid w:val="00BB3799"/>
    <w:rsid w:val="00BB434E"/>
    <w:rsid w:val="00BC1545"/>
    <w:rsid w:val="00BC301F"/>
    <w:rsid w:val="00BC3D67"/>
    <w:rsid w:val="00BC48B1"/>
    <w:rsid w:val="00BC4EA7"/>
    <w:rsid w:val="00BC4F31"/>
    <w:rsid w:val="00BC6088"/>
    <w:rsid w:val="00BC7F02"/>
    <w:rsid w:val="00BD11CC"/>
    <w:rsid w:val="00BD2DEC"/>
    <w:rsid w:val="00BD3530"/>
    <w:rsid w:val="00BD4131"/>
    <w:rsid w:val="00BD43A4"/>
    <w:rsid w:val="00BD50FD"/>
    <w:rsid w:val="00BE13DF"/>
    <w:rsid w:val="00BE3AE8"/>
    <w:rsid w:val="00BE51FE"/>
    <w:rsid w:val="00BE5E52"/>
    <w:rsid w:val="00BE5F07"/>
    <w:rsid w:val="00BE7A5B"/>
    <w:rsid w:val="00BF0325"/>
    <w:rsid w:val="00BF1275"/>
    <w:rsid w:val="00BF4E02"/>
    <w:rsid w:val="00BF5328"/>
    <w:rsid w:val="00BF54DC"/>
    <w:rsid w:val="00BF5E46"/>
    <w:rsid w:val="00BF5ED8"/>
    <w:rsid w:val="00BF68CD"/>
    <w:rsid w:val="00BF69A1"/>
    <w:rsid w:val="00C0447D"/>
    <w:rsid w:val="00C04ACF"/>
    <w:rsid w:val="00C04C66"/>
    <w:rsid w:val="00C07449"/>
    <w:rsid w:val="00C1154C"/>
    <w:rsid w:val="00C11ECA"/>
    <w:rsid w:val="00C17309"/>
    <w:rsid w:val="00C17339"/>
    <w:rsid w:val="00C21A4E"/>
    <w:rsid w:val="00C23842"/>
    <w:rsid w:val="00C23872"/>
    <w:rsid w:val="00C304B9"/>
    <w:rsid w:val="00C31189"/>
    <w:rsid w:val="00C32FAA"/>
    <w:rsid w:val="00C33E0B"/>
    <w:rsid w:val="00C34CA3"/>
    <w:rsid w:val="00C361C0"/>
    <w:rsid w:val="00C44514"/>
    <w:rsid w:val="00C47B00"/>
    <w:rsid w:val="00C521EE"/>
    <w:rsid w:val="00C52935"/>
    <w:rsid w:val="00C54E57"/>
    <w:rsid w:val="00C578FF"/>
    <w:rsid w:val="00C57975"/>
    <w:rsid w:val="00C57BC6"/>
    <w:rsid w:val="00C605C6"/>
    <w:rsid w:val="00C618BE"/>
    <w:rsid w:val="00C618F6"/>
    <w:rsid w:val="00C61B3E"/>
    <w:rsid w:val="00C62367"/>
    <w:rsid w:val="00C65E0B"/>
    <w:rsid w:val="00C70CD3"/>
    <w:rsid w:val="00C71559"/>
    <w:rsid w:val="00C71E53"/>
    <w:rsid w:val="00C71FD6"/>
    <w:rsid w:val="00C7542C"/>
    <w:rsid w:val="00C80FB5"/>
    <w:rsid w:val="00C824A4"/>
    <w:rsid w:val="00C863EC"/>
    <w:rsid w:val="00C86E76"/>
    <w:rsid w:val="00C871D0"/>
    <w:rsid w:val="00C9183E"/>
    <w:rsid w:val="00C92327"/>
    <w:rsid w:val="00C9258C"/>
    <w:rsid w:val="00C93D3C"/>
    <w:rsid w:val="00C94EA0"/>
    <w:rsid w:val="00C9553E"/>
    <w:rsid w:val="00C95573"/>
    <w:rsid w:val="00C979D2"/>
    <w:rsid w:val="00C97B5F"/>
    <w:rsid w:val="00CA2E68"/>
    <w:rsid w:val="00CA3142"/>
    <w:rsid w:val="00CA42F9"/>
    <w:rsid w:val="00CA432A"/>
    <w:rsid w:val="00CA5EE7"/>
    <w:rsid w:val="00CA6D7B"/>
    <w:rsid w:val="00CA7EC2"/>
    <w:rsid w:val="00CB0385"/>
    <w:rsid w:val="00CB0E3B"/>
    <w:rsid w:val="00CB1562"/>
    <w:rsid w:val="00CB191F"/>
    <w:rsid w:val="00CB1C6F"/>
    <w:rsid w:val="00CB2FF3"/>
    <w:rsid w:val="00CB6210"/>
    <w:rsid w:val="00CB629F"/>
    <w:rsid w:val="00CB65FE"/>
    <w:rsid w:val="00CB7C70"/>
    <w:rsid w:val="00CC5D1D"/>
    <w:rsid w:val="00CD2543"/>
    <w:rsid w:val="00CD5CB0"/>
    <w:rsid w:val="00CD5D63"/>
    <w:rsid w:val="00CD654D"/>
    <w:rsid w:val="00CD74C2"/>
    <w:rsid w:val="00CD7B96"/>
    <w:rsid w:val="00CE098A"/>
    <w:rsid w:val="00CE12E8"/>
    <w:rsid w:val="00CE233B"/>
    <w:rsid w:val="00CE3992"/>
    <w:rsid w:val="00CE474C"/>
    <w:rsid w:val="00CE63C1"/>
    <w:rsid w:val="00CF1B54"/>
    <w:rsid w:val="00CF2045"/>
    <w:rsid w:val="00CF233D"/>
    <w:rsid w:val="00CF6854"/>
    <w:rsid w:val="00CF744C"/>
    <w:rsid w:val="00D03EA4"/>
    <w:rsid w:val="00D06B78"/>
    <w:rsid w:val="00D079F1"/>
    <w:rsid w:val="00D1041B"/>
    <w:rsid w:val="00D149E3"/>
    <w:rsid w:val="00D15FC8"/>
    <w:rsid w:val="00D168C5"/>
    <w:rsid w:val="00D20F02"/>
    <w:rsid w:val="00D239E9"/>
    <w:rsid w:val="00D24C3E"/>
    <w:rsid w:val="00D30F2F"/>
    <w:rsid w:val="00D33D3C"/>
    <w:rsid w:val="00D35D87"/>
    <w:rsid w:val="00D36B56"/>
    <w:rsid w:val="00D3710A"/>
    <w:rsid w:val="00D37A40"/>
    <w:rsid w:val="00D41336"/>
    <w:rsid w:val="00D43F4B"/>
    <w:rsid w:val="00D44BC6"/>
    <w:rsid w:val="00D45BFD"/>
    <w:rsid w:val="00D45D8B"/>
    <w:rsid w:val="00D50161"/>
    <w:rsid w:val="00D50648"/>
    <w:rsid w:val="00D50942"/>
    <w:rsid w:val="00D50DC1"/>
    <w:rsid w:val="00D51DB2"/>
    <w:rsid w:val="00D55DC0"/>
    <w:rsid w:val="00D602EA"/>
    <w:rsid w:val="00D61C06"/>
    <w:rsid w:val="00D62362"/>
    <w:rsid w:val="00D632E0"/>
    <w:rsid w:val="00D661F7"/>
    <w:rsid w:val="00D70159"/>
    <w:rsid w:val="00D710B8"/>
    <w:rsid w:val="00D71198"/>
    <w:rsid w:val="00D71CF1"/>
    <w:rsid w:val="00D73283"/>
    <w:rsid w:val="00D73C9C"/>
    <w:rsid w:val="00D7600A"/>
    <w:rsid w:val="00D76020"/>
    <w:rsid w:val="00D7683B"/>
    <w:rsid w:val="00D772A3"/>
    <w:rsid w:val="00D80EF1"/>
    <w:rsid w:val="00D839CF"/>
    <w:rsid w:val="00D85B1D"/>
    <w:rsid w:val="00D866B9"/>
    <w:rsid w:val="00D867BC"/>
    <w:rsid w:val="00D9109C"/>
    <w:rsid w:val="00D917E4"/>
    <w:rsid w:val="00D918DC"/>
    <w:rsid w:val="00D92D26"/>
    <w:rsid w:val="00D93913"/>
    <w:rsid w:val="00D968D6"/>
    <w:rsid w:val="00D97376"/>
    <w:rsid w:val="00D97B23"/>
    <w:rsid w:val="00DA1885"/>
    <w:rsid w:val="00DA237C"/>
    <w:rsid w:val="00DA34FA"/>
    <w:rsid w:val="00DA4DD5"/>
    <w:rsid w:val="00DA591E"/>
    <w:rsid w:val="00DB06E0"/>
    <w:rsid w:val="00DB1295"/>
    <w:rsid w:val="00DB2B84"/>
    <w:rsid w:val="00DB2FD2"/>
    <w:rsid w:val="00DB4738"/>
    <w:rsid w:val="00DB5B52"/>
    <w:rsid w:val="00DB67E3"/>
    <w:rsid w:val="00DC108E"/>
    <w:rsid w:val="00DC1918"/>
    <w:rsid w:val="00DC1DDD"/>
    <w:rsid w:val="00DC20F2"/>
    <w:rsid w:val="00DC2B90"/>
    <w:rsid w:val="00DC4CB6"/>
    <w:rsid w:val="00DD11F5"/>
    <w:rsid w:val="00DD17C3"/>
    <w:rsid w:val="00DD4701"/>
    <w:rsid w:val="00DD52E3"/>
    <w:rsid w:val="00DE1B12"/>
    <w:rsid w:val="00DE4558"/>
    <w:rsid w:val="00DE48A5"/>
    <w:rsid w:val="00DE4DD3"/>
    <w:rsid w:val="00DE7843"/>
    <w:rsid w:val="00DF0439"/>
    <w:rsid w:val="00DF102F"/>
    <w:rsid w:val="00DF3E94"/>
    <w:rsid w:val="00DF6069"/>
    <w:rsid w:val="00DF66CC"/>
    <w:rsid w:val="00E021E4"/>
    <w:rsid w:val="00E04D9C"/>
    <w:rsid w:val="00E060BB"/>
    <w:rsid w:val="00E063F9"/>
    <w:rsid w:val="00E078CD"/>
    <w:rsid w:val="00E10809"/>
    <w:rsid w:val="00E119B4"/>
    <w:rsid w:val="00E13C71"/>
    <w:rsid w:val="00E140BD"/>
    <w:rsid w:val="00E14597"/>
    <w:rsid w:val="00E158FF"/>
    <w:rsid w:val="00E15BC2"/>
    <w:rsid w:val="00E16AE1"/>
    <w:rsid w:val="00E23C36"/>
    <w:rsid w:val="00E268B0"/>
    <w:rsid w:val="00E32639"/>
    <w:rsid w:val="00E328B3"/>
    <w:rsid w:val="00E3347F"/>
    <w:rsid w:val="00E34FAD"/>
    <w:rsid w:val="00E36E19"/>
    <w:rsid w:val="00E403F9"/>
    <w:rsid w:val="00E41145"/>
    <w:rsid w:val="00E437F2"/>
    <w:rsid w:val="00E4478E"/>
    <w:rsid w:val="00E45BDA"/>
    <w:rsid w:val="00E50BE1"/>
    <w:rsid w:val="00E5148B"/>
    <w:rsid w:val="00E61648"/>
    <w:rsid w:val="00E62DE7"/>
    <w:rsid w:val="00E63203"/>
    <w:rsid w:val="00E638FF"/>
    <w:rsid w:val="00E665B8"/>
    <w:rsid w:val="00E705EE"/>
    <w:rsid w:val="00E710BA"/>
    <w:rsid w:val="00E73FD4"/>
    <w:rsid w:val="00E74123"/>
    <w:rsid w:val="00E75F89"/>
    <w:rsid w:val="00E7734D"/>
    <w:rsid w:val="00E822B0"/>
    <w:rsid w:val="00E83E7A"/>
    <w:rsid w:val="00E86E19"/>
    <w:rsid w:val="00E90703"/>
    <w:rsid w:val="00E90E4C"/>
    <w:rsid w:val="00E90F09"/>
    <w:rsid w:val="00E9272C"/>
    <w:rsid w:val="00E92B28"/>
    <w:rsid w:val="00E94EA2"/>
    <w:rsid w:val="00E95554"/>
    <w:rsid w:val="00E96162"/>
    <w:rsid w:val="00E9638A"/>
    <w:rsid w:val="00EA0BC9"/>
    <w:rsid w:val="00EA135B"/>
    <w:rsid w:val="00EA20DA"/>
    <w:rsid w:val="00EA2182"/>
    <w:rsid w:val="00EA28DA"/>
    <w:rsid w:val="00EA3AFE"/>
    <w:rsid w:val="00EA4B5A"/>
    <w:rsid w:val="00EA53BE"/>
    <w:rsid w:val="00EA581C"/>
    <w:rsid w:val="00EA5A3A"/>
    <w:rsid w:val="00EB00AD"/>
    <w:rsid w:val="00EB0154"/>
    <w:rsid w:val="00EB4543"/>
    <w:rsid w:val="00EB632E"/>
    <w:rsid w:val="00EB7178"/>
    <w:rsid w:val="00EC12A2"/>
    <w:rsid w:val="00EC32AA"/>
    <w:rsid w:val="00EC4CA9"/>
    <w:rsid w:val="00EC5ED4"/>
    <w:rsid w:val="00ED0282"/>
    <w:rsid w:val="00ED1D6A"/>
    <w:rsid w:val="00ED2F89"/>
    <w:rsid w:val="00ED3BB9"/>
    <w:rsid w:val="00ED46CD"/>
    <w:rsid w:val="00ED4889"/>
    <w:rsid w:val="00ED6A1B"/>
    <w:rsid w:val="00ED738C"/>
    <w:rsid w:val="00ED751C"/>
    <w:rsid w:val="00EE4729"/>
    <w:rsid w:val="00EE4D69"/>
    <w:rsid w:val="00EE6154"/>
    <w:rsid w:val="00EE66F0"/>
    <w:rsid w:val="00EE7012"/>
    <w:rsid w:val="00EF0E6F"/>
    <w:rsid w:val="00EF57C4"/>
    <w:rsid w:val="00EF57E9"/>
    <w:rsid w:val="00EF67CA"/>
    <w:rsid w:val="00EF6CBB"/>
    <w:rsid w:val="00F03917"/>
    <w:rsid w:val="00F0429B"/>
    <w:rsid w:val="00F04740"/>
    <w:rsid w:val="00F1210A"/>
    <w:rsid w:val="00F122D3"/>
    <w:rsid w:val="00F138F1"/>
    <w:rsid w:val="00F16FFC"/>
    <w:rsid w:val="00F21ABF"/>
    <w:rsid w:val="00F21FB8"/>
    <w:rsid w:val="00F220B7"/>
    <w:rsid w:val="00F2654D"/>
    <w:rsid w:val="00F26F81"/>
    <w:rsid w:val="00F30D0E"/>
    <w:rsid w:val="00F3108E"/>
    <w:rsid w:val="00F34562"/>
    <w:rsid w:val="00F35B14"/>
    <w:rsid w:val="00F37066"/>
    <w:rsid w:val="00F41373"/>
    <w:rsid w:val="00F423EA"/>
    <w:rsid w:val="00F46F9D"/>
    <w:rsid w:val="00F470FB"/>
    <w:rsid w:val="00F5047F"/>
    <w:rsid w:val="00F54182"/>
    <w:rsid w:val="00F543B5"/>
    <w:rsid w:val="00F54AAD"/>
    <w:rsid w:val="00F63D31"/>
    <w:rsid w:val="00F66EF3"/>
    <w:rsid w:val="00F70430"/>
    <w:rsid w:val="00F7065C"/>
    <w:rsid w:val="00F70781"/>
    <w:rsid w:val="00F70935"/>
    <w:rsid w:val="00F70B7C"/>
    <w:rsid w:val="00F712CC"/>
    <w:rsid w:val="00F7171D"/>
    <w:rsid w:val="00F736EF"/>
    <w:rsid w:val="00F74F74"/>
    <w:rsid w:val="00F777ED"/>
    <w:rsid w:val="00F90272"/>
    <w:rsid w:val="00F91247"/>
    <w:rsid w:val="00F95245"/>
    <w:rsid w:val="00F96132"/>
    <w:rsid w:val="00F97225"/>
    <w:rsid w:val="00F9790D"/>
    <w:rsid w:val="00FA1E45"/>
    <w:rsid w:val="00FA1F4A"/>
    <w:rsid w:val="00FA28AC"/>
    <w:rsid w:val="00FA2F58"/>
    <w:rsid w:val="00FA4999"/>
    <w:rsid w:val="00FA4B07"/>
    <w:rsid w:val="00FA4D9F"/>
    <w:rsid w:val="00FA6A6B"/>
    <w:rsid w:val="00FB05E7"/>
    <w:rsid w:val="00FB0C3C"/>
    <w:rsid w:val="00FB15BD"/>
    <w:rsid w:val="00FB1BEE"/>
    <w:rsid w:val="00FB20E5"/>
    <w:rsid w:val="00FB28F2"/>
    <w:rsid w:val="00FB45D9"/>
    <w:rsid w:val="00FB5EFF"/>
    <w:rsid w:val="00FC0DF7"/>
    <w:rsid w:val="00FC1579"/>
    <w:rsid w:val="00FC1A3E"/>
    <w:rsid w:val="00FC1ECF"/>
    <w:rsid w:val="00FC7451"/>
    <w:rsid w:val="00FC7DB5"/>
    <w:rsid w:val="00FD27E3"/>
    <w:rsid w:val="00FD2B0C"/>
    <w:rsid w:val="00FD4096"/>
    <w:rsid w:val="00FD6D3D"/>
    <w:rsid w:val="00FD71F5"/>
    <w:rsid w:val="00FE0334"/>
    <w:rsid w:val="00FE29AB"/>
    <w:rsid w:val="00FE3475"/>
    <w:rsid w:val="00FE47BA"/>
    <w:rsid w:val="00FE5066"/>
    <w:rsid w:val="00FE58D4"/>
    <w:rsid w:val="00FE6813"/>
    <w:rsid w:val="00FF1ECA"/>
    <w:rsid w:val="00FF3038"/>
    <w:rsid w:val="00FF53DE"/>
    <w:rsid w:val="00FF6EA4"/>
    <w:rsid w:val="00FF7ECA"/>
    <w:rsid w:val="051E79E0"/>
    <w:rsid w:val="3365F650"/>
    <w:rsid w:val="3416E1E6"/>
    <w:rsid w:val="3766B9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99491F"/>
  <w15:docId w15:val="{44EB7FA2-6BAB-4ED1-8C52-1AB26B1FF326}"/>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qFormat="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ED751C"/>
    <w:pPr>
      <w:spacing w:after="0" w:line="240" w:lineRule="auto"/>
    </w:pPr>
    <w:rPr>
      <w:rFonts w:ascii="Times New Roman" w:hAnsi="Times New Roman" w:eastAsia="Times New Roman" w:cs="Times New Roman"/>
      <w:sz w:val="24"/>
      <w:szCs w:val="20"/>
      <w:lang w:val="es-ES_tradnl"/>
    </w:rPr>
  </w:style>
  <w:style w:type="paragraph" w:styleId="Heading1">
    <w:name w:val="heading 1"/>
    <w:basedOn w:val="Normal"/>
    <w:next w:val="Normal"/>
    <w:link w:val="Heading1Char"/>
    <w:qFormat/>
    <w:rsid w:val="00DD17C3"/>
    <w:pPr>
      <w:keepNext/>
      <w:tabs>
        <w:tab w:val="num" w:pos="360"/>
      </w:tabs>
      <w:spacing w:before="240" w:after="60"/>
      <w:outlineLvl w:val="0"/>
    </w:pPr>
    <w:rPr>
      <w:rFonts w:ascii="Arial" w:hAnsi="Arial"/>
      <w:b/>
      <w:kern w:val="28"/>
      <w:sz w:val="28"/>
    </w:rPr>
  </w:style>
  <w:style w:type="paragraph" w:styleId="Heading2">
    <w:name w:val="heading 2"/>
    <w:basedOn w:val="Normal"/>
    <w:next w:val="Normal"/>
    <w:link w:val="Heading2Char"/>
    <w:qFormat/>
    <w:rsid w:val="00DD17C3"/>
    <w:pPr>
      <w:keepNext/>
      <w:tabs>
        <w:tab w:val="num" w:pos="1080"/>
      </w:tabs>
      <w:spacing w:before="240" w:after="60"/>
      <w:ind w:left="720"/>
      <w:outlineLvl w:val="1"/>
    </w:pPr>
    <w:rPr>
      <w:rFonts w:ascii="Arial" w:hAnsi="Arial"/>
      <w:b/>
      <w:i/>
    </w:rPr>
  </w:style>
  <w:style w:type="paragraph" w:styleId="Heading3">
    <w:name w:val="heading 3"/>
    <w:basedOn w:val="Normal"/>
    <w:next w:val="Normal"/>
    <w:link w:val="Heading3Char"/>
    <w:qFormat/>
    <w:rsid w:val="003474DA"/>
    <w:pPr>
      <w:keepNext/>
      <w:spacing w:before="240" w:after="60"/>
      <w:outlineLvl w:val="2"/>
    </w:pPr>
    <w:rPr>
      <w:rFonts w:ascii="Arial" w:hAnsi="Arial"/>
    </w:rPr>
  </w:style>
  <w:style w:type="paragraph" w:styleId="Heading4">
    <w:name w:val="heading 4"/>
    <w:basedOn w:val="Normal"/>
    <w:next w:val="Normal"/>
    <w:link w:val="Heading4Char"/>
    <w:qFormat/>
    <w:rsid w:val="003474DA"/>
    <w:pPr>
      <w:keepNext/>
      <w:spacing w:before="240" w:after="60"/>
      <w:outlineLvl w:val="3"/>
    </w:pPr>
    <w:rPr>
      <w:rFonts w:ascii="Arial" w:hAnsi="Arial"/>
      <w:b/>
    </w:rPr>
  </w:style>
  <w:style w:type="paragraph" w:styleId="Heading5">
    <w:name w:val="heading 5"/>
    <w:aliases w:val="Heading 5.(i)"/>
    <w:basedOn w:val="Normal"/>
    <w:next w:val="Normal"/>
    <w:link w:val="Heading5Char"/>
    <w:unhideWhenUsed/>
    <w:qFormat/>
    <w:rsid w:val="00EB0154"/>
    <w:pPr>
      <w:keepNext/>
      <w:keepLines/>
      <w:spacing w:before="200"/>
      <w:outlineLvl w:val="4"/>
    </w:pPr>
    <w:rPr>
      <w:rFonts w:asciiTheme="majorHAnsi" w:hAnsiTheme="majorHAnsi" w:eastAsiaTheme="majorEastAsia" w:cstheme="majorBidi"/>
      <w:color w:val="243F60" w:themeColor="accent1" w:themeShade="7F"/>
    </w:rPr>
  </w:style>
  <w:style w:type="paragraph" w:styleId="Heading6">
    <w:name w:val="heading 6"/>
    <w:basedOn w:val="Normal"/>
    <w:next w:val="Normal"/>
    <w:link w:val="Heading6Char"/>
    <w:uiPriority w:val="9"/>
    <w:unhideWhenUsed/>
    <w:qFormat/>
    <w:rsid w:val="00EB0154"/>
    <w:pPr>
      <w:keepNext/>
      <w:keepLines/>
      <w:spacing w:before="200"/>
      <w:outlineLvl w:val="5"/>
    </w:pPr>
    <w:rPr>
      <w:rFonts w:asciiTheme="majorHAnsi" w:hAnsiTheme="majorHAnsi" w:eastAsiaTheme="majorEastAsia" w:cstheme="majorBidi"/>
      <w:i/>
      <w:iCs/>
      <w:color w:val="243F60" w:themeColor="accent1" w:themeShade="7F"/>
    </w:rPr>
  </w:style>
  <w:style w:type="paragraph" w:styleId="Heading7">
    <w:name w:val="heading 7"/>
    <w:basedOn w:val="Normal"/>
    <w:next w:val="Normal"/>
    <w:link w:val="Heading7Char"/>
    <w:uiPriority w:val="9"/>
    <w:unhideWhenUsed/>
    <w:qFormat/>
    <w:rsid w:val="00EB0154"/>
    <w:pPr>
      <w:keepNext/>
      <w:keepLines/>
      <w:spacing w:before="200"/>
      <w:outlineLvl w:val="6"/>
    </w:pPr>
    <w:rPr>
      <w:rFonts w:asciiTheme="majorHAnsi" w:hAnsiTheme="majorHAnsi" w:eastAsiaTheme="majorEastAsia" w:cstheme="majorBidi"/>
      <w:i/>
      <w:iCs/>
      <w:color w:val="404040" w:themeColor="text1" w:themeTint="BF"/>
    </w:rPr>
  </w:style>
  <w:style w:type="paragraph" w:styleId="Heading8">
    <w:name w:val="heading 8"/>
    <w:basedOn w:val="Normal"/>
    <w:next w:val="Normal"/>
    <w:link w:val="Heading8Char"/>
    <w:uiPriority w:val="9"/>
    <w:unhideWhenUsed/>
    <w:qFormat/>
    <w:rsid w:val="00EB0154"/>
    <w:pPr>
      <w:keepNext/>
      <w:keepLines/>
      <w:spacing w:before="200"/>
      <w:outlineLvl w:val="7"/>
    </w:pPr>
    <w:rPr>
      <w:rFonts w:asciiTheme="majorHAnsi" w:hAnsiTheme="majorHAnsi" w:eastAsiaTheme="majorEastAsia" w:cstheme="majorBidi"/>
      <w:color w:val="404040" w:themeColor="text1" w:themeTint="BF"/>
      <w:sz w:val="20"/>
    </w:rPr>
  </w:style>
  <w:style w:type="paragraph" w:styleId="Heading9">
    <w:name w:val="heading 9"/>
    <w:basedOn w:val="Normal"/>
    <w:next w:val="Normal"/>
    <w:link w:val="Heading9Char"/>
    <w:uiPriority w:val="9"/>
    <w:unhideWhenUsed/>
    <w:qFormat/>
    <w:rsid w:val="00EB0154"/>
    <w:pPr>
      <w:keepNext/>
      <w:keepLines/>
      <w:spacing w:before="200"/>
      <w:outlineLvl w:val="8"/>
    </w:pPr>
    <w:rPr>
      <w:rFonts w:asciiTheme="majorHAnsi" w:hAnsiTheme="majorHAnsi" w:eastAsiaTheme="majorEastAsia" w:cstheme="majorBidi"/>
      <w:i/>
      <w:iCs/>
      <w:color w:val="404040" w:themeColor="text1" w:themeTint="BF"/>
      <w:sz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Annex" w:customStyle="1">
    <w:name w:val="Annex"/>
    <w:basedOn w:val="Normal"/>
    <w:rsid w:val="00ED751C"/>
    <w:rPr>
      <w:caps/>
    </w:rPr>
  </w:style>
  <w:style w:type="paragraph" w:styleId="ABBR" w:customStyle="1">
    <w:name w:val="ABBR"/>
    <w:basedOn w:val="Annex"/>
    <w:rsid w:val="00ED751C"/>
  </w:style>
  <w:style w:type="paragraph" w:styleId="AbbrDesc" w:customStyle="1">
    <w:name w:val="AbbrDesc"/>
    <w:basedOn w:val="Normal"/>
    <w:rsid w:val="00ED751C"/>
    <w:pPr>
      <w:tabs>
        <w:tab w:val="left" w:pos="3060"/>
      </w:tabs>
      <w:jc w:val="both"/>
    </w:pPr>
  </w:style>
  <w:style w:type="paragraph" w:styleId="BodyText">
    <w:name w:val="Body Text"/>
    <w:basedOn w:val="Normal"/>
    <w:link w:val="BodyTextChar"/>
    <w:rsid w:val="00ED751C"/>
    <w:pPr>
      <w:tabs>
        <w:tab w:val="left" w:pos="3060"/>
      </w:tabs>
      <w:jc w:val="center"/>
    </w:pPr>
  </w:style>
  <w:style w:type="character" w:styleId="BodyTextChar" w:customStyle="1">
    <w:name w:val="Body Text Char"/>
    <w:basedOn w:val="DefaultParagraphFont"/>
    <w:link w:val="BodyText"/>
    <w:rsid w:val="00ED751C"/>
    <w:rPr>
      <w:rFonts w:ascii="Times New Roman" w:hAnsi="Times New Roman" w:eastAsia="Times New Roman" w:cs="Times New Roman"/>
      <w:sz w:val="24"/>
      <w:szCs w:val="20"/>
    </w:rPr>
  </w:style>
  <w:style w:type="paragraph" w:styleId="Chapter" w:customStyle="1">
    <w:name w:val="Chapter"/>
    <w:basedOn w:val="Normal"/>
    <w:next w:val="Normal"/>
    <w:uiPriority w:val="99"/>
    <w:rsid w:val="00EB0154"/>
    <w:pPr>
      <w:keepNext/>
      <w:numPr>
        <w:numId w:val="2"/>
      </w:numPr>
      <w:tabs>
        <w:tab w:val="left" w:pos="1440"/>
      </w:tabs>
      <w:spacing w:before="240" w:after="240"/>
      <w:jc w:val="center"/>
    </w:pPr>
    <w:rPr>
      <w:b/>
      <w:smallCaps/>
      <w:lang w:val="es-ES"/>
    </w:rPr>
  </w:style>
  <w:style w:type="paragraph" w:styleId="FirstHeading" w:customStyle="1">
    <w:name w:val="FirstHeading"/>
    <w:basedOn w:val="Normal"/>
    <w:next w:val="Normal"/>
    <w:rsid w:val="00EB0154"/>
    <w:pPr>
      <w:keepNext/>
      <w:tabs>
        <w:tab w:val="left" w:pos="0"/>
        <w:tab w:val="left" w:pos="86"/>
      </w:tabs>
      <w:spacing w:before="120" w:after="120"/>
    </w:pPr>
    <w:rPr>
      <w:b/>
      <w:lang w:val="es-ES"/>
    </w:rPr>
  </w:style>
  <w:style w:type="paragraph" w:styleId="Footer">
    <w:name w:val="footer"/>
    <w:basedOn w:val="Normal"/>
    <w:link w:val="FooterChar"/>
    <w:uiPriority w:val="99"/>
    <w:rsid w:val="00ED751C"/>
    <w:pPr>
      <w:tabs>
        <w:tab w:val="center" w:pos="4320"/>
        <w:tab w:val="right" w:pos="8640"/>
      </w:tabs>
    </w:pPr>
  </w:style>
  <w:style w:type="character" w:styleId="FooterChar" w:customStyle="1">
    <w:name w:val="Footer Char"/>
    <w:basedOn w:val="DefaultParagraphFont"/>
    <w:link w:val="Footer"/>
    <w:uiPriority w:val="99"/>
    <w:rsid w:val="00ED751C"/>
    <w:rPr>
      <w:rFonts w:ascii="Times New Roman" w:hAnsi="Times New Roman" w:eastAsia="Times New Roman" w:cs="Times New Roman"/>
      <w:sz w:val="24"/>
      <w:szCs w:val="20"/>
    </w:rPr>
  </w:style>
  <w:style w:type="paragraph" w:styleId="FootnoteText">
    <w:name w:val="footnote text"/>
    <w:aliases w:val="fn,Texto de rodapé,nota_rodapé,nota de rodapé,footnote,single space,FOOTNOTES,footnote text,Footnote Text Char Char,foottextfra,ADB,Footnote Text Char Char Char Char Char Char Char,Footnote Text Char Char Char Char Char,F,Style 25,ft"/>
    <w:basedOn w:val="Normal"/>
    <w:link w:val="FootnoteTextChar"/>
    <w:uiPriority w:val="99"/>
    <w:qFormat/>
    <w:rsid w:val="00ED751C"/>
    <w:pPr>
      <w:keepNext/>
      <w:keepLines/>
      <w:spacing w:after="120"/>
      <w:ind w:left="288" w:hanging="288"/>
      <w:jc w:val="both"/>
    </w:pPr>
    <w:rPr>
      <w:spacing w:val="-3"/>
      <w:sz w:val="20"/>
    </w:rPr>
  </w:style>
  <w:style w:type="character" w:styleId="FootnoteTextChar" w:customStyle="1">
    <w:name w:val="Footnote Text Char"/>
    <w:aliases w:val="fn Char,Texto de rodapé Char,nota_rodapé Char,nota de rodapé Char,footnote Char,single space Char,FOOTNOTES Char,footnote text Char,Footnote Text Char Char Char,foottextfra Char,ADB Char,Footnote Text Char Char Char Char Char Char"/>
    <w:basedOn w:val="DefaultParagraphFont"/>
    <w:link w:val="FootnoteText"/>
    <w:uiPriority w:val="99"/>
    <w:rsid w:val="00ED751C"/>
    <w:rPr>
      <w:rFonts w:ascii="Times New Roman" w:hAnsi="Times New Roman" w:eastAsia="Times New Roman" w:cs="Times New Roman"/>
      <w:spacing w:val="-3"/>
      <w:sz w:val="20"/>
      <w:szCs w:val="20"/>
      <w:lang w:val="es-ES_tradnl"/>
    </w:rPr>
  </w:style>
  <w:style w:type="paragraph" w:styleId="Header">
    <w:name w:val="header"/>
    <w:basedOn w:val="Normal"/>
    <w:link w:val="HeaderChar"/>
    <w:rsid w:val="00ED751C"/>
    <w:pPr>
      <w:tabs>
        <w:tab w:val="center" w:pos="4320"/>
        <w:tab w:val="right" w:pos="8640"/>
      </w:tabs>
    </w:pPr>
  </w:style>
  <w:style w:type="character" w:styleId="HeaderChar" w:customStyle="1">
    <w:name w:val="Header Char"/>
    <w:basedOn w:val="DefaultParagraphFont"/>
    <w:link w:val="Header"/>
    <w:rsid w:val="00ED751C"/>
    <w:rPr>
      <w:rFonts w:ascii="Times New Roman" w:hAnsi="Times New Roman" w:eastAsia="Times New Roman" w:cs="Times New Roman"/>
      <w:sz w:val="24"/>
      <w:szCs w:val="20"/>
    </w:rPr>
  </w:style>
  <w:style w:type="paragraph" w:styleId="Newpage" w:customStyle="1">
    <w:name w:val="Newpage"/>
    <w:basedOn w:val="Chapter"/>
    <w:rsid w:val="00ED751C"/>
    <w:pPr>
      <w:numPr>
        <w:numId w:val="0"/>
      </w:numPr>
      <w:tabs>
        <w:tab w:val="clear" w:pos="1440"/>
        <w:tab w:val="left" w:pos="3060"/>
      </w:tabs>
      <w:spacing w:after="0"/>
    </w:pPr>
  </w:style>
  <w:style w:type="character" w:styleId="PageNumber">
    <w:name w:val="page number"/>
    <w:basedOn w:val="DefaultParagraphFont"/>
    <w:rsid w:val="00ED751C"/>
  </w:style>
  <w:style w:type="paragraph" w:styleId="Paragraph" w:customStyle="1">
    <w:name w:val="Paragraph"/>
    <w:aliases w:val="paragraph,p,PARAGRAPH,PG,pa,at"/>
    <w:basedOn w:val="BodyTextIndent"/>
    <w:link w:val="ParagraphChar"/>
    <w:qFormat/>
    <w:rsid w:val="00EB0154"/>
    <w:pPr>
      <w:numPr>
        <w:ilvl w:val="1"/>
        <w:numId w:val="2"/>
      </w:numPr>
      <w:spacing w:before="120"/>
      <w:jc w:val="both"/>
      <w:outlineLvl w:val="1"/>
    </w:pPr>
    <w:rPr>
      <w:lang w:val="es-ES"/>
    </w:rPr>
  </w:style>
  <w:style w:type="paragraph" w:styleId="RegheadTab" w:customStyle="1">
    <w:name w:val="RegheadTab"/>
    <w:basedOn w:val="FirstHeading"/>
    <w:rsid w:val="00ED751C"/>
    <w:pPr>
      <w:tabs>
        <w:tab w:val="num" w:pos="504"/>
      </w:tabs>
      <w:spacing w:after="0"/>
      <w:ind w:left="504" w:hanging="504"/>
      <w:jc w:val="center"/>
    </w:pPr>
  </w:style>
  <w:style w:type="paragraph" w:styleId="SecHeading" w:customStyle="1">
    <w:name w:val="SecHeading"/>
    <w:basedOn w:val="Normal"/>
    <w:next w:val="Paragraph"/>
    <w:rsid w:val="00EB0154"/>
    <w:pPr>
      <w:keepNext/>
      <w:spacing w:before="120" w:after="120"/>
    </w:pPr>
    <w:rPr>
      <w:b/>
    </w:rPr>
  </w:style>
  <w:style w:type="paragraph" w:styleId="SubHeading1" w:customStyle="1">
    <w:name w:val="SubHeading1"/>
    <w:basedOn w:val="SecHeading"/>
    <w:rsid w:val="00EB0154"/>
    <w:pPr>
      <w:numPr>
        <w:ilvl w:val="2"/>
      </w:numPr>
      <w:tabs>
        <w:tab w:val="num" w:pos="1872"/>
      </w:tabs>
      <w:ind w:left="1872"/>
    </w:pPr>
  </w:style>
  <w:style w:type="paragraph" w:styleId="Subheading2" w:customStyle="1">
    <w:name w:val="Subheading2"/>
    <w:basedOn w:val="SecHeading"/>
    <w:rsid w:val="00EB0154"/>
    <w:pPr>
      <w:numPr>
        <w:ilvl w:val="3"/>
      </w:numPr>
      <w:tabs>
        <w:tab w:val="num" w:pos="2376"/>
      </w:tabs>
      <w:ind w:left="2376"/>
    </w:pPr>
  </w:style>
  <w:style w:type="paragraph" w:styleId="subpar" w:customStyle="1">
    <w:name w:val="subpar"/>
    <w:basedOn w:val="BodyTextIndent3"/>
    <w:rsid w:val="00EB0154"/>
    <w:pPr>
      <w:numPr>
        <w:ilvl w:val="2"/>
        <w:numId w:val="2"/>
      </w:numPr>
      <w:spacing w:before="120"/>
      <w:jc w:val="both"/>
      <w:outlineLvl w:val="2"/>
    </w:pPr>
    <w:rPr>
      <w:szCs w:val="20"/>
    </w:rPr>
  </w:style>
  <w:style w:type="paragraph" w:styleId="SubSubPar" w:customStyle="1">
    <w:name w:val="SubSubPar"/>
    <w:basedOn w:val="subpar"/>
    <w:uiPriority w:val="99"/>
    <w:rsid w:val="00EB0154"/>
    <w:pPr>
      <w:numPr>
        <w:ilvl w:val="3"/>
      </w:numPr>
      <w:tabs>
        <w:tab w:val="clear" w:pos="2736"/>
        <w:tab w:val="left" w:pos="0"/>
        <w:tab w:val="num" w:pos="1296"/>
      </w:tabs>
    </w:pPr>
  </w:style>
  <w:style w:type="paragraph" w:styleId="TOC1">
    <w:name w:val="toc 1"/>
    <w:basedOn w:val="Normal"/>
    <w:next w:val="Normal"/>
    <w:autoRedefine/>
    <w:uiPriority w:val="39"/>
    <w:rsid w:val="002168E0"/>
    <w:pPr>
      <w:tabs>
        <w:tab w:val="left" w:pos="540"/>
        <w:tab w:val="right" w:leader="dot" w:pos="8741"/>
      </w:tabs>
      <w:spacing w:before="240" w:after="240"/>
      <w:ind w:left="547" w:hanging="547"/>
    </w:pPr>
    <w:rPr>
      <w:rFonts w:ascii="Arial" w:hAnsi="Arial"/>
      <w:b/>
      <w:smallCaps/>
      <w:noProof/>
      <w:sz w:val="22"/>
      <w:szCs w:val="22"/>
    </w:rPr>
  </w:style>
  <w:style w:type="paragraph" w:styleId="TOC2">
    <w:name w:val="toc 2"/>
    <w:basedOn w:val="Normal"/>
    <w:next w:val="Normal"/>
    <w:autoRedefine/>
    <w:uiPriority w:val="39"/>
    <w:rsid w:val="002168E0"/>
    <w:pPr>
      <w:tabs>
        <w:tab w:val="left" w:pos="540"/>
        <w:tab w:val="left" w:pos="600"/>
        <w:tab w:val="left" w:pos="1152"/>
        <w:tab w:val="right" w:leader="dot" w:pos="8741"/>
      </w:tabs>
      <w:ind w:left="1166" w:hanging="605"/>
    </w:pPr>
    <w:rPr>
      <w:rFonts w:ascii="Arial" w:hAnsi="Arial"/>
      <w:noProof/>
      <w:sz w:val="22"/>
    </w:rPr>
  </w:style>
  <w:style w:type="paragraph" w:styleId="TOC3">
    <w:name w:val="toc 3"/>
    <w:basedOn w:val="Normal"/>
    <w:next w:val="Normal"/>
    <w:autoRedefine/>
    <w:uiPriority w:val="39"/>
    <w:rsid w:val="002168E0"/>
    <w:pPr>
      <w:tabs>
        <w:tab w:val="left" w:pos="1728"/>
      </w:tabs>
      <w:ind w:left="1714" w:hanging="562"/>
    </w:pPr>
    <w:rPr>
      <w:rFonts w:ascii="Arial" w:hAnsi="Arial"/>
      <w:sz w:val="22"/>
      <w:lang w:val="es-ES"/>
    </w:rPr>
  </w:style>
  <w:style w:type="character" w:styleId="Hyperlink">
    <w:name w:val="Hyperlink"/>
    <w:basedOn w:val="DefaultParagraphFont"/>
    <w:uiPriority w:val="99"/>
    <w:rsid w:val="00ED751C"/>
    <w:rPr>
      <w:color w:val="0000FF"/>
      <w:u w:val="single"/>
    </w:rPr>
  </w:style>
  <w:style w:type="character" w:styleId="FootnoteReference">
    <w:name w:val="footnote reference"/>
    <w:aliases w:val="Footnote Referencefra,titulo 2,Style 24,pie pddes,referencia nota al pie,Fußnotenzeichen DISS,16 Point,Superscript 6 Point,ftref,FC,Ref. de nota al pie.,BVI fnr,Texto de nota al pie,Ref. de nota al pie2,Nota de pie,Texto nota al pie"/>
    <w:basedOn w:val="DefaultParagraphFont"/>
    <w:uiPriority w:val="99"/>
    <w:rsid w:val="00ED751C"/>
    <w:rPr>
      <w:vertAlign w:val="superscript"/>
    </w:rPr>
  </w:style>
  <w:style w:type="paragraph" w:styleId="BodyTextIndent">
    <w:name w:val="Body Text Indent"/>
    <w:basedOn w:val="Normal"/>
    <w:link w:val="BodyTextIndentChar"/>
    <w:uiPriority w:val="99"/>
    <w:semiHidden/>
    <w:unhideWhenUsed/>
    <w:rsid w:val="00ED751C"/>
    <w:pPr>
      <w:spacing w:after="120"/>
      <w:ind w:left="360"/>
    </w:pPr>
  </w:style>
  <w:style w:type="character" w:styleId="BodyTextIndentChar" w:customStyle="1">
    <w:name w:val="Body Text Indent Char"/>
    <w:basedOn w:val="DefaultParagraphFont"/>
    <w:link w:val="BodyTextIndent"/>
    <w:uiPriority w:val="99"/>
    <w:semiHidden/>
    <w:rsid w:val="00ED751C"/>
    <w:rPr>
      <w:rFonts w:ascii="Times New Roman" w:hAnsi="Times New Roman" w:eastAsia="Times New Roman" w:cs="Times New Roman"/>
      <w:sz w:val="24"/>
      <w:szCs w:val="20"/>
      <w:lang w:val="es-ES_tradnl"/>
    </w:rPr>
  </w:style>
  <w:style w:type="paragraph" w:styleId="BodyTextIndent3">
    <w:name w:val="Body Text Indent 3"/>
    <w:basedOn w:val="Normal"/>
    <w:link w:val="BodyTextIndent3Char"/>
    <w:uiPriority w:val="99"/>
    <w:semiHidden/>
    <w:unhideWhenUsed/>
    <w:rsid w:val="00ED751C"/>
    <w:pPr>
      <w:spacing w:after="120"/>
      <w:ind w:left="360"/>
    </w:pPr>
    <w:rPr>
      <w:szCs w:val="16"/>
    </w:rPr>
  </w:style>
  <w:style w:type="character" w:styleId="BodyTextIndent3Char" w:customStyle="1">
    <w:name w:val="Body Text Indent 3 Char"/>
    <w:basedOn w:val="DefaultParagraphFont"/>
    <w:link w:val="BodyTextIndent3"/>
    <w:uiPriority w:val="99"/>
    <w:semiHidden/>
    <w:rsid w:val="00ED751C"/>
    <w:rPr>
      <w:rFonts w:ascii="Times New Roman" w:hAnsi="Times New Roman" w:eastAsia="Times New Roman" w:cs="Times New Roman"/>
      <w:sz w:val="24"/>
      <w:szCs w:val="16"/>
      <w:lang w:val="es-ES_tradnl"/>
    </w:rPr>
  </w:style>
  <w:style w:type="paragraph" w:styleId="Regtable" w:customStyle="1">
    <w:name w:val="Regtable"/>
    <w:basedOn w:val="Normal"/>
    <w:link w:val="RegtableChar"/>
    <w:rsid w:val="00EB0154"/>
    <w:pPr>
      <w:keepLines/>
      <w:framePr w:wrap="around" w:hAnchor="text" w:vAnchor="text" w:y="1"/>
      <w:spacing w:before="20" w:after="20"/>
    </w:pPr>
    <w:rPr>
      <w:sz w:val="20"/>
    </w:rPr>
  </w:style>
  <w:style w:type="character" w:styleId="RegtableChar" w:customStyle="1">
    <w:name w:val="Regtable Char"/>
    <w:basedOn w:val="DefaultParagraphFont"/>
    <w:link w:val="Regtable"/>
    <w:rsid w:val="00EB0154"/>
    <w:rPr>
      <w:rFonts w:ascii="Times New Roman" w:hAnsi="Times New Roman" w:eastAsia="Times New Roman" w:cs="Times New Roman"/>
      <w:sz w:val="20"/>
      <w:szCs w:val="20"/>
      <w:lang w:val="es-ES_tradnl"/>
    </w:rPr>
  </w:style>
  <w:style w:type="paragraph" w:styleId="TableTitle" w:customStyle="1">
    <w:name w:val="TableTitle"/>
    <w:basedOn w:val="Normal"/>
    <w:link w:val="TableTitleChar"/>
    <w:rsid w:val="00EB0154"/>
    <w:pPr>
      <w:keepNext/>
      <w:framePr w:wrap="around" w:hAnchor="text" w:vAnchor="text" w:y="1"/>
      <w:spacing w:before="20" w:after="20"/>
      <w:jc w:val="center"/>
    </w:pPr>
    <w:rPr>
      <w:rFonts w:ascii="Times New Roman Bold" w:hAnsi="Times New Roman Bold"/>
      <w:b/>
      <w:spacing w:val="-3"/>
      <w:sz w:val="20"/>
    </w:rPr>
  </w:style>
  <w:style w:type="character" w:styleId="TableTitleChar" w:customStyle="1">
    <w:name w:val="TableTitle Char"/>
    <w:basedOn w:val="DefaultParagraphFont"/>
    <w:link w:val="TableTitle"/>
    <w:rsid w:val="00EB0154"/>
    <w:rPr>
      <w:rFonts w:ascii="Times New Roman Bold" w:hAnsi="Times New Roman Bold" w:eastAsia="Times New Roman" w:cs="Times New Roman"/>
      <w:b/>
      <w:spacing w:val="-3"/>
      <w:sz w:val="20"/>
      <w:szCs w:val="20"/>
      <w:lang w:val="es-ES_tradnl"/>
    </w:rPr>
  </w:style>
  <w:style w:type="character" w:styleId="Heading5Char" w:customStyle="1">
    <w:name w:val="Heading 5 Char"/>
    <w:aliases w:val="Heading 5.(i) Char"/>
    <w:basedOn w:val="DefaultParagraphFont"/>
    <w:link w:val="Heading5"/>
    <w:rsid w:val="00EB0154"/>
    <w:rPr>
      <w:rFonts w:asciiTheme="majorHAnsi" w:hAnsiTheme="majorHAnsi" w:eastAsiaTheme="majorEastAsia" w:cstheme="majorBidi"/>
      <w:color w:val="243F60" w:themeColor="accent1" w:themeShade="7F"/>
      <w:sz w:val="24"/>
      <w:szCs w:val="20"/>
      <w:lang w:val="es-ES_tradnl"/>
    </w:rPr>
  </w:style>
  <w:style w:type="character" w:styleId="Heading6Char" w:customStyle="1">
    <w:name w:val="Heading 6 Char"/>
    <w:basedOn w:val="DefaultParagraphFont"/>
    <w:link w:val="Heading6"/>
    <w:uiPriority w:val="9"/>
    <w:rsid w:val="00EB0154"/>
    <w:rPr>
      <w:rFonts w:asciiTheme="majorHAnsi" w:hAnsiTheme="majorHAnsi" w:eastAsiaTheme="majorEastAsia" w:cstheme="majorBidi"/>
      <w:i/>
      <w:iCs/>
      <w:color w:val="243F60" w:themeColor="accent1" w:themeShade="7F"/>
      <w:sz w:val="24"/>
      <w:szCs w:val="20"/>
      <w:lang w:val="es-ES_tradnl"/>
    </w:rPr>
  </w:style>
  <w:style w:type="character" w:styleId="Heading7Char" w:customStyle="1">
    <w:name w:val="Heading 7 Char"/>
    <w:basedOn w:val="DefaultParagraphFont"/>
    <w:link w:val="Heading7"/>
    <w:uiPriority w:val="9"/>
    <w:rsid w:val="00EB0154"/>
    <w:rPr>
      <w:rFonts w:asciiTheme="majorHAnsi" w:hAnsiTheme="majorHAnsi" w:eastAsiaTheme="majorEastAsia" w:cstheme="majorBidi"/>
      <w:i/>
      <w:iCs/>
      <w:color w:val="404040" w:themeColor="text1" w:themeTint="BF"/>
      <w:sz w:val="24"/>
      <w:szCs w:val="20"/>
      <w:lang w:val="es-ES_tradnl"/>
    </w:rPr>
  </w:style>
  <w:style w:type="character" w:styleId="Heading8Char" w:customStyle="1">
    <w:name w:val="Heading 8 Char"/>
    <w:basedOn w:val="DefaultParagraphFont"/>
    <w:link w:val="Heading8"/>
    <w:uiPriority w:val="9"/>
    <w:rsid w:val="00EB0154"/>
    <w:rPr>
      <w:rFonts w:asciiTheme="majorHAnsi" w:hAnsiTheme="majorHAnsi" w:eastAsiaTheme="majorEastAsia" w:cstheme="majorBidi"/>
      <w:color w:val="404040" w:themeColor="text1" w:themeTint="BF"/>
      <w:sz w:val="20"/>
      <w:szCs w:val="20"/>
      <w:lang w:val="es-ES_tradnl"/>
    </w:rPr>
  </w:style>
  <w:style w:type="character" w:styleId="Heading9Char" w:customStyle="1">
    <w:name w:val="Heading 9 Char"/>
    <w:basedOn w:val="DefaultParagraphFont"/>
    <w:link w:val="Heading9"/>
    <w:uiPriority w:val="9"/>
    <w:rsid w:val="00EB0154"/>
    <w:rPr>
      <w:rFonts w:asciiTheme="majorHAnsi" w:hAnsiTheme="majorHAnsi" w:eastAsiaTheme="majorEastAsia" w:cstheme="majorBidi"/>
      <w:i/>
      <w:iCs/>
      <w:color w:val="404040" w:themeColor="text1" w:themeTint="BF"/>
      <w:sz w:val="20"/>
      <w:szCs w:val="20"/>
      <w:lang w:val="es-ES_tradnl"/>
    </w:rPr>
  </w:style>
  <w:style w:type="character" w:styleId="Heading1Char" w:customStyle="1">
    <w:name w:val="Heading 1 Char"/>
    <w:basedOn w:val="DefaultParagraphFont"/>
    <w:link w:val="Heading1"/>
    <w:rsid w:val="00DD17C3"/>
    <w:rPr>
      <w:rFonts w:ascii="Arial" w:hAnsi="Arial" w:eastAsia="Times New Roman" w:cs="Times New Roman"/>
      <w:b/>
      <w:kern w:val="28"/>
      <w:sz w:val="28"/>
      <w:szCs w:val="20"/>
    </w:rPr>
  </w:style>
  <w:style w:type="character" w:styleId="Heading2Char" w:customStyle="1">
    <w:name w:val="Heading 2 Char"/>
    <w:basedOn w:val="DefaultParagraphFont"/>
    <w:link w:val="Heading2"/>
    <w:rsid w:val="00DD17C3"/>
    <w:rPr>
      <w:rFonts w:ascii="Arial" w:hAnsi="Arial" w:eastAsia="Times New Roman" w:cs="Times New Roman"/>
      <w:b/>
      <w:i/>
      <w:sz w:val="24"/>
      <w:szCs w:val="20"/>
    </w:rPr>
  </w:style>
  <w:style w:type="character" w:styleId="Heading3Char" w:customStyle="1">
    <w:name w:val="Heading 3 Char"/>
    <w:basedOn w:val="DefaultParagraphFont"/>
    <w:link w:val="Heading3"/>
    <w:rsid w:val="003474DA"/>
    <w:rPr>
      <w:rFonts w:ascii="Arial" w:hAnsi="Arial" w:eastAsia="Times New Roman" w:cs="Times New Roman"/>
      <w:sz w:val="24"/>
      <w:szCs w:val="20"/>
      <w:lang w:val="es-ES_tradnl"/>
    </w:rPr>
  </w:style>
  <w:style w:type="character" w:styleId="Heading4Char" w:customStyle="1">
    <w:name w:val="Heading 4 Char"/>
    <w:basedOn w:val="DefaultParagraphFont"/>
    <w:link w:val="Heading4"/>
    <w:rsid w:val="003474DA"/>
    <w:rPr>
      <w:rFonts w:ascii="Arial" w:hAnsi="Arial" w:eastAsia="Times New Roman" w:cs="Times New Roman"/>
      <w:b/>
      <w:sz w:val="24"/>
      <w:szCs w:val="20"/>
      <w:lang w:val="es-ES_tradnl"/>
    </w:rPr>
  </w:style>
  <w:style w:type="paragraph" w:styleId="ListParagraph">
    <w:name w:val="List Paragraph"/>
    <w:aliases w:val="Bullets,References,titulo 5,Párrafo de lista1"/>
    <w:basedOn w:val="Normal"/>
    <w:link w:val="ListParagraphChar"/>
    <w:uiPriority w:val="34"/>
    <w:qFormat/>
    <w:rsid w:val="00F138F1"/>
    <w:pPr>
      <w:ind w:left="720"/>
      <w:contextualSpacing/>
    </w:pPr>
  </w:style>
  <w:style w:type="paragraph" w:styleId="xl29" w:customStyle="1">
    <w:name w:val="xl29"/>
    <w:basedOn w:val="Normal"/>
    <w:rsid w:val="00E50BE1"/>
    <w:pPr>
      <w:pBdr>
        <w:left w:val="single" w:color="auto" w:sz="4" w:space="0"/>
        <w:bottom w:val="single" w:color="auto" w:sz="4" w:space="0"/>
      </w:pBdr>
      <w:spacing w:before="100" w:beforeAutospacing="1" w:after="100" w:afterAutospacing="1"/>
      <w:jc w:val="center"/>
    </w:pPr>
    <w:rPr>
      <w:rFonts w:ascii="Arial" w:hAnsi="Arial" w:eastAsia="Arial Unicode MS" w:cs="Arial"/>
      <w:b/>
      <w:bCs/>
      <w:szCs w:val="24"/>
      <w:lang w:val="en-US"/>
    </w:rPr>
  </w:style>
  <w:style w:type="table" w:styleId="TableGrid">
    <w:name w:val="Table Grid"/>
    <w:basedOn w:val="TableNormal"/>
    <w:uiPriority w:val="59"/>
    <w:rsid w:val="00516187"/>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BalloonText">
    <w:name w:val="Balloon Text"/>
    <w:basedOn w:val="Normal"/>
    <w:link w:val="BalloonTextChar"/>
    <w:uiPriority w:val="99"/>
    <w:semiHidden/>
    <w:unhideWhenUsed/>
    <w:rsid w:val="003414E3"/>
    <w:rPr>
      <w:rFonts w:ascii="Tahoma" w:hAnsi="Tahoma" w:cs="Tahoma"/>
      <w:sz w:val="16"/>
      <w:szCs w:val="16"/>
    </w:rPr>
  </w:style>
  <w:style w:type="character" w:styleId="BalloonTextChar" w:customStyle="1">
    <w:name w:val="Balloon Text Char"/>
    <w:basedOn w:val="DefaultParagraphFont"/>
    <w:link w:val="BalloonText"/>
    <w:uiPriority w:val="99"/>
    <w:semiHidden/>
    <w:rsid w:val="003414E3"/>
    <w:rPr>
      <w:rFonts w:ascii="Tahoma" w:hAnsi="Tahoma" w:eastAsia="Times New Roman" w:cs="Tahoma"/>
      <w:sz w:val="16"/>
      <w:szCs w:val="16"/>
      <w:lang w:val="es-ES_tradnl"/>
    </w:rPr>
  </w:style>
  <w:style w:type="character" w:styleId="ParagraphChar" w:customStyle="1">
    <w:name w:val="Paragraph Char"/>
    <w:aliases w:val="paragraph Char,p Char,PARAGRAPH Char,PG Char,pa Char,at Char"/>
    <w:link w:val="Paragraph"/>
    <w:locked/>
    <w:rsid w:val="00D71198"/>
    <w:rPr>
      <w:rFonts w:ascii="Times New Roman" w:hAnsi="Times New Roman" w:eastAsia="Times New Roman" w:cs="Times New Roman"/>
      <w:sz w:val="24"/>
      <w:szCs w:val="20"/>
      <w:lang w:val="es-ES"/>
    </w:rPr>
  </w:style>
  <w:style w:type="character" w:styleId="Mention">
    <w:name w:val="Mention"/>
    <w:basedOn w:val="DefaultParagraphFont"/>
    <w:uiPriority w:val="99"/>
    <w:semiHidden/>
    <w:unhideWhenUsed/>
    <w:rsid w:val="002169EB"/>
    <w:rPr>
      <w:color w:val="2B579A"/>
      <w:shd w:val="clear" w:color="auto" w:fill="E6E6E6"/>
    </w:rPr>
  </w:style>
  <w:style w:type="character" w:styleId="FollowedHyperlink">
    <w:name w:val="FollowedHyperlink"/>
    <w:basedOn w:val="DefaultParagraphFont"/>
    <w:uiPriority w:val="99"/>
    <w:semiHidden/>
    <w:unhideWhenUsed/>
    <w:rsid w:val="00FE5066"/>
    <w:rPr>
      <w:color w:val="800080" w:themeColor="followedHyperlink"/>
      <w:u w:val="single"/>
    </w:rPr>
  </w:style>
  <w:style w:type="character" w:styleId="CommentReference">
    <w:name w:val="annotation reference"/>
    <w:basedOn w:val="DefaultParagraphFont"/>
    <w:uiPriority w:val="99"/>
    <w:semiHidden/>
    <w:unhideWhenUsed/>
    <w:rsid w:val="003944F9"/>
    <w:rPr>
      <w:sz w:val="16"/>
      <w:szCs w:val="16"/>
    </w:rPr>
  </w:style>
  <w:style w:type="paragraph" w:styleId="CommentText">
    <w:name w:val="annotation text"/>
    <w:basedOn w:val="Normal"/>
    <w:link w:val="CommentTextChar"/>
    <w:uiPriority w:val="99"/>
    <w:semiHidden/>
    <w:unhideWhenUsed/>
    <w:rsid w:val="003944F9"/>
    <w:rPr>
      <w:sz w:val="20"/>
    </w:rPr>
  </w:style>
  <w:style w:type="character" w:styleId="CommentTextChar" w:customStyle="1">
    <w:name w:val="Comment Text Char"/>
    <w:basedOn w:val="DefaultParagraphFont"/>
    <w:link w:val="CommentText"/>
    <w:uiPriority w:val="99"/>
    <w:semiHidden/>
    <w:rsid w:val="003944F9"/>
    <w:rPr>
      <w:rFonts w:ascii="Times New Roman" w:hAnsi="Times New Roman" w:eastAsia="Times New Roman" w:cs="Times New Roman"/>
      <w:sz w:val="20"/>
      <w:szCs w:val="20"/>
      <w:lang w:val="es-ES_tradnl"/>
    </w:rPr>
  </w:style>
  <w:style w:type="paragraph" w:styleId="CommentSubject">
    <w:name w:val="annotation subject"/>
    <w:basedOn w:val="CommentText"/>
    <w:next w:val="CommentText"/>
    <w:link w:val="CommentSubjectChar"/>
    <w:uiPriority w:val="99"/>
    <w:semiHidden/>
    <w:unhideWhenUsed/>
    <w:rsid w:val="003944F9"/>
    <w:rPr>
      <w:b/>
      <w:bCs/>
    </w:rPr>
  </w:style>
  <w:style w:type="character" w:styleId="CommentSubjectChar" w:customStyle="1">
    <w:name w:val="Comment Subject Char"/>
    <w:basedOn w:val="CommentTextChar"/>
    <w:link w:val="CommentSubject"/>
    <w:uiPriority w:val="99"/>
    <w:semiHidden/>
    <w:rsid w:val="003944F9"/>
    <w:rPr>
      <w:rFonts w:ascii="Times New Roman" w:hAnsi="Times New Roman" w:eastAsia="Times New Roman" w:cs="Times New Roman"/>
      <w:b/>
      <w:bCs/>
      <w:sz w:val="20"/>
      <w:szCs w:val="20"/>
      <w:lang w:val="es-ES_tradnl"/>
    </w:rPr>
  </w:style>
  <w:style w:type="paragraph" w:styleId="Revision">
    <w:name w:val="Revision"/>
    <w:hidden/>
    <w:uiPriority w:val="99"/>
    <w:semiHidden/>
    <w:rsid w:val="0001519E"/>
    <w:pPr>
      <w:spacing w:after="0" w:line="240" w:lineRule="auto"/>
    </w:pPr>
    <w:rPr>
      <w:rFonts w:ascii="Times New Roman" w:hAnsi="Times New Roman" w:eastAsia="Times New Roman" w:cs="Times New Roman"/>
      <w:sz w:val="24"/>
      <w:szCs w:val="20"/>
      <w:lang w:val="es-ES_tradnl"/>
    </w:rPr>
  </w:style>
  <w:style w:type="paragraph" w:styleId="NormalWeb">
    <w:name w:val="Normal (Web)"/>
    <w:basedOn w:val="Normal"/>
    <w:uiPriority w:val="99"/>
    <w:semiHidden/>
    <w:unhideWhenUsed/>
    <w:rsid w:val="00C11ECA"/>
    <w:rPr>
      <w:szCs w:val="24"/>
    </w:rPr>
  </w:style>
  <w:style w:type="character" w:styleId="apple-converted-space" w:customStyle="1">
    <w:name w:val="apple-converted-space"/>
    <w:basedOn w:val="DefaultParagraphFont"/>
    <w:rsid w:val="00586D57"/>
  </w:style>
  <w:style w:type="character" w:styleId="ListParagraphChar" w:customStyle="1">
    <w:name w:val="List Paragraph Char"/>
    <w:aliases w:val="Bullets Char,References Char,titulo 5 Char,Párrafo de lista1 Char"/>
    <w:basedOn w:val="DefaultParagraphFont"/>
    <w:link w:val="ListParagraph"/>
    <w:uiPriority w:val="34"/>
    <w:rsid w:val="00EB00AD"/>
    <w:rPr>
      <w:rFonts w:ascii="Times New Roman" w:hAnsi="Times New Roman" w:eastAsia="Times New Roman" w:cs="Times New Roman"/>
      <w:sz w:val="24"/>
      <w:szCs w:val="20"/>
      <w:lang w:val="es-ES_tradnl"/>
    </w:rPr>
  </w:style>
  <w:style w:type="paragraph" w:styleId="TOC5">
    <w:name w:val="toc 5"/>
    <w:basedOn w:val="Normal"/>
    <w:next w:val="Normal"/>
    <w:autoRedefine/>
    <w:uiPriority w:val="39"/>
    <w:unhideWhenUsed/>
    <w:rsid w:val="002168E0"/>
    <w:pPr>
      <w:spacing w:after="100" w:line="259" w:lineRule="auto"/>
      <w:ind w:left="880"/>
    </w:pPr>
    <w:rPr>
      <w:rFonts w:asciiTheme="minorHAnsi" w:hAnsiTheme="minorHAnsi" w:eastAsiaTheme="minorEastAsia" w:cstheme="minorBidi"/>
      <w:sz w:val="22"/>
      <w:szCs w:val="22"/>
      <w:lang w:val="en-US"/>
    </w:rPr>
  </w:style>
  <w:style w:type="paragraph" w:styleId="TOC4">
    <w:name w:val="toc 4"/>
    <w:basedOn w:val="Normal"/>
    <w:next w:val="Normal"/>
    <w:autoRedefine/>
    <w:uiPriority w:val="39"/>
    <w:unhideWhenUsed/>
    <w:rsid w:val="002168E0"/>
    <w:pPr>
      <w:spacing w:after="100"/>
      <w:ind w:left="720"/>
    </w:pPr>
    <w:rPr>
      <w:rFonts w:ascii="Arial" w:hAnsi="Arial"/>
      <w:sz w:val="22"/>
    </w:rPr>
  </w:style>
  <w:style w:type="paragraph" w:styleId="TOC6">
    <w:name w:val="toc 6"/>
    <w:basedOn w:val="Normal"/>
    <w:next w:val="Normal"/>
    <w:autoRedefine/>
    <w:uiPriority w:val="39"/>
    <w:unhideWhenUsed/>
    <w:rsid w:val="002168E0"/>
    <w:pPr>
      <w:spacing w:after="100" w:line="259" w:lineRule="auto"/>
      <w:ind w:left="1100"/>
    </w:pPr>
    <w:rPr>
      <w:rFonts w:asciiTheme="minorHAnsi" w:hAnsiTheme="minorHAnsi" w:eastAsiaTheme="minorEastAsia" w:cstheme="minorBidi"/>
      <w:sz w:val="22"/>
      <w:szCs w:val="22"/>
      <w:lang w:val="en-US"/>
    </w:rPr>
  </w:style>
  <w:style w:type="paragraph" w:styleId="TOC7">
    <w:name w:val="toc 7"/>
    <w:basedOn w:val="Normal"/>
    <w:next w:val="Normal"/>
    <w:autoRedefine/>
    <w:uiPriority w:val="39"/>
    <w:unhideWhenUsed/>
    <w:rsid w:val="002168E0"/>
    <w:pPr>
      <w:spacing w:after="100" w:line="259" w:lineRule="auto"/>
      <w:ind w:left="1320"/>
    </w:pPr>
    <w:rPr>
      <w:rFonts w:asciiTheme="minorHAnsi" w:hAnsiTheme="minorHAnsi" w:eastAsiaTheme="minorEastAsia" w:cstheme="minorBidi"/>
      <w:sz w:val="22"/>
      <w:szCs w:val="22"/>
      <w:lang w:val="en-US"/>
    </w:rPr>
  </w:style>
  <w:style w:type="paragraph" w:styleId="TOC8">
    <w:name w:val="toc 8"/>
    <w:basedOn w:val="Normal"/>
    <w:next w:val="Normal"/>
    <w:autoRedefine/>
    <w:uiPriority w:val="39"/>
    <w:unhideWhenUsed/>
    <w:rsid w:val="002168E0"/>
    <w:pPr>
      <w:spacing w:after="100" w:line="259" w:lineRule="auto"/>
      <w:ind w:left="1540"/>
    </w:pPr>
    <w:rPr>
      <w:rFonts w:asciiTheme="minorHAnsi" w:hAnsiTheme="minorHAnsi" w:eastAsiaTheme="minorEastAsia" w:cstheme="minorBidi"/>
      <w:sz w:val="22"/>
      <w:szCs w:val="22"/>
      <w:lang w:val="en-US"/>
    </w:rPr>
  </w:style>
  <w:style w:type="paragraph" w:styleId="TOC9">
    <w:name w:val="toc 9"/>
    <w:basedOn w:val="Normal"/>
    <w:next w:val="Normal"/>
    <w:autoRedefine/>
    <w:uiPriority w:val="39"/>
    <w:unhideWhenUsed/>
    <w:rsid w:val="002168E0"/>
    <w:pPr>
      <w:spacing w:after="100" w:line="259" w:lineRule="auto"/>
      <w:ind w:left="1760"/>
    </w:pPr>
    <w:rPr>
      <w:rFonts w:asciiTheme="minorHAnsi" w:hAnsiTheme="minorHAnsi" w:eastAsiaTheme="minorEastAsia" w:cstheme="minorBidi"/>
      <w:sz w:val="22"/>
      <w:szCs w:val="22"/>
      <w:lang w:val="en-US"/>
    </w:rPr>
  </w:style>
  <w:style w:type="character" w:styleId="UnresolvedMention">
    <w:name w:val="Unresolved Mention"/>
    <w:basedOn w:val="DefaultParagraphFont"/>
    <w:uiPriority w:val="99"/>
    <w:semiHidden/>
    <w:unhideWhenUsed/>
    <w:rsid w:val="002168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051492">
      <w:bodyDiv w:val="1"/>
      <w:marLeft w:val="0"/>
      <w:marRight w:val="0"/>
      <w:marTop w:val="0"/>
      <w:marBottom w:val="0"/>
      <w:divBdr>
        <w:top w:val="none" w:sz="0" w:space="0" w:color="auto"/>
        <w:left w:val="none" w:sz="0" w:space="0" w:color="auto"/>
        <w:bottom w:val="none" w:sz="0" w:space="0" w:color="auto"/>
        <w:right w:val="none" w:sz="0" w:space="0" w:color="auto"/>
      </w:divBdr>
    </w:div>
    <w:div w:id="521476636">
      <w:bodyDiv w:val="1"/>
      <w:marLeft w:val="0"/>
      <w:marRight w:val="0"/>
      <w:marTop w:val="0"/>
      <w:marBottom w:val="0"/>
      <w:divBdr>
        <w:top w:val="none" w:sz="0" w:space="0" w:color="auto"/>
        <w:left w:val="none" w:sz="0" w:space="0" w:color="auto"/>
        <w:bottom w:val="none" w:sz="0" w:space="0" w:color="auto"/>
        <w:right w:val="none" w:sz="0" w:space="0" w:color="auto"/>
      </w:divBdr>
      <w:divsChild>
        <w:div w:id="1007443655">
          <w:marLeft w:val="0"/>
          <w:marRight w:val="0"/>
          <w:marTop w:val="0"/>
          <w:marBottom w:val="0"/>
          <w:divBdr>
            <w:top w:val="none" w:sz="0" w:space="0" w:color="auto"/>
            <w:left w:val="none" w:sz="0" w:space="0" w:color="auto"/>
            <w:bottom w:val="none" w:sz="0" w:space="0" w:color="auto"/>
            <w:right w:val="none" w:sz="0" w:space="0" w:color="auto"/>
          </w:divBdr>
          <w:divsChild>
            <w:div w:id="1574924501">
              <w:marLeft w:val="0"/>
              <w:marRight w:val="0"/>
              <w:marTop w:val="0"/>
              <w:marBottom w:val="0"/>
              <w:divBdr>
                <w:top w:val="none" w:sz="0" w:space="0" w:color="auto"/>
                <w:left w:val="none" w:sz="0" w:space="0" w:color="auto"/>
                <w:bottom w:val="none" w:sz="0" w:space="0" w:color="auto"/>
                <w:right w:val="none" w:sz="0" w:space="0" w:color="auto"/>
              </w:divBdr>
              <w:divsChild>
                <w:div w:id="1262101699">
                  <w:marLeft w:val="0"/>
                  <w:marRight w:val="0"/>
                  <w:marTop w:val="0"/>
                  <w:marBottom w:val="0"/>
                  <w:divBdr>
                    <w:top w:val="none" w:sz="0" w:space="0" w:color="auto"/>
                    <w:left w:val="none" w:sz="0" w:space="0" w:color="auto"/>
                    <w:bottom w:val="none" w:sz="0" w:space="0" w:color="auto"/>
                    <w:right w:val="none" w:sz="0" w:space="0" w:color="auto"/>
                  </w:divBdr>
                  <w:divsChild>
                    <w:div w:id="1493527978">
                      <w:marLeft w:val="0"/>
                      <w:marRight w:val="0"/>
                      <w:marTop w:val="0"/>
                      <w:marBottom w:val="0"/>
                      <w:divBdr>
                        <w:top w:val="none" w:sz="0" w:space="0" w:color="auto"/>
                        <w:left w:val="none" w:sz="0" w:space="0" w:color="auto"/>
                        <w:bottom w:val="none" w:sz="0" w:space="0" w:color="auto"/>
                        <w:right w:val="none" w:sz="0" w:space="0" w:color="auto"/>
                      </w:divBdr>
                      <w:divsChild>
                        <w:div w:id="1974559853">
                          <w:marLeft w:val="0"/>
                          <w:marRight w:val="0"/>
                          <w:marTop w:val="0"/>
                          <w:marBottom w:val="0"/>
                          <w:divBdr>
                            <w:top w:val="none" w:sz="0" w:space="0" w:color="auto"/>
                            <w:left w:val="none" w:sz="0" w:space="0" w:color="auto"/>
                            <w:bottom w:val="none" w:sz="0" w:space="0" w:color="auto"/>
                            <w:right w:val="none" w:sz="0" w:space="0" w:color="auto"/>
                          </w:divBdr>
                          <w:divsChild>
                            <w:div w:id="2123302892">
                              <w:marLeft w:val="0"/>
                              <w:marRight w:val="0"/>
                              <w:marTop w:val="0"/>
                              <w:marBottom w:val="0"/>
                              <w:divBdr>
                                <w:top w:val="none" w:sz="0" w:space="0" w:color="auto"/>
                                <w:left w:val="none" w:sz="0" w:space="0" w:color="auto"/>
                                <w:bottom w:val="none" w:sz="0" w:space="0" w:color="auto"/>
                                <w:right w:val="none" w:sz="0" w:space="0" w:color="auto"/>
                              </w:divBdr>
                              <w:divsChild>
                                <w:div w:id="853540870">
                                  <w:marLeft w:val="0"/>
                                  <w:marRight w:val="0"/>
                                  <w:marTop w:val="0"/>
                                  <w:marBottom w:val="0"/>
                                  <w:divBdr>
                                    <w:top w:val="none" w:sz="0" w:space="0" w:color="auto"/>
                                    <w:left w:val="none" w:sz="0" w:space="0" w:color="auto"/>
                                    <w:bottom w:val="none" w:sz="0" w:space="0" w:color="auto"/>
                                    <w:right w:val="none" w:sz="0" w:space="0" w:color="auto"/>
                                  </w:divBdr>
                                  <w:divsChild>
                                    <w:div w:id="482697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27718822">
      <w:bodyDiv w:val="1"/>
      <w:marLeft w:val="0"/>
      <w:marRight w:val="0"/>
      <w:marTop w:val="0"/>
      <w:marBottom w:val="0"/>
      <w:divBdr>
        <w:top w:val="none" w:sz="0" w:space="0" w:color="auto"/>
        <w:left w:val="none" w:sz="0" w:space="0" w:color="auto"/>
        <w:bottom w:val="none" w:sz="0" w:space="0" w:color="auto"/>
        <w:right w:val="none" w:sz="0" w:space="0" w:color="auto"/>
      </w:divBdr>
    </w:div>
    <w:div w:id="554661149">
      <w:bodyDiv w:val="1"/>
      <w:marLeft w:val="0"/>
      <w:marRight w:val="0"/>
      <w:marTop w:val="0"/>
      <w:marBottom w:val="0"/>
      <w:divBdr>
        <w:top w:val="none" w:sz="0" w:space="0" w:color="auto"/>
        <w:left w:val="none" w:sz="0" w:space="0" w:color="auto"/>
        <w:bottom w:val="none" w:sz="0" w:space="0" w:color="auto"/>
        <w:right w:val="none" w:sz="0" w:space="0" w:color="auto"/>
      </w:divBdr>
      <w:divsChild>
        <w:div w:id="1751465399">
          <w:marLeft w:val="0"/>
          <w:marRight w:val="0"/>
          <w:marTop w:val="150"/>
          <w:marBottom w:val="0"/>
          <w:divBdr>
            <w:top w:val="single" w:sz="6" w:space="0" w:color="303774"/>
            <w:left w:val="single" w:sz="6" w:space="0" w:color="303774"/>
            <w:bottom w:val="single" w:sz="6" w:space="0" w:color="303774"/>
            <w:right w:val="single" w:sz="6" w:space="0" w:color="303774"/>
          </w:divBdr>
          <w:divsChild>
            <w:div w:id="772555079">
              <w:marLeft w:val="0"/>
              <w:marRight w:val="0"/>
              <w:marTop w:val="100"/>
              <w:marBottom w:val="100"/>
              <w:divBdr>
                <w:top w:val="none" w:sz="0" w:space="0" w:color="auto"/>
                <w:left w:val="none" w:sz="0" w:space="0" w:color="auto"/>
                <w:bottom w:val="none" w:sz="0" w:space="0" w:color="auto"/>
                <w:right w:val="none" w:sz="0" w:space="0" w:color="auto"/>
              </w:divBdr>
              <w:divsChild>
                <w:div w:id="1795715298">
                  <w:marLeft w:val="0"/>
                  <w:marRight w:val="0"/>
                  <w:marTop w:val="0"/>
                  <w:marBottom w:val="0"/>
                  <w:divBdr>
                    <w:top w:val="none" w:sz="0" w:space="0" w:color="auto"/>
                    <w:left w:val="none" w:sz="0" w:space="0" w:color="auto"/>
                    <w:bottom w:val="none" w:sz="0" w:space="0" w:color="auto"/>
                    <w:right w:val="none" w:sz="0" w:space="0" w:color="auto"/>
                  </w:divBdr>
                  <w:divsChild>
                    <w:div w:id="2020619540">
                      <w:marLeft w:val="0"/>
                      <w:marRight w:val="0"/>
                      <w:marTop w:val="0"/>
                      <w:marBottom w:val="0"/>
                      <w:divBdr>
                        <w:top w:val="double" w:sz="6" w:space="0" w:color="FFFFFF"/>
                        <w:left w:val="double" w:sz="6" w:space="0" w:color="FFFFFF"/>
                        <w:bottom w:val="double" w:sz="6" w:space="0" w:color="FFFFFF"/>
                        <w:right w:val="double" w:sz="6" w:space="0" w:color="FFFFFF"/>
                      </w:divBdr>
                      <w:divsChild>
                        <w:div w:id="646085487">
                          <w:marLeft w:val="0"/>
                          <w:marRight w:val="0"/>
                          <w:marTop w:val="0"/>
                          <w:marBottom w:val="0"/>
                          <w:divBdr>
                            <w:top w:val="single" w:sz="6" w:space="0" w:color="FFFFFF"/>
                            <w:left w:val="single" w:sz="6" w:space="0" w:color="FFFFFF"/>
                            <w:bottom w:val="single" w:sz="6" w:space="0" w:color="FFFFFF"/>
                            <w:right w:val="single" w:sz="6" w:space="0" w:color="FFFFFF"/>
                          </w:divBdr>
                        </w:div>
                      </w:divsChild>
                    </w:div>
                  </w:divsChild>
                </w:div>
              </w:divsChild>
            </w:div>
          </w:divsChild>
        </w:div>
      </w:divsChild>
    </w:div>
    <w:div w:id="769277512">
      <w:bodyDiv w:val="1"/>
      <w:marLeft w:val="0"/>
      <w:marRight w:val="0"/>
      <w:marTop w:val="0"/>
      <w:marBottom w:val="0"/>
      <w:divBdr>
        <w:top w:val="none" w:sz="0" w:space="0" w:color="auto"/>
        <w:left w:val="none" w:sz="0" w:space="0" w:color="auto"/>
        <w:bottom w:val="none" w:sz="0" w:space="0" w:color="auto"/>
        <w:right w:val="none" w:sz="0" w:space="0" w:color="auto"/>
      </w:divBdr>
    </w:div>
    <w:div w:id="1102917023">
      <w:bodyDiv w:val="1"/>
      <w:marLeft w:val="0"/>
      <w:marRight w:val="0"/>
      <w:marTop w:val="0"/>
      <w:marBottom w:val="0"/>
      <w:divBdr>
        <w:top w:val="none" w:sz="0" w:space="0" w:color="auto"/>
        <w:left w:val="none" w:sz="0" w:space="0" w:color="auto"/>
        <w:bottom w:val="none" w:sz="0" w:space="0" w:color="auto"/>
        <w:right w:val="none" w:sz="0" w:space="0" w:color="auto"/>
      </w:divBdr>
    </w:div>
    <w:div w:id="1409691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numbering" Target="numbering.xml" Id="rId8" /><Relationship Type="http://schemas.openxmlformats.org/officeDocument/2006/relationships/endnotes" Target="endnotes.xml" Id="rId13" /><Relationship Type="http://schemas.openxmlformats.org/officeDocument/2006/relationships/header" Target="header4.xml" Id="rId18" /><Relationship Type="http://schemas.openxmlformats.org/officeDocument/2006/relationships/image" Target="media/image1.PNG" Id="rId26" /><Relationship Type="http://schemas.openxmlformats.org/officeDocument/2006/relationships/customXml" Target="../customXml/item3.xml" Id="rId3" /><Relationship Type="http://schemas.openxmlformats.org/officeDocument/2006/relationships/footer" Target="footer3.xml" Id="rId21" /><Relationship Type="http://schemas.openxmlformats.org/officeDocument/2006/relationships/image" Target="media/image9.png" Id="rId34" /><Relationship Type="http://schemas.openxmlformats.org/officeDocument/2006/relationships/customXml" Target="../customXml/item7.xml" Id="rId7" /><Relationship Type="http://schemas.openxmlformats.org/officeDocument/2006/relationships/footnotes" Target="footnotes.xml" Id="rId12" /><Relationship Type="http://schemas.openxmlformats.org/officeDocument/2006/relationships/header" Target="header3.xml" Id="rId17" /><Relationship Type="http://schemas.openxmlformats.org/officeDocument/2006/relationships/header" Target="header9.xml" Id="rId25" /><Relationship Type="http://schemas.openxmlformats.org/officeDocument/2006/relationships/image" Target="media/image8.png" Id="rId33" /><Relationship Type="http://schemas.openxmlformats.org/officeDocument/2006/relationships/customXml" Target="../customXml/item2.xml" Id="rId2" /><Relationship Type="http://schemas.openxmlformats.org/officeDocument/2006/relationships/footer" Target="footer1.xml" Id="rId16" /><Relationship Type="http://schemas.openxmlformats.org/officeDocument/2006/relationships/footer" Target="footer2.xml" Id="rId20" /><Relationship Type="http://schemas.openxmlformats.org/officeDocument/2006/relationships/image" Target="media/image4.png" Id="rId29" /><Relationship Type="http://schemas.openxmlformats.org/officeDocument/2006/relationships/customXml" Target="../customXml/item1.xml" Id="rId1" /><Relationship Type="http://schemas.openxmlformats.org/officeDocument/2006/relationships/customXml" Target="../customXml/item6.xml" Id="rId6" /><Relationship Type="http://schemas.openxmlformats.org/officeDocument/2006/relationships/webSettings" Target="webSettings.xml" Id="rId11" /><Relationship Type="http://schemas.openxmlformats.org/officeDocument/2006/relationships/header" Target="header8.xml" Id="rId24" /><Relationship Type="http://schemas.openxmlformats.org/officeDocument/2006/relationships/image" Target="media/image7.png" Id="rId32" /><Relationship Type="http://schemas.openxmlformats.org/officeDocument/2006/relationships/customXml" Target="../customXml/item5.xml" Id="rId5" /><Relationship Type="http://schemas.openxmlformats.org/officeDocument/2006/relationships/header" Target="header2.xml" Id="rId15" /><Relationship Type="http://schemas.openxmlformats.org/officeDocument/2006/relationships/header" Target="header7.xml" Id="rId23" /><Relationship Type="http://schemas.openxmlformats.org/officeDocument/2006/relationships/image" Target="media/image3.png" Id="rId28" /><Relationship Type="http://schemas.openxmlformats.org/officeDocument/2006/relationships/theme" Target="theme/theme1.xml" Id="rId36" /><Relationship Type="http://schemas.openxmlformats.org/officeDocument/2006/relationships/settings" Target="settings.xml" Id="rId10" /><Relationship Type="http://schemas.openxmlformats.org/officeDocument/2006/relationships/header" Target="header5.xml" Id="rId19" /><Relationship Type="http://schemas.openxmlformats.org/officeDocument/2006/relationships/image" Target="media/image6.png" Id="rId31" /><Relationship Type="http://schemas.openxmlformats.org/officeDocument/2006/relationships/customXml" Target="../customXml/item4.xml" Id="rId4" /><Relationship Type="http://schemas.openxmlformats.org/officeDocument/2006/relationships/styles" Target="styles.xml" Id="rId9" /><Relationship Type="http://schemas.openxmlformats.org/officeDocument/2006/relationships/header" Target="header1.xml" Id="rId14" /><Relationship Type="http://schemas.openxmlformats.org/officeDocument/2006/relationships/header" Target="header6.xml" Id="rId22" /><Relationship Type="http://schemas.openxmlformats.org/officeDocument/2006/relationships/image" Target="media/image2.png" Id="rId27" /><Relationship Type="http://schemas.openxmlformats.org/officeDocument/2006/relationships/image" Target="media/image5.png" Id="rId30" /><Relationship Type="http://schemas.openxmlformats.org/officeDocument/2006/relationships/fontTable" Target="fontTable.xml" Id="rId35" /><Relationship Type="http://schemas.openxmlformats.org/officeDocument/2006/relationships/glossaryDocument" Target="/word/glossary/document.xml" Id="R0b3a5ed6dd5c4c4a" /></Relationships>
</file>

<file path=word/_rels/footnotes.xml.rels><?xml version="1.0" encoding="UTF-8" standalone="yes"?>
<Relationships xmlns="http://schemas.openxmlformats.org/package/2006/relationships"><Relationship Id="rId1" Type="http://schemas.openxmlformats.org/officeDocument/2006/relationships/hyperlink" Target="https://idbg.sharepoint.com/carlosja/AppData/Local/Microsoft/Windows/Temporary%20Internet%20Files/Content.Outlook/YRWID6MJ/COBERTURA%20DEL%20SERVICIO%20DE%20ENERGIA%20%20El&#201;CTRICA%20EN%20HONDURAS%202015rv-jca.pdf" TargetMode="External"/></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8e0958b4-5b00-4e1f-83e7-824467707831}"/>
      </w:docPartPr>
      <w:docPartBody>
        <w:p w14:paraId="06298F2E">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0B693B768194DC42AC99B072E6F3757D" ma:contentTypeVersion="249" ma:contentTypeDescription="A content type to manage public (operations) IDB documents" ma:contentTypeScope="" ma:versionID="09c8108b3ec079239be1614411f03714">
  <xsd:schema xmlns:xsd="http://www.w3.org/2001/XMLSchema" xmlns:xs="http://www.w3.org/2001/XMLSchema" xmlns:p="http://schemas.microsoft.com/office/2006/metadata/properties" xmlns:ns2="cdc7663a-08f0-4737-9e8c-148ce897a09c" targetNamespace="http://schemas.microsoft.com/office/2006/metadata/properties" ma:root="true" ma:fieldsID="6e08c59cf3385d45dbce77e9b73b1bfb"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HO-G1247"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UBR Contact"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Investment Grants"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Honduras</TermName>
          <TermId xmlns="http://schemas.microsoft.com/office/infopath/2007/PartnerControls">0dd9f989-602d-4742-8212-5c1b8b0b74d5</TermId>
        </TermInfo>
      </Terms>
    </ic46d7e087fd4a108fb86518ca413cc6>
    <IDBDocs_x0020_Number xmlns="cdc7663a-08f0-4737-9e8c-148ce897a09c" xsi:nil="true"/>
    <Division_x0020_or_x0020_Unit xmlns="cdc7663a-08f0-4737-9e8c-148ce897a09c">INE/ENE</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Other_x0020_Author xmlns="cdc7663a-08f0-4737-9e8c-148ce897a09c">Nancy Jesurun-Clements</Other_x0020_Author>
    <Migration_x0020_Info xmlns="cdc7663a-08f0-4737-9e8c-148ce897a09c" xsi:nil="true"/>
    <Approval_x0020_Number xmlns="cdc7663a-08f0-4737-9e8c-148ce897a09c" xsi:nil="true"/>
    <Phase xmlns="cdc7663a-08f0-4737-9e8c-148ce897a09c" xsi:nil="true"/>
    <Document_x0020_Author xmlns="cdc7663a-08f0-4737-9e8c-148ce897a09c">Bonifaz Urquizu, Jeanette</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RURAL ELECTRIFICATION</TermName>
          <TermId xmlns="http://schemas.microsoft.com/office/infopath/2007/PartnerControls">90b0719d-742a-4d45-b8c2-5e51d3fda218</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GRF</TermName>
          <TermId xmlns="http://schemas.microsoft.com/office/infopath/2007/PartnerControls">91c131c5-8288-4ee4-8c9c-34395b8e8fd9</TermId>
        </TermInfo>
      </Terms>
    </g511464f9e53401d84b16fa9b379a574>
    <TaxCatchAll xmlns="cdc7663a-08f0-4737-9e8c-148ce897a09c">
      <Value>48</Value>
      <Value>47</Value>
      <Value>30</Value>
      <Value>2</Value>
      <Value>36</Value>
    </TaxCatchAll>
    <Operation_x0020_Type xmlns="cdc7663a-08f0-4737-9e8c-148ce897a09c">Investment Grants</Operation_x0020_Type>
    <Package_x0020_Code xmlns="cdc7663a-08f0-4737-9e8c-148ce897a09c" xsi:nil="true"/>
    <Identifier xmlns="cdc7663a-08f0-4737-9e8c-148ce897a09c" xsi:nil="true"/>
    <Project_x0020_Number xmlns="cdc7663a-08f0-4737-9e8c-148ce897a09c">HO-G1247</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ENERGY</TermName>
          <TermId xmlns="http://schemas.microsoft.com/office/infopath/2007/PartnerControls">4fed196a-cd0b-4970-87de-42da17f9b203</TermId>
        </TermInfo>
      </Terms>
    </nddeef1749674d76abdbe4b239a70bc6>
    <Record_x0020_Number xmlns="cdc7663a-08f0-4737-9e8c-148ce897a09c">R0000034856</Record_x0020_Number>
    <_dlc_DocId xmlns="cdc7663a-08f0-4737-9e8c-148ce897a09c">EZSHARE-256520755-45</_dlc_DocId>
    <_dlc_DocIdUrl xmlns="cdc7663a-08f0-4737-9e8c-148ce897a09c">
      <Url>https://idbg.sharepoint.com/teams/EZ-HO-IGR/HO-G1247/_layouts/15/DocIdRedir.aspx?ID=EZSHARE-256520755-45</Url>
      <Description>EZSHARE-256520755-45</Description>
    </_dlc_DocIdUrl>
    <Related_x0020_SisCor_x0020_Numbe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Climate Change and Renewable Energy;Electricity;Energy;Energy Distribution and Transmission;Energy Management and Regulation;Energy Markets and Studies;</Webtopic>
    <Abstract xmlns="cdc7663a-08f0-4737-9e8c-148ce897a09c" xsi:nil="true"/>
    <Publishing_x0020_House xmlns="cdc7663a-08f0-4737-9e8c-148ce897a09c" xsi:nil="true"/>
  </documentManagement>
</p:properties>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0E6165-B7BA-45F7-93F3-9D5271CD70BF}">
  <ds:schemaRefs>
    <ds:schemaRef ds:uri="http://schemas.microsoft.com/sharepoint/events"/>
  </ds:schemaRefs>
</ds:datastoreItem>
</file>

<file path=customXml/itemProps2.xml><?xml version="1.0" encoding="utf-8"?>
<ds:datastoreItem xmlns:ds="http://schemas.openxmlformats.org/officeDocument/2006/customXml" ds:itemID="{162B3798-9446-40E1-8A8A-D33ABC4119F2}"/>
</file>

<file path=customXml/itemProps3.xml><?xml version="1.0" encoding="utf-8"?>
<ds:datastoreItem xmlns:ds="http://schemas.openxmlformats.org/officeDocument/2006/customXml" ds:itemID="{3D8BF5AF-7F87-4F38-AD09-DC10A9356FCC}">
  <ds:schemaRefs>
    <ds:schemaRef ds:uri="http://schemas.microsoft.com/office/2006/metadata/properties"/>
    <ds:schemaRef ds:uri="http://schemas.microsoft.com/office/infopath/2007/PartnerControls"/>
    <ds:schemaRef ds:uri="cdc7663a-08f0-4737-9e8c-148ce897a09c"/>
  </ds:schemaRefs>
</ds:datastoreItem>
</file>

<file path=customXml/itemProps4.xml><?xml version="1.0" encoding="utf-8"?>
<ds:datastoreItem xmlns:ds="http://schemas.openxmlformats.org/officeDocument/2006/customXml" ds:itemID="{CA8C2CCA-41EE-4EB3-A000-7D070B004F48}"/>
</file>

<file path=customXml/itemProps5.xml><?xml version="1.0" encoding="utf-8"?>
<ds:datastoreItem xmlns:ds="http://schemas.openxmlformats.org/officeDocument/2006/customXml" ds:itemID="{A0732A39-2EAF-45BF-ADAA-9CEB69C4836D}"/>
</file>

<file path=customXml/itemProps6.xml><?xml version="1.0" encoding="utf-8"?>
<ds:datastoreItem xmlns:ds="http://schemas.openxmlformats.org/officeDocument/2006/customXml" ds:itemID="{148AF1BC-4F53-4E1E-B2BB-D6CD745E3DC2}">
  <ds:schemaRefs>
    <ds:schemaRef ds:uri="http://schemas.microsoft.com/sharepoint/v3/contenttype/forms"/>
  </ds:schemaRefs>
</ds:datastoreItem>
</file>

<file path=customXml/itemProps7.xml><?xml version="1.0" encoding="utf-8"?>
<ds:datastoreItem xmlns:ds="http://schemas.openxmlformats.org/officeDocument/2006/customXml" ds:itemID="{503E5DDA-9388-4879-979F-B7A529BE5B26}">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Inter-American Development Bank</ap:Company>
  <ap:SharedDoc>false</ap:SharedDoc>
  <ap:HyperlinksChanged>false</ap:HyperlinksChanged>
  <ap:AppVersion>00.0001</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claudiacox</dc:creator>
  <cp:keywords/>
  <cp:lastModifiedBy>Jacome Montenegro, Carlos Alberto</cp:lastModifiedBy>
  <cp:revision>4</cp:revision>
  <cp:lastPrinted>2015-03-30T19:43:00Z</cp:lastPrinted>
  <dcterms:created xsi:type="dcterms:W3CDTF">2018-10-12T16:11:00Z</dcterms:created>
  <dcterms:modified xsi:type="dcterms:W3CDTF">2018-11-13T12:18:04Z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47;#RURAL ELECTRIFICATION|90b0719d-742a-4d45-b8c2-5e51d3fda218</vt:lpwstr>
  </property>
  <property fmtid="{D5CDD505-2E9C-101B-9397-08002B2CF9AE}" pid="7" name="Fund IDB">
    <vt:lpwstr>48;#GRF|91c131c5-8288-4ee4-8c9c-34395b8e8fd9</vt:lpwstr>
  </property>
  <property fmtid="{D5CDD505-2E9C-101B-9397-08002B2CF9AE}" pid="8" name="Country">
    <vt:lpwstr>30;#Honduras|0dd9f989-602d-4742-8212-5c1b8b0b74d5</vt:lpwstr>
  </property>
  <property fmtid="{D5CDD505-2E9C-101B-9397-08002B2CF9AE}" pid="9" name="Sector IDB">
    <vt:lpwstr>36;#ENERGY|4fed196a-cd0b-4970-87de-42da17f9b203</vt:lpwstr>
  </property>
  <property fmtid="{D5CDD505-2E9C-101B-9397-08002B2CF9AE}" pid="10" name="Function Operations IDB">
    <vt:lpwstr>2;#Monitoring and Reporting|df3c2aa1-d63e-41aa-b1f5-bb15dee691ca</vt:lpwstr>
  </property>
  <property fmtid="{D5CDD505-2E9C-101B-9397-08002B2CF9AE}" pid="11" name="_dlc_DocIdItemGuid">
    <vt:lpwstr>760b70ef-6d50-4ff5-a23c-841e796fa1be</vt:lpwstr>
  </property>
  <property fmtid="{D5CDD505-2E9C-101B-9397-08002B2CF9AE}" pid="12" name="SharedWithUsers">
    <vt:lpwstr>34;#Jacome Montenegro, Carlos Alberto;#107;#Vanegas, Wilkferg Rico;#154;#Aragon Salinas, Rodrigo Nicolas;#108;#Jesurun-Clements, Nancy</vt:lpwstr>
  </property>
  <property fmtid="{D5CDD505-2E9C-101B-9397-08002B2CF9AE}" pid="13" name="RecordStorageActiveId">
    <vt:lpwstr>17edce43-22b3-4d9d-9e64-ab97101ed3e4</vt:lpwstr>
  </property>
  <property fmtid="{D5CDD505-2E9C-101B-9397-08002B2CF9AE}" pid="14" name="Disclosure Activity">
    <vt:lpwstr>Loan Proposal</vt:lpwstr>
  </property>
  <property fmtid="{D5CDD505-2E9C-101B-9397-08002B2CF9AE}" pid="15" name="ContentTypeId">
    <vt:lpwstr>0x0101001A458A224826124E8B45B1D613300CFC000B693B768194DC42AC99B072E6F3757D</vt:lpwstr>
  </property>
</Properties>
</file>