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770B0" w14:textId="77777777" w:rsidR="00DD59EB" w:rsidRPr="00D848CE" w:rsidRDefault="00DD59EB" w:rsidP="00DD59EB">
      <w:pPr>
        <w:spacing w:before="120" w:after="120" w:line="240" w:lineRule="auto"/>
        <w:jc w:val="center"/>
        <w:rPr>
          <w:rFonts w:ascii="Arial" w:hAnsi="Arial" w:cs="Arial"/>
          <w:lang w:val="es-ES_tradnl"/>
        </w:rPr>
      </w:pPr>
      <w:bookmarkStart w:id="0" w:name="_GoBack"/>
      <w:bookmarkEnd w:id="0"/>
    </w:p>
    <w:p w14:paraId="74EAD132" w14:textId="77777777" w:rsidR="00DD59EB" w:rsidRPr="00D848CE" w:rsidRDefault="00DD59EB" w:rsidP="00DD59EB">
      <w:pPr>
        <w:spacing w:before="120" w:after="120" w:line="240" w:lineRule="auto"/>
        <w:jc w:val="center"/>
        <w:rPr>
          <w:rFonts w:ascii="Arial" w:hAnsi="Arial" w:cs="Arial"/>
          <w:lang w:val="es-ES_tradnl"/>
        </w:rPr>
      </w:pPr>
    </w:p>
    <w:p w14:paraId="6F687362" w14:textId="77777777" w:rsidR="00DD59EB" w:rsidRPr="00D848CE" w:rsidRDefault="00DD59EB" w:rsidP="00DD59EB">
      <w:pPr>
        <w:spacing w:before="120" w:after="120" w:line="240" w:lineRule="auto"/>
        <w:jc w:val="center"/>
        <w:rPr>
          <w:rFonts w:ascii="Arial" w:hAnsi="Arial" w:cs="Arial"/>
          <w:b/>
          <w:lang w:val="es-ES_tradnl"/>
        </w:rPr>
      </w:pPr>
    </w:p>
    <w:p w14:paraId="151F5923" w14:textId="77777777" w:rsidR="00DD59EB" w:rsidRPr="00D848CE" w:rsidRDefault="00DD59EB" w:rsidP="00417F76">
      <w:pPr>
        <w:pStyle w:val="SubSubPar"/>
        <w:tabs>
          <w:tab w:val="clear" w:pos="1152"/>
        </w:tabs>
        <w:jc w:val="center"/>
        <w:outlineLvl w:val="9"/>
        <w:rPr>
          <w:rFonts w:ascii="Arial" w:hAnsi="Arial" w:cs="Arial"/>
          <w:smallCaps/>
          <w:sz w:val="22"/>
          <w:szCs w:val="22"/>
          <w:lang w:val="es-ES_tradnl"/>
        </w:rPr>
      </w:pPr>
      <w:r w:rsidRPr="00D848CE">
        <w:rPr>
          <w:rFonts w:ascii="Arial" w:hAnsi="Arial" w:cs="Arial"/>
          <w:smallCaps/>
          <w:sz w:val="22"/>
          <w:szCs w:val="22"/>
          <w:lang w:val="es-ES_tradnl"/>
        </w:rPr>
        <w:t>DOCUMENTO DEL BANCO INTERAMERICANO DE DESARROLLO</w:t>
      </w:r>
    </w:p>
    <w:p w14:paraId="6EAB41CB" w14:textId="77777777" w:rsidR="00DD59EB" w:rsidRPr="00D848CE" w:rsidRDefault="00DD59EB" w:rsidP="00417F76">
      <w:pPr>
        <w:spacing w:before="120" w:after="120" w:line="240" w:lineRule="auto"/>
        <w:jc w:val="center"/>
        <w:rPr>
          <w:rFonts w:ascii="Arial" w:hAnsi="Arial" w:cs="Arial"/>
          <w:b/>
          <w:lang w:val="es-ES_tradnl"/>
        </w:rPr>
      </w:pPr>
    </w:p>
    <w:p w14:paraId="3B07FDC9" w14:textId="77777777" w:rsidR="00DD59EB" w:rsidRPr="00D848CE" w:rsidRDefault="00DD59EB" w:rsidP="00417F76">
      <w:pPr>
        <w:spacing w:before="120" w:after="120" w:line="240" w:lineRule="auto"/>
        <w:jc w:val="center"/>
        <w:rPr>
          <w:rFonts w:ascii="Arial" w:hAnsi="Arial" w:cs="Arial"/>
          <w:b/>
          <w:lang w:val="es-ES_tradnl"/>
        </w:rPr>
      </w:pPr>
    </w:p>
    <w:p w14:paraId="3C9FD75E" w14:textId="77777777" w:rsidR="00412774" w:rsidRPr="00D848CE" w:rsidRDefault="00412774" w:rsidP="00417F76">
      <w:pPr>
        <w:spacing w:before="120" w:after="120" w:line="240" w:lineRule="auto"/>
        <w:jc w:val="center"/>
        <w:rPr>
          <w:rFonts w:ascii="Arial" w:hAnsi="Arial" w:cs="Arial"/>
          <w:b/>
          <w:lang w:val="es-ES_tradnl"/>
        </w:rPr>
      </w:pPr>
    </w:p>
    <w:p w14:paraId="5B1618B3" w14:textId="77777777" w:rsidR="00412774" w:rsidRPr="00D848CE" w:rsidRDefault="00412774" w:rsidP="00417F76">
      <w:pPr>
        <w:spacing w:before="120" w:after="120" w:line="240" w:lineRule="auto"/>
        <w:jc w:val="center"/>
        <w:rPr>
          <w:rFonts w:ascii="Arial" w:hAnsi="Arial" w:cs="Arial"/>
          <w:b/>
          <w:lang w:val="es-ES_tradnl"/>
        </w:rPr>
      </w:pPr>
    </w:p>
    <w:p w14:paraId="79BE65EA" w14:textId="77777777" w:rsidR="00D31AEA" w:rsidRPr="00D848CE" w:rsidRDefault="00D31AEA" w:rsidP="00417F76">
      <w:pPr>
        <w:spacing w:before="120" w:after="120" w:line="240" w:lineRule="auto"/>
        <w:jc w:val="center"/>
        <w:rPr>
          <w:rFonts w:ascii="Arial" w:hAnsi="Arial" w:cs="Arial"/>
          <w:b/>
          <w:lang w:val="es-ES_tradnl"/>
        </w:rPr>
      </w:pPr>
    </w:p>
    <w:p w14:paraId="1858A883" w14:textId="77777777" w:rsidR="00DD59EB" w:rsidRPr="00D848CE" w:rsidRDefault="00DD59EB" w:rsidP="00417F76">
      <w:pPr>
        <w:spacing w:before="120" w:after="120" w:line="240" w:lineRule="auto"/>
        <w:jc w:val="center"/>
        <w:rPr>
          <w:rFonts w:ascii="Arial" w:hAnsi="Arial" w:cs="Arial"/>
          <w:b/>
          <w:smallCaps/>
          <w:lang w:val="es-ES_tradnl"/>
        </w:rPr>
      </w:pPr>
      <w:r w:rsidRPr="00D848CE">
        <w:rPr>
          <w:rFonts w:ascii="Arial" w:hAnsi="Arial" w:cs="Arial"/>
          <w:b/>
          <w:smallCaps/>
          <w:lang w:val="es-ES_tradnl"/>
        </w:rPr>
        <w:t>República Dominicana</w:t>
      </w:r>
    </w:p>
    <w:p w14:paraId="1C456FA6" w14:textId="77777777" w:rsidR="00DD59EB" w:rsidRPr="00D848CE" w:rsidRDefault="00DD59EB" w:rsidP="00417F76">
      <w:pPr>
        <w:spacing w:before="120" w:after="120" w:line="240" w:lineRule="auto"/>
        <w:jc w:val="center"/>
        <w:rPr>
          <w:rFonts w:ascii="Arial" w:hAnsi="Arial" w:cs="Arial"/>
          <w:b/>
          <w:lang w:val="es-ES_tradnl"/>
        </w:rPr>
      </w:pPr>
    </w:p>
    <w:p w14:paraId="2ED906C7" w14:textId="77777777" w:rsidR="00D31AEA" w:rsidRPr="00D848CE" w:rsidRDefault="00D31AEA" w:rsidP="00417F76">
      <w:pPr>
        <w:spacing w:before="120" w:after="120" w:line="240" w:lineRule="auto"/>
        <w:jc w:val="center"/>
        <w:rPr>
          <w:rFonts w:ascii="Arial" w:hAnsi="Arial" w:cs="Arial"/>
          <w:b/>
          <w:lang w:val="es-ES_tradnl"/>
        </w:rPr>
      </w:pPr>
    </w:p>
    <w:p w14:paraId="56E5C11B" w14:textId="77777777" w:rsidR="00D31AEA" w:rsidRPr="00D848CE" w:rsidRDefault="00D31AEA" w:rsidP="00417F76">
      <w:pPr>
        <w:spacing w:before="120" w:after="120" w:line="240" w:lineRule="auto"/>
        <w:jc w:val="center"/>
        <w:rPr>
          <w:rFonts w:ascii="Arial" w:hAnsi="Arial" w:cs="Arial"/>
          <w:b/>
          <w:lang w:val="es-ES_tradnl"/>
        </w:rPr>
      </w:pPr>
    </w:p>
    <w:p w14:paraId="472E0738" w14:textId="77777777" w:rsidR="00DD59EB" w:rsidRPr="00D848CE" w:rsidRDefault="00DD59EB" w:rsidP="00417F76">
      <w:pPr>
        <w:spacing w:before="120" w:after="120" w:line="240" w:lineRule="auto"/>
        <w:jc w:val="center"/>
        <w:rPr>
          <w:rFonts w:ascii="Arial" w:hAnsi="Arial" w:cs="Arial"/>
          <w:b/>
          <w:lang w:val="es-ES_tradnl"/>
        </w:rPr>
      </w:pPr>
    </w:p>
    <w:p w14:paraId="4BD7C416" w14:textId="77777777" w:rsidR="00DD59EB" w:rsidRPr="00D848CE" w:rsidRDefault="000654FD" w:rsidP="00417F76">
      <w:pPr>
        <w:spacing w:before="120" w:after="120" w:line="240" w:lineRule="auto"/>
        <w:jc w:val="center"/>
        <w:rPr>
          <w:rFonts w:ascii="Arial" w:hAnsi="Arial" w:cs="Arial"/>
          <w:b/>
          <w:lang w:val="es-ES_tradnl"/>
        </w:rPr>
      </w:pPr>
      <w:r w:rsidRPr="00D848CE">
        <w:rPr>
          <w:rFonts w:ascii="Arial" w:hAnsi="Arial" w:cs="Arial"/>
          <w:b/>
          <w:lang w:val="es-ES_tradnl"/>
        </w:rPr>
        <w:t xml:space="preserve">Programa de Mejora de la Eficiencia de la Administración Tributaria y Control del Gasto Público en República Dominicana </w:t>
      </w:r>
    </w:p>
    <w:p w14:paraId="2F8A6A8B" w14:textId="77777777" w:rsidR="00DD59EB" w:rsidRPr="00D848CE" w:rsidRDefault="00DD59EB" w:rsidP="00417F76">
      <w:pPr>
        <w:spacing w:before="120" w:after="120" w:line="240" w:lineRule="auto"/>
        <w:jc w:val="center"/>
        <w:rPr>
          <w:rFonts w:ascii="Arial" w:hAnsi="Arial" w:cs="Arial"/>
          <w:b/>
          <w:lang w:val="es-ES_tradnl"/>
        </w:rPr>
      </w:pPr>
    </w:p>
    <w:p w14:paraId="6C261535" w14:textId="77777777" w:rsidR="00DD59EB" w:rsidRPr="00D848CE" w:rsidRDefault="00412774" w:rsidP="00417F76">
      <w:pPr>
        <w:spacing w:before="120" w:after="120" w:line="240" w:lineRule="auto"/>
        <w:jc w:val="center"/>
        <w:rPr>
          <w:rFonts w:ascii="Arial" w:hAnsi="Arial" w:cs="Arial"/>
          <w:b/>
          <w:lang w:val="es-ES_tradnl"/>
        </w:rPr>
      </w:pPr>
      <w:r w:rsidRPr="00D848CE">
        <w:rPr>
          <w:rFonts w:ascii="Arial" w:hAnsi="Arial" w:cs="Arial"/>
          <w:b/>
          <w:lang w:val="es-ES_tradnl"/>
        </w:rPr>
        <w:t>(</w:t>
      </w:r>
      <w:r w:rsidR="00DD59EB" w:rsidRPr="00D848CE">
        <w:rPr>
          <w:rFonts w:ascii="Arial" w:hAnsi="Arial" w:cs="Arial"/>
          <w:b/>
          <w:lang w:val="es-ES_tradnl"/>
        </w:rPr>
        <w:t>DR-</w:t>
      </w:r>
      <w:r w:rsidR="000654FD" w:rsidRPr="00D848CE">
        <w:rPr>
          <w:rFonts w:ascii="Arial" w:hAnsi="Arial" w:cs="Arial"/>
          <w:b/>
          <w:lang w:val="es-ES_tradnl"/>
        </w:rPr>
        <w:t>L1117</w:t>
      </w:r>
      <w:r w:rsidRPr="00D848CE">
        <w:rPr>
          <w:rFonts w:ascii="Arial" w:hAnsi="Arial" w:cs="Arial"/>
          <w:b/>
          <w:lang w:val="es-ES_tradnl"/>
        </w:rPr>
        <w:t>)</w:t>
      </w:r>
    </w:p>
    <w:p w14:paraId="0C0893BC" w14:textId="77777777" w:rsidR="00DD59EB" w:rsidRPr="00D848CE" w:rsidRDefault="00DD59EB" w:rsidP="00417F76">
      <w:pPr>
        <w:spacing w:before="120" w:after="120" w:line="240" w:lineRule="auto"/>
        <w:jc w:val="center"/>
        <w:rPr>
          <w:rFonts w:ascii="Arial" w:hAnsi="Arial" w:cs="Arial"/>
          <w:lang w:val="es-ES_tradnl"/>
        </w:rPr>
      </w:pPr>
    </w:p>
    <w:p w14:paraId="401841FA" w14:textId="77777777" w:rsidR="00F03590" w:rsidRPr="00D848CE" w:rsidRDefault="00F03590" w:rsidP="00417F76">
      <w:pPr>
        <w:spacing w:before="120" w:after="120" w:line="240" w:lineRule="auto"/>
        <w:jc w:val="center"/>
        <w:rPr>
          <w:rFonts w:ascii="Arial" w:hAnsi="Arial" w:cs="Arial"/>
          <w:lang w:val="es-ES_tradnl"/>
        </w:rPr>
      </w:pPr>
    </w:p>
    <w:p w14:paraId="7DA7F3E0" w14:textId="77777777" w:rsidR="00F03590" w:rsidRPr="00D848CE" w:rsidRDefault="00F03590" w:rsidP="00417F76">
      <w:pPr>
        <w:spacing w:before="120" w:after="120" w:line="240" w:lineRule="auto"/>
        <w:jc w:val="center"/>
        <w:rPr>
          <w:rFonts w:ascii="Arial" w:hAnsi="Arial" w:cs="Arial"/>
          <w:lang w:val="es-ES_tradnl"/>
        </w:rPr>
      </w:pPr>
    </w:p>
    <w:p w14:paraId="2F43D355" w14:textId="77777777" w:rsidR="00DD59EB" w:rsidRPr="00D848CE" w:rsidRDefault="00DD59EB" w:rsidP="00417F76">
      <w:pPr>
        <w:spacing w:before="120" w:after="120" w:line="240" w:lineRule="auto"/>
        <w:jc w:val="center"/>
        <w:rPr>
          <w:rFonts w:ascii="Arial" w:hAnsi="Arial" w:cs="Arial"/>
          <w:lang w:val="es-ES_tradnl"/>
        </w:rPr>
      </w:pPr>
    </w:p>
    <w:p w14:paraId="580F4090" w14:textId="77777777" w:rsidR="00DD59EB" w:rsidRPr="00D848CE" w:rsidRDefault="00DD59EB" w:rsidP="00417F76">
      <w:pPr>
        <w:spacing w:before="120" w:after="120" w:line="240" w:lineRule="auto"/>
        <w:jc w:val="center"/>
        <w:rPr>
          <w:rFonts w:ascii="Arial" w:hAnsi="Arial" w:cs="Arial"/>
          <w:lang w:val="es-ES_tradnl"/>
        </w:rPr>
      </w:pPr>
    </w:p>
    <w:p w14:paraId="5C2CC89A" w14:textId="77777777" w:rsidR="00DD59EB" w:rsidRPr="00D848CE" w:rsidRDefault="00DF5D5C" w:rsidP="00417F76">
      <w:pPr>
        <w:tabs>
          <w:tab w:val="left" w:pos="1440"/>
          <w:tab w:val="left" w:pos="3060"/>
        </w:tabs>
        <w:spacing w:before="120" w:after="120" w:line="240" w:lineRule="auto"/>
        <w:jc w:val="center"/>
        <w:rPr>
          <w:rFonts w:ascii="Arial" w:hAnsi="Arial" w:cs="Arial"/>
          <w:b/>
          <w:smallCaps/>
          <w:lang w:val="es-ES_tradnl"/>
        </w:rPr>
      </w:pPr>
      <w:r w:rsidRPr="00D848CE">
        <w:rPr>
          <w:rFonts w:ascii="Arial" w:hAnsi="Arial" w:cs="Arial"/>
          <w:b/>
          <w:smallCaps/>
          <w:lang w:val="es-ES_tradnl"/>
        </w:rPr>
        <w:t xml:space="preserve">Análisis </w:t>
      </w:r>
      <w:r w:rsidR="00DD59EB" w:rsidRPr="00D848CE">
        <w:rPr>
          <w:rFonts w:ascii="Arial" w:hAnsi="Arial" w:cs="Arial"/>
          <w:b/>
          <w:smallCaps/>
          <w:lang w:val="es-ES_tradnl"/>
        </w:rPr>
        <w:t>Económic</w:t>
      </w:r>
      <w:r w:rsidRPr="00D848CE">
        <w:rPr>
          <w:rFonts w:ascii="Arial" w:hAnsi="Arial" w:cs="Arial"/>
          <w:b/>
          <w:smallCaps/>
          <w:lang w:val="es-ES_tradnl"/>
        </w:rPr>
        <w:t>o del Proyecto</w:t>
      </w:r>
    </w:p>
    <w:p w14:paraId="3D189230" w14:textId="77777777" w:rsidR="00DD59EB" w:rsidRPr="00D848CE" w:rsidRDefault="00DD59EB" w:rsidP="00417F76">
      <w:pPr>
        <w:spacing w:before="120" w:after="120" w:line="240" w:lineRule="auto"/>
        <w:jc w:val="center"/>
        <w:rPr>
          <w:rFonts w:ascii="Arial" w:hAnsi="Arial" w:cs="Arial"/>
          <w:lang w:val="es-ES_tradnl"/>
        </w:rPr>
      </w:pPr>
    </w:p>
    <w:p w14:paraId="72AD17E5" w14:textId="77777777" w:rsidR="00C21AF7" w:rsidRPr="00D848CE" w:rsidRDefault="00C21AF7" w:rsidP="00417F76">
      <w:pPr>
        <w:spacing w:before="120" w:after="120" w:line="240" w:lineRule="auto"/>
        <w:jc w:val="center"/>
        <w:rPr>
          <w:rFonts w:ascii="Arial" w:hAnsi="Arial" w:cs="Arial"/>
          <w:lang w:val="es-ES_tradnl"/>
        </w:rPr>
      </w:pPr>
    </w:p>
    <w:p w14:paraId="757AB1EF" w14:textId="77777777" w:rsidR="00C21AF7" w:rsidRPr="00D848CE" w:rsidRDefault="00C21AF7" w:rsidP="00417F76">
      <w:pPr>
        <w:spacing w:before="120" w:after="120" w:line="240" w:lineRule="auto"/>
        <w:jc w:val="center"/>
        <w:rPr>
          <w:rFonts w:ascii="Arial" w:hAnsi="Arial" w:cs="Arial"/>
          <w:lang w:val="es-ES_tradnl"/>
        </w:rPr>
      </w:pPr>
    </w:p>
    <w:p w14:paraId="7F0926DD" w14:textId="77777777" w:rsidR="00417F76" w:rsidRPr="00D848CE" w:rsidRDefault="00417F76" w:rsidP="00417F76">
      <w:pPr>
        <w:spacing w:before="120" w:after="120" w:line="240" w:lineRule="auto"/>
        <w:jc w:val="center"/>
        <w:rPr>
          <w:rFonts w:ascii="Arial" w:hAnsi="Arial" w:cs="Arial"/>
          <w:lang w:val="es-ES_tradnl"/>
        </w:rPr>
      </w:pPr>
    </w:p>
    <w:p w14:paraId="1D24F508" w14:textId="77777777" w:rsidR="00417F76" w:rsidRPr="00D848CE" w:rsidRDefault="00417F76" w:rsidP="00417F76">
      <w:pPr>
        <w:spacing w:before="120" w:after="120" w:line="240" w:lineRule="auto"/>
        <w:jc w:val="center"/>
        <w:rPr>
          <w:rFonts w:ascii="Arial" w:hAnsi="Arial" w:cs="Arial"/>
          <w:lang w:val="es-ES_tradnl"/>
        </w:rPr>
      </w:pPr>
    </w:p>
    <w:p w14:paraId="2DD8FA6A" w14:textId="77777777" w:rsidR="00417F76" w:rsidRPr="00D848CE" w:rsidRDefault="00417F76" w:rsidP="00417F76">
      <w:pPr>
        <w:spacing w:before="120" w:after="120" w:line="240" w:lineRule="auto"/>
        <w:jc w:val="center"/>
        <w:rPr>
          <w:rFonts w:ascii="Arial" w:hAnsi="Arial" w:cs="Arial"/>
          <w:lang w:val="es-ES_tradnl"/>
        </w:rPr>
      </w:pPr>
    </w:p>
    <w:p w14:paraId="780B8B6C" w14:textId="77777777" w:rsidR="00DD59EB" w:rsidRPr="00D848CE" w:rsidRDefault="00DD59EB" w:rsidP="00417F76">
      <w:pPr>
        <w:spacing w:before="120" w:after="120" w:line="240" w:lineRule="auto"/>
        <w:jc w:val="center"/>
        <w:rPr>
          <w:rFonts w:ascii="Arial" w:hAnsi="Arial" w:cs="Arial"/>
          <w:lang w:val="es-ES_tradnl"/>
        </w:rPr>
      </w:pPr>
    </w:p>
    <w:tbl>
      <w:tblPr>
        <w:tblStyle w:val="TableGrid"/>
        <w:tblW w:w="0" w:type="auto"/>
        <w:tblLook w:val="04A0" w:firstRow="1" w:lastRow="0" w:firstColumn="1" w:lastColumn="0" w:noHBand="0" w:noVBand="1"/>
      </w:tblPr>
      <w:tblGrid>
        <w:gridCol w:w="8630"/>
      </w:tblGrid>
      <w:tr w:rsidR="00DD59EB" w:rsidRPr="00D848CE" w14:paraId="43ABE418" w14:textId="77777777" w:rsidTr="00DD59EB">
        <w:tc>
          <w:tcPr>
            <w:tcW w:w="9242" w:type="dxa"/>
          </w:tcPr>
          <w:p w14:paraId="6DF0A30C" w14:textId="77777777" w:rsidR="00DD59EB" w:rsidRPr="00D848CE" w:rsidRDefault="00DD59EB" w:rsidP="00412774">
            <w:pPr>
              <w:spacing w:before="120" w:after="120"/>
              <w:ind w:left="-90"/>
              <w:jc w:val="both"/>
              <w:rPr>
                <w:rFonts w:ascii="Arial" w:hAnsi="Arial" w:cs="Arial"/>
                <w:lang w:val="es-ES_tradnl"/>
              </w:rPr>
            </w:pPr>
            <w:r w:rsidRPr="00D848CE">
              <w:rPr>
                <w:rFonts w:ascii="Arial" w:hAnsi="Arial" w:cs="Arial"/>
                <w:color w:val="000000"/>
                <w:lang w:val="es-ES_tradnl"/>
              </w:rPr>
              <w:t>Este documento fue preparado por el e</w:t>
            </w:r>
            <w:r w:rsidR="00412774" w:rsidRPr="00D848CE">
              <w:rPr>
                <w:rFonts w:ascii="Arial" w:hAnsi="Arial" w:cs="Arial"/>
                <w:color w:val="000000"/>
                <w:lang w:val="es-ES_tradnl"/>
              </w:rPr>
              <w:t xml:space="preserve">quipo de proyecto compuesto por: </w:t>
            </w:r>
            <w:r w:rsidRPr="00D848CE">
              <w:rPr>
                <w:rFonts w:ascii="Arial" w:hAnsi="Arial" w:cs="Arial"/>
                <w:color w:val="000000"/>
                <w:lang w:val="es-ES_tradnl"/>
              </w:rPr>
              <w:t>Marcio Cracel y Ana Calvo (Consultores independientes) en cooperación con Belinda Pérez Rincón (FMM/CDO)</w:t>
            </w:r>
            <w:r w:rsidR="00F55F48" w:rsidRPr="00D848CE">
              <w:rPr>
                <w:rFonts w:ascii="Arial" w:hAnsi="Arial" w:cs="Arial"/>
                <w:color w:val="000000"/>
                <w:lang w:val="es-ES_tradnl"/>
              </w:rPr>
              <w:t xml:space="preserve">. </w:t>
            </w:r>
          </w:p>
        </w:tc>
      </w:tr>
    </w:tbl>
    <w:p w14:paraId="345A3361" w14:textId="77777777" w:rsidR="00412774" w:rsidRPr="00D848CE" w:rsidRDefault="00412774" w:rsidP="00EB03E0">
      <w:pPr>
        <w:rPr>
          <w:rFonts w:ascii="Arial" w:hAnsi="Arial" w:cs="Arial"/>
          <w:lang w:val="es-ES_tradnl"/>
        </w:rPr>
      </w:pPr>
    </w:p>
    <w:p w14:paraId="0371CEBC" w14:textId="77777777" w:rsidR="00E82351" w:rsidRPr="00D848CE" w:rsidRDefault="00E82351" w:rsidP="00EB03E0">
      <w:pPr>
        <w:rPr>
          <w:rFonts w:ascii="Arial" w:hAnsi="Arial" w:cs="Arial"/>
          <w:lang w:val="es-ES_tradnl"/>
        </w:rPr>
      </w:pPr>
    </w:p>
    <w:sdt>
      <w:sdtPr>
        <w:rPr>
          <w:rFonts w:ascii="Arial" w:hAnsi="Arial" w:cs="Arial"/>
          <w:lang w:val="es-ES_tradnl"/>
        </w:rPr>
        <w:id w:val="2121254010"/>
        <w:docPartObj>
          <w:docPartGallery w:val="Table of Contents"/>
          <w:docPartUnique/>
        </w:docPartObj>
      </w:sdtPr>
      <w:sdtEndPr>
        <w:rPr>
          <w:b/>
          <w:bCs/>
        </w:rPr>
      </w:sdtEndPr>
      <w:sdtContent>
        <w:p w14:paraId="4014A224" w14:textId="77777777" w:rsidR="00EB03E0" w:rsidRPr="00D848CE" w:rsidRDefault="003243BD" w:rsidP="00EB03E0">
          <w:pPr>
            <w:rPr>
              <w:rFonts w:ascii="Arial" w:hAnsi="Arial" w:cs="Arial"/>
              <w:b/>
              <w:smallCaps/>
              <w:lang w:val="es-ES_tradnl"/>
            </w:rPr>
          </w:pPr>
          <w:r w:rsidRPr="00D848CE">
            <w:rPr>
              <w:rFonts w:ascii="Arial" w:hAnsi="Arial" w:cs="Arial"/>
              <w:b/>
              <w:lang w:val="es-ES_tradnl"/>
            </w:rPr>
            <w:t>Conten</w:t>
          </w:r>
          <w:r w:rsidR="00C642ED" w:rsidRPr="00D848CE">
            <w:rPr>
              <w:rFonts w:ascii="Arial" w:hAnsi="Arial" w:cs="Arial"/>
              <w:b/>
              <w:lang w:val="es-ES_tradnl"/>
            </w:rPr>
            <w:t>ido</w:t>
          </w:r>
          <w:r w:rsidR="00EB03E0" w:rsidRPr="00D848CE">
            <w:rPr>
              <w:rFonts w:ascii="Arial" w:hAnsi="Arial" w:cs="Arial"/>
              <w:b/>
              <w:lang w:val="es-ES_tradnl"/>
            </w:rPr>
            <w:t>s</w:t>
          </w:r>
        </w:p>
        <w:p w14:paraId="729D207B" w14:textId="77777777" w:rsidR="00B85FC3" w:rsidRPr="00D848CE" w:rsidRDefault="00EB03E0">
          <w:pPr>
            <w:pStyle w:val="TOC1"/>
            <w:rPr>
              <w:rFonts w:ascii="Arial" w:hAnsi="Arial" w:cs="Arial"/>
              <w:lang w:val="es-ES_tradnl"/>
            </w:rPr>
          </w:pPr>
          <w:r w:rsidRPr="00D848CE">
            <w:rPr>
              <w:rFonts w:ascii="Arial" w:hAnsi="Arial" w:cs="Arial"/>
              <w:lang w:val="es-ES_tradnl"/>
            </w:rPr>
            <w:fldChar w:fldCharType="begin"/>
          </w:r>
          <w:r w:rsidRPr="00D848CE">
            <w:rPr>
              <w:rFonts w:ascii="Arial" w:hAnsi="Arial" w:cs="Arial"/>
              <w:lang w:val="es-ES_tradnl"/>
            </w:rPr>
            <w:instrText xml:space="preserve"> TOC \o "1-3" \h \z \u </w:instrText>
          </w:r>
          <w:r w:rsidRPr="00D848CE">
            <w:rPr>
              <w:rFonts w:ascii="Arial" w:hAnsi="Arial" w:cs="Arial"/>
              <w:lang w:val="es-ES_tradnl"/>
            </w:rPr>
            <w:fldChar w:fldCharType="separate"/>
          </w:r>
          <w:hyperlink w:anchor="_Toc479116386" w:history="1">
            <w:r w:rsidR="00B85FC3" w:rsidRPr="00D848CE">
              <w:rPr>
                <w:rStyle w:val="Hyperlink"/>
                <w:rFonts w:ascii="Arial" w:hAnsi="Arial" w:cs="Arial"/>
                <w:lang w:val="es-ES_tradnl"/>
              </w:rPr>
              <w:t>I.</w:t>
            </w:r>
            <w:r w:rsidR="00B85FC3" w:rsidRPr="00D848CE">
              <w:rPr>
                <w:rFonts w:ascii="Arial" w:hAnsi="Arial" w:cs="Arial"/>
                <w:lang w:val="es-ES_tradnl"/>
              </w:rPr>
              <w:tab/>
            </w:r>
            <w:r w:rsidR="00B85FC3" w:rsidRPr="00D848CE">
              <w:rPr>
                <w:rStyle w:val="Hyperlink"/>
                <w:rFonts w:ascii="Arial" w:hAnsi="Arial" w:cs="Arial"/>
                <w:lang w:val="es-ES_tradnl"/>
              </w:rPr>
              <w:t>Resumen Ejecutivo</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_Toc479116386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1</w:t>
            </w:r>
            <w:r w:rsidR="00B85FC3" w:rsidRPr="00D848CE">
              <w:rPr>
                <w:rFonts w:ascii="Arial" w:hAnsi="Arial" w:cs="Arial"/>
                <w:webHidden/>
                <w:lang w:val="es-ES_tradnl"/>
              </w:rPr>
              <w:fldChar w:fldCharType="end"/>
            </w:r>
          </w:hyperlink>
        </w:p>
        <w:p w14:paraId="10F413FC" w14:textId="77777777" w:rsidR="00B85FC3" w:rsidRPr="00D848CE" w:rsidRDefault="008058C8">
          <w:pPr>
            <w:pStyle w:val="TOC2"/>
            <w:tabs>
              <w:tab w:val="left" w:pos="660"/>
              <w:tab w:val="right" w:leader="dot" w:pos="9106"/>
            </w:tabs>
            <w:rPr>
              <w:rFonts w:ascii="Arial" w:hAnsi="Arial" w:cs="Arial"/>
              <w:lang w:val="es-ES_tradnl"/>
            </w:rPr>
          </w:pPr>
          <w:hyperlink w:anchor="_Toc479116387" w:history="1">
            <w:r w:rsidR="00B85FC3" w:rsidRPr="00D848CE">
              <w:rPr>
                <w:rStyle w:val="Hyperlink"/>
                <w:rFonts w:ascii="Arial" w:hAnsi="Arial" w:cs="Arial"/>
                <w:lang w:val="es-ES_tradnl"/>
              </w:rPr>
              <w:t>A.</w:t>
            </w:r>
            <w:r w:rsidR="00B85FC3" w:rsidRPr="00D848CE">
              <w:rPr>
                <w:rFonts w:ascii="Arial" w:hAnsi="Arial" w:cs="Arial"/>
                <w:lang w:val="es-ES_tradnl"/>
              </w:rPr>
              <w:tab/>
            </w:r>
            <w:r w:rsidR="00B85FC3" w:rsidRPr="00D848CE">
              <w:rPr>
                <w:rStyle w:val="Hyperlink"/>
                <w:rFonts w:ascii="Arial" w:hAnsi="Arial" w:cs="Arial"/>
                <w:lang w:val="es-ES_tradnl"/>
              </w:rPr>
              <w:t>Antecedentes.</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_Toc479116387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1</w:t>
            </w:r>
            <w:r w:rsidR="00B85FC3" w:rsidRPr="00D848CE">
              <w:rPr>
                <w:rFonts w:ascii="Arial" w:hAnsi="Arial" w:cs="Arial"/>
                <w:webHidden/>
                <w:lang w:val="es-ES_tradnl"/>
              </w:rPr>
              <w:fldChar w:fldCharType="end"/>
            </w:r>
          </w:hyperlink>
        </w:p>
        <w:p w14:paraId="7EAF636A" w14:textId="77777777" w:rsidR="00B85FC3" w:rsidRPr="00D848CE" w:rsidRDefault="008058C8">
          <w:pPr>
            <w:pStyle w:val="TOC1"/>
            <w:rPr>
              <w:rFonts w:ascii="Arial" w:hAnsi="Arial" w:cs="Arial"/>
              <w:lang w:val="es-ES_tradnl"/>
            </w:rPr>
          </w:pPr>
          <w:hyperlink w:anchor="_Toc479116388" w:history="1">
            <w:r w:rsidR="00B85FC3" w:rsidRPr="00D848CE">
              <w:rPr>
                <w:rStyle w:val="Hyperlink"/>
                <w:rFonts w:ascii="Arial" w:hAnsi="Arial" w:cs="Arial"/>
                <w:lang w:val="es-ES_tradnl"/>
              </w:rPr>
              <w:t>II.</w:t>
            </w:r>
            <w:r w:rsidR="00B85FC3" w:rsidRPr="00D848CE">
              <w:rPr>
                <w:rFonts w:ascii="Arial" w:hAnsi="Arial" w:cs="Arial"/>
                <w:lang w:val="es-ES_tradnl"/>
              </w:rPr>
              <w:tab/>
            </w:r>
            <w:r w:rsidR="00B85FC3" w:rsidRPr="00D848CE">
              <w:rPr>
                <w:rStyle w:val="Hyperlink"/>
                <w:rFonts w:ascii="Arial" w:hAnsi="Arial" w:cs="Arial"/>
                <w:lang w:val="es-ES_tradnl"/>
              </w:rPr>
              <w:t>Problemas Específicos y Causas a ser Solucionados</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_Toc479116388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3</w:t>
            </w:r>
            <w:r w:rsidR="00B85FC3" w:rsidRPr="00D848CE">
              <w:rPr>
                <w:rFonts w:ascii="Arial" w:hAnsi="Arial" w:cs="Arial"/>
                <w:webHidden/>
                <w:lang w:val="es-ES_tradnl"/>
              </w:rPr>
              <w:fldChar w:fldCharType="end"/>
            </w:r>
          </w:hyperlink>
        </w:p>
        <w:p w14:paraId="2985D48B" w14:textId="77777777" w:rsidR="00B85FC3" w:rsidRPr="00D848CE" w:rsidRDefault="008058C8">
          <w:pPr>
            <w:pStyle w:val="TOC1"/>
            <w:rPr>
              <w:rFonts w:ascii="Arial" w:hAnsi="Arial" w:cs="Arial"/>
              <w:lang w:val="es-ES_tradnl"/>
            </w:rPr>
          </w:pPr>
          <w:hyperlink w:anchor="_Toc479116389" w:history="1">
            <w:r w:rsidR="00B85FC3" w:rsidRPr="00D848CE">
              <w:rPr>
                <w:rStyle w:val="Hyperlink"/>
                <w:rFonts w:ascii="Arial" w:hAnsi="Arial" w:cs="Arial"/>
                <w:lang w:val="es-ES_tradnl"/>
              </w:rPr>
              <w:t>III.</w:t>
            </w:r>
            <w:r w:rsidR="00B85FC3" w:rsidRPr="00D848CE">
              <w:rPr>
                <w:rFonts w:ascii="Arial" w:hAnsi="Arial" w:cs="Arial"/>
                <w:lang w:val="es-ES_tradnl"/>
              </w:rPr>
              <w:tab/>
            </w:r>
            <w:r w:rsidR="00B85FC3" w:rsidRPr="00D848CE">
              <w:rPr>
                <w:rStyle w:val="Hyperlink"/>
                <w:rFonts w:ascii="Arial" w:hAnsi="Arial" w:cs="Arial"/>
                <w:lang w:val="es-ES_tradnl"/>
              </w:rPr>
              <w:t>Soluciones propuestas</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_Toc479116389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7</w:t>
            </w:r>
            <w:r w:rsidR="00B85FC3" w:rsidRPr="00D848CE">
              <w:rPr>
                <w:rFonts w:ascii="Arial" w:hAnsi="Arial" w:cs="Arial"/>
                <w:webHidden/>
                <w:lang w:val="es-ES_tradnl"/>
              </w:rPr>
              <w:fldChar w:fldCharType="end"/>
            </w:r>
          </w:hyperlink>
        </w:p>
        <w:p w14:paraId="0E3795DE" w14:textId="77777777" w:rsidR="00B85FC3" w:rsidRPr="00D848CE" w:rsidRDefault="008058C8">
          <w:pPr>
            <w:pStyle w:val="TOC1"/>
            <w:rPr>
              <w:rFonts w:ascii="Arial" w:hAnsi="Arial" w:cs="Arial"/>
              <w:lang w:val="es-ES_tradnl"/>
            </w:rPr>
          </w:pPr>
          <w:hyperlink w:anchor="_Toc479116390" w:history="1">
            <w:r w:rsidR="00B85FC3" w:rsidRPr="00D848CE">
              <w:rPr>
                <w:rStyle w:val="Hyperlink"/>
                <w:rFonts w:ascii="Arial" w:hAnsi="Arial" w:cs="Arial"/>
                <w:lang w:val="es-ES_tradnl"/>
              </w:rPr>
              <w:t>IV.</w:t>
            </w:r>
            <w:r w:rsidR="00B85FC3" w:rsidRPr="00D848CE">
              <w:rPr>
                <w:rFonts w:ascii="Arial" w:hAnsi="Arial" w:cs="Arial"/>
                <w:lang w:val="es-ES_tradnl"/>
              </w:rPr>
              <w:tab/>
            </w:r>
            <w:r w:rsidR="00B85FC3" w:rsidRPr="00D848CE">
              <w:rPr>
                <w:rStyle w:val="Hyperlink"/>
                <w:rFonts w:ascii="Arial" w:hAnsi="Arial" w:cs="Arial"/>
                <w:lang w:val="es-ES_tradnl"/>
              </w:rPr>
              <w:t>Estimación de los Beneficios Provenientes de la Administración Tributaria</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_Toc479116390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8</w:t>
            </w:r>
            <w:r w:rsidR="00B85FC3" w:rsidRPr="00D848CE">
              <w:rPr>
                <w:rFonts w:ascii="Arial" w:hAnsi="Arial" w:cs="Arial"/>
                <w:webHidden/>
                <w:lang w:val="es-ES_tradnl"/>
              </w:rPr>
              <w:fldChar w:fldCharType="end"/>
            </w:r>
          </w:hyperlink>
        </w:p>
        <w:p w14:paraId="057D1010" w14:textId="77777777" w:rsidR="00B85FC3" w:rsidRPr="00D848CE" w:rsidRDefault="008058C8">
          <w:pPr>
            <w:pStyle w:val="TOC2"/>
            <w:tabs>
              <w:tab w:val="left" w:pos="660"/>
              <w:tab w:val="right" w:leader="dot" w:pos="9106"/>
            </w:tabs>
            <w:rPr>
              <w:rFonts w:ascii="Arial" w:hAnsi="Arial" w:cs="Arial"/>
              <w:lang w:val="es-ES_tradnl"/>
            </w:rPr>
          </w:pPr>
          <w:hyperlink w:anchor="_Toc479116391" w:history="1">
            <w:r w:rsidR="00B85FC3" w:rsidRPr="00D848CE">
              <w:rPr>
                <w:rStyle w:val="Hyperlink"/>
                <w:rFonts w:ascii="Arial" w:hAnsi="Arial" w:cs="Arial"/>
                <w:lang w:val="es-ES_tradnl"/>
              </w:rPr>
              <w:t>A.</w:t>
            </w:r>
            <w:r w:rsidR="00B85FC3" w:rsidRPr="00D848CE">
              <w:rPr>
                <w:rFonts w:ascii="Arial" w:hAnsi="Arial" w:cs="Arial"/>
                <w:lang w:val="es-ES_tradnl"/>
              </w:rPr>
              <w:tab/>
            </w:r>
            <w:r w:rsidR="00B85FC3" w:rsidRPr="00D848CE">
              <w:rPr>
                <w:rStyle w:val="Hyperlink"/>
                <w:rFonts w:ascii="Arial" w:hAnsi="Arial" w:cs="Arial"/>
                <w:lang w:val="es-ES_tradnl"/>
              </w:rPr>
              <w:t>Estimación de la Evasión Fiscal</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_Toc479116391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8</w:t>
            </w:r>
            <w:r w:rsidR="00B85FC3" w:rsidRPr="00D848CE">
              <w:rPr>
                <w:rFonts w:ascii="Arial" w:hAnsi="Arial" w:cs="Arial"/>
                <w:webHidden/>
                <w:lang w:val="es-ES_tradnl"/>
              </w:rPr>
              <w:fldChar w:fldCharType="end"/>
            </w:r>
          </w:hyperlink>
        </w:p>
        <w:p w14:paraId="29DDE1F2" w14:textId="77777777" w:rsidR="00B85FC3" w:rsidRPr="00D848CE" w:rsidRDefault="008058C8">
          <w:pPr>
            <w:pStyle w:val="TOC2"/>
            <w:tabs>
              <w:tab w:val="left" w:pos="660"/>
              <w:tab w:val="right" w:leader="dot" w:pos="9106"/>
            </w:tabs>
            <w:rPr>
              <w:rFonts w:ascii="Arial" w:hAnsi="Arial" w:cs="Arial"/>
              <w:lang w:val="es-ES_tradnl"/>
            </w:rPr>
          </w:pPr>
          <w:hyperlink w:anchor="_Toc479116392" w:history="1">
            <w:r w:rsidR="00B85FC3" w:rsidRPr="00D848CE">
              <w:rPr>
                <w:rStyle w:val="Hyperlink"/>
                <w:rFonts w:ascii="Arial" w:hAnsi="Arial" w:cs="Arial"/>
                <w:lang w:val="es-ES_tradnl"/>
              </w:rPr>
              <w:t>B.</w:t>
            </w:r>
            <w:r w:rsidR="00B85FC3" w:rsidRPr="00D848CE">
              <w:rPr>
                <w:rFonts w:ascii="Arial" w:hAnsi="Arial" w:cs="Arial"/>
                <w:lang w:val="es-ES_tradnl"/>
              </w:rPr>
              <w:tab/>
            </w:r>
            <w:r w:rsidR="00B85FC3" w:rsidRPr="00D848CE">
              <w:rPr>
                <w:rStyle w:val="Hyperlink"/>
                <w:rFonts w:ascii="Arial" w:hAnsi="Arial" w:cs="Arial"/>
                <w:lang w:val="es-ES_tradnl"/>
              </w:rPr>
              <w:t>Metodología para la Estimación de los Beneficios</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_Toc479116392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11</w:t>
            </w:r>
            <w:r w:rsidR="00B85FC3" w:rsidRPr="00D848CE">
              <w:rPr>
                <w:rFonts w:ascii="Arial" w:hAnsi="Arial" w:cs="Arial"/>
                <w:webHidden/>
                <w:lang w:val="es-ES_tradnl"/>
              </w:rPr>
              <w:fldChar w:fldCharType="end"/>
            </w:r>
          </w:hyperlink>
        </w:p>
        <w:p w14:paraId="4031DA3B" w14:textId="77777777" w:rsidR="00B85FC3" w:rsidRPr="00D848CE" w:rsidRDefault="008058C8">
          <w:pPr>
            <w:pStyle w:val="TOC1"/>
            <w:rPr>
              <w:rFonts w:ascii="Arial" w:hAnsi="Arial" w:cs="Arial"/>
              <w:lang w:val="es-ES_tradnl"/>
            </w:rPr>
          </w:pPr>
          <w:hyperlink w:anchor="_Toc479116393" w:history="1">
            <w:r w:rsidR="00B85FC3" w:rsidRPr="00D848CE">
              <w:rPr>
                <w:rStyle w:val="Hyperlink"/>
                <w:rFonts w:ascii="Arial" w:hAnsi="Arial" w:cs="Arial"/>
                <w:lang w:val="es-ES_tradnl"/>
              </w:rPr>
              <w:t>V.</w:t>
            </w:r>
            <w:r w:rsidR="00B85FC3" w:rsidRPr="00D848CE">
              <w:rPr>
                <w:rFonts w:ascii="Arial" w:hAnsi="Arial" w:cs="Arial"/>
                <w:lang w:val="es-ES_tradnl"/>
              </w:rPr>
              <w:tab/>
            </w:r>
            <w:r w:rsidR="00B85FC3" w:rsidRPr="00D848CE">
              <w:rPr>
                <w:rStyle w:val="Hyperlink"/>
                <w:rFonts w:ascii="Arial" w:hAnsi="Arial" w:cs="Arial"/>
                <w:lang w:val="es-ES_tradnl"/>
              </w:rPr>
              <w:t>Estimación de los Beneficios Provenientes de la Mejora del Gasto Público</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_Toc479116393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16</w:t>
            </w:r>
            <w:r w:rsidR="00B85FC3" w:rsidRPr="00D848CE">
              <w:rPr>
                <w:rFonts w:ascii="Arial" w:hAnsi="Arial" w:cs="Arial"/>
                <w:webHidden/>
                <w:lang w:val="es-ES_tradnl"/>
              </w:rPr>
              <w:fldChar w:fldCharType="end"/>
            </w:r>
          </w:hyperlink>
        </w:p>
        <w:p w14:paraId="538DD0B1" w14:textId="77777777" w:rsidR="00B85FC3" w:rsidRPr="00D848CE" w:rsidRDefault="008058C8">
          <w:pPr>
            <w:pStyle w:val="TOC1"/>
            <w:rPr>
              <w:rFonts w:ascii="Arial" w:hAnsi="Arial" w:cs="Arial"/>
              <w:lang w:val="es-ES_tradnl"/>
            </w:rPr>
          </w:pPr>
          <w:hyperlink w:anchor="_Toc479116394" w:history="1">
            <w:r w:rsidR="00B85FC3" w:rsidRPr="00D848CE">
              <w:rPr>
                <w:rStyle w:val="Hyperlink"/>
                <w:rFonts w:ascii="Arial" w:hAnsi="Arial" w:cs="Arial"/>
                <w:lang w:val="es-ES_tradnl"/>
              </w:rPr>
              <w:t>VI.</w:t>
            </w:r>
            <w:r w:rsidR="00B85FC3" w:rsidRPr="00D848CE">
              <w:rPr>
                <w:rFonts w:ascii="Arial" w:hAnsi="Arial" w:cs="Arial"/>
                <w:lang w:val="es-ES_tradnl"/>
              </w:rPr>
              <w:tab/>
            </w:r>
            <w:r w:rsidR="00B85FC3" w:rsidRPr="00D848CE">
              <w:rPr>
                <w:rStyle w:val="Hyperlink"/>
                <w:rFonts w:ascii="Arial" w:hAnsi="Arial" w:cs="Arial"/>
                <w:lang w:val="es-ES_tradnl"/>
              </w:rPr>
              <w:t>Costos del Proyecto</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_Toc479116394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21</w:t>
            </w:r>
            <w:r w:rsidR="00B85FC3" w:rsidRPr="00D848CE">
              <w:rPr>
                <w:rFonts w:ascii="Arial" w:hAnsi="Arial" w:cs="Arial"/>
                <w:webHidden/>
                <w:lang w:val="es-ES_tradnl"/>
              </w:rPr>
              <w:fldChar w:fldCharType="end"/>
            </w:r>
          </w:hyperlink>
        </w:p>
        <w:p w14:paraId="028BE62E" w14:textId="77777777" w:rsidR="00B85FC3" w:rsidRPr="00D848CE" w:rsidRDefault="008058C8">
          <w:pPr>
            <w:pStyle w:val="TOC1"/>
            <w:rPr>
              <w:rFonts w:ascii="Arial" w:hAnsi="Arial" w:cs="Arial"/>
              <w:lang w:val="es-ES_tradnl"/>
            </w:rPr>
          </w:pPr>
          <w:hyperlink w:anchor="_Toc479116395" w:history="1">
            <w:r w:rsidR="00B85FC3" w:rsidRPr="00D848CE">
              <w:rPr>
                <w:rStyle w:val="Hyperlink"/>
                <w:rFonts w:ascii="Arial" w:hAnsi="Arial" w:cs="Arial"/>
                <w:lang w:val="es-ES_tradnl"/>
              </w:rPr>
              <w:t>VII.</w:t>
            </w:r>
            <w:r w:rsidR="00B85FC3" w:rsidRPr="00D848CE">
              <w:rPr>
                <w:rFonts w:ascii="Arial" w:hAnsi="Arial" w:cs="Arial"/>
                <w:lang w:val="es-ES_tradnl"/>
              </w:rPr>
              <w:tab/>
            </w:r>
            <w:r w:rsidR="00B85FC3" w:rsidRPr="00D848CE">
              <w:rPr>
                <w:rStyle w:val="Hyperlink"/>
                <w:rFonts w:ascii="Arial" w:hAnsi="Arial" w:cs="Arial"/>
                <w:lang w:val="es-ES_tradnl"/>
              </w:rPr>
              <w:t>Estimación del Beneficio Económico en Valor Presente</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_Toc479116395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21</w:t>
            </w:r>
            <w:r w:rsidR="00B85FC3" w:rsidRPr="00D848CE">
              <w:rPr>
                <w:rFonts w:ascii="Arial" w:hAnsi="Arial" w:cs="Arial"/>
                <w:webHidden/>
                <w:lang w:val="es-ES_tradnl"/>
              </w:rPr>
              <w:fldChar w:fldCharType="end"/>
            </w:r>
          </w:hyperlink>
        </w:p>
        <w:p w14:paraId="4C0A17F3" w14:textId="77777777" w:rsidR="00B85FC3" w:rsidRPr="00D848CE" w:rsidRDefault="008058C8">
          <w:pPr>
            <w:pStyle w:val="TOC1"/>
            <w:rPr>
              <w:rFonts w:ascii="Arial" w:hAnsi="Arial" w:cs="Arial"/>
              <w:lang w:val="es-ES_tradnl"/>
            </w:rPr>
          </w:pPr>
          <w:hyperlink w:anchor="_Toc479116396" w:history="1">
            <w:r w:rsidR="00B85FC3" w:rsidRPr="00D848CE">
              <w:rPr>
                <w:rStyle w:val="Hyperlink"/>
                <w:rFonts w:ascii="Arial" w:hAnsi="Arial" w:cs="Arial"/>
                <w:lang w:val="es-ES_tradnl"/>
              </w:rPr>
              <w:t>VIII.</w:t>
            </w:r>
            <w:r w:rsidR="00B85FC3" w:rsidRPr="00D848CE">
              <w:rPr>
                <w:rFonts w:ascii="Arial" w:hAnsi="Arial" w:cs="Arial"/>
                <w:lang w:val="es-ES_tradnl"/>
              </w:rPr>
              <w:tab/>
            </w:r>
            <w:r w:rsidR="00B85FC3" w:rsidRPr="00D848CE">
              <w:rPr>
                <w:rStyle w:val="Hyperlink"/>
                <w:rFonts w:ascii="Arial" w:hAnsi="Arial" w:cs="Arial"/>
                <w:lang w:val="es-ES_tradnl"/>
              </w:rPr>
              <w:t>Análisis de Sensibilidad</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_Toc479116396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22</w:t>
            </w:r>
            <w:r w:rsidR="00B85FC3" w:rsidRPr="00D848CE">
              <w:rPr>
                <w:rFonts w:ascii="Arial" w:hAnsi="Arial" w:cs="Arial"/>
                <w:webHidden/>
                <w:lang w:val="es-ES_tradnl"/>
              </w:rPr>
              <w:fldChar w:fldCharType="end"/>
            </w:r>
          </w:hyperlink>
        </w:p>
        <w:p w14:paraId="3A45A9AF" w14:textId="77777777" w:rsidR="00B85FC3" w:rsidRPr="00D848CE" w:rsidRDefault="008058C8">
          <w:pPr>
            <w:pStyle w:val="TOC1"/>
            <w:rPr>
              <w:rFonts w:ascii="Arial" w:hAnsi="Arial" w:cs="Arial"/>
              <w:lang w:val="es-ES_tradnl"/>
            </w:rPr>
          </w:pPr>
          <w:hyperlink w:anchor="_Toc479116397" w:history="1">
            <w:r w:rsidR="00B85FC3" w:rsidRPr="00D848CE">
              <w:rPr>
                <w:rStyle w:val="Hyperlink"/>
                <w:rFonts w:ascii="Arial" w:hAnsi="Arial" w:cs="Arial"/>
                <w:lang w:val="es-ES_tradnl"/>
              </w:rPr>
              <w:t>ANEXO I – Precio Sombra - Estimación de los Costos Económicos de Inversión y Mantenimiento</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_Toc479116397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24</w:t>
            </w:r>
            <w:r w:rsidR="00B85FC3" w:rsidRPr="00D848CE">
              <w:rPr>
                <w:rFonts w:ascii="Arial" w:hAnsi="Arial" w:cs="Arial"/>
                <w:webHidden/>
                <w:lang w:val="es-ES_tradnl"/>
              </w:rPr>
              <w:fldChar w:fldCharType="end"/>
            </w:r>
          </w:hyperlink>
        </w:p>
        <w:p w14:paraId="1D8B7857" w14:textId="77777777" w:rsidR="00B85FC3" w:rsidRPr="00D848CE" w:rsidRDefault="008058C8">
          <w:pPr>
            <w:pStyle w:val="TOC2"/>
            <w:tabs>
              <w:tab w:val="left" w:pos="660"/>
              <w:tab w:val="right" w:leader="dot" w:pos="9106"/>
            </w:tabs>
            <w:rPr>
              <w:rFonts w:ascii="Arial" w:hAnsi="Arial" w:cs="Arial"/>
              <w:lang w:val="es-ES_tradnl"/>
            </w:rPr>
          </w:pPr>
          <w:hyperlink w:anchor="_Toc479116398" w:history="1">
            <w:r w:rsidR="00B85FC3" w:rsidRPr="00D848CE">
              <w:rPr>
                <w:rStyle w:val="Hyperlink"/>
                <w:rFonts w:ascii="Arial" w:hAnsi="Arial" w:cs="Arial"/>
                <w:lang w:val="es-ES_tradnl"/>
              </w:rPr>
              <w:t>A.</w:t>
            </w:r>
            <w:r w:rsidR="00B85FC3" w:rsidRPr="00D848CE">
              <w:rPr>
                <w:rFonts w:ascii="Arial" w:hAnsi="Arial" w:cs="Arial"/>
                <w:lang w:val="es-ES_tradnl"/>
              </w:rPr>
              <w:tab/>
            </w:r>
            <w:r w:rsidR="00B85FC3" w:rsidRPr="00D848CE">
              <w:rPr>
                <w:rStyle w:val="Hyperlink"/>
                <w:rFonts w:ascii="Arial" w:hAnsi="Arial" w:cs="Arial"/>
                <w:lang w:val="es-ES_tradnl"/>
              </w:rPr>
              <w:t>Costos</w:t>
            </w:r>
            <w:r w:rsidR="00B85FC3" w:rsidRPr="00D848CE">
              <w:rPr>
                <w:rStyle w:val="Hyperlink"/>
                <w:rFonts w:ascii="Arial" w:hAnsi="Arial" w:cs="Arial"/>
                <w:spacing w:val="-4"/>
                <w:lang w:val="es-ES_tradnl"/>
              </w:rPr>
              <w:t xml:space="preserve"> </w:t>
            </w:r>
            <w:r w:rsidR="00B85FC3" w:rsidRPr="00D848CE">
              <w:rPr>
                <w:rStyle w:val="Hyperlink"/>
                <w:rFonts w:ascii="Arial" w:hAnsi="Arial" w:cs="Arial"/>
                <w:lang w:val="es-ES_tradnl"/>
              </w:rPr>
              <w:t>de</w:t>
            </w:r>
            <w:r w:rsidR="00B85FC3" w:rsidRPr="00D848CE">
              <w:rPr>
                <w:rStyle w:val="Hyperlink"/>
                <w:rFonts w:ascii="Arial" w:hAnsi="Arial" w:cs="Arial"/>
                <w:spacing w:val="-4"/>
                <w:lang w:val="es-ES_tradnl"/>
              </w:rPr>
              <w:t xml:space="preserve"> </w:t>
            </w:r>
            <w:r w:rsidR="00B85FC3" w:rsidRPr="00D848CE">
              <w:rPr>
                <w:rStyle w:val="Hyperlink"/>
                <w:rFonts w:ascii="Arial" w:hAnsi="Arial" w:cs="Arial"/>
                <w:spacing w:val="-1"/>
                <w:lang w:val="es-ES_tradnl"/>
              </w:rPr>
              <w:t>Inversión</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_Toc479116398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24</w:t>
            </w:r>
            <w:r w:rsidR="00B85FC3" w:rsidRPr="00D848CE">
              <w:rPr>
                <w:rFonts w:ascii="Arial" w:hAnsi="Arial" w:cs="Arial"/>
                <w:webHidden/>
                <w:lang w:val="es-ES_tradnl"/>
              </w:rPr>
              <w:fldChar w:fldCharType="end"/>
            </w:r>
          </w:hyperlink>
        </w:p>
        <w:p w14:paraId="0A946C50" w14:textId="77777777" w:rsidR="00B85FC3" w:rsidRPr="00D848CE" w:rsidRDefault="008058C8">
          <w:pPr>
            <w:pStyle w:val="TOC2"/>
            <w:tabs>
              <w:tab w:val="left" w:pos="660"/>
              <w:tab w:val="right" w:leader="dot" w:pos="9106"/>
            </w:tabs>
            <w:rPr>
              <w:rFonts w:ascii="Arial" w:hAnsi="Arial" w:cs="Arial"/>
              <w:lang w:val="es-ES_tradnl"/>
            </w:rPr>
          </w:pPr>
          <w:hyperlink w:anchor="_Toc479116399" w:history="1">
            <w:r w:rsidR="00B85FC3" w:rsidRPr="00D848CE">
              <w:rPr>
                <w:rStyle w:val="Hyperlink"/>
                <w:rFonts w:ascii="Arial" w:hAnsi="Arial" w:cs="Arial"/>
                <w:lang w:val="es-ES_tradnl"/>
              </w:rPr>
              <w:t>B.</w:t>
            </w:r>
            <w:r w:rsidR="00B85FC3" w:rsidRPr="00D848CE">
              <w:rPr>
                <w:rFonts w:ascii="Arial" w:hAnsi="Arial" w:cs="Arial"/>
                <w:lang w:val="es-ES_tradnl"/>
              </w:rPr>
              <w:tab/>
            </w:r>
            <w:r w:rsidR="00B85FC3" w:rsidRPr="00D848CE">
              <w:rPr>
                <w:rStyle w:val="Hyperlink"/>
                <w:rFonts w:ascii="Arial" w:hAnsi="Arial" w:cs="Arial"/>
                <w:lang w:val="es-ES_tradnl"/>
              </w:rPr>
              <w:t>Costos de Mantenimiento</w:t>
            </w:r>
            <w:r w:rsidR="00B85FC3" w:rsidRPr="00D848CE">
              <w:rPr>
                <w:rFonts w:ascii="Arial" w:hAnsi="Arial" w:cs="Arial"/>
                <w:webHidden/>
                <w:lang w:val="es-ES_tradnl"/>
              </w:rPr>
              <w:tab/>
            </w:r>
            <w:r w:rsidR="00B85FC3" w:rsidRPr="00D848CE">
              <w:rPr>
                <w:rFonts w:ascii="Arial" w:hAnsi="Arial" w:cs="Arial"/>
                <w:webHidden/>
                <w:lang w:val="es-ES_tradnl"/>
              </w:rPr>
              <w:fldChar w:fldCharType="begin"/>
            </w:r>
            <w:r w:rsidR="00B85FC3" w:rsidRPr="00D848CE">
              <w:rPr>
                <w:rFonts w:ascii="Arial" w:hAnsi="Arial" w:cs="Arial"/>
                <w:webHidden/>
                <w:lang w:val="es-ES_tradnl"/>
              </w:rPr>
              <w:instrText xml:space="preserve"> PAGEREF _Toc479116399 \h </w:instrText>
            </w:r>
            <w:r w:rsidR="00B85FC3" w:rsidRPr="00D848CE">
              <w:rPr>
                <w:rFonts w:ascii="Arial" w:hAnsi="Arial" w:cs="Arial"/>
                <w:webHidden/>
                <w:lang w:val="es-ES_tradnl"/>
              </w:rPr>
            </w:r>
            <w:r w:rsidR="00B85FC3" w:rsidRPr="00D848CE">
              <w:rPr>
                <w:rFonts w:ascii="Arial" w:hAnsi="Arial" w:cs="Arial"/>
                <w:webHidden/>
                <w:lang w:val="es-ES_tradnl"/>
              </w:rPr>
              <w:fldChar w:fldCharType="separate"/>
            </w:r>
            <w:r w:rsidR="00B41BE5" w:rsidRPr="00D848CE">
              <w:rPr>
                <w:rFonts w:ascii="Arial" w:hAnsi="Arial" w:cs="Arial"/>
                <w:webHidden/>
                <w:lang w:val="es-ES_tradnl"/>
              </w:rPr>
              <w:t>27</w:t>
            </w:r>
            <w:r w:rsidR="00B85FC3" w:rsidRPr="00D848CE">
              <w:rPr>
                <w:rFonts w:ascii="Arial" w:hAnsi="Arial" w:cs="Arial"/>
                <w:webHidden/>
                <w:lang w:val="es-ES_tradnl"/>
              </w:rPr>
              <w:fldChar w:fldCharType="end"/>
            </w:r>
          </w:hyperlink>
        </w:p>
        <w:p w14:paraId="7B0BF035" w14:textId="77777777" w:rsidR="00EB03E0" w:rsidRPr="00D848CE" w:rsidRDefault="00EB03E0">
          <w:pPr>
            <w:rPr>
              <w:rFonts w:ascii="Arial" w:hAnsi="Arial" w:cs="Arial"/>
              <w:lang w:val="es-ES_tradnl"/>
            </w:rPr>
          </w:pPr>
          <w:r w:rsidRPr="00D848CE">
            <w:rPr>
              <w:rFonts w:ascii="Arial" w:hAnsi="Arial" w:cs="Arial"/>
              <w:b/>
              <w:bCs/>
              <w:lang w:val="es-ES_tradnl"/>
            </w:rPr>
            <w:fldChar w:fldCharType="end"/>
          </w:r>
        </w:p>
      </w:sdtContent>
    </w:sdt>
    <w:p w14:paraId="140B1578" w14:textId="77777777" w:rsidR="003D0C40" w:rsidRPr="00D848CE" w:rsidRDefault="003D0C40">
      <w:pPr>
        <w:rPr>
          <w:rFonts w:ascii="Arial" w:hAnsi="Arial" w:cs="Arial"/>
          <w:b/>
          <w:smallCaps/>
          <w:lang w:val="es-ES_tradnl"/>
        </w:rPr>
        <w:sectPr w:rsidR="003D0C40" w:rsidRPr="00D848CE" w:rsidSect="00E82351">
          <w:pgSz w:w="12240" w:h="15840" w:code="1"/>
          <w:pgMar w:top="1440" w:right="1800" w:bottom="1440" w:left="1800" w:header="720" w:footer="720" w:gutter="0"/>
          <w:pgNumType w:start="1"/>
          <w:cols w:space="720"/>
          <w:titlePg/>
          <w:docGrid w:linePitch="360"/>
        </w:sectPr>
      </w:pPr>
    </w:p>
    <w:p w14:paraId="08436BF2" w14:textId="77777777" w:rsidR="00DB1C03" w:rsidRPr="00D848CE" w:rsidRDefault="00417F76" w:rsidP="00733089">
      <w:pPr>
        <w:pStyle w:val="Chapter"/>
        <w:numPr>
          <w:ilvl w:val="0"/>
          <w:numId w:val="2"/>
        </w:numPr>
        <w:ind w:left="720" w:hanging="720"/>
        <w:jc w:val="left"/>
        <w:outlineLvl w:val="0"/>
        <w:rPr>
          <w:rFonts w:ascii="Arial" w:hAnsi="Arial" w:cs="Arial"/>
          <w:sz w:val="22"/>
          <w:szCs w:val="22"/>
          <w:lang w:val="es-ES_tradnl"/>
        </w:rPr>
      </w:pPr>
      <w:bookmarkStart w:id="1" w:name="_Toc479116386"/>
      <w:r w:rsidRPr="00D848CE">
        <w:rPr>
          <w:rFonts w:ascii="Arial" w:hAnsi="Arial" w:cs="Arial"/>
          <w:sz w:val="22"/>
          <w:szCs w:val="22"/>
          <w:lang w:val="es-ES_tradnl"/>
        </w:rPr>
        <w:lastRenderedPageBreak/>
        <w:t>Resumen Ejecutivo</w:t>
      </w:r>
      <w:bookmarkEnd w:id="1"/>
    </w:p>
    <w:p w14:paraId="1D90E41B" w14:textId="77777777" w:rsidR="0038392E" w:rsidRPr="00D848CE" w:rsidRDefault="002846E1" w:rsidP="003D0D5E">
      <w:pPr>
        <w:pStyle w:val="Paragraph"/>
        <w:numPr>
          <w:ilvl w:val="1"/>
          <w:numId w:val="2"/>
        </w:numPr>
        <w:tabs>
          <w:tab w:val="num" w:pos="720"/>
        </w:tabs>
        <w:ind w:left="720" w:hanging="720"/>
        <w:outlineLvl w:val="9"/>
        <w:rPr>
          <w:rFonts w:ascii="Arial" w:hAnsi="Arial" w:cs="Arial"/>
          <w:sz w:val="22"/>
          <w:szCs w:val="22"/>
          <w:lang w:val="es-ES_tradnl"/>
        </w:rPr>
      </w:pPr>
      <w:r w:rsidRPr="00D848CE">
        <w:rPr>
          <w:rFonts w:ascii="Arial" w:hAnsi="Arial" w:cs="Arial"/>
          <w:sz w:val="22"/>
          <w:szCs w:val="22"/>
          <w:lang w:val="es-ES_tradnl"/>
        </w:rPr>
        <w:t>El objetivo de este estudio es demostrar el</w:t>
      </w:r>
      <w:r w:rsidR="00973FAF" w:rsidRPr="00D848CE">
        <w:rPr>
          <w:rFonts w:ascii="Arial" w:hAnsi="Arial" w:cs="Arial"/>
          <w:sz w:val="22"/>
          <w:szCs w:val="22"/>
          <w:lang w:val="es-ES_tradnl"/>
        </w:rPr>
        <w:t xml:space="preserve"> beneficio económico </w:t>
      </w:r>
      <w:r w:rsidRPr="00D848CE">
        <w:rPr>
          <w:rFonts w:ascii="Arial" w:hAnsi="Arial" w:cs="Arial"/>
          <w:sz w:val="22"/>
          <w:szCs w:val="22"/>
          <w:lang w:val="es-ES_tradnl"/>
        </w:rPr>
        <w:t xml:space="preserve">generado a partir de un conjunto de acciones que promuevan </w:t>
      </w:r>
      <w:r w:rsidR="000654FD" w:rsidRPr="00D848CE">
        <w:rPr>
          <w:rFonts w:ascii="Arial" w:hAnsi="Arial" w:cs="Arial"/>
          <w:sz w:val="22"/>
          <w:szCs w:val="22"/>
          <w:lang w:val="es-ES_tradnl"/>
        </w:rPr>
        <w:t xml:space="preserve">la reducción del déficit fiscal </w:t>
      </w:r>
      <w:r w:rsidR="00B278DA" w:rsidRPr="00D848CE">
        <w:rPr>
          <w:rFonts w:ascii="Arial" w:hAnsi="Arial" w:cs="Arial"/>
          <w:sz w:val="22"/>
          <w:szCs w:val="22"/>
          <w:lang w:val="es-ES_tradnl"/>
        </w:rPr>
        <w:t>del Gobierno de Rep</w:t>
      </w:r>
      <w:r w:rsidR="00502E80" w:rsidRPr="00D848CE">
        <w:rPr>
          <w:rFonts w:ascii="Arial" w:hAnsi="Arial" w:cs="Arial"/>
          <w:sz w:val="22"/>
          <w:szCs w:val="22"/>
          <w:lang w:val="es-ES_tradnl"/>
        </w:rPr>
        <w:t>ú</w:t>
      </w:r>
      <w:r w:rsidR="00B278DA" w:rsidRPr="00D848CE">
        <w:rPr>
          <w:rFonts w:ascii="Arial" w:hAnsi="Arial" w:cs="Arial"/>
          <w:sz w:val="22"/>
          <w:szCs w:val="22"/>
          <w:lang w:val="es-ES_tradnl"/>
        </w:rPr>
        <w:t xml:space="preserve">blica Dominicana </w:t>
      </w:r>
      <w:r w:rsidR="00C75554" w:rsidRPr="00D848CE">
        <w:rPr>
          <w:rFonts w:ascii="Arial" w:hAnsi="Arial" w:cs="Arial"/>
          <w:sz w:val="22"/>
          <w:szCs w:val="22"/>
          <w:lang w:val="es-ES_tradnl"/>
        </w:rPr>
        <w:t xml:space="preserve">(RD) </w:t>
      </w:r>
      <w:r w:rsidR="000654FD" w:rsidRPr="00D848CE">
        <w:rPr>
          <w:rFonts w:ascii="Arial" w:hAnsi="Arial" w:cs="Arial"/>
          <w:sz w:val="22"/>
          <w:szCs w:val="22"/>
          <w:lang w:val="es-ES_tradnl"/>
        </w:rPr>
        <w:t>de forma sostenible</w:t>
      </w:r>
      <w:r w:rsidR="00DD2864" w:rsidRPr="00D848CE">
        <w:rPr>
          <w:rFonts w:ascii="Arial" w:hAnsi="Arial" w:cs="Arial"/>
          <w:sz w:val="22"/>
          <w:szCs w:val="22"/>
          <w:lang w:val="es-ES_tradnl"/>
        </w:rPr>
        <w:t>.</w:t>
      </w:r>
      <w:r w:rsidR="00587010" w:rsidRPr="00D848CE">
        <w:rPr>
          <w:rFonts w:ascii="Arial" w:hAnsi="Arial" w:cs="Arial"/>
          <w:sz w:val="22"/>
          <w:szCs w:val="22"/>
          <w:lang w:val="es-ES_tradnl"/>
        </w:rPr>
        <w:t xml:space="preserve"> </w:t>
      </w:r>
      <w:r w:rsidR="00DD2864" w:rsidRPr="00D848CE">
        <w:rPr>
          <w:rFonts w:ascii="Arial" w:hAnsi="Arial" w:cs="Arial"/>
          <w:sz w:val="22"/>
          <w:szCs w:val="22"/>
          <w:lang w:val="es-ES_tradnl"/>
        </w:rPr>
        <w:t>El equipo de p</w:t>
      </w:r>
      <w:r w:rsidR="00587010" w:rsidRPr="00D848CE">
        <w:rPr>
          <w:rFonts w:ascii="Arial" w:hAnsi="Arial" w:cs="Arial"/>
          <w:sz w:val="22"/>
          <w:szCs w:val="22"/>
          <w:lang w:val="es-ES_tradnl"/>
        </w:rPr>
        <w:t xml:space="preserve">royecto </w:t>
      </w:r>
      <w:r w:rsidR="00DD2864" w:rsidRPr="00D848CE">
        <w:rPr>
          <w:rFonts w:ascii="Arial" w:hAnsi="Arial" w:cs="Arial"/>
          <w:sz w:val="22"/>
          <w:szCs w:val="22"/>
          <w:lang w:val="es-ES_tradnl"/>
        </w:rPr>
        <w:t>realizó un análisis comparativo entre los costos y b</w:t>
      </w:r>
      <w:r w:rsidR="00973FAF" w:rsidRPr="00D848CE">
        <w:rPr>
          <w:rFonts w:ascii="Arial" w:hAnsi="Arial" w:cs="Arial"/>
          <w:sz w:val="22"/>
          <w:szCs w:val="22"/>
          <w:lang w:val="es-ES_tradnl"/>
        </w:rPr>
        <w:t>eneficios económicos</w:t>
      </w:r>
      <w:r w:rsidR="00DD2864" w:rsidRPr="00D848CE">
        <w:rPr>
          <w:rFonts w:ascii="Arial" w:hAnsi="Arial" w:cs="Arial"/>
          <w:sz w:val="22"/>
          <w:szCs w:val="22"/>
          <w:lang w:val="es-ES_tradnl"/>
        </w:rPr>
        <w:t xml:space="preserve"> del programa considerando</w:t>
      </w:r>
      <w:r w:rsidR="006447AE" w:rsidRPr="00D848CE">
        <w:rPr>
          <w:rFonts w:ascii="Arial" w:hAnsi="Arial" w:cs="Arial"/>
          <w:sz w:val="22"/>
          <w:szCs w:val="22"/>
          <w:lang w:val="es-ES_tradnl"/>
        </w:rPr>
        <w:t xml:space="preserve"> los siguientes resultados del </w:t>
      </w:r>
      <w:r w:rsidR="003D0C40" w:rsidRPr="00D848CE">
        <w:rPr>
          <w:rFonts w:ascii="Arial" w:hAnsi="Arial" w:cs="Arial"/>
          <w:sz w:val="22"/>
          <w:szCs w:val="22"/>
          <w:lang w:val="es-ES_tradnl"/>
        </w:rPr>
        <w:t>programa</w:t>
      </w:r>
      <w:r w:rsidR="006447AE" w:rsidRPr="00D848CE">
        <w:rPr>
          <w:rFonts w:ascii="Arial" w:hAnsi="Arial" w:cs="Arial"/>
          <w:sz w:val="22"/>
          <w:szCs w:val="22"/>
          <w:lang w:val="es-ES_tradnl"/>
        </w:rPr>
        <w:t>: (i)</w:t>
      </w:r>
      <w:r w:rsidR="00DD2864" w:rsidRPr="00D848CE">
        <w:rPr>
          <w:rFonts w:ascii="Arial" w:hAnsi="Arial" w:cs="Arial"/>
          <w:sz w:val="22"/>
          <w:szCs w:val="22"/>
          <w:lang w:val="es-ES_tradnl"/>
        </w:rPr>
        <w:t xml:space="preserve"> el aumento real </w:t>
      </w:r>
      <w:r w:rsidR="000654FD" w:rsidRPr="00D848CE">
        <w:rPr>
          <w:rFonts w:ascii="Arial" w:hAnsi="Arial" w:cs="Arial"/>
          <w:sz w:val="22"/>
          <w:szCs w:val="22"/>
          <w:lang w:val="es-ES_tradnl"/>
        </w:rPr>
        <w:t xml:space="preserve">de la recaudación tributaria </w:t>
      </w:r>
      <w:r w:rsidR="00DB2C51" w:rsidRPr="00D848CE">
        <w:rPr>
          <w:rFonts w:ascii="Arial" w:hAnsi="Arial" w:cs="Arial"/>
          <w:sz w:val="22"/>
          <w:szCs w:val="22"/>
          <w:lang w:val="es-ES_tradnl"/>
        </w:rPr>
        <w:t xml:space="preserve">proveniente del </w:t>
      </w:r>
      <w:r w:rsidR="00DB2C51" w:rsidRPr="00D848CE">
        <w:rPr>
          <w:rFonts w:ascii="Arial" w:hAnsi="Arial" w:cs="Arial"/>
          <w:bCs/>
          <w:sz w:val="22"/>
          <w:szCs w:val="22"/>
          <w:lang w:val="es-ES_tradnl"/>
        </w:rPr>
        <w:t>Impuesto a las Transferencias de Bienes Industrializados y Servicios (ITBIS)</w:t>
      </w:r>
      <w:r w:rsidR="006447AE" w:rsidRPr="00D848CE">
        <w:rPr>
          <w:rFonts w:ascii="Arial" w:hAnsi="Arial" w:cs="Arial"/>
          <w:bCs/>
          <w:sz w:val="22"/>
          <w:szCs w:val="22"/>
          <w:lang w:val="es-ES_tradnl"/>
        </w:rPr>
        <w:t>;</w:t>
      </w:r>
      <w:r w:rsidR="00DB2C51" w:rsidRPr="00D848CE">
        <w:rPr>
          <w:rFonts w:ascii="Arial" w:hAnsi="Arial" w:cs="Arial"/>
          <w:sz w:val="22"/>
          <w:szCs w:val="22"/>
          <w:lang w:val="es-ES_tradnl"/>
        </w:rPr>
        <w:t xml:space="preserve"> </w:t>
      </w:r>
      <w:r w:rsidR="000654FD" w:rsidRPr="00D848CE">
        <w:rPr>
          <w:rFonts w:ascii="Arial" w:hAnsi="Arial" w:cs="Arial"/>
          <w:sz w:val="22"/>
          <w:szCs w:val="22"/>
          <w:lang w:val="es-ES_tradnl"/>
        </w:rPr>
        <w:t xml:space="preserve">y </w:t>
      </w:r>
      <w:r w:rsidR="006447AE" w:rsidRPr="00D848CE">
        <w:rPr>
          <w:rFonts w:ascii="Arial" w:hAnsi="Arial" w:cs="Arial"/>
          <w:sz w:val="22"/>
          <w:szCs w:val="22"/>
          <w:lang w:val="es-ES_tradnl"/>
        </w:rPr>
        <w:t xml:space="preserve">(ii) </w:t>
      </w:r>
      <w:r w:rsidR="000654FD" w:rsidRPr="00D848CE">
        <w:rPr>
          <w:rFonts w:ascii="Arial" w:hAnsi="Arial" w:cs="Arial"/>
          <w:sz w:val="22"/>
          <w:szCs w:val="22"/>
          <w:lang w:val="es-ES_tradnl"/>
        </w:rPr>
        <w:t>el aumento de la disponibilidad de recursos para realizar el gasto público de manera efectiva</w:t>
      </w:r>
      <w:r w:rsidR="00CD37C5" w:rsidRPr="00D848CE">
        <w:rPr>
          <w:rFonts w:ascii="Arial" w:hAnsi="Arial" w:cs="Arial"/>
          <w:sz w:val="22"/>
          <w:szCs w:val="22"/>
          <w:lang w:val="es-ES_tradnl"/>
        </w:rPr>
        <w:t xml:space="preserve">. Esto se logrará mediante </w:t>
      </w:r>
      <w:r w:rsidR="000654FD" w:rsidRPr="00D848CE">
        <w:rPr>
          <w:rFonts w:ascii="Arial" w:hAnsi="Arial" w:cs="Arial"/>
          <w:sz w:val="22"/>
          <w:szCs w:val="22"/>
          <w:lang w:val="es-ES_tradnl"/>
        </w:rPr>
        <w:t>el fortalecimiento de los procesos y sistemas de la a</w:t>
      </w:r>
      <w:r w:rsidR="00CD37C5" w:rsidRPr="00D848CE">
        <w:rPr>
          <w:rFonts w:ascii="Arial" w:hAnsi="Arial" w:cs="Arial"/>
          <w:sz w:val="22"/>
          <w:szCs w:val="22"/>
          <w:lang w:val="es-ES_tradnl"/>
        </w:rPr>
        <w:t>dministración tributaria llevados</w:t>
      </w:r>
      <w:r w:rsidR="000654FD" w:rsidRPr="00D848CE">
        <w:rPr>
          <w:rFonts w:ascii="Arial" w:hAnsi="Arial" w:cs="Arial"/>
          <w:sz w:val="22"/>
          <w:szCs w:val="22"/>
          <w:lang w:val="es-ES_tradnl"/>
        </w:rPr>
        <w:t xml:space="preserve"> a cabo por </w:t>
      </w:r>
      <w:r w:rsidR="00502E80" w:rsidRPr="00D848CE">
        <w:rPr>
          <w:rFonts w:ascii="Arial" w:hAnsi="Arial" w:cs="Arial"/>
          <w:sz w:val="22"/>
          <w:szCs w:val="22"/>
          <w:lang w:val="es-ES_tradnl"/>
        </w:rPr>
        <w:t xml:space="preserve">la Dirección de Impuestos Internos (DGII), </w:t>
      </w:r>
      <w:r w:rsidR="000654FD" w:rsidRPr="00D848CE">
        <w:rPr>
          <w:rFonts w:ascii="Arial" w:hAnsi="Arial" w:cs="Arial"/>
          <w:sz w:val="22"/>
          <w:szCs w:val="22"/>
          <w:lang w:val="es-ES_tradnl"/>
        </w:rPr>
        <w:t>así como con</w:t>
      </w:r>
      <w:r w:rsidR="00CD37C5" w:rsidRPr="00D848CE">
        <w:rPr>
          <w:rFonts w:ascii="Arial" w:hAnsi="Arial" w:cs="Arial"/>
          <w:sz w:val="22"/>
          <w:szCs w:val="22"/>
          <w:lang w:val="es-ES_tradnl"/>
        </w:rPr>
        <w:t xml:space="preserve"> el fortalecimiento de los procesos y sistemas de las entidades del Ministerio de Hacienda responsables por la planificación y ejecución presupuestaria.</w:t>
      </w:r>
      <w:r w:rsidR="002E4FBA" w:rsidRPr="00D848CE">
        <w:rPr>
          <w:rFonts w:ascii="Arial" w:hAnsi="Arial" w:cs="Arial"/>
          <w:sz w:val="22"/>
          <w:szCs w:val="22"/>
          <w:lang w:val="es-ES_tradnl"/>
        </w:rPr>
        <w:t xml:space="preserve"> </w:t>
      </w:r>
    </w:p>
    <w:p w14:paraId="5A8B9455" w14:textId="77777777" w:rsidR="006D40CE" w:rsidRPr="00D848CE" w:rsidRDefault="00BD3372" w:rsidP="00412774">
      <w:pPr>
        <w:pStyle w:val="Paragraph"/>
        <w:numPr>
          <w:ilvl w:val="0"/>
          <w:numId w:val="15"/>
        </w:numPr>
        <w:tabs>
          <w:tab w:val="num" w:pos="2736"/>
        </w:tabs>
        <w:rPr>
          <w:rFonts w:ascii="Arial" w:hAnsi="Arial" w:cs="Arial"/>
          <w:bCs/>
          <w:sz w:val="22"/>
          <w:szCs w:val="22"/>
          <w:lang w:val="es-ES_tradnl"/>
        </w:rPr>
      </w:pPr>
      <w:bookmarkStart w:id="2" w:name="_Toc479116387"/>
      <w:r w:rsidRPr="00D848CE">
        <w:rPr>
          <w:rFonts w:ascii="Arial" w:hAnsi="Arial" w:cs="Arial"/>
          <w:b/>
          <w:sz w:val="22"/>
          <w:szCs w:val="22"/>
          <w:lang w:val="es-ES_tradnl"/>
        </w:rPr>
        <w:t>Antecedentes.</w:t>
      </w:r>
      <w:bookmarkEnd w:id="2"/>
      <w:r w:rsidRPr="00D848CE">
        <w:rPr>
          <w:rFonts w:ascii="Arial" w:hAnsi="Arial" w:cs="Arial"/>
          <w:sz w:val="22"/>
          <w:szCs w:val="22"/>
          <w:lang w:val="es-ES_tradnl"/>
        </w:rPr>
        <w:t xml:space="preserve"> </w:t>
      </w:r>
    </w:p>
    <w:p w14:paraId="37C66762" w14:textId="77777777" w:rsidR="006D40CE" w:rsidRPr="00D848CE" w:rsidRDefault="00D51696" w:rsidP="008B5547">
      <w:pPr>
        <w:pStyle w:val="Paragraph"/>
        <w:numPr>
          <w:ilvl w:val="1"/>
          <w:numId w:val="2"/>
        </w:numPr>
        <w:tabs>
          <w:tab w:val="clear" w:pos="1296"/>
        </w:tabs>
        <w:ind w:left="720" w:hanging="720"/>
        <w:outlineLvl w:val="9"/>
        <w:rPr>
          <w:rFonts w:ascii="Arial" w:hAnsi="Arial" w:cs="Arial"/>
          <w:sz w:val="22"/>
          <w:szCs w:val="22"/>
          <w:lang w:val="es-ES_tradnl"/>
        </w:rPr>
      </w:pPr>
      <w:r w:rsidRPr="00D848CE">
        <w:rPr>
          <w:rFonts w:ascii="Arial" w:hAnsi="Arial" w:cs="Arial"/>
          <w:bCs/>
          <w:sz w:val="22"/>
          <w:szCs w:val="22"/>
          <w:lang w:val="es-ES_tradnl"/>
        </w:rPr>
        <w:t xml:space="preserve">La economía </w:t>
      </w:r>
      <w:r w:rsidRPr="00D848CE">
        <w:rPr>
          <w:rFonts w:ascii="Arial" w:hAnsi="Arial" w:cs="Arial"/>
          <w:sz w:val="22"/>
          <w:szCs w:val="22"/>
          <w:lang w:val="es-ES_tradnl"/>
        </w:rPr>
        <w:t>dominicana</w:t>
      </w:r>
      <w:r w:rsidRPr="00D848CE">
        <w:rPr>
          <w:rFonts w:ascii="Arial" w:hAnsi="Arial" w:cs="Arial"/>
          <w:bCs/>
          <w:sz w:val="22"/>
          <w:szCs w:val="22"/>
          <w:lang w:val="es-ES_tradnl"/>
        </w:rPr>
        <w:t xml:space="preserve"> registra una </w:t>
      </w:r>
      <w:r w:rsidRPr="00D848CE">
        <w:rPr>
          <w:rFonts w:ascii="Arial" w:hAnsi="Arial" w:cs="Arial"/>
          <w:sz w:val="22"/>
          <w:szCs w:val="22"/>
          <w:lang w:val="es-ES_tradnl"/>
        </w:rPr>
        <w:t>de las</w:t>
      </w:r>
      <w:r w:rsidRPr="00D848CE">
        <w:rPr>
          <w:rFonts w:ascii="Arial" w:hAnsi="Arial" w:cs="Arial"/>
          <w:bCs/>
          <w:sz w:val="22"/>
          <w:szCs w:val="22"/>
          <w:lang w:val="es-ES_tradnl"/>
        </w:rPr>
        <w:t xml:space="preserve"> más altas tasas de crecimiento económico de la región, con un crecimiento promedio </w:t>
      </w:r>
      <w:r w:rsidRPr="00D848CE">
        <w:rPr>
          <w:rFonts w:ascii="Arial" w:hAnsi="Arial" w:cs="Arial"/>
          <w:sz w:val="22"/>
          <w:szCs w:val="22"/>
          <w:lang w:val="es-ES_tradnl"/>
        </w:rPr>
        <w:t>del Producto Interno Bruto (PIB)</w:t>
      </w:r>
      <w:r w:rsidRPr="00D848CE">
        <w:rPr>
          <w:rFonts w:ascii="Arial" w:hAnsi="Arial" w:cs="Arial"/>
          <w:bCs/>
          <w:sz w:val="22"/>
          <w:szCs w:val="22"/>
          <w:lang w:val="es-ES_tradnl"/>
        </w:rPr>
        <w:t xml:space="preserve"> de 5,1% entre 1990-2013, superando</w:t>
      </w:r>
      <w:r w:rsidRPr="00D848CE">
        <w:rPr>
          <w:rFonts w:ascii="Arial" w:hAnsi="Arial" w:cs="Arial"/>
          <w:sz w:val="22"/>
          <w:szCs w:val="22"/>
          <w:lang w:val="es-ES_tradnl"/>
        </w:rPr>
        <w:t xml:space="preserve"> el 7% entre 2014-2015 en términos reales</w:t>
      </w:r>
      <w:r w:rsidRPr="00D848CE">
        <w:rPr>
          <w:rStyle w:val="FootnoteReference"/>
          <w:rFonts w:ascii="Arial" w:hAnsi="Arial" w:cs="Arial"/>
          <w:sz w:val="22"/>
          <w:szCs w:val="22"/>
          <w:lang w:val="es-ES_tradnl"/>
        </w:rPr>
        <w:footnoteReference w:id="1"/>
      </w:r>
      <w:r w:rsidRPr="00D848CE">
        <w:rPr>
          <w:rFonts w:ascii="Arial" w:hAnsi="Arial" w:cs="Arial"/>
          <w:sz w:val="22"/>
          <w:szCs w:val="22"/>
          <w:lang w:val="es-ES_tradnl"/>
        </w:rPr>
        <w:t>. Este crecimiento se tradujo en una reducción de la pobreza en 15,5 puntos porcentuales, entre 2005-2010, ubicándose en 32,3%</w:t>
      </w:r>
      <w:r w:rsidRPr="00D848CE">
        <w:rPr>
          <w:rFonts w:ascii="Arial" w:hAnsi="Arial" w:cs="Arial"/>
          <w:sz w:val="22"/>
          <w:szCs w:val="22"/>
          <w:vertAlign w:val="superscript"/>
          <w:lang w:val="es-ES_tradnl"/>
        </w:rPr>
        <w:footnoteReference w:id="2"/>
      </w:r>
      <w:r w:rsidRPr="00D848CE">
        <w:rPr>
          <w:rFonts w:ascii="Arial" w:hAnsi="Arial" w:cs="Arial"/>
          <w:sz w:val="22"/>
          <w:szCs w:val="22"/>
          <w:lang w:val="es-ES_tradnl"/>
        </w:rPr>
        <w:t>. No obstante, la pobreza supera al promedio de América Latina y el Caribe (ALC) (28,2% en 2014), la desigualdad se sitúa entre las más altas de la región (Gini de 0,52 en 2014) y la informalidad laboral es elevada (57% en 2013)</w:t>
      </w:r>
      <w:r w:rsidRPr="00D848CE">
        <w:rPr>
          <w:rStyle w:val="FootnoteReference"/>
          <w:rFonts w:ascii="Arial" w:hAnsi="Arial" w:cs="Arial"/>
          <w:sz w:val="22"/>
          <w:szCs w:val="22"/>
          <w:lang w:val="es-ES_tradnl"/>
        </w:rPr>
        <w:footnoteReference w:id="3"/>
      </w:r>
      <w:r w:rsidRPr="00D848CE">
        <w:rPr>
          <w:rFonts w:ascii="Arial" w:hAnsi="Arial" w:cs="Arial"/>
          <w:sz w:val="22"/>
          <w:szCs w:val="22"/>
          <w:lang w:val="es-ES_tradnl"/>
        </w:rPr>
        <w:t>. Este dinamismo tampoco se ha reflejado en un saneamiento de las cuentas fiscales, que muestran un sostenido déficit que alcanzó su máximo en 2012 (6,9% del PIB). En 2013, se implementó</w:t>
      </w:r>
      <w:r w:rsidRPr="00D848CE">
        <w:rPr>
          <w:rFonts w:ascii="Arial" w:hAnsi="Arial" w:cs="Arial"/>
          <w:bCs/>
          <w:sz w:val="22"/>
          <w:szCs w:val="22"/>
          <w:lang w:val="es-ES_tradnl"/>
        </w:rPr>
        <w:t xml:space="preserve"> un programa de consolidación fiscal que incluyó una reforma tributaria y medidas de control de gasto</w:t>
      </w:r>
      <w:r w:rsidRPr="00D848CE">
        <w:rPr>
          <w:rStyle w:val="FootnoteReference"/>
          <w:rFonts w:ascii="Arial" w:hAnsi="Arial" w:cs="Arial"/>
          <w:sz w:val="22"/>
          <w:szCs w:val="22"/>
          <w:lang w:val="es-ES_tradnl"/>
        </w:rPr>
        <w:footnoteReference w:id="4"/>
      </w:r>
      <w:r w:rsidRPr="00D848CE">
        <w:rPr>
          <w:rFonts w:ascii="Arial" w:hAnsi="Arial" w:cs="Arial"/>
          <w:bCs/>
          <w:sz w:val="22"/>
          <w:szCs w:val="22"/>
          <w:lang w:val="es-ES_tradnl"/>
        </w:rPr>
        <w:t xml:space="preserve"> que permitieron, entre 2012-2015,</w:t>
      </w:r>
      <w:r w:rsidRPr="00D848CE">
        <w:rPr>
          <w:rFonts w:ascii="Arial" w:hAnsi="Arial" w:cs="Arial"/>
          <w:sz w:val="22"/>
          <w:szCs w:val="22"/>
          <w:lang w:val="es-ES_tradnl"/>
        </w:rPr>
        <w:t xml:space="preserve"> </w:t>
      </w:r>
      <w:r w:rsidRPr="00D848CE">
        <w:rPr>
          <w:rFonts w:ascii="Arial" w:hAnsi="Arial" w:cs="Arial"/>
          <w:bCs/>
          <w:sz w:val="22"/>
          <w:szCs w:val="22"/>
          <w:lang w:val="es-ES_tradnl"/>
        </w:rPr>
        <w:t xml:space="preserve">un aumento de los </w:t>
      </w:r>
      <w:r w:rsidRPr="00D848CE">
        <w:rPr>
          <w:rFonts w:ascii="Arial" w:hAnsi="Arial" w:cs="Arial"/>
          <w:sz w:val="22"/>
          <w:szCs w:val="22"/>
          <w:lang w:val="es-ES_tradnl"/>
        </w:rPr>
        <w:t xml:space="preserve">ingresos totales </w:t>
      </w:r>
      <w:r w:rsidRPr="00D848CE">
        <w:rPr>
          <w:rFonts w:ascii="Arial" w:hAnsi="Arial" w:cs="Arial"/>
          <w:bCs/>
          <w:sz w:val="22"/>
          <w:szCs w:val="22"/>
          <w:lang w:val="es-ES_tradnl"/>
        </w:rPr>
        <w:t xml:space="preserve">de 13,36% a 14,4% del PIB y una reducción del gasto total de 19,93% a 17,43% del PIB, ambos del gobierno central, resultando en una disminución del déficit del Sector Público No Financiero (SPNF) de 6,9% del PIB </w:t>
      </w:r>
      <w:r w:rsidRPr="00D848CE">
        <w:rPr>
          <w:rFonts w:ascii="Arial" w:hAnsi="Arial" w:cs="Arial"/>
          <w:sz w:val="22"/>
          <w:szCs w:val="22"/>
          <w:lang w:val="es-ES_tradnl"/>
        </w:rPr>
        <w:t xml:space="preserve">en </w:t>
      </w:r>
      <w:r w:rsidRPr="00D848CE">
        <w:rPr>
          <w:rFonts w:ascii="Arial" w:hAnsi="Arial" w:cs="Arial"/>
          <w:bCs/>
          <w:sz w:val="22"/>
          <w:szCs w:val="22"/>
          <w:lang w:val="es-ES_tradnl"/>
        </w:rPr>
        <w:t>2012 a 3% en 2015</w:t>
      </w:r>
      <w:r w:rsidRPr="00D848CE">
        <w:rPr>
          <w:rStyle w:val="FootnoteReference"/>
          <w:rFonts w:ascii="Arial" w:hAnsi="Arial" w:cs="Arial"/>
          <w:bCs/>
          <w:sz w:val="22"/>
          <w:szCs w:val="22"/>
          <w:lang w:val="es-ES_tradnl"/>
        </w:rPr>
        <w:footnoteReference w:id="5"/>
      </w:r>
      <w:r w:rsidRPr="00D848CE">
        <w:rPr>
          <w:rFonts w:ascii="Arial" w:hAnsi="Arial" w:cs="Arial"/>
          <w:bCs/>
          <w:sz w:val="22"/>
          <w:szCs w:val="22"/>
          <w:lang w:val="es-ES_tradnl"/>
        </w:rPr>
        <w:t>.</w:t>
      </w:r>
      <w:r w:rsidR="006D40CE" w:rsidRPr="00D848CE">
        <w:rPr>
          <w:rFonts w:ascii="Arial" w:hAnsi="Arial" w:cs="Arial"/>
          <w:bCs/>
          <w:sz w:val="22"/>
          <w:szCs w:val="22"/>
          <w:lang w:val="es-ES_tradnl"/>
        </w:rPr>
        <w:t xml:space="preserve"> </w:t>
      </w:r>
      <w:r w:rsidR="00B74023" w:rsidRPr="00D848CE">
        <w:rPr>
          <w:rFonts w:ascii="Arial" w:hAnsi="Arial" w:cs="Arial"/>
          <w:bCs/>
          <w:sz w:val="22"/>
          <w:szCs w:val="22"/>
          <w:lang w:val="es-ES_tradnl"/>
        </w:rPr>
        <w:t>Si bien, se han logrado avances aún persisten importantes desafíos.</w:t>
      </w:r>
    </w:p>
    <w:p w14:paraId="5178E0A9" w14:textId="2C4F934B" w:rsidR="00CD37C5" w:rsidRPr="00D848CE" w:rsidRDefault="009A0A29" w:rsidP="008B5547">
      <w:pPr>
        <w:pStyle w:val="Paragraph"/>
        <w:numPr>
          <w:ilvl w:val="1"/>
          <w:numId w:val="2"/>
        </w:numPr>
        <w:ind w:left="720" w:hanging="720"/>
        <w:outlineLvl w:val="9"/>
        <w:rPr>
          <w:rFonts w:ascii="Arial" w:hAnsi="Arial" w:cs="Arial"/>
          <w:sz w:val="22"/>
          <w:szCs w:val="22"/>
          <w:lang w:val="es-ES_tradnl"/>
        </w:rPr>
      </w:pPr>
      <w:r w:rsidRPr="00D848CE">
        <w:rPr>
          <w:rFonts w:ascii="Arial" w:hAnsi="Arial" w:cs="Arial"/>
          <w:sz w:val="22"/>
          <w:szCs w:val="22"/>
          <w:lang w:val="es-ES_tradnl"/>
        </w:rPr>
        <w:t xml:space="preserve">Para </w:t>
      </w:r>
      <w:r w:rsidR="00B74023" w:rsidRPr="00D848CE">
        <w:rPr>
          <w:rFonts w:ascii="Arial" w:hAnsi="Arial" w:cs="Arial"/>
          <w:sz w:val="22"/>
          <w:szCs w:val="22"/>
          <w:lang w:val="es-ES_tradnl"/>
        </w:rPr>
        <w:t>lograr</w:t>
      </w:r>
      <w:r w:rsidRPr="00D848CE">
        <w:rPr>
          <w:rFonts w:ascii="Arial" w:hAnsi="Arial" w:cs="Arial"/>
          <w:sz w:val="22"/>
          <w:szCs w:val="22"/>
          <w:lang w:val="es-ES_tradnl"/>
        </w:rPr>
        <w:t xml:space="preserve"> la consolidación fiscal se requieren </w:t>
      </w:r>
      <w:r w:rsidR="00B74023" w:rsidRPr="00D848CE">
        <w:rPr>
          <w:rFonts w:ascii="Arial" w:hAnsi="Arial" w:cs="Arial"/>
          <w:sz w:val="22"/>
          <w:szCs w:val="22"/>
          <w:lang w:val="es-ES_tradnl"/>
        </w:rPr>
        <w:t xml:space="preserve">medidas que contrarresten la </w:t>
      </w:r>
      <w:r w:rsidR="00B74023" w:rsidRPr="00D848CE">
        <w:rPr>
          <w:rFonts w:ascii="Arial" w:hAnsi="Arial" w:cs="Arial"/>
          <w:bCs/>
          <w:sz w:val="22"/>
          <w:szCs w:val="22"/>
          <w:lang w:val="es-ES_tradnl"/>
        </w:rPr>
        <w:t>insuficiente recaudación tributaria y fortalezcan la gestión del gasto público</w:t>
      </w:r>
      <w:r w:rsidR="00B74023" w:rsidRPr="00D848CE">
        <w:rPr>
          <w:rFonts w:ascii="Arial" w:hAnsi="Arial" w:cs="Arial"/>
          <w:sz w:val="22"/>
          <w:szCs w:val="22"/>
          <w:lang w:val="es-ES_tradnl"/>
        </w:rPr>
        <w:t>. Por el lado de los ingresos, la reforma tributaria no logró alcanzar el rendimiento esperado (10% del PIB comparado con el rendimiento efectivo de 0,7% en 2015). Desde el año 2000, los ingresos tributarios no han superado el 15% del PIB y se encuentran por debajo del promedio de Centroamérica (17%) y ALC (25%)</w:t>
      </w:r>
      <w:r w:rsidR="00B74023" w:rsidRPr="00D848CE">
        <w:rPr>
          <w:rStyle w:val="FootnoteReference"/>
          <w:rFonts w:ascii="Arial" w:hAnsi="Arial" w:cs="Arial"/>
          <w:sz w:val="22"/>
          <w:szCs w:val="22"/>
          <w:lang w:val="es-ES_tradnl"/>
        </w:rPr>
        <w:footnoteReference w:id="6"/>
      </w:r>
      <w:r w:rsidR="00B74023" w:rsidRPr="00D848CE">
        <w:rPr>
          <w:rFonts w:ascii="Arial" w:hAnsi="Arial" w:cs="Arial"/>
          <w:sz w:val="22"/>
          <w:szCs w:val="22"/>
          <w:lang w:val="es-ES_tradnl"/>
        </w:rPr>
        <w:t xml:space="preserve"> como </w:t>
      </w:r>
      <w:r w:rsidR="00B74023" w:rsidRPr="00D848CE">
        <w:rPr>
          <w:rFonts w:ascii="Arial" w:hAnsi="Arial" w:cs="Arial"/>
          <w:sz w:val="22"/>
          <w:szCs w:val="22"/>
          <w:lang w:val="es-ES_tradnl"/>
        </w:rPr>
        <w:lastRenderedPageBreak/>
        <w:t>consecuencia de las debilidades de la Administración Tributaria (AT) y de la complejidad del sistema tributario</w:t>
      </w:r>
      <w:r w:rsidR="00B74023" w:rsidRPr="00D848CE">
        <w:rPr>
          <w:rStyle w:val="FootnoteReference"/>
          <w:rFonts w:ascii="Arial" w:hAnsi="Arial" w:cs="Arial"/>
          <w:sz w:val="22"/>
          <w:szCs w:val="22"/>
          <w:lang w:val="es-ES_tradnl"/>
        </w:rPr>
        <w:footnoteReference w:id="7"/>
      </w:r>
      <w:r w:rsidR="00B74023" w:rsidRPr="00D848CE">
        <w:rPr>
          <w:rFonts w:ascii="Arial" w:hAnsi="Arial" w:cs="Arial"/>
          <w:sz w:val="22"/>
          <w:szCs w:val="22"/>
          <w:lang w:val="es-ES_tradnl"/>
        </w:rPr>
        <w:t>. El incumplimiento del Impuesto sobre la Renta (ISR) aumentó de 55,2% (2007) a 61,2% (2015) mientras que el del Impuesto a las Transferencias de Bienes Industrializados y Servicios (ITBIS), equivalente a Impuesto sobre el Valor Agregado, en otros países, fluctuó entre 33,3% y 35,6% (2007-2012), ambos respecto a su potencial recaudatorio</w:t>
      </w:r>
      <w:r w:rsidR="00B74023" w:rsidRPr="00D848CE">
        <w:rPr>
          <w:rStyle w:val="FootnoteReference"/>
          <w:rFonts w:ascii="Arial" w:hAnsi="Arial" w:cs="Arial"/>
          <w:bCs/>
          <w:sz w:val="22"/>
          <w:szCs w:val="22"/>
          <w:lang w:val="es-ES_tradnl"/>
        </w:rPr>
        <w:footnoteReference w:id="8"/>
      </w:r>
      <w:r w:rsidR="00B74023" w:rsidRPr="00D848CE">
        <w:rPr>
          <w:rFonts w:ascii="Arial" w:hAnsi="Arial" w:cs="Arial"/>
          <w:sz w:val="22"/>
          <w:szCs w:val="22"/>
          <w:lang w:val="es-ES_tradnl"/>
        </w:rPr>
        <w:t>. Los gastos, por su parte, han retomado una tendencia creciente estimándose en 18,7% y 20% del PIB para 2016 y 2017, respectivamente, lo que supera los niveles previos al programa de consolidación (19,9% del PIB en 2012). Este aumento se explica por un crecimiento del gasto corriente</w:t>
      </w:r>
      <w:r w:rsidR="00B74023" w:rsidRPr="00D848CE">
        <w:rPr>
          <w:rStyle w:val="FootnoteReference"/>
          <w:rFonts w:ascii="Arial" w:hAnsi="Arial" w:cs="Arial"/>
          <w:sz w:val="22"/>
          <w:szCs w:val="22"/>
          <w:lang w:val="es-ES_tradnl"/>
        </w:rPr>
        <w:footnoteReference w:id="9"/>
      </w:r>
      <w:r w:rsidR="00B74023" w:rsidRPr="00D848CE">
        <w:rPr>
          <w:rFonts w:ascii="Arial" w:hAnsi="Arial" w:cs="Arial"/>
          <w:sz w:val="22"/>
          <w:szCs w:val="22"/>
          <w:lang w:val="es-ES_tradnl"/>
        </w:rPr>
        <w:t>, asociado al crecimiento del empleo público</w:t>
      </w:r>
      <w:r w:rsidR="006D40CE" w:rsidRPr="00D848CE">
        <w:rPr>
          <w:rFonts w:ascii="Arial" w:hAnsi="Arial" w:cs="Arial"/>
          <w:bCs/>
          <w:sz w:val="22"/>
          <w:szCs w:val="22"/>
          <w:lang w:val="es-ES_tradnl"/>
        </w:rPr>
        <w:t>.</w:t>
      </w:r>
      <w:r w:rsidR="006D40CE" w:rsidRPr="00D848CE">
        <w:rPr>
          <w:rFonts w:ascii="Arial" w:hAnsi="Arial" w:cs="Arial"/>
          <w:sz w:val="22"/>
          <w:szCs w:val="22"/>
          <w:lang w:val="es-ES_tradnl"/>
        </w:rPr>
        <w:t xml:space="preserve"> </w:t>
      </w:r>
    </w:p>
    <w:p w14:paraId="254F86DE" w14:textId="77777777" w:rsidR="009205A8" w:rsidRPr="00D848CE" w:rsidRDefault="009205A8" w:rsidP="008B5547">
      <w:pPr>
        <w:pStyle w:val="Paragraph"/>
        <w:numPr>
          <w:ilvl w:val="1"/>
          <w:numId w:val="2"/>
        </w:numPr>
        <w:tabs>
          <w:tab w:val="num" w:pos="720"/>
        </w:tabs>
        <w:ind w:left="720" w:hanging="720"/>
        <w:outlineLvl w:val="9"/>
        <w:rPr>
          <w:rFonts w:ascii="Arial" w:hAnsi="Arial" w:cs="Arial"/>
          <w:sz w:val="22"/>
          <w:szCs w:val="22"/>
          <w:lang w:val="es-ES_tradnl"/>
        </w:rPr>
      </w:pPr>
      <w:r w:rsidRPr="00D848CE">
        <w:rPr>
          <w:rFonts w:ascii="Arial" w:hAnsi="Arial" w:cs="Arial"/>
          <w:sz w:val="22"/>
          <w:szCs w:val="22"/>
          <w:lang w:val="es-ES_tradnl"/>
        </w:rPr>
        <w:t>Es importante clarificar que el presente proyecto contempla una serie de actividades que podrían ser estimadas y que con certeza generar</w:t>
      </w:r>
      <w:r w:rsidR="00C75554" w:rsidRPr="00D848CE">
        <w:rPr>
          <w:rFonts w:ascii="Arial" w:hAnsi="Arial" w:cs="Arial"/>
          <w:sz w:val="22"/>
          <w:szCs w:val="22"/>
          <w:lang w:val="es-ES_tradnl"/>
        </w:rPr>
        <w:t>án</w:t>
      </w:r>
      <w:r w:rsidRPr="00D848CE">
        <w:rPr>
          <w:rFonts w:ascii="Arial" w:hAnsi="Arial" w:cs="Arial"/>
          <w:sz w:val="22"/>
          <w:szCs w:val="22"/>
          <w:lang w:val="es-ES_tradnl"/>
        </w:rPr>
        <w:t xml:space="preserve"> </w:t>
      </w:r>
      <w:r w:rsidR="006447AE" w:rsidRPr="00D848CE">
        <w:rPr>
          <w:rFonts w:ascii="Arial" w:hAnsi="Arial" w:cs="Arial"/>
          <w:sz w:val="22"/>
          <w:szCs w:val="22"/>
          <w:lang w:val="es-ES_tradnl"/>
        </w:rPr>
        <w:t>beneficios</w:t>
      </w:r>
      <w:r w:rsidR="008B0851" w:rsidRPr="00D848CE">
        <w:rPr>
          <w:rFonts w:ascii="Arial" w:hAnsi="Arial" w:cs="Arial"/>
          <w:sz w:val="22"/>
          <w:szCs w:val="22"/>
          <w:lang w:val="es-ES_tradnl"/>
        </w:rPr>
        <w:t xml:space="preserve"> económicos</w:t>
      </w:r>
      <w:r w:rsidRPr="00D848CE">
        <w:rPr>
          <w:rFonts w:ascii="Arial" w:hAnsi="Arial" w:cs="Arial"/>
          <w:sz w:val="22"/>
          <w:szCs w:val="22"/>
          <w:lang w:val="es-ES_tradnl"/>
        </w:rPr>
        <w:t xml:space="preserve"> e financieros significativos; sin embargo</w:t>
      </w:r>
      <w:r w:rsidR="008B0851" w:rsidRPr="00D848CE">
        <w:rPr>
          <w:rFonts w:ascii="Arial" w:hAnsi="Arial" w:cs="Arial"/>
          <w:sz w:val="22"/>
          <w:szCs w:val="22"/>
          <w:lang w:val="es-ES_tradnl"/>
        </w:rPr>
        <w:t xml:space="preserve">, para efectos de justificar las inversiones del proyecto, fueron seleccionadas básicamente </w:t>
      </w:r>
      <w:r w:rsidR="00C75554" w:rsidRPr="00D848CE">
        <w:rPr>
          <w:rFonts w:ascii="Arial" w:hAnsi="Arial" w:cs="Arial"/>
          <w:sz w:val="22"/>
          <w:szCs w:val="22"/>
          <w:lang w:val="es-ES_tradnl"/>
        </w:rPr>
        <w:t>dos</w:t>
      </w:r>
      <w:r w:rsidR="008B0851" w:rsidRPr="00D848CE">
        <w:rPr>
          <w:rFonts w:ascii="Arial" w:hAnsi="Arial" w:cs="Arial"/>
          <w:sz w:val="22"/>
          <w:szCs w:val="22"/>
          <w:lang w:val="es-ES_tradnl"/>
        </w:rPr>
        <w:t xml:space="preserve"> actividades (</w:t>
      </w:r>
      <w:r w:rsidR="00DB2C51" w:rsidRPr="00D848CE">
        <w:rPr>
          <w:rFonts w:ascii="Arial" w:hAnsi="Arial" w:cs="Arial"/>
          <w:sz w:val="22"/>
          <w:szCs w:val="22"/>
          <w:lang w:val="es-ES_tradnl"/>
        </w:rPr>
        <w:t>una referente</w:t>
      </w:r>
      <w:r w:rsidR="008B0851" w:rsidRPr="00D848CE">
        <w:rPr>
          <w:rFonts w:ascii="Arial" w:hAnsi="Arial" w:cs="Arial"/>
          <w:sz w:val="22"/>
          <w:szCs w:val="22"/>
          <w:lang w:val="es-ES_tradnl"/>
        </w:rPr>
        <w:t xml:space="preserve"> a la administració</w:t>
      </w:r>
      <w:r w:rsidR="006447AE" w:rsidRPr="00D848CE">
        <w:rPr>
          <w:rFonts w:ascii="Arial" w:hAnsi="Arial" w:cs="Arial"/>
          <w:sz w:val="22"/>
          <w:szCs w:val="22"/>
          <w:lang w:val="es-ES_tradnl"/>
        </w:rPr>
        <w:t xml:space="preserve">n tributaria y una referente a la gestión del </w:t>
      </w:r>
      <w:r w:rsidR="008B0851" w:rsidRPr="00D848CE">
        <w:rPr>
          <w:rFonts w:ascii="Arial" w:hAnsi="Arial" w:cs="Arial"/>
          <w:sz w:val="22"/>
          <w:szCs w:val="22"/>
          <w:lang w:val="es-ES_tradnl"/>
        </w:rPr>
        <w:t xml:space="preserve">gasto público). Los beneficios de estas </w:t>
      </w:r>
      <w:r w:rsidR="002936F3" w:rsidRPr="00D848CE">
        <w:rPr>
          <w:rFonts w:ascii="Arial" w:hAnsi="Arial" w:cs="Arial"/>
          <w:sz w:val="22"/>
          <w:szCs w:val="22"/>
          <w:lang w:val="es-ES_tradnl"/>
        </w:rPr>
        <w:t>dos</w:t>
      </w:r>
      <w:r w:rsidR="008B0851" w:rsidRPr="00D848CE">
        <w:rPr>
          <w:rFonts w:ascii="Arial" w:hAnsi="Arial" w:cs="Arial"/>
          <w:sz w:val="22"/>
          <w:szCs w:val="22"/>
          <w:lang w:val="es-ES_tradnl"/>
        </w:rPr>
        <w:t xml:space="preserve"> actividades son de </w:t>
      </w:r>
      <w:r w:rsidR="002936F3" w:rsidRPr="00D848CE">
        <w:rPr>
          <w:rFonts w:ascii="Arial" w:hAnsi="Arial" w:cs="Arial"/>
          <w:sz w:val="22"/>
          <w:szCs w:val="22"/>
          <w:lang w:val="es-ES_tradnl"/>
        </w:rPr>
        <w:t xml:space="preserve">relativa </w:t>
      </w:r>
      <w:r w:rsidR="008B0851" w:rsidRPr="00D848CE">
        <w:rPr>
          <w:rFonts w:ascii="Arial" w:hAnsi="Arial" w:cs="Arial"/>
          <w:sz w:val="22"/>
          <w:szCs w:val="22"/>
          <w:lang w:val="es-ES_tradnl"/>
        </w:rPr>
        <w:t>fácil comprensión</w:t>
      </w:r>
      <w:r w:rsidR="002936F3" w:rsidRPr="00D848CE">
        <w:rPr>
          <w:rFonts w:ascii="Arial" w:hAnsi="Arial" w:cs="Arial"/>
          <w:sz w:val="22"/>
          <w:szCs w:val="22"/>
          <w:lang w:val="es-ES_tradnl"/>
        </w:rPr>
        <w:t xml:space="preserve"> y estimación</w:t>
      </w:r>
      <w:r w:rsidR="008B0851" w:rsidRPr="00D848CE">
        <w:rPr>
          <w:rFonts w:ascii="Arial" w:hAnsi="Arial" w:cs="Arial"/>
          <w:sz w:val="22"/>
          <w:szCs w:val="22"/>
          <w:lang w:val="es-ES_tradnl"/>
        </w:rPr>
        <w:t>.</w:t>
      </w:r>
      <w:r w:rsidR="00217BF3" w:rsidRPr="00D848CE">
        <w:rPr>
          <w:rFonts w:ascii="Arial" w:hAnsi="Arial" w:cs="Arial"/>
          <w:sz w:val="22"/>
          <w:szCs w:val="22"/>
          <w:lang w:val="es-ES_tradnl"/>
        </w:rPr>
        <w:t xml:space="preserve"> Para</w:t>
      </w:r>
      <w:r w:rsidR="001F737B" w:rsidRPr="00D848CE">
        <w:rPr>
          <w:rFonts w:ascii="Arial" w:hAnsi="Arial" w:cs="Arial"/>
          <w:sz w:val="22"/>
          <w:szCs w:val="22"/>
          <w:lang w:val="es-ES_tradnl"/>
        </w:rPr>
        <w:t xml:space="preserve"> </w:t>
      </w:r>
      <w:r w:rsidR="00BD3372" w:rsidRPr="00D848CE">
        <w:rPr>
          <w:rFonts w:ascii="Arial" w:hAnsi="Arial" w:cs="Arial"/>
          <w:sz w:val="22"/>
          <w:szCs w:val="22"/>
          <w:lang w:val="es-ES_tradnl"/>
        </w:rPr>
        <w:t>estimar el</w:t>
      </w:r>
      <w:r w:rsidR="00217BF3" w:rsidRPr="00D848CE">
        <w:rPr>
          <w:rFonts w:ascii="Arial" w:hAnsi="Arial" w:cs="Arial"/>
          <w:sz w:val="22"/>
          <w:szCs w:val="22"/>
          <w:lang w:val="es-ES_tradnl"/>
        </w:rPr>
        <w:t xml:space="preserve"> </w:t>
      </w:r>
      <w:r w:rsidR="001F737B" w:rsidRPr="00D848CE">
        <w:rPr>
          <w:rFonts w:ascii="Arial" w:hAnsi="Arial" w:cs="Arial"/>
          <w:sz w:val="22"/>
          <w:szCs w:val="22"/>
          <w:lang w:val="es-ES_tradnl"/>
        </w:rPr>
        <w:t>cálculo</w:t>
      </w:r>
      <w:r w:rsidR="00217BF3" w:rsidRPr="00D848CE">
        <w:rPr>
          <w:rFonts w:ascii="Arial" w:hAnsi="Arial" w:cs="Arial"/>
          <w:sz w:val="22"/>
          <w:szCs w:val="22"/>
          <w:lang w:val="es-ES_tradnl"/>
        </w:rPr>
        <w:t xml:space="preserve"> de los beneficios, </w:t>
      </w:r>
      <w:r w:rsidR="00C75554" w:rsidRPr="00D848CE">
        <w:rPr>
          <w:rFonts w:ascii="Arial" w:hAnsi="Arial" w:cs="Arial"/>
          <w:sz w:val="22"/>
          <w:szCs w:val="22"/>
          <w:lang w:val="es-ES_tradnl"/>
        </w:rPr>
        <w:t>se presentan dos</w:t>
      </w:r>
      <w:r w:rsidR="00217BF3" w:rsidRPr="00D848CE">
        <w:rPr>
          <w:rFonts w:ascii="Arial" w:hAnsi="Arial" w:cs="Arial"/>
          <w:sz w:val="22"/>
          <w:szCs w:val="22"/>
          <w:lang w:val="es-ES_tradnl"/>
        </w:rPr>
        <w:t xml:space="preserve"> supuestos</w:t>
      </w:r>
      <w:r w:rsidR="001F737B" w:rsidRPr="00D848CE">
        <w:rPr>
          <w:rFonts w:ascii="Arial" w:hAnsi="Arial" w:cs="Arial"/>
          <w:sz w:val="22"/>
          <w:szCs w:val="22"/>
          <w:lang w:val="es-ES_tradnl"/>
        </w:rPr>
        <w:t>:</w:t>
      </w:r>
      <w:r w:rsidRPr="00D848CE">
        <w:rPr>
          <w:rFonts w:ascii="Arial" w:hAnsi="Arial" w:cs="Arial"/>
          <w:sz w:val="22"/>
          <w:szCs w:val="22"/>
          <w:lang w:val="es-ES_tradnl"/>
        </w:rPr>
        <w:t xml:space="preserve">  </w:t>
      </w:r>
    </w:p>
    <w:tbl>
      <w:tblPr>
        <w:tblStyle w:val="TableGrid"/>
        <w:tblW w:w="0" w:type="auto"/>
        <w:tblInd w:w="805" w:type="dxa"/>
        <w:tblLook w:val="04A0" w:firstRow="1" w:lastRow="0" w:firstColumn="1" w:lastColumn="0" w:noHBand="0" w:noVBand="1"/>
      </w:tblPr>
      <w:tblGrid>
        <w:gridCol w:w="22"/>
        <w:gridCol w:w="7739"/>
        <w:gridCol w:w="64"/>
      </w:tblGrid>
      <w:tr w:rsidR="002846E1" w:rsidRPr="00D848CE" w14:paraId="4AF29447" w14:textId="77777777" w:rsidTr="004D32F3">
        <w:trPr>
          <w:gridBefore w:val="1"/>
          <w:gridAfter w:val="1"/>
          <w:wBefore w:w="23" w:type="dxa"/>
          <w:wAfter w:w="69" w:type="dxa"/>
        </w:trPr>
        <w:tc>
          <w:tcPr>
            <w:tcW w:w="8188" w:type="dxa"/>
          </w:tcPr>
          <w:p w14:paraId="76F5B375" w14:textId="77777777" w:rsidR="00EB5962" w:rsidRPr="00D848CE" w:rsidRDefault="006D334B" w:rsidP="008B5547">
            <w:pPr>
              <w:pStyle w:val="Paragraph"/>
              <w:numPr>
                <w:ilvl w:val="0"/>
                <w:numId w:val="0"/>
              </w:numPr>
              <w:outlineLvl w:val="9"/>
              <w:rPr>
                <w:rFonts w:ascii="Arial" w:hAnsi="Arial" w:cs="Arial"/>
                <w:i/>
                <w:sz w:val="22"/>
                <w:szCs w:val="22"/>
                <w:lang w:val="es-ES_tradnl"/>
              </w:rPr>
            </w:pPr>
            <w:r w:rsidRPr="00D848CE">
              <w:rPr>
                <w:rFonts w:ascii="Arial" w:hAnsi="Arial" w:cs="Arial"/>
                <w:b/>
                <w:i/>
                <w:sz w:val="22"/>
                <w:szCs w:val="22"/>
                <w:lang w:val="es-ES_tradnl"/>
              </w:rPr>
              <w:t xml:space="preserve">Supuesto 1 </w:t>
            </w:r>
            <w:r w:rsidRPr="00D848CE">
              <w:rPr>
                <w:rFonts w:ascii="Arial" w:hAnsi="Arial" w:cs="Arial"/>
                <w:i/>
                <w:sz w:val="22"/>
                <w:szCs w:val="22"/>
                <w:lang w:val="es-ES_tradnl"/>
              </w:rPr>
              <w:t xml:space="preserve">– </w:t>
            </w:r>
            <w:r w:rsidR="004B168F" w:rsidRPr="00D848CE">
              <w:rPr>
                <w:rFonts w:ascii="Arial" w:hAnsi="Arial" w:cs="Arial"/>
                <w:i/>
                <w:sz w:val="22"/>
                <w:szCs w:val="22"/>
                <w:lang w:val="es-ES_tradnl"/>
              </w:rPr>
              <w:t xml:space="preserve">Con la implementación de la Factura Electrónica en un grupo específico de contribuyentes (Grandes Locales), se genera un beneficio financiero con el incremento de los ingresos tributarios de RD referente al ITBIS, a partir de la </w:t>
            </w:r>
            <w:r w:rsidR="00434C2A" w:rsidRPr="00D848CE">
              <w:rPr>
                <w:rFonts w:ascii="Arial" w:hAnsi="Arial" w:cs="Arial"/>
                <w:i/>
                <w:sz w:val="22"/>
                <w:szCs w:val="22"/>
                <w:lang w:val="es-ES_tradnl"/>
              </w:rPr>
              <w:t xml:space="preserve">obligación </w:t>
            </w:r>
            <w:r w:rsidR="004B168F" w:rsidRPr="00D848CE">
              <w:rPr>
                <w:rFonts w:ascii="Arial" w:hAnsi="Arial" w:cs="Arial"/>
                <w:i/>
                <w:sz w:val="22"/>
                <w:szCs w:val="22"/>
                <w:lang w:val="es-ES_tradnl"/>
              </w:rPr>
              <w:t>de que todas las compras y contrataciones de servicio</w:t>
            </w:r>
            <w:r w:rsidR="00434C2A" w:rsidRPr="00D848CE">
              <w:rPr>
                <w:rFonts w:ascii="Arial" w:hAnsi="Arial" w:cs="Arial"/>
                <w:i/>
                <w:sz w:val="22"/>
                <w:szCs w:val="22"/>
                <w:lang w:val="es-ES_tradnl"/>
              </w:rPr>
              <w:t>s</w:t>
            </w:r>
            <w:r w:rsidR="004B168F" w:rsidRPr="00D848CE">
              <w:rPr>
                <w:rFonts w:ascii="Arial" w:hAnsi="Arial" w:cs="Arial"/>
                <w:i/>
                <w:sz w:val="22"/>
                <w:szCs w:val="22"/>
                <w:lang w:val="es-ES_tradnl"/>
              </w:rPr>
              <w:t xml:space="preserve"> se hagan de forma electrónica al momento en que la transacción comercial ocurra. Esto eliminará los errores cometidos </w:t>
            </w:r>
            <w:r w:rsidR="00434C2A" w:rsidRPr="00D848CE">
              <w:rPr>
                <w:rFonts w:ascii="Arial" w:hAnsi="Arial" w:cs="Arial"/>
                <w:i/>
                <w:sz w:val="22"/>
                <w:szCs w:val="22"/>
                <w:lang w:val="es-ES_tradnl"/>
              </w:rPr>
              <w:t xml:space="preserve">con intención </w:t>
            </w:r>
            <w:r w:rsidR="004B168F" w:rsidRPr="00D848CE">
              <w:rPr>
                <w:rFonts w:ascii="Arial" w:hAnsi="Arial" w:cs="Arial"/>
                <w:i/>
                <w:sz w:val="22"/>
                <w:szCs w:val="22"/>
                <w:lang w:val="es-ES_tradnl"/>
              </w:rPr>
              <w:t>o involu</w:t>
            </w:r>
            <w:r w:rsidR="00434C2A" w:rsidRPr="00D848CE">
              <w:rPr>
                <w:rFonts w:ascii="Arial" w:hAnsi="Arial" w:cs="Arial"/>
                <w:i/>
                <w:sz w:val="22"/>
                <w:szCs w:val="22"/>
                <w:lang w:val="es-ES_tradnl"/>
              </w:rPr>
              <w:t>n</w:t>
            </w:r>
            <w:r w:rsidR="004B168F" w:rsidRPr="00D848CE">
              <w:rPr>
                <w:rFonts w:ascii="Arial" w:hAnsi="Arial" w:cs="Arial"/>
                <w:i/>
                <w:sz w:val="22"/>
                <w:szCs w:val="22"/>
                <w:lang w:val="es-ES_tradnl"/>
              </w:rPr>
              <w:t>tariamente en la emisión de facturas, los pedidos indebidos de créditos fiscales, las retenciones de impuestos serán hechas de forma oportuna, y la fiscalización contará en tiempo real con toda la información referente al consumo de bienes y servicios en el país.</w:t>
            </w:r>
          </w:p>
        </w:tc>
      </w:tr>
      <w:tr w:rsidR="001F737B" w:rsidRPr="00D848CE" w14:paraId="4A323E51" w14:textId="77777777" w:rsidTr="004D32F3">
        <w:tc>
          <w:tcPr>
            <w:tcW w:w="8280" w:type="dxa"/>
            <w:gridSpan w:val="3"/>
          </w:tcPr>
          <w:p w14:paraId="572F3C89" w14:textId="77777777" w:rsidR="001F737B" w:rsidRPr="00D848CE" w:rsidRDefault="002936F3" w:rsidP="008B5547">
            <w:pPr>
              <w:pStyle w:val="Paragraph"/>
              <w:numPr>
                <w:ilvl w:val="0"/>
                <w:numId w:val="0"/>
              </w:numPr>
              <w:tabs>
                <w:tab w:val="num" w:pos="1800"/>
              </w:tabs>
              <w:outlineLvl w:val="9"/>
              <w:rPr>
                <w:rFonts w:ascii="Arial" w:hAnsi="Arial" w:cs="Arial"/>
                <w:b/>
                <w:i/>
                <w:sz w:val="22"/>
                <w:szCs w:val="22"/>
                <w:highlight w:val="red"/>
                <w:lang w:val="es-ES_tradnl"/>
              </w:rPr>
            </w:pPr>
            <w:r w:rsidRPr="00D848CE">
              <w:rPr>
                <w:rFonts w:ascii="Arial" w:hAnsi="Arial" w:cs="Arial"/>
                <w:b/>
                <w:i/>
                <w:sz w:val="22"/>
                <w:szCs w:val="22"/>
                <w:lang w:val="es-ES_tradnl"/>
              </w:rPr>
              <w:t xml:space="preserve">Supuesto 2 - </w:t>
            </w:r>
            <w:r w:rsidR="001F737B" w:rsidRPr="00D848CE">
              <w:rPr>
                <w:rFonts w:ascii="Arial" w:hAnsi="Arial" w:cs="Arial"/>
                <w:b/>
                <w:i/>
                <w:sz w:val="22"/>
                <w:szCs w:val="22"/>
                <w:lang w:val="es-ES_tradnl"/>
              </w:rPr>
              <w:t xml:space="preserve"> </w:t>
            </w:r>
            <w:r w:rsidR="00236218" w:rsidRPr="00D848CE">
              <w:rPr>
                <w:rFonts w:ascii="Arial" w:hAnsi="Arial" w:cs="Arial"/>
                <w:i/>
                <w:sz w:val="22"/>
                <w:szCs w:val="22"/>
                <w:lang w:val="es-ES_tradnl"/>
              </w:rPr>
              <w:t>Con el aumento de los recursos financieros que tramitan a</w:t>
            </w:r>
            <w:r w:rsidR="00A12451" w:rsidRPr="00D848CE">
              <w:rPr>
                <w:rFonts w:ascii="Arial" w:hAnsi="Arial" w:cs="Arial"/>
                <w:i/>
                <w:sz w:val="22"/>
                <w:szCs w:val="22"/>
                <w:lang w:val="es-ES_tradnl"/>
              </w:rPr>
              <w:t xml:space="preserve"> través de la Cuenta Única del T</w:t>
            </w:r>
            <w:r w:rsidR="00236218" w:rsidRPr="00D848CE">
              <w:rPr>
                <w:rFonts w:ascii="Arial" w:hAnsi="Arial" w:cs="Arial"/>
                <w:i/>
                <w:sz w:val="22"/>
                <w:szCs w:val="22"/>
                <w:lang w:val="es-ES_tradnl"/>
              </w:rPr>
              <w:t>esoro</w:t>
            </w:r>
            <w:r w:rsidR="00A12451" w:rsidRPr="00D848CE">
              <w:rPr>
                <w:rFonts w:ascii="Arial" w:hAnsi="Arial" w:cs="Arial"/>
                <w:i/>
                <w:sz w:val="22"/>
                <w:szCs w:val="22"/>
                <w:lang w:val="es-ES_tradnl"/>
              </w:rPr>
              <w:t xml:space="preserve"> (CUT)</w:t>
            </w:r>
            <w:r w:rsidR="00236218" w:rsidRPr="00D848CE">
              <w:rPr>
                <w:rFonts w:ascii="Arial" w:hAnsi="Arial" w:cs="Arial"/>
                <w:i/>
                <w:sz w:val="22"/>
                <w:szCs w:val="22"/>
                <w:lang w:val="es-ES_tradnl"/>
              </w:rPr>
              <w:t>,</w:t>
            </w:r>
            <w:r w:rsidR="00236218" w:rsidRPr="00D848CE">
              <w:rPr>
                <w:rFonts w:ascii="Arial" w:hAnsi="Arial" w:cs="Arial"/>
                <w:b/>
                <w:i/>
                <w:sz w:val="22"/>
                <w:szCs w:val="22"/>
                <w:lang w:val="es-ES_tradnl"/>
              </w:rPr>
              <w:t xml:space="preserve"> </w:t>
            </w:r>
            <w:r w:rsidR="00236218" w:rsidRPr="00D848CE">
              <w:rPr>
                <w:rFonts w:ascii="Arial" w:hAnsi="Arial" w:cs="Arial"/>
                <w:i/>
                <w:sz w:val="22"/>
                <w:szCs w:val="22"/>
                <w:lang w:val="es-ES_tradnl"/>
              </w:rPr>
              <w:t>s</w:t>
            </w:r>
            <w:r w:rsidR="001F737B" w:rsidRPr="00D848CE">
              <w:rPr>
                <w:rFonts w:ascii="Arial" w:hAnsi="Arial" w:cs="Arial"/>
                <w:i/>
                <w:sz w:val="22"/>
                <w:szCs w:val="22"/>
                <w:lang w:val="es-ES_tradnl"/>
              </w:rPr>
              <w:t xml:space="preserve">e genera un beneficio financiero a partir de </w:t>
            </w:r>
            <w:r w:rsidR="00236218" w:rsidRPr="00D848CE">
              <w:rPr>
                <w:rFonts w:ascii="Arial" w:hAnsi="Arial" w:cs="Arial"/>
                <w:i/>
                <w:sz w:val="22"/>
                <w:szCs w:val="22"/>
                <w:lang w:val="es-ES_tradnl"/>
              </w:rPr>
              <w:t xml:space="preserve">una mayor disponibilidad de recursos para una eficiente gestión </w:t>
            </w:r>
            <w:r w:rsidR="00A12451" w:rsidRPr="00D848CE">
              <w:rPr>
                <w:rFonts w:ascii="Arial" w:hAnsi="Arial" w:cs="Arial"/>
                <w:i/>
                <w:sz w:val="22"/>
                <w:szCs w:val="22"/>
                <w:lang w:val="es-ES_tradnl"/>
              </w:rPr>
              <w:t xml:space="preserve">de caja, con </w:t>
            </w:r>
            <w:r w:rsidR="00DC5F2E" w:rsidRPr="00D848CE">
              <w:rPr>
                <w:rFonts w:ascii="Arial" w:hAnsi="Arial" w:cs="Arial"/>
                <w:i/>
                <w:sz w:val="22"/>
                <w:szCs w:val="22"/>
                <w:lang w:val="es-ES_tradnl"/>
              </w:rPr>
              <w:t>posible</w:t>
            </w:r>
            <w:r w:rsidR="00A12451" w:rsidRPr="00D848CE">
              <w:rPr>
                <w:rFonts w:ascii="Arial" w:hAnsi="Arial" w:cs="Arial"/>
                <w:i/>
                <w:sz w:val="22"/>
                <w:szCs w:val="22"/>
                <w:lang w:val="es-ES_tradnl"/>
              </w:rPr>
              <w:t xml:space="preserve"> disminución del endeudamiento de corto plazo, </w:t>
            </w:r>
            <w:r w:rsidR="00D136AC" w:rsidRPr="00D848CE">
              <w:rPr>
                <w:rFonts w:ascii="Arial" w:hAnsi="Arial" w:cs="Arial"/>
                <w:i/>
                <w:sz w:val="22"/>
                <w:szCs w:val="22"/>
                <w:lang w:val="es-ES_tradnl"/>
              </w:rPr>
              <w:t>además del</w:t>
            </w:r>
            <w:r w:rsidR="00A12451" w:rsidRPr="00D848CE">
              <w:rPr>
                <w:rFonts w:ascii="Arial" w:hAnsi="Arial" w:cs="Arial"/>
                <w:i/>
                <w:sz w:val="22"/>
                <w:szCs w:val="22"/>
                <w:lang w:val="es-ES_tradnl"/>
              </w:rPr>
              <w:t xml:space="preserve"> costo de oportunidad que estos recursos generan</w:t>
            </w:r>
            <w:r w:rsidR="00DC5F2E" w:rsidRPr="00D848CE">
              <w:rPr>
                <w:rFonts w:ascii="Arial" w:hAnsi="Arial" w:cs="Arial"/>
                <w:i/>
                <w:sz w:val="22"/>
                <w:szCs w:val="22"/>
                <w:lang w:val="es-ES_tradnl"/>
              </w:rPr>
              <w:t>;</w:t>
            </w:r>
            <w:r w:rsidR="00A12451" w:rsidRPr="00D848CE">
              <w:rPr>
                <w:rFonts w:ascii="Arial" w:hAnsi="Arial" w:cs="Arial"/>
                <w:i/>
                <w:sz w:val="22"/>
                <w:szCs w:val="22"/>
                <w:lang w:val="es-ES_tradnl"/>
              </w:rPr>
              <w:t xml:space="preserve"> </w:t>
            </w:r>
            <w:r w:rsidR="00DC5F2E" w:rsidRPr="00D848CE">
              <w:rPr>
                <w:rFonts w:ascii="Arial" w:hAnsi="Arial" w:cs="Arial"/>
                <w:i/>
                <w:sz w:val="22"/>
                <w:szCs w:val="22"/>
                <w:lang w:val="es-ES_tradnl"/>
              </w:rPr>
              <w:t>como</w:t>
            </w:r>
            <w:r w:rsidR="00A12451" w:rsidRPr="00D848CE">
              <w:rPr>
                <w:rFonts w:ascii="Arial" w:hAnsi="Arial" w:cs="Arial"/>
                <w:i/>
                <w:sz w:val="22"/>
                <w:szCs w:val="22"/>
                <w:lang w:val="es-ES_tradnl"/>
              </w:rPr>
              <w:t xml:space="preserve"> </w:t>
            </w:r>
            <w:r w:rsidR="00DC5F2E" w:rsidRPr="00D848CE">
              <w:rPr>
                <w:rFonts w:ascii="Arial" w:hAnsi="Arial" w:cs="Arial"/>
                <w:i/>
                <w:sz w:val="22"/>
                <w:szCs w:val="22"/>
                <w:lang w:val="es-ES_tradnl"/>
              </w:rPr>
              <w:t>por ejemplo</w:t>
            </w:r>
            <w:r w:rsidR="00A12451" w:rsidRPr="00D848CE">
              <w:rPr>
                <w:rFonts w:ascii="Arial" w:hAnsi="Arial" w:cs="Arial"/>
                <w:i/>
                <w:sz w:val="22"/>
                <w:szCs w:val="22"/>
                <w:lang w:val="es-ES_tradnl"/>
              </w:rPr>
              <w:t xml:space="preserve"> </w:t>
            </w:r>
            <w:r w:rsidR="005C6900" w:rsidRPr="00D848CE">
              <w:rPr>
                <w:rFonts w:ascii="Arial" w:hAnsi="Arial" w:cs="Arial"/>
                <w:i/>
                <w:sz w:val="22"/>
                <w:szCs w:val="22"/>
                <w:lang w:val="es-ES_tradnl"/>
              </w:rPr>
              <w:t>los</w:t>
            </w:r>
            <w:r w:rsidR="00A12451" w:rsidRPr="00D848CE">
              <w:rPr>
                <w:rFonts w:ascii="Arial" w:hAnsi="Arial" w:cs="Arial"/>
                <w:i/>
                <w:sz w:val="22"/>
                <w:szCs w:val="22"/>
                <w:lang w:val="es-ES_tradnl"/>
              </w:rPr>
              <w:t xml:space="preserve"> intereses </w:t>
            </w:r>
            <w:r w:rsidR="005C6900" w:rsidRPr="00D848CE">
              <w:rPr>
                <w:rFonts w:ascii="Arial" w:hAnsi="Arial" w:cs="Arial"/>
                <w:i/>
                <w:sz w:val="22"/>
                <w:szCs w:val="22"/>
                <w:lang w:val="es-ES_tradnl"/>
              </w:rPr>
              <w:t xml:space="preserve">generados </w:t>
            </w:r>
            <w:r w:rsidR="00A12451" w:rsidRPr="00D848CE">
              <w:rPr>
                <w:rFonts w:ascii="Arial" w:hAnsi="Arial" w:cs="Arial"/>
                <w:i/>
                <w:sz w:val="22"/>
                <w:szCs w:val="22"/>
                <w:lang w:val="es-ES_tradnl"/>
              </w:rPr>
              <w:t>sobre los saldos disponibles</w:t>
            </w:r>
            <w:r w:rsidR="00DC5F2E" w:rsidRPr="00D848CE">
              <w:rPr>
                <w:rFonts w:ascii="Arial" w:hAnsi="Arial" w:cs="Arial"/>
                <w:i/>
                <w:sz w:val="22"/>
                <w:szCs w:val="22"/>
                <w:lang w:val="es-ES_tradnl"/>
              </w:rPr>
              <w:t xml:space="preserve"> en la CUT</w:t>
            </w:r>
            <w:r w:rsidR="00A12451" w:rsidRPr="00D848CE">
              <w:rPr>
                <w:rFonts w:ascii="Arial" w:hAnsi="Arial" w:cs="Arial"/>
                <w:i/>
                <w:sz w:val="22"/>
                <w:szCs w:val="22"/>
                <w:lang w:val="es-ES_tradnl"/>
              </w:rPr>
              <w:t>.</w:t>
            </w:r>
          </w:p>
        </w:tc>
      </w:tr>
    </w:tbl>
    <w:p w14:paraId="048D8E82" w14:textId="77777777" w:rsidR="00F1553F" w:rsidRPr="00D848CE" w:rsidRDefault="00F2317B" w:rsidP="008B5547">
      <w:pPr>
        <w:pStyle w:val="Paragraph"/>
        <w:numPr>
          <w:ilvl w:val="1"/>
          <w:numId w:val="2"/>
        </w:numPr>
        <w:tabs>
          <w:tab w:val="num" w:pos="720"/>
        </w:tabs>
        <w:ind w:left="720" w:hanging="720"/>
        <w:outlineLvl w:val="9"/>
        <w:rPr>
          <w:rFonts w:ascii="Arial" w:hAnsi="Arial" w:cs="Arial"/>
          <w:sz w:val="22"/>
          <w:szCs w:val="22"/>
          <w:lang w:val="es-ES_tradnl"/>
        </w:rPr>
      </w:pPr>
      <w:r w:rsidRPr="00D848CE">
        <w:rPr>
          <w:rFonts w:ascii="Arial" w:hAnsi="Arial" w:cs="Arial"/>
          <w:sz w:val="22"/>
          <w:szCs w:val="22"/>
          <w:lang w:val="es-ES_tradnl"/>
        </w:rPr>
        <w:t>La presente evaluación</w:t>
      </w:r>
      <w:r w:rsidR="00FF08FF" w:rsidRPr="00D848CE">
        <w:rPr>
          <w:rFonts w:ascii="Arial" w:hAnsi="Arial" w:cs="Arial"/>
          <w:sz w:val="22"/>
          <w:szCs w:val="22"/>
          <w:lang w:val="es-ES_tradnl"/>
        </w:rPr>
        <w:t xml:space="preserve"> estima </w:t>
      </w:r>
      <w:r w:rsidR="002E6677" w:rsidRPr="00D848CE">
        <w:rPr>
          <w:rFonts w:ascii="Arial" w:hAnsi="Arial" w:cs="Arial"/>
          <w:sz w:val="22"/>
          <w:szCs w:val="22"/>
          <w:lang w:val="es-ES_tradnl"/>
        </w:rPr>
        <w:t>que,</w:t>
      </w:r>
      <w:r w:rsidR="00FF08FF" w:rsidRPr="00D848CE">
        <w:rPr>
          <w:rFonts w:ascii="Arial" w:hAnsi="Arial" w:cs="Arial"/>
          <w:sz w:val="22"/>
          <w:szCs w:val="22"/>
          <w:lang w:val="es-ES_tradnl"/>
        </w:rPr>
        <w:t xml:space="preserve"> como resultado de las intervenciones del proyecto, </w:t>
      </w:r>
      <w:r w:rsidR="00E73BBA" w:rsidRPr="00D848CE">
        <w:rPr>
          <w:rFonts w:ascii="Arial" w:hAnsi="Arial" w:cs="Arial"/>
          <w:sz w:val="22"/>
          <w:szCs w:val="22"/>
          <w:lang w:val="es-ES_tradnl"/>
        </w:rPr>
        <w:t xml:space="preserve">en </w:t>
      </w:r>
      <w:r w:rsidR="00624E17" w:rsidRPr="00D848CE">
        <w:rPr>
          <w:rFonts w:ascii="Arial" w:hAnsi="Arial" w:cs="Arial"/>
          <w:sz w:val="22"/>
          <w:szCs w:val="22"/>
          <w:lang w:val="es-ES_tradnl"/>
        </w:rPr>
        <w:t xml:space="preserve">el </w:t>
      </w:r>
      <w:r w:rsidR="00BD3372" w:rsidRPr="00D848CE">
        <w:rPr>
          <w:rFonts w:ascii="Arial" w:hAnsi="Arial" w:cs="Arial"/>
          <w:sz w:val="22"/>
          <w:szCs w:val="22"/>
          <w:lang w:val="es-ES_tradnl"/>
        </w:rPr>
        <w:t xml:space="preserve">año </w:t>
      </w:r>
      <w:r w:rsidR="00E73BBA" w:rsidRPr="00D848CE">
        <w:rPr>
          <w:rFonts w:ascii="Arial" w:hAnsi="Arial" w:cs="Arial"/>
          <w:sz w:val="22"/>
          <w:szCs w:val="22"/>
          <w:lang w:val="es-ES_tradnl"/>
        </w:rPr>
        <w:t>20</w:t>
      </w:r>
      <w:r w:rsidR="000D46CC" w:rsidRPr="00D848CE">
        <w:rPr>
          <w:rFonts w:ascii="Arial" w:hAnsi="Arial" w:cs="Arial"/>
          <w:sz w:val="22"/>
          <w:szCs w:val="22"/>
          <w:lang w:val="es-ES_tradnl"/>
        </w:rPr>
        <w:t>27</w:t>
      </w:r>
      <w:r w:rsidR="001F737B" w:rsidRPr="00D848CE">
        <w:rPr>
          <w:rFonts w:ascii="Arial" w:hAnsi="Arial" w:cs="Arial"/>
          <w:sz w:val="22"/>
          <w:szCs w:val="22"/>
          <w:lang w:val="es-ES_tradnl"/>
        </w:rPr>
        <w:t xml:space="preserve">, </w:t>
      </w:r>
      <w:r w:rsidR="00FF08FF" w:rsidRPr="00D848CE">
        <w:rPr>
          <w:rFonts w:ascii="Arial" w:hAnsi="Arial" w:cs="Arial"/>
          <w:sz w:val="22"/>
          <w:szCs w:val="22"/>
          <w:lang w:val="es-ES_tradnl"/>
        </w:rPr>
        <w:t>se logrará un aumento real</w:t>
      </w:r>
      <w:r w:rsidR="00352673" w:rsidRPr="00D848CE">
        <w:rPr>
          <w:rFonts w:ascii="Arial" w:hAnsi="Arial" w:cs="Arial"/>
          <w:sz w:val="22"/>
          <w:szCs w:val="22"/>
          <w:lang w:val="es-ES_tradnl"/>
        </w:rPr>
        <w:t xml:space="preserve"> </w:t>
      </w:r>
      <w:r w:rsidR="006447AE" w:rsidRPr="00D848CE">
        <w:rPr>
          <w:rFonts w:ascii="Arial" w:hAnsi="Arial" w:cs="Arial"/>
          <w:sz w:val="22"/>
          <w:szCs w:val="22"/>
          <w:lang w:val="es-ES_tradnl"/>
        </w:rPr>
        <w:t xml:space="preserve">de la recaudación tributaria </w:t>
      </w:r>
      <w:r w:rsidR="00352673" w:rsidRPr="00D848CE">
        <w:rPr>
          <w:rFonts w:ascii="Arial" w:hAnsi="Arial" w:cs="Arial"/>
          <w:sz w:val="22"/>
          <w:szCs w:val="22"/>
          <w:lang w:val="es-ES_tradnl"/>
        </w:rPr>
        <w:t>(por arriba del aumento vegetativo)</w:t>
      </w:r>
      <w:r w:rsidR="00FF08FF" w:rsidRPr="00D848CE">
        <w:rPr>
          <w:rFonts w:ascii="Arial" w:hAnsi="Arial" w:cs="Arial"/>
          <w:sz w:val="22"/>
          <w:szCs w:val="22"/>
          <w:lang w:val="es-ES_tradnl"/>
        </w:rPr>
        <w:t xml:space="preserve"> de aproximadamente </w:t>
      </w:r>
      <w:r w:rsidR="00D03A2E" w:rsidRPr="00D848CE">
        <w:rPr>
          <w:rFonts w:ascii="Arial" w:hAnsi="Arial" w:cs="Arial"/>
          <w:sz w:val="22"/>
          <w:szCs w:val="22"/>
          <w:lang w:val="es-ES_tradnl"/>
        </w:rPr>
        <w:t>1,</w:t>
      </w:r>
      <w:r w:rsidR="0078643C" w:rsidRPr="00D848CE">
        <w:rPr>
          <w:rFonts w:ascii="Arial" w:hAnsi="Arial" w:cs="Arial"/>
          <w:sz w:val="22"/>
          <w:szCs w:val="22"/>
          <w:lang w:val="es-ES_tradnl"/>
        </w:rPr>
        <w:t>4</w:t>
      </w:r>
      <w:r w:rsidR="001F737B" w:rsidRPr="00D848CE">
        <w:rPr>
          <w:rFonts w:ascii="Arial" w:hAnsi="Arial" w:cs="Arial"/>
          <w:sz w:val="22"/>
          <w:szCs w:val="22"/>
          <w:lang w:val="es-ES_tradnl"/>
        </w:rPr>
        <w:t>% del PIB</w:t>
      </w:r>
      <w:r w:rsidR="00BD3372" w:rsidRPr="00D848CE">
        <w:rPr>
          <w:rFonts w:ascii="Arial" w:hAnsi="Arial" w:cs="Arial"/>
          <w:sz w:val="22"/>
          <w:szCs w:val="22"/>
          <w:lang w:val="es-ES_tradnl"/>
        </w:rPr>
        <w:t xml:space="preserve"> referente a </w:t>
      </w:r>
      <w:r w:rsidR="00A12451" w:rsidRPr="00D848CE">
        <w:rPr>
          <w:rFonts w:ascii="Arial" w:hAnsi="Arial" w:cs="Arial"/>
          <w:sz w:val="22"/>
          <w:szCs w:val="22"/>
          <w:lang w:val="es-ES_tradnl"/>
        </w:rPr>
        <w:t xml:space="preserve">la implementación de la Factura Electrónica; y </w:t>
      </w:r>
      <w:r w:rsidR="006447AE" w:rsidRPr="00D848CE">
        <w:rPr>
          <w:rFonts w:ascii="Arial" w:hAnsi="Arial" w:cs="Arial"/>
          <w:sz w:val="22"/>
          <w:szCs w:val="22"/>
          <w:lang w:val="es-ES_tradnl"/>
        </w:rPr>
        <w:t xml:space="preserve">un aumento de </w:t>
      </w:r>
      <w:r w:rsidR="00D852EA" w:rsidRPr="00D848CE">
        <w:rPr>
          <w:rFonts w:ascii="Arial" w:hAnsi="Arial" w:cs="Arial"/>
          <w:sz w:val="22"/>
          <w:szCs w:val="22"/>
          <w:lang w:val="es-ES_tradnl"/>
        </w:rPr>
        <w:t>2.7</w:t>
      </w:r>
      <w:r w:rsidR="00BD3372" w:rsidRPr="00D848CE">
        <w:rPr>
          <w:rFonts w:ascii="Arial" w:hAnsi="Arial" w:cs="Arial"/>
          <w:sz w:val="22"/>
          <w:szCs w:val="22"/>
          <w:lang w:val="es-ES_tradnl"/>
        </w:rPr>
        <w:t xml:space="preserve">% </w:t>
      </w:r>
      <w:r w:rsidR="00A12451" w:rsidRPr="00D848CE">
        <w:rPr>
          <w:rFonts w:ascii="Arial" w:hAnsi="Arial" w:cs="Arial"/>
          <w:sz w:val="22"/>
          <w:szCs w:val="22"/>
          <w:lang w:val="es-ES_tradnl"/>
        </w:rPr>
        <w:t>del</w:t>
      </w:r>
      <w:r w:rsidR="00BD3372" w:rsidRPr="00D848CE">
        <w:rPr>
          <w:rFonts w:ascii="Arial" w:hAnsi="Arial" w:cs="Arial"/>
          <w:sz w:val="22"/>
          <w:szCs w:val="22"/>
          <w:lang w:val="es-ES_tradnl"/>
        </w:rPr>
        <w:t xml:space="preserve"> total del gasto </w:t>
      </w:r>
      <w:r w:rsidR="003D4956" w:rsidRPr="00D848CE">
        <w:rPr>
          <w:rFonts w:ascii="Arial" w:hAnsi="Arial" w:cs="Arial"/>
          <w:sz w:val="22"/>
          <w:szCs w:val="22"/>
          <w:lang w:val="es-ES_tradnl"/>
        </w:rPr>
        <w:t>público</w:t>
      </w:r>
      <w:r w:rsidR="00A12451" w:rsidRPr="00D848CE">
        <w:rPr>
          <w:rFonts w:ascii="Arial" w:hAnsi="Arial" w:cs="Arial"/>
          <w:sz w:val="22"/>
          <w:szCs w:val="22"/>
          <w:lang w:val="es-ES_tradnl"/>
        </w:rPr>
        <w:t xml:space="preserve"> referente </w:t>
      </w:r>
      <w:r w:rsidR="00D852EA" w:rsidRPr="00D848CE">
        <w:rPr>
          <w:rFonts w:ascii="Arial" w:hAnsi="Arial" w:cs="Arial"/>
          <w:sz w:val="22"/>
          <w:szCs w:val="22"/>
          <w:lang w:val="es-ES_tradnl"/>
        </w:rPr>
        <w:t>a los recursos</w:t>
      </w:r>
      <w:r w:rsidR="00A12451" w:rsidRPr="00D848CE">
        <w:rPr>
          <w:rFonts w:ascii="Arial" w:hAnsi="Arial" w:cs="Arial"/>
          <w:sz w:val="22"/>
          <w:szCs w:val="22"/>
          <w:lang w:val="es-ES_tradnl"/>
        </w:rPr>
        <w:t xml:space="preserve"> tramitados a través de la CUT</w:t>
      </w:r>
      <w:r w:rsidR="003D4956" w:rsidRPr="00D848CE">
        <w:rPr>
          <w:rFonts w:ascii="Arial" w:hAnsi="Arial" w:cs="Arial"/>
          <w:sz w:val="22"/>
          <w:szCs w:val="22"/>
          <w:lang w:val="es-ES_tradnl"/>
        </w:rPr>
        <w:t>.</w:t>
      </w:r>
      <w:r w:rsidR="00F1553F" w:rsidRPr="00D848CE">
        <w:rPr>
          <w:rFonts w:ascii="Arial" w:hAnsi="Arial" w:cs="Arial"/>
          <w:sz w:val="22"/>
          <w:szCs w:val="22"/>
          <w:lang w:val="es-ES_tradnl"/>
        </w:rPr>
        <w:t xml:space="preserve"> </w:t>
      </w:r>
    </w:p>
    <w:p w14:paraId="45A0C5FA" w14:textId="77777777" w:rsidR="00945174" w:rsidRPr="00D848CE" w:rsidRDefault="00945174" w:rsidP="008B5547">
      <w:pPr>
        <w:pStyle w:val="Paragraph"/>
        <w:numPr>
          <w:ilvl w:val="1"/>
          <w:numId w:val="2"/>
        </w:numPr>
        <w:tabs>
          <w:tab w:val="num" w:pos="720"/>
        </w:tabs>
        <w:ind w:left="720" w:hanging="720"/>
        <w:outlineLvl w:val="9"/>
        <w:rPr>
          <w:rFonts w:ascii="Arial" w:hAnsi="Arial" w:cs="Arial"/>
          <w:sz w:val="22"/>
          <w:szCs w:val="22"/>
          <w:lang w:val="es-ES_tradnl"/>
        </w:rPr>
      </w:pPr>
      <w:r w:rsidRPr="00D848CE">
        <w:rPr>
          <w:rFonts w:ascii="Arial" w:hAnsi="Arial" w:cs="Arial"/>
          <w:sz w:val="22"/>
          <w:szCs w:val="22"/>
          <w:lang w:val="es-ES_tradnl"/>
        </w:rPr>
        <w:lastRenderedPageBreak/>
        <w:t>Utilizando una tasa de descuento de</w:t>
      </w:r>
      <w:r w:rsidR="00956259" w:rsidRPr="00D848CE">
        <w:rPr>
          <w:rFonts w:ascii="Arial" w:hAnsi="Arial" w:cs="Arial"/>
          <w:sz w:val="22"/>
          <w:szCs w:val="22"/>
          <w:lang w:val="es-ES_tradnl"/>
        </w:rPr>
        <w:t>l</w:t>
      </w:r>
      <w:r w:rsidRPr="00D848CE">
        <w:rPr>
          <w:rFonts w:ascii="Arial" w:hAnsi="Arial" w:cs="Arial"/>
          <w:sz w:val="22"/>
          <w:szCs w:val="22"/>
          <w:lang w:val="es-ES_tradnl"/>
        </w:rPr>
        <w:t xml:space="preserve"> 12%, </w:t>
      </w:r>
      <w:r w:rsidR="007342EF" w:rsidRPr="00D848CE">
        <w:rPr>
          <w:rFonts w:ascii="Arial" w:hAnsi="Arial" w:cs="Arial"/>
          <w:sz w:val="22"/>
          <w:szCs w:val="22"/>
          <w:lang w:val="es-ES_tradnl"/>
        </w:rPr>
        <w:t>al final del año 20</w:t>
      </w:r>
      <w:r w:rsidR="000D46CC" w:rsidRPr="00D848CE">
        <w:rPr>
          <w:rFonts w:ascii="Arial" w:hAnsi="Arial" w:cs="Arial"/>
          <w:sz w:val="22"/>
          <w:szCs w:val="22"/>
          <w:lang w:val="es-ES_tradnl"/>
        </w:rPr>
        <w:t>2</w:t>
      </w:r>
      <w:r w:rsidR="00A4034C" w:rsidRPr="00D848CE">
        <w:rPr>
          <w:rFonts w:ascii="Arial" w:hAnsi="Arial" w:cs="Arial"/>
          <w:sz w:val="22"/>
          <w:szCs w:val="22"/>
          <w:lang w:val="es-ES_tradnl"/>
        </w:rPr>
        <w:t>8</w:t>
      </w:r>
      <w:r w:rsidR="007342EF" w:rsidRPr="00D848CE">
        <w:rPr>
          <w:rFonts w:ascii="Arial" w:hAnsi="Arial" w:cs="Arial"/>
          <w:sz w:val="22"/>
          <w:szCs w:val="22"/>
          <w:lang w:val="es-ES_tradnl"/>
        </w:rPr>
        <w:t xml:space="preserve"> (</w:t>
      </w:r>
      <w:r w:rsidR="001F737B" w:rsidRPr="00D848CE">
        <w:rPr>
          <w:rFonts w:ascii="Arial" w:hAnsi="Arial" w:cs="Arial"/>
          <w:sz w:val="22"/>
          <w:szCs w:val="22"/>
          <w:lang w:val="es-ES_tradnl"/>
        </w:rPr>
        <w:t>1</w:t>
      </w:r>
      <w:r w:rsidR="007342EF" w:rsidRPr="00D848CE">
        <w:rPr>
          <w:rFonts w:ascii="Arial" w:hAnsi="Arial" w:cs="Arial"/>
          <w:sz w:val="22"/>
          <w:szCs w:val="22"/>
          <w:lang w:val="es-ES_tradnl"/>
        </w:rPr>
        <w:t xml:space="preserve">0 años) las inversiones del proyecto estarán generando un Valor Presente Neto (VPN) de US$ </w:t>
      </w:r>
      <w:r w:rsidR="00075E58" w:rsidRPr="00D848CE">
        <w:rPr>
          <w:rFonts w:ascii="Arial" w:hAnsi="Arial" w:cs="Arial"/>
          <w:sz w:val="22"/>
          <w:szCs w:val="22"/>
          <w:lang w:val="es-ES_tradnl"/>
        </w:rPr>
        <w:t>27,6</w:t>
      </w:r>
      <w:r w:rsidR="00AF2948" w:rsidRPr="00D848CE">
        <w:rPr>
          <w:rFonts w:ascii="Arial" w:hAnsi="Arial" w:cs="Arial"/>
          <w:sz w:val="22"/>
          <w:szCs w:val="22"/>
          <w:lang w:val="es-ES_tradnl"/>
        </w:rPr>
        <w:t xml:space="preserve"> </w:t>
      </w:r>
      <w:r w:rsidR="007342EF" w:rsidRPr="00D848CE">
        <w:rPr>
          <w:rFonts w:ascii="Arial" w:hAnsi="Arial" w:cs="Arial"/>
          <w:sz w:val="22"/>
          <w:szCs w:val="22"/>
          <w:lang w:val="es-ES_tradnl"/>
        </w:rPr>
        <w:t>millones con u</w:t>
      </w:r>
      <w:r w:rsidR="005C5BF1" w:rsidRPr="00D848CE">
        <w:rPr>
          <w:rFonts w:ascii="Arial" w:hAnsi="Arial" w:cs="Arial"/>
          <w:sz w:val="22"/>
          <w:szCs w:val="22"/>
          <w:lang w:val="es-ES_tradnl"/>
        </w:rPr>
        <w:t>na Tasa Interna de Retorno</w:t>
      </w:r>
      <w:r w:rsidR="006447AE" w:rsidRPr="00D848CE">
        <w:rPr>
          <w:rFonts w:ascii="Arial" w:hAnsi="Arial" w:cs="Arial"/>
          <w:sz w:val="22"/>
          <w:szCs w:val="22"/>
          <w:lang w:val="es-ES_tradnl"/>
        </w:rPr>
        <w:t xml:space="preserve"> (TIR)</w:t>
      </w:r>
      <w:r w:rsidR="005C5BF1" w:rsidRPr="00D848CE">
        <w:rPr>
          <w:rFonts w:ascii="Arial" w:hAnsi="Arial" w:cs="Arial"/>
          <w:sz w:val="22"/>
          <w:szCs w:val="22"/>
          <w:lang w:val="es-ES_tradnl"/>
        </w:rPr>
        <w:t xml:space="preserve"> de</w:t>
      </w:r>
      <w:r w:rsidR="00956259" w:rsidRPr="00D848CE">
        <w:rPr>
          <w:rFonts w:ascii="Arial" w:hAnsi="Arial" w:cs="Arial"/>
          <w:sz w:val="22"/>
          <w:szCs w:val="22"/>
          <w:lang w:val="es-ES_tradnl"/>
        </w:rPr>
        <w:t>l</w:t>
      </w:r>
      <w:r w:rsidR="005C5BF1" w:rsidRPr="00D848CE">
        <w:rPr>
          <w:rFonts w:ascii="Arial" w:hAnsi="Arial" w:cs="Arial"/>
          <w:sz w:val="22"/>
          <w:szCs w:val="22"/>
          <w:lang w:val="es-ES_tradnl"/>
        </w:rPr>
        <w:t xml:space="preserve"> </w:t>
      </w:r>
      <w:r w:rsidR="00EF056F" w:rsidRPr="00D848CE">
        <w:rPr>
          <w:rFonts w:ascii="Arial" w:hAnsi="Arial" w:cs="Arial"/>
          <w:sz w:val="22"/>
          <w:szCs w:val="22"/>
          <w:lang w:val="es-ES_tradnl"/>
        </w:rPr>
        <w:t>18</w:t>
      </w:r>
      <w:r w:rsidR="000D46CC" w:rsidRPr="00D848CE">
        <w:rPr>
          <w:rFonts w:ascii="Arial" w:hAnsi="Arial" w:cs="Arial"/>
          <w:sz w:val="22"/>
          <w:szCs w:val="22"/>
          <w:lang w:val="es-ES_tradnl"/>
        </w:rPr>
        <w:t>%</w:t>
      </w:r>
      <w:r w:rsidR="007342EF" w:rsidRPr="00D848CE">
        <w:rPr>
          <w:rFonts w:ascii="Arial" w:hAnsi="Arial" w:cs="Arial"/>
          <w:sz w:val="22"/>
          <w:szCs w:val="22"/>
          <w:lang w:val="es-ES_tradnl"/>
        </w:rPr>
        <w:t>.</w:t>
      </w:r>
      <w:r w:rsidR="00CF538F" w:rsidRPr="00D848CE">
        <w:rPr>
          <w:rFonts w:ascii="Arial" w:hAnsi="Arial" w:cs="Arial"/>
          <w:sz w:val="22"/>
          <w:szCs w:val="22"/>
          <w:lang w:val="es-ES_tradnl"/>
        </w:rPr>
        <w:t xml:space="preserve"> </w:t>
      </w:r>
    </w:p>
    <w:p w14:paraId="43D7DCDD" w14:textId="77777777" w:rsidR="00DE0F3E" w:rsidRPr="00D848CE" w:rsidRDefault="00DE0F3E" w:rsidP="008B5547">
      <w:pPr>
        <w:pStyle w:val="Paragraph"/>
        <w:numPr>
          <w:ilvl w:val="1"/>
          <w:numId w:val="2"/>
        </w:numPr>
        <w:tabs>
          <w:tab w:val="num" w:pos="720"/>
        </w:tabs>
        <w:ind w:left="720" w:hanging="720"/>
        <w:outlineLvl w:val="9"/>
        <w:rPr>
          <w:rFonts w:ascii="Arial" w:hAnsi="Arial" w:cs="Arial"/>
          <w:sz w:val="22"/>
          <w:szCs w:val="22"/>
          <w:lang w:val="es-ES_tradnl"/>
        </w:rPr>
      </w:pPr>
      <w:r w:rsidRPr="00D848CE">
        <w:rPr>
          <w:rFonts w:ascii="Arial" w:hAnsi="Arial" w:cs="Arial"/>
          <w:b/>
          <w:sz w:val="22"/>
          <w:szCs w:val="22"/>
          <w:lang w:val="es-ES_tradnl"/>
        </w:rPr>
        <w:t>Validaciones internas y externas.</w:t>
      </w:r>
      <w:r w:rsidRPr="00D848CE">
        <w:rPr>
          <w:rFonts w:ascii="Arial" w:hAnsi="Arial" w:cs="Arial"/>
          <w:sz w:val="22"/>
          <w:szCs w:val="22"/>
          <w:lang w:val="es-ES_tradnl"/>
        </w:rPr>
        <w:t xml:space="preserve"> Existe una enorme gama de estudios de impacto de la Factura electrónic</w:t>
      </w:r>
      <w:r w:rsidR="00956259" w:rsidRPr="00D848CE">
        <w:rPr>
          <w:rFonts w:ascii="Arial" w:hAnsi="Arial" w:cs="Arial"/>
          <w:sz w:val="22"/>
          <w:szCs w:val="22"/>
          <w:lang w:val="es-ES_tradnl"/>
        </w:rPr>
        <w:t>a</w:t>
      </w:r>
      <w:r w:rsidRPr="00D848CE">
        <w:rPr>
          <w:rFonts w:ascii="Arial" w:hAnsi="Arial" w:cs="Arial"/>
          <w:sz w:val="22"/>
          <w:szCs w:val="22"/>
          <w:lang w:val="es-ES_tradnl"/>
        </w:rPr>
        <w:t xml:space="preserve"> disponibles e</w:t>
      </w:r>
      <w:r w:rsidR="00DD603C" w:rsidRPr="00D848CE">
        <w:rPr>
          <w:rFonts w:ascii="Arial" w:hAnsi="Arial" w:cs="Arial"/>
          <w:sz w:val="22"/>
          <w:szCs w:val="22"/>
          <w:lang w:val="es-ES_tradnl"/>
        </w:rPr>
        <w:t>n</w:t>
      </w:r>
      <w:r w:rsidRPr="00D848CE">
        <w:rPr>
          <w:rFonts w:ascii="Arial" w:hAnsi="Arial" w:cs="Arial"/>
          <w:sz w:val="22"/>
          <w:szCs w:val="22"/>
          <w:lang w:val="es-ES_tradnl"/>
        </w:rPr>
        <w:t xml:space="preserve"> internet (Chile, Brasil, México y Perú)</w:t>
      </w:r>
      <w:r w:rsidR="00493524" w:rsidRPr="00D848CE">
        <w:rPr>
          <w:rFonts w:ascii="Arial" w:hAnsi="Arial" w:cs="Arial"/>
          <w:sz w:val="22"/>
          <w:szCs w:val="22"/>
          <w:lang w:val="es-ES_tradnl"/>
        </w:rPr>
        <w:t>, comprobando la efectividad del uso de est</w:t>
      </w:r>
      <w:r w:rsidR="00DD603C" w:rsidRPr="00D848CE">
        <w:rPr>
          <w:rFonts w:ascii="Arial" w:hAnsi="Arial" w:cs="Arial"/>
          <w:sz w:val="22"/>
          <w:szCs w:val="22"/>
          <w:lang w:val="es-ES_tradnl"/>
        </w:rPr>
        <w:t>e</w:t>
      </w:r>
      <w:r w:rsidR="00493524" w:rsidRPr="00D848CE">
        <w:rPr>
          <w:rFonts w:ascii="Arial" w:hAnsi="Arial" w:cs="Arial"/>
          <w:sz w:val="22"/>
          <w:szCs w:val="22"/>
          <w:lang w:val="es-ES_tradnl"/>
        </w:rPr>
        <w:t xml:space="preserve"> instrumento</w:t>
      </w:r>
      <w:r w:rsidR="00383159" w:rsidRPr="00D848CE">
        <w:rPr>
          <w:rFonts w:ascii="Arial" w:hAnsi="Arial" w:cs="Arial"/>
          <w:sz w:val="22"/>
          <w:szCs w:val="22"/>
          <w:lang w:val="es-ES_tradnl"/>
        </w:rPr>
        <w:t xml:space="preserve">. Entre estos estudios, merece especial mención aquellos </w:t>
      </w:r>
      <w:r w:rsidRPr="00D848CE">
        <w:rPr>
          <w:rFonts w:ascii="Arial" w:hAnsi="Arial" w:cs="Arial"/>
          <w:sz w:val="22"/>
          <w:szCs w:val="22"/>
          <w:lang w:val="es-ES_tradnl"/>
        </w:rPr>
        <w:t xml:space="preserve">sobre la “Nota Fiscal Electrónica” </w:t>
      </w:r>
      <w:r w:rsidR="00383159" w:rsidRPr="00D848CE">
        <w:rPr>
          <w:rFonts w:ascii="Arial" w:hAnsi="Arial" w:cs="Arial"/>
          <w:sz w:val="22"/>
          <w:szCs w:val="22"/>
          <w:lang w:val="es-ES_tradnl"/>
        </w:rPr>
        <w:t>implementada en los 27</w:t>
      </w:r>
      <w:r w:rsidRPr="00D848CE">
        <w:rPr>
          <w:rFonts w:ascii="Arial" w:hAnsi="Arial" w:cs="Arial"/>
          <w:sz w:val="22"/>
          <w:szCs w:val="22"/>
          <w:lang w:val="es-ES_tradnl"/>
        </w:rPr>
        <w:t xml:space="preserve"> estados de Brasil </w:t>
      </w:r>
      <w:r w:rsidR="00493524" w:rsidRPr="00D848CE">
        <w:rPr>
          <w:rFonts w:ascii="Arial" w:hAnsi="Arial" w:cs="Arial"/>
          <w:sz w:val="22"/>
          <w:szCs w:val="22"/>
          <w:lang w:val="es-ES_tradnl"/>
        </w:rPr>
        <w:t>y el</w:t>
      </w:r>
      <w:r w:rsidRPr="00D848CE">
        <w:rPr>
          <w:rFonts w:ascii="Arial" w:hAnsi="Arial" w:cs="Arial"/>
          <w:sz w:val="22"/>
          <w:szCs w:val="22"/>
          <w:lang w:val="es-ES_tradnl"/>
        </w:rPr>
        <w:t xml:space="preserve"> Distrito Federal, los cuales </w:t>
      </w:r>
      <w:r w:rsidR="00383159" w:rsidRPr="00D848CE">
        <w:rPr>
          <w:rFonts w:ascii="Arial" w:hAnsi="Arial" w:cs="Arial"/>
          <w:sz w:val="22"/>
          <w:szCs w:val="22"/>
          <w:lang w:val="es-ES_tradnl"/>
        </w:rPr>
        <w:t>de forma unánime</w:t>
      </w:r>
      <w:r w:rsidRPr="00D848CE">
        <w:rPr>
          <w:rFonts w:ascii="Arial" w:hAnsi="Arial" w:cs="Arial"/>
          <w:sz w:val="22"/>
          <w:szCs w:val="22"/>
          <w:lang w:val="es-ES_tradnl"/>
        </w:rPr>
        <w:t xml:space="preserve"> compr</w:t>
      </w:r>
      <w:r w:rsidR="00956259" w:rsidRPr="00D848CE">
        <w:rPr>
          <w:rFonts w:ascii="Arial" w:hAnsi="Arial" w:cs="Arial"/>
          <w:sz w:val="22"/>
          <w:szCs w:val="22"/>
          <w:lang w:val="es-ES_tradnl"/>
        </w:rPr>
        <w:t>ue</w:t>
      </w:r>
      <w:r w:rsidRPr="00D848CE">
        <w:rPr>
          <w:rFonts w:ascii="Arial" w:hAnsi="Arial" w:cs="Arial"/>
          <w:sz w:val="22"/>
          <w:szCs w:val="22"/>
          <w:lang w:val="es-ES_tradnl"/>
        </w:rPr>
        <w:t xml:space="preserve">ban que este tipo de instrumento </w:t>
      </w:r>
      <w:r w:rsidR="00493524" w:rsidRPr="00D848CE">
        <w:rPr>
          <w:rFonts w:ascii="Arial" w:hAnsi="Arial" w:cs="Arial"/>
          <w:sz w:val="22"/>
          <w:szCs w:val="22"/>
          <w:lang w:val="es-ES_tradnl"/>
        </w:rPr>
        <w:t>tributario</w:t>
      </w:r>
      <w:r w:rsidRPr="00D848CE">
        <w:rPr>
          <w:rFonts w:ascii="Arial" w:hAnsi="Arial" w:cs="Arial"/>
          <w:sz w:val="22"/>
          <w:szCs w:val="22"/>
          <w:lang w:val="es-ES_tradnl"/>
        </w:rPr>
        <w:t xml:space="preserve"> tuve un impacto positivo en el aumento de la recaudación del VAT </w:t>
      </w:r>
      <w:r w:rsidR="00383159" w:rsidRPr="00D848CE">
        <w:rPr>
          <w:rFonts w:ascii="Arial" w:hAnsi="Arial" w:cs="Arial"/>
          <w:sz w:val="22"/>
          <w:szCs w:val="22"/>
          <w:lang w:val="es-ES_tradnl"/>
        </w:rPr>
        <w:t xml:space="preserve">en Brasil </w:t>
      </w:r>
      <w:r w:rsidRPr="00D848CE">
        <w:rPr>
          <w:rFonts w:ascii="Arial" w:hAnsi="Arial" w:cs="Arial"/>
          <w:sz w:val="22"/>
          <w:szCs w:val="22"/>
          <w:lang w:val="es-ES_tradnl"/>
        </w:rPr>
        <w:t>(ICMS en Brasil). La implementación de la Factura Electrónica en Brasil fue apoyada por la Línea de Crédito Condicional (CCLIP) para el Programa de Apoyo a la Gestión e Integración de los Fiscos en Brasil (PROFISCO BR-X1005), aprobado por el Directorio Ejecutivo del Banco por medio de la Resolución DE-132/08, del 5 de noviembre de 2008</w:t>
      </w:r>
      <w:r w:rsidR="00383159" w:rsidRPr="00D848CE">
        <w:rPr>
          <w:rStyle w:val="FootnoteReference"/>
          <w:rFonts w:ascii="Arial" w:hAnsi="Arial" w:cs="Arial"/>
          <w:sz w:val="22"/>
          <w:szCs w:val="22"/>
          <w:lang w:val="es-ES_tradnl"/>
        </w:rPr>
        <w:footnoteReference w:id="10"/>
      </w:r>
      <w:r w:rsidRPr="00D848CE">
        <w:rPr>
          <w:rFonts w:ascii="Arial" w:hAnsi="Arial" w:cs="Arial"/>
          <w:sz w:val="22"/>
          <w:szCs w:val="22"/>
          <w:lang w:val="es-ES_tradnl"/>
        </w:rPr>
        <w:t xml:space="preserve">. </w:t>
      </w:r>
      <w:r w:rsidR="00383159" w:rsidRPr="00D848CE">
        <w:rPr>
          <w:rFonts w:ascii="Arial" w:hAnsi="Arial" w:cs="Arial"/>
          <w:sz w:val="22"/>
          <w:szCs w:val="22"/>
          <w:lang w:val="es-ES_tradnl"/>
        </w:rPr>
        <w:t>Se inclu</w:t>
      </w:r>
      <w:r w:rsidR="00956259" w:rsidRPr="00D848CE">
        <w:rPr>
          <w:rFonts w:ascii="Arial" w:hAnsi="Arial" w:cs="Arial"/>
          <w:sz w:val="22"/>
          <w:szCs w:val="22"/>
          <w:lang w:val="es-ES_tradnl"/>
        </w:rPr>
        <w:t>ye</w:t>
      </w:r>
      <w:r w:rsidR="00383159" w:rsidRPr="00D848CE">
        <w:rPr>
          <w:rFonts w:ascii="Arial" w:hAnsi="Arial" w:cs="Arial"/>
          <w:sz w:val="22"/>
          <w:szCs w:val="22"/>
          <w:lang w:val="es-ES_tradnl"/>
        </w:rPr>
        <w:t xml:space="preserve"> </w:t>
      </w:r>
      <w:r w:rsidR="00493524" w:rsidRPr="00D848CE">
        <w:rPr>
          <w:rFonts w:ascii="Arial" w:hAnsi="Arial" w:cs="Arial"/>
          <w:sz w:val="22"/>
          <w:szCs w:val="22"/>
          <w:lang w:val="es-ES_tradnl"/>
        </w:rPr>
        <w:t>como referencia una de la</w:t>
      </w:r>
      <w:r w:rsidR="008F607A" w:rsidRPr="00D848CE">
        <w:rPr>
          <w:rFonts w:ascii="Arial" w:hAnsi="Arial" w:cs="Arial"/>
          <w:sz w:val="22"/>
          <w:szCs w:val="22"/>
          <w:lang w:val="es-ES_tradnl"/>
        </w:rPr>
        <w:t>s</w:t>
      </w:r>
      <w:r w:rsidR="00493524" w:rsidRPr="00D848CE">
        <w:rPr>
          <w:rFonts w:ascii="Arial" w:hAnsi="Arial" w:cs="Arial"/>
          <w:sz w:val="22"/>
          <w:szCs w:val="22"/>
          <w:lang w:val="es-ES_tradnl"/>
        </w:rPr>
        <w:t xml:space="preserve"> </w:t>
      </w:r>
      <w:r w:rsidR="00383159" w:rsidRPr="00D848CE">
        <w:rPr>
          <w:rFonts w:ascii="Arial" w:hAnsi="Arial" w:cs="Arial"/>
          <w:sz w:val="22"/>
          <w:szCs w:val="22"/>
          <w:lang w:val="es-ES_tradnl"/>
        </w:rPr>
        <w:t>evaluaci</w:t>
      </w:r>
      <w:r w:rsidR="00493524" w:rsidRPr="00D848CE">
        <w:rPr>
          <w:rFonts w:ascii="Arial" w:hAnsi="Arial" w:cs="Arial"/>
          <w:sz w:val="22"/>
          <w:szCs w:val="22"/>
          <w:lang w:val="es-ES_tradnl"/>
        </w:rPr>
        <w:t>ones</w:t>
      </w:r>
      <w:r w:rsidR="00383159" w:rsidRPr="00D848CE">
        <w:rPr>
          <w:rFonts w:ascii="Arial" w:hAnsi="Arial" w:cs="Arial"/>
          <w:sz w:val="22"/>
          <w:szCs w:val="22"/>
          <w:lang w:val="es-ES_tradnl"/>
        </w:rPr>
        <w:t xml:space="preserve"> de impacto </w:t>
      </w:r>
      <w:r w:rsidR="00493524" w:rsidRPr="00D848CE">
        <w:rPr>
          <w:rFonts w:ascii="Arial" w:hAnsi="Arial" w:cs="Arial"/>
          <w:sz w:val="22"/>
          <w:szCs w:val="22"/>
          <w:lang w:val="es-ES_tradnl"/>
        </w:rPr>
        <w:t xml:space="preserve">disponibles, la </w:t>
      </w:r>
      <w:r w:rsidR="00383159" w:rsidRPr="00D848CE">
        <w:rPr>
          <w:rFonts w:ascii="Arial" w:hAnsi="Arial" w:cs="Arial"/>
          <w:sz w:val="22"/>
          <w:szCs w:val="22"/>
          <w:lang w:val="es-ES_tradnl"/>
        </w:rPr>
        <w:t xml:space="preserve">del Programa Nota Fiscal Paulista en la expansión de la Recaudación Tributaría del Estado de São Paulo, </w:t>
      </w:r>
      <w:r w:rsidR="00493524" w:rsidRPr="00D848CE">
        <w:rPr>
          <w:rFonts w:ascii="Arial" w:hAnsi="Arial" w:cs="Arial"/>
          <w:sz w:val="22"/>
          <w:szCs w:val="22"/>
          <w:lang w:val="es-ES_tradnl"/>
        </w:rPr>
        <w:t>la</w:t>
      </w:r>
      <w:r w:rsidR="00383159" w:rsidRPr="00D848CE">
        <w:rPr>
          <w:rFonts w:ascii="Arial" w:hAnsi="Arial" w:cs="Arial"/>
          <w:sz w:val="22"/>
          <w:szCs w:val="22"/>
          <w:lang w:val="es-ES_tradnl"/>
        </w:rPr>
        <w:t xml:space="preserve"> cual presenta en su conclusión </w:t>
      </w:r>
      <w:r w:rsidR="00493524" w:rsidRPr="00D848CE">
        <w:rPr>
          <w:rFonts w:ascii="Arial" w:hAnsi="Arial" w:cs="Arial"/>
          <w:sz w:val="22"/>
          <w:szCs w:val="22"/>
          <w:lang w:val="es-ES_tradnl"/>
        </w:rPr>
        <w:t xml:space="preserve">que el </w:t>
      </w:r>
      <w:r w:rsidR="003D0C40" w:rsidRPr="00D848CE">
        <w:rPr>
          <w:rFonts w:ascii="Arial" w:hAnsi="Arial" w:cs="Arial"/>
          <w:sz w:val="22"/>
          <w:szCs w:val="22"/>
          <w:lang w:val="es-ES_tradnl"/>
        </w:rPr>
        <w:t>programa</w:t>
      </w:r>
      <w:r w:rsidR="00493524" w:rsidRPr="00D848CE">
        <w:rPr>
          <w:rFonts w:ascii="Arial" w:hAnsi="Arial" w:cs="Arial"/>
          <w:sz w:val="22"/>
          <w:szCs w:val="22"/>
          <w:lang w:val="es-ES_tradnl"/>
        </w:rPr>
        <w:t xml:space="preserve"> generó un impacto positivo y estadísticamente significativo sobre la recaudación real del ICMS en el estado de São Paulo del orden de R$600 millones</w:t>
      </w:r>
      <w:r w:rsidR="00DD603C" w:rsidRPr="00D848CE">
        <w:rPr>
          <w:rFonts w:ascii="Arial" w:hAnsi="Arial" w:cs="Arial"/>
          <w:sz w:val="22"/>
          <w:szCs w:val="22"/>
          <w:lang w:val="es-ES_tradnl"/>
        </w:rPr>
        <w:t xml:space="preserve"> (equivalente a US$226 millones)</w:t>
      </w:r>
      <w:r w:rsidR="00DD603C" w:rsidRPr="00D848CE">
        <w:rPr>
          <w:rStyle w:val="FootnoteReference"/>
          <w:rFonts w:ascii="Arial" w:hAnsi="Arial" w:cs="Arial"/>
          <w:sz w:val="22"/>
          <w:szCs w:val="22"/>
          <w:lang w:val="es-ES_tradnl"/>
        </w:rPr>
        <w:footnoteReference w:id="11"/>
      </w:r>
      <w:r w:rsidR="00493524" w:rsidRPr="00D848CE">
        <w:rPr>
          <w:rFonts w:ascii="Arial" w:hAnsi="Arial" w:cs="Arial"/>
          <w:sz w:val="22"/>
          <w:szCs w:val="22"/>
          <w:lang w:val="es-ES_tradnl"/>
        </w:rPr>
        <w:t>, representando 12% de la media recaudada por el estado después de su implantación hasta el mes de octubre de 2014</w:t>
      </w:r>
      <w:r w:rsidR="00493524" w:rsidRPr="00D848CE">
        <w:rPr>
          <w:rStyle w:val="FootnoteReference"/>
          <w:rFonts w:ascii="Arial" w:hAnsi="Arial" w:cs="Arial"/>
          <w:sz w:val="22"/>
          <w:szCs w:val="22"/>
          <w:lang w:val="es-ES_tradnl"/>
        </w:rPr>
        <w:footnoteReference w:id="12"/>
      </w:r>
      <w:r w:rsidR="00493524" w:rsidRPr="00D848CE">
        <w:rPr>
          <w:rFonts w:ascii="Arial" w:hAnsi="Arial" w:cs="Arial"/>
          <w:sz w:val="22"/>
          <w:szCs w:val="22"/>
          <w:lang w:val="es-ES_tradnl"/>
        </w:rPr>
        <w:t>.</w:t>
      </w:r>
    </w:p>
    <w:p w14:paraId="4B40EA58" w14:textId="77777777" w:rsidR="006C54CE" w:rsidRPr="00D848CE" w:rsidRDefault="006C54CE" w:rsidP="008B5547">
      <w:pPr>
        <w:pStyle w:val="Paragraph"/>
        <w:numPr>
          <w:ilvl w:val="1"/>
          <w:numId w:val="2"/>
        </w:numPr>
        <w:tabs>
          <w:tab w:val="num" w:pos="720"/>
        </w:tabs>
        <w:ind w:left="720" w:hanging="720"/>
        <w:outlineLvl w:val="9"/>
        <w:rPr>
          <w:rFonts w:ascii="Arial" w:hAnsi="Arial" w:cs="Arial"/>
          <w:sz w:val="22"/>
          <w:szCs w:val="22"/>
          <w:lang w:val="es-ES_tradnl"/>
        </w:rPr>
      </w:pPr>
      <w:r w:rsidRPr="00D848CE">
        <w:rPr>
          <w:rFonts w:ascii="Arial" w:hAnsi="Arial" w:cs="Arial"/>
          <w:sz w:val="22"/>
          <w:szCs w:val="22"/>
          <w:lang w:val="es-ES_tradnl"/>
        </w:rPr>
        <w:t>Al final de la ejecución de esta operación, el equipo de proyecto llevará a cabo una evaluación ex-post, utilizando la misma metodología presentada en esta evaluación ex-ante, la cual comparar</w:t>
      </w:r>
      <w:r w:rsidR="00446715" w:rsidRPr="00D848CE">
        <w:rPr>
          <w:rFonts w:ascii="Arial" w:hAnsi="Arial" w:cs="Arial"/>
          <w:sz w:val="22"/>
          <w:szCs w:val="22"/>
          <w:lang w:val="es-ES_tradnl"/>
        </w:rPr>
        <w:t>á</w:t>
      </w:r>
      <w:r w:rsidRPr="00D848CE">
        <w:rPr>
          <w:rFonts w:ascii="Arial" w:hAnsi="Arial" w:cs="Arial"/>
          <w:sz w:val="22"/>
          <w:szCs w:val="22"/>
          <w:lang w:val="es-ES_tradnl"/>
        </w:rPr>
        <w:t xml:space="preserve"> los resultados estimados con los resultados reales, justificando las distorsiones que </w:t>
      </w:r>
      <w:r w:rsidR="003D0C40" w:rsidRPr="00D848CE">
        <w:rPr>
          <w:rFonts w:ascii="Arial" w:hAnsi="Arial" w:cs="Arial"/>
          <w:sz w:val="22"/>
          <w:szCs w:val="22"/>
          <w:lang w:val="es-ES_tradnl"/>
        </w:rPr>
        <w:t>puedan ocurrir</w:t>
      </w:r>
      <w:r w:rsidRPr="00D848CE">
        <w:rPr>
          <w:rFonts w:ascii="Arial" w:hAnsi="Arial" w:cs="Arial"/>
          <w:sz w:val="22"/>
          <w:szCs w:val="22"/>
          <w:lang w:val="es-ES_tradnl"/>
        </w:rPr>
        <w:t xml:space="preserve">. Esto servirá de </w:t>
      </w:r>
      <w:r w:rsidR="008F1BA2" w:rsidRPr="00D848CE">
        <w:rPr>
          <w:rFonts w:ascii="Arial" w:hAnsi="Arial" w:cs="Arial"/>
          <w:sz w:val="22"/>
          <w:szCs w:val="22"/>
          <w:lang w:val="es-ES_tradnl"/>
        </w:rPr>
        <w:t xml:space="preserve">insumo para la preparación del </w:t>
      </w:r>
      <w:r w:rsidR="008F1BA2" w:rsidRPr="00D848CE">
        <w:rPr>
          <w:rFonts w:ascii="Arial" w:hAnsi="Arial" w:cs="Arial"/>
          <w:i/>
          <w:sz w:val="22"/>
          <w:szCs w:val="22"/>
          <w:lang w:val="es-ES_tradnl"/>
        </w:rPr>
        <w:t>Project Completion Report (PCR)</w:t>
      </w:r>
      <w:r w:rsidR="008F1BA2" w:rsidRPr="00D848CE">
        <w:rPr>
          <w:rFonts w:ascii="Arial" w:hAnsi="Arial" w:cs="Arial"/>
          <w:sz w:val="22"/>
          <w:szCs w:val="22"/>
          <w:lang w:val="es-ES_tradnl"/>
        </w:rPr>
        <w:t xml:space="preserve"> del </w:t>
      </w:r>
      <w:r w:rsidR="003D0C40" w:rsidRPr="00D848CE">
        <w:rPr>
          <w:rFonts w:ascii="Arial" w:hAnsi="Arial" w:cs="Arial"/>
          <w:sz w:val="22"/>
          <w:szCs w:val="22"/>
          <w:lang w:val="es-ES_tradnl"/>
        </w:rPr>
        <w:t>programa</w:t>
      </w:r>
      <w:r w:rsidR="008F1BA2" w:rsidRPr="00D848CE">
        <w:rPr>
          <w:rFonts w:ascii="Arial" w:hAnsi="Arial" w:cs="Arial"/>
          <w:sz w:val="22"/>
          <w:szCs w:val="22"/>
          <w:lang w:val="es-ES_tradnl"/>
        </w:rPr>
        <w:t>.</w:t>
      </w:r>
      <w:r w:rsidRPr="00D848CE">
        <w:rPr>
          <w:rFonts w:ascii="Arial" w:hAnsi="Arial" w:cs="Arial"/>
          <w:sz w:val="22"/>
          <w:szCs w:val="22"/>
          <w:lang w:val="es-ES_tradnl"/>
        </w:rPr>
        <w:t xml:space="preserve"> </w:t>
      </w:r>
      <w:r w:rsidR="008F1BA2" w:rsidRPr="00D848CE">
        <w:rPr>
          <w:rFonts w:ascii="Arial" w:hAnsi="Arial" w:cs="Arial"/>
          <w:sz w:val="22"/>
          <w:szCs w:val="22"/>
          <w:lang w:val="es-ES_tradnl"/>
        </w:rPr>
        <w:t xml:space="preserve">Las metas finales e intermediarias deberán ser recolectadas del Project Management Report (PMR).  </w:t>
      </w:r>
    </w:p>
    <w:p w14:paraId="146B0691" w14:textId="77777777" w:rsidR="00973FAF" w:rsidRPr="00D848CE" w:rsidRDefault="00BD3372" w:rsidP="00733089">
      <w:pPr>
        <w:pStyle w:val="Chapter"/>
        <w:numPr>
          <w:ilvl w:val="0"/>
          <w:numId w:val="2"/>
        </w:numPr>
        <w:ind w:left="720" w:hanging="720"/>
        <w:jc w:val="left"/>
        <w:outlineLvl w:val="0"/>
        <w:rPr>
          <w:rFonts w:ascii="Arial" w:hAnsi="Arial" w:cs="Arial"/>
          <w:sz w:val="22"/>
          <w:szCs w:val="22"/>
          <w:lang w:val="es-ES_tradnl"/>
        </w:rPr>
      </w:pPr>
      <w:bookmarkStart w:id="3" w:name="_Toc479116388"/>
      <w:r w:rsidRPr="00D848CE">
        <w:rPr>
          <w:rFonts w:ascii="Arial" w:hAnsi="Arial" w:cs="Arial"/>
          <w:sz w:val="22"/>
          <w:szCs w:val="22"/>
          <w:lang w:val="es-ES_tradnl"/>
        </w:rPr>
        <w:t>Problemas Específicos y Causas a ser Solucionados</w:t>
      </w:r>
      <w:bookmarkEnd w:id="3"/>
    </w:p>
    <w:p w14:paraId="68E79EEC" w14:textId="77777777" w:rsidR="00BD3372" w:rsidRPr="00D848CE" w:rsidRDefault="00BD3372" w:rsidP="008B5547">
      <w:pPr>
        <w:pStyle w:val="Paragraph"/>
        <w:numPr>
          <w:ilvl w:val="1"/>
          <w:numId w:val="2"/>
        </w:numPr>
        <w:tabs>
          <w:tab w:val="num" w:pos="720"/>
        </w:tabs>
        <w:ind w:left="720" w:hanging="720"/>
        <w:outlineLvl w:val="9"/>
        <w:rPr>
          <w:rFonts w:ascii="Arial" w:hAnsi="Arial" w:cs="Arial"/>
          <w:sz w:val="22"/>
          <w:szCs w:val="22"/>
          <w:lang w:val="es-ES_tradnl"/>
        </w:rPr>
      </w:pPr>
      <w:r w:rsidRPr="00D848CE">
        <w:rPr>
          <w:rFonts w:ascii="Arial" w:hAnsi="Arial" w:cs="Arial"/>
          <w:b/>
          <w:sz w:val="22"/>
          <w:szCs w:val="22"/>
          <w:lang w:val="es-ES_tradnl"/>
        </w:rPr>
        <w:t>Respecto a</w:t>
      </w:r>
      <w:r w:rsidR="006D40CE" w:rsidRPr="00D848CE">
        <w:rPr>
          <w:rFonts w:ascii="Arial" w:hAnsi="Arial" w:cs="Arial"/>
          <w:b/>
          <w:sz w:val="22"/>
          <w:szCs w:val="22"/>
          <w:lang w:val="es-ES_tradnl"/>
        </w:rPr>
        <w:t xml:space="preserve"> </w:t>
      </w:r>
      <w:r w:rsidRPr="00D848CE">
        <w:rPr>
          <w:rFonts w:ascii="Arial" w:hAnsi="Arial" w:cs="Arial"/>
          <w:b/>
          <w:sz w:val="22"/>
          <w:szCs w:val="22"/>
          <w:lang w:val="es-ES_tradnl"/>
        </w:rPr>
        <w:t>l</w:t>
      </w:r>
      <w:r w:rsidR="006D40CE" w:rsidRPr="00D848CE">
        <w:rPr>
          <w:rFonts w:ascii="Arial" w:hAnsi="Arial" w:cs="Arial"/>
          <w:b/>
          <w:sz w:val="22"/>
          <w:szCs w:val="22"/>
          <w:lang w:val="es-ES_tradnl"/>
        </w:rPr>
        <w:t>a</w:t>
      </w:r>
      <w:r w:rsidRPr="00D848CE">
        <w:rPr>
          <w:rFonts w:ascii="Arial" w:hAnsi="Arial" w:cs="Arial"/>
          <w:b/>
          <w:sz w:val="22"/>
          <w:szCs w:val="22"/>
          <w:lang w:val="es-ES_tradnl"/>
        </w:rPr>
        <w:t xml:space="preserve"> gestión de la Administración Tributaria (AT), </w:t>
      </w:r>
      <w:r w:rsidRPr="00D848CE">
        <w:rPr>
          <w:rFonts w:ascii="Arial" w:hAnsi="Arial" w:cs="Arial"/>
          <w:sz w:val="22"/>
          <w:szCs w:val="22"/>
          <w:lang w:val="es-ES_tradnl"/>
        </w:rPr>
        <w:t>se requiere corregir sus debilidades institucionales y operativas:</w:t>
      </w:r>
    </w:p>
    <w:p w14:paraId="18C8B10F" w14:textId="0912F84B" w:rsidR="00BD3372" w:rsidRPr="00D848CE" w:rsidRDefault="00E664AF" w:rsidP="008B5547">
      <w:pPr>
        <w:pStyle w:val="subpar"/>
        <w:numPr>
          <w:ilvl w:val="2"/>
          <w:numId w:val="2"/>
        </w:numPr>
        <w:tabs>
          <w:tab w:val="clear" w:pos="2304"/>
          <w:tab w:val="num" w:pos="1296"/>
          <w:tab w:val="num" w:pos="1440"/>
        </w:tabs>
        <w:ind w:left="1260" w:hanging="540"/>
        <w:outlineLvl w:val="9"/>
        <w:rPr>
          <w:rFonts w:ascii="Arial" w:hAnsi="Arial" w:cs="Arial"/>
          <w:sz w:val="22"/>
          <w:szCs w:val="22"/>
          <w:lang w:val="es-ES_tradnl"/>
        </w:rPr>
      </w:pPr>
      <w:r w:rsidRPr="00D848CE">
        <w:rPr>
          <w:rFonts w:ascii="Arial" w:eastAsia="Arial" w:hAnsi="Arial" w:cs="Arial"/>
          <w:b/>
          <w:bCs/>
          <w:sz w:val="22"/>
          <w:szCs w:val="22"/>
          <w:lang w:val="es-ES_tradnl"/>
        </w:rPr>
        <w:t>Inadecuado marco organizacional y normativo</w:t>
      </w:r>
      <w:r w:rsidRPr="00D848CE">
        <w:rPr>
          <w:rFonts w:ascii="Arial" w:hAnsi="Arial" w:cs="Arial"/>
          <w:b/>
          <w:sz w:val="22"/>
          <w:szCs w:val="22"/>
          <w:lang w:val="es-ES_tradnl"/>
        </w:rPr>
        <w:t>:</w:t>
      </w:r>
      <w:r w:rsidRPr="00D848CE">
        <w:rPr>
          <w:rFonts w:ascii="Arial" w:hAnsi="Arial" w:cs="Arial"/>
          <w:sz w:val="22"/>
          <w:szCs w:val="22"/>
          <w:lang w:val="es-ES_tradnl"/>
        </w:rPr>
        <w:t xml:space="preserve"> (i)</w:t>
      </w:r>
      <w:r w:rsidRPr="00D848CE">
        <w:rPr>
          <w:rFonts w:ascii="Arial" w:hAnsi="Arial" w:cs="Arial"/>
          <w:b/>
          <w:sz w:val="22"/>
          <w:szCs w:val="22"/>
          <w:lang w:val="es-ES_tradnl"/>
        </w:rPr>
        <w:t xml:space="preserve"> </w:t>
      </w:r>
      <w:r w:rsidRPr="00D848CE">
        <w:rPr>
          <w:rFonts w:ascii="Arial" w:hAnsi="Arial" w:cs="Arial"/>
          <w:sz w:val="22"/>
          <w:szCs w:val="22"/>
          <w:lang w:val="es-ES_tradnl"/>
        </w:rPr>
        <w:t xml:space="preserve">la </w:t>
      </w:r>
      <w:hyperlink r:id="rId8" w:history="1">
        <w:r w:rsidRPr="00D848CE">
          <w:rPr>
            <w:rStyle w:val="Hyperlink"/>
            <w:rFonts w:ascii="Arial" w:hAnsi="Arial" w:cs="Arial"/>
            <w:sz w:val="22"/>
            <w:szCs w:val="22"/>
            <w:lang w:val="es-ES_tradnl"/>
          </w:rPr>
          <w:t>estructura organizacional de la Dirección General de Ingresos Internos (DGII</w:t>
        </w:r>
      </w:hyperlink>
      <w:r w:rsidRPr="00D848CE">
        <w:rPr>
          <w:rStyle w:val="Hyperlink"/>
          <w:rFonts w:ascii="Arial" w:hAnsi="Arial" w:cs="Arial"/>
          <w:sz w:val="22"/>
          <w:szCs w:val="22"/>
          <w:lang w:val="es-ES_tradnl"/>
        </w:rPr>
        <w:t xml:space="preserve">) </w:t>
      </w:r>
      <w:r w:rsidRPr="00D848CE">
        <w:rPr>
          <w:rFonts w:ascii="Arial" w:hAnsi="Arial" w:cs="Arial"/>
          <w:sz w:val="22"/>
          <w:szCs w:val="22"/>
          <w:lang w:val="es-ES_tradnl"/>
        </w:rPr>
        <w:t xml:space="preserve">no establece una adecuada separación entre las funciones normativas y operativas, ni se sustenta en una visión integrada de procesos. </w:t>
      </w:r>
      <w:r w:rsidRPr="00D848CE">
        <w:rPr>
          <w:rFonts w:ascii="Arial" w:hAnsi="Arial" w:cs="Arial"/>
          <w:bCs/>
          <w:sz w:val="22"/>
          <w:szCs w:val="22"/>
          <w:lang w:val="es-ES_tradnl"/>
        </w:rPr>
        <w:t>La medición de la gestión se observa en compartimentos estancos</w:t>
      </w:r>
      <w:r w:rsidRPr="00D848CE">
        <w:rPr>
          <w:rStyle w:val="FootnoteReference"/>
          <w:rFonts w:ascii="Arial" w:hAnsi="Arial" w:cs="Arial"/>
          <w:bCs/>
          <w:sz w:val="22"/>
          <w:szCs w:val="22"/>
          <w:lang w:val="es-ES_tradnl"/>
        </w:rPr>
        <w:footnoteReference w:id="13"/>
      </w:r>
      <w:r w:rsidRPr="00D848CE">
        <w:rPr>
          <w:rFonts w:ascii="Arial" w:hAnsi="Arial" w:cs="Arial"/>
          <w:sz w:val="22"/>
          <w:szCs w:val="22"/>
          <w:lang w:val="es-ES_tradnl"/>
        </w:rPr>
        <w:t xml:space="preserve">. No hay </w:t>
      </w:r>
      <w:r w:rsidRPr="00D848CE">
        <w:rPr>
          <w:rFonts w:ascii="Arial" w:hAnsi="Arial" w:cs="Arial"/>
          <w:bCs/>
          <w:sz w:val="22"/>
          <w:szCs w:val="22"/>
          <w:lang w:val="es-ES_tradnl"/>
        </w:rPr>
        <w:t xml:space="preserve">indicadores estratégicos y operacionales que muestren resultados por unidades y procesos centrales del negocio </w:t>
      </w:r>
      <w:r w:rsidRPr="00D848CE">
        <w:rPr>
          <w:rFonts w:ascii="Arial" w:hAnsi="Arial" w:cs="Arial"/>
          <w:sz w:val="22"/>
          <w:szCs w:val="22"/>
          <w:lang w:val="es-ES_tradnl"/>
        </w:rPr>
        <w:t>(</w:t>
      </w:r>
      <w:hyperlink r:id="rId9" w:history="1">
        <w:r w:rsidRPr="00D848CE">
          <w:rPr>
            <w:rStyle w:val="Hyperlink"/>
            <w:rFonts w:ascii="Arial" w:hAnsi="Arial" w:cs="Arial"/>
            <w:i/>
            <w:sz w:val="22"/>
            <w:szCs w:val="22"/>
            <w:lang w:val="es-ES_tradnl"/>
          </w:rPr>
          <w:t xml:space="preserve">Fiscal Affairs Department </w:t>
        </w:r>
        <w:r w:rsidRPr="00D848CE">
          <w:rPr>
            <w:rStyle w:val="Hyperlink"/>
            <w:rFonts w:ascii="Arial" w:hAnsi="Arial" w:cs="Arial"/>
            <w:sz w:val="22"/>
            <w:szCs w:val="22"/>
            <w:lang w:val="es-ES_tradnl"/>
          </w:rPr>
          <w:t>(FAD) - 2016</w:t>
        </w:r>
      </w:hyperlink>
      <w:r w:rsidRPr="00D848CE">
        <w:rPr>
          <w:rFonts w:ascii="Arial" w:hAnsi="Arial" w:cs="Arial"/>
          <w:bCs/>
          <w:sz w:val="22"/>
          <w:szCs w:val="22"/>
          <w:lang w:val="es-ES_tradnl"/>
        </w:rPr>
        <w:t>, párrafos 12-15</w:t>
      </w:r>
      <w:r w:rsidRPr="00D848CE">
        <w:rPr>
          <w:rFonts w:ascii="Arial" w:hAnsi="Arial" w:cs="Arial"/>
          <w:sz w:val="22"/>
          <w:szCs w:val="22"/>
          <w:lang w:val="es-ES_tradnl"/>
        </w:rPr>
        <w:t>)</w:t>
      </w:r>
      <w:r w:rsidRPr="00D848CE">
        <w:rPr>
          <w:rStyle w:val="FootnoteReference"/>
          <w:rFonts w:ascii="Arial" w:hAnsi="Arial" w:cs="Arial"/>
          <w:sz w:val="22"/>
          <w:szCs w:val="22"/>
          <w:lang w:val="es-ES_tradnl"/>
        </w:rPr>
        <w:footnoteReference w:id="14"/>
      </w:r>
      <w:r w:rsidRPr="00D848CE">
        <w:rPr>
          <w:rFonts w:ascii="Arial" w:hAnsi="Arial" w:cs="Arial"/>
          <w:sz w:val="22"/>
          <w:szCs w:val="22"/>
          <w:lang w:val="es-ES_tradnl"/>
        </w:rPr>
        <w:t xml:space="preserve">; (ii) el marco regulatorio y los procesos operativos están </w:t>
      </w:r>
      <w:r w:rsidRPr="00D848CE">
        <w:rPr>
          <w:rFonts w:ascii="Arial" w:hAnsi="Arial" w:cs="Arial"/>
          <w:sz w:val="22"/>
          <w:szCs w:val="22"/>
          <w:lang w:val="es-ES_tradnl"/>
        </w:rPr>
        <w:lastRenderedPageBreak/>
        <w:t>desactualizados; y (iii) la DGII no cuenta con un plan específico para la retención del talento humano (</w:t>
      </w:r>
      <w:r w:rsidRPr="00D848CE">
        <w:rPr>
          <w:rFonts w:ascii="Arial" w:hAnsi="Arial" w:cs="Arial"/>
          <w:bCs/>
          <w:sz w:val="22"/>
          <w:szCs w:val="22"/>
          <w:lang w:val="es-ES_tradnl"/>
        </w:rPr>
        <w:t>FAD, 2016, párr. 20</w:t>
      </w:r>
      <w:r w:rsidRPr="00D848CE">
        <w:rPr>
          <w:rFonts w:ascii="Arial" w:hAnsi="Arial" w:cs="Arial"/>
          <w:sz w:val="22"/>
          <w:szCs w:val="22"/>
          <w:lang w:val="es-ES_tradnl"/>
        </w:rPr>
        <w:t>)</w:t>
      </w:r>
      <w:r w:rsidRPr="00D848CE">
        <w:rPr>
          <w:rStyle w:val="FootnoteReference"/>
          <w:rFonts w:ascii="Arial" w:hAnsi="Arial" w:cs="Arial"/>
          <w:sz w:val="22"/>
          <w:szCs w:val="22"/>
          <w:lang w:val="es-ES_tradnl"/>
        </w:rPr>
        <w:footnoteReference w:id="15"/>
      </w:r>
      <w:r w:rsidRPr="00D848CE">
        <w:rPr>
          <w:rFonts w:ascii="Arial" w:hAnsi="Arial" w:cs="Arial"/>
          <w:sz w:val="22"/>
          <w:szCs w:val="22"/>
          <w:vertAlign w:val="superscript"/>
          <w:lang w:val="es-ES_tradnl"/>
        </w:rPr>
        <w:t>,</w:t>
      </w:r>
      <w:r w:rsidRPr="00D848CE">
        <w:rPr>
          <w:rStyle w:val="FootnoteReference"/>
          <w:rFonts w:ascii="Arial" w:hAnsi="Arial" w:cs="Arial"/>
          <w:sz w:val="22"/>
          <w:szCs w:val="22"/>
          <w:lang w:val="es-ES_tradnl"/>
        </w:rPr>
        <w:footnoteReference w:id="16"/>
      </w:r>
      <w:r w:rsidRPr="00D848CE">
        <w:rPr>
          <w:rFonts w:ascii="Arial" w:hAnsi="Arial" w:cs="Arial"/>
          <w:sz w:val="22"/>
          <w:szCs w:val="22"/>
          <w:lang w:val="es-ES_tradnl"/>
        </w:rPr>
        <w:t xml:space="preserve"> ni una sistemática </w:t>
      </w:r>
      <w:r w:rsidRPr="00D848CE">
        <w:rPr>
          <w:rFonts w:ascii="Arial" w:hAnsi="Arial" w:cs="Arial"/>
          <w:bCs/>
          <w:sz w:val="22"/>
          <w:szCs w:val="22"/>
          <w:lang w:val="es-ES_tradnl"/>
        </w:rPr>
        <w:t>capacitación del personal</w:t>
      </w:r>
      <w:r w:rsidR="00BD3372" w:rsidRPr="00D848CE">
        <w:rPr>
          <w:rFonts w:ascii="Arial" w:hAnsi="Arial" w:cs="Arial"/>
          <w:sz w:val="22"/>
          <w:szCs w:val="22"/>
          <w:lang w:val="es-ES_tradnl"/>
        </w:rPr>
        <w:t xml:space="preserve">. </w:t>
      </w:r>
    </w:p>
    <w:p w14:paraId="663D4073" w14:textId="5C3E67EF" w:rsidR="00BD3372" w:rsidRPr="00D848CE" w:rsidRDefault="00E664AF" w:rsidP="008B5547">
      <w:pPr>
        <w:pStyle w:val="subpar"/>
        <w:numPr>
          <w:ilvl w:val="2"/>
          <w:numId w:val="2"/>
        </w:numPr>
        <w:tabs>
          <w:tab w:val="clear" w:pos="2304"/>
          <w:tab w:val="num" w:pos="1296"/>
          <w:tab w:val="num" w:pos="1440"/>
        </w:tabs>
        <w:ind w:left="1260" w:hanging="540"/>
        <w:outlineLvl w:val="9"/>
        <w:rPr>
          <w:rFonts w:ascii="Arial" w:hAnsi="Arial" w:cs="Arial"/>
          <w:sz w:val="22"/>
          <w:szCs w:val="22"/>
          <w:lang w:val="es-ES_tradnl"/>
        </w:rPr>
      </w:pPr>
      <w:r w:rsidRPr="00D848CE">
        <w:rPr>
          <w:rFonts w:ascii="Arial" w:hAnsi="Arial" w:cs="Arial"/>
          <w:b/>
          <w:sz w:val="22"/>
          <w:szCs w:val="22"/>
          <w:lang w:val="es-ES_tradnl"/>
        </w:rPr>
        <w:t>Debilidades en los procesos para la facilitación y el control del cumplimiento de las obligaciones tributarias, que se evidencian en:</w:t>
      </w:r>
      <w:r w:rsidRPr="00D848CE">
        <w:rPr>
          <w:rFonts w:ascii="Arial" w:hAnsi="Arial" w:cs="Arial"/>
          <w:sz w:val="22"/>
          <w:szCs w:val="22"/>
          <w:lang w:val="es-ES_tradnl"/>
        </w:rPr>
        <w:t xml:space="preserve"> (i) el Registro Nacional de Contribuyentes (RNC) está desactualizado</w:t>
      </w:r>
      <w:r w:rsidRPr="00D848CE">
        <w:rPr>
          <w:rFonts w:ascii="Arial" w:hAnsi="Arial" w:cs="Arial"/>
          <w:sz w:val="22"/>
          <w:szCs w:val="22"/>
          <w:vertAlign w:val="superscript"/>
          <w:lang w:val="es-ES_tradnl"/>
        </w:rPr>
        <w:footnoteReference w:id="17"/>
      </w:r>
      <w:r w:rsidRPr="00D848CE">
        <w:rPr>
          <w:rFonts w:ascii="Arial" w:hAnsi="Arial" w:cs="Arial"/>
          <w:sz w:val="22"/>
          <w:szCs w:val="22"/>
          <w:lang w:val="es-ES_tradnl"/>
        </w:rPr>
        <w:t>, incompleto</w:t>
      </w:r>
      <w:r w:rsidRPr="00D848CE">
        <w:rPr>
          <w:rStyle w:val="FootnoteReference"/>
          <w:rFonts w:ascii="Arial" w:hAnsi="Arial" w:cs="Arial"/>
          <w:sz w:val="22"/>
          <w:szCs w:val="22"/>
          <w:lang w:val="es-ES_tradnl"/>
        </w:rPr>
        <w:footnoteReference w:id="18"/>
      </w:r>
      <w:r w:rsidRPr="00D848CE">
        <w:rPr>
          <w:rFonts w:ascii="Arial" w:hAnsi="Arial" w:cs="Arial"/>
          <w:sz w:val="22"/>
          <w:szCs w:val="22"/>
          <w:lang w:val="es-ES_tradnl"/>
        </w:rPr>
        <w:t xml:space="preserve"> y además</w:t>
      </w:r>
      <w:r w:rsidRPr="00D848CE">
        <w:rPr>
          <w:rFonts w:ascii="Arial" w:hAnsi="Arial" w:cs="Arial"/>
          <w:bCs/>
          <w:sz w:val="22"/>
          <w:szCs w:val="22"/>
          <w:lang w:val="es-ES_tradnl"/>
        </w:rPr>
        <w:t xml:space="preserve"> </w:t>
      </w:r>
      <w:r w:rsidRPr="00D848CE">
        <w:rPr>
          <w:rFonts w:ascii="Arial" w:hAnsi="Arial" w:cs="Arial"/>
          <w:sz w:val="22"/>
          <w:szCs w:val="22"/>
          <w:lang w:val="es-ES_tradnl"/>
        </w:rPr>
        <w:t>no se disponen de controles para combatir la creación de empresas fachada</w:t>
      </w:r>
      <w:r w:rsidRPr="00D848CE">
        <w:rPr>
          <w:rStyle w:val="FootnoteReference"/>
          <w:rFonts w:ascii="Arial" w:hAnsi="Arial" w:cs="Arial"/>
          <w:sz w:val="22"/>
          <w:szCs w:val="22"/>
          <w:lang w:val="es-ES_tradnl"/>
        </w:rPr>
        <w:footnoteReference w:id="19"/>
      </w:r>
      <w:r w:rsidRPr="00D848CE">
        <w:rPr>
          <w:rFonts w:ascii="Arial" w:hAnsi="Arial" w:cs="Arial"/>
          <w:sz w:val="22"/>
          <w:szCs w:val="22"/>
          <w:lang w:val="es-ES_tradnl"/>
        </w:rPr>
        <w:t xml:space="preserve"> (Reporte Misión en AT. Desarrollo de un Plan de Acción para la Reforma de la DGII. FMI, 2013, párr. 27); (ii) la cuenta corriente del contribuyente</w:t>
      </w:r>
      <w:r w:rsidRPr="00D848CE">
        <w:rPr>
          <w:rFonts w:ascii="Arial" w:hAnsi="Arial" w:cs="Arial"/>
          <w:sz w:val="22"/>
          <w:szCs w:val="22"/>
          <w:vertAlign w:val="superscript"/>
          <w:lang w:val="es-ES_tradnl"/>
        </w:rPr>
        <w:footnoteReference w:id="20"/>
      </w:r>
      <w:r w:rsidRPr="00D848CE">
        <w:rPr>
          <w:rFonts w:ascii="Arial" w:hAnsi="Arial" w:cs="Arial"/>
          <w:sz w:val="22"/>
          <w:szCs w:val="22"/>
          <w:lang w:val="es-ES_tradnl"/>
        </w:rPr>
        <w:t xml:space="preserve"> está incompleta, los acuerdos de pagos y las devoluciones se registran y procesan manualmente (FAD, 2016, párr. 34); (iii) los costos de cumplimiento de las obligaciones tributarias son elevados</w:t>
      </w:r>
      <w:r w:rsidRPr="00D848CE">
        <w:rPr>
          <w:rFonts w:ascii="Arial" w:hAnsi="Arial" w:cs="Arial"/>
          <w:sz w:val="22"/>
          <w:szCs w:val="22"/>
          <w:vertAlign w:val="superscript"/>
          <w:lang w:val="es-ES_tradnl"/>
        </w:rPr>
        <w:footnoteReference w:id="21"/>
      </w:r>
      <w:r w:rsidRPr="00D848CE">
        <w:rPr>
          <w:rFonts w:ascii="Arial" w:hAnsi="Arial" w:cs="Arial"/>
          <w:sz w:val="22"/>
          <w:szCs w:val="22"/>
          <w:lang w:val="es-ES_tradnl"/>
        </w:rPr>
        <w:t>. La atención al contribuyente es principalmente presencial,</w:t>
      </w:r>
      <w:r w:rsidRPr="00D848CE">
        <w:rPr>
          <w:rFonts w:ascii="Arial" w:hAnsi="Arial" w:cs="Arial"/>
          <w:bCs/>
          <w:sz w:val="22"/>
          <w:szCs w:val="22"/>
          <w:lang w:val="es-ES_tradnl"/>
        </w:rPr>
        <w:t xml:space="preserve"> lo que junto a una normativa desactualizada no garantiza la homogeneidad en el tratamiento de los contribuyentes</w:t>
      </w:r>
      <w:r w:rsidRPr="00D848CE">
        <w:rPr>
          <w:rStyle w:val="FootnoteReference"/>
          <w:rFonts w:ascii="Arial" w:hAnsi="Arial" w:cs="Arial"/>
          <w:bCs/>
          <w:sz w:val="22"/>
          <w:szCs w:val="22"/>
          <w:lang w:val="es-ES_tradnl"/>
        </w:rPr>
        <w:footnoteReference w:id="22"/>
      </w:r>
      <w:r w:rsidRPr="00D848CE">
        <w:rPr>
          <w:rFonts w:ascii="Arial" w:hAnsi="Arial" w:cs="Arial"/>
          <w:bCs/>
          <w:sz w:val="22"/>
          <w:szCs w:val="22"/>
          <w:lang w:val="es-ES_tradnl"/>
        </w:rPr>
        <w:t>;</w:t>
      </w:r>
      <w:r w:rsidRPr="00D848CE">
        <w:rPr>
          <w:rFonts w:ascii="Arial" w:hAnsi="Arial" w:cs="Arial"/>
          <w:sz w:val="22"/>
          <w:szCs w:val="22"/>
          <w:lang w:val="es-ES_tradnl"/>
        </w:rPr>
        <w:t xml:space="preserve"> (iv) no se controla integralmente el proceso de facturación, limitándose al control de la autorización de los comprobantes fiscales, sin establecer límites al número autorizado por actividad, volumen de transacciones y conducta tributaria del solicitante (FAD, 2016, párr. 21). </w:t>
      </w:r>
      <w:r w:rsidRPr="00D848CE">
        <w:rPr>
          <w:rFonts w:ascii="Arial" w:hAnsi="Arial" w:cs="Arial"/>
          <w:bCs/>
          <w:sz w:val="22"/>
          <w:szCs w:val="22"/>
          <w:lang w:val="es-ES_tradnl"/>
        </w:rPr>
        <w:t>Adicionalmente, no se observa un control integral en el proceso de devolución y compensaciones</w:t>
      </w:r>
      <w:r w:rsidRPr="00D848CE">
        <w:rPr>
          <w:rFonts w:ascii="Arial" w:hAnsi="Arial" w:cs="Arial"/>
          <w:bCs/>
          <w:sz w:val="22"/>
          <w:szCs w:val="22"/>
          <w:vertAlign w:val="superscript"/>
          <w:lang w:val="es-ES_tradnl"/>
        </w:rPr>
        <w:footnoteReference w:id="23"/>
      </w:r>
      <w:r w:rsidRPr="00D848CE">
        <w:rPr>
          <w:rFonts w:ascii="Arial" w:hAnsi="Arial" w:cs="Arial"/>
          <w:sz w:val="22"/>
          <w:szCs w:val="22"/>
          <w:lang w:val="es-ES_tradnl"/>
        </w:rPr>
        <w:t>; (v) el proceso de cobranza está fragmentado, no tiene una supervisión efectiva y está poco automatizado</w:t>
      </w:r>
      <w:r w:rsidRPr="00D848CE">
        <w:rPr>
          <w:rFonts w:ascii="Arial" w:hAnsi="Arial" w:cs="Arial"/>
          <w:sz w:val="22"/>
          <w:szCs w:val="22"/>
          <w:vertAlign w:val="superscript"/>
          <w:lang w:val="es-ES_tradnl"/>
        </w:rPr>
        <w:footnoteReference w:id="24"/>
      </w:r>
      <w:r w:rsidRPr="00D848CE">
        <w:rPr>
          <w:rFonts w:ascii="Arial" w:hAnsi="Arial" w:cs="Arial"/>
          <w:sz w:val="22"/>
          <w:szCs w:val="22"/>
          <w:lang w:val="es-ES_tradnl"/>
        </w:rPr>
        <w:t xml:space="preserve"> </w:t>
      </w:r>
      <w:r w:rsidRPr="00D848CE">
        <w:rPr>
          <w:rFonts w:ascii="Arial" w:hAnsi="Arial" w:cs="Arial"/>
          <w:sz w:val="22"/>
          <w:szCs w:val="22"/>
          <w:lang w:val="es-ES_tradnl"/>
        </w:rPr>
        <w:lastRenderedPageBreak/>
        <w:t xml:space="preserve">(FAD, 2016, párr. 21 y </w:t>
      </w:r>
      <w:hyperlink r:id="rId10" w:history="1">
        <w:r w:rsidRPr="00D848CE">
          <w:rPr>
            <w:rStyle w:val="Hyperlink"/>
            <w:rFonts w:ascii="Arial" w:eastAsia="Arial" w:hAnsi="Arial" w:cs="Arial"/>
            <w:sz w:val="22"/>
            <w:szCs w:val="22"/>
            <w:lang w:val="es-ES_tradnl"/>
          </w:rPr>
          <w:t>Plan Estratégico de Tecnología de la Información</w:t>
        </w:r>
      </w:hyperlink>
      <w:r w:rsidRPr="00D848CE">
        <w:rPr>
          <w:rFonts w:ascii="Arial" w:eastAsia="Arial" w:hAnsi="Arial" w:cs="Arial"/>
          <w:sz w:val="22"/>
          <w:szCs w:val="22"/>
          <w:lang w:val="es-ES_tradnl"/>
        </w:rPr>
        <w:t xml:space="preserve"> (</w:t>
      </w:r>
      <w:r w:rsidRPr="00D848CE">
        <w:rPr>
          <w:rFonts w:ascii="Arial" w:hAnsi="Arial" w:cs="Arial"/>
          <w:sz w:val="22"/>
          <w:szCs w:val="22"/>
          <w:lang w:val="es-ES_tradnl"/>
        </w:rPr>
        <w:t xml:space="preserve">PETI) </w:t>
      </w:r>
      <w:r w:rsidRPr="00D848CE">
        <w:rPr>
          <w:rFonts w:ascii="Arial" w:eastAsia="Arial" w:hAnsi="Arial" w:cs="Arial"/>
          <w:sz w:val="22"/>
          <w:szCs w:val="22"/>
          <w:lang w:val="es-ES_tradnl"/>
        </w:rPr>
        <w:t xml:space="preserve">2017-2020, </w:t>
      </w:r>
      <w:r w:rsidRPr="00D848CE">
        <w:rPr>
          <w:rFonts w:ascii="Arial" w:hAnsi="Arial" w:cs="Arial"/>
          <w:sz w:val="22"/>
          <w:szCs w:val="22"/>
          <w:lang w:val="es-ES_tradnl"/>
        </w:rPr>
        <w:t>párr. 23). No se miden los resultados de la cobranza ni se controla el cierre de ciclo</w:t>
      </w:r>
      <w:r w:rsidRPr="00D848CE">
        <w:rPr>
          <w:rFonts w:ascii="Arial" w:hAnsi="Arial" w:cs="Arial"/>
          <w:bCs/>
          <w:sz w:val="22"/>
          <w:szCs w:val="22"/>
          <w:lang w:val="es-ES_tradnl"/>
        </w:rPr>
        <w:t xml:space="preserve">; </w:t>
      </w:r>
      <w:r w:rsidRPr="00D848CE">
        <w:rPr>
          <w:rFonts w:ascii="Arial" w:hAnsi="Arial" w:cs="Arial"/>
          <w:sz w:val="22"/>
          <w:szCs w:val="22"/>
          <w:lang w:val="es-ES_tradnl"/>
        </w:rPr>
        <w:t>y (vi) la cobertura de las actividades de fiscalización es limitada</w:t>
      </w:r>
      <w:r w:rsidRPr="00D848CE">
        <w:rPr>
          <w:rFonts w:ascii="Arial" w:hAnsi="Arial" w:cs="Arial"/>
          <w:sz w:val="22"/>
          <w:szCs w:val="22"/>
          <w:vertAlign w:val="superscript"/>
          <w:lang w:val="es-ES_tradnl"/>
        </w:rPr>
        <w:footnoteReference w:id="25"/>
      </w:r>
      <w:r w:rsidRPr="00D848CE">
        <w:rPr>
          <w:rFonts w:ascii="Arial" w:hAnsi="Arial" w:cs="Arial"/>
          <w:sz w:val="22"/>
          <w:szCs w:val="22"/>
          <w:lang w:val="es-ES_tradnl"/>
        </w:rPr>
        <w:t xml:space="preserve"> y el análisis de riesgo está en etapas iniciales de desarrollo (FAD, 2016, párr. 24). A su vez, e</w:t>
      </w:r>
      <w:r w:rsidRPr="00D848CE">
        <w:rPr>
          <w:rFonts w:ascii="Arial" w:hAnsi="Arial" w:cs="Arial"/>
          <w:bCs/>
          <w:sz w:val="22"/>
          <w:szCs w:val="22"/>
          <w:lang w:val="es-ES_tradnl"/>
        </w:rPr>
        <w:t>l ciclo de control de cumplimiento del contribuyente está fragmentado entre distintas áreas de la AT</w:t>
      </w:r>
      <w:r w:rsidRPr="00D848CE">
        <w:rPr>
          <w:rFonts w:ascii="Arial" w:hAnsi="Arial" w:cs="Arial"/>
          <w:sz w:val="22"/>
          <w:szCs w:val="22"/>
          <w:vertAlign w:val="superscript"/>
          <w:lang w:val="es-ES_tradnl"/>
        </w:rPr>
        <w:footnoteReference w:id="26"/>
      </w:r>
      <w:r w:rsidRPr="00D848CE">
        <w:rPr>
          <w:rFonts w:ascii="Arial" w:hAnsi="Arial" w:cs="Arial"/>
          <w:bCs/>
          <w:sz w:val="22"/>
          <w:szCs w:val="22"/>
          <w:lang w:val="es-ES_tradnl"/>
        </w:rPr>
        <w:t>. Como resultado, existe una baja percepción de riesgo para el contribuyente</w:t>
      </w:r>
      <w:r w:rsidRPr="00D848CE">
        <w:rPr>
          <w:rFonts w:ascii="Arial" w:hAnsi="Arial" w:cs="Arial"/>
          <w:bCs/>
          <w:sz w:val="22"/>
          <w:szCs w:val="22"/>
          <w:vertAlign w:val="superscript"/>
          <w:lang w:val="es-ES_tradnl"/>
        </w:rPr>
        <w:footnoteReference w:id="27"/>
      </w:r>
      <w:r w:rsidRPr="00D848CE">
        <w:rPr>
          <w:rFonts w:ascii="Arial" w:hAnsi="Arial" w:cs="Arial"/>
          <w:bCs/>
          <w:sz w:val="22"/>
          <w:szCs w:val="22"/>
          <w:lang w:val="es-ES_tradnl"/>
        </w:rPr>
        <w:t>.</w:t>
      </w:r>
    </w:p>
    <w:p w14:paraId="56DE57DD" w14:textId="77777777" w:rsidR="00244D6C" w:rsidRPr="00D848CE" w:rsidRDefault="00BD3372" w:rsidP="00727BF2">
      <w:pPr>
        <w:pStyle w:val="subpar"/>
        <w:keepNext/>
        <w:numPr>
          <w:ilvl w:val="2"/>
          <w:numId w:val="2"/>
        </w:numPr>
        <w:tabs>
          <w:tab w:val="clear" w:pos="2304"/>
          <w:tab w:val="num" w:pos="1296"/>
          <w:tab w:val="num" w:pos="1440"/>
        </w:tabs>
        <w:ind w:left="1267" w:hanging="547"/>
        <w:outlineLvl w:val="9"/>
        <w:rPr>
          <w:rFonts w:ascii="Arial" w:hAnsi="Arial" w:cs="Arial"/>
          <w:sz w:val="22"/>
          <w:szCs w:val="22"/>
          <w:lang w:val="pt-BR"/>
        </w:rPr>
      </w:pPr>
      <w:r w:rsidRPr="00D848CE">
        <w:rPr>
          <w:rFonts w:ascii="Arial" w:hAnsi="Arial" w:cs="Arial"/>
          <w:b/>
          <w:sz w:val="22"/>
          <w:szCs w:val="22"/>
          <w:lang w:val="pt-BR"/>
        </w:rPr>
        <w:t xml:space="preserve">Sistemas e </w:t>
      </w:r>
      <w:r w:rsidR="00B41BE5" w:rsidRPr="00D848CE">
        <w:rPr>
          <w:rFonts w:ascii="Arial" w:hAnsi="Arial" w:cs="Arial"/>
          <w:b/>
          <w:sz w:val="22"/>
          <w:szCs w:val="22"/>
          <w:lang w:val="pt-BR"/>
        </w:rPr>
        <w:t>infraestructura</w:t>
      </w:r>
      <w:r w:rsidRPr="00D848CE">
        <w:rPr>
          <w:rFonts w:ascii="Arial" w:hAnsi="Arial" w:cs="Arial"/>
          <w:b/>
          <w:sz w:val="22"/>
          <w:szCs w:val="22"/>
          <w:lang w:val="pt-BR"/>
        </w:rPr>
        <w:t xml:space="preserve"> tecnológica obsoleta e incompleta</w:t>
      </w:r>
      <w:r w:rsidRPr="00D848CE">
        <w:rPr>
          <w:rFonts w:ascii="Arial" w:hAnsi="Arial" w:cs="Arial"/>
          <w:sz w:val="22"/>
          <w:szCs w:val="22"/>
          <w:lang w:val="pt-BR"/>
        </w:rPr>
        <w:t xml:space="preserve">: </w:t>
      </w:r>
    </w:p>
    <w:p w14:paraId="2ADD9C31" w14:textId="77777777" w:rsidR="00244D6C" w:rsidRPr="00D848CE" w:rsidRDefault="00BA4FC5" w:rsidP="008B5547">
      <w:pPr>
        <w:pStyle w:val="SubSubPar"/>
        <w:numPr>
          <w:ilvl w:val="3"/>
          <w:numId w:val="2"/>
        </w:numPr>
        <w:tabs>
          <w:tab w:val="clear" w:pos="1584"/>
          <w:tab w:val="clear" w:pos="2736"/>
        </w:tabs>
        <w:ind w:left="1296"/>
        <w:outlineLvl w:val="9"/>
        <w:rPr>
          <w:rFonts w:ascii="Arial" w:eastAsia="Arial" w:hAnsi="Arial" w:cs="Arial"/>
          <w:sz w:val="22"/>
          <w:szCs w:val="22"/>
          <w:lang w:val="es-ES_tradnl"/>
        </w:rPr>
      </w:pPr>
      <w:r w:rsidRPr="00D848CE">
        <w:rPr>
          <w:rFonts w:ascii="Arial" w:eastAsia="Arial" w:hAnsi="Arial" w:cs="Arial"/>
          <w:b/>
          <w:sz w:val="22"/>
          <w:szCs w:val="22"/>
          <w:lang w:val="es-ES_tradnl"/>
        </w:rPr>
        <w:t>Limitada productividad de los procedimientos de trabajo</w:t>
      </w:r>
      <w:r w:rsidRPr="00D848CE">
        <w:rPr>
          <w:rFonts w:ascii="Arial" w:eastAsia="Arial" w:hAnsi="Arial" w:cs="Arial"/>
          <w:sz w:val="22"/>
          <w:szCs w:val="22"/>
          <w:lang w:val="es-ES_tradnl"/>
        </w:rPr>
        <w:t>: (i) los servicios que ofrece la Oficina Virtual (OFV) son limitados</w:t>
      </w:r>
      <w:r w:rsidRPr="00D848CE">
        <w:rPr>
          <w:rFonts w:ascii="Arial" w:eastAsia="Arial" w:hAnsi="Arial" w:cs="Arial"/>
          <w:sz w:val="22"/>
          <w:szCs w:val="22"/>
          <w:vertAlign w:val="superscript"/>
          <w:lang w:val="es-ES_tradnl"/>
        </w:rPr>
        <w:footnoteReference w:id="28"/>
      </w:r>
      <w:r w:rsidRPr="00D848CE">
        <w:rPr>
          <w:rFonts w:ascii="Arial" w:eastAsia="Arial" w:hAnsi="Arial" w:cs="Arial"/>
          <w:sz w:val="22"/>
          <w:szCs w:val="22"/>
          <w:lang w:val="es-ES_tradnl"/>
        </w:rPr>
        <w:t xml:space="preserve"> y hay riesgos</w:t>
      </w:r>
      <w:r w:rsidRPr="00D848CE">
        <w:rPr>
          <w:rFonts w:ascii="Arial" w:eastAsia="Arial" w:hAnsi="Arial" w:cs="Arial"/>
          <w:sz w:val="22"/>
          <w:szCs w:val="22"/>
          <w:vertAlign w:val="superscript"/>
          <w:lang w:val="es-ES_tradnl"/>
        </w:rPr>
        <w:footnoteReference w:id="29"/>
      </w:r>
      <w:r w:rsidRPr="00D848CE">
        <w:rPr>
          <w:rFonts w:ascii="Arial" w:eastAsia="Arial" w:hAnsi="Arial" w:cs="Arial"/>
          <w:sz w:val="22"/>
          <w:szCs w:val="22"/>
          <w:lang w:val="es-ES_tradnl"/>
        </w:rPr>
        <w:t xml:space="preserve"> de seguridad; (ii) el sistema tributario se basa en un conjunto de aplicaciones que se conciben como soluciones departamentales, pero que están escasamente integradas a nivel de flujos de información y de trabajo. (Plan Estratégico de Tecnología de la Información (2017-2020), (PETI, párr. 43 y 59)</w:t>
      </w:r>
      <w:r w:rsidRPr="00D848CE">
        <w:rPr>
          <w:rStyle w:val="FootnoteReference"/>
          <w:rFonts w:ascii="Arial" w:hAnsi="Arial" w:cs="Arial"/>
          <w:bCs/>
          <w:sz w:val="22"/>
          <w:szCs w:val="22"/>
          <w:lang w:val="es-ES_tradnl"/>
        </w:rPr>
        <w:footnoteReference w:id="30"/>
      </w:r>
      <w:r w:rsidRPr="00D848CE">
        <w:rPr>
          <w:rFonts w:ascii="Arial" w:eastAsia="Arial" w:hAnsi="Arial" w:cs="Arial"/>
          <w:sz w:val="22"/>
          <w:szCs w:val="22"/>
          <w:lang w:val="es-ES_tradnl"/>
        </w:rPr>
        <w:t xml:space="preserve">; y </w:t>
      </w:r>
      <w:r w:rsidRPr="00D848CE">
        <w:rPr>
          <w:rFonts w:ascii="Arial" w:hAnsi="Arial" w:cs="Arial"/>
          <w:sz w:val="22"/>
          <w:szCs w:val="22"/>
          <w:lang w:val="es-ES_tradnl"/>
        </w:rPr>
        <w:t>(iii) no se cuenta con una base de datos corporativos que apoyen los procesos del negocio y que permitan cruce de datos con terceros. La única fuente de información externa integrada a la DGII es la seguridad social (PETI, párr. 26</w:t>
      </w:r>
      <w:r w:rsidR="00244D6C" w:rsidRPr="00D848CE">
        <w:rPr>
          <w:rFonts w:ascii="Arial" w:hAnsi="Arial" w:cs="Arial"/>
          <w:sz w:val="22"/>
          <w:szCs w:val="22"/>
          <w:lang w:val="es-ES_tradnl"/>
        </w:rPr>
        <w:t xml:space="preserve">). </w:t>
      </w:r>
    </w:p>
    <w:p w14:paraId="12BDD4A7" w14:textId="77777777" w:rsidR="009E2B9B" w:rsidRPr="00D848CE" w:rsidRDefault="00BA4FC5" w:rsidP="008B5547">
      <w:pPr>
        <w:pStyle w:val="SubSubPar"/>
        <w:numPr>
          <w:ilvl w:val="3"/>
          <w:numId w:val="2"/>
        </w:numPr>
        <w:tabs>
          <w:tab w:val="clear" w:pos="1584"/>
          <w:tab w:val="clear" w:pos="2736"/>
        </w:tabs>
        <w:ind w:left="1296"/>
        <w:outlineLvl w:val="9"/>
        <w:rPr>
          <w:rFonts w:ascii="Arial" w:hAnsi="Arial" w:cs="Arial"/>
          <w:sz w:val="22"/>
          <w:szCs w:val="22"/>
          <w:lang w:val="es-ES_tradnl"/>
        </w:rPr>
      </w:pPr>
      <w:r w:rsidRPr="00D848CE">
        <w:rPr>
          <w:rFonts w:ascii="Arial" w:hAnsi="Arial" w:cs="Arial"/>
          <w:b/>
          <w:sz w:val="22"/>
          <w:szCs w:val="22"/>
          <w:lang w:val="es-ES_tradnl"/>
        </w:rPr>
        <w:t>Limitada capacidad de soluciones informáticas</w:t>
      </w:r>
      <w:r w:rsidRPr="00D848CE">
        <w:rPr>
          <w:rFonts w:ascii="Arial" w:hAnsi="Arial" w:cs="Arial"/>
          <w:sz w:val="22"/>
          <w:szCs w:val="22"/>
          <w:lang w:val="es-ES_tradnl"/>
        </w:rPr>
        <w:t>: (i)</w:t>
      </w:r>
      <w:r w:rsidRPr="00D848CE">
        <w:rPr>
          <w:rFonts w:ascii="Arial" w:hAnsi="Arial" w:cs="Arial"/>
          <w:bCs/>
          <w:sz w:val="22"/>
          <w:szCs w:val="22"/>
          <w:lang w:val="es-ES_tradnl"/>
        </w:rPr>
        <w:t xml:space="preserve"> </w:t>
      </w:r>
      <w:r w:rsidRPr="00D848CE">
        <w:rPr>
          <w:rFonts w:ascii="Arial" w:hAnsi="Arial" w:cs="Arial"/>
          <w:sz w:val="22"/>
          <w:szCs w:val="22"/>
          <w:lang w:val="es-ES_tradnl"/>
        </w:rPr>
        <w:t>el nivel de madurez en la definición de la arquitectura es bajo</w:t>
      </w:r>
      <w:r w:rsidRPr="00D848CE">
        <w:rPr>
          <w:rStyle w:val="FootnoteReference"/>
          <w:rFonts w:ascii="Arial" w:hAnsi="Arial" w:cs="Arial"/>
          <w:sz w:val="22"/>
          <w:szCs w:val="22"/>
          <w:lang w:val="es-ES_tradnl"/>
        </w:rPr>
        <w:footnoteReference w:id="31"/>
      </w:r>
      <w:r w:rsidRPr="00D848CE">
        <w:rPr>
          <w:rFonts w:ascii="Arial" w:hAnsi="Arial" w:cs="Arial"/>
          <w:sz w:val="22"/>
          <w:szCs w:val="22"/>
          <w:lang w:val="es-ES_tradnl"/>
        </w:rPr>
        <w:t xml:space="preserve"> (PETI, párr. 60 y 180) y fue diseñado con base en la tecnología disponible hace 10 años, lo que dificulta la implementación de las nuevas </w:t>
      </w:r>
      <w:r w:rsidRPr="00D848CE">
        <w:rPr>
          <w:rFonts w:ascii="Arial" w:hAnsi="Arial" w:cs="Arial"/>
          <w:bCs/>
          <w:sz w:val="22"/>
          <w:szCs w:val="22"/>
          <w:lang w:val="es-ES_tradnl"/>
        </w:rPr>
        <w:t>funcionalidades requeridas</w:t>
      </w:r>
      <w:r w:rsidRPr="00D848CE">
        <w:rPr>
          <w:rFonts w:ascii="Arial" w:hAnsi="Arial" w:cs="Arial"/>
          <w:sz w:val="22"/>
          <w:szCs w:val="22"/>
          <w:lang w:val="es-ES_tradnl"/>
        </w:rPr>
        <w:t>; (ii) ausencia de un plan de tecnología vinculado al negocio que oriente los desarrollos y las adquisiciones que apoyan la gestión de información de la DGII (FAD, 2016, párr. 35); y (iii) el sistema de gestión administrativa-financiera y de recursos humanos (RRHH) presenta limitaciones funcionales, obsolescencia tecnológica y escasa capacidad para evolucionar el producto y mantenimiento (PETI, párr. 125-129</w:t>
      </w:r>
      <w:r w:rsidR="00BD3372" w:rsidRPr="00D848CE">
        <w:rPr>
          <w:rFonts w:ascii="Arial" w:hAnsi="Arial" w:cs="Arial"/>
          <w:bCs/>
          <w:sz w:val="22"/>
          <w:szCs w:val="22"/>
          <w:lang w:val="es-ES_tradnl"/>
        </w:rPr>
        <w:t>).</w:t>
      </w:r>
    </w:p>
    <w:p w14:paraId="724EF9BC" w14:textId="5ACF84A7" w:rsidR="00E664AF" w:rsidRPr="00D848CE" w:rsidRDefault="00E664AF" w:rsidP="008B5547">
      <w:pPr>
        <w:pStyle w:val="SubSubPar"/>
        <w:numPr>
          <w:ilvl w:val="3"/>
          <w:numId w:val="2"/>
        </w:numPr>
        <w:tabs>
          <w:tab w:val="clear" w:pos="1584"/>
          <w:tab w:val="clear" w:pos="2736"/>
        </w:tabs>
        <w:ind w:left="1296"/>
        <w:outlineLvl w:val="9"/>
        <w:rPr>
          <w:rFonts w:ascii="Arial" w:eastAsia="Arial" w:hAnsi="Arial" w:cs="Arial"/>
          <w:sz w:val="22"/>
          <w:szCs w:val="22"/>
          <w:lang w:val="es-ES_tradnl"/>
        </w:rPr>
      </w:pPr>
      <w:r w:rsidRPr="00D848CE">
        <w:rPr>
          <w:rFonts w:ascii="Arial" w:hAnsi="Arial" w:cs="Arial"/>
          <w:b/>
          <w:sz w:val="22"/>
          <w:szCs w:val="22"/>
          <w:lang w:val="es-ES_tradnl"/>
        </w:rPr>
        <w:t>Deficiente seguridad del sistema de información:</w:t>
      </w:r>
      <w:r w:rsidRPr="00D848CE">
        <w:rPr>
          <w:rFonts w:ascii="Arial" w:hAnsi="Arial" w:cs="Arial"/>
          <w:sz w:val="22"/>
          <w:szCs w:val="22"/>
          <w:lang w:val="es-ES_tradnl"/>
        </w:rPr>
        <w:t xml:space="preserve"> (i) cada aplicación ha definido su propio sistema de control lo que compromete la seguridad de la información. No todos los sistemas de accesos permiten rastrear las consultas y modificaciones que realizan los usuarios (PETI, párr. 30 y 35); y (ii) </w:t>
      </w:r>
      <w:r w:rsidRPr="00D848CE">
        <w:rPr>
          <w:rFonts w:ascii="Arial" w:hAnsi="Arial" w:cs="Arial"/>
          <w:bCs/>
          <w:sz w:val="22"/>
          <w:szCs w:val="22"/>
          <w:lang w:val="es-ES_tradnl"/>
        </w:rPr>
        <w:t xml:space="preserve">la infraestructura tecnológica actual no tiene capacidad para implementar los nuevos proyectos: </w:t>
      </w:r>
      <w:r w:rsidRPr="00D848CE">
        <w:rPr>
          <w:rFonts w:ascii="Arial" w:hAnsi="Arial" w:cs="Arial"/>
          <w:sz w:val="22"/>
          <w:szCs w:val="22"/>
          <w:lang w:val="es-ES_tradnl"/>
        </w:rPr>
        <w:t xml:space="preserve">la capacidad actual está a un 70% de utilización, el </w:t>
      </w:r>
      <w:r w:rsidRPr="00D848CE">
        <w:rPr>
          <w:rFonts w:ascii="Arial" w:hAnsi="Arial" w:cs="Arial"/>
          <w:sz w:val="22"/>
          <w:szCs w:val="22"/>
          <w:lang w:val="es-ES_tradnl"/>
        </w:rPr>
        <w:lastRenderedPageBreak/>
        <w:t xml:space="preserve">ancho de banda resulta insuficiente para ampliar servicios y el equipamiento instalado, en su mayor parte, fue adquirido hace 10 años </w:t>
      </w:r>
      <w:r w:rsidRPr="00D848CE">
        <w:rPr>
          <w:rFonts w:ascii="Arial" w:hAnsi="Arial" w:cs="Arial"/>
          <w:bCs/>
          <w:sz w:val="22"/>
          <w:szCs w:val="22"/>
          <w:lang w:val="es-ES_tradnl"/>
        </w:rPr>
        <w:t xml:space="preserve">(FAD, 2016, pág. 41 y </w:t>
      </w:r>
      <w:r w:rsidRPr="00D848CE">
        <w:rPr>
          <w:rFonts w:ascii="Arial" w:hAnsi="Arial" w:cs="Arial"/>
          <w:sz w:val="22"/>
          <w:szCs w:val="22"/>
          <w:lang w:val="es-ES_tradnl"/>
        </w:rPr>
        <w:t>PETI, párr. 180).</w:t>
      </w:r>
    </w:p>
    <w:p w14:paraId="19E403C3" w14:textId="26DACE39" w:rsidR="00244D6C" w:rsidRPr="00D848CE" w:rsidRDefault="00E664AF" w:rsidP="008B5547">
      <w:pPr>
        <w:pStyle w:val="SubSubPar"/>
        <w:numPr>
          <w:ilvl w:val="3"/>
          <w:numId w:val="2"/>
        </w:numPr>
        <w:tabs>
          <w:tab w:val="clear" w:pos="1584"/>
          <w:tab w:val="clear" w:pos="2736"/>
        </w:tabs>
        <w:ind w:left="1296"/>
        <w:outlineLvl w:val="9"/>
        <w:rPr>
          <w:rFonts w:ascii="Arial" w:eastAsia="Arial" w:hAnsi="Arial" w:cs="Arial"/>
          <w:sz w:val="22"/>
          <w:szCs w:val="22"/>
          <w:lang w:val="es-ES_tradnl"/>
        </w:rPr>
      </w:pPr>
      <w:r w:rsidRPr="00D848CE">
        <w:rPr>
          <w:rFonts w:ascii="Arial" w:hAnsi="Arial" w:cs="Arial"/>
          <w:b/>
          <w:sz w:val="22"/>
          <w:szCs w:val="22"/>
          <w:lang w:val="es-ES_tradnl"/>
        </w:rPr>
        <w:t>Débil gobierno y gestión de las Tecnologías de la Información y la Comunicación (TIC):</w:t>
      </w:r>
      <w:r w:rsidRPr="00D848CE">
        <w:rPr>
          <w:rFonts w:ascii="Arial" w:hAnsi="Arial" w:cs="Arial"/>
          <w:sz w:val="22"/>
          <w:szCs w:val="22"/>
          <w:lang w:val="es-ES_tradnl"/>
        </w:rPr>
        <w:t xml:space="preserve"> (i) no existe órgano o mecanismo que establezca las prioridades de las TIC. Existe escasa iniciativa para promover una visión integrada del sistema de información. Los aplicativos resuelven necesidades aisladas de un área, como si fueran organizaciones independientes (PETI, párr. 46-48); y (ii) la gerencia TIC está orientada a la operación de los recursos tecnológicos. Ésta sólo responde a los requerimientos de tecnología de los distintos departamentos, sin aportar valor agregado a la mejora de los procesos (PETI, párr. 55</w:t>
      </w:r>
      <w:r w:rsidRPr="00D848CE">
        <w:rPr>
          <w:rFonts w:ascii="Arial" w:hAnsi="Arial" w:cs="Arial"/>
          <w:sz w:val="22"/>
          <w:szCs w:val="22"/>
          <w:lang w:val="es-ES_tradnl"/>
        </w:rPr>
        <w:noBreakHyphen/>
        <w:t>57)</w:t>
      </w:r>
      <w:r w:rsidR="00244D6C" w:rsidRPr="00D848CE">
        <w:rPr>
          <w:rFonts w:ascii="Arial" w:hAnsi="Arial" w:cs="Arial"/>
          <w:bCs/>
          <w:sz w:val="22"/>
          <w:szCs w:val="22"/>
          <w:lang w:val="es-ES_tradnl"/>
        </w:rPr>
        <w:t>.</w:t>
      </w:r>
    </w:p>
    <w:p w14:paraId="5B711778" w14:textId="77777777" w:rsidR="00196332" w:rsidRPr="00D848CE" w:rsidRDefault="00196332" w:rsidP="008B5547">
      <w:pPr>
        <w:pStyle w:val="Paragraph"/>
        <w:numPr>
          <w:ilvl w:val="1"/>
          <w:numId w:val="2"/>
        </w:numPr>
        <w:tabs>
          <w:tab w:val="num" w:pos="720"/>
        </w:tabs>
        <w:ind w:left="720" w:hanging="720"/>
        <w:outlineLvl w:val="9"/>
        <w:rPr>
          <w:rFonts w:ascii="Arial" w:hAnsi="Arial" w:cs="Arial"/>
          <w:sz w:val="22"/>
          <w:szCs w:val="22"/>
          <w:lang w:val="es-ES_tradnl"/>
        </w:rPr>
      </w:pPr>
      <w:r w:rsidRPr="00D848CE">
        <w:rPr>
          <w:rFonts w:ascii="Arial" w:hAnsi="Arial" w:cs="Arial"/>
          <w:b/>
          <w:bCs/>
          <w:sz w:val="22"/>
          <w:szCs w:val="22"/>
          <w:lang w:val="es-ES_tradnl"/>
        </w:rPr>
        <w:t>Respecto a l</w:t>
      </w:r>
      <w:r w:rsidR="006D40CE" w:rsidRPr="00D848CE">
        <w:rPr>
          <w:rFonts w:ascii="Arial" w:hAnsi="Arial" w:cs="Arial"/>
          <w:b/>
          <w:bCs/>
          <w:sz w:val="22"/>
          <w:szCs w:val="22"/>
          <w:lang w:val="es-ES_tradnl"/>
        </w:rPr>
        <w:t>a</w:t>
      </w:r>
      <w:r w:rsidRPr="00D848CE">
        <w:rPr>
          <w:rFonts w:ascii="Arial" w:hAnsi="Arial" w:cs="Arial"/>
          <w:b/>
          <w:bCs/>
          <w:sz w:val="22"/>
          <w:szCs w:val="22"/>
          <w:lang w:val="es-ES_tradnl"/>
        </w:rPr>
        <w:t xml:space="preserve"> </w:t>
      </w:r>
      <w:r w:rsidRPr="00D848CE">
        <w:rPr>
          <w:rFonts w:ascii="Arial" w:hAnsi="Arial" w:cs="Arial"/>
          <w:b/>
          <w:sz w:val="22"/>
          <w:szCs w:val="22"/>
          <w:lang w:val="es-ES_tradnl"/>
        </w:rPr>
        <w:t xml:space="preserve">planificación y </w:t>
      </w:r>
      <w:r w:rsidR="006D40CE" w:rsidRPr="00D848CE">
        <w:rPr>
          <w:rFonts w:ascii="Arial" w:hAnsi="Arial" w:cs="Arial"/>
          <w:b/>
          <w:sz w:val="22"/>
          <w:szCs w:val="22"/>
          <w:lang w:val="es-ES_tradnl"/>
        </w:rPr>
        <w:t xml:space="preserve">gestión del presupuesto </w:t>
      </w:r>
      <w:r w:rsidRPr="00D848CE">
        <w:rPr>
          <w:rFonts w:ascii="Arial" w:hAnsi="Arial" w:cs="Arial"/>
          <w:b/>
          <w:sz w:val="22"/>
          <w:szCs w:val="22"/>
          <w:lang w:val="es-ES_tradnl"/>
        </w:rPr>
        <w:t>público</w:t>
      </w:r>
      <w:r w:rsidRPr="00D848CE">
        <w:rPr>
          <w:rFonts w:ascii="Arial" w:hAnsi="Arial" w:cs="Arial"/>
          <w:sz w:val="22"/>
          <w:szCs w:val="22"/>
          <w:lang w:val="es-ES_tradnl"/>
        </w:rPr>
        <w:t xml:space="preserve">, las debilidades más importantes son: </w:t>
      </w:r>
    </w:p>
    <w:p w14:paraId="1C9E4950" w14:textId="16368431" w:rsidR="00196332" w:rsidRPr="00D848CE" w:rsidRDefault="00E664AF" w:rsidP="008B5547">
      <w:pPr>
        <w:pStyle w:val="subpar"/>
        <w:numPr>
          <w:ilvl w:val="2"/>
          <w:numId w:val="2"/>
        </w:numPr>
        <w:tabs>
          <w:tab w:val="clear" w:pos="2304"/>
          <w:tab w:val="num" w:pos="1296"/>
          <w:tab w:val="num" w:pos="1440"/>
        </w:tabs>
        <w:ind w:left="1260" w:hanging="540"/>
        <w:outlineLvl w:val="9"/>
        <w:rPr>
          <w:rFonts w:ascii="Arial" w:hAnsi="Arial" w:cs="Arial"/>
          <w:sz w:val="22"/>
          <w:szCs w:val="22"/>
          <w:lang w:val="es-ES_tradnl"/>
        </w:rPr>
      </w:pPr>
      <w:r w:rsidRPr="00D848CE">
        <w:rPr>
          <w:rFonts w:ascii="Arial" w:hAnsi="Arial" w:cs="Arial"/>
          <w:b/>
          <w:bCs/>
          <w:sz w:val="22"/>
          <w:szCs w:val="22"/>
          <w:lang w:val="es-ES_tradnl"/>
        </w:rPr>
        <w:t>Deficiente planificación macrofiscal</w:t>
      </w:r>
      <w:r w:rsidRPr="00D848CE">
        <w:rPr>
          <w:rStyle w:val="FootnoteReference"/>
          <w:rFonts w:ascii="Arial" w:hAnsi="Arial" w:cs="Arial"/>
          <w:b/>
          <w:sz w:val="22"/>
          <w:szCs w:val="22"/>
          <w:lang w:val="es-ES_tradnl"/>
        </w:rPr>
        <w:footnoteReference w:id="32"/>
      </w:r>
      <w:r w:rsidRPr="00D848CE">
        <w:rPr>
          <w:rFonts w:ascii="Arial" w:hAnsi="Arial" w:cs="Arial"/>
          <w:b/>
          <w:sz w:val="22"/>
          <w:szCs w:val="22"/>
          <w:lang w:val="es-ES_tradnl"/>
        </w:rPr>
        <w:t>:</w:t>
      </w:r>
      <w:r w:rsidRPr="00D848CE">
        <w:rPr>
          <w:rFonts w:ascii="Arial" w:hAnsi="Arial" w:cs="Arial"/>
          <w:sz w:val="22"/>
          <w:szCs w:val="22"/>
          <w:lang w:val="es-ES_tradnl"/>
        </w:rPr>
        <w:t xml:space="preserve"> (i) carencia de instrumentos para el análisis macroeconómico y fiscal</w:t>
      </w:r>
      <w:r w:rsidRPr="00D848CE">
        <w:rPr>
          <w:rStyle w:val="FootnoteReference"/>
          <w:rFonts w:ascii="Arial" w:hAnsi="Arial" w:cs="Arial"/>
          <w:sz w:val="22"/>
          <w:szCs w:val="22"/>
          <w:lang w:val="es-ES_tradnl"/>
        </w:rPr>
        <w:footnoteReference w:id="33"/>
      </w:r>
      <w:r w:rsidRPr="00D848CE">
        <w:rPr>
          <w:rFonts w:ascii="Arial" w:hAnsi="Arial" w:cs="Arial"/>
          <w:sz w:val="22"/>
          <w:szCs w:val="22"/>
          <w:lang w:val="es-ES_tradnl"/>
        </w:rPr>
        <w:t xml:space="preserve"> y el establecimiento de metas fiscales de mediano plazo; (ii) ausencia de una metodología que permita la estimación de un Marco de Gasto de Mediano Plazo (MGMP)</w:t>
      </w:r>
      <w:r w:rsidRPr="00D848CE">
        <w:rPr>
          <w:rStyle w:val="FootnoteReference"/>
          <w:rFonts w:ascii="Arial" w:hAnsi="Arial" w:cs="Arial"/>
          <w:sz w:val="22"/>
          <w:szCs w:val="22"/>
          <w:lang w:val="es-ES_tradnl"/>
        </w:rPr>
        <w:footnoteReference w:id="34"/>
      </w:r>
      <w:r w:rsidRPr="00D848CE">
        <w:rPr>
          <w:rFonts w:ascii="Arial" w:hAnsi="Arial" w:cs="Arial"/>
          <w:sz w:val="22"/>
          <w:szCs w:val="22"/>
          <w:lang w:val="es-ES_tradnl"/>
        </w:rPr>
        <w:t>. Adicionalmente, existen redundancias de gasto en programas y unidades administrativas</w:t>
      </w:r>
      <w:r w:rsidRPr="00D848CE">
        <w:rPr>
          <w:rFonts w:ascii="Arial" w:hAnsi="Arial" w:cs="Arial"/>
          <w:sz w:val="22"/>
          <w:szCs w:val="22"/>
          <w:vertAlign w:val="superscript"/>
          <w:lang w:val="es-ES_tradnl"/>
        </w:rPr>
        <w:footnoteReference w:id="35"/>
      </w:r>
      <w:r w:rsidRPr="00D848CE">
        <w:rPr>
          <w:rFonts w:ascii="Arial" w:hAnsi="Arial" w:cs="Arial"/>
          <w:sz w:val="22"/>
          <w:szCs w:val="22"/>
          <w:lang w:val="es-ES_tradnl"/>
        </w:rPr>
        <w:t>; y (iii) la información fiscal no está consolidada. No se cuenta con herramientas, ni bases de datos para recopilar y consolidar estadísticas fiscales</w:t>
      </w:r>
      <w:r w:rsidRPr="00D848CE">
        <w:rPr>
          <w:rStyle w:val="FootnoteReference"/>
          <w:rFonts w:ascii="Arial" w:hAnsi="Arial" w:cs="Arial"/>
          <w:sz w:val="22"/>
          <w:szCs w:val="22"/>
          <w:lang w:val="es-ES_tradnl"/>
        </w:rPr>
        <w:footnoteReference w:id="36"/>
      </w:r>
      <w:r w:rsidR="00BA4FC5" w:rsidRPr="00D848CE">
        <w:rPr>
          <w:rFonts w:ascii="Arial" w:hAnsi="Arial" w:cs="Arial"/>
          <w:sz w:val="22"/>
          <w:szCs w:val="22"/>
          <w:lang w:val="es-ES_tradnl"/>
        </w:rPr>
        <w:t>.</w:t>
      </w:r>
    </w:p>
    <w:p w14:paraId="7F6F390E" w14:textId="66A3EB7F" w:rsidR="00196332" w:rsidRPr="00D848CE" w:rsidRDefault="00E664AF" w:rsidP="00AF2948">
      <w:pPr>
        <w:pStyle w:val="subpar"/>
        <w:numPr>
          <w:ilvl w:val="2"/>
          <w:numId w:val="2"/>
        </w:numPr>
        <w:tabs>
          <w:tab w:val="clear" w:pos="2304"/>
          <w:tab w:val="num" w:pos="1296"/>
          <w:tab w:val="num" w:pos="1440"/>
        </w:tabs>
        <w:ind w:left="1260" w:hanging="540"/>
        <w:outlineLvl w:val="9"/>
        <w:rPr>
          <w:rFonts w:ascii="Arial" w:hAnsi="Arial" w:cs="Arial"/>
          <w:sz w:val="22"/>
          <w:szCs w:val="22"/>
          <w:lang w:val="es-ES_tradnl"/>
        </w:rPr>
      </w:pPr>
      <w:r w:rsidRPr="00D848CE">
        <w:rPr>
          <w:rFonts w:ascii="Arial" w:hAnsi="Arial" w:cs="Arial"/>
          <w:b/>
          <w:sz w:val="22"/>
          <w:szCs w:val="22"/>
          <w:lang w:val="es-ES_tradnl"/>
        </w:rPr>
        <w:t>Incompleta funcionalidad del Sistema de Información de la Gestión Financiera (SIGEF) y deficientes procesos de ejecución presupuestaria:</w:t>
      </w:r>
      <w:r w:rsidRPr="00D848CE" w:rsidDel="001D7D42">
        <w:rPr>
          <w:rFonts w:ascii="Arial" w:hAnsi="Arial" w:cs="Arial"/>
          <w:sz w:val="22"/>
          <w:szCs w:val="22"/>
          <w:lang w:val="es-ES_tradnl"/>
        </w:rPr>
        <w:t xml:space="preserve"> </w:t>
      </w:r>
      <w:r w:rsidRPr="00D848CE">
        <w:rPr>
          <w:rFonts w:ascii="Arial" w:hAnsi="Arial" w:cs="Arial"/>
          <w:sz w:val="22"/>
          <w:szCs w:val="22"/>
          <w:lang w:val="es-ES_tradnl"/>
        </w:rPr>
        <w:t>(i) la Cuenta Única del Tesoro (CUT) no está consolidada ya que existen instituciones</w:t>
      </w:r>
      <w:r w:rsidRPr="00D848CE">
        <w:rPr>
          <w:rStyle w:val="FootnoteReference"/>
          <w:rFonts w:ascii="Arial" w:hAnsi="Arial" w:cs="Arial"/>
          <w:sz w:val="22"/>
          <w:szCs w:val="22"/>
          <w:lang w:val="es-ES_tradnl"/>
        </w:rPr>
        <w:footnoteReference w:id="37"/>
      </w:r>
      <w:r w:rsidRPr="00D848CE">
        <w:rPr>
          <w:rFonts w:ascii="Arial" w:hAnsi="Arial" w:cs="Arial"/>
          <w:sz w:val="22"/>
          <w:szCs w:val="22"/>
          <w:lang w:val="es-ES_tradnl"/>
        </w:rPr>
        <w:t xml:space="preserve"> que operan fuera de ella y se hace uso de la modalidad de ejecución de gastos por anticipo</w:t>
      </w:r>
      <w:r w:rsidRPr="00D848CE">
        <w:rPr>
          <w:rStyle w:val="FootnoteReference"/>
          <w:rFonts w:ascii="Arial" w:hAnsi="Arial" w:cs="Arial"/>
          <w:sz w:val="22"/>
          <w:szCs w:val="22"/>
          <w:lang w:val="es-ES_tradnl"/>
        </w:rPr>
        <w:footnoteReference w:id="38"/>
      </w:r>
      <w:r w:rsidRPr="00D848CE">
        <w:rPr>
          <w:rFonts w:ascii="Arial" w:hAnsi="Arial" w:cs="Arial"/>
          <w:sz w:val="22"/>
          <w:szCs w:val="22"/>
          <w:lang w:val="es-ES_tradnl"/>
        </w:rPr>
        <w:t xml:space="preserve"> y la programación de caja se centra en la gestión de pagos</w:t>
      </w:r>
      <w:r w:rsidRPr="00D848CE">
        <w:rPr>
          <w:rStyle w:val="FootnoteReference"/>
          <w:rFonts w:ascii="Arial" w:hAnsi="Arial" w:cs="Arial"/>
          <w:sz w:val="22"/>
          <w:szCs w:val="22"/>
          <w:lang w:val="es-ES_tradnl"/>
        </w:rPr>
        <w:footnoteReference w:id="39"/>
      </w:r>
      <w:r w:rsidRPr="00D848CE">
        <w:rPr>
          <w:rFonts w:ascii="Arial" w:hAnsi="Arial" w:cs="Arial"/>
          <w:sz w:val="22"/>
          <w:szCs w:val="22"/>
          <w:lang w:val="es-ES_tradnl"/>
        </w:rPr>
        <w:t>. Los gastos financiados con recursos externos se ejecutan fuera de la CUT, registrándose mediante regularización</w:t>
      </w:r>
      <w:r w:rsidRPr="00D848CE">
        <w:rPr>
          <w:rStyle w:val="FootnoteReference"/>
          <w:rFonts w:ascii="Arial" w:hAnsi="Arial" w:cs="Arial"/>
          <w:sz w:val="22"/>
          <w:szCs w:val="22"/>
          <w:lang w:val="es-ES_tradnl"/>
        </w:rPr>
        <w:footnoteReference w:id="40"/>
      </w:r>
      <w:r w:rsidRPr="00D848CE">
        <w:rPr>
          <w:rFonts w:ascii="Arial" w:hAnsi="Arial" w:cs="Arial"/>
          <w:sz w:val="22"/>
          <w:szCs w:val="22"/>
          <w:lang w:val="es-ES_tradnl"/>
        </w:rPr>
        <w:t xml:space="preserve">; (ii) el SIGEF no cuenta con interoperabilidad con algunos de los subsistemas que apoyan la ejecución presupuestaria y no provee información sobre cuentas por pagar y cobrar para preparar los balances </w:t>
      </w:r>
      <w:r w:rsidRPr="00D848CE">
        <w:rPr>
          <w:rFonts w:ascii="Arial" w:hAnsi="Arial" w:cs="Arial"/>
          <w:sz w:val="22"/>
          <w:szCs w:val="22"/>
          <w:lang w:val="es-ES_tradnl"/>
        </w:rPr>
        <w:lastRenderedPageBreak/>
        <w:t>contables</w:t>
      </w:r>
      <w:r w:rsidRPr="00D848CE">
        <w:rPr>
          <w:rStyle w:val="FootnoteReference"/>
          <w:rFonts w:ascii="Arial" w:hAnsi="Arial" w:cs="Arial"/>
          <w:bCs/>
          <w:sz w:val="22"/>
          <w:szCs w:val="22"/>
          <w:lang w:val="es-ES_tradnl"/>
        </w:rPr>
        <w:footnoteReference w:id="41"/>
      </w:r>
      <w:r w:rsidRPr="00D848CE">
        <w:rPr>
          <w:rFonts w:ascii="Arial" w:hAnsi="Arial" w:cs="Arial"/>
          <w:sz w:val="22"/>
          <w:szCs w:val="22"/>
          <w:lang w:val="es-ES_tradnl"/>
        </w:rPr>
        <w:t>, especialmente sobre ingresos devengados y deuda</w:t>
      </w:r>
      <w:r w:rsidRPr="00D848CE">
        <w:rPr>
          <w:rStyle w:val="FootnoteReference"/>
          <w:rFonts w:ascii="Arial" w:hAnsi="Arial" w:cs="Arial"/>
          <w:bCs/>
          <w:sz w:val="22"/>
          <w:szCs w:val="22"/>
          <w:lang w:val="es-ES_tradnl"/>
        </w:rPr>
        <w:footnoteReference w:id="42"/>
      </w:r>
      <w:r w:rsidRPr="00D848CE">
        <w:rPr>
          <w:rFonts w:ascii="Arial" w:hAnsi="Arial" w:cs="Arial"/>
          <w:sz w:val="22"/>
          <w:szCs w:val="22"/>
          <w:lang w:val="es-ES_tradnl"/>
        </w:rPr>
        <w:t>; (iii) el registro e inventario de bienes públicos es incompleto</w:t>
      </w:r>
      <w:r w:rsidRPr="00D848CE">
        <w:rPr>
          <w:rStyle w:val="FootnoteReference"/>
          <w:rFonts w:ascii="Arial" w:hAnsi="Arial" w:cs="Arial"/>
          <w:sz w:val="22"/>
          <w:szCs w:val="22"/>
          <w:lang w:val="es-ES_tradnl"/>
        </w:rPr>
        <w:footnoteReference w:id="43"/>
      </w:r>
      <w:r w:rsidRPr="00D848CE">
        <w:rPr>
          <w:rFonts w:ascii="Arial" w:hAnsi="Arial" w:cs="Arial"/>
          <w:sz w:val="22"/>
          <w:szCs w:val="22"/>
          <w:lang w:val="es-ES_tradnl"/>
        </w:rPr>
        <w:t xml:space="preserve"> y no está automatizado. Adicionalmente, no existe el Módulo de Registro de Bienes Muebles e Inmuebles e Inventario del SIGEF</w:t>
      </w:r>
      <w:r w:rsidRPr="00D848CE">
        <w:rPr>
          <w:rStyle w:val="FootnoteReference"/>
          <w:rFonts w:ascii="Arial" w:hAnsi="Arial" w:cs="Arial"/>
          <w:sz w:val="22"/>
          <w:szCs w:val="22"/>
          <w:lang w:val="es-ES_tradnl"/>
        </w:rPr>
        <w:footnoteReference w:id="44"/>
      </w:r>
      <w:r w:rsidRPr="00D848CE">
        <w:rPr>
          <w:rFonts w:ascii="Arial" w:hAnsi="Arial" w:cs="Arial"/>
          <w:sz w:val="22"/>
          <w:szCs w:val="22"/>
          <w:lang w:val="es-ES_tradnl"/>
        </w:rPr>
        <w:t>; y (iv) no hay integración de la información del registro de inmueble y el catastro</w:t>
      </w:r>
      <w:r w:rsidRPr="00D848CE">
        <w:rPr>
          <w:rStyle w:val="FootnoteReference"/>
          <w:rFonts w:ascii="Arial" w:hAnsi="Arial" w:cs="Arial"/>
          <w:sz w:val="22"/>
          <w:szCs w:val="22"/>
          <w:lang w:val="es-ES_tradnl"/>
        </w:rPr>
        <w:footnoteReference w:id="45"/>
      </w:r>
      <w:r w:rsidRPr="00D848CE">
        <w:rPr>
          <w:rFonts w:ascii="Arial" w:hAnsi="Arial" w:cs="Arial"/>
          <w:sz w:val="22"/>
          <w:szCs w:val="22"/>
          <w:lang w:val="es-ES_tradnl"/>
        </w:rPr>
        <w:t>; no se cuenta con herramientas de georreferenciación para realizar un registro del inmueble completo</w:t>
      </w:r>
      <w:r w:rsidR="00AF2948" w:rsidRPr="00D848CE">
        <w:rPr>
          <w:rFonts w:ascii="Arial" w:hAnsi="Arial" w:cs="Arial"/>
          <w:sz w:val="22"/>
          <w:szCs w:val="22"/>
          <w:lang w:val="es-ES_tradnl"/>
        </w:rPr>
        <w:t>.</w:t>
      </w:r>
    </w:p>
    <w:p w14:paraId="68ECDAB9" w14:textId="77777777" w:rsidR="005574D9" w:rsidRPr="00D848CE" w:rsidRDefault="00196332" w:rsidP="00A730FA">
      <w:pPr>
        <w:pStyle w:val="Chapter"/>
        <w:numPr>
          <w:ilvl w:val="0"/>
          <w:numId w:val="2"/>
        </w:numPr>
        <w:ind w:left="720" w:hanging="702"/>
        <w:jc w:val="left"/>
        <w:outlineLvl w:val="0"/>
        <w:rPr>
          <w:rFonts w:ascii="Arial" w:hAnsi="Arial" w:cs="Arial"/>
          <w:sz w:val="22"/>
          <w:szCs w:val="22"/>
          <w:lang w:val="es-ES_tradnl"/>
        </w:rPr>
      </w:pPr>
      <w:bookmarkStart w:id="6" w:name="_Toc479116389"/>
      <w:r w:rsidRPr="00D848CE">
        <w:rPr>
          <w:rFonts w:ascii="Arial" w:hAnsi="Arial" w:cs="Arial"/>
          <w:sz w:val="22"/>
          <w:szCs w:val="22"/>
          <w:lang w:val="es-ES_tradnl"/>
        </w:rPr>
        <w:t>Soluciones propuestas</w:t>
      </w:r>
      <w:bookmarkEnd w:id="6"/>
    </w:p>
    <w:p w14:paraId="618FE929" w14:textId="77777777" w:rsidR="007A2F7E" w:rsidRPr="00D848CE" w:rsidRDefault="007A2F7E" w:rsidP="008B5547">
      <w:pPr>
        <w:pStyle w:val="Paragraph"/>
        <w:numPr>
          <w:ilvl w:val="1"/>
          <w:numId w:val="2"/>
        </w:numPr>
        <w:tabs>
          <w:tab w:val="clear" w:pos="1296"/>
        </w:tabs>
        <w:ind w:left="720" w:hanging="720"/>
        <w:outlineLvl w:val="9"/>
        <w:rPr>
          <w:rFonts w:ascii="Arial" w:hAnsi="Arial" w:cs="Arial"/>
          <w:sz w:val="22"/>
          <w:szCs w:val="22"/>
          <w:lang w:val="es-ES_tradnl"/>
        </w:rPr>
      </w:pPr>
      <w:r w:rsidRPr="00D848CE">
        <w:rPr>
          <w:rFonts w:ascii="Arial" w:hAnsi="Arial" w:cs="Arial"/>
          <w:b/>
          <w:sz w:val="22"/>
          <w:szCs w:val="22"/>
          <w:lang w:val="es-ES_tradnl"/>
        </w:rPr>
        <w:t>Componente I. Fortalecimiento de la AT (US$41</w:t>
      </w:r>
      <w:r w:rsidR="003D0C40" w:rsidRPr="00D848CE">
        <w:rPr>
          <w:rFonts w:ascii="Arial" w:hAnsi="Arial" w:cs="Arial"/>
          <w:b/>
          <w:sz w:val="22"/>
          <w:szCs w:val="22"/>
          <w:lang w:val="es-ES_tradnl"/>
        </w:rPr>
        <w:t>,</w:t>
      </w:r>
      <w:r w:rsidRPr="00D848CE">
        <w:rPr>
          <w:rFonts w:ascii="Arial" w:hAnsi="Arial" w:cs="Arial"/>
          <w:b/>
          <w:sz w:val="22"/>
          <w:szCs w:val="22"/>
          <w:lang w:val="es-ES_tradnl"/>
        </w:rPr>
        <w:t>3</w:t>
      </w:r>
      <w:r w:rsidR="00B41BE5" w:rsidRPr="00D848CE">
        <w:rPr>
          <w:rFonts w:ascii="Arial" w:hAnsi="Arial" w:cs="Arial"/>
          <w:b/>
          <w:sz w:val="22"/>
          <w:szCs w:val="22"/>
          <w:lang w:val="es-ES_tradnl"/>
        </w:rPr>
        <w:t xml:space="preserve"> </w:t>
      </w:r>
      <w:r w:rsidRPr="00D848CE">
        <w:rPr>
          <w:rFonts w:ascii="Arial" w:hAnsi="Arial" w:cs="Arial"/>
          <w:b/>
          <w:sz w:val="22"/>
          <w:szCs w:val="22"/>
          <w:lang w:val="es-ES_tradnl"/>
        </w:rPr>
        <w:t>M).</w:t>
      </w:r>
      <w:r w:rsidRPr="00D848CE">
        <w:rPr>
          <w:rFonts w:ascii="Arial" w:hAnsi="Arial" w:cs="Arial"/>
          <w:sz w:val="22"/>
          <w:szCs w:val="22"/>
          <w:lang w:val="es-ES_tradnl"/>
        </w:rPr>
        <w:t xml:space="preserve"> Busca mejorar la capacidad recaudatoria y la reducción del incumplimiento tributario a través del fortalecimiento de sus instrumentos de gestión y recursos humanos. Se financiarán, entre otras, las siguientes actividades:</w:t>
      </w:r>
    </w:p>
    <w:p w14:paraId="68F0B0B2" w14:textId="2B216350" w:rsidR="007A2F7E" w:rsidRPr="00D848CE" w:rsidRDefault="007A2F7E" w:rsidP="008B5547">
      <w:pPr>
        <w:pStyle w:val="subpar"/>
        <w:numPr>
          <w:ilvl w:val="2"/>
          <w:numId w:val="2"/>
        </w:numPr>
        <w:tabs>
          <w:tab w:val="clear" w:pos="2304"/>
        </w:tabs>
        <w:ind w:left="1260" w:hanging="450"/>
        <w:outlineLvl w:val="9"/>
        <w:rPr>
          <w:rFonts w:ascii="Arial" w:eastAsia="Arial" w:hAnsi="Arial" w:cs="Arial"/>
          <w:bCs/>
          <w:sz w:val="22"/>
          <w:szCs w:val="22"/>
          <w:lang w:val="es-ES_tradnl"/>
        </w:rPr>
      </w:pPr>
      <w:r w:rsidRPr="00D848CE">
        <w:rPr>
          <w:rFonts w:ascii="Arial" w:eastAsia="Arial" w:hAnsi="Arial" w:cs="Arial"/>
          <w:b/>
          <w:bCs/>
          <w:sz w:val="22"/>
          <w:szCs w:val="22"/>
          <w:lang w:val="es-ES_tradnl"/>
        </w:rPr>
        <w:t>Marco organizacional y normativo:</w:t>
      </w:r>
      <w:r w:rsidRPr="00D848CE">
        <w:rPr>
          <w:rFonts w:ascii="Arial" w:hAnsi="Arial" w:cs="Arial"/>
          <w:b/>
          <w:sz w:val="22"/>
          <w:szCs w:val="22"/>
          <w:lang w:val="es-ES_tradnl"/>
        </w:rPr>
        <w:t xml:space="preserve"> </w:t>
      </w:r>
      <w:r w:rsidR="00E664AF" w:rsidRPr="00D848CE">
        <w:rPr>
          <w:rFonts w:ascii="Arial" w:hAnsi="Arial" w:cs="Arial"/>
          <w:sz w:val="22"/>
          <w:szCs w:val="22"/>
          <w:lang w:val="es-ES_tradnl"/>
        </w:rPr>
        <w:t xml:space="preserve">el objetivo es mejorar la estructura organizativa y la calidad profesional del talento humano para llevar a cabo el mandato institucional de la AT de forma eficaz. Se financiarán los siguientes productos y actividades: (i) </w:t>
      </w:r>
      <w:r w:rsidR="00E664AF" w:rsidRPr="00D848CE">
        <w:rPr>
          <w:rFonts w:ascii="Arial" w:eastAsia="Arial" w:hAnsi="Arial" w:cs="Arial"/>
          <w:bCs/>
          <w:sz w:val="22"/>
          <w:szCs w:val="22"/>
          <w:lang w:val="es-ES_tradnl"/>
        </w:rPr>
        <w:t xml:space="preserve">implantación de una nueva estructura organizacional y de procesos de la DGII en los niveles estratégicos, operativos y de medición y control de resultados incluyendo la revisión de funciones, perfiles y carga de trabajo; (ii) ajuste del </w:t>
      </w:r>
      <w:r w:rsidR="00E664AF" w:rsidRPr="00D848CE">
        <w:rPr>
          <w:rFonts w:ascii="Arial" w:hAnsi="Arial" w:cs="Arial"/>
          <w:sz w:val="22"/>
          <w:szCs w:val="22"/>
          <w:lang w:val="es-ES_tradnl"/>
        </w:rPr>
        <w:t xml:space="preserve">marco regulatorio e instrumentos de soporte que darán apoyo al modelo organizacional; (iii) </w:t>
      </w:r>
      <w:r w:rsidR="00E664AF" w:rsidRPr="00D848CE">
        <w:rPr>
          <w:rFonts w:ascii="Arial" w:eastAsia="Arial" w:hAnsi="Arial" w:cs="Arial"/>
          <w:bCs/>
          <w:sz w:val="22"/>
          <w:szCs w:val="22"/>
          <w:lang w:val="es-ES_tradnl"/>
        </w:rPr>
        <w:t xml:space="preserve">diseño e implantación del programa de apoyo a la gestión de cambio durante el proceso de transición así como evaluaciones para medir el avance; y (iv) </w:t>
      </w:r>
      <w:r w:rsidR="00E664AF" w:rsidRPr="00D848CE">
        <w:rPr>
          <w:rFonts w:ascii="Arial" w:hAnsi="Arial" w:cs="Arial"/>
          <w:bCs/>
          <w:sz w:val="22"/>
          <w:szCs w:val="22"/>
          <w:lang w:val="es-ES_tradnl"/>
        </w:rPr>
        <w:t>d</w:t>
      </w:r>
      <w:r w:rsidR="00E664AF" w:rsidRPr="00D848CE">
        <w:rPr>
          <w:rFonts w:ascii="Arial" w:hAnsi="Arial" w:cs="Arial"/>
          <w:sz w:val="22"/>
          <w:szCs w:val="22"/>
          <w:lang w:val="es-ES_tradnl"/>
        </w:rPr>
        <w:t>iseño e implantación de un p</w:t>
      </w:r>
      <w:r w:rsidR="00E664AF" w:rsidRPr="00D848CE">
        <w:rPr>
          <w:rFonts w:ascii="Arial" w:hAnsi="Arial" w:cs="Arial"/>
          <w:bCs/>
          <w:sz w:val="22"/>
          <w:szCs w:val="22"/>
          <w:lang w:val="es-ES_tradnl"/>
        </w:rPr>
        <w:t>rograma de fortalecimiento de los RRHH, con enfoque de género</w:t>
      </w:r>
      <w:r w:rsidR="00E664AF" w:rsidRPr="00D848CE">
        <w:rPr>
          <w:rStyle w:val="FootnoteReference"/>
          <w:rFonts w:ascii="Arial" w:hAnsi="Arial" w:cs="Arial"/>
          <w:bCs/>
          <w:sz w:val="22"/>
          <w:szCs w:val="22"/>
          <w:lang w:val="es-ES_tradnl"/>
        </w:rPr>
        <w:footnoteReference w:id="46"/>
      </w:r>
      <w:r w:rsidR="00E664AF" w:rsidRPr="00D848CE">
        <w:rPr>
          <w:rFonts w:ascii="Arial" w:hAnsi="Arial" w:cs="Arial"/>
          <w:bCs/>
          <w:sz w:val="22"/>
          <w:szCs w:val="22"/>
          <w:lang w:val="es-ES_tradnl"/>
        </w:rPr>
        <w:t>, que incluye un</w:t>
      </w:r>
      <w:r w:rsidR="00E664AF" w:rsidRPr="00D848CE">
        <w:rPr>
          <w:rFonts w:ascii="Arial" w:hAnsi="Arial" w:cs="Arial"/>
          <w:sz w:val="22"/>
          <w:szCs w:val="22"/>
          <w:lang w:val="es-ES_tradnl"/>
        </w:rPr>
        <w:t xml:space="preserve"> sistema de evaluación de competencias, programas de capacitación y revisión de los subsistemas de gestión de RRHH</w:t>
      </w:r>
      <w:r w:rsidR="00E664AF" w:rsidRPr="00D848CE">
        <w:rPr>
          <w:rStyle w:val="FootnoteReference"/>
          <w:rFonts w:ascii="Arial" w:hAnsi="Arial" w:cs="Arial"/>
          <w:sz w:val="22"/>
          <w:szCs w:val="22"/>
          <w:lang w:val="es-ES_tradnl"/>
        </w:rPr>
        <w:footnoteReference w:id="47"/>
      </w:r>
      <w:r w:rsidRPr="00D848CE">
        <w:rPr>
          <w:rFonts w:ascii="Arial" w:eastAsia="Arial" w:hAnsi="Arial" w:cs="Arial"/>
          <w:bCs/>
          <w:sz w:val="22"/>
          <w:szCs w:val="22"/>
          <w:lang w:val="es-ES_tradnl"/>
        </w:rPr>
        <w:t>.</w:t>
      </w:r>
    </w:p>
    <w:p w14:paraId="74B77E98" w14:textId="568CF03B" w:rsidR="007A2F7E" w:rsidRPr="00D848CE" w:rsidRDefault="007A2F7E" w:rsidP="008B5547">
      <w:pPr>
        <w:pStyle w:val="subpar"/>
        <w:numPr>
          <w:ilvl w:val="2"/>
          <w:numId w:val="2"/>
        </w:numPr>
        <w:tabs>
          <w:tab w:val="clear" w:pos="2304"/>
        </w:tabs>
        <w:ind w:left="1260" w:hanging="450"/>
        <w:outlineLvl w:val="9"/>
        <w:rPr>
          <w:rFonts w:ascii="Arial" w:eastAsiaTheme="minorHAnsi" w:hAnsi="Arial" w:cs="Arial"/>
          <w:sz w:val="22"/>
          <w:szCs w:val="22"/>
          <w:lang w:val="es-ES_tradnl"/>
        </w:rPr>
      </w:pPr>
      <w:r w:rsidRPr="00D848CE">
        <w:rPr>
          <w:rFonts w:ascii="Arial" w:hAnsi="Arial" w:cs="Arial"/>
          <w:b/>
          <w:sz w:val="22"/>
          <w:szCs w:val="22"/>
          <w:lang w:val="es-ES_tradnl"/>
        </w:rPr>
        <w:t xml:space="preserve">Procesos operativos de la AT: </w:t>
      </w:r>
      <w:r w:rsidR="00E664AF" w:rsidRPr="00D848CE">
        <w:rPr>
          <w:rFonts w:ascii="Arial" w:hAnsi="Arial" w:cs="Arial"/>
          <w:sz w:val="22"/>
          <w:szCs w:val="22"/>
          <w:lang w:val="es-ES_tradnl"/>
        </w:rPr>
        <w:t>busca hacer los procesos tributarios más eficaces para llevar a cabo una gestión de la AT según el marco legal dominicano. Se financiarán los siguientes productos y actividades: (i) i</w:t>
      </w:r>
      <w:r w:rsidR="00E664AF" w:rsidRPr="00D848CE">
        <w:rPr>
          <w:rFonts w:ascii="Arial" w:hAnsi="Arial" w:cs="Arial"/>
          <w:bCs/>
          <w:sz w:val="22"/>
          <w:szCs w:val="22"/>
          <w:lang w:val="es-ES_tradnl"/>
        </w:rPr>
        <w:t>mplementación de un nuevo modelo del RNC, incluyendo su automatización</w:t>
      </w:r>
      <w:r w:rsidR="00E664AF" w:rsidRPr="00D848CE">
        <w:rPr>
          <w:rFonts w:ascii="Arial" w:hAnsi="Arial" w:cs="Arial"/>
          <w:sz w:val="22"/>
          <w:szCs w:val="22"/>
          <w:lang w:val="es-ES_tradnl"/>
        </w:rPr>
        <w:t xml:space="preserve">; (ii) implantación del modelo funcional de la cuenta corriente </w:t>
      </w:r>
      <w:r w:rsidR="00E664AF" w:rsidRPr="00D848CE">
        <w:rPr>
          <w:rFonts w:ascii="Arial" w:hAnsi="Arial" w:cs="Arial"/>
          <w:bCs/>
          <w:sz w:val="22"/>
          <w:szCs w:val="22"/>
          <w:lang w:val="es-ES_tradnl"/>
        </w:rPr>
        <w:t>de los contribuyentes, incluyendo su automatización</w:t>
      </w:r>
      <w:r w:rsidR="00E664AF" w:rsidRPr="00D848CE">
        <w:rPr>
          <w:rFonts w:ascii="Arial" w:hAnsi="Arial" w:cs="Arial"/>
          <w:sz w:val="22"/>
          <w:szCs w:val="22"/>
          <w:lang w:val="es-ES_tradnl"/>
        </w:rPr>
        <w:t xml:space="preserve">; (iii) </w:t>
      </w:r>
      <w:r w:rsidR="00E664AF" w:rsidRPr="00D848CE">
        <w:rPr>
          <w:rFonts w:ascii="Arial" w:hAnsi="Arial" w:cs="Arial"/>
          <w:bCs/>
          <w:sz w:val="22"/>
          <w:szCs w:val="22"/>
          <w:lang w:val="es-ES_tradnl"/>
        </w:rPr>
        <w:t>implementación de</w:t>
      </w:r>
      <w:r w:rsidR="00E664AF" w:rsidRPr="00D848CE">
        <w:rPr>
          <w:rFonts w:ascii="Arial" w:hAnsi="Arial" w:cs="Arial"/>
          <w:sz w:val="22"/>
          <w:szCs w:val="22"/>
          <w:lang w:val="es-ES_tradnl"/>
        </w:rPr>
        <w:t>l nuevo modelo operativo de servicio al contribuyente y de educación tributaria (</w:t>
      </w:r>
      <w:r w:rsidR="00E664AF" w:rsidRPr="00D848CE">
        <w:rPr>
          <w:rFonts w:ascii="Arial" w:hAnsi="Arial" w:cs="Arial"/>
          <w:i/>
          <w:sz w:val="22"/>
          <w:szCs w:val="22"/>
          <w:lang w:val="es-ES_tradnl"/>
        </w:rPr>
        <w:t>call center</w:t>
      </w:r>
      <w:r w:rsidR="00E664AF" w:rsidRPr="00D848CE">
        <w:rPr>
          <w:rFonts w:ascii="Arial" w:hAnsi="Arial" w:cs="Arial"/>
          <w:sz w:val="22"/>
          <w:szCs w:val="22"/>
          <w:lang w:val="es-ES_tradnl"/>
        </w:rPr>
        <w:t xml:space="preserve">, OFV y atención presencial), incluyendo las facilidades automatizadas para los contribuyentes; (iv) actualización del modelo de facturación, incluyendo la implantación de factura electrónica para grandes contribuyentes; (v) actualización e implantación del modelo de cobranza y recaudación, incluyendo la automatización de los procesos; y (vi) revisión e </w:t>
      </w:r>
      <w:r w:rsidR="00E664AF" w:rsidRPr="00D848CE">
        <w:rPr>
          <w:rFonts w:ascii="Arial" w:hAnsi="Arial" w:cs="Arial"/>
          <w:sz w:val="22"/>
          <w:szCs w:val="22"/>
          <w:lang w:val="es-ES_tradnl"/>
        </w:rPr>
        <w:lastRenderedPageBreak/>
        <w:t>implantación del modelo de fiscalización, incluyendo la creación de la unidad de riesgo y la automatización de los procesos</w:t>
      </w:r>
      <w:r w:rsidRPr="00D848CE">
        <w:rPr>
          <w:rFonts w:ascii="Arial" w:hAnsi="Arial" w:cs="Arial"/>
          <w:sz w:val="22"/>
          <w:szCs w:val="22"/>
          <w:lang w:val="es-ES_tradnl"/>
        </w:rPr>
        <w:t xml:space="preserve">. </w:t>
      </w:r>
    </w:p>
    <w:p w14:paraId="3BF8D205" w14:textId="64A17DAF" w:rsidR="00D848CE" w:rsidRPr="00D848CE" w:rsidRDefault="00D848CE" w:rsidP="00D848CE">
      <w:pPr>
        <w:pStyle w:val="subpar"/>
        <w:numPr>
          <w:ilvl w:val="2"/>
          <w:numId w:val="2"/>
        </w:numPr>
        <w:tabs>
          <w:tab w:val="clear" w:pos="2304"/>
          <w:tab w:val="num" w:pos="1080"/>
        </w:tabs>
        <w:ind w:left="1260" w:hanging="450"/>
        <w:outlineLvl w:val="9"/>
        <w:rPr>
          <w:rFonts w:ascii="Arial" w:hAnsi="Arial" w:cs="Arial"/>
          <w:sz w:val="22"/>
          <w:szCs w:val="22"/>
          <w:lang w:val="es-ES_tradnl"/>
        </w:rPr>
      </w:pPr>
      <w:r w:rsidRPr="00D848CE">
        <w:rPr>
          <w:rFonts w:ascii="Arial" w:hAnsi="Arial" w:cs="Arial"/>
          <w:b/>
          <w:sz w:val="22"/>
          <w:szCs w:val="22"/>
          <w:lang w:val="es-ES_tradnl"/>
        </w:rPr>
        <w:t xml:space="preserve">  </w:t>
      </w:r>
      <w:r w:rsidR="007A2F7E" w:rsidRPr="00D848CE">
        <w:rPr>
          <w:rFonts w:ascii="Arial" w:hAnsi="Arial" w:cs="Arial"/>
          <w:b/>
          <w:sz w:val="22"/>
          <w:szCs w:val="22"/>
          <w:lang w:val="es-ES_tradnl"/>
        </w:rPr>
        <w:t>Sistemas e infraestructura tecnológica para la implementación de</w:t>
      </w:r>
      <w:r w:rsidR="007A2F7E" w:rsidRPr="00D848CE">
        <w:rPr>
          <w:rStyle w:val="FootnoteReference"/>
          <w:rFonts w:ascii="Arial" w:hAnsi="Arial" w:cs="Arial"/>
          <w:b/>
          <w:sz w:val="22"/>
          <w:szCs w:val="22"/>
          <w:lang w:val="es-ES_tradnl"/>
        </w:rPr>
        <w:footnoteReference w:id="48"/>
      </w:r>
      <w:r w:rsidR="007A2F7E" w:rsidRPr="00D848CE">
        <w:rPr>
          <w:rFonts w:ascii="Arial" w:hAnsi="Arial" w:cs="Arial"/>
          <w:b/>
          <w:sz w:val="22"/>
          <w:szCs w:val="22"/>
          <w:lang w:val="es-ES_tradnl"/>
        </w:rPr>
        <w:t>:</w:t>
      </w:r>
      <w:r w:rsidR="007A2F7E" w:rsidRPr="00D848CE">
        <w:rPr>
          <w:rFonts w:ascii="Arial" w:hAnsi="Arial" w:cs="Arial"/>
          <w:sz w:val="22"/>
          <w:szCs w:val="22"/>
          <w:lang w:val="es-ES_tradnl"/>
        </w:rPr>
        <w:t xml:space="preserve"> </w:t>
      </w:r>
      <w:r w:rsidRPr="00D848CE">
        <w:rPr>
          <w:rFonts w:ascii="Arial" w:hAnsi="Arial" w:cs="Arial"/>
          <w:sz w:val="22"/>
          <w:szCs w:val="22"/>
          <w:lang w:val="es-ES_tradnl"/>
        </w:rPr>
        <w:t>el objetivo es viabilizar la generación de información confiable y oportuna para fiscalizar y cobrar a los contribuyentes de manera eficiente. Se financiará:</w:t>
      </w:r>
    </w:p>
    <w:p w14:paraId="539DD844" w14:textId="77777777" w:rsidR="00D848CE" w:rsidRPr="00D848CE" w:rsidRDefault="00D848CE" w:rsidP="00D848CE">
      <w:pPr>
        <w:pStyle w:val="SubSubPar"/>
        <w:numPr>
          <w:ilvl w:val="3"/>
          <w:numId w:val="23"/>
        </w:numPr>
        <w:tabs>
          <w:tab w:val="clear" w:pos="1296"/>
          <w:tab w:val="clear" w:pos="1584"/>
        </w:tabs>
        <w:suppressAutoHyphens/>
        <w:ind w:left="1440" w:hanging="180"/>
        <w:rPr>
          <w:rFonts w:ascii="Arial" w:hAnsi="Arial" w:cs="Arial"/>
          <w:sz w:val="22"/>
          <w:szCs w:val="22"/>
          <w:lang w:val="es-ES_tradnl"/>
        </w:rPr>
      </w:pPr>
      <w:r w:rsidRPr="00D848CE">
        <w:rPr>
          <w:rFonts w:ascii="Arial" w:eastAsia="Arial" w:hAnsi="Arial" w:cs="Arial"/>
          <w:b/>
          <w:sz w:val="22"/>
          <w:szCs w:val="22"/>
          <w:lang w:val="es-ES_tradnl"/>
        </w:rPr>
        <w:t>El incremento en la productividad de los procedimientos de trabajo:</w:t>
      </w:r>
      <w:r w:rsidRPr="00D848CE">
        <w:rPr>
          <w:rFonts w:ascii="Arial" w:eastAsia="Arial" w:hAnsi="Arial" w:cs="Arial"/>
          <w:sz w:val="22"/>
          <w:szCs w:val="22"/>
          <w:lang w:val="es-ES_tradnl"/>
        </w:rPr>
        <w:t xml:space="preserve"> </w:t>
      </w:r>
      <w:r w:rsidRPr="00D848CE">
        <w:rPr>
          <w:rFonts w:ascii="Arial" w:hAnsi="Arial" w:cs="Arial"/>
          <w:sz w:val="22"/>
          <w:szCs w:val="22"/>
          <w:lang w:val="es-ES_tradnl"/>
        </w:rPr>
        <w:t>la implantación de: (i) servicios y seguridad de la OFV para los contribuyentes; (ii) sistema de gestión de procesos operativos (</w:t>
      </w:r>
      <w:r w:rsidRPr="00D848CE">
        <w:rPr>
          <w:rFonts w:ascii="Arial" w:hAnsi="Arial" w:cs="Arial"/>
          <w:i/>
          <w:sz w:val="22"/>
          <w:szCs w:val="22"/>
          <w:lang w:val="es-ES_tradnl"/>
        </w:rPr>
        <w:t>workflow</w:t>
      </w:r>
      <w:r w:rsidRPr="00D848CE">
        <w:rPr>
          <w:rFonts w:ascii="Arial" w:hAnsi="Arial" w:cs="Arial"/>
          <w:sz w:val="22"/>
          <w:szCs w:val="22"/>
          <w:lang w:val="es-ES_tradnl"/>
        </w:rPr>
        <w:t>); y (iii) almacén de datos corporativos (</w:t>
      </w:r>
      <w:r w:rsidRPr="00D848CE">
        <w:rPr>
          <w:rFonts w:ascii="Arial" w:hAnsi="Arial" w:cs="Arial"/>
          <w:i/>
          <w:sz w:val="22"/>
          <w:szCs w:val="22"/>
          <w:lang w:val="es-ES_tradnl"/>
        </w:rPr>
        <w:t>datawarehouse</w:t>
      </w:r>
      <w:r w:rsidRPr="00D848CE">
        <w:rPr>
          <w:rFonts w:ascii="Arial" w:hAnsi="Arial" w:cs="Arial"/>
          <w:sz w:val="22"/>
          <w:szCs w:val="22"/>
          <w:lang w:val="es-ES_tradnl"/>
        </w:rPr>
        <w:t>).</w:t>
      </w:r>
    </w:p>
    <w:p w14:paraId="697E895C" w14:textId="77777777" w:rsidR="00D848CE" w:rsidRPr="00D848CE" w:rsidRDefault="00D848CE" w:rsidP="00D848CE">
      <w:pPr>
        <w:pStyle w:val="SubSubPar"/>
        <w:numPr>
          <w:ilvl w:val="3"/>
          <w:numId w:val="23"/>
        </w:numPr>
        <w:tabs>
          <w:tab w:val="clear" w:pos="1296"/>
          <w:tab w:val="clear" w:pos="1584"/>
        </w:tabs>
        <w:suppressAutoHyphens/>
        <w:ind w:left="1440" w:hanging="180"/>
        <w:rPr>
          <w:rFonts w:ascii="Arial" w:hAnsi="Arial" w:cs="Arial"/>
          <w:sz w:val="22"/>
          <w:szCs w:val="22"/>
          <w:lang w:val="es-ES_tradnl"/>
        </w:rPr>
      </w:pPr>
      <w:r w:rsidRPr="00D848CE">
        <w:rPr>
          <w:rFonts w:ascii="Arial" w:hAnsi="Arial" w:cs="Arial"/>
          <w:b/>
          <w:sz w:val="22"/>
          <w:szCs w:val="22"/>
          <w:lang w:val="es-ES_tradnl"/>
        </w:rPr>
        <w:t>El aumento de la</w:t>
      </w:r>
      <w:r w:rsidRPr="00D848CE">
        <w:rPr>
          <w:rFonts w:ascii="Arial" w:hAnsi="Arial" w:cs="Arial"/>
          <w:sz w:val="22"/>
          <w:szCs w:val="22"/>
          <w:lang w:val="es-ES_tradnl"/>
        </w:rPr>
        <w:t xml:space="preserve"> </w:t>
      </w:r>
      <w:r w:rsidRPr="00D848CE">
        <w:rPr>
          <w:rFonts w:ascii="Arial" w:hAnsi="Arial" w:cs="Arial"/>
          <w:b/>
          <w:sz w:val="22"/>
          <w:szCs w:val="22"/>
          <w:lang w:val="es-ES_tradnl"/>
        </w:rPr>
        <w:t>capacidad de soluciones informáticas:</w:t>
      </w:r>
      <w:r w:rsidRPr="00D848CE">
        <w:rPr>
          <w:rFonts w:ascii="Arial" w:hAnsi="Arial" w:cs="Arial"/>
          <w:sz w:val="22"/>
          <w:szCs w:val="22"/>
          <w:lang w:val="es-ES_tradnl"/>
        </w:rPr>
        <w:t xml:space="preserve"> la implantación de: (i) arquitectura institucional de servicios de TIC; (ii) plan de mejora de los procedimientos, capacidades, metodologías y herramientas del área TIC; y (iii) aplicación (</w:t>
      </w:r>
      <w:r w:rsidRPr="00D848CE">
        <w:rPr>
          <w:rFonts w:ascii="Arial" w:hAnsi="Arial" w:cs="Arial"/>
          <w:i/>
          <w:sz w:val="22"/>
          <w:szCs w:val="22"/>
          <w:lang w:val="es-ES_tradnl"/>
        </w:rPr>
        <w:t>off-the-shelf</w:t>
      </w:r>
      <w:r w:rsidRPr="00D848CE">
        <w:rPr>
          <w:rFonts w:ascii="Arial" w:hAnsi="Arial" w:cs="Arial"/>
          <w:sz w:val="22"/>
          <w:szCs w:val="22"/>
          <w:lang w:val="es-ES_tradnl"/>
        </w:rPr>
        <w:t>) para la gestión administrativa y de RRHH.</w:t>
      </w:r>
    </w:p>
    <w:p w14:paraId="36687466" w14:textId="77777777" w:rsidR="00D848CE" w:rsidRPr="00D848CE" w:rsidRDefault="00D848CE" w:rsidP="00D848CE">
      <w:pPr>
        <w:pStyle w:val="SubSubPar"/>
        <w:numPr>
          <w:ilvl w:val="3"/>
          <w:numId w:val="23"/>
        </w:numPr>
        <w:tabs>
          <w:tab w:val="clear" w:pos="1296"/>
          <w:tab w:val="clear" w:pos="1584"/>
        </w:tabs>
        <w:suppressAutoHyphens/>
        <w:ind w:left="1440" w:hanging="180"/>
        <w:rPr>
          <w:rFonts w:ascii="Arial" w:hAnsi="Arial" w:cs="Arial"/>
          <w:sz w:val="22"/>
          <w:szCs w:val="22"/>
          <w:lang w:val="es-ES_tradnl"/>
        </w:rPr>
      </w:pPr>
      <w:r w:rsidRPr="00D848CE">
        <w:rPr>
          <w:rFonts w:ascii="Arial" w:hAnsi="Arial" w:cs="Arial"/>
          <w:b/>
          <w:sz w:val="22"/>
          <w:szCs w:val="22"/>
          <w:lang w:val="es-ES_tradnl"/>
        </w:rPr>
        <w:t>La mejora en la</w:t>
      </w:r>
      <w:r w:rsidRPr="00D848CE">
        <w:rPr>
          <w:rFonts w:ascii="Arial" w:hAnsi="Arial" w:cs="Arial"/>
          <w:sz w:val="22"/>
          <w:szCs w:val="22"/>
          <w:lang w:val="es-ES_tradnl"/>
        </w:rPr>
        <w:t xml:space="preserve"> </w:t>
      </w:r>
      <w:r w:rsidRPr="00D848CE">
        <w:rPr>
          <w:rFonts w:ascii="Arial" w:hAnsi="Arial" w:cs="Arial"/>
          <w:b/>
          <w:sz w:val="22"/>
          <w:szCs w:val="22"/>
          <w:lang w:val="es-ES_tradnl"/>
        </w:rPr>
        <w:t>seguridad del sistema de información:</w:t>
      </w:r>
      <w:r w:rsidRPr="00D848CE">
        <w:rPr>
          <w:rFonts w:ascii="Arial" w:hAnsi="Arial" w:cs="Arial"/>
          <w:sz w:val="22"/>
          <w:szCs w:val="22"/>
          <w:lang w:val="es-ES_tradnl"/>
        </w:rPr>
        <w:t xml:space="preserve"> (i) el fortalecimiento del sistema de seguridad; y (ii) la implantación del plan de actualización de la infraestructura tecnológica.</w:t>
      </w:r>
    </w:p>
    <w:p w14:paraId="3E807691" w14:textId="60464F0F" w:rsidR="007A2F7E" w:rsidRPr="00D848CE" w:rsidRDefault="00D848CE" w:rsidP="00D848CE">
      <w:pPr>
        <w:pStyle w:val="subpar"/>
        <w:numPr>
          <w:ilvl w:val="2"/>
          <w:numId w:val="2"/>
        </w:numPr>
        <w:tabs>
          <w:tab w:val="clear" w:pos="2304"/>
        </w:tabs>
        <w:ind w:left="1260" w:hanging="450"/>
        <w:outlineLvl w:val="9"/>
        <w:rPr>
          <w:rFonts w:ascii="Arial" w:hAnsi="Arial" w:cs="Arial"/>
          <w:sz w:val="22"/>
          <w:szCs w:val="22"/>
          <w:lang w:val="es-ES_tradnl"/>
        </w:rPr>
      </w:pPr>
      <w:r w:rsidRPr="00D848CE">
        <w:rPr>
          <w:rFonts w:ascii="Arial" w:hAnsi="Arial" w:cs="Arial"/>
          <w:b/>
          <w:sz w:val="22"/>
          <w:szCs w:val="22"/>
          <w:lang w:val="es-ES_tradnl"/>
        </w:rPr>
        <w:t>El fortalecimiento del</w:t>
      </w:r>
      <w:r w:rsidRPr="00D848CE">
        <w:rPr>
          <w:rFonts w:ascii="Arial" w:hAnsi="Arial" w:cs="Arial"/>
          <w:sz w:val="22"/>
          <w:szCs w:val="22"/>
          <w:lang w:val="es-ES_tradnl"/>
        </w:rPr>
        <w:t xml:space="preserve"> </w:t>
      </w:r>
      <w:r w:rsidRPr="00D848CE">
        <w:rPr>
          <w:rFonts w:ascii="Arial" w:hAnsi="Arial" w:cs="Arial"/>
          <w:b/>
          <w:sz w:val="22"/>
          <w:szCs w:val="22"/>
          <w:lang w:val="es-ES_tradnl"/>
        </w:rPr>
        <w:t>gobierno y gestión de las TIC:</w:t>
      </w:r>
      <w:r w:rsidRPr="00D848CE">
        <w:rPr>
          <w:rFonts w:ascii="Arial" w:hAnsi="Arial" w:cs="Arial"/>
          <w:sz w:val="22"/>
          <w:szCs w:val="22"/>
          <w:lang w:val="es-ES_tradnl"/>
        </w:rPr>
        <w:t xml:space="preserve"> la implantación de: (i) nueva estructura de gobernanza de las TIC; y (ii) sistema de gestión de las TIC</w:t>
      </w:r>
      <w:r w:rsidR="007A2F7E" w:rsidRPr="00D848CE">
        <w:rPr>
          <w:rFonts w:ascii="Arial" w:hAnsi="Arial" w:cs="Arial"/>
          <w:sz w:val="22"/>
          <w:szCs w:val="22"/>
          <w:lang w:val="es-ES_tradnl"/>
        </w:rPr>
        <w:t>.</w:t>
      </w:r>
    </w:p>
    <w:p w14:paraId="61518180" w14:textId="77777777" w:rsidR="007A2F7E" w:rsidRPr="00D848CE" w:rsidRDefault="007A2F7E" w:rsidP="008B5547">
      <w:pPr>
        <w:pStyle w:val="Paragraph"/>
        <w:numPr>
          <w:ilvl w:val="1"/>
          <w:numId w:val="2"/>
        </w:numPr>
        <w:tabs>
          <w:tab w:val="clear" w:pos="1296"/>
        </w:tabs>
        <w:ind w:left="720" w:hanging="720"/>
        <w:outlineLvl w:val="9"/>
        <w:rPr>
          <w:rFonts w:ascii="Arial" w:hAnsi="Arial" w:cs="Arial"/>
          <w:sz w:val="22"/>
          <w:szCs w:val="22"/>
          <w:lang w:val="es-ES_tradnl"/>
        </w:rPr>
      </w:pPr>
      <w:r w:rsidRPr="00D848CE">
        <w:rPr>
          <w:rFonts w:ascii="Arial" w:hAnsi="Arial" w:cs="Arial"/>
          <w:b/>
          <w:sz w:val="22"/>
          <w:szCs w:val="22"/>
          <w:lang w:val="es-ES_tradnl"/>
        </w:rPr>
        <w:t>Componente II. Mejora en la planificación y gestión d</w:t>
      </w:r>
      <w:r w:rsidR="005B3CAC" w:rsidRPr="00D848CE">
        <w:rPr>
          <w:rFonts w:ascii="Arial" w:hAnsi="Arial" w:cs="Arial"/>
          <w:b/>
          <w:sz w:val="22"/>
          <w:szCs w:val="22"/>
          <w:lang w:val="es-ES_tradnl"/>
        </w:rPr>
        <w:t>e las finanzas públicas (US$5</w:t>
      </w:r>
      <w:r w:rsidR="003D0C40" w:rsidRPr="00D848CE">
        <w:rPr>
          <w:rFonts w:ascii="Arial" w:hAnsi="Arial" w:cs="Arial"/>
          <w:b/>
          <w:sz w:val="22"/>
          <w:szCs w:val="22"/>
          <w:lang w:val="es-ES_tradnl"/>
        </w:rPr>
        <w:t>,</w:t>
      </w:r>
      <w:r w:rsidR="005B3CAC" w:rsidRPr="00D848CE">
        <w:rPr>
          <w:rFonts w:ascii="Arial" w:hAnsi="Arial" w:cs="Arial"/>
          <w:b/>
          <w:sz w:val="22"/>
          <w:szCs w:val="22"/>
          <w:lang w:val="es-ES_tradnl"/>
        </w:rPr>
        <w:t>12</w:t>
      </w:r>
      <w:r w:rsidRPr="00D848CE">
        <w:rPr>
          <w:rFonts w:ascii="Arial" w:hAnsi="Arial" w:cs="Arial"/>
          <w:b/>
          <w:sz w:val="22"/>
          <w:szCs w:val="22"/>
          <w:lang w:val="es-ES_tradnl"/>
        </w:rPr>
        <w:t xml:space="preserve">M). </w:t>
      </w:r>
      <w:r w:rsidRPr="00D848CE">
        <w:rPr>
          <w:rFonts w:ascii="Arial" w:hAnsi="Arial" w:cs="Arial"/>
          <w:sz w:val="22"/>
          <w:szCs w:val="22"/>
          <w:lang w:val="es-ES_tradnl"/>
        </w:rPr>
        <w:t>Busca ampliar la disponibilidad de recursos e información para una eficiente gestión de las finanzas públicas. Se financiarán, entre otras, las siguientes actividades:</w:t>
      </w:r>
    </w:p>
    <w:p w14:paraId="0EE1E9C3" w14:textId="70F58091" w:rsidR="007A2F7E" w:rsidRPr="00D848CE" w:rsidRDefault="007A2F7E" w:rsidP="008B5547">
      <w:pPr>
        <w:pStyle w:val="subpar"/>
        <w:numPr>
          <w:ilvl w:val="2"/>
          <w:numId w:val="2"/>
        </w:numPr>
        <w:tabs>
          <w:tab w:val="clear" w:pos="2304"/>
          <w:tab w:val="num" w:pos="2160"/>
        </w:tabs>
        <w:ind w:left="1260"/>
        <w:outlineLvl w:val="9"/>
        <w:rPr>
          <w:rFonts w:ascii="Arial" w:hAnsi="Arial" w:cs="Arial"/>
          <w:b/>
          <w:sz w:val="22"/>
          <w:szCs w:val="22"/>
          <w:lang w:val="es-ES_tradnl"/>
        </w:rPr>
      </w:pPr>
      <w:r w:rsidRPr="00D848CE">
        <w:rPr>
          <w:rFonts w:ascii="Arial" w:hAnsi="Arial" w:cs="Arial"/>
          <w:b/>
          <w:sz w:val="22"/>
          <w:szCs w:val="22"/>
          <w:lang w:val="es-ES_tradnl"/>
        </w:rPr>
        <w:t>Planificación macro fiscal:</w:t>
      </w:r>
      <w:r w:rsidRPr="00D848CE">
        <w:rPr>
          <w:rFonts w:ascii="Arial" w:hAnsi="Arial" w:cs="Arial"/>
          <w:sz w:val="22"/>
          <w:szCs w:val="22"/>
          <w:lang w:val="es-ES_tradnl"/>
        </w:rPr>
        <w:t xml:space="preserve"> </w:t>
      </w:r>
      <w:r w:rsidR="00D848CE" w:rsidRPr="00D848CE">
        <w:rPr>
          <w:rFonts w:ascii="Arial" w:hAnsi="Arial" w:cs="Arial"/>
          <w:sz w:val="22"/>
          <w:szCs w:val="22"/>
          <w:lang w:val="es-ES_tradnl"/>
        </w:rPr>
        <w:t>el objetivo es ampliar la disponibilidad de información de calidad para una mejor planificación macrofiscal. Se financiará: (i) conclusión del modelo de programación financiera, incluyendo el MFMP y desarrollo del modelo de consistencia macroeconómica; (ii) implantación del MGMP, incluyendo estudios de análisis macrofiscal y de reingeniería del gasto</w:t>
      </w:r>
      <w:r w:rsidR="00D848CE" w:rsidRPr="00D848CE">
        <w:rPr>
          <w:rStyle w:val="FootnoteReference"/>
          <w:rFonts w:ascii="Arial" w:hAnsi="Arial" w:cs="Arial"/>
          <w:sz w:val="22"/>
          <w:szCs w:val="22"/>
          <w:lang w:val="es-ES_tradnl"/>
        </w:rPr>
        <w:footnoteReference w:id="49"/>
      </w:r>
      <w:r w:rsidR="00D848CE" w:rsidRPr="00D848CE">
        <w:rPr>
          <w:rFonts w:ascii="Arial" w:hAnsi="Arial" w:cs="Arial"/>
          <w:sz w:val="22"/>
          <w:szCs w:val="22"/>
          <w:lang w:val="es-ES_tradnl"/>
        </w:rPr>
        <w:t>; y (iii) actualización del modelo de tratamiento de información de la Unidad de Estadísticas Fiscales y su respectiva publicación para fortalecer la Unidad de Análisis y Política Fiscal</w:t>
      </w:r>
      <w:r w:rsidRPr="00D848CE">
        <w:rPr>
          <w:rFonts w:ascii="Arial" w:hAnsi="Arial" w:cs="Arial"/>
          <w:sz w:val="22"/>
          <w:szCs w:val="22"/>
          <w:lang w:val="es-ES_tradnl"/>
        </w:rPr>
        <w:t>.</w:t>
      </w:r>
    </w:p>
    <w:p w14:paraId="0BD1A4A7" w14:textId="76CDE15D" w:rsidR="005574D9" w:rsidRPr="00D848CE" w:rsidRDefault="00BA4FC5" w:rsidP="00AF2948">
      <w:pPr>
        <w:pStyle w:val="subpar"/>
        <w:numPr>
          <w:ilvl w:val="2"/>
          <w:numId w:val="2"/>
        </w:numPr>
        <w:tabs>
          <w:tab w:val="clear" w:pos="2304"/>
          <w:tab w:val="num" w:pos="2160"/>
        </w:tabs>
        <w:ind w:left="1260"/>
        <w:outlineLvl w:val="9"/>
        <w:rPr>
          <w:rFonts w:ascii="Arial" w:hAnsi="Arial" w:cs="Arial"/>
          <w:sz w:val="22"/>
          <w:szCs w:val="22"/>
          <w:lang w:val="es-ES_tradnl"/>
        </w:rPr>
      </w:pPr>
      <w:r w:rsidRPr="00D848CE">
        <w:rPr>
          <w:rFonts w:ascii="Arial" w:hAnsi="Arial" w:cs="Arial"/>
          <w:b/>
          <w:sz w:val="22"/>
          <w:szCs w:val="22"/>
          <w:lang w:val="es-ES_tradnl"/>
        </w:rPr>
        <w:t xml:space="preserve">Ajustes del SIGEF y mejora en los procesos de ejecución presupuestaria: </w:t>
      </w:r>
      <w:r w:rsidR="00D848CE" w:rsidRPr="00D848CE">
        <w:rPr>
          <w:rFonts w:ascii="Arial" w:hAnsi="Arial" w:cs="Arial"/>
          <w:sz w:val="22"/>
          <w:szCs w:val="22"/>
          <w:lang w:val="es-ES_tradnl"/>
        </w:rPr>
        <w:t>busca aumentar la disponibilidad de recursos para gestión de las finanzas públicas más eficiente.</w:t>
      </w:r>
      <w:r w:rsidR="00D848CE" w:rsidRPr="00D848CE">
        <w:rPr>
          <w:rFonts w:ascii="Arial" w:hAnsi="Arial" w:cs="Arial"/>
          <w:b/>
          <w:sz w:val="22"/>
          <w:szCs w:val="22"/>
          <w:lang w:val="es-ES_tradnl"/>
        </w:rPr>
        <w:t xml:space="preserve"> </w:t>
      </w:r>
      <w:r w:rsidR="00D848CE" w:rsidRPr="00D848CE">
        <w:rPr>
          <w:rFonts w:ascii="Arial" w:hAnsi="Arial" w:cs="Arial"/>
          <w:sz w:val="22"/>
          <w:szCs w:val="22"/>
          <w:lang w:val="es-ES_tradnl"/>
        </w:rPr>
        <w:t>Se financiará: (i) implementación del nuevo modelo de negocio de la tesorería, incluyendo consolidación de la CUT</w:t>
      </w:r>
      <w:r w:rsidR="00D848CE" w:rsidRPr="00D848CE">
        <w:rPr>
          <w:rStyle w:val="FootnoteReference"/>
          <w:rFonts w:ascii="Arial" w:hAnsi="Arial" w:cs="Arial"/>
          <w:sz w:val="22"/>
          <w:szCs w:val="22"/>
          <w:lang w:val="es-ES_tradnl"/>
        </w:rPr>
        <w:footnoteReference w:id="50"/>
      </w:r>
      <w:r w:rsidR="00D848CE" w:rsidRPr="00D848CE">
        <w:rPr>
          <w:rFonts w:ascii="Arial" w:hAnsi="Arial" w:cs="Arial"/>
          <w:sz w:val="22"/>
          <w:szCs w:val="22"/>
          <w:lang w:val="es-ES_tradnl"/>
        </w:rPr>
        <w:t xml:space="preserve"> y el fortalecimiento de la programación de caja</w:t>
      </w:r>
      <w:r w:rsidR="00D848CE" w:rsidRPr="00D848CE">
        <w:rPr>
          <w:rStyle w:val="FootnoteReference"/>
          <w:rFonts w:ascii="Arial" w:hAnsi="Arial" w:cs="Arial"/>
          <w:sz w:val="22"/>
          <w:szCs w:val="22"/>
          <w:lang w:val="es-ES_tradnl"/>
        </w:rPr>
        <w:footnoteReference w:id="51"/>
      </w:r>
      <w:r w:rsidR="00D848CE" w:rsidRPr="00D848CE">
        <w:rPr>
          <w:rFonts w:ascii="Arial" w:hAnsi="Arial" w:cs="Arial"/>
          <w:sz w:val="22"/>
          <w:szCs w:val="22"/>
          <w:lang w:val="es-ES_tradnl"/>
        </w:rPr>
        <w:t xml:space="preserve">; (ii) implantación del sistema de gestión de cuentas por cobrar y pagar, que incluye desarrollo del módulo e interface con el SIGADE; (iii) implantación del sistema de gestión de bienes, incluyendo el apoyo al proceso de registro de bienes inmuebles </w:t>
      </w:r>
      <w:r w:rsidR="00D848CE" w:rsidRPr="00D848CE">
        <w:rPr>
          <w:rFonts w:ascii="Arial" w:hAnsi="Arial" w:cs="Arial"/>
          <w:sz w:val="22"/>
          <w:szCs w:val="22"/>
          <w:lang w:val="es-ES_tradnl"/>
        </w:rPr>
        <w:lastRenderedPageBreak/>
        <w:t>públicos y el desarrollo del módulo de gestión de bienes integrado al sistema de catastro; y (iv) implantación del plan de fortalecimiento del catastro nacional, incluyendo el desarrollo de las normas técnicas y la conclusión del sistema de catastro</w:t>
      </w:r>
      <w:r w:rsidR="00AF2948" w:rsidRPr="00D848CE">
        <w:rPr>
          <w:rFonts w:ascii="Arial" w:hAnsi="Arial" w:cs="Arial"/>
          <w:sz w:val="22"/>
          <w:szCs w:val="22"/>
          <w:lang w:val="es-ES_tradnl"/>
        </w:rPr>
        <w:t>.</w:t>
      </w:r>
      <w:r w:rsidR="00AF2948" w:rsidRPr="00D848CE">
        <w:rPr>
          <w:rFonts w:ascii="Arial" w:eastAsiaTheme="minorHAnsi" w:hAnsi="Arial" w:cs="Arial"/>
          <w:sz w:val="22"/>
          <w:szCs w:val="22"/>
          <w:lang w:val="es-ES_tradnl"/>
        </w:rPr>
        <w:t xml:space="preserve"> </w:t>
      </w:r>
      <w:r w:rsidR="007A2F7E" w:rsidRPr="00D848CE">
        <w:rPr>
          <w:rFonts w:ascii="Arial" w:hAnsi="Arial" w:cs="Arial"/>
          <w:sz w:val="22"/>
          <w:szCs w:val="22"/>
          <w:lang w:val="es-ES_tradnl"/>
        </w:rPr>
        <w:t xml:space="preserve"> </w:t>
      </w:r>
    </w:p>
    <w:p w14:paraId="04A640BC" w14:textId="77777777" w:rsidR="005574D9" w:rsidRPr="00D848CE" w:rsidRDefault="003D0D5E" w:rsidP="0090166E">
      <w:pPr>
        <w:pStyle w:val="Chapter"/>
        <w:numPr>
          <w:ilvl w:val="0"/>
          <w:numId w:val="2"/>
        </w:numPr>
        <w:ind w:left="720" w:hanging="720"/>
        <w:jc w:val="left"/>
        <w:outlineLvl w:val="0"/>
        <w:rPr>
          <w:rFonts w:ascii="Arial" w:hAnsi="Arial" w:cs="Arial"/>
          <w:sz w:val="22"/>
          <w:szCs w:val="22"/>
          <w:lang w:val="es-ES_tradnl"/>
        </w:rPr>
      </w:pPr>
      <w:bookmarkStart w:id="7" w:name="_Toc479116390"/>
      <w:r w:rsidRPr="00D848CE">
        <w:rPr>
          <w:rFonts w:ascii="Arial" w:hAnsi="Arial" w:cs="Arial"/>
          <w:sz w:val="22"/>
          <w:szCs w:val="22"/>
          <w:lang w:val="es-ES_tradnl"/>
        </w:rPr>
        <w:t>Estimación</w:t>
      </w:r>
      <w:r w:rsidR="00C66CFD" w:rsidRPr="00D848CE">
        <w:rPr>
          <w:rFonts w:ascii="Arial" w:hAnsi="Arial" w:cs="Arial"/>
          <w:sz w:val="22"/>
          <w:szCs w:val="22"/>
          <w:lang w:val="es-ES_tradnl"/>
        </w:rPr>
        <w:t xml:space="preserve"> de los Beneficios</w:t>
      </w:r>
      <w:r w:rsidR="006F79D0" w:rsidRPr="00D848CE">
        <w:rPr>
          <w:rFonts w:ascii="Arial" w:hAnsi="Arial" w:cs="Arial"/>
          <w:sz w:val="22"/>
          <w:szCs w:val="22"/>
          <w:lang w:val="es-ES_tradnl"/>
        </w:rPr>
        <w:t xml:space="preserve"> </w:t>
      </w:r>
      <w:r w:rsidR="006B03A2" w:rsidRPr="00D848CE">
        <w:rPr>
          <w:rFonts w:ascii="Arial" w:hAnsi="Arial" w:cs="Arial"/>
          <w:sz w:val="22"/>
          <w:szCs w:val="22"/>
          <w:lang w:val="es-ES_tradnl"/>
        </w:rPr>
        <w:t xml:space="preserve">Provenientes </w:t>
      </w:r>
      <w:r w:rsidR="006F79D0" w:rsidRPr="00D848CE">
        <w:rPr>
          <w:rFonts w:ascii="Arial" w:hAnsi="Arial" w:cs="Arial"/>
          <w:sz w:val="22"/>
          <w:szCs w:val="22"/>
          <w:lang w:val="es-ES_tradnl"/>
        </w:rPr>
        <w:t>de la Administración Tributaria</w:t>
      </w:r>
      <w:bookmarkEnd w:id="7"/>
    </w:p>
    <w:tbl>
      <w:tblPr>
        <w:tblStyle w:val="TableGrid"/>
        <w:tblW w:w="9016" w:type="dxa"/>
        <w:tblInd w:w="279" w:type="dxa"/>
        <w:tblLook w:val="04A0" w:firstRow="1" w:lastRow="0" w:firstColumn="1" w:lastColumn="0" w:noHBand="0" w:noVBand="1"/>
      </w:tblPr>
      <w:tblGrid>
        <w:gridCol w:w="9016"/>
      </w:tblGrid>
      <w:tr w:rsidR="00D9147A" w:rsidRPr="00D848CE" w14:paraId="2F782E7F" w14:textId="77777777" w:rsidTr="00B65F90">
        <w:tc>
          <w:tcPr>
            <w:tcW w:w="9016" w:type="dxa"/>
          </w:tcPr>
          <w:p w14:paraId="790E2A42" w14:textId="77777777" w:rsidR="00D9147A" w:rsidRPr="00D848CE" w:rsidRDefault="006447AE" w:rsidP="006328F0">
            <w:pPr>
              <w:pStyle w:val="Paragraph"/>
              <w:numPr>
                <w:ilvl w:val="0"/>
                <w:numId w:val="0"/>
              </w:numPr>
              <w:outlineLvl w:val="9"/>
              <w:rPr>
                <w:rFonts w:ascii="Arial" w:hAnsi="Arial" w:cs="Arial"/>
                <w:i/>
                <w:sz w:val="22"/>
                <w:szCs w:val="22"/>
                <w:lang w:val="es-ES_tradnl"/>
              </w:rPr>
            </w:pPr>
            <w:r w:rsidRPr="00D848CE">
              <w:rPr>
                <w:rFonts w:ascii="Arial" w:hAnsi="Arial" w:cs="Arial"/>
                <w:b/>
                <w:i/>
                <w:sz w:val="22"/>
                <w:szCs w:val="22"/>
                <w:lang w:val="es-ES_tradnl"/>
              </w:rPr>
              <w:t xml:space="preserve">Supuesto 1 </w:t>
            </w:r>
            <w:r w:rsidRPr="00D848CE">
              <w:rPr>
                <w:rFonts w:ascii="Arial" w:hAnsi="Arial" w:cs="Arial"/>
                <w:i/>
                <w:sz w:val="22"/>
                <w:szCs w:val="22"/>
                <w:lang w:val="es-ES_tradnl"/>
              </w:rPr>
              <w:t>– Con la implementación de la Factura Electrónica</w:t>
            </w:r>
            <w:r w:rsidR="004B168F" w:rsidRPr="00D848CE">
              <w:rPr>
                <w:rFonts w:ascii="Arial" w:hAnsi="Arial" w:cs="Arial"/>
                <w:i/>
                <w:sz w:val="22"/>
                <w:szCs w:val="22"/>
                <w:lang w:val="es-ES_tradnl"/>
              </w:rPr>
              <w:t xml:space="preserve"> en un grupo específico de contribuyentes (Grandes Locales)</w:t>
            </w:r>
            <w:r w:rsidRPr="00D848CE">
              <w:rPr>
                <w:rFonts w:ascii="Arial" w:hAnsi="Arial" w:cs="Arial"/>
                <w:i/>
                <w:sz w:val="22"/>
                <w:szCs w:val="22"/>
                <w:lang w:val="es-ES_tradnl"/>
              </w:rPr>
              <w:t xml:space="preserve">, se genera un beneficio financiero con el incremento de los ingresos tributarios de RD referente al ITBIS, a partir de la </w:t>
            </w:r>
            <w:r w:rsidR="006328F0" w:rsidRPr="00D848CE">
              <w:rPr>
                <w:rFonts w:ascii="Arial" w:hAnsi="Arial" w:cs="Arial"/>
                <w:i/>
                <w:sz w:val="22"/>
                <w:szCs w:val="22"/>
                <w:lang w:val="es-ES_tradnl"/>
              </w:rPr>
              <w:t xml:space="preserve">obligación </w:t>
            </w:r>
            <w:r w:rsidRPr="00D848CE">
              <w:rPr>
                <w:rFonts w:ascii="Arial" w:hAnsi="Arial" w:cs="Arial"/>
                <w:i/>
                <w:sz w:val="22"/>
                <w:szCs w:val="22"/>
                <w:lang w:val="es-ES_tradnl"/>
              </w:rPr>
              <w:t>de que todas las compras y contrataciones de servicio</w:t>
            </w:r>
            <w:r w:rsidR="006328F0" w:rsidRPr="00D848CE">
              <w:rPr>
                <w:rFonts w:ascii="Arial" w:hAnsi="Arial" w:cs="Arial"/>
                <w:i/>
                <w:sz w:val="22"/>
                <w:szCs w:val="22"/>
                <w:lang w:val="es-ES_tradnl"/>
              </w:rPr>
              <w:t>s</w:t>
            </w:r>
            <w:r w:rsidRPr="00D848CE">
              <w:rPr>
                <w:rFonts w:ascii="Arial" w:hAnsi="Arial" w:cs="Arial"/>
                <w:i/>
                <w:sz w:val="22"/>
                <w:szCs w:val="22"/>
                <w:lang w:val="es-ES_tradnl"/>
              </w:rPr>
              <w:t xml:space="preserve"> se hagan de forma electrónica al momento en que la transacción comercial ocurra. Esto eliminará los errores cometidos de propósito o involu</w:t>
            </w:r>
            <w:r w:rsidR="006328F0" w:rsidRPr="00D848CE">
              <w:rPr>
                <w:rFonts w:ascii="Arial" w:hAnsi="Arial" w:cs="Arial"/>
                <w:i/>
                <w:sz w:val="22"/>
                <w:szCs w:val="22"/>
                <w:lang w:val="es-ES_tradnl"/>
              </w:rPr>
              <w:t>n</w:t>
            </w:r>
            <w:r w:rsidRPr="00D848CE">
              <w:rPr>
                <w:rFonts w:ascii="Arial" w:hAnsi="Arial" w:cs="Arial"/>
                <w:i/>
                <w:sz w:val="22"/>
                <w:szCs w:val="22"/>
                <w:lang w:val="es-ES_tradnl"/>
              </w:rPr>
              <w:t xml:space="preserve">tariamente en la emisión de facturas, los pedidos indebidos de créditos fiscales, las retenciones de impuestos serán hechas de forma oportuna, y la fiscalización contará en tiempo real con toda la información referente al consumo de bienes y servicios en el </w:t>
            </w:r>
            <w:r w:rsidR="006C54CE" w:rsidRPr="00D848CE">
              <w:rPr>
                <w:rFonts w:ascii="Arial" w:hAnsi="Arial" w:cs="Arial"/>
                <w:i/>
                <w:sz w:val="22"/>
                <w:szCs w:val="22"/>
                <w:lang w:val="es-ES_tradnl"/>
              </w:rPr>
              <w:t>país. Este supuesto está asociado con el resultado 1 de la Matriz de Resultados (Incremento real de la recaudación tributaria.</w:t>
            </w:r>
          </w:p>
        </w:tc>
      </w:tr>
    </w:tbl>
    <w:p w14:paraId="309C962E" w14:textId="77777777" w:rsidR="003D0D5E" w:rsidRPr="00D848CE" w:rsidRDefault="00B14524" w:rsidP="00727BF2">
      <w:pPr>
        <w:pStyle w:val="Paragraph"/>
        <w:keepNext/>
        <w:numPr>
          <w:ilvl w:val="0"/>
          <w:numId w:val="6"/>
        </w:numPr>
        <w:tabs>
          <w:tab w:val="num" w:pos="1800"/>
        </w:tabs>
        <w:rPr>
          <w:rFonts w:ascii="Arial" w:hAnsi="Arial" w:cs="Arial"/>
          <w:b/>
          <w:sz w:val="22"/>
          <w:szCs w:val="22"/>
          <w:lang w:val="es-ES_tradnl"/>
        </w:rPr>
      </w:pPr>
      <w:bookmarkStart w:id="8" w:name="_Toc479116391"/>
      <w:r w:rsidRPr="00D848CE">
        <w:rPr>
          <w:rFonts w:ascii="Arial" w:hAnsi="Arial" w:cs="Arial"/>
          <w:b/>
          <w:sz w:val="22"/>
          <w:szCs w:val="22"/>
          <w:lang w:val="es-ES_tradnl"/>
        </w:rPr>
        <w:t>Estimación</w:t>
      </w:r>
      <w:r w:rsidR="003D4956" w:rsidRPr="00D848CE">
        <w:rPr>
          <w:rFonts w:ascii="Arial" w:hAnsi="Arial" w:cs="Arial"/>
          <w:b/>
          <w:sz w:val="22"/>
          <w:szCs w:val="22"/>
          <w:lang w:val="es-ES_tradnl"/>
        </w:rPr>
        <w:t xml:space="preserve"> de la Evasión Fiscal</w:t>
      </w:r>
      <w:r w:rsidR="00060EA9" w:rsidRPr="00D848CE">
        <w:rPr>
          <w:rStyle w:val="FootnoteReference"/>
          <w:rFonts w:ascii="Arial" w:hAnsi="Arial" w:cs="Arial"/>
          <w:b/>
          <w:sz w:val="22"/>
          <w:szCs w:val="22"/>
          <w:lang w:val="es-ES_tradnl"/>
        </w:rPr>
        <w:footnoteReference w:id="52"/>
      </w:r>
      <w:bookmarkEnd w:id="8"/>
    </w:p>
    <w:p w14:paraId="023A269A" w14:textId="77777777" w:rsidR="006F79D0" w:rsidRPr="00D848CE" w:rsidRDefault="003D4956" w:rsidP="008B5547">
      <w:pPr>
        <w:pStyle w:val="Paragraph"/>
        <w:numPr>
          <w:ilvl w:val="1"/>
          <w:numId w:val="2"/>
        </w:numPr>
        <w:tabs>
          <w:tab w:val="num" w:pos="720"/>
        </w:tabs>
        <w:ind w:left="720" w:hanging="720"/>
        <w:outlineLvl w:val="9"/>
        <w:rPr>
          <w:rFonts w:ascii="Arial" w:hAnsi="Arial" w:cs="Arial"/>
          <w:b/>
          <w:sz w:val="22"/>
          <w:szCs w:val="22"/>
          <w:lang w:val="es-ES_tradnl"/>
        </w:rPr>
      </w:pPr>
      <w:r w:rsidRPr="00D848CE">
        <w:rPr>
          <w:rFonts w:ascii="Arial" w:hAnsi="Arial" w:cs="Arial"/>
          <w:sz w:val="22"/>
          <w:szCs w:val="22"/>
          <w:lang w:val="es-ES_tradnl"/>
        </w:rPr>
        <w:t xml:space="preserve">La finalidad de esta sección </w:t>
      </w:r>
      <w:r w:rsidR="006447AE" w:rsidRPr="00D848CE">
        <w:rPr>
          <w:rFonts w:ascii="Arial" w:hAnsi="Arial" w:cs="Arial"/>
          <w:sz w:val="22"/>
          <w:szCs w:val="22"/>
          <w:lang w:val="es-ES_tradnl"/>
        </w:rPr>
        <w:t xml:space="preserve">inicial, </w:t>
      </w:r>
      <w:r w:rsidRPr="00D848CE">
        <w:rPr>
          <w:rFonts w:ascii="Arial" w:hAnsi="Arial" w:cs="Arial"/>
          <w:sz w:val="22"/>
          <w:szCs w:val="22"/>
          <w:lang w:val="es-ES_tradnl"/>
        </w:rPr>
        <w:t xml:space="preserve">es comprobar </w:t>
      </w:r>
      <w:r w:rsidR="006447AE" w:rsidRPr="00D848CE">
        <w:rPr>
          <w:rFonts w:ascii="Arial" w:hAnsi="Arial" w:cs="Arial"/>
          <w:sz w:val="22"/>
          <w:szCs w:val="22"/>
          <w:lang w:val="es-ES_tradnl"/>
        </w:rPr>
        <w:t>que existe</w:t>
      </w:r>
      <w:r w:rsidR="00A57469" w:rsidRPr="00D848CE">
        <w:rPr>
          <w:rFonts w:ascii="Arial" w:hAnsi="Arial" w:cs="Arial"/>
          <w:sz w:val="22"/>
          <w:szCs w:val="22"/>
          <w:lang w:val="es-ES_tradnl"/>
        </w:rPr>
        <w:t xml:space="preserve"> evasión</w:t>
      </w:r>
      <w:r w:rsidRPr="00D848CE">
        <w:rPr>
          <w:rFonts w:ascii="Arial" w:hAnsi="Arial" w:cs="Arial"/>
          <w:sz w:val="22"/>
          <w:szCs w:val="22"/>
          <w:lang w:val="es-ES_tradnl"/>
        </w:rPr>
        <w:t xml:space="preserve"> fiscal</w:t>
      </w:r>
      <w:r w:rsidR="006447AE" w:rsidRPr="00D848CE">
        <w:rPr>
          <w:rFonts w:ascii="Arial" w:hAnsi="Arial" w:cs="Arial"/>
          <w:sz w:val="22"/>
          <w:szCs w:val="22"/>
          <w:lang w:val="es-ES_tradnl"/>
        </w:rPr>
        <w:t xml:space="preserve"> en RD</w:t>
      </w:r>
      <w:r w:rsidRPr="00D848CE">
        <w:rPr>
          <w:rFonts w:ascii="Arial" w:hAnsi="Arial" w:cs="Arial"/>
          <w:sz w:val="22"/>
          <w:szCs w:val="22"/>
          <w:lang w:val="es-ES_tradnl"/>
        </w:rPr>
        <w:t xml:space="preserve">, sin la cual sería </w:t>
      </w:r>
      <w:r w:rsidR="006447AE" w:rsidRPr="00D848CE">
        <w:rPr>
          <w:rFonts w:ascii="Arial" w:hAnsi="Arial" w:cs="Arial"/>
          <w:sz w:val="22"/>
          <w:szCs w:val="22"/>
          <w:lang w:val="es-ES_tradnl"/>
        </w:rPr>
        <w:t>utópico</w:t>
      </w:r>
      <w:r w:rsidRPr="00D848CE">
        <w:rPr>
          <w:rFonts w:ascii="Arial" w:hAnsi="Arial" w:cs="Arial"/>
          <w:sz w:val="22"/>
          <w:szCs w:val="22"/>
          <w:lang w:val="es-ES_tradnl"/>
        </w:rPr>
        <w:t xml:space="preserve"> estimar</w:t>
      </w:r>
      <w:r w:rsidR="00A57469" w:rsidRPr="00D848CE">
        <w:rPr>
          <w:rFonts w:ascii="Arial" w:hAnsi="Arial" w:cs="Arial"/>
          <w:sz w:val="22"/>
          <w:szCs w:val="22"/>
          <w:lang w:val="es-ES_tradnl"/>
        </w:rPr>
        <w:t xml:space="preserve"> aumento</w:t>
      </w:r>
      <w:r w:rsidR="006F79D0" w:rsidRPr="00D848CE">
        <w:rPr>
          <w:rFonts w:ascii="Arial" w:hAnsi="Arial" w:cs="Arial"/>
          <w:sz w:val="22"/>
          <w:szCs w:val="22"/>
          <w:lang w:val="es-ES_tradnl"/>
        </w:rPr>
        <w:t>s</w:t>
      </w:r>
      <w:r w:rsidR="00A57469" w:rsidRPr="00D848CE">
        <w:rPr>
          <w:rFonts w:ascii="Arial" w:hAnsi="Arial" w:cs="Arial"/>
          <w:sz w:val="22"/>
          <w:szCs w:val="22"/>
          <w:lang w:val="es-ES_tradnl"/>
        </w:rPr>
        <w:t xml:space="preserve"> de la recaudación sin </w:t>
      </w:r>
      <w:r w:rsidR="00307980" w:rsidRPr="00D848CE">
        <w:rPr>
          <w:rFonts w:ascii="Arial" w:hAnsi="Arial" w:cs="Arial"/>
          <w:sz w:val="22"/>
          <w:szCs w:val="22"/>
          <w:lang w:val="es-ES_tradnl"/>
        </w:rPr>
        <w:t xml:space="preserve">conocer </w:t>
      </w:r>
      <w:r w:rsidR="004D32F3" w:rsidRPr="00D848CE">
        <w:rPr>
          <w:rFonts w:ascii="Arial" w:hAnsi="Arial" w:cs="Arial"/>
          <w:sz w:val="22"/>
          <w:szCs w:val="22"/>
          <w:lang w:val="es-ES_tradnl"/>
        </w:rPr>
        <w:t>adonde ocurre</w:t>
      </w:r>
      <w:r w:rsidR="006F79D0" w:rsidRPr="00D848CE">
        <w:rPr>
          <w:rFonts w:ascii="Arial" w:hAnsi="Arial" w:cs="Arial"/>
          <w:sz w:val="22"/>
          <w:szCs w:val="22"/>
          <w:lang w:val="es-ES_tradnl"/>
        </w:rPr>
        <w:t xml:space="preserve"> y que espacio se cuenta para este incremento</w:t>
      </w:r>
      <w:r w:rsidR="00A57469" w:rsidRPr="00D848CE">
        <w:rPr>
          <w:rFonts w:ascii="Arial" w:hAnsi="Arial" w:cs="Arial"/>
          <w:sz w:val="22"/>
          <w:szCs w:val="22"/>
          <w:lang w:val="es-ES_tradnl"/>
        </w:rPr>
        <w:t>.</w:t>
      </w:r>
      <w:r w:rsidRPr="00D848CE">
        <w:rPr>
          <w:rFonts w:ascii="Arial" w:hAnsi="Arial" w:cs="Arial"/>
          <w:sz w:val="22"/>
          <w:szCs w:val="22"/>
          <w:lang w:val="es-ES_tradnl"/>
        </w:rPr>
        <w:t xml:space="preserve"> </w:t>
      </w:r>
    </w:p>
    <w:p w14:paraId="0BE784CA" w14:textId="77777777" w:rsidR="00B13922" w:rsidRPr="00D848CE" w:rsidRDefault="000B2BBD"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b/>
          <w:bCs/>
          <w:sz w:val="22"/>
          <w:szCs w:val="22"/>
          <w:lang w:val="es-ES_tradnl"/>
        </w:rPr>
        <w:t xml:space="preserve">Impuesto a las </w:t>
      </w:r>
      <w:r w:rsidRPr="00D848CE">
        <w:rPr>
          <w:rFonts w:ascii="Arial" w:hAnsi="Arial" w:cs="Arial"/>
          <w:b/>
          <w:color w:val="000000"/>
          <w:sz w:val="22"/>
          <w:szCs w:val="22"/>
          <w:lang w:val="es-ES_tradnl"/>
        </w:rPr>
        <w:t>Transacciones</w:t>
      </w:r>
      <w:r w:rsidRPr="00D848CE">
        <w:rPr>
          <w:rFonts w:ascii="Arial" w:hAnsi="Arial" w:cs="Arial"/>
          <w:b/>
          <w:bCs/>
          <w:sz w:val="22"/>
          <w:szCs w:val="22"/>
          <w:lang w:val="es-ES_tradnl"/>
        </w:rPr>
        <w:t xml:space="preserve"> de Bienes Industrializados y Servicios </w:t>
      </w:r>
      <w:r w:rsidR="00F46450" w:rsidRPr="00D848CE">
        <w:rPr>
          <w:rFonts w:ascii="Arial" w:hAnsi="Arial" w:cs="Arial"/>
          <w:b/>
          <w:bCs/>
          <w:sz w:val="22"/>
          <w:szCs w:val="22"/>
          <w:lang w:val="es-ES_tradnl"/>
        </w:rPr>
        <w:t xml:space="preserve">- </w:t>
      </w:r>
      <w:r w:rsidRPr="00D848CE">
        <w:rPr>
          <w:rFonts w:ascii="Arial" w:hAnsi="Arial" w:cs="Arial"/>
          <w:b/>
          <w:bCs/>
          <w:sz w:val="22"/>
          <w:szCs w:val="22"/>
          <w:lang w:val="es-ES_tradnl"/>
        </w:rPr>
        <w:t>ITBIS</w:t>
      </w:r>
      <w:r w:rsidR="003D0D5E" w:rsidRPr="00D848CE">
        <w:rPr>
          <w:rFonts w:ascii="Arial" w:hAnsi="Arial" w:cs="Arial"/>
          <w:b/>
          <w:bCs/>
          <w:sz w:val="22"/>
          <w:szCs w:val="22"/>
          <w:lang w:val="es-ES_tradnl"/>
        </w:rPr>
        <w:t xml:space="preserve">. </w:t>
      </w:r>
      <w:r w:rsidRPr="00D848CE">
        <w:rPr>
          <w:rFonts w:ascii="Arial" w:hAnsi="Arial" w:cs="Arial"/>
          <w:color w:val="000000"/>
          <w:sz w:val="22"/>
          <w:szCs w:val="22"/>
          <w:lang w:val="es-ES_tradnl"/>
        </w:rPr>
        <w:t xml:space="preserve">La metodología de estimación aplicada corresponde a la denominada metodología del potencial teórico basada en Cuentas Nacionales, “por el lado de la producción” o “el lado de la oferta”. Esta metodología supone reconstruir conceptualmente las ventas gravadas con el impuesto a través del Valor Bruto de Producción, por un lado; y </w:t>
      </w:r>
      <w:r w:rsidRPr="00D848CE">
        <w:rPr>
          <w:rFonts w:ascii="Arial" w:hAnsi="Arial" w:cs="Arial"/>
          <w:bCs/>
          <w:color w:val="000000"/>
          <w:sz w:val="22"/>
          <w:szCs w:val="22"/>
          <w:lang w:val="es-ES_tradnl"/>
        </w:rPr>
        <w:t>las</w:t>
      </w:r>
      <w:r w:rsidRPr="00D848CE">
        <w:rPr>
          <w:rFonts w:ascii="Arial" w:hAnsi="Arial" w:cs="Arial"/>
          <w:color w:val="000000"/>
          <w:sz w:val="22"/>
          <w:szCs w:val="22"/>
          <w:lang w:val="es-ES_tradnl"/>
        </w:rPr>
        <w:t xml:space="preserve"> adquisiciones gravadas deducibles, por otro, a partir del Consumo Intermedio e Inversión de cada actividad. A partir de ambos valores, se estima la Recaudación Potencial Teórica, que luego se compara con la Recaudación Efectiva que genera el gravamen. La diferencia entre el valor potencial teórico y el valor efectivo, en cada actividad, se denomina Brecha de Cumplimiento. Las estimaciones se realizan sobre cada producto identificado para cada una de las actividades en las Cuentas de Oferta-Utilización que produce el Banco Central.  Al momento de realizar la presente investigación, el Banco Central tenía publicado el </w:t>
      </w:r>
      <w:r w:rsidR="00B13922" w:rsidRPr="00D848CE">
        <w:rPr>
          <w:rFonts w:ascii="Arial" w:hAnsi="Arial" w:cs="Arial"/>
          <w:color w:val="000000"/>
          <w:sz w:val="22"/>
          <w:szCs w:val="22"/>
          <w:lang w:val="es-ES_tradnl"/>
        </w:rPr>
        <w:t>Cuadro Oferta Utilización (</w:t>
      </w:r>
      <w:r w:rsidRPr="00D848CE">
        <w:rPr>
          <w:rFonts w:ascii="Arial" w:hAnsi="Arial" w:cs="Arial"/>
          <w:color w:val="000000"/>
          <w:sz w:val="22"/>
          <w:szCs w:val="22"/>
          <w:lang w:val="es-ES_tradnl"/>
        </w:rPr>
        <w:t>COU</w:t>
      </w:r>
      <w:r w:rsidR="00B13922"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para el periodo 2007 – 2012, por lo que se realizaron diferentes aproximaciones para poder elaborar un ejercicio de extrapolación que permitiera tener valores aproximados de la evasión para los años 2013 – 2015.</w:t>
      </w:r>
    </w:p>
    <w:p w14:paraId="4BDDFE9E" w14:textId="77777777" w:rsidR="00B13922" w:rsidRPr="00D848CE" w:rsidRDefault="00B13922"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b/>
          <w:color w:val="000000"/>
          <w:sz w:val="22"/>
          <w:szCs w:val="22"/>
          <w:lang w:val="es-ES_tradnl"/>
        </w:rPr>
        <w:t xml:space="preserve">La </w:t>
      </w:r>
      <w:r w:rsidRPr="00D848CE">
        <w:rPr>
          <w:rFonts w:ascii="Arial" w:hAnsi="Arial" w:cs="Arial"/>
          <w:b/>
          <w:bCs/>
          <w:color w:val="000000"/>
          <w:sz w:val="22"/>
          <w:szCs w:val="22"/>
          <w:lang w:val="es-ES_tradnl"/>
        </w:rPr>
        <w:t>Recaudación Potencial Teórica</w:t>
      </w:r>
      <w:r w:rsidRPr="00D848CE">
        <w:rPr>
          <w:rFonts w:ascii="Arial" w:hAnsi="Arial" w:cs="Arial"/>
          <w:bCs/>
          <w:color w:val="000000"/>
          <w:sz w:val="22"/>
          <w:szCs w:val="22"/>
          <w:lang w:val="es-ES_tradnl"/>
        </w:rPr>
        <w:t xml:space="preserve"> </w:t>
      </w:r>
      <w:r w:rsidRPr="00D848CE">
        <w:rPr>
          <w:rFonts w:ascii="Arial" w:hAnsi="Arial" w:cs="Arial"/>
          <w:color w:val="000000"/>
          <w:sz w:val="22"/>
          <w:szCs w:val="22"/>
          <w:lang w:val="es-ES_tradnl"/>
        </w:rPr>
        <w:t xml:space="preserve">de la actividad se determina como la diferencia entre el ITBIS Débito (Interno y Externo) y el ITBIS Crédito (por Compras y por Inversiones) de dicha actividad. La agregación de la información de Recaudación Potencial Teórica para todas las actividades que contempla el COU produce como resultado la estimación de la Recaudación Potencial Teórica para el conjunto de la economía. También se debe tomar en cuenta </w:t>
      </w:r>
      <w:r w:rsidR="00F46450" w:rsidRPr="00D848CE">
        <w:rPr>
          <w:rFonts w:ascii="Arial" w:hAnsi="Arial" w:cs="Arial"/>
          <w:color w:val="000000"/>
          <w:sz w:val="22"/>
          <w:szCs w:val="22"/>
          <w:lang w:val="es-ES_tradnl"/>
        </w:rPr>
        <w:t xml:space="preserve">la deducción </w:t>
      </w:r>
      <w:r w:rsidRPr="00D848CE">
        <w:rPr>
          <w:rFonts w:ascii="Arial" w:hAnsi="Arial" w:cs="Arial"/>
          <w:color w:val="000000"/>
          <w:sz w:val="22"/>
          <w:szCs w:val="22"/>
          <w:lang w:val="es-ES_tradnl"/>
        </w:rPr>
        <w:t>de la recaudación potencial teórica el monto de gasto tributario</w:t>
      </w:r>
      <w:r w:rsidRPr="00D848CE">
        <w:rPr>
          <w:rFonts w:ascii="Arial" w:hAnsi="Arial" w:cs="Arial"/>
          <w:color w:val="000000"/>
          <w:sz w:val="22"/>
          <w:szCs w:val="22"/>
          <w:vertAlign w:val="superscript"/>
          <w:lang w:val="es-ES_tradnl"/>
        </w:rPr>
        <w:t>9</w:t>
      </w:r>
      <w:r w:rsidRPr="00D848CE">
        <w:rPr>
          <w:rFonts w:ascii="Arial" w:hAnsi="Arial" w:cs="Arial"/>
          <w:color w:val="000000"/>
          <w:sz w:val="22"/>
          <w:szCs w:val="22"/>
          <w:lang w:val="es-ES_tradnl"/>
        </w:rPr>
        <w:t xml:space="preserve"> efectuado en el </w:t>
      </w:r>
      <w:r w:rsidRPr="00D848CE">
        <w:rPr>
          <w:rFonts w:ascii="Arial" w:hAnsi="Arial" w:cs="Arial"/>
          <w:color w:val="000000"/>
          <w:sz w:val="22"/>
          <w:szCs w:val="22"/>
          <w:lang w:val="es-ES_tradnl"/>
        </w:rPr>
        <w:lastRenderedPageBreak/>
        <w:t xml:space="preserve">periodo de estudio. La recaudación potencial teórica se resta a la recaudación efectiva y se obtiene una </w:t>
      </w:r>
      <w:r w:rsidRPr="00D848CE">
        <w:rPr>
          <w:rFonts w:ascii="Arial" w:hAnsi="Arial" w:cs="Arial"/>
          <w:bCs/>
          <w:color w:val="000000"/>
          <w:sz w:val="22"/>
          <w:szCs w:val="22"/>
          <w:lang w:val="es-ES_tradnl"/>
        </w:rPr>
        <w:t xml:space="preserve">brecha de incumplimiento, </w:t>
      </w:r>
      <w:r w:rsidRPr="00D848CE">
        <w:rPr>
          <w:rFonts w:ascii="Arial" w:hAnsi="Arial" w:cs="Arial"/>
          <w:color w:val="000000"/>
          <w:sz w:val="22"/>
          <w:szCs w:val="22"/>
          <w:lang w:val="es-ES_tradnl"/>
        </w:rPr>
        <w:t xml:space="preserve">está dividida por la recaudación potencial teórica, arroja un porcentaje de incumplimiento para la economía. </w:t>
      </w:r>
    </w:p>
    <w:p w14:paraId="1E7DDDF1" w14:textId="77777777" w:rsidR="00B13922" w:rsidRPr="00D848CE" w:rsidRDefault="00B13922"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b/>
          <w:bCs/>
          <w:sz w:val="22"/>
          <w:szCs w:val="22"/>
          <w:lang w:val="es-ES_tradnl"/>
        </w:rPr>
        <w:t>La recaudación efectiva</w:t>
      </w:r>
      <w:r w:rsidRPr="00D848CE">
        <w:rPr>
          <w:rFonts w:ascii="Arial" w:hAnsi="Arial" w:cs="Arial"/>
          <w:bCs/>
          <w:sz w:val="22"/>
          <w:szCs w:val="22"/>
          <w:lang w:val="es-ES_tradnl"/>
        </w:rPr>
        <w:t xml:space="preserve"> de</w:t>
      </w:r>
      <w:r w:rsidR="004A7121" w:rsidRPr="00D848CE">
        <w:rPr>
          <w:rFonts w:ascii="Arial" w:hAnsi="Arial" w:cs="Arial"/>
          <w:bCs/>
          <w:sz w:val="22"/>
          <w:szCs w:val="22"/>
          <w:lang w:val="es-ES_tradnl"/>
        </w:rPr>
        <w:t>l</w:t>
      </w:r>
      <w:r w:rsidRPr="00D848CE">
        <w:rPr>
          <w:rFonts w:ascii="Arial" w:hAnsi="Arial" w:cs="Arial"/>
          <w:bCs/>
          <w:sz w:val="22"/>
          <w:szCs w:val="22"/>
          <w:lang w:val="es-ES_tradnl"/>
        </w:rPr>
        <w:t xml:space="preserve"> ITBIS se obtiene de los pagos efectivos derivados de las declaraciones de los contribuyentes. </w:t>
      </w:r>
      <w:r w:rsidRPr="00D848CE">
        <w:rPr>
          <w:rFonts w:ascii="Arial" w:hAnsi="Arial" w:cs="Arial"/>
          <w:sz w:val="22"/>
          <w:szCs w:val="22"/>
          <w:lang w:val="es-ES_tradnl"/>
        </w:rPr>
        <w:t xml:space="preserve">La información de ITBIS Débito Efectivo corresponde al ITBIS aplicado en las ventas afectas y así declarado en el formulario del ITBIS. La información de ITBIS Crédito Efectivo corresponde al ITBIS adelantado en compras intermedias locales, servicios deducibles e importaciones, y así declarado en el formulario del ITBIS. </w:t>
      </w:r>
      <w:r w:rsidRPr="00D848CE">
        <w:rPr>
          <w:rFonts w:ascii="Arial" w:hAnsi="Arial" w:cs="Arial"/>
          <w:bCs/>
          <w:sz w:val="22"/>
          <w:szCs w:val="22"/>
          <w:lang w:val="es-ES_tradnl"/>
        </w:rPr>
        <w:t xml:space="preserve">Se deben adicionar también otras figuras que generan recaudación efectiva del impuesto que no están en las declaraciones corrientes, pero que representan obligaciones respecto de operaciones afectas en el período. </w:t>
      </w:r>
      <w:r w:rsidRPr="00D848CE">
        <w:rPr>
          <w:rFonts w:ascii="Arial" w:hAnsi="Arial" w:cs="Arial"/>
          <w:sz w:val="22"/>
          <w:szCs w:val="22"/>
          <w:lang w:val="es-ES_tradnl"/>
        </w:rPr>
        <w:t>En este caso, se ha empleado el concepto de “ITBIS Ajustes” para añadir, principalmente, retenciones practicadas a no declarantes y recaudación forzosa del impuesto generada en acciones de fiscalización.</w:t>
      </w:r>
    </w:p>
    <w:p w14:paraId="5DB815FB" w14:textId="77777777" w:rsidR="00873C00" w:rsidRPr="00D848CE" w:rsidRDefault="00873C00"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b/>
          <w:bCs/>
          <w:color w:val="000000"/>
          <w:sz w:val="22"/>
          <w:szCs w:val="22"/>
          <w:lang w:val="es-ES_tradnl"/>
        </w:rPr>
        <w:t xml:space="preserve">Resultados de la Estimación. Recaudación Potencial y Recaudación Efectiva. </w:t>
      </w:r>
      <w:r w:rsidRPr="00D848CE">
        <w:rPr>
          <w:rFonts w:ascii="Arial" w:hAnsi="Arial" w:cs="Arial"/>
          <w:color w:val="000000"/>
          <w:sz w:val="22"/>
          <w:szCs w:val="22"/>
          <w:lang w:val="es-ES_tradnl"/>
        </w:rPr>
        <w:t>La recaudación potencial del ITBIS, expresada como fracción del PIB, se muestra relativamente estable en el período, con valores entre 7</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y 6</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En efecto, la recaudación potencial para tres de los años es 6</w:t>
      </w:r>
      <w:r w:rsidR="00BC640D" w:rsidRPr="00D848CE">
        <w:rPr>
          <w:rFonts w:ascii="Arial" w:hAnsi="Arial" w:cs="Arial"/>
          <w:color w:val="000000"/>
          <w:sz w:val="22"/>
          <w:szCs w:val="22"/>
          <w:lang w:val="es-ES_tradnl"/>
        </w:rPr>
        <w:t>,6%; 6,5% y 6,</w:t>
      </w:r>
      <w:r w:rsidRPr="00D848CE">
        <w:rPr>
          <w:rFonts w:ascii="Arial" w:hAnsi="Arial" w:cs="Arial"/>
          <w:color w:val="000000"/>
          <w:sz w:val="22"/>
          <w:szCs w:val="22"/>
          <w:lang w:val="es-ES_tradnl"/>
        </w:rPr>
        <w:t>4</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del PIB, con la excepción del año 2012, en el que desciende levemente hasta un valor d</w:t>
      </w:r>
      <w:r w:rsidR="00BC640D" w:rsidRPr="00D848CE">
        <w:rPr>
          <w:rFonts w:ascii="Arial" w:hAnsi="Arial" w:cs="Arial"/>
          <w:color w:val="000000"/>
          <w:sz w:val="22"/>
          <w:szCs w:val="22"/>
          <w:lang w:val="es-ES_tradnl"/>
        </w:rPr>
        <w:t>e 6,</w:t>
      </w:r>
      <w:r w:rsidRPr="00D848CE">
        <w:rPr>
          <w:rFonts w:ascii="Arial" w:hAnsi="Arial" w:cs="Arial"/>
          <w:color w:val="000000"/>
          <w:sz w:val="22"/>
          <w:szCs w:val="22"/>
          <w:lang w:val="es-ES_tradnl"/>
        </w:rPr>
        <w:t>1</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del PIB. </w:t>
      </w:r>
      <w:r w:rsidRPr="00D848CE">
        <w:rPr>
          <w:rFonts w:ascii="Arial" w:hAnsi="Arial" w:cs="Arial"/>
          <w:bCs/>
          <w:sz w:val="22"/>
          <w:szCs w:val="22"/>
          <w:lang w:val="es-ES_tradnl"/>
        </w:rPr>
        <w:t xml:space="preserve">La recaudación efectiva del ITBIS, por su parte, indica una cierta declinación a lo largo del período. </w:t>
      </w:r>
      <w:r w:rsidRPr="00D848CE">
        <w:rPr>
          <w:rFonts w:ascii="Arial" w:hAnsi="Arial" w:cs="Arial"/>
          <w:sz w:val="22"/>
          <w:szCs w:val="22"/>
          <w:lang w:val="es-ES_tradnl"/>
        </w:rPr>
        <w:t>Tal</w:t>
      </w:r>
      <w:r w:rsidR="0078643C" w:rsidRPr="00D848CE">
        <w:rPr>
          <w:rFonts w:ascii="Arial" w:hAnsi="Arial" w:cs="Arial"/>
          <w:sz w:val="22"/>
          <w:szCs w:val="22"/>
          <w:lang w:val="es-ES_tradnl"/>
        </w:rPr>
        <w:t xml:space="preserve"> como se aprecia en el Gráfico 1</w:t>
      </w:r>
      <w:r w:rsidRPr="00D848CE">
        <w:rPr>
          <w:rFonts w:ascii="Arial" w:hAnsi="Arial" w:cs="Arial"/>
          <w:sz w:val="22"/>
          <w:szCs w:val="22"/>
          <w:lang w:val="es-ES_tradnl"/>
        </w:rPr>
        <w:t>, la recaudación efectiva experimenta la baja más visible entre los años 2009 y 2008, similar al comportamiento del ITBIS potencial, cuando pasa de un valor de 4</w:t>
      </w:r>
      <w:r w:rsidR="00BC640D" w:rsidRPr="00D848CE">
        <w:rPr>
          <w:rFonts w:ascii="Arial" w:hAnsi="Arial" w:cs="Arial"/>
          <w:sz w:val="22"/>
          <w:szCs w:val="22"/>
          <w:lang w:val="es-ES_tradnl"/>
        </w:rPr>
        <w:t>,</w:t>
      </w:r>
      <w:r w:rsidRPr="00D848CE">
        <w:rPr>
          <w:rFonts w:ascii="Arial" w:hAnsi="Arial" w:cs="Arial"/>
          <w:sz w:val="22"/>
          <w:szCs w:val="22"/>
          <w:lang w:val="es-ES_tradnl"/>
        </w:rPr>
        <w:t>6</w:t>
      </w:r>
      <w:r w:rsidR="00BC640D" w:rsidRPr="00D848CE">
        <w:rPr>
          <w:rFonts w:ascii="Arial" w:hAnsi="Arial" w:cs="Arial"/>
          <w:sz w:val="22"/>
          <w:szCs w:val="22"/>
          <w:lang w:val="es-ES_tradnl"/>
        </w:rPr>
        <w:t>%</w:t>
      </w:r>
      <w:r w:rsidRPr="00D848CE">
        <w:rPr>
          <w:rFonts w:ascii="Arial" w:hAnsi="Arial" w:cs="Arial"/>
          <w:sz w:val="22"/>
          <w:szCs w:val="22"/>
          <w:lang w:val="es-ES_tradnl"/>
        </w:rPr>
        <w:t xml:space="preserve"> </w:t>
      </w:r>
      <w:r w:rsidR="00BC640D" w:rsidRPr="00D848CE">
        <w:rPr>
          <w:rFonts w:ascii="Arial" w:hAnsi="Arial" w:cs="Arial"/>
          <w:sz w:val="22"/>
          <w:szCs w:val="22"/>
          <w:lang w:val="es-ES_tradnl"/>
        </w:rPr>
        <w:t xml:space="preserve">en el 2007 a uno de 3,9% </w:t>
      </w:r>
      <w:r w:rsidRPr="00D848CE">
        <w:rPr>
          <w:rFonts w:ascii="Arial" w:hAnsi="Arial" w:cs="Arial"/>
          <w:sz w:val="22"/>
          <w:szCs w:val="22"/>
          <w:lang w:val="es-ES_tradnl"/>
        </w:rPr>
        <w:t>del PIB en el 2012.</w:t>
      </w:r>
    </w:p>
    <w:p w14:paraId="7A301732" w14:textId="77777777" w:rsidR="0078643C" w:rsidRPr="00D848CE" w:rsidRDefault="0078643C" w:rsidP="00935D79">
      <w:pPr>
        <w:pStyle w:val="Paragraph"/>
        <w:keepNext/>
        <w:keepLines/>
        <w:numPr>
          <w:ilvl w:val="0"/>
          <w:numId w:val="0"/>
        </w:numPr>
        <w:tabs>
          <w:tab w:val="num" w:pos="1800"/>
        </w:tabs>
        <w:autoSpaceDE w:val="0"/>
        <w:autoSpaceDN w:val="0"/>
        <w:adjustRightInd w:val="0"/>
        <w:ind w:left="720"/>
        <w:jc w:val="center"/>
        <w:outlineLvl w:val="9"/>
        <w:rPr>
          <w:rFonts w:ascii="Arial" w:hAnsi="Arial" w:cs="Arial"/>
          <w:b/>
          <w:bCs/>
          <w:color w:val="000000"/>
          <w:sz w:val="22"/>
          <w:szCs w:val="22"/>
          <w:lang w:val="es-ES_tradnl"/>
        </w:rPr>
      </w:pPr>
      <w:r w:rsidRPr="00D848CE">
        <w:rPr>
          <w:rFonts w:ascii="Arial" w:hAnsi="Arial" w:cs="Arial"/>
          <w:b/>
          <w:bCs/>
          <w:color w:val="000000"/>
          <w:sz w:val="22"/>
          <w:szCs w:val="22"/>
          <w:lang w:val="es-ES_tradnl"/>
        </w:rPr>
        <w:t>Gráfico 1</w:t>
      </w:r>
    </w:p>
    <w:p w14:paraId="21F6D147" w14:textId="77777777" w:rsidR="008E6010" w:rsidRPr="00D848CE" w:rsidRDefault="008E6010" w:rsidP="00935D79">
      <w:pPr>
        <w:pStyle w:val="Paragraph"/>
        <w:keepNext/>
        <w:keepLines/>
        <w:numPr>
          <w:ilvl w:val="0"/>
          <w:numId w:val="0"/>
        </w:numPr>
        <w:tabs>
          <w:tab w:val="num" w:pos="1800"/>
        </w:tabs>
        <w:autoSpaceDE w:val="0"/>
        <w:autoSpaceDN w:val="0"/>
        <w:adjustRightInd w:val="0"/>
        <w:ind w:left="720"/>
        <w:jc w:val="center"/>
        <w:outlineLvl w:val="9"/>
        <w:rPr>
          <w:rFonts w:ascii="Arial" w:hAnsi="Arial" w:cs="Arial"/>
          <w:b/>
          <w:color w:val="000000"/>
          <w:sz w:val="22"/>
          <w:szCs w:val="22"/>
          <w:lang w:val="es-ES_tradnl"/>
        </w:rPr>
      </w:pPr>
      <w:r w:rsidRPr="00D848CE">
        <w:rPr>
          <w:rFonts w:ascii="Arial" w:hAnsi="Arial" w:cs="Arial"/>
          <w:b/>
          <w:color w:val="000000"/>
          <w:sz w:val="22"/>
          <w:szCs w:val="22"/>
          <w:lang w:val="es-ES_tradnl"/>
        </w:rPr>
        <w:t>Recaudación efectiva y Recaudación Potencial del ITBIS</w:t>
      </w:r>
      <w:r w:rsidR="00935D79" w:rsidRPr="00D848CE">
        <w:rPr>
          <w:rFonts w:ascii="Arial" w:hAnsi="Arial" w:cs="Arial"/>
          <w:b/>
          <w:color w:val="000000"/>
          <w:sz w:val="22"/>
          <w:szCs w:val="22"/>
          <w:lang w:val="es-ES_tradnl"/>
        </w:rPr>
        <w:br/>
      </w:r>
      <w:r w:rsidRPr="00D848CE">
        <w:rPr>
          <w:rFonts w:ascii="Arial" w:hAnsi="Arial" w:cs="Arial"/>
          <w:b/>
          <w:color w:val="000000"/>
          <w:sz w:val="22"/>
          <w:szCs w:val="22"/>
          <w:lang w:val="es-ES_tradnl"/>
        </w:rPr>
        <w:t xml:space="preserve"> como porcentaje del PIB, 2007-2015</w:t>
      </w:r>
    </w:p>
    <w:p w14:paraId="14C74ADE" w14:textId="77777777" w:rsidR="004A7121" w:rsidRPr="00D848CE" w:rsidRDefault="00935D79" w:rsidP="00935D79">
      <w:pPr>
        <w:pStyle w:val="Paragraph"/>
        <w:numPr>
          <w:ilvl w:val="0"/>
          <w:numId w:val="0"/>
        </w:numPr>
        <w:tabs>
          <w:tab w:val="num" w:pos="1800"/>
        </w:tabs>
        <w:autoSpaceDE w:val="0"/>
        <w:autoSpaceDN w:val="0"/>
        <w:adjustRightInd w:val="0"/>
        <w:ind w:left="180"/>
        <w:jc w:val="center"/>
        <w:outlineLvl w:val="9"/>
        <w:rPr>
          <w:rFonts w:ascii="Arial" w:hAnsi="Arial" w:cs="Arial"/>
          <w:color w:val="000000"/>
          <w:sz w:val="22"/>
          <w:szCs w:val="22"/>
          <w:lang w:val="es-ES_tradnl"/>
        </w:rPr>
      </w:pPr>
      <w:r w:rsidRPr="00D848CE">
        <w:rPr>
          <w:rFonts w:ascii="Arial" w:hAnsi="Arial" w:cs="Arial"/>
          <w:noProof/>
          <w:sz w:val="22"/>
          <w:szCs w:val="22"/>
          <w:lang w:val="es-ES_tradnl" w:eastAsia="es-ES_tradnl"/>
        </w:rPr>
        <w:drawing>
          <wp:inline distT="0" distB="0" distL="0" distR="0" wp14:anchorId="3E892A2D" wp14:editId="2F23D7F1">
            <wp:extent cx="4864735" cy="21009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78554" cy="2106940"/>
                    </a:xfrm>
                    <a:prstGeom prst="rect">
                      <a:avLst/>
                    </a:prstGeom>
                  </pic:spPr>
                </pic:pic>
              </a:graphicData>
            </a:graphic>
          </wp:inline>
        </w:drawing>
      </w:r>
    </w:p>
    <w:p w14:paraId="3C8FD15C" w14:textId="77777777" w:rsidR="00873C00" w:rsidRPr="00D848CE" w:rsidRDefault="00873C00"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b/>
          <w:bCs/>
          <w:color w:val="000000"/>
          <w:sz w:val="22"/>
          <w:szCs w:val="22"/>
          <w:lang w:val="es-ES_tradnl"/>
        </w:rPr>
        <w:t>Brecha de Cumplimiento en el ITBIS</w:t>
      </w:r>
      <w:r w:rsidR="00DA6257" w:rsidRPr="00D848CE">
        <w:rPr>
          <w:rFonts w:ascii="Arial" w:hAnsi="Arial" w:cs="Arial"/>
          <w:b/>
          <w:bCs/>
          <w:color w:val="000000"/>
          <w:sz w:val="22"/>
          <w:szCs w:val="22"/>
          <w:lang w:val="es-ES_tradnl"/>
        </w:rPr>
        <w:t xml:space="preserve"> (Conclusión)</w:t>
      </w:r>
      <w:r w:rsidRPr="00D848CE">
        <w:rPr>
          <w:rFonts w:ascii="Arial" w:hAnsi="Arial" w:cs="Arial"/>
          <w:b/>
          <w:bCs/>
          <w:color w:val="000000"/>
          <w:sz w:val="22"/>
          <w:szCs w:val="22"/>
          <w:lang w:val="es-ES_tradnl"/>
        </w:rPr>
        <w:t xml:space="preserve">. </w:t>
      </w:r>
      <w:r w:rsidRPr="00D848CE">
        <w:rPr>
          <w:rFonts w:ascii="Arial" w:hAnsi="Arial" w:cs="Arial"/>
          <w:color w:val="000000"/>
          <w:sz w:val="22"/>
          <w:szCs w:val="22"/>
          <w:lang w:val="es-ES_tradnl"/>
        </w:rPr>
        <w:t>Los resultados indican una brecha estimada de cumplimiento en el ITBIS que fluctúa entre un 33</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3</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y un 35</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6</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del ITBIS potencial, para el período 2007-2012 (Gráfico</w:t>
      </w:r>
      <w:r w:rsidR="0078643C" w:rsidRPr="00D848CE">
        <w:rPr>
          <w:rFonts w:ascii="Arial" w:hAnsi="Arial" w:cs="Arial"/>
          <w:color w:val="000000"/>
          <w:sz w:val="22"/>
          <w:szCs w:val="22"/>
          <w:lang w:val="es-ES_tradnl"/>
        </w:rPr>
        <w:t xml:space="preserve"> 2</w:t>
      </w:r>
      <w:r w:rsidRPr="00D848CE">
        <w:rPr>
          <w:rFonts w:ascii="Arial" w:hAnsi="Arial" w:cs="Arial"/>
          <w:color w:val="000000"/>
          <w:sz w:val="22"/>
          <w:szCs w:val="22"/>
          <w:lang w:val="es-ES_tradnl"/>
        </w:rPr>
        <w:t xml:space="preserve">). Como ya se señaló, la brecha de cumplimiento corresponde a la diferencia entre el valor potencial teórico y el valor efectivo de la recaudación del gravamen. Esta estimación para el ITBIS muestra el incremento más significativo al pasar del año </w:t>
      </w:r>
      <w:r w:rsidRPr="00D848CE">
        <w:rPr>
          <w:rFonts w:ascii="Arial" w:hAnsi="Arial" w:cs="Arial"/>
          <w:color w:val="000000"/>
          <w:sz w:val="22"/>
          <w:szCs w:val="22"/>
          <w:lang w:val="es-ES_tradnl"/>
        </w:rPr>
        <w:lastRenderedPageBreak/>
        <w:t>2008 al año 2009, cuando sube en 2</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4 puntos porcentuales donde el porcentaje de incumplimiento alcanza 37</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3</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Este periodo hace referencia a la crisis económica internacional y la ralentización de la actividad económica. Otro punto a notar es que el porcentaje de incumplimiento para el 2007 muestra el valor más bajo de la serie siendo una posible causa de esto, la introducción de los controles por NCF para ese año. Es posible observar que la serie muestra volatilidad importante, haciendo imposible establecer una tendencia clara de los porcentajes de incumplimientos del periodo y mostrando dependencias a la actividad económica y las políticas de control fiscal implementadas por esta administración tributaria 2007-2012.</w:t>
      </w:r>
    </w:p>
    <w:p w14:paraId="745F7E6D" w14:textId="77777777" w:rsidR="0078643C" w:rsidRPr="00D848CE" w:rsidRDefault="0078643C" w:rsidP="00935D79">
      <w:pPr>
        <w:pStyle w:val="Paragraph"/>
        <w:keepNext/>
        <w:keepLines/>
        <w:numPr>
          <w:ilvl w:val="0"/>
          <w:numId w:val="0"/>
        </w:numPr>
        <w:tabs>
          <w:tab w:val="num" w:pos="1800"/>
        </w:tabs>
        <w:autoSpaceDE w:val="0"/>
        <w:autoSpaceDN w:val="0"/>
        <w:adjustRightInd w:val="0"/>
        <w:ind w:left="720"/>
        <w:jc w:val="center"/>
        <w:outlineLvl w:val="9"/>
        <w:rPr>
          <w:rFonts w:ascii="Arial" w:hAnsi="Arial" w:cs="Arial"/>
          <w:b/>
          <w:bCs/>
          <w:color w:val="000000"/>
          <w:sz w:val="22"/>
          <w:szCs w:val="22"/>
          <w:lang w:val="es-ES_tradnl"/>
        </w:rPr>
      </w:pPr>
      <w:r w:rsidRPr="00D848CE">
        <w:rPr>
          <w:rFonts w:ascii="Arial" w:hAnsi="Arial" w:cs="Arial"/>
          <w:b/>
          <w:bCs/>
          <w:color w:val="000000"/>
          <w:sz w:val="22"/>
          <w:szCs w:val="22"/>
          <w:lang w:val="es-ES_tradnl"/>
        </w:rPr>
        <w:t>Gráfico 2.</w:t>
      </w:r>
    </w:p>
    <w:p w14:paraId="0E820ACB" w14:textId="77777777" w:rsidR="00430DE4" w:rsidRPr="00D848CE" w:rsidRDefault="00430DE4" w:rsidP="00935D79">
      <w:pPr>
        <w:pStyle w:val="Paragraph"/>
        <w:keepNext/>
        <w:keepLines/>
        <w:numPr>
          <w:ilvl w:val="0"/>
          <w:numId w:val="0"/>
        </w:numPr>
        <w:tabs>
          <w:tab w:val="num" w:pos="1800"/>
        </w:tabs>
        <w:autoSpaceDE w:val="0"/>
        <w:autoSpaceDN w:val="0"/>
        <w:adjustRightInd w:val="0"/>
        <w:ind w:left="720"/>
        <w:jc w:val="center"/>
        <w:outlineLvl w:val="9"/>
        <w:rPr>
          <w:rFonts w:ascii="Arial" w:hAnsi="Arial" w:cs="Arial"/>
          <w:b/>
          <w:color w:val="000000"/>
          <w:sz w:val="22"/>
          <w:szCs w:val="22"/>
          <w:lang w:val="es-ES_tradnl"/>
        </w:rPr>
      </w:pPr>
      <w:r w:rsidRPr="00D848CE">
        <w:rPr>
          <w:rFonts w:ascii="Arial" w:hAnsi="Arial" w:cs="Arial"/>
          <w:b/>
          <w:color w:val="000000"/>
          <w:sz w:val="22"/>
          <w:szCs w:val="22"/>
          <w:lang w:val="es-ES_tradnl"/>
        </w:rPr>
        <w:t>Brecha de Cumplimiento en el ITBIS, 2007-2015</w:t>
      </w:r>
    </w:p>
    <w:p w14:paraId="2DE4D681" w14:textId="77777777" w:rsidR="004A7121" w:rsidRPr="00D848CE" w:rsidRDefault="00430DE4" w:rsidP="00935D79">
      <w:pPr>
        <w:pStyle w:val="Paragraph"/>
        <w:numPr>
          <w:ilvl w:val="0"/>
          <w:numId w:val="0"/>
        </w:numPr>
        <w:tabs>
          <w:tab w:val="num" w:pos="1800"/>
        </w:tabs>
        <w:autoSpaceDE w:val="0"/>
        <w:autoSpaceDN w:val="0"/>
        <w:adjustRightInd w:val="0"/>
        <w:ind w:left="180"/>
        <w:jc w:val="center"/>
        <w:outlineLvl w:val="9"/>
        <w:rPr>
          <w:rFonts w:ascii="Arial" w:hAnsi="Arial" w:cs="Arial"/>
          <w:color w:val="000000"/>
          <w:sz w:val="22"/>
          <w:szCs w:val="22"/>
          <w:lang w:val="es-ES_tradnl"/>
        </w:rPr>
      </w:pPr>
      <w:r w:rsidRPr="00D848CE">
        <w:rPr>
          <w:rFonts w:ascii="Arial" w:hAnsi="Arial" w:cs="Arial"/>
          <w:noProof/>
          <w:sz w:val="22"/>
          <w:szCs w:val="22"/>
          <w:lang w:val="es-ES_tradnl" w:eastAsia="es-ES_tradnl"/>
        </w:rPr>
        <w:drawing>
          <wp:inline distT="0" distB="0" distL="0" distR="0" wp14:anchorId="0D1FF8FE" wp14:editId="1E9FE3D8">
            <wp:extent cx="4951883" cy="2171700"/>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91078" cy="2188889"/>
                    </a:xfrm>
                    <a:prstGeom prst="rect">
                      <a:avLst/>
                    </a:prstGeom>
                  </pic:spPr>
                </pic:pic>
              </a:graphicData>
            </a:graphic>
          </wp:inline>
        </w:drawing>
      </w:r>
    </w:p>
    <w:p w14:paraId="3F05D4A7" w14:textId="77777777" w:rsidR="003D0D5E" w:rsidRPr="00D848CE" w:rsidRDefault="006B03A2" w:rsidP="00BE3276">
      <w:pPr>
        <w:pStyle w:val="Paragraph"/>
        <w:keepNext/>
        <w:numPr>
          <w:ilvl w:val="0"/>
          <w:numId w:val="6"/>
        </w:numPr>
        <w:tabs>
          <w:tab w:val="num" w:pos="1800"/>
        </w:tabs>
        <w:rPr>
          <w:rFonts w:ascii="Arial" w:hAnsi="Arial" w:cs="Arial"/>
          <w:b/>
          <w:sz w:val="22"/>
          <w:szCs w:val="22"/>
          <w:lang w:val="es-ES_tradnl"/>
        </w:rPr>
      </w:pPr>
      <w:bookmarkStart w:id="9" w:name="_Toc479116392"/>
      <w:r w:rsidRPr="00D848CE">
        <w:rPr>
          <w:rFonts w:ascii="Arial" w:hAnsi="Arial" w:cs="Arial"/>
          <w:b/>
          <w:sz w:val="22"/>
          <w:szCs w:val="22"/>
          <w:lang w:val="es-ES_tradnl"/>
        </w:rPr>
        <w:t xml:space="preserve">Metodología para la </w:t>
      </w:r>
      <w:r w:rsidR="003D0D5E" w:rsidRPr="00D848CE">
        <w:rPr>
          <w:rFonts w:ascii="Arial" w:hAnsi="Arial" w:cs="Arial"/>
          <w:b/>
          <w:sz w:val="22"/>
          <w:szCs w:val="22"/>
          <w:lang w:val="es-ES_tradnl"/>
        </w:rPr>
        <w:t xml:space="preserve">Estimación </w:t>
      </w:r>
      <w:r w:rsidR="00A00A3D" w:rsidRPr="00D848CE">
        <w:rPr>
          <w:rFonts w:ascii="Arial" w:hAnsi="Arial" w:cs="Arial"/>
          <w:b/>
          <w:sz w:val="22"/>
          <w:szCs w:val="22"/>
          <w:lang w:val="es-ES_tradnl"/>
        </w:rPr>
        <w:t>de los Beneficios</w:t>
      </w:r>
      <w:bookmarkEnd w:id="9"/>
    </w:p>
    <w:p w14:paraId="5DBBD093" w14:textId="77777777" w:rsidR="004A7121" w:rsidRPr="00D848CE" w:rsidRDefault="004A7121" w:rsidP="008B5547">
      <w:pPr>
        <w:pStyle w:val="Paragraph"/>
        <w:numPr>
          <w:ilvl w:val="1"/>
          <w:numId w:val="2"/>
        </w:numPr>
        <w:tabs>
          <w:tab w:val="num" w:pos="720"/>
        </w:tabs>
        <w:autoSpaceDE w:val="0"/>
        <w:autoSpaceDN w:val="0"/>
        <w:adjustRightInd w:val="0"/>
        <w:ind w:left="720" w:hanging="720"/>
        <w:outlineLvl w:val="9"/>
        <w:rPr>
          <w:rFonts w:ascii="Arial" w:hAnsi="Arial" w:cs="Arial"/>
          <w:sz w:val="22"/>
          <w:szCs w:val="22"/>
          <w:lang w:val="es-ES_tradnl"/>
        </w:rPr>
      </w:pPr>
      <w:r w:rsidRPr="00D848CE">
        <w:rPr>
          <w:rFonts w:ascii="Arial" w:hAnsi="Arial" w:cs="Arial"/>
          <w:sz w:val="22"/>
          <w:szCs w:val="22"/>
          <w:lang w:val="es-ES_tradnl"/>
        </w:rPr>
        <w:t xml:space="preserve">La metodología adoptada para </w:t>
      </w:r>
      <w:r w:rsidR="009D3C73" w:rsidRPr="00D848CE">
        <w:rPr>
          <w:rFonts w:ascii="Arial" w:hAnsi="Arial" w:cs="Arial"/>
          <w:sz w:val="22"/>
          <w:szCs w:val="22"/>
          <w:lang w:val="es-ES_tradnl"/>
        </w:rPr>
        <w:t xml:space="preserve">estimar </w:t>
      </w:r>
      <w:r w:rsidRPr="00D848CE">
        <w:rPr>
          <w:rFonts w:ascii="Arial" w:hAnsi="Arial" w:cs="Arial"/>
          <w:sz w:val="22"/>
          <w:szCs w:val="22"/>
          <w:lang w:val="es-ES_tradnl"/>
        </w:rPr>
        <w:t xml:space="preserve">los beneficios </w:t>
      </w:r>
      <w:r w:rsidR="00BB1D40" w:rsidRPr="00D848CE">
        <w:rPr>
          <w:rFonts w:ascii="Arial" w:hAnsi="Arial" w:cs="Arial"/>
          <w:sz w:val="22"/>
          <w:szCs w:val="22"/>
          <w:lang w:val="es-ES_tradnl"/>
        </w:rPr>
        <w:t>resultantes</w:t>
      </w:r>
      <w:r w:rsidR="009D3C73" w:rsidRPr="00D848CE">
        <w:rPr>
          <w:rFonts w:ascii="Arial" w:hAnsi="Arial" w:cs="Arial"/>
          <w:sz w:val="22"/>
          <w:szCs w:val="22"/>
          <w:lang w:val="es-ES_tradnl"/>
        </w:rPr>
        <w:t xml:space="preserve"> </w:t>
      </w:r>
      <w:r w:rsidR="00DA6257" w:rsidRPr="00D848CE">
        <w:rPr>
          <w:rFonts w:ascii="Arial" w:hAnsi="Arial" w:cs="Arial"/>
          <w:sz w:val="22"/>
          <w:szCs w:val="22"/>
          <w:lang w:val="es-ES_tradnl"/>
        </w:rPr>
        <w:t xml:space="preserve">de la implementación de la </w:t>
      </w:r>
      <w:r w:rsidR="00DA6257" w:rsidRPr="00D848CE">
        <w:rPr>
          <w:rFonts w:ascii="Arial" w:hAnsi="Arial" w:cs="Arial"/>
          <w:b/>
          <w:sz w:val="22"/>
          <w:szCs w:val="22"/>
          <w:lang w:val="es-ES_tradnl"/>
        </w:rPr>
        <w:t>Factura E</w:t>
      </w:r>
      <w:r w:rsidRPr="00D848CE">
        <w:rPr>
          <w:rFonts w:ascii="Arial" w:hAnsi="Arial" w:cs="Arial"/>
          <w:b/>
          <w:sz w:val="22"/>
          <w:szCs w:val="22"/>
          <w:lang w:val="es-ES_tradnl"/>
        </w:rPr>
        <w:t>lectrónica</w:t>
      </w:r>
      <w:r w:rsidR="00DA6257" w:rsidRPr="00D848CE">
        <w:rPr>
          <w:rStyle w:val="FootnoteReference"/>
          <w:rFonts w:ascii="Arial" w:hAnsi="Arial" w:cs="Arial"/>
          <w:b/>
          <w:sz w:val="22"/>
          <w:szCs w:val="22"/>
          <w:lang w:val="es-ES_tradnl"/>
        </w:rPr>
        <w:footnoteReference w:id="53"/>
      </w:r>
      <w:r w:rsidRPr="00D848CE">
        <w:rPr>
          <w:rFonts w:ascii="Arial" w:hAnsi="Arial" w:cs="Arial"/>
          <w:sz w:val="22"/>
          <w:szCs w:val="22"/>
          <w:lang w:val="es-ES_tradnl"/>
        </w:rPr>
        <w:t>, toma como referencia los resultados de aumento de la recaudación de la experiencia de Rep</w:t>
      </w:r>
      <w:r w:rsidR="00BB1D40" w:rsidRPr="00D848CE">
        <w:rPr>
          <w:rFonts w:ascii="Arial" w:hAnsi="Arial" w:cs="Arial"/>
          <w:sz w:val="22"/>
          <w:szCs w:val="22"/>
          <w:lang w:val="es-ES_tradnl"/>
        </w:rPr>
        <w:t>ú</w:t>
      </w:r>
      <w:r w:rsidRPr="00D848CE">
        <w:rPr>
          <w:rFonts w:ascii="Arial" w:hAnsi="Arial" w:cs="Arial"/>
          <w:sz w:val="22"/>
          <w:szCs w:val="22"/>
          <w:lang w:val="es-ES_tradnl"/>
        </w:rPr>
        <w:t xml:space="preserve">blica Dominicana con la implantación </w:t>
      </w:r>
      <w:r w:rsidR="006447AE" w:rsidRPr="00D848CE">
        <w:rPr>
          <w:rFonts w:ascii="Arial" w:hAnsi="Arial" w:cs="Arial"/>
          <w:sz w:val="22"/>
          <w:szCs w:val="22"/>
          <w:lang w:val="es-ES_tradnl"/>
        </w:rPr>
        <w:t xml:space="preserve">del Proyecto denominado </w:t>
      </w:r>
      <w:r w:rsidR="00DA6257" w:rsidRPr="00D848CE">
        <w:rPr>
          <w:rFonts w:ascii="Arial" w:hAnsi="Arial" w:cs="Arial"/>
          <w:b/>
          <w:sz w:val="22"/>
          <w:szCs w:val="22"/>
          <w:lang w:val="es-ES_tradnl"/>
        </w:rPr>
        <w:t>Soluciones F</w:t>
      </w:r>
      <w:r w:rsidRPr="00D848CE">
        <w:rPr>
          <w:rFonts w:ascii="Arial" w:hAnsi="Arial" w:cs="Arial"/>
          <w:b/>
          <w:sz w:val="22"/>
          <w:szCs w:val="22"/>
          <w:lang w:val="es-ES_tradnl"/>
        </w:rPr>
        <w:t>iscales</w:t>
      </w:r>
      <w:r w:rsidRPr="00D848CE">
        <w:rPr>
          <w:rFonts w:ascii="Arial" w:hAnsi="Arial" w:cs="Arial"/>
          <w:sz w:val="22"/>
          <w:szCs w:val="22"/>
          <w:lang w:val="es-ES_tradnl"/>
        </w:rPr>
        <w:t xml:space="preserve">, </w:t>
      </w:r>
      <w:r w:rsidR="009D3C73" w:rsidRPr="00D848CE">
        <w:rPr>
          <w:rFonts w:ascii="Arial" w:hAnsi="Arial" w:cs="Arial"/>
          <w:sz w:val="22"/>
          <w:szCs w:val="22"/>
          <w:lang w:val="es-ES_tradnl"/>
        </w:rPr>
        <w:t>y simula la expansión de estos resultados para grupos de contribuyentes específicos</w:t>
      </w:r>
      <w:r w:rsidR="007F6DEB" w:rsidRPr="00D848CE">
        <w:rPr>
          <w:rFonts w:ascii="Arial" w:hAnsi="Arial" w:cs="Arial"/>
          <w:sz w:val="22"/>
          <w:szCs w:val="22"/>
          <w:lang w:val="es-ES_tradnl"/>
        </w:rPr>
        <w:t>, identificados más adelante</w:t>
      </w:r>
      <w:r w:rsidR="009D3C73" w:rsidRPr="00D848CE">
        <w:rPr>
          <w:rFonts w:ascii="Arial" w:hAnsi="Arial" w:cs="Arial"/>
          <w:sz w:val="22"/>
          <w:szCs w:val="22"/>
          <w:lang w:val="es-ES_tradnl"/>
        </w:rPr>
        <w:t>. Esta comparación es totalmente factible porque algun</w:t>
      </w:r>
      <w:r w:rsidR="007F6DEB" w:rsidRPr="00D848CE">
        <w:rPr>
          <w:rFonts w:ascii="Arial" w:hAnsi="Arial" w:cs="Arial"/>
          <w:sz w:val="22"/>
          <w:szCs w:val="22"/>
          <w:lang w:val="es-ES_tradnl"/>
        </w:rPr>
        <w:t>os</w:t>
      </w:r>
      <w:r w:rsidR="009D3C73" w:rsidRPr="00D848CE">
        <w:rPr>
          <w:rFonts w:ascii="Arial" w:hAnsi="Arial" w:cs="Arial"/>
          <w:sz w:val="22"/>
          <w:szCs w:val="22"/>
          <w:lang w:val="es-ES_tradnl"/>
        </w:rPr>
        <w:t xml:space="preserve"> </w:t>
      </w:r>
      <w:r w:rsidR="007F6DEB" w:rsidRPr="00D848CE">
        <w:rPr>
          <w:rFonts w:ascii="Arial" w:hAnsi="Arial" w:cs="Arial"/>
          <w:sz w:val="22"/>
          <w:szCs w:val="22"/>
          <w:lang w:val="es-ES_tradnl"/>
        </w:rPr>
        <w:t xml:space="preserve">de los beneficios de </w:t>
      </w:r>
      <w:r w:rsidR="009D2535" w:rsidRPr="00D848CE">
        <w:rPr>
          <w:rFonts w:ascii="Arial" w:hAnsi="Arial" w:cs="Arial"/>
          <w:sz w:val="22"/>
          <w:szCs w:val="22"/>
          <w:lang w:val="es-ES_tradnl"/>
        </w:rPr>
        <w:t>las soluciones</w:t>
      </w:r>
      <w:r w:rsidR="009D3C73" w:rsidRPr="00D848CE">
        <w:rPr>
          <w:rFonts w:ascii="Arial" w:hAnsi="Arial" w:cs="Arial"/>
          <w:sz w:val="22"/>
          <w:szCs w:val="22"/>
          <w:lang w:val="es-ES_tradnl"/>
        </w:rPr>
        <w:t xml:space="preserve"> fiscales son </w:t>
      </w:r>
      <w:r w:rsidR="007F6DEB" w:rsidRPr="00D848CE">
        <w:rPr>
          <w:rFonts w:ascii="Arial" w:hAnsi="Arial" w:cs="Arial"/>
          <w:sz w:val="22"/>
          <w:szCs w:val="22"/>
          <w:lang w:val="es-ES_tradnl"/>
        </w:rPr>
        <w:t xml:space="preserve">los mismos que </w:t>
      </w:r>
      <w:r w:rsidR="00771B48" w:rsidRPr="00D848CE">
        <w:rPr>
          <w:rFonts w:ascii="Arial" w:hAnsi="Arial" w:cs="Arial"/>
          <w:sz w:val="22"/>
          <w:szCs w:val="22"/>
          <w:lang w:val="es-ES_tradnl"/>
        </w:rPr>
        <w:t xml:space="preserve">los </w:t>
      </w:r>
      <w:r w:rsidR="007F6DEB" w:rsidRPr="00D848CE">
        <w:rPr>
          <w:rFonts w:ascii="Arial" w:hAnsi="Arial" w:cs="Arial"/>
          <w:sz w:val="22"/>
          <w:szCs w:val="22"/>
          <w:lang w:val="es-ES_tradnl"/>
        </w:rPr>
        <w:t>generados</w:t>
      </w:r>
      <w:r w:rsidR="009D3C73" w:rsidRPr="00D848CE">
        <w:rPr>
          <w:rFonts w:ascii="Arial" w:hAnsi="Arial" w:cs="Arial"/>
          <w:sz w:val="22"/>
          <w:szCs w:val="22"/>
          <w:lang w:val="es-ES_tradnl"/>
        </w:rPr>
        <w:t xml:space="preserve"> con la factura electrónica</w:t>
      </w:r>
      <w:r w:rsidR="007F6DEB" w:rsidRPr="00D848CE">
        <w:rPr>
          <w:rFonts w:ascii="Arial" w:hAnsi="Arial" w:cs="Arial"/>
          <w:sz w:val="22"/>
          <w:szCs w:val="22"/>
          <w:lang w:val="es-ES_tradnl"/>
        </w:rPr>
        <w:t>,</w:t>
      </w:r>
      <w:r w:rsidR="009D3C73" w:rsidRPr="00D848CE">
        <w:rPr>
          <w:rFonts w:ascii="Arial" w:hAnsi="Arial" w:cs="Arial"/>
          <w:sz w:val="22"/>
          <w:szCs w:val="22"/>
          <w:lang w:val="es-ES_tradnl"/>
        </w:rPr>
        <w:t xml:space="preserve"> pero no cuentan ni con la universalidad de </w:t>
      </w:r>
      <w:r w:rsidR="007F6DEB" w:rsidRPr="00D848CE">
        <w:rPr>
          <w:rFonts w:ascii="Arial" w:hAnsi="Arial" w:cs="Arial"/>
          <w:sz w:val="22"/>
          <w:szCs w:val="22"/>
          <w:lang w:val="es-ES_tradnl"/>
        </w:rPr>
        <w:t>su</w:t>
      </w:r>
      <w:r w:rsidR="009D3C73" w:rsidRPr="00D848CE">
        <w:rPr>
          <w:rFonts w:ascii="Arial" w:hAnsi="Arial" w:cs="Arial"/>
          <w:sz w:val="22"/>
          <w:szCs w:val="22"/>
          <w:lang w:val="es-ES_tradnl"/>
        </w:rPr>
        <w:t xml:space="preserve"> aplicación, </w:t>
      </w:r>
      <w:r w:rsidR="00771B48" w:rsidRPr="00D848CE">
        <w:rPr>
          <w:rFonts w:ascii="Arial" w:hAnsi="Arial" w:cs="Arial"/>
          <w:sz w:val="22"/>
          <w:szCs w:val="22"/>
          <w:lang w:val="es-ES_tradnl"/>
        </w:rPr>
        <w:t xml:space="preserve">ya </w:t>
      </w:r>
      <w:r w:rsidR="00DA6257" w:rsidRPr="00D848CE">
        <w:rPr>
          <w:rFonts w:ascii="Arial" w:hAnsi="Arial" w:cs="Arial"/>
          <w:sz w:val="22"/>
          <w:szCs w:val="22"/>
          <w:lang w:val="es-ES_tradnl"/>
        </w:rPr>
        <w:t>están mayormente controlando transacciones relacionadas a la venta de bienes</w:t>
      </w:r>
      <w:r w:rsidR="007F6DEB" w:rsidRPr="00D848CE">
        <w:rPr>
          <w:rFonts w:ascii="Arial" w:hAnsi="Arial" w:cs="Arial"/>
          <w:sz w:val="22"/>
          <w:szCs w:val="22"/>
          <w:lang w:val="es-ES_tradnl"/>
        </w:rPr>
        <w:t xml:space="preserve"> al consumidor final</w:t>
      </w:r>
      <w:r w:rsidR="00DA6257" w:rsidRPr="00D848CE">
        <w:rPr>
          <w:rFonts w:ascii="Arial" w:hAnsi="Arial" w:cs="Arial"/>
          <w:sz w:val="22"/>
          <w:szCs w:val="22"/>
          <w:lang w:val="es-ES_tradnl"/>
        </w:rPr>
        <w:t>, así como no cuenta</w:t>
      </w:r>
      <w:r w:rsidR="00771B48" w:rsidRPr="00D848CE">
        <w:rPr>
          <w:rFonts w:ascii="Arial" w:hAnsi="Arial" w:cs="Arial"/>
          <w:sz w:val="22"/>
          <w:szCs w:val="22"/>
          <w:lang w:val="es-ES_tradnl"/>
        </w:rPr>
        <w:t>n</w:t>
      </w:r>
      <w:r w:rsidR="00DA6257" w:rsidRPr="00D848CE">
        <w:rPr>
          <w:rFonts w:ascii="Arial" w:hAnsi="Arial" w:cs="Arial"/>
          <w:sz w:val="22"/>
          <w:szCs w:val="22"/>
          <w:lang w:val="es-ES_tradnl"/>
        </w:rPr>
        <w:t xml:space="preserve"> </w:t>
      </w:r>
      <w:r w:rsidR="009D3C73" w:rsidRPr="00D848CE">
        <w:rPr>
          <w:rFonts w:ascii="Arial" w:hAnsi="Arial" w:cs="Arial"/>
          <w:sz w:val="22"/>
          <w:szCs w:val="22"/>
          <w:lang w:val="es-ES_tradnl"/>
        </w:rPr>
        <w:t xml:space="preserve">con toda la información que la Factura electrónica genera. Por lo tanto, esta comparación puede ser considerada bastante conservadora, llevando en cuenta que los beneficios de la factura electrónica sobre las soluciones fiscales son mucho más significativos.  </w:t>
      </w:r>
      <w:r w:rsidRPr="00D848CE">
        <w:rPr>
          <w:rFonts w:ascii="Arial" w:hAnsi="Arial" w:cs="Arial"/>
          <w:sz w:val="22"/>
          <w:szCs w:val="22"/>
          <w:lang w:val="es-ES_tradnl"/>
        </w:rPr>
        <w:t xml:space="preserve"> </w:t>
      </w:r>
    </w:p>
    <w:p w14:paraId="093D834E" w14:textId="77777777" w:rsidR="009D3C73" w:rsidRPr="00D848CE" w:rsidRDefault="00DA6257" w:rsidP="008B5547">
      <w:pPr>
        <w:pStyle w:val="Paragraph"/>
        <w:numPr>
          <w:ilvl w:val="1"/>
          <w:numId w:val="2"/>
        </w:numPr>
        <w:tabs>
          <w:tab w:val="num" w:pos="720"/>
        </w:tabs>
        <w:autoSpaceDE w:val="0"/>
        <w:autoSpaceDN w:val="0"/>
        <w:adjustRightInd w:val="0"/>
        <w:ind w:left="720" w:hanging="720"/>
        <w:outlineLvl w:val="9"/>
        <w:rPr>
          <w:rFonts w:ascii="Arial" w:hAnsi="Arial" w:cs="Arial"/>
          <w:sz w:val="22"/>
          <w:szCs w:val="22"/>
          <w:lang w:val="es-ES_tradnl"/>
        </w:rPr>
      </w:pPr>
      <w:r w:rsidRPr="00D848CE">
        <w:rPr>
          <w:rFonts w:ascii="Arial" w:hAnsi="Arial" w:cs="Arial"/>
          <w:b/>
          <w:sz w:val="22"/>
          <w:szCs w:val="22"/>
          <w:lang w:val="es-ES_tradnl"/>
        </w:rPr>
        <w:lastRenderedPageBreak/>
        <w:t>Implementación de Soluciones F</w:t>
      </w:r>
      <w:r w:rsidR="00A60BB7" w:rsidRPr="00D848CE">
        <w:rPr>
          <w:rFonts w:ascii="Arial" w:hAnsi="Arial" w:cs="Arial"/>
          <w:b/>
          <w:sz w:val="22"/>
          <w:szCs w:val="22"/>
          <w:lang w:val="es-ES_tradnl"/>
        </w:rPr>
        <w:t>iscales</w:t>
      </w:r>
      <w:r w:rsidR="00DE01D6" w:rsidRPr="00D848CE">
        <w:rPr>
          <w:rStyle w:val="FootnoteReference"/>
          <w:rFonts w:ascii="Arial" w:hAnsi="Arial" w:cs="Arial"/>
          <w:b/>
          <w:sz w:val="22"/>
          <w:szCs w:val="22"/>
          <w:lang w:val="es-ES_tradnl"/>
        </w:rPr>
        <w:footnoteReference w:id="54"/>
      </w:r>
      <w:r w:rsidR="00A60BB7" w:rsidRPr="00D848CE">
        <w:rPr>
          <w:rFonts w:ascii="Arial" w:hAnsi="Arial" w:cs="Arial"/>
          <w:b/>
          <w:sz w:val="22"/>
          <w:szCs w:val="22"/>
          <w:lang w:val="es-ES_tradnl"/>
        </w:rPr>
        <w:t>.</w:t>
      </w:r>
      <w:r w:rsidR="00DB2C51" w:rsidRPr="00D848CE">
        <w:rPr>
          <w:rFonts w:ascii="Arial" w:hAnsi="Arial" w:cs="Arial"/>
          <w:sz w:val="22"/>
          <w:szCs w:val="22"/>
          <w:lang w:val="es-ES_tradnl"/>
        </w:rPr>
        <w:t xml:space="preserve"> Las soluciones fiscales son equipos cuya tecnología permite a la </w:t>
      </w:r>
      <w:r w:rsidR="00771B48" w:rsidRPr="00D848CE">
        <w:rPr>
          <w:rFonts w:ascii="Arial" w:hAnsi="Arial" w:cs="Arial"/>
          <w:sz w:val="22"/>
          <w:szCs w:val="22"/>
          <w:lang w:val="es-ES_tradnl"/>
        </w:rPr>
        <w:t>AT</w:t>
      </w:r>
      <w:r w:rsidR="00DB2C51" w:rsidRPr="00D848CE">
        <w:rPr>
          <w:rFonts w:ascii="Arial" w:hAnsi="Arial" w:cs="Arial"/>
          <w:sz w:val="22"/>
          <w:szCs w:val="22"/>
          <w:lang w:val="es-ES_tradnl"/>
        </w:rPr>
        <w:t xml:space="preserve"> habilitar puntos de control de las ventas dentro del negocio. </w:t>
      </w:r>
    </w:p>
    <w:p w14:paraId="17E2EA08" w14:textId="77777777" w:rsidR="005607B3" w:rsidRPr="00D848CE" w:rsidRDefault="005607B3" w:rsidP="008B5547">
      <w:pPr>
        <w:pStyle w:val="Paragraph"/>
        <w:numPr>
          <w:ilvl w:val="1"/>
          <w:numId w:val="2"/>
        </w:numPr>
        <w:tabs>
          <w:tab w:val="num" w:pos="720"/>
        </w:tabs>
        <w:autoSpaceDE w:val="0"/>
        <w:autoSpaceDN w:val="0"/>
        <w:adjustRightInd w:val="0"/>
        <w:ind w:left="720" w:hanging="720"/>
        <w:outlineLvl w:val="9"/>
        <w:rPr>
          <w:rFonts w:ascii="Arial" w:hAnsi="Arial" w:cs="Arial"/>
          <w:sz w:val="22"/>
          <w:szCs w:val="22"/>
          <w:lang w:val="es-ES_tradnl"/>
        </w:rPr>
      </w:pPr>
      <w:r w:rsidRPr="00D848CE">
        <w:rPr>
          <w:rFonts w:ascii="Arial" w:hAnsi="Arial" w:cs="Arial"/>
          <w:sz w:val="22"/>
          <w:szCs w:val="22"/>
          <w:lang w:val="es-ES_tradnl"/>
        </w:rPr>
        <w:t xml:space="preserve">El control de las ventas a consumidores finales es una de las áreas más críticas del cumplimiento tributario, siendo la omisión de estas ventas una de las prácticas más recurrentes por los contribuyentes para evadir el pago de impuestos, especialmente cuando se enfrentan a un escenario normativo de poco control y a una baja probabilidad de ser fiscalizados. Para enfrentar este problema, algunas </w:t>
      </w:r>
      <w:r w:rsidR="00A75CE1" w:rsidRPr="00D848CE">
        <w:rPr>
          <w:rFonts w:ascii="Arial" w:hAnsi="Arial" w:cs="Arial"/>
          <w:sz w:val="22"/>
          <w:szCs w:val="22"/>
          <w:lang w:val="es-ES_tradnl"/>
        </w:rPr>
        <w:t xml:space="preserve">AT están aplicando la </w:t>
      </w:r>
      <w:r w:rsidRPr="00D848CE">
        <w:rPr>
          <w:rFonts w:ascii="Arial" w:hAnsi="Arial" w:cs="Arial"/>
          <w:sz w:val="22"/>
          <w:szCs w:val="22"/>
          <w:lang w:val="es-ES_tradnl"/>
        </w:rPr>
        <w:t>solución tecnológica que ha dado excelentes resultados. Esta medida es conocida como Soluciones Fiscales (SF) y su tecnología permite a la AT habilitar puntos de control de ventas dentro de los negocios similar a una fiscalización de punto fijo</w:t>
      </w:r>
      <w:r w:rsidR="00073648" w:rsidRPr="00D848CE">
        <w:rPr>
          <w:rStyle w:val="FootnoteReference"/>
          <w:rFonts w:ascii="Arial" w:hAnsi="Arial" w:cs="Arial"/>
          <w:sz w:val="22"/>
          <w:szCs w:val="22"/>
          <w:lang w:val="es-ES_tradnl"/>
        </w:rPr>
        <w:footnoteReference w:id="55"/>
      </w:r>
      <w:r w:rsidRPr="00D848CE">
        <w:rPr>
          <w:rFonts w:ascii="Arial" w:hAnsi="Arial" w:cs="Arial"/>
          <w:sz w:val="22"/>
          <w:szCs w:val="22"/>
          <w:lang w:val="es-ES_tradnl"/>
        </w:rPr>
        <w:t xml:space="preserve">. La instalación de las soluciones fiscales ayuda a la formalización de los negocios y permite tener más control de las ventas realizadas. De esta </w:t>
      </w:r>
      <w:r w:rsidR="00771B48" w:rsidRPr="00D848CE">
        <w:rPr>
          <w:rFonts w:ascii="Arial" w:hAnsi="Arial" w:cs="Arial"/>
          <w:sz w:val="22"/>
          <w:szCs w:val="22"/>
          <w:lang w:val="es-ES_tradnl"/>
        </w:rPr>
        <w:t xml:space="preserve">forma, </w:t>
      </w:r>
      <w:r w:rsidRPr="00D848CE">
        <w:rPr>
          <w:rFonts w:ascii="Arial" w:hAnsi="Arial" w:cs="Arial"/>
          <w:sz w:val="22"/>
          <w:szCs w:val="22"/>
          <w:lang w:val="es-ES_tradnl"/>
        </w:rPr>
        <w:t>todas las áreas del comercio pueden trabajar bajo las mismas condiciones, aumentando la equidad y disminuyendo la competencia desleal.</w:t>
      </w:r>
    </w:p>
    <w:p w14:paraId="7738EC33" w14:textId="77777777" w:rsidR="0078643C" w:rsidRPr="00D848CE" w:rsidRDefault="00A60BB7"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sz w:val="22"/>
          <w:szCs w:val="22"/>
          <w:lang w:val="es-ES_tradnl"/>
        </w:rPr>
        <w:t xml:space="preserve">Del total de ventas reportadas por los contribuyentes en el 2015, excluyendo las exportaciones y </w:t>
      </w:r>
      <w:r w:rsidRPr="00D848CE">
        <w:rPr>
          <w:rFonts w:ascii="Arial" w:hAnsi="Arial" w:cs="Arial"/>
          <w:bCs/>
          <w:color w:val="000000"/>
          <w:sz w:val="22"/>
          <w:szCs w:val="22"/>
          <w:lang w:val="es-ES_tradnl"/>
        </w:rPr>
        <w:t>compras</w:t>
      </w:r>
      <w:r w:rsidRPr="00D848CE">
        <w:rPr>
          <w:rFonts w:ascii="Arial" w:hAnsi="Arial" w:cs="Arial"/>
          <w:sz w:val="22"/>
          <w:szCs w:val="22"/>
          <w:lang w:val="es-ES_tradnl"/>
        </w:rPr>
        <w:t xml:space="preserve"> del gobierno, el 61% fue para uso intermedio o ventas entre empresas y el restante 39% fueron ventas con destino a consumo final (Ver gráfico</w:t>
      </w:r>
      <w:r w:rsidR="008E7BF5" w:rsidRPr="00D848CE">
        <w:rPr>
          <w:rFonts w:ascii="Arial" w:hAnsi="Arial" w:cs="Arial"/>
          <w:sz w:val="22"/>
          <w:szCs w:val="22"/>
          <w:lang w:val="es-ES_tradnl"/>
        </w:rPr>
        <w:t xml:space="preserve"> 3</w:t>
      </w:r>
      <w:r w:rsidRPr="00D848CE">
        <w:rPr>
          <w:rFonts w:ascii="Arial" w:hAnsi="Arial" w:cs="Arial"/>
          <w:sz w:val="22"/>
          <w:szCs w:val="22"/>
          <w:lang w:val="es-ES_tradnl"/>
        </w:rPr>
        <w:t xml:space="preserve">). En ese mismo año, la DGII poseía mecanismos para controlar las ventas de consumo intermedio, así como las ventas realizadas con tarjetas de crédito o débito. No obstante, gracias a la implementación de las Soluciones Fiscales se les da seguimiento a las ventas efectuadas a consumidores finales realizadas en su mayoría en efectivo. </w:t>
      </w:r>
      <w:r w:rsidRPr="00D848CE">
        <w:rPr>
          <w:rFonts w:ascii="Arial" w:hAnsi="Arial" w:cs="Arial"/>
          <w:color w:val="000000"/>
          <w:sz w:val="22"/>
          <w:szCs w:val="22"/>
          <w:lang w:val="es-ES_tradnl"/>
        </w:rPr>
        <w:t xml:space="preserve">En este sentido, el proyecto de las Soluciones Fiscales viene a dar cobertura </w:t>
      </w:r>
      <w:r w:rsidR="00047165" w:rsidRPr="00D848CE">
        <w:rPr>
          <w:rFonts w:ascii="Arial" w:hAnsi="Arial" w:cs="Arial"/>
          <w:color w:val="000000"/>
          <w:sz w:val="22"/>
          <w:szCs w:val="22"/>
          <w:lang w:val="es-ES_tradnl"/>
        </w:rPr>
        <w:t>a,</w:t>
      </w:r>
      <w:r w:rsidRPr="00D848CE">
        <w:rPr>
          <w:rFonts w:ascii="Arial" w:hAnsi="Arial" w:cs="Arial"/>
          <w:color w:val="000000"/>
          <w:sz w:val="22"/>
          <w:szCs w:val="22"/>
          <w:lang w:val="es-ES_tradnl"/>
        </w:rPr>
        <w:t xml:space="preserve"> al menos</w:t>
      </w:r>
      <w:r w:rsidR="00047165"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el 32</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5% del total de las ventas a consumidor final. Este porcentaje corresponde a los sectores de ventas al por menor, bares, restaurantes y similares. </w:t>
      </w:r>
    </w:p>
    <w:p w14:paraId="5DCA62AD" w14:textId="77777777" w:rsidR="00F844A0" w:rsidRPr="00D848CE" w:rsidRDefault="0078643C" w:rsidP="008B5547">
      <w:pPr>
        <w:pStyle w:val="Paragraph"/>
        <w:keepNext/>
        <w:numPr>
          <w:ilvl w:val="0"/>
          <w:numId w:val="0"/>
        </w:numPr>
        <w:tabs>
          <w:tab w:val="num" w:pos="1800"/>
        </w:tabs>
        <w:autoSpaceDE w:val="0"/>
        <w:autoSpaceDN w:val="0"/>
        <w:adjustRightInd w:val="0"/>
        <w:ind w:left="720"/>
        <w:jc w:val="center"/>
        <w:outlineLvl w:val="9"/>
        <w:rPr>
          <w:rFonts w:ascii="Arial" w:hAnsi="Arial" w:cs="Arial"/>
          <w:b/>
          <w:color w:val="000000"/>
          <w:sz w:val="22"/>
          <w:szCs w:val="22"/>
          <w:lang w:val="es-ES_tradnl"/>
        </w:rPr>
      </w:pPr>
      <w:r w:rsidRPr="00D848CE">
        <w:rPr>
          <w:rFonts w:ascii="Arial" w:hAnsi="Arial" w:cs="Arial"/>
          <w:b/>
          <w:sz w:val="22"/>
          <w:szCs w:val="22"/>
          <w:lang w:val="es-ES_tradnl"/>
        </w:rPr>
        <w:lastRenderedPageBreak/>
        <w:t>Gráfico 3</w:t>
      </w:r>
    </w:p>
    <w:p w14:paraId="38387452" w14:textId="77777777" w:rsidR="00873C00" w:rsidRPr="00D848CE" w:rsidRDefault="00A60BB7" w:rsidP="008B5547">
      <w:pPr>
        <w:pStyle w:val="Paragraph"/>
        <w:numPr>
          <w:ilvl w:val="0"/>
          <w:numId w:val="0"/>
        </w:numPr>
        <w:tabs>
          <w:tab w:val="num" w:pos="1800"/>
        </w:tabs>
        <w:autoSpaceDE w:val="0"/>
        <w:autoSpaceDN w:val="0"/>
        <w:adjustRightInd w:val="0"/>
        <w:ind w:left="-270"/>
        <w:outlineLvl w:val="9"/>
        <w:rPr>
          <w:rFonts w:ascii="Arial" w:hAnsi="Arial" w:cs="Arial"/>
          <w:color w:val="000000"/>
          <w:sz w:val="22"/>
          <w:szCs w:val="22"/>
          <w:lang w:val="es-ES_tradnl"/>
        </w:rPr>
      </w:pPr>
      <w:r w:rsidRPr="00D848CE">
        <w:rPr>
          <w:rFonts w:ascii="Arial" w:hAnsi="Arial" w:cs="Arial"/>
          <w:noProof/>
          <w:sz w:val="22"/>
          <w:szCs w:val="22"/>
          <w:lang w:val="es-ES_tradnl" w:eastAsia="es-ES_tradnl"/>
        </w:rPr>
        <w:drawing>
          <wp:inline distT="0" distB="0" distL="0" distR="0" wp14:anchorId="76F49874" wp14:editId="208982D1">
            <wp:extent cx="6041784" cy="3591763"/>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9254" cy="3596204"/>
                    </a:xfrm>
                    <a:prstGeom prst="rect">
                      <a:avLst/>
                    </a:prstGeom>
                  </pic:spPr>
                </pic:pic>
              </a:graphicData>
            </a:graphic>
          </wp:inline>
        </w:drawing>
      </w:r>
    </w:p>
    <w:p w14:paraId="68D32FB9" w14:textId="77777777" w:rsidR="00B13922" w:rsidRPr="00D848CE" w:rsidRDefault="00A60BB7"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sz w:val="22"/>
          <w:szCs w:val="22"/>
          <w:lang w:val="es-ES_tradnl"/>
        </w:rPr>
        <w:t>En el año 2009, el 80% de los contribuyentes con Soluciones Fiscales estaban clasificados como grandes empresas y el 20% eran empresas micro, pequeñas o medianas (Mipymes). Para el año 2015, el 83% de las empresas con Soluciones Fiscales instaladas son consideradas Mipymes y el 17% restante son considerados grandes contribuyentes</w:t>
      </w:r>
      <w:r w:rsidR="005607B3" w:rsidRPr="00D848CE">
        <w:rPr>
          <w:rFonts w:ascii="Arial" w:hAnsi="Arial" w:cs="Arial"/>
          <w:sz w:val="22"/>
          <w:szCs w:val="22"/>
          <w:lang w:val="es-ES_tradnl"/>
        </w:rPr>
        <w:t>. Del total de Soluciones Fiscales instaladas al 31 de diciembre de 2015, el 71</w:t>
      </w:r>
      <w:r w:rsidR="00BC640D" w:rsidRPr="00D848CE">
        <w:rPr>
          <w:rFonts w:ascii="Arial" w:hAnsi="Arial" w:cs="Arial"/>
          <w:sz w:val="22"/>
          <w:szCs w:val="22"/>
          <w:lang w:val="es-ES_tradnl"/>
        </w:rPr>
        <w:t>,</w:t>
      </w:r>
      <w:r w:rsidR="005607B3" w:rsidRPr="00D848CE">
        <w:rPr>
          <w:rFonts w:ascii="Arial" w:hAnsi="Arial" w:cs="Arial"/>
          <w:sz w:val="22"/>
          <w:szCs w:val="22"/>
          <w:lang w:val="es-ES_tradnl"/>
        </w:rPr>
        <w:t>94% se encuentra ubicado en el Distrito Nacional, el 8</w:t>
      </w:r>
      <w:r w:rsidR="00BC640D" w:rsidRPr="00D848CE">
        <w:rPr>
          <w:rFonts w:ascii="Arial" w:hAnsi="Arial" w:cs="Arial"/>
          <w:sz w:val="22"/>
          <w:szCs w:val="22"/>
          <w:lang w:val="es-ES_tradnl"/>
        </w:rPr>
        <w:t>,</w:t>
      </w:r>
      <w:r w:rsidR="005607B3" w:rsidRPr="00D848CE">
        <w:rPr>
          <w:rFonts w:ascii="Arial" w:hAnsi="Arial" w:cs="Arial"/>
          <w:sz w:val="22"/>
          <w:szCs w:val="22"/>
          <w:lang w:val="es-ES_tradnl"/>
        </w:rPr>
        <w:t>23% en Santo Domingo, el 5</w:t>
      </w:r>
      <w:r w:rsidR="00BC640D" w:rsidRPr="00D848CE">
        <w:rPr>
          <w:rFonts w:ascii="Arial" w:hAnsi="Arial" w:cs="Arial"/>
          <w:sz w:val="22"/>
          <w:szCs w:val="22"/>
          <w:lang w:val="es-ES_tradnl"/>
        </w:rPr>
        <w:t>,</w:t>
      </w:r>
      <w:r w:rsidR="005607B3" w:rsidRPr="00D848CE">
        <w:rPr>
          <w:rFonts w:ascii="Arial" w:hAnsi="Arial" w:cs="Arial"/>
          <w:sz w:val="22"/>
          <w:szCs w:val="22"/>
          <w:lang w:val="es-ES_tradnl"/>
        </w:rPr>
        <w:t>51% en Santiago, mientras el restante 14</w:t>
      </w:r>
      <w:r w:rsidR="00BC640D" w:rsidRPr="00D848CE">
        <w:rPr>
          <w:rFonts w:ascii="Arial" w:hAnsi="Arial" w:cs="Arial"/>
          <w:sz w:val="22"/>
          <w:szCs w:val="22"/>
          <w:lang w:val="es-ES_tradnl"/>
        </w:rPr>
        <w:t>,</w:t>
      </w:r>
      <w:r w:rsidR="005607B3" w:rsidRPr="00D848CE">
        <w:rPr>
          <w:rFonts w:ascii="Arial" w:hAnsi="Arial" w:cs="Arial"/>
          <w:sz w:val="22"/>
          <w:szCs w:val="22"/>
          <w:lang w:val="es-ES_tradnl"/>
        </w:rPr>
        <w:t>31% se encuentra distribuido en las provincias de Baní, Cotuí, Hato Mayor, Hig</w:t>
      </w:r>
      <w:r w:rsidR="00B83DDC" w:rsidRPr="00D848CE">
        <w:rPr>
          <w:rFonts w:ascii="Arial" w:hAnsi="Arial" w:cs="Arial"/>
          <w:sz w:val="22"/>
          <w:szCs w:val="22"/>
          <w:lang w:val="es-ES_tradnl"/>
        </w:rPr>
        <w:t>ü</w:t>
      </w:r>
      <w:r w:rsidR="005607B3" w:rsidRPr="00D848CE">
        <w:rPr>
          <w:rFonts w:ascii="Arial" w:hAnsi="Arial" w:cs="Arial"/>
          <w:sz w:val="22"/>
          <w:szCs w:val="22"/>
          <w:lang w:val="es-ES_tradnl"/>
        </w:rPr>
        <w:t>ey, La Vega, Moca, entre otras.</w:t>
      </w:r>
    </w:p>
    <w:p w14:paraId="08DAC66B" w14:textId="77777777" w:rsidR="005607B3" w:rsidRPr="00D848CE" w:rsidRDefault="005607B3"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sz w:val="22"/>
          <w:szCs w:val="22"/>
          <w:lang w:val="es-ES_tradnl"/>
        </w:rPr>
        <w:t>De las 8</w:t>
      </w:r>
      <w:r w:rsidR="00BC640D" w:rsidRPr="00D848CE">
        <w:rPr>
          <w:rFonts w:ascii="Arial" w:hAnsi="Arial" w:cs="Arial"/>
          <w:sz w:val="22"/>
          <w:szCs w:val="22"/>
          <w:lang w:val="es-ES_tradnl"/>
        </w:rPr>
        <w:t>.</w:t>
      </w:r>
      <w:r w:rsidRPr="00D848CE">
        <w:rPr>
          <w:rFonts w:ascii="Arial" w:hAnsi="Arial" w:cs="Arial"/>
          <w:sz w:val="22"/>
          <w:szCs w:val="22"/>
          <w:lang w:val="es-ES_tradnl"/>
        </w:rPr>
        <w:t xml:space="preserve">737 soluciones instaladas, el 40% se encuentran en el sector de </w:t>
      </w:r>
      <w:r w:rsidR="00B83DDC" w:rsidRPr="00D848CE">
        <w:rPr>
          <w:rFonts w:ascii="Arial" w:hAnsi="Arial" w:cs="Arial"/>
          <w:sz w:val="22"/>
          <w:szCs w:val="22"/>
          <w:lang w:val="es-ES_tradnl"/>
        </w:rPr>
        <w:t>s</w:t>
      </w:r>
      <w:r w:rsidRPr="00D848CE">
        <w:rPr>
          <w:rFonts w:ascii="Arial" w:hAnsi="Arial" w:cs="Arial"/>
          <w:sz w:val="22"/>
          <w:szCs w:val="22"/>
          <w:lang w:val="es-ES_tradnl"/>
        </w:rPr>
        <w:t>upermercados, el 22</w:t>
      </w:r>
      <w:r w:rsidR="00BC640D" w:rsidRPr="00D848CE">
        <w:rPr>
          <w:rFonts w:ascii="Arial" w:hAnsi="Arial" w:cs="Arial"/>
          <w:sz w:val="22"/>
          <w:szCs w:val="22"/>
          <w:lang w:val="es-ES_tradnl"/>
        </w:rPr>
        <w:t>,</w:t>
      </w:r>
      <w:r w:rsidRPr="00D848CE">
        <w:rPr>
          <w:rFonts w:ascii="Arial" w:hAnsi="Arial" w:cs="Arial"/>
          <w:sz w:val="22"/>
          <w:szCs w:val="22"/>
          <w:lang w:val="es-ES_tradnl"/>
        </w:rPr>
        <w:t xml:space="preserve">6% en </w:t>
      </w:r>
      <w:r w:rsidR="00B83DDC" w:rsidRPr="00D848CE">
        <w:rPr>
          <w:rFonts w:ascii="Arial" w:hAnsi="Arial" w:cs="Arial"/>
          <w:sz w:val="22"/>
          <w:szCs w:val="22"/>
          <w:lang w:val="es-ES_tradnl"/>
        </w:rPr>
        <w:t>t</w:t>
      </w:r>
      <w:r w:rsidRPr="00D848CE">
        <w:rPr>
          <w:rFonts w:ascii="Arial" w:hAnsi="Arial" w:cs="Arial"/>
          <w:sz w:val="22"/>
          <w:szCs w:val="22"/>
          <w:lang w:val="es-ES_tradnl"/>
        </w:rPr>
        <w:t>iendas, el 7</w:t>
      </w:r>
      <w:r w:rsidR="00BC640D" w:rsidRPr="00D848CE">
        <w:rPr>
          <w:rFonts w:ascii="Arial" w:hAnsi="Arial" w:cs="Arial"/>
          <w:sz w:val="22"/>
          <w:szCs w:val="22"/>
          <w:lang w:val="es-ES_tradnl"/>
        </w:rPr>
        <w:t>,</w:t>
      </w:r>
      <w:r w:rsidRPr="00D848CE">
        <w:rPr>
          <w:rFonts w:ascii="Arial" w:hAnsi="Arial" w:cs="Arial"/>
          <w:sz w:val="22"/>
          <w:szCs w:val="22"/>
          <w:lang w:val="es-ES_tradnl"/>
        </w:rPr>
        <w:t xml:space="preserve">6% en el sector </w:t>
      </w:r>
      <w:r w:rsidR="00B83DDC" w:rsidRPr="00D848CE">
        <w:rPr>
          <w:rFonts w:ascii="Arial" w:hAnsi="Arial" w:cs="Arial"/>
          <w:sz w:val="22"/>
          <w:szCs w:val="22"/>
          <w:lang w:val="es-ES_tradnl"/>
        </w:rPr>
        <w:t>de comida rápida</w:t>
      </w:r>
      <w:r w:rsidRPr="00D848CE">
        <w:rPr>
          <w:rFonts w:ascii="Arial" w:hAnsi="Arial" w:cs="Arial"/>
          <w:sz w:val="22"/>
          <w:szCs w:val="22"/>
          <w:lang w:val="es-ES_tradnl"/>
        </w:rPr>
        <w:t>, el 7</w:t>
      </w:r>
      <w:r w:rsidR="00BC640D" w:rsidRPr="00D848CE">
        <w:rPr>
          <w:rFonts w:ascii="Arial" w:hAnsi="Arial" w:cs="Arial"/>
          <w:sz w:val="22"/>
          <w:szCs w:val="22"/>
          <w:lang w:val="es-ES_tradnl"/>
        </w:rPr>
        <w:t>,</w:t>
      </w:r>
      <w:r w:rsidRPr="00D848CE">
        <w:rPr>
          <w:rFonts w:ascii="Arial" w:hAnsi="Arial" w:cs="Arial"/>
          <w:sz w:val="22"/>
          <w:szCs w:val="22"/>
          <w:lang w:val="es-ES_tradnl"/>
        </w:rPr>
        <w:t xml:space="preserve">4% en </w:t>
      </w:r>
      <w:r w:rsidR="00B83DDC" w:rsidRPr="00D848CE">
        <w:rPr>
          <w:rFonts w:ascii="Arial" w:hAnsi="Arial" w:cs="Arial"/>
          <w:sz w:val="22"/>
          <w:szCs w:val="22"/>
          <w:lang w:val="es-ES_tradnl"/>
        </w:rPr>
        <w:t>r</w:t>
      </w:r>
      <w:r w:rsidRPr="00D848CE">
        <w:rPr>
          <w:rFonts w:ascii="Arial" w:hAnsi="Arial" w:cs="Arial"/>
          <w:sz w:val="22"/>
          <w:szCs w:val="22"/>
          <w:lang w:val="es-ES_tradnl"/>
        </w:rPr>
        <w:t xml:space="preserve">estaurantes, el 6% en </w:t>
      </w:r>
      <w:r w:rsidR="00B83DDC" w:rsidRPr="00D848CE">
        <w:rPr>
          <w:rFonts w:ascii="Arial" w:hAnsi="Arial" w:cs="Arial"/>
          <w:sz w:val="22"/>
          <w:szCs w:val="22"/>
          <w:lang w:val="es-ES_tradnl"/>
        </w:rPr>
        <w:t>f</w:t>
      </w:r>
      <w:r w:rsidRPr="00D848CE">
        <w:rPr>
          <w:rFonts w:ascii="Arial" w:hAnsi="Arial" w:cs="Arial"/>
          <w:sz w:val="22"/>
          <w:szCs w:val="22"/>
          <w:lang w:val="es-ES_tradnl"/>
        </w:rPr>
        <w:t>erreterías y el 16</w:t>
      </w:r>
      <w:r w:rsidR="00BC640D" w:rsidRPr="00D848CE">
        <w:rPr>
          <w:rFonts w:ascii="Arial" w:hAnsi="Arial" w:cs="Arial"/>
          <w:sz w:val="22"/>
          <w:szCs w:val="22"/>
          <w:lang w:val="es-ES_tradnl"/>
        </w:rPr>
        <w:t>,</w:t>
      </w:r>
      <w:r w:rsidRPr="00D848CE">
        <w:rPr>
          <w:rFonts w:ascii="Arial" w:hAnsi="Arial" w:cs="Arial"/>
          <w:sz w:val="22"/>
          <w:szCs w:val="22"/>
          <w:lang w:val="es-ES_tradnl"/>
        </w:rPr>
        <w:t xml:space="preserve">4% restante en </w:t>
      </w:r>
      <w:r w:rsidR="00B83DDC" w:rsidRPr="00D848CE">
        <w:rPr>
          <w:rFonts w:ascii="Arial" w:hAnsi="Arial" w:cs="Arial"/>
          <w:sz w:val="22"/>
          <w:szCs w:val="22"/>
          <w:lang w:val="es-ES_tradnl"/>
        </w:rPr>
        <w:t>c</w:t>
      </w:r>
      <w:r w:rsidRPr="00D848CE">
        <w:rPr>
          <w:rFonts w:ascii="Arial" w:hAnsi="Arial" w:cs="Arial"/>
          <w:sz w:val="22"/>
          <w:szCs w:val="22"/>
          <w:lang w:val="es-ES_tradnl"/>
        </w:rPr>
        <w:t xml:space="preserve">olmados y </w:t>
      </w:r>
      <w:r w:rsidR="00B83DDC" w:rsidRPr="00D848CE">
        <w:rPr>
          <w:rFonts w:ascii="Arial" w:hAnsi="Arial" w:cs="Arial"/>
          <w:sz w:val="22"/>
          <w:szCs w:val="22"/>
          <w:lang w:val="es-ES_tradnl"/>
        </w:rPr>
        <w:t>r</w:t>
      </w:r>
      <w:r w:rsidRPr="00D848CE">
        <w:rPr>
          <w:rFonts w:ascii="Arial" w:hAnsi="Arial" w:cs="Arial"/>
          <w:sz w:val="22"/>
          <w:szCs w:val="22"/>
          <w:lang w:val="es-ES_tradnl"/>
        </w:rPr>
        <w:t xml:space="preserve">eposterías, </w:t>
      </w:r>
      <w:r w:rsidR="00B83DDC" w:rsidRPr="00D848CE">
        <w:rPr>
          <w:rFonts w:ascii="Arial" w:hAnsi="Arial" w:cs="Arial"/>
          <w:sz w:val="22"/>
          <w:szCs w:val="22"/>
          <w:lang w:val="es-ES_tradnl"/>
        </w:rPr>
        <w:t>f</w:t>
      </w:r>
      <w:r w:rsidRPr="00D848CE">
        <w:rPr>
          <w:rFonts w:ascii="Arial" w:hAnsi="Arial" w:cs="Arial"/>
          <w:sz w:val="22"/>
          <w:szCs w:val="22"/>
          <w:lang w:val="es-ES_tradnl"/>
        </w:rPr>
        <w:t xml:space="preserve">armacias, </w:t>
      </w:r>
      <w:r w:rsidR="00B83DDC" w:rsidRPr="00D848CE">
        <w:rPr>
          <w:rFonts w:ascii="Arial" w:hAnsi="Arial" w:cs="Arial"/>
          <w:sz w:val="22"/>
          <w:szCs w:val="22"/>
          <w:lang w:val="es-ES_tradnl"/>
        </w:rPr>
        <w:t>h</w:t>
      </w:r>
      <w:r w:rsidRPr="00D848CE">
        <w:rPr>
          <w:rFonts w:ascii="Arial" w:hAnsi="Arial" w:cs="Arial"/>
          <w:sz w:val="22"/>
          <w:szCs w:val="22"/>
          <w:lang w:val="es-ES_tradnl"/>
        </w:rPr>
        <w:t xml:space="preserve">oteles, </w:t>
      </w:r>
      <w:r w:rsidR="00B83DDC" w:rsidRPr="00D848CE">
        <w:rPr>
          <w:rFonts w:ascii="Arial" w:hAnsi="Arial" w:cs="Arial"/>
          <w:sz w:val="22"/>
          <w:szCs w:val="22"/>
          <w:lang w:val="es-ES_tradnl"/>
        </w:rPr>
        <w:t>t</w:t>
      </w:r>
      <w:r w:rsidRPr="00D848CE">
        <w:rPr>
          <w:rFonts w:ascii="Arial" w:hAnsi="Arial" w:cs="Arial"/>
          <w:sz w:val="22"/>
          <w:szCs w:val="22"/>
          <w:lang w:val="es-ES_tradnl"/>
        </w:rPr>
        <w:t xml:space="preserve">alleres y </w:t>
      </w:r>
      <w:r w:rsidR="00B83DDC" w:rsidRPr="00D848CE">
        <w:rPr>
          <w:rFonts w:ascii="Arial" w:hAnsi="Arial" w:cs="Arial"/>
          <w:sz w:val="22"/>
          <w:szCs w:val="22"/>
          <w:lang w:val="es-ES_tradnl"/>
        </w:rPr>
        <w:t>o</w:t>
      </w:r>
      <w:r w:rsidRPr="00D848CE">
        <w:rPr>
          <w:rFonts w:ascii="Arial" w:hAnsi="Arial" w:cs="Arial"/>
          <w:sz w:val="22"/>
          <w:szCs w:val="22"/>
          <w:lang w:val="es-ES_tradnl"/>
        </w:rPr>
        <w:t>tros. Las características principales de estos sectores es que venden al detalle y su porcentaje de ventas a consumidores finales representó 73% del total de sus ventas reportadas en el 2015.</w:t>
      </w:r>
    </w:p>
    <w:p w14:paraId="4BFAB429" w14:textId="77777777" w:rsidR="0078643C" w:rsidRPr="00D848CE" w:rsidRDefault="0078643C" w:rsidP="008B5547">
      <w:pPr>
        <w:pStyle w:val="Paragraph"/>
        <w:keepNext/>
        <w:numPr>
          <w:ilvl w:val="0"/>
          <w:numId w:val="0"/>
        </w:numPr>
        <w:tabs>
          <w:tab w:val="num" w:pos="1800"/>
        </w:tabs>
        <w:autoSpaceDE w:val="0"/>
        <w:autoSpaceDN w:val="0"/>
        <w:adjustRightInd w:val="0"/>
        <w:ind w:left="720"/>
        <w:jc w:val="center"/>
        <w:outlineLvl w:val="9"/>
        <w:rPr>
          <w:rFonts w:ascii="Arial" w:hAnsi="Arial" w:cs="Arial"/>
          <w:b/>
          <w:color w:val="000000"/>
          <w:sz w:val="22"/>
          <w:szCs w:val="22"/>
          <w:lang w:val="es-ES_tradnl"/>
        </w:rPr>
      </w:pPr>
      <w:r w:rsidRPr="00D848CE">
        <w:rPr>
          <w:rFonts w:ascii="Arial" w:hAnsi="Arial" w:cs="Arial"/>
          <w:b/>
          <w:sz w:val="22"/>
          <w:szCs w:val="22"/>
          <w:lang w:val="es-ES_tradnl"/>
        </w:rPr>
        <w:lastRenderedPageBreak/>
        <w:t>Cuadro 1</w:t>
      </w:r>
    </w:p>
    <w:p w14:paraId="6BDE790F" w14:textId="77777777" w:rsidR="005607B3" w:rsidRPr="00D848CE" w:rsidRDefault="00E7573F" w:rsidP="008B5547">
      <w:pPr>
        <w:pStyle w:val="Paragraph"/>
        <w:numPr>
          <w:ilvl w:val="0"/>
          <w:numId w:val="0"/>
        </w:numPr>
        <w:autoSpaceDE w:val="0"/>
        <w:autoSpaceDN w:val="0"/>
        <w:adjustRightInd w:val="0"/>
        <w:ind w:left="180"/>
        <w:outlineLvl w:val="9"/>
        <w:rPr>
          <w:rFonts w:ascii="Arial" w:hAnsi="Arial" w:cs="Arial"/>
          <w:color w:val="000000"/>
          <w:sz w:val="22"/>
          <w:szCs w:val="22"/>
          <w:lang w:val="es-ES_tradnl"/>
        </w:rPr>
      </w:pPr>
      <w:r w:rsidRPr="00D848CE">
        <w:rPr>
          <w:rFonts w:ascii="Arial" w:hAnsi="Arial" w:cs="Arial"/>
          <w:noProof/>
          <w:sz w:val="22"/>
          <w:szCs w:val="22"/>
          <w:lang w:val="es-ES_tradnl" w:eastAsia="es-ES_tradnl"/>
        </w:rPr>
        <w:drawing>
          <wp:inline distT="0" distB="0" distL="0" distR="0" wp14:anchorId="566C5C53" wp14:editId="161EB22C">
            <wp:extent cx="5787084" cy="2689761"/>
            <wp:effectExtent l="0" t="0" r="4445"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98231" cy="2694942"/>
                    </a:xfrm>
                    <a:prstGeom prst="rect">
                      <a:avLst/>
                    </a:prstGeom>
                  </pic:spPr>
                </pic:pic>
              </a:graphicData>
            </a:graphic>
          </wp:inline>
        </w:drawing>
      </w:r>
    </w:p>
    <w:p w14:paraId="50D7316E" w14:textId="77777777" w:rsidR="005607B3" w:rsidRPr="00D848CE" w:rsidRDefault="005607B3"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sz w:val="22"/>
          <w:szCs w:val="22"/>
          <w:lang w:val="es-ES_tradnl"/>
        </w:rPr>
        <w:t>Lo anterior representa una cobertura de 10</w:t>
      </w:r>
      <w:r w:rsidR="00BC640D" w:rsidRPr="00D848CE">
        <w:rPr>
          <w:rFonts w:ascii="Arial" w:hAnsi="Arial" w:cs="Arial"/>
          <w:sz w:val="22"/>
          <w:szCs w:val="22"/>
          <w:lang w:val="es-ES_tradnl"/>
        </w:rPr>
        <w:t>,</w:t>
      </w:r>
      <w:r w:rsidRPr="00D848CE">
        <w:rPr>
          <w:rFonts w:ascii="Arial" w:hAnsi="Arial" w:cs="Arial"/>
          <w:sz w:val="22"/>
          <w:szCs w:val="22"/>
          <w:lang w:val="es-ES_tradnl"/>
        </w:rPr>
        <w:t>8% del total de contribuyentes con soluciones fiscales. No obstante, estos representaron el 57</w:t>
      </w:r>
      <w:r w:rsidR="00BC640D" w:rsidRPr="00D848CE">
        <w:rPr>
          <w:rFonts w:ascii="Arial" w:hAnsi="Arial" w:cs="Arial"/>
          <w:sz w:val="22"/>
          <w:szCs w:val="22"/>
          <w:lang w:val="es-ES_tradnl"/>
        </w:rPr>
        <w:t>,</w:t>
      </w:r>
      <w:r w:rsidRPr="00D848CE">
        <w:rPr>
          <w:rFonts w:ascii="Arial" w:hAnsi="Arial" w:cs="Arial"/>
          <w:sz w:val="22"/>
          <w:szCs w:val="22"/>
          <w:lang w:val="es-ES_tradnl"/>
        </w:rPr>
        <w:t>3% del total de las ventas a consumidor final de dicho grupo de contribuyentes</w:t>
      </w:r>
      <w:r w:rsidR="00A75CE1" w:rsidRPr="00D848CE">
        <w:rPr>
          <w:rFonts w:ascii="Arial" w:hAnsi="Arial" w:cs="Arial"/>
          <w:sz w:val="22"/>
          <w:szCs w:val="22"/>
          <w:lang w:val="es-ES_tradnl"/>
        </w:rPr>
        <w:t>.</w:t>
      </w:r>
    </w:p>
    <w:p w14:paraId="6A9021E6" w14:textId="77777777" w:rsidR="00EE7190" w:rsidRPr="00D848CE" w:rsidRDefault="00EE7190" w:rsidP="00AF2948">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b/>
          <w:sz w:val="22"/>
          <w:szCs w:val="22"/>
          <w:lang w:val="es-ES_tradnl"/>
        </w:rPr>
        <w:t>Cuantificación de los Beneficios de las Soluciones Fiscales.</w:t>
      </w:r>
      <w:r w:rsidR="008E7BF5" w:rsidRPr="00D848CE">
        <w:rPr>
          <w:rFonts w:ascii="Arial" w:hAnsi="Arial" w:cs="Arial"/>
          <w:b/>
          <w:sz w:val="22"/>
          <w:szCs w:val="22"/>
          <w:lang w:val="es-ES_tradnl"/>
        </w:rPr>
        <w:t xml:space="preserve"> </w:t>
      </w:r>
      <w:r w:rsidRPr="00D848CE">
        <w:rPr>
          <w:rFonts w:ascii="Arial" w:hAnsi="Arial" w:cs="Arial"/>
          <w:sz w:val="22"/>
          <w:szCs w:val="22"/>
          <w:lang w:val="es-ES_tradnl"/>
        </w:rPr>
        <w:t xml:space="preserve">En el período de estudio, los resultados muestran que el crecimiento de la recaudación del ITBIS Interno reportado por los contribuyentes con Soluciones Fiscales fue superior al grupo potencial que no poseía soluciones. (Ver Gráfica </w:t>
      </w:r>
      <w:r w:rsidR="008E7BF5" w:rsidRPr="00D848CE">
        <w:rPr>
          <w:rFonts w:ascii="Arial" w:hAnsi="Arial" w:cs="Arial"/>
          <w:sz w:val="22"/>
          <w:szCs w:val="22"/>
          <w:lang w:val="es-ES_tradnl"/>
        </w:rPr>
        <w:t>4</w:t>
      </w:r>
      <w:r w:rsidRPr="00D848CE">
        <w:rPr>
          <w:rFonts w:ascii="Arial" w:hAnsi="Arial" w:cs="Arial"/>
          <w:sz w:val="22"/>
          <w:szCs w:val="22"/>
          <w:lang w:val="es-ES_tradnl"/>
        </w:rPr>
        <w:t>). Adicionalmente, se observó un descenso en el incumplimie</w:t>
      </w:r>
      <w:r w:rsidR="00BC640D" w:rsidRPr="00D848CE">
        <w:rPr>
          <w:rFonts w:ascii="Arial" w:hAnsi="Arial" w:cs="Arial"/>
          <w:sz w:val="22"/>
          <w:szCs w:val="22"/>
          <w:lang w:val="es-ES_tradnl"/>
        </w:rPr>
        <w:t>nto tributario del ITBIS de 12</w:t>
      </w:r>
      <w:r w:rsidRPr="00D848CE">
        <w:rPr>
          <w:rFonts w:ascii="Arial" w:hAnsi="Arial" w:cs="Arial"/>
          <w:sz w:val="22"/>
          <w:szCs w:val="22"/>
          <w:lang w:val="es-ES_tradnl"/>
        </w:rPr>
        <w:t xml:space="preserve"> puntos porcentuales en 2010 con respecto al 2004.</w:t>
      </w:r>
    </w:p>
    <w:p w14:paraId="367165B3" w14:textId="77777777" w:rsidR="0078643C" w:rsidRPr="00D848CE" w:rsidRDefault="0012137A" w:rsidP="008B5547">
      <w:pPr>
        <w:pStyle w:val="Paragraph"/>
        <w:keepNext/>
        <w:numPr>
          <w:ilvl w:val="0"/>
          <w:numId w:val="0"/>
        </w:numPr>
        <w:tabs>
          <w:tab w:val="num" w:pos="1800"/>
        </w:tabs>
        <w:autoSpaceDE w:val="0"/>
        <w:autoSpaceDN w:val="0"/>
        <w:adjustRightInd w:val="0"/>
        <w:ind w:left="720"/>
        <w:jc w:val="center"/>
        <w:outlineLvl w:val="9"/>
        <w:rPr>
          <w:rFonts w:ascii="Arial" w:hAnsi="Arial" w:cs="Arial"/>
          <w:b/>
          <w:color w:val="000000"/>
          <w:sz w:val="22"/>
          <w:szCs w:val="22"/>
          <w:lang w:val="es-ES_tradnl"/>
        </w:rPr>
      </w:pPr>
      <w:r w:rsidRPr="00D848CE">
        <w:rPr>
          <w:rFonts w:ascii="Arial" w:hAnsi="Arial" w:cs="Arial"/>
          <w:b/>
          <w:sz w:val="22"/>
          <w:szCs w:val="22"/>
          <w:lang w:val="es-ES_tradnl"/>
        </w:rPr>
        <w:t>Gráfico</w:t>
      </w:r>
      <w:r w:rsidR="0078643C" w:rsidRPr="00D848CE">
        <w:rPr>
          <w:rFonts w:ascii="Arial" w:hAnsi="Arial" w:cs="Arial"/>
          <w:b/>
          <w:sz w:val="22"/>
          <w:szCs w:val="22"/>
          <w:lang w:val="es-ES_tradnl"/>
        </w:rPr>
        <w:t xml:space="preserve"> 4</w:t>
      </w:r>
    </w:p>
    <w:p w14:paraId="37574225" w14:textId="77777777" w:rsidR="00EE7190" w:rsidRPr="00D848CE" w:rsidRDefault="00EE7190" w:rsidP="0012137A">
      <w:pPr>
        <w:pStyle w:val="Paragraph"/>
        <w:numPr>
          <w:ilvl w:val="0"/>
          <w:numId w:val="0"/>
        </w:numPr>
        <w:autoSpaceDE w:val="0"/>
        <w:autoSpaceDN w:val="0"/>
        <w:adjustRightInd w:val="0"/>
        <w:ind w:left="180"/>
        <w:outlineLvl w:val="9"/>
        <w:rPr>
          <w:rFonts w:ascii="Arial" w:hAnsi="Arial" w:cs="Arial"/>
          <w:color w:val="000000"/>
          <w:sz w:val="22"/>
          <w:szCs w:val="22"/>
          <w:lang w:val="es-ES_tradnl"/>
        </w:rPr>
      </w:pPr>
      <w:r w:rsidRPr="00D848CE">
        <w:rPr>
          <w:rFonts w:ascii="Arial" w:hAnsi="Arial" w:cs="Arial"/>
          <w:noProof/>
          <w:sz w:val="22"/>
          <w:szCs w:val="22"/>
          <w:lang w:val="es-ES_tradnl" w:eastAsia="es-ES_tradnl"/>
        </w:rPr>
        <w:drawing>
          <wp:inline distT="0" distB="0" distL="0" distR="0" wp14:anchorId="32A6098B" wp14:editId="26C8DEE2">
            <wp:extent cx="6030552" cy="274953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50395" cy="2758579"/>
                    </a:xfrm>
                    <a:prstGeom prst="rect">
                      <a:avLst/>
                    </a:prstGeom>
                  </pic:spPr>
                </pic:pic>
              </a:graphicData>
            </a:graphic>
          </wp:inline>
        </w:drawing>
      </w:r>
    </w:p>
    <w:p w14:paraId="29914F2C" w14:textId="77777777" w:rsidR="008635E5" w:rsidRPr="00D848CE" w:rsidRDefault="008635E5"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sz w:val="22"/>
          <w:szCs w:val="22"/>
          <w:lang w:val="es-ES_tradnl"/>
        </w:rPr>
        <w:t xml:space="preserve">El beneficio directo fue el aumento en la recaudación y se calcula a partir de la diferencia observada del crecimiento de la recaudación del ITBIS de los contribuyentes con soluciones versus el grupo potencial que no tienen. En este </w:t>
      </w:r>
      <w:r w:rsidRPr="00D848CE">
        <w:rPr>
          <w:rFonts w:ascii="Arial" w:hAnsi="Arial" w:cs="Arial"/>
          <w:sz w:val="22"/>
          <w:szCs w:val="22"/>
          <w:lang w:val="es-ES_tradnl"/>
        </w:rPr>
        <w:lastRenderedPageBreak/>
        <w:t>sentido, el primer año no mostró beneficios inmediatos, sin embargo, este valor ha aumentado como proporción del ITBIS Interno, pasando de 0</w:t>
      </w:r>
      <w:r w:rsidR="00BC640D" w:rsidRPr="00D848CE">
        <w:rPr>
          <w:rFonts w:ascii="Arial" w:hAnsi="Arial" w:cs="Arial"/>
          <w:sz w:val="22"/>
          <w:szCs w:val="22"/>
          <w:lang w:val="es-ES_tradnl"/>
        </w:rPr>
        <w:t>,</w:t>
      </w:r>
      <w:r w:rsidRPr="00D848CE">
        <w:rPr>
          <w:rFonts w:ascii="Arial" w:hAnsi="Arial" w:cs="Arial"/>
          <w:sz w:val="22"/>
          <w:szCs w:val="22"/>
          <w:lang w:val="es-ES_tradnl"/>
        </w:rPr>
        <w:t>30% en 2009 a 1</w:t>
      </w:r>
      <w:r w:rsidR="00BC640D" w:rsidRPr="00D848CE">
        <w:rPr>
          <w:rFonts w:ascii="Arial" w:hAnsi="Arial" w:cs="Arial"/>
          <w:sz w:val="22"/>
          <w:szCs w:val="22"/>
          <w:lang w:val="es-ES_tradnl"/>
        </w:rPr>
        <w:t>,</w:t>
      </w:r>
      <w:r w:rsidRPr="00D848CE">
        <w:rPr>
          <w:rFonts w:ascii="Arial" w:hAnsi="Arial" w:cs="Arial"/>
          <w:sz w:val="22"/>
          <w:szCs w:val="22"/>
          <w:lang w:val="es-ES_tradnl"/>
        </w:rPr>
        <w:t>65% en el 2015</w:t>
      </w:r>
      <w:r w:rsidR="00D01AE5" w:rsidRPr="00D848CE">
        <w:rPr>
          <w:rFonts w:ascii="Arial" w:hAnsi="Arial" w:cs="Arial"/>
          <w:sz w:val="22"/>
          <w:szCs w:val="22"/>
          <w:lang w:val="es-ES_tradnl"/>
        </w:rPr>
        <w:t xml:space="preserve"> (Gráfico 5)</w:t>
      </w:r>
      <w:r w:rsidRPr="00D848CE">
        <w:rPr>
          <w:rFonts w:ascii="Arial" w:hAnsi="Arial" w:cs="Arial"/>
          <w:sz w:val="22"/>
          <w:szCs w:val="22"/>
          <w:lang w:val="es-ES_tradnl"/>
        </w:rPr>
        <w:t>.</w:t>
      </w:r>
    </w:p>
    <w:p w14:paraId="46971AA2" w14:textId="77777777" w:rsidR="0078643C" w:rsidRPr="00D848CE" w:rsidRDefault="0078643C" w:rsidP="008B5547">
      <w:pPr>
        <w:pStyle w:val="Paragraph"/>
        <w:keepNext/>
        <w:numPr>
          <w:ilvl w:val="0"/>
          <w:numId w:val="0"/>
        </w:numPr>
        <w:tabs>
          <w:tab w:val="num" w:pos="1800"/>
        </w:tabs>
        <w:autoSpaceDE w:val="0"/>
        <w:autoSpaceDN w:val="0"/>
        <w:adjustRightInd w:val="0"/>
        <w:ind w:left="720"/>
        <w:jc w:val="center"/>
        <w:outlineLvl w:val="9"/>
        <w:rPr>
          <w:rFonts w:ascii="Arial" w:hAnsi="Arial" w:cs="Arial"/>
          <w:b/>
          <w:color w:val="000000"/>
          <w:sz w:val="22"/>
          <w:szCs w:val="22"/>
          <w:lang w:val="es-ES_tradnl"/>
        </w:rPr>
      </w:pPr>
      <w:r w:rsidRPr="00D848CE">
        <w:rPr>
          <w:rFonts w:ascii="Arial" w:hAnsi="Arial" w:cs="Arial"/>
          <w:b/>
          <w:sz w:val="22"/>
          <w:szCs w:val="22"/>
          <w:lang w:val="es-ES_tradnl"/>
        </w:rPr>
        <w:t>Gráfico 5</w:t>
      </w:r>
    </w:p>
    <w:p w14:paraId="2DE595EA" w14:textId="77777777" w:rsidR="008635E5" w:rsidRPr="00D848CE" w:rsidRDefault="008635E5" w:rsidP="0012137A">
      <w:pPr>
        <w:pStyle w:val="Paragraph"/>
        <w:numPr>
          <w:ilvl w:val="0"/>
          <w:numId w:val="0"/>
        </w:numPr>
        <w:autoSpaceDE w:val="0"/>
        <w:autoSpaceDN w:val="0"/>
        <w:adjustRightInd w:val="0"/>
        <w:ind w:left="180"/>
        <w:outlineLvl w:val="9"/>
        <w:rPr>
          <w:rFonts w:ascii="Arial" w:hAnsi="Arial" w:cs="Arial"/>
          <w:color w:val="000000"/>
          <w:sz w:val="22"/>
          <w:szCs w:val="22"/>
          <w:lang w:val="es-ES_tradnl"/>
        </w:rPr>
      </w:pPr>
      <w:r w:rsidRPr="00D848CE">
        <w:rPr>
          <w:rFonts w:ascii="Arial" w:hAnsi="Arial" w:cs="Arial"/>
          <w:noProof/>
          <w:sz w:val="22"/>
          <w:szCs w:val="22"/>
          <w:lang w:val="es-ES_tradnl" w:eastAsia="es-ES_tradnl"/>
        </w:rPr>
        <w:drawing>
          <wp:inline distT="0" distB="0" distL="0" distR="0" wp14:anchorId="031B3F39" wp14:editId="47552D3F">
            <wp:extent cx="5829049" cy="3101645"/>
            <wp:effectExtent l="0" t="0" r="635"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29049" cy="3101645"/>
                    </a:xfrm>
                    <a:prstGeom prst="rect">
                      <a:avLst/>
                    </a:prstGeom>
                  </pic:spPr>
                </pic:pic>
              </a:graphicData>
            </a:graphic>
          </wp:inline>
        </w:drawing>
      </w:r>
    </w:p>
    <w:p w14:paraId="5BB4FC69" w14:textId="77777777" w:rsidR="0029255B" w:rsidRPr="00D848CE" w:rsidRDefault="007F6DEB"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b/>
          <w:color w:val="000000"/>
          <w:sz w:val="22"/>
          <w:szCs w:val="22"/>
          <w:lang w:val="es-ES_tradnl"/>
        </w:rPr>
        <w:t>Calculo del ben</w:t>
      </w:r>
      <w:r w:rsidR="00D113C2" w:rsidRPr="00D848CE">
        <w:rPr>
          <w:rFonts w:ascii="Arial" w:hAnsi="Arial" w:cs="Arial"/>
          <w:b/>
          <w:color w:val="000000"/>
          <w:sz w:val="22"/>
          <w:szCs w:val="22"/>
          <w:lang w:val="es-ES_tradnl"/>
        </w:rPr>
        <w:t>e</w:t>
      </w:r>
      <w:r w:rsidRPr="00D848CE">
        <w:rPr>
          <w:rFonts w:ascii="Arial" w:hAnsi="Arial" w:cs="Arial"/>
          <w:b/>
          <w:color w:val="000000"/>
          <w:sz w:val="22"/>
          <w:szCs w:val="22"/>
          <w:lang w:val="es-ES_tradnl"/>
        </w:rPr>
        <w:t>fic</w:t>
      </w:r>
      <w:r w:rsidR="00D113C2" w:rsidRPr="00D848CE">
        <w:rPr>
          <w:rFonts w:ascii="Arial" w:hAnsi="Arial" w:cs="Arial"/>
          <w:b/>
          <w:color w:val="000000"/>
          <w:sz w:val="22"/>
          <w:szCs w:val="22"/>
          <w:lang w:val="es-ES_tradnl"/>
        </w:rPr>
        <w:t>i</w:t>
      </w:r>
      <w:r w:rsidRPr="00D848CE">
        <w:rPr>
          <w:rFonts w:ascii="Arial" w:hAnsi="Arial" w:cs="Arial"/>
          <w:b/>
          <w:color w:val="000000"/>
          <w:sz w:val="22"/>
          <w:szCs w:val="22"/>
          <w:lang w:val="es-ES_tradnl"/>
        </w:rPr>
        <w:t>o de la factura Electrónica.</w:t>
      </w:r>
      <w:r w:rsidRPr="00D848CE">
        <w:rPr>
          <w:rFonts w:ascii="Arial" w:hAnsi="Arial" w:cs="Arial"/>
          <w:color w:val="000000"/>
          <w:sz w:val="22"/>
          <w:szCs w:val="22"/>
          <w:lang w:val="es-ES_tradnl"/>
        </w:rPr>
        <w:t xml:space="preserve"> </w:t>
      </w:r>
      <w:r w:rsidR="005E18F0" w:rsidRPr="00D848CE">
        <w:rPr>
          <w:rFonts w:ascii="Arial" w:hAnsi="Arial" w:cs="Arial"/>
          <w:color w:val="000000"/>
          <w:sz w:val="22"/>
          <w:szCs w:val="22"/>
          <w:lang w:val="es-ES_tradnl"/>
        </w:rPr>
        <w:t xml:space="preserve">El Cuadro </w:t>
      </w:r>
      <w:r w:rsidR="00487BE4" w:rsidRPr="00D848CE">
        <w:rPr>
          <w:rFonts w:ascii="Arial" w:hAnsi="Arial" w:cs="Arial"/>
          <w:color w:val="000000"/>
          <w:sz w:val="22"/>
          <w:szCs w:val="22"/>
          <w:lang w:val="es-ES_tradnl"/>
        </w:rPr>
        <w:t>2</w:t>
      </w:r>
      <w:r w:rsidR="005E18F0" w:rsidRPr="00D848CE">
        <w:rPr>
          <w:rFonts w:ascii="Arial" w:hAnsi="Arial" w:cs="Arial"/>
          <w:color w:val="000000"/>
          <w:sz w:val="22"/>
          <w:szCs w:val="22"/>
          <w:lang w:val="es-ES_tradnl"/>
        </w:rPr>
        <w:t xml:space="preserve">- Demostrativo Avances en el Proyecto Solución Fiscal presenta la evolución de los resultados </w:t>
      </w:r>
      <w:r w:rsidR="007B0C93" w:rsidRPr="00D848CE">
        <w:rPr>
          <w:rFonts w:ascii="Arial" w:hAnsi="Arial" w:cs="Arial"/>
          <w:sz w:val="22"/>
          <w:szCs w:val="22"/>
          <w:lang w:val="es-ES_tradnl"/>
        </w:rPr>
        <w:t>del Proyecto</w:t>
      </w:r>
      <w:r w:rsidR="005E18F0" w:rsidRPr="00D848CE">
        <w:rPr>
          <w:rFonts w:ascii="Arial" w:hAnsi="Arial" w:cs="Arial"/>
          <w:color w:val="000000"/>
          <w:sz w:val="22"/>
          <w:szCs w:val="22"/>
          <w:lang w:val="es-ES_tradnl"/>
        </w:rPr>
        <w:t xml:space="preserve"> Solución Fiscal en el periodo 2009-</w:t>
      </w:r>
      <w:r w:rsidR="00435AED" w:rsidRPr="00D848CE">
        <w:rPr>
          <w:rFonts w:ascii="Arial" w:hAnsi="Arial" w:cs="Arial"/>
          <w:color w:val="000000"/>
          <w:sz w:val="22"/>
          <w:szCs w:val="22"/>
          <w:lang w:val="es-ES_tradnl"/>
        </w:rPr>
        <w:t>2017, en sus aspectos de % de ventas totales</w:t>
      </w:r>
      <w:r w:rsidR="003D567E" w:rsidRPr="00D848CE">
        <w:rPr>
          <w:rFonts w:ascii="Arial" w:hAnsi="Arial" w:cs="Arial"/>
          <w:color w:val="000000"/>
          <w:sz w:val="22"/>
          <w:szCs w:val="22"/>
          <w:lang w:val="es-ES_tradnl"/>
        </w:rPr>
        <w:t xml:space="preserve"> </w:t>
      </w:r>
      <w:r w:rsidR="007B0C93" w:rsidRPr="00D848CE">
        <w:rPr>
          <w:rFonts w:ascii="Arial" w:hAnsi="Arial" w:cs="Arial"/>
          <w:color w:val="000000"/>
          <w:sz w:val="22"/>
          <w:szCs w:val="22"/>
          <w:lang w:val="es-ES_tradnl"/>
        </w:rPr>
        <w:t>(</w:t>
      </w:r>
      <w:r w:rsidR="003D567E" w:rsidRPr="00D848CE">
        <w:rPr>
          <w:rFonts w:ascii="Arial" w:hAnsi="Arial" w:cs="Arial"/>
          <w:color w:val="000000"/>
          <w:sz w:val="22"/>
          <w:szCs w:val="22"/>
          <w:lang w:val="es-ES_tradnl"/>
        </w:rPr>
        <w:t>en l</w:t>
      </w:r>
      <w:r w:rsidR="007B0C93" w:rsidRPr="00D848CE">
        <w:rPr>
          <w:rFonts w:ascii="Arial" w:hAnsi="Arial" w:cs="Arial"/>
          <w:color w:val="000000"/>
          <w:sz w:val="22"/>
          <w:szCs w:val="22"/>
          <w:lang w:val="es-ES_tradnl"/>
        </w:rPr>
        <w:t>a</w:t>
      </w:r>
      <w:r w:rsidR="003D567E" w:rsidRPr="00D848CE">
        <w:rPr>
          <w:rFonts w:ascii="Arial" w:hAnsi="Arial" w:cs="Arial"/>
          <w:color w:val="000000"/>
          <w:sz w:val="22"/>
          <w:szCs w:val="22"/>
          <w:lang w:val="es-ES_tradnl"/>
        </w:rPr>
        <w:t xml:space="preserve"> línea 1</w:t>
      </w:r>
      <w:r w:rsidR="007B0C93" w:rsidRPr="00D848CE">
        <w:rPr>
          <w:rFonts w:ascii="Arial" w:hAnsi="Arial" w:cs="Arial"/>
          <w:color w:val="000000"/>
          <w:sz w:val="22"/>
          <w:szCs w:val="22"/>
          <w:lang w:val="es-ES_tradnl"/>
        </w:rPr>
        <w:t>)</w:t>
      </w:r>
      <w:r w:rsidR="00435AED" w:rsidRPr="00D848CE">
        <w:rPr>
          <w:rFonts w:ascii="Arial" w:hAnsi="Arial" w:cs="Arial"/>
          <w:color w:val="000000"/>
          <w:sz w:val="22"/>
          <w:szCs w:val="22"/>
          <w:lang w:val="es-ES_tradnl"/>
        </w:rPr>
        <w:t xml:space="preserve"> e impacto en la recaudación</w:t>
      </w:r>
      <w:r w:rsidR="003D567E" w:rsidRPr="00D848CE">
        <w:rPr>
          <w:rFonts w:ascii="Arial" w:hAnsi="Arial" w:cs="Arial"/>
          <w:color w:val="000000"/>
          <w:sz w:val="22"/>
          <w:szCs w:val="22"/>
          <w:lang w:val="es-ES_tradnl"/>
        </w:rPr>
        <w:t xml:space="preserve"> </w:t>
      </w:r>
      <w:r w:rsidR="007B0C93" w:rsidRPr="00D848CE">
        <w:rPr>
          <w:rFonts w:ascii="Arial" w:hAnsi="Arial" w:cs="Arial"/>
          <w:color w:val="000000"/>
          <w:sz w:val="22"/>
          <w:szCs w:val="22"/>
          <w:lang w:val="es-ES_tradnl"/>
        </w:rPr>
        <w:t>(</w:t>
      </w:r>
      <w:r w:rsidR="003D567E" w:rsidRPr="00D848CE">
        <w:rPr>
          <w:rFonts w:ascii="Arial" w:hAnsi="Arial" w:cs="Arial"/>
          <w:color w:val="000000"/>
          <w:sz w:val="22"/>
          <w:szCs w:val="22"/>
          <w:lang w:val="es-ES_tradnl"/>
        </w:rPr>
        <w:t>en la línea 2</w:t>
      </w:r>
      <w:r w:rsidR="007B0C93" w:rsidRPr="00D848CE">
        <w:rPr>
          <w:rFonts w:ascii="Arial" w:hAnsi="Arial" w:cs="Arial"/>
          <w:color w:val="000000"/>
          <w:sz w:val="22"/>
          <w:szCs w:val="22"/>
          <w:lang w:val="es-ES_tradnl"/>
        </w:rPr>
        <w:t>)</w:t>
      </w:r>
      <w:r w:rsidR="00435AED" w:rsidRPr="00D848CE">
        <w:rPr>
          <w:rFonts w:ascii="Arial" w:hAnsi="Arial" w:cs="Arial"/>
          <w:color w:val="000000"/>
          <w:sz w:val="22"/>
          <w:szCs w:val="22"/>
          <w:lang w:val="es-ES_tradnl"/>
        </w:rPr>
        <w:t>.</w:t>
      </w:r>
      <w:r w:rsidR="00A71D2F" w:rsidRPr="00D848CE">
        <w:rPr>
          <w:rFonts w:ascii="Arial" w:hAnsi="Arial" w:cs="Arial"/>
          <w:color w:val="000000"/>
          <w:sz w:val="22"/>
          <w:szCs w:val="22"/>
          <w:lang w:val="es-ES_tradnl"/>
        </w:rPr>
        <w:t xml:space="preserve"> </w:t>
      </w:r>
      <w:r w:rsidR="003D567E" w:rsidRPr="00D848CE">
        <w:rPr>
          <w:rFonts w:ascii="Arial" w:hAnsi="Arial" w:cs="Arial"/>
          <w:color w:val="000000"/>
          <w:sz w:val="22"/>
          <w:szCs w:val="22"/>
          <w:lang w:val="es-ES_tradnl"/>
        </w:rPr>
        <w:t>Adicionalmente, en la línea 5 se presenta el impacto en la recaudación en US$ dólares</w:t>
      </w:r>
      <w:r w:rsidRPr="00D848CE">
        <w:rPr>
          <w:rFonts w:ascii="Arial" w:hAnsi="Arial" w:cs="Arial"/>
          <w:color w:val="000000"/>
          <w:sz w:val="22"/>
          <w:szCs w:val="22"/>
          <w:lang w:val="es-ES_tradnl"/>
        </w:rPr>
        <w:t>. En el año 2015,</w:t>
      </w:r>
      <w:r w:rsidR="003D567E" w:rsidRPr="00D848CE">
        <w:rPr>
          <w:rFonts w:ascii="Arial" w:hAnsi="Arial" w:cs="Arial"/>
          <w:color w:val="000000"/>
          <w:sz w:val="22"/>
          <w:szCs w:val="22"/>
          <w:lang w:val="es-ES_tradnl"/>
        </w:rPr>
        <w:t xml:space="preserve"> </w:t>
      </w:r>
      <w:r w:rsidRPr="00D848CE">
        <w:rPr>
          <w:rFonts w:ascii="Arial" w:hAnsi="Arial" w:cs="Arial"/>
          <w:color w:val="000000"/>
          <w:sz w:val="22"/>
          <w:szCs w:val="22"/>
          <w:lang w:val="es-ES_tradnl"/>
        </w:rPr>
        <w:t xml:space="preserve">por ejemplo, </w:t>
      </w:r>
      <w:r w:rsidR="003D567E" w:rsidRPr="00D848CE">
        <w:rPr>
          <w:rFonts w:ascii="Arial" w:hAnsi="Arial" w:cs="Arial"/>
          <w:color w:val="000000"/>
          <w:sz w:val="22"/>
          <w:szCs w:val="22"/>
          <w:lang w:val="es-ES_tradnl"/>
        </w:rPr>
        <w:t xml:space="preserve">con un porcentual de </w:t>
      </w:r>
      <w:r w:rsidR="006979D8" w:rsidRPr="00D848CE">
        <w:rPr>
          <w:rFonts w:ascii="Arial" w:hAnsi="Arial" w:cs="Arial"/>
          <w:color w:val="000000"/>
          <w:sz w:val="22"/>
          <w:szCs w:val="22"/>
          <w:lang w:val="es-ES_tradnl"/>
        </w:rPr>
        <w:t>47</w:t>
      </w:r>
      <w:r w:rsidR="00BC640D" w:rsidRPr="00D848CE">
        <w:rPr>
          <w:rFonts w:ascii="Arial" w:hAnsi="Arial" w:cs="Arial"/>
          <w:color w:val="000000"/>
          <w:sz w:val="22"/>
          <w:szCs w:val="22"/>
          <w:lang w:val="es-ES_tradnl"/>
        </w:rPr>
        <w:t>,</w:t>
      </w:r>
      <w:r w:rsidR="006979D8" w:rsidRPr="00D848CE">
        <w:rPr>
          <w:rFonts w:ascii="Arial" w:hAnsi="Arial" w:cs="Arial"/>
          <w:color w:val="000000"/>
          <w:sz w:val="22"/>
          <w:szCs w:val="22"/>
          <w:lang w:val="es-ES_tradnl"/>
        </w:rPr>
        <w:t>85</w:t>
      </w:r>
      <w:r w:rsidR="003D567E" w:rsidRPr="00D848CE">
        <w:rPr>
          <w:rFonts w:ascii="Arial" w:hAnsi="Arial" w:cs="Arial"/>
          <w:color w:val="000000"/>
          <w:sz w:val="22"/>
          <w:szCs w:val="22"/>
          <w:lang w:val="es-ES_tradnl"/>
        </w:rPr>
        <w:t xml:space="preserve">% en </w:t>
      </w:r>
      <w:r w:rsidR="008630B8" w:rsidRPr="00D848CE">
        <w:rPr>
          <w:rFonts w:ascii="Arial" w:hAnsi="Arial" w:cs="Arial"/>
          <w:color w:val="000000"/>
          <w:sz w:val="22"/>
          <w:szCs w:val="22"/>
          <w:lang w:val="es-ES_tradnl"/>
        </w:rPr>
        <w:t>las ventas</w:t>
      </w:r>
      <w:r w:rsidR="003D567E" w:rsidRPr="00D848CE">
        <w:rPr>
          <w:rFonts w:ascii="Arial" w:hAnsi="Arial" w:cs="Arial"/>
          <w:color w:val="000000"/>
          <w:sz w:val="22"/>
          <w:szCs w:val="22"/>
          <w:lang w:val="es-ES_tradnl"/>
        </w:rPr>
        <w:t xml:space="preserve">, se logró un </w:t>
      </w:r>
      <w:r w:rsidR="00487BE4" w:rsidRPr="00D848CE">
        <w:rPr>
          <w:rFonts w:ascii="Arial" w:hAnsi="Arial" w:cs="Arial"/>
          <w:color w:val="000000"/>
          <w:sz w:val="22"/>
          <w:szCs w:val="22"/>
          <w:lang w:val="es-ES_tradnl"/>
        </w:rPr>
        <w:t>adicional de recaudación de 0.19</w:t>
      </w:r>
      <w:r w:rsidR="00BC640D" w:rsidRPr="00D848CE">
        <w:rPr>
          <w:rFonts w:ascii="Arial" w:hAnsi="Arial" w:cs="Arial"/>
          <w:color w:val="000000"/>
          <w:sz w:val="22"/>
          <w:szCs w:val="22"/>
          <w:lang w:val="es-ES_tradnl"/>
        </w:rPr>
        <w:t>% del PIB, representado US$</w:t>
      </w:r>
      <w:r w:rsidR="00487BE4" w:rsidRPr="00D848CE">
        <w:rPr>
          <w:rFonts w:ascii="Arial" w:hAnsi="Arial" w:cs="Arial"/>
          <w:color w:val="000000"/>
          <w:sz w:val="22"/>
          <w:szCs w:val="22"/>
          <w:lang w:val="es-ES_tradnl"/>
        </w:rPr>
        <w:t>129,9</w:t>
      </w:r>
      <w:r w:rsidR="008630B8" w:rsidRPr="00D848CE">
        <w:rPr>
          <w:rFonts w:ascii="Arial" w:hAnsi="Arial" w:cs="Arial"/>
          <w:color w:val="000000"/>
          <w:sz w:val="22"/>
          <w:szCs w:val="22"/>
          <w:lang w:val="es-ES_tradnl"/>
        </w:rPr>
        <w:t xml:space="preserve"> millones.</w:t>
      </w:r>
    </w:p>
    <w:p w14:paraId="49443025" w14:textId="77777777" w:rsidR="005E18F0" w:rsidRPr="00D848CE" w:rsidRDefault="003D567E" w:rsidP="0012137A">
      <w:pPr>
        <w:pStyle w:val="Paragraph"/>
        <w:numPr>
          <w:ilvl w:val="0"/>
          <w:numId w:val="0"/>
        </w:numPr>
        <w:autoSpaceDE w:val="0"/>
        <w:autoSpaceDN w:val="0"/>
        <w:adjustRightInd w:val="0"/>
        <w:ind w:left="-540"/>
        <w:outlineLvl w:val="9"/>
        <w:rPr>
          <w:rFonts w:ascii="Arial" w:hAnsi="Arial" w:cs="Arial"/>
          <w:color w:val="000000"/>
          <w:sz w:val="22"/>
          <w:szCs w:val="22"/>
          <w:lang w:val="es-ES_tradnl"/>
        </w:rPr>
      </w:pPr>
      <w:r w:rsidRPr="00D848CE">
        <w:rPr>
          <w:rFonts w:ascii="Arial" w:hAnsi="Arial" w:cs="Arial"/>
          <w:color w:val="000000"/>
          <w:sz w:val="22"/>
          <w:szCs w:val="22"/>
          <w:lang w:val="es-ES_tradnl"/>
        </w:rPr>
        <w:t xml:space="preserve"> </w:t>
      </w:r>
      <w:r w:rsidR="004B168F" w:rsidRPr="00D848CE">
        <w:rPr>
          <w:rFonts w:ascii="Arial" w:hAnsi="Arial" w:cs="Arial"/>
          <w:noProof/>
          <w:sz w:val="22"/>
          <w:szCs w:val="22"/>
          <w:lang w:val="es-ES_tradnl" w:eastAsia="es-ES_tradnl"/>
        </w:rPr>
        <w:drawing>
          <wp:inline distT="0" distB="0" distL="0" distR="0" wp14:anchorId="29B5A4EE" wp14:editId="3884FD2D">
            <wp:extent cx="6631940" cy="13716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66833" cy="1378816"/>
                    </a:xfrm>
                    <a:prstGeom prst="rect">
                      <a:avLst/>
                    </a:prstGeom>
                    <a:noFill/>
                    <a:ln>
                      <a:noFill/>
                    </a:ln>
                  </pic:spPr>
                </pic:pic>
              </a:graphicData>
            </a:graphic>
          </wp:inline>
        </w:drawing>
      </w:r>
    </w:p>
    <w:p w14:paraId="57F7D9C6" w14:textId="77777777" w:rsidR="003D567E" w:rsidRPr="00D848CE" w:rsidRDefault="003D567E" w:rsidP="008B5547">
      <w:pPr>
        <w:pStyle w:val="Paragraph"/>
        <w:numPr>
          <w:ilvl w:val="0"/>
          <w:numId w:val="0"/>
        </w:numPr>
        <w:autoSpaceDE w:val="0"/>
        <w:autoSpaceDN w:val="0"/>
        <w:adjustRightInd w:val="0"/>
        <w:ind w:left="-720"/>
        <w:outlineLvl w:val="9"/>
        <w:rPr>
          <w:rFonts w:ascii="Arial" w:hAnsi="Arial" w:cs="Arial"/>
          <w:color w:val="000000"/>
          <w:sz w:val="22"/>
          <w:szCs w:val="22"/>
          <w:lang w:val="es-ES_tradnl"/>
        </w:rPr>
      </w:pPr>
    </w:p>
    <w:p w14:paraId="5A6A7511" w14:textId="77777777" w:rsidR="00AB4F5E" w:rsidRPr="00D848CE" w:rsidRDefault="00AB4F5E"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color w:val="000000"/>
          <w:sz w:val="22"/>
          <w:szCs w:val="22"/>
          <w:lang w:val="es-ES_tradnl"/>
        </w:rPr>
        <w:t xml:space="preserve">El Cuadro </w:t>
      </w:r>
      <w:r w:rsidR="00D01AE5" w:rsidRPr="00D848CE">
        <w:rPr>
          <w:rFonts w:ascii="Arial" w:hAnsi="Arial" w:cs="Arial"/>
          <w:color w:val="000000"/>
          <w:sz w:val="22"/>
          <w:szCs w:val="22"/>
          <w:lang w:val="es-ES_tradnl"/>
        </w:rPr>
        <w:t>siguiente</w:t>
      </w:r>
      <w:r w:rsidR="00CD3D53" w:rsidRPr="00D848CE">
        <w:rPr>
          <w:rFonts w:ascii="Arial" w:hAnsi="Arial" w:cs="Arial"/>
          <w:color w:val="000000"/>
          <w:sz w:val="22"/>
          <w:szCs w:val="22"/>
          <w:lang w:val="es-ES_tradnl"/>
        </w:rPr>
        <w:t xml:space="preserve"> presenta el Cálculo del % Ventas </w:t>
      </w:r>
      <w:r w:rsidR="007D22A3" w:rsidRPr="00D848CE">
        <w:rPr>
          <w:rFonts w:ascii="Arial" w:hAnsi="Arial" w:cs="Arial"/>
          <w:color w:val="000000"/>
          <w:sz w:val="22"/>
          <w:szCs w:val="22"/>
          <w:lang w:val="es-ES_tradnl"/>
        </w:rPr>
        <w:t>y del impacto de la recaudación en</w:t>
      </w:r>
      <w:r w:rsidR="00CD3D53" w:rsidRPr="00D848CE">
        <w:rPr>
          <w:rFonts w:ascii="Arial" w:hAnsi="Arial" w:cs="Arial"/>
          <w:color w:val="000000"/>
          <w:sz w:val="22"/>
          <w:szCs w:val="22"/>
          <w:lang w:val="es-ES_tradnl"/>
        </w:rPr>
        <w:t xml:space="preserve"> los Contribuyentes </w:t>
      </w:r>
      <w:r w:rsidR="004B6A80" w:rsidRPr="00D848CE">
        <w:rPr>
          <w:rFonts w:ascii="Arial" w:hAnsi="Arial" w:cs="Arial"/>
          <w:color w:val="000000"/>
          <w:sz w:val="22"/>
          <w:szCs w:val="22"/>
          <w:lang w:val="es-ES_tradnl"/>
        </w:rPr>
        <w:t>S</w:t>
      </w:r>
      <w:r w:rsidR="00CD3D53" w:rsidRPr="00D848CE">
        <w:rPr>
          <w:rFonts w:ascii="Arial" w:hAnsi="Arial" w:cs="Arial"/>
          <w:color w:val="000000"/>
          <w:sz w:val="22"/>
          <w:szCs w:val="22"/>
          <w:lang w:val="es-ES_tradnl"/>
        </w:rPr>
        <w:t>in Solución Fiscales</w:t>
      </w:r>
      <w:r w:rsidR="0025116C" w:rsidRPr="00D848CE">
        <w:rPr>
          <w:rFonts w:ascii="Arial" w:hAnsi="Arial" w:cs="Arial"/>
          <w:color w:val="000000"/>
          <w:sz w:val="22"/>
          <w:szCs w:val="22"/>
          <w:lang w:val="es-ES_tradnl"/>
        </w:rPr>
        <w:t xml:space="preserve"> (CSSF)</w:t>
      </w:r>
      <w:r w:rsidR="00CD3D53" w:rsidRPr="00D848CE">
        <w:rPr>
          <w:rFonts w:ascii="Arial" w:hAnsi="Arial" w:cs="Arial"/>
          <w:color w:val="000000"/>
          <w:sz w:val="22"/>
          <w:szCs w:val="22"/>
          <w:lang w:val="es-ES_tradnl"/>
        </w:rPr>
        <w:t xml:space="preserve"> el año 2015</w:t>
      </w:r>
      <w:r w:rsidR="007D22A3" w:rsidRPr="00D848CE">
        <w:rPr>
          <w:rFonts w:ascii="Arial" w:hAnsi="Arial" w:cs="Arial"/>
          <w:color w:val="000000"/>
          <w:sz w:val="22"/>
          <w:szCs w:val="22"/>
          <w:lang w:val="es-ES_tradnl"/>
        </w:rPr>
        <w:t xml:space="preserve"> (Ver última </w:t>
      </w:r>
      <w:r w:rsidR="007B0C93" w:rsidRPr="00D848CE">
        <w:rPr>
          <w:rFonts w:ascii="Arial" w:hAnsi="Arial" w:cs="Arial"/>
          <w:color w:val="000000"/>
          <w:sz w:val="22"/>
          <w:szCs w:val="22"/>
          <w:lang w:val="es-ES_tradnl"/>
        </w:rPr>
        <w:t>columna</w:t>
      </w:r>
      <w:r w:rsidR="007D22A3" w:rsidRPr="00D848CE">
        <w:rPr>
          <w:rFonts w:ascii="Arial" w:hAnsi="Arial" w:cs="Arial"/>
          <w:color w:val="000000"/>
          <w:sz w:val="22"/>
          <w:szCs w:val="22"/>
          <w:lang w:val="es-ES_tradnl"/>
        </w:rPr>
        <w:t>)</w:t>
      </w:r>
      <w:r w:rsidR="00CD3D53" w:rsidRPr="00D848CE">
        <w:rPr>
          <w:rFonts w:ascii="Arial" w:hAnsi="Arial" w:cs="Arial"/>
          <w:color w:val="000000"/>
          <w:sz w:val="22"/>
          <w:szCs w:val="22"/>
          <w:lang w:val="es-ES_tradnl"/>
        </w:rPr>
        <w:t xml:space="preserve">. Este cuadro sirve de base para calcular el impacto de la recaudación proveniente de la implantación de la Factura Electrónica </w:t>
      </w:r>
      <w:r w:rsidR="007F6DEB" w:rsidRPr="00D848CE">
        <w:rPr>
          <w:rFonts w:ascii="Arial" w:hAnsi="Arial" w:cs="Arial"/>
          <w:color w:val="000000"/>
          <w:sz w:val="22"/>
          <w:szCs w:val="22"/>
          <w:lang w:val="es-ES_tradnl"/>
        </w:rPr>
        <w:t>para cualquier tipo</w:t>
      </w:r>
      <w:r w:rsidR="00CD3D53" w:rsidRPr="00D848CE">
        <w:rPr>
          <w:rFonts w:ascii="Arial" w:hAnsi="Arial" w:cs="Arial"/>
          <w:color w:val="000000"/>
          <w:sz w:val="22"/>
          <w:szCs w:val="22"/>
          <w:lang w:val="es-ES_tradnl"/>
        </w:rPr>
        <w:t xml:space="preserve"> de contribuyentes</w:t>
      </w:r>
      <w:r w:rsidR="007F6DEB" w:rsidRPr="00D848CE">
        <w:rPr>
          <w:rFonts w:ascii="Arial" w:hAnsi="Arial" w:cs="Arial"/>
          <w:color w:val="000000"/>
          <w:sz w:val="22"/>
          <w:szCs w:val="22"/>
          <w:lang w:val="es-ES_tradnl"/>
        </w:rPr>
        <w:t xml:space="preserve"> (grandes, grandes locales, normales o pequeños)</w:t>
      </w:r>
      <w:r w:rsidR="00CD3D53" w:rsidRPr="00D848CE">
        <w:rPr>
          <w:rFonts w:ascii="Arial" w:hAnsi="Arial" w:cs="Arial"/>
          <w:color w:val="000000"/>
          <w:sz w:val="22"/>
          <w:szCs w:val="22"/>
          <w:lang w:val="es-ES_tradnl"/>
        </w:rPr>
        <w:t>.</w:t>
      </w:r>
    </w:p>
    <w:p w14:paraId="4119FBD8" w14:textId="77777777" w:rsidR="00CD3D53" w:rsidRPr="00D848CE" w:rsidRDefault="00487BE4" w:rsidP="008B5547">
      <w:pPr>
        <w:pStyle w:val="Paragraph"/>
        <w:numPr>
          <w:ilvl w:val="0"/>
          <w:numId w:val="0"/>
        </w:numPr>
        <w:tabs>
          <w:tab w:val="num" w:pos="1800"/>
        </w:tabs>
        <w:autoSpaceDE w:val="0"/>
        <w:autoSpaceDN w:val="0"/>
        <w:adjustRightInd w:val="0"/>
        <w:ind w:left="720"/>
        <w:outlineLvl w:val="9"/>
        <w:rPr>
          <w:rFonts w:ascii="Arial" w:hAnsi="Arial" w:cs="Arial"/>
          <w:color w:val="000000"/>
          <w:sz w:val="22"/>
          <w:szCs w:val="22"/>
          <w:lang w:val="es-ES_tradnl"/>
        </w:rPr>
      </w:pPr>
      <w:r w:rsidRPr="00D848CE">
        <w:rPr>
          <w:rFonts w:ascii="Arial" w:hAnsi="Arial" w:cs="Arial"/>
          <w:noProof/>
          <w:sz w:val="22"/>
          <w:szCs w:val="22"/>
          <w:lang w:val="es-ES_tradnl" w:eastAsia="es-ES_tradnl"/>
        </w:rPr>
        <w:lastRenderedPageBreak/>
        <w:drawing>
          <wp:inline distT="0" distB="0" distL="0" distR="0" wp14:anchorId="60F18275" wp14:editId="2C26BDEA">
            <wp:extent cx="4455113" cy="1680037"/>
            <wp:effectExtent l="0" t="0" r="317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76031" cy="1687925"/>
                    </a:xfrm>
                    <a:prstGeom prst="rect">
                      <a:avLst/>
                    </a:prstGeom>
                    <a:noFill/>
                    <a:ln>
                      <a:noFill/>
                    </a:ln>
                  </pic:spPr>
                </pic:pic>
              </a:graphicData>
            </a:graphic>
          </wp:inline>
        </w:drawing>
      </w:r>
    </w:p>
    <w:p w14:paraId="1CDF722D" w14:textId="77777777" w:rsidR="00CD3D53" w:rsidRPr="00D848CE" w:rsidRDefault="00D01AE5"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color w:val="000000"/>
          <w:sz w:val="22"/>
          <w:szCs w:val="22"/>
          <w:lang w:val="es-ES_tradnl"/>
        </w:rPr>
        <w:t>La</w:t>
      </w:r>
      <w:r w:rsidR="007D22A3" w:rsidRPr="00D848CE">
        <w:rPr>
          <w:rFonts w:ascii="Arial" w:hAnsi="Arial" w:cs="Arial"/>
          <w:color w:val="000000"/>
          <w:sz w:val="22"/>
          <w:szCs w:val="22"/>
          <w:lang w:val="es-ES_tradnl"/>
        </w:rPr>
        <w:t xml:space="preserve"> presente est</w:t>
      </w:r>
      <w:r w:rsidRPr="00D848CE">
        <w:rPr>
          <w:rFonts w:ascii="Arial" w:hAnsi="Arial" w:cs="Arial"/>
          <w:color w:val="000000"/>
          <w:sz w:val="22"/>
          <w:szCs w:val="22"/>
          <w:lang w:val="es-ES_tradnl"/>
        </w:rPr>
        <w:t>imación</w:t>
      </w:r>
      <w:r w:rsidR="007D22A3" w:rsidRPr="00D848CE">
        <w:rPr>
          <w:rFonts w:ascii="Arial" w:hAnsi="Arial" w:cs="Arial"/>
          <w:color w:val="000000"/>
          <w:sz w:val="22"/>
          <w:szCs w:val="22"/>
          <w:lang w:val="es-ES_tradnl"/>
        </w:rPr>
        <w:t xml:space="preserve"> está considerando que </w:t>
      </w:r>
      <w:r w:rsidR="00AC6789" w:rsidRPr="00D848CE">
        <w:rPr>
          <w:rFonts w:ascii="Arial" w:hAnsi="Arial" w:cs="Arial"/>
          <w:color w:val="000000"/>
          <w:sz w:val="22"/>
          <w:szCs w:val="22"/>
          <w:lang w:val="es-ES_tradnl"/>
        </w:rPr>
        <w:t>la implantación de la Factura Electrónica de forma piloto</w:t>
      </w:r>
      <w:r w:rsidR="00CD3D53" w:rsidRPr="00D848CE">
        <w:rPr>
          <w:rFonts w:ascii="Arial" w:hAnsi="Arial" w:cs="Arial"/>
          <w:color w:val="000000"/>
          <w:sz w:val="22"/>
          <w:szCs w:val="22"/>
          <w:lang w:val="es-ES_tradnl"/>
        </w:rPr>
        <w:t xml:space="preserve"> </w:t>
      </w:r>
      <w:r w:rsidR="007D22A3" w:rsidRPr="00D848CE">
        <w:rPr>
          <w:rFonts w:ascii="Arial" w:hAnsi="Arial" w:cs="Arial"/>
          <w:color w:val="000000"/>
          <w:sz w:val="22"/>
          <w:szCs w:val="22"/>
          <w:lang w:val="es-ES_tradnl"/>
        </w:rPr>
        <w:t>será para los</w:t>
      </w:r>
      <w:r w:rsidR="00CD3D53" w:rsidRPr="00D848CE">
        <w:rPr>
          <w:rFonts w:ascii="Arial" w:hAnsi="Arial" w:cs="Arial"/>
          <w:color w:val="000000"/>
          <w:sz w:val="22"/>
          <w:szCs w:val="22"/>
          <w:lang w:val="es-ES_tradnl"/>
        </w:rPr>
        <w:t xml:space="preserve"> Grandes Contribuyentes Locales </w:t>
      </w:r>
      <w:r w:rsidR="007F6DEB" w:rsidRPr="00D848CE">
        <w:rPr>
          <w:rFonts w:ascii="Arial" w:hAnsi="Arial" w:cs="Arial"/>
          <w:color w:val="000000"/>
          <w:sz w:val="22"/>
          <w:szCs w:val="22"/>
          <w:lang w:val="es-ES_tradnl"/>
        </w:rPr>
        <w:t>que no tienen</w:t>
      </w:r>
      <w:r w:rsidR="00CD3D53" w:rsidRPr="00D848CE">
        <w:rPr>
          <w:rFonts w:ascii="Arial" w:hAnsi="Arial" w:cs="Arial"/>
          <w:color w:val="000000"/>
          <w:sz w:val="22"/>
          <w:szCs w:val="22"/>
          <w:lang w:val="es-ES_tradnl"/>
        </w:rPr>
        <w:t xml:space="preserve"> Solución Fiscal</w:t>
      </w:r>
      <w:r w:rsidR="0025116C" w:rsidRPr="00D848CE">
        <w:rPr>
          <w:rFonts w:ascii="Arial" w:hAnsi="Arial" w:cs="Arial"/>
          <w:color w:val="000000"/>
          <w:sz w:val="22"/>
          <w:szCs w:val="22"/>
          <w:lang w:val="es-ES_tradnl"/>
        </w:rPr>
        <w:t xml:space="preserve"> (GCLSSF)</w:t>
      </w:r>
      <w:r w:rsidR="007D22A3" w:rsidRPr="00D848CE">
        <w:rPr>
          <w:rFonts w:ascii="Arial" w:hAnsi="Arial" w:cs="Arial"/>
          <w:color w:val="000000"/>
          <w:sz w:val="22"/>
          <w:szCs w:val="22"/>
          <w:lang w:val="es-ES_tradnl"/>
        </w:rPr>
        <w:t xml:space="preserve">. </w:t>
      </w:r>
      <w:r w:rsidR="00CD3D53" w:rsidRPr="00D848CE">
        <w:rPr>
          <w:rFonts w:ascii="Arial" w:hAnsi="Arial" w:cs="Arial"/>
          <w:color w:val="000000"/>
          <w:sz w:val="22"/>
          <w:szCs w:val="22"/>
          <w:lang w:val="es-ES_tradnl"/>
        </w:rPr>
        <w:t xml:space="preserve">El cálculo del % de ventas para los </w:t>
      </w:r>
      <w:r w:rsidR="0025116C" w:rsidRPr="00D848CE">
        <w:rPr>
          <w:rFonts w:ascii="Arial" w:hAnsi="Arial" w:cs="Arial"/>
          <w:color w:val="000000"/>
          <w:sz w:val="22"/>
          <w:szCs w:val="22"/>
          <w:lang w:val="es-ES_tradnl"/>
        </w:rPr>
        <w:t>GCLSSF</w:t>
      </w:r>
      <w:r w:rsidR="00CD3D53" w:rsidRPr="00D848CE">
        <w:rPr>
          <w:rFonts w:ascii="Arial" w:hAnsi="Arial" w:cs="Arial"/>
          <w:color w:val="000000"/>
          <w:sz w:val="22"/>
          <w:szCs w:val="22"/>
          <w:lang w:val="es-ES_tradnl"/>
        </w:rPr>
        <w:t xml:space="preserve"> </w:t>
      </w:r>
      <w:r w:rsidR="005F4006" w:rsidRPr="00D848CE">
        <w:rPr>
          <w:rFonts w:ascii="Arial" w:hAnsi="Arial" w:cs="Arial"/>
          <w:color w:val="000000"/>
          <w:sz w:val="22"/>
          <w:szCs w:val="22"/>
          <w:lang w:val="es-ES_tradnl"/>
        </w:rPr>
        <w:t>para el año 2015</w:t>
      </w:r>
      <w:r w:rsidR="007F6DEB" w:rsidRPr="00D848CE">
        <w:rPr>
          <w:rFonts w:ascii="Arial" w:hAnsi="Arial" w:cs="Arial"/>
          <w:color w:val="000000"/>
          <w:sz w:val="22"/>
          <w:szCs w:val="22"/>
          <w:lang w:val="es-ES_tradnl"/>
        </w:rPr>
        <w:t xml:space="preserve"> </w:t>
      </w:r>
      <w:r w:rsidR="00CD3D53" w:rsidRPr="00D848CE">
        <w:rPr>
          <w:rFonts w:ascii="Arial" w:hAnsi="Arial" w:cs="Arial"/>
          <w:color w:val="000000"/>
          <w:sz w:val="22"/>
          <w:szCs w:val="22"/>
          <w:lang w:val="es-ES_tradnl"/>
        </w:rPr>
        <w:t xml:space="preserve">se hace a través de la </w:t>
      </w:r>
      <w:r w:rsidR="007D22A3" w:rsidRPr="00D848CE">
        <w:rPr>
          <w:rFonts w:ascii="Arial" w:hAnsi="Arial" w:cs="Arial"/>
          <w:color w:val="000000"/>
          <w:sz w:val="22"/>
          <w:szCs w:val="22"/>
          <w:lang w:val="es-ES_tradnl"/>
        </w:rPr>
        <w:t>siguiente fórmula</w:t>
      </w:r>
      <w:r w:rsidR="00CD3D53" w:rsidRPr="00D848CE">
        <w:rPr>
          <w:rFonts w:ascii="Arial" w:hAnsi="Arial" w:cs="Arial"/>
          <w:color w:val="000000"/>
          <w:sz w:val="22"/>
          <w:szCs w:val="22"/>
          <w:lang w:val="es-ES_tradnl"/>
        </w:rPr>
        <w:t>:</w:t>
      </w:r>
    </w:p>
    <w:p w14:paraId="432BE09E" w14:textId="77777777" w:rsidR="00701965" w:rsidRPr="00D848CE" w:rsidRDefault="00AC6789" w:rsidP="008B5547">
      <w:pPr>
        <w:pStyle w:val="Paragraph"/>
        <w:numPr>
          <w:ilvl w:val="0"/>
          <w:numId w:val="0"/>
        </w:numPr>
        <w:tabs>
          <w:tab w:val="num" w:pos="720"/>
        </w:tabs>
        <w:autoSpaceDE w:val="0"/>
        <w:autoSpaceDN w:val="0"/>
        <w:adjustRightInd w:val="0"/>
        <w:ind w:left="720"/>
        <w:outlineLvl w:val="9"/>
        <w:rPr>
          <w:rFonts w:ascii="Arial" w:hAnsi="Arial" w:cs="Arial"/>
          <w:sz w:val="22"/>
          <w:szCs w:val="22"/>
          <w:lang w:val="es-ES_tradnl"/>
        </w:rPr>
      </w:pPr>
      <w:r w:rsidRPr="00D848CE">
        <w:rPr>
          <w:rFonts w:ascii="Arial" w:hAnsi="Arial" w:cs="Arial"/>
          <w:color w:val="000000"/>
          <w:sz w:val="22"/>
          <w:szCs w:val="22"/>
          <w:lang w:val="es-ES_tradnl"/>
        </w:rPr>
        <w:t>% ventas</w:t>
      </w:r>
      <w:r w:rsidR="00487BE4" w:rsidRPr="00D848CE">
        <w:rPr>
          <w:rFonts w:ascii="Arial" w:hAnsi="Arial" w:cs="Arial"/>
          <w:color w:val="000000"/>
          <w:sz w:val="22"/>
          <w:szCs w:val="22"/>
          <w:lang w:val="es-ES_tradnl"/>
        </w:rPr>
        <w:t xml:space="preserve"> (línea 2 Cuadro 3 Col 5)</w:t>
      </w:r>
      <w:r w:rsidRPr="00D848CE">
        <w:rPr>
          <w:rFonts w:ascii="Arial" w:hAnsi="Arial" w:cs="Arial"/>
          <w:color w:val="000000"/>
          <w:sz w:val="22"/>
          <w:szCs w:val="22"/>
          <w:lang w:val="es-ES_tradnl"/>
        </w:rPr>
        <w:t xml:space="preserve"> </w:t>
      </w:r>
      <w:r w:rsidR="00CD3D53" w:rsidRPr="00D848CE">
        <w:rPr>
          <w:rFonts w:ascii="Arial" w:hAnsi="Arial" w:cs="Arial"/>
          <w:sz w:val="22"/>
          <w:szCs w:val="22"/>
          <w:lang w:val="es-ES_tradnl"/>
        </w:rPr>
        <w:t>= % ventas totales</w:t>
      </w:r>
      <w:r w:rsidR="007B0C93" w:rsidRPr="00D848CE">
        <w:rPr>
          <w:rFonts w:ascii="Arial" w:hAnsi="Arial" w:cs="Arial"/>
          <w:sz w:val="22"/>
          <w:szCs w:val="22"/>
          <w:lang w:val="es-ES_tradnl"/>
        </w:rPr>
        <w:t xml:space="preserve"> de </w:t>
      </w:r>
      <w:r w:rsidR="00487BE4" w:rsidRPr="00D848CE">
        <w:rPr>
          <w:rFonts w:ascii="Arial" w:hAnsi="Arial" w:cs="Arial"/>
          <w:sz w:val="22"/>
          <w:szCs w:val="22"/>
          <w:lang w:val="es-ES_tradnl"/>
        </w:rPr>
        <w:t xml:space="preserve">2015 (línea 2 Cuadro 3 Col 3) </w:t>
      </w:r>
      <w:r w:rsidR="0078643C" w:rsidRPr="00D848CE">
        <w:rPr>
          <w:rFonts w:ascii="Arial" w:hAnsi="Arial" w:cs="Arial"/>
          <w:sz w:val="22"/>
          <w:szCs w:val="22"/>
          <w:lang w:val="es-ES_tradnl"/>
        </w:rPr>
        <w:t>* Cantidad de GCLSSF</w:t>
      </w:r>
      <w:r w:rsidR="00487BE4" w:rsidRPr="00D848CE">
        <w:rPr>
          <w:rFonts w:ascii="Arial" w:hAnsi="Arial" w:cs="Arial"/>
          <w:sz w:val="22"/>
          <w:szCs w:val="22"/>
          <w:lang w:val="es-ES_tradnl"/>
        </w:rPr>
        <w:t xml:space="preserve"> (línea 2 Cuadro 3 Col 4)</w:t>
      </w:r>
      <w:r w:rsidR="0078643C" w:rsidRPr="00D848CE">
        <w:rPr>
          <w:rFonts w:ascii="Arial" w:hAnsi="Arial" w:cs="Arial"/>
          <w:sz w:val="22"/>
          <w:szCs w:val="22"/>
          <w:lang w:val="es-ES_tradnl"/>
        </w:rPr>
        <w:t xml:space="preserve"> / Cantidad de GCL potencial</w:t>
      </w:r>
      <w:r w:rsidR="00487BE4" w:rsidRPr="00D848CE">
        <w:rPr>
          <w:rFonts w:ascii="Arial" w:hAnsi="Arial" w:cs="Arial"/>
          <w:sz w:val="22"/>
          <w:szCs w:val="22"/>
          <w:lang w:val="es-ES_tradnl"/>
        </w:rPr>
        <w:t xml:space="preserve"> (línea 2 Cuadro 3 Col 2)</w:t>
      </w:r>
      <w:r w:rsidR="0078643C" w:rsidRPr="00D848CE">
        <w:rPr>
          <w:rFonts w:ascii="Arial" w:hAnsi="Arial" w:cs="Arial"/>
          <w:sz w:val="22"/>
          <w:szCs w:val="22"/>
          <w:lang w:val="es-ES_tradnl"/>
        </w:rPr>
        <w:t xml:space="preserve"> =</w:t>
      </w:r>
      <w:r w:rsidR="00701965" w:rsidRPr="00D848CE">
        <w:rPr>
          <w:rFonts w:ascii="Arial" w:hAnsi="Arial" w:cs="Arial"/>
          <w:sz w:val="22"/>
          <w:szCs w:val="22"/>
          <w:lang w:val="es-ES_tradnl"/>
        </w:rPr>
        <w:t xml:space="preserve"> </w:t>
      </w:r>
      <w:r w:rsidR="0078643C" w:rsidRPr="00D848CE">
        <w:rPr>
          <w:rFonts w:ascii="Arial" w:hAnsi="Arial" w:cs="Arial"/>
          <w:sz w:val="22"/>
          <w:szCs w:val="22"/>
          <w:lang w:val="es-ES_tradnl"/>
        </w:rPr>
        <w:t>14</w:t>
      </w:r>
      <w:r w:rsidR="00BC640D" w:rsidRPr="00D848CE">
        <w:rPr>
          <w:rFonts w:ascii="Arial" w:hAnsi="Arial" w:cs="Arial"/>
          <w:sz w:val="22"/>
          <w:szCs w:val="22"/>
          <w:lang w:val="es-ES_tradnl"/>
        </w:rPr>
        <w:t>,</w:t>
      </w:r>
      <w:r w:rsidR="0078643C" w:rsidRPr="00D848CE">
        <w:rPr>
          <w:rFonts w:ascii="Arial" w:hAnsi="Arial" w:cs="Arial"/>
          <w:sz w:val="22"/>
          <w:szCs w:val="22"/>
          <w:lang w:val="es-ES_tradnl"/>
        </w:rPr>
        <w:t>7% * 1,405 / 2,325</w:t>
      </w:r>
      <w:r w:rsidR="00CD3D53" w:rsidRPr="00D848CE">
        <w:rPr>
          <w:rFonts w:ascii="Arial" w:hAnsi="Arial" w:cs="Arial"/>
          <w:sz w:val="22"/>
          <w:szCs w:val="22"/>
          <w:lang w:val="es-ES_tradnl"/>
        </w:rPr>
        <w:t xml:space="preserve"> = </w:t>
      </w:r>
      <w:r w:rsidR="00BC640D" w:rsidRPr="00D848CE">
        <w:rPr>
          <w:rFonts w:ascii="Arial" w:hAnsi="Arial" w:cs="Arial"/>
          <w:sz w:val="22"/>
          <w:szCs w:val="22"/>
          <w:lang w:val="es-ES_tradnl"/>
        </w:rPr>
        <w:t>8,</w:t>
      </w:r>
      <w:r w:rsidR="0078643C" w:rsidRPr="00D848CE">
        <w:rPr>
          <w:rFonts w:ascii="Arial" w:hAnsi="Arial" w:cs="Arial"/>
          <w:sz w:val="22"/>
          <w:szCs w:val="22"/>
          <w:lang w:val="es-ES_tradnl"/>
        </w:rPr>
        <w:t>35</w:t>
      </w:r>
      <w:r w:rsidR="007F6DEB" w:rsidRPr="00D848CE">
        <w:rPr>
          <w:rFonts w:ascii="Arial" w:hAnsi="Arial" w:cs="Arial"/>
          <w:sz w:val="22"/>
          <w:szCs w:val="22"/>
          <w:lang w:val="es-ES_tradnl"/>
        </w:rPr>
        <w:t xml:space="preserve">% (línea </w:t>
      </w:r>
      <w:r w:rsidR="005F4006" w:rsidRPr="00D848CE">
        <w:rPr>
          <w:rFonts w:ascii="Arial" w:hAnsi="Arial" w:cs="Arial"/>
          <w:sz w:val="22"/>
          <w:szCs w:val="22"/>
          <w:lang w:val="es-ES_tradnl"/>
        </w:rPr>
        <w:t>2</w:t>
      </w:r>
      <w:r w:rsidR="0078643C" w:rsidRPr="00D848CE">
        <w:rPr>
          <w:rFonts w:ascii="Arial" w:hAnsi="Arial" w:cs="Arial"/>
          <w:sz w:val="22"/>
          <w:szCs w:val="22"/>
          <w:lang w:val="es-ES_tradnl"/>
        </w:rPr>
        <w:t xml:space="preserve"> Cuadro 3</w:t>
      </w:r>
      <w:r w:rsidR="00487BE4" w:rsidRPr="00D848CE">
        <w:rPr>
          <w:rFonts w:ascii="Arial" w:hAnsi="Arial" w:cs="Arial"/>
          <w:sz w:val="22"/>
          <w:szCs w:val="22"/>
          <w:lang w:val="es-ES_tradnl"/>
        </w:rPr>
        <w:t xml:space="preserve"> Col 5</w:t>
      </w:r>
      <w:r w:rsidR="007F6DEB" w:rsidRPr="00D848CE">
        <w:rPr>
          <w:rFonts w:ascii="Arial" w:hAnsi="Arial" w:cs="Arial"/>
          <w:sz w:val="22"/>
          <w:szCs w:val="22"/>
          <w:lang w:val="es-ES_tradnl"/>
        </w:rPr>
        <w:t>)</w:t>
      </w:r>
    </w:p>
    <w:p w14:paraId="0554F70D" w14:textId="77777777" w:rsidR="00C27597" w:rsidRPr="00D848CE" w:rsidRDefault="0078643C" w:rsidP="008B5547">
      <w:pPr>
        <w:pStyle w:val="Paragraph"/>
        <w:numPr>
          <w:ilvl w:val="0"/>
          <w:numId w:val="0"/>
        </w:numPr>
        <w:autoSpaceDE w:val="0"/>
        <w:autoSpaceDN w:val="0"/>
        <w:adjustRightInd w:val="0"/>
        <w:ind w:left="-180"/>
        <w:outlineLvl w:val="9"/>
        <w:rPr>
          <w:rFonts w:ascii="Arial" w:hAnsi="Arial" w:cs="Arial"/>
          <w:sz w:val="22"/>
          <w:szCs w:val="22"/>
          <w:lang w:val="es-ES_tradnl"/>
        </w:rPr>
      </w:pPr>
      <w:r w:rsidRPr="00D848CE">
        <w:rPr>
          <w:rFonts w:ascii="Arial" w:hAnsi="Arial" w:cs="Arial"/>
          <w:noProof/>
          <w:sz w:val="22"/>
          <w:szCs w:val="22"/>
          <w:lang w:val="es-ES_tradnl" w:eastAsia="es-ES_tradnl"/>
        </w:rPr>
        <w:drawing>
          <wp:inline distT="0" distB="0" distL="0" distR="0" wp14:anchorId="655073B3" wp14:editId="5A7394FC">
            <wp:extent cx="6066790" cy="1598212"/>
            <wp:effectExtent l="0" t="0" r="0" b="254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66790" cy="1598212"/>
                    </a:xfrm>
                    <a:prstGeom prst="rect">
                      <a:avLst/>
                    </a:prstGeom>
                    <a:noFill/>
                    <a:ln>
                      <a:noFill/>
                    </a:ln>
                  </pic:spPr>
                </pic:pic>
              </a:graphicData>
            </a:graphic>
          </wp:inline>
        </w:drawing>
      </w:r>
    </w:p>
    <w:p w14:paraId="2796658C" w14:textId="77777777" w:rsidR="007D22A3" w:rsidRPr="00D848CE" w:rsidRDefault="007D22A3" w:rsidP="008B5547">
      <w:pPr>
        <w:pStyle w:val="Paragraph"/>
        <w:numPr>
          <w:ilvl w:val="1"/>
          <w:numId w:val="2"/>
        </w:numPr>
        <w:tabs>
          <w:tab w:val="num" w:pos="720"/>
        </w:tabs>
        <w:autoSpaceDE w:val="0"/>
        <w:autoSpaceDN w:val="0"/>
        <w:adjustRightInd w:val="0"/>
        <w:ind w:left="720" w:hanging="720"/>
        <w:outlineLvl w:val="9"/>
        <w:rPr>
          <w:rFonts w:ascii="Arial" w:hAnsi="Arial" w:cs="Arial"/>
          <w:sz w:val="22"/>
          <w:szCs w:val="22"/>
          <w:lang w:val="es-ES_tradnl"/>
        </w:rPr>
      </w:pPr>
      <w:r w:rsidRPr="00D848CE">
        <w:rPr>
          <w:rFonts w:ascii="Arial" w:hAnsi="Arial" w:cs="Arial"/>
          <w:sz w:val="22"/>
          <w:szCs w:val="22"/>
          <w:lang w:val="es-ES_tradnl"/>
        </w:rPr>
        <w:t>El cálculo del impacto en la recaudación</w:t>
      </w:r>
      <w:r w:rsidR="00D62B25" w:rsidRPr="00D848CE">
        <w:rPr>
          <w:rFonts w:ascii="Arial" w:hAnsi="Arial" w:cs="Arial"/>
          <w:sz w:val="22"/>
          <w:szCs w:val="22"/>
          <w:lang w:val="es-ES_tradnl"/>
        </w:rPr>
        <w:t xml:space="preserve"> % PIB</w:t>
      </w:r>
      <w:r w:rsidRPr="00D848CE">
        <w:rPr>
          <w:rFonts w:ascii="Arial" w:hAnsi="Arial" w:cs="Arial"/>
          <w:sz w:val="22"/>
          <w:szCs w:val="22"/>
          <w:lang w:val="es-ES_tradnl"/>
        </w:rPr>
        <w:t xml:space="preserve"> </w:t>
      </w:r>
      <w:r w:rsidR="00C27597" w:rsidRPr="00D848CE">
        <w:rPr>
          <w:rFonts w:ascii="Arial" w:hAnsi="Arial" w:cs="Arial"/>
          <w:sz w:val="22"/>
          <w:szCs w:val="22"/>
          <w:lang w:val="es-ES_tradnl"/>
        </w:rPr>
        <w:t>de los GCLSSF en el año</w:t>
      </w:r>
      <w:r w:rsidRPr="00D848CE">
        <w:rPr>
          <w:rFonts w:ascii="Arial" w:hAnsi="Arial" w:cs="Arial"/>
          <w:sz w:val="22"/>
          <w:szCs w:val="22"/>
          <w:lang w:val="es-ES_tradnl"/>
        </w:rPr>
        <w:t xml:space="preserve"> 2018 se hace a través de la siguiente fórmula</w:t>
      </w:r>
      <w:r w:rsidR="00C27597" w:rsidRPr="00D848CE">
        <w:rPr>
          <w:rFonts w:ascii="Arial" w:hAnsi="Arial" w:cs="Arial"/>
          <w:sz w:val="22"/>
          <w:szCs w:val="22"/>
          <w:lang w:val="es-ES_tradnl"/>
        </w:rPr>
        <w:t>:</w:t>
      </w:r>
    </w:p>
    <w:p w14:paraId="4FC26BB3" w14:textId="77777777" w:rsidR="00701965" w:rsidRPr="00D848CE" w:rsidRDefault="007B0C93" w:rsidP="008B5547">
      <w:pPr>
        <w:pStyle w:val="Paragraph"/>
        <w:numPr>
          <w:ilvl w:val="0"/>
          <w:numId w:val="0"/>
        </w:numPr>
        <w:autoSpaceDE w:val="0"/>
        <w:autoSpaceDN w:val="0"/>
        <w:adjustRightInd w:val="0"/>
        <w:ind w:left="720"/>
        <w:outlineLvl w:val="9"/>
        <w:rPr>
          <w:rFonts w:ascii="Arial" w:hAnsi="Arial" w:cs="Arial"/>
          <w:color w:val="000000"/>
          <w:sz w:val="22"/>
          <w:szCs w:val="22"/>
          <w:lang w:val="es-ES_tradnl"/>
        </w:rPr>
      </w:pPr>
      <w:r w:rsidRPr="00D848CE">
        <w:rPr>
          <w:rFonts w:ascii="Arial" w:hAnsi="Arial" w:cs="Arial"/>
          <w:color w:val="000000"/>
          <w:sz w:val="22"/>
          <w:szCs w:val="22"/>
          <w:lang w:val="es-ES_tradnl"/>
        </w:rPr>
        <w:t xml:space="preserve">Impacto </w:t>
      </w:r>
      <w:r w:rsidR="00C27597" w:rsidRPr="00D848CE">
        <w:rPr>
          <w:rFonts w:ascii="Arial" w:hAnsi="Arial" w:cs="Arial"/>
          <w:color w:val="000000"/>
          <w:sz w:val="22"/>
          <w:szCs w:val="22"/>
          <w:lang w:val="es-ES_tradnl"/>
        </w:rPr>
        <w:t xml:space="preserve">en la </w:t>
      </w:r>
      <w:r w:rsidR="00701965" w:rsidRPr="00D848CE">
        <w:rPr>
          <w:rFonts w:ascii="Arial" w:hAnsi="Arial" w:cs="Arial"/>
          <w:color w:val="000000"/>
          <w:sz w:val="22"/>
          <w:szCs w:val="22"/>
          <w:lang w:val="es-ES_tradnl"/>
        </w:rPr>
        <w:t>Recaudaci</w:t>
      </w:r>
      <w:r w:rsidR="00F07463" w:rsidRPr="00D848CE">
        <w:rPr>
          <w:rFonts w:ascii="Arial" w:hAnsi="Arial" w:cs="Arial"/>
          <w:color w:val="000000"/>
          <w:sz w:val="22"/>
          <w:szCs w:val="22"/>
          <w:lang w:val="es-ES_tradnl"/>
        </w:rPr>
        <w:t>ón</w:t>
      </w:r>
      <w:r w:rsidR="00D62B25" w:rsidRPr="00D848CE">
        <w:rPr>
          <w:rFonts w:ascii="Arial" w:hAnsi="Arial" w:cs="Arial"/>
          <w:color w:val="000000"/>
          <w:sz w:val="22"/>
          <w:szCs w:val="22"/>
          <w:lang w:val="es-ES_tradnl"/>
        </w:rPr>
        <w:t xml:space="preserve"> % PIB</w:t>
      </w:r>
      <w:r w:rsidR="005F4006" w:rsidRPr="00D848CE">
        <w:rPr>
          <w:rFonts w:ascii="Arial" w:hAnsi="Arial" w:cs="Arial"/>
          <w:color w:val="000000"/>
          <w:sz w:val="22"/>
          <w:szCs w:val="22"/>
          <w:lang w:val="es-ES_tradnl"/>
        </w:rPr>
        <w:t xml:space="preserve"> (línea </w:t>
      </w:r>
      <w:r w:rsidR="0078643C" w:rsidRPr="00D848CE">
        <w:rPr>
          <w:rFonts w:ascii="Arial" w:hAnsi="Arial" w:cs="Arial"/>
          <w:color w:val="000000"/>
          <w:sz w:val="22"/>
          <w:szCs w:val="22"/>
          <w:lang w:val="es-ES_tradnl"/>
        </w:rPr>
        <w:t>2 cuadro 4</w:t>
      </w:r>
      <w:r w:rsidR="00487BE4" w:rsidRPr="00D848CE">
        <w:rPr>
          <w:rFonts w:ascii="Arial" w:hAnsi="Arial" w:cs="Arial"/>
          <w:color w:val="000000"/>
          <w:sz w:val="22"/>
          <w:szCs w:val="22"/>
          <w:lang w:val="es-ES_tradnl"/>
        </w:rPr>
        <w:t xml:space="preserve"> Col 2</w:t>
      </w:r>
      <w:r w:rsidR="005F4006" w:rsidRPr="00D848CE">
        <w:rPr>
          <w:rFonts w:ascii="Arial" w:hAnsi="Arial" w:cs="Arial"/>
          <w:color w:val="000000"/>
          <w:sz w:val="22"/>
          <w:szCs w:val="22"/>
          <w:lang w:val="es-ES_tradnl"/>
        </w:rPr>
        <w:t>)</w:t>
      </w:r>
      <w:r w:rsidR="00F07463" w:rsidRPr="00D848CE">
        <w:rPr>
          <w:rFonts w:ascii="Arial" w:hAnsi="Arial" w:cs="Arial"/>
          <w:color w:val="000000"/>
          <w:sz w:val="22"/>
          <w:szCs w:val="22"/>
          <w:lang w:val="es-ES_tradnl"/>
        </w:rPr>
        <w:t xml:space="preserve"> </w:t>
      </w:r>
      <w:r w:rsidRPr="00D848CE">
        <w:rPr>
          <w:rFonts w:ascii="Arial" w:hAnsi="Arial" w:cs="Arial"/>
          <w:color w:val="000000"/>
          <w:sz w:val="22"/>
          <w:szCs w:val="22"/>
          <w:lang w:val="es-ES_tradnl"/>
        </w:rPr>
        <w:t xml:space="preserve">= Impacto </w:t>
      </w:r>
      <w:r w:rsidR="00C27597" w:rsidRPr="00D848CE">
        <w:rPr>
          <w:rFonts w:ascii="Arial" w:hAnsi="Arial" w:cs="Arial"/>
          <w:color w:val="000000"/>
          <w:sz w:val="22"/>
          <w:szCs w:val="22"/>
          <w:lang w:val="es-ES_tradnl"/>
        </w:rPr>
        <w:t xml:space="preserve">en la </w:t>
      </w:r>
      <w:r w:rsidR="00047DA6" w:rsidRPr="00D848CE">
        <w:rPr>
          <w:rFonts w:ascii="Arial" w:hAnsi="Arial" w:cs="Arial"/>
          <w:color w:val="000000"/>
          <w:sz w:val="22"/>
          <w:szCs w:val="22"/>
          <w:lang w:val="es-ES_tradnl"/>
        </w:rPr>
        <w:t xml:space="preserve">recaudación </w:t>
      </w:r>
      <w:r w:rsidR="005F4006" w:rsidRPr="00D848CE">
        <w:rPr>
          <w:rFonts w:ascii="Arial" w:hAnsi="Arial" w:cs="Arial"/>
          <w:color w:val="000000"/>
          <w:sz w:val="22"/>
          <w:szCs w:val="22"/>
          <w:lang w:val="es-ES_tradnl"/>
        </w:rPr>
        <w:t>total</w:t>
      </w:r>
      <w:r w:rsidR="00487BE4" w:rsidRPr="00D848CE">
        <w:rPr>
          <w:rFonts w:ascii="Arial" w:hAnsi="Arial" w:cs="Arial"/>
          <w:color w:val="000000"/>
          <w:sz w:val="22"/>
          <w:szCs w:val="22"/>
          <w:lang w:val="es-ES_tradnl"/>
        </w:rPr>
        <w:t xml:space="preserve"> (línea 5 Cuadro 3 Col 6) /</w:t>
      </w:r>
      <w:r w:rsidR="00047DA6" w:rsidRPr="00D848CE">
        <w:rPr>
          <w:rFonts w:ascii="Arial" w:hAnsi="Arial" w:cs="Arial"/>
          <w:color w:val="000000"/>
          <w:sz w:val="22"/>
          <w:szCs w:val="22"/>
          <w:lang w:val="es-ES_tradnl"/>
        </w:rPr>
        <w:t xml:space="preserve"> % ventas </w:t>
      </w:r>
      <w:r w:rsidR="0078643C" w:rsidRPr="00D848CE">
        <w:rPr>
          <w:rFonts w:ascii="Arial" w:hAnsi="Arial" w:cs="Arial"/>
          <w:color w:val="000000"/>
          <w:sz w:val="22"/>
          <w:szCs w:val="22"/>
          <w:lang w:val="es-ES_tradnl"/>
        </w:rPr>
        <w:t>totales (línea 4 Cuadro 3</w:t>
      </w:r>
      <w:r w:rsidR="00487BE4" w:rsidRPr="00D848CE">
        <w:rPr>
          <w:rFonts w:ascii="Arial" w:hAnsi="Arial" w:cs="Arial"/>
          <w:color w:val="000000"/>
          <w:sz w:val="22"/>
          <w:szCs w:val="22"/>
          <w:lang w:val="es-ES_tradnl"/>
        </w:rPr>
        <w:t xml:space="preserve"> Col 6</w:t>
      </w:r>
      <w:r w:rsidR="0078643C" w:rsidRPr="00D848CE">
        <w:rPr>
          <w:rFonts w:ascii="Arial" w:hAnsi="Arial" w:cs="Arial"/>
          <w:color w:val="000000"/>
          <w:sz w:val="22"/>
          <w:szCs w:val="22"/>
          <w:lang w:val="es-ES_tradnl"/>
        </w:rPr>
        <w:t>) *</w:t>
      </w:r>
      <w:r w:rsidR="00047DA6" w:rsidRPr="00D848CE">
        <w:rPr>
          <w:rFonts w:ascii="Arial" w:hAnsi="Arial" w:cs="Arial"/>
          <w:color w:val="000000"/>
          <w:sz w:val="22"/>
          <w:szCs w:val="22"/>
          <w:lang w:val="es-ES_tradnl"/>
        </w:rPr>
        <w:t xml:space="preserve"> % de ventas</w:t>
      </w:r>
      <w:r w:rsidR="005F4006" w:rsidRPr="00D848CE">
        <w:rPr>
          <w:rFonts w:ascii="Arial" w:hAnsi="Arial" w:cs="Arial"/>
          <w:color w:val="000000"/>
          <w:sz w:val="22"/>
          <w:szCs w:val="22"/>
          <w:lang w:val="es-ES_tradnl"/>
        </w:rPr>
        <w:t xml:space="preserve"> (Línea 1 cuadro </w:t>
      </w:r>
      <w:r w:rsidR="0078643C" w:rsidRPr="00D848CE">
        <w:rPr>
          <w:rFonts w:ascii="Arial" w:hAnsi="Arial" w:cs="Arial"/>
          <w:color w:val="000000"/>
          <w:sz w:val="22"/>
          <w:szCs w:val="22"/>
          <w:lang w:val="es-ES_tradnl"/>
        </w:rPr>
        <w:t>4</w:t>
      </w:r>
      <w:r w:rsidR="00487BE4" w:rsidRPr="00D848CE">
        <w:rPr>
          <w:rFonts w:ascii="Arial" w:hAnsi="Arial" w:cs="Arial"/>
          <w:color w:val="000000"/>
          <w:sz w:val="22"/>
          <w:szCs w:val="22"/>
          <w:lang w:val="es-ES_tradnl"/>
        </w:rPr>
        <w:t xml:space="preserve"> Col 2</w:t>
      </w:r>
      <w:r w:rsidR="005F4006" w:rsidRPr="00D848CE">
        <w:rPr>
          <w:rFonts w:ascii="Arial" w:hAnsi="Arial" w:cs="Arial"/>
          <w:color w:val="000000"/>
          <w:sz w:val="22"/>
          <w:szCs w:val="22"/>
          <w:lang w:val="es-ES_tradnl"/>
        </w:rPr>
        <w:t>)</w:t>
      </w:r>
    </w:p>
    <w:p w14:paraId="70AA8293" w14:textId="77777777" w:rsidR="00701965" w:rsidRPr="00D848CE" w:rsidRDefault="00047DA6" w:rsidP="008B5547">
      <w:pPr>
        <w:pStyle w:val="Paragraph"/>
        <w:numPr>
          <w:ilvl w:val="0"/>
          <w:numId w:val="0"/>
        </w:numPr>
        <w:autoSpaceDE w:val="0"/>
        <w:autoSpaceDN w:val="0"/>
        <w:adjustRightInd w:val="0"/>
        <w:ind w:left="720"/>
        <w:outlineLvl w:val="9"/>
        <w:rPr>
          <w:rFonts w:ascii="Arial" w:hAnsi="Arial" w:cs="Arial"/>
          <w:color w:val="000000"/>
          <w:sz w:val="22"/>
          <w:szCs w:val="22"/>
          <w:lang w:val="es-ES_tradnl"/>
        </w:rPr>
      </w:pPr>
      <w:r w:rsidRPr="00D848CE">
        <w:rPr>
          <w:rFonts w:ascii="Arial" w:hAnsi="Arial" w:cs="Arial"/>
          <w:color w:val="000000"/>
          <w:sz w:val="22"/>
          <w:szCs w:val="22"/>
          <w:lang w:val="es-ES_tradnl"/>
        </w:rPr>
        <w:t>Impacto en la Recaudación</w:t>
      </w:r>
      <w:r w:rsidR="00D62B25" w:rsidRPr="00D848CE">
        <w:rPr>
          <w:rFonts w:ascii="Arial" w:hAnsi="Arial" w:cs="Arial"/>
          <w:color w:val="000000"/>
          <w:sz w:val="22"/>
          <w:szCs w:val="22"/>
          <w:lang w:val="es-ES_tradnl"/>
        </w:rPr>
        <w:t xml:space="preserve"> % PIB</w:t>
      </w:r>
      <w:r w:rsidRPr="00D848CE">
        <w:rPr>
          <w:rFonts w:ascii="Arial" w:hAnsi="Arial" w:cs="Arial"/>
          <w:color w:val="000000"/>
          <w:sz w:val="22"/>
          <w:szCs w:val="22"/>
          <w:lang w:val="es-ES_tradnl"/>
        </w:rPr>
        <w:t xml:space="preserve"> = </w:t>
      </w:r>
      <w:r w:rsidR="00487BE4" w:rsidRPr="00D848CE">
        <w:rPr>
          <w:rFonts w:ascii="Arial" w:hAnsi="Arial" w:cs="Arial"/>
          <w:color w:val="000000"/>
          <w:sz w:val="22"/>
          <w:szCs w:val="22"/>
          <w:lang w:val="es-ES_tradnl"/>
        </w:rPr>
        <w:t>0</w:t>
      </w:r>
      <w:r w:rsidR="00BC640D" w:rsidRPr="00D848CE">
        <w:rPr>
          <w:rFonts w:ascii="Arial" w:hAnsi="Arial" w:cs="Arial"/>
          <w:color w:val="000000"/>
          <w:sz w:val="22"/>
          <w:szCs w:val="22"/>
          <w:lang w:val="es-ES_tradnl"/>
        </w:rPr>
        <w:t>,</w:t>
      </w:r>
      <w:r w:rsidR="00487BE4" w:rsidRPr="00D848CE">
        <w:rPr>
          <w:rFonts w:ascii="Arial" w:hAnsi="Arial" w:cs="Arial"/>
          <w:color w:val="000000"/>
          <w:sz w:val="22"/>
          <w:szCs w:val="22"/>
          <w:lang w:val="es-ES_tradnl"/>
        </w:rPr>
        <w:t>13</w:t>
      </w:r>
      <w:r w:rsidR="0078643C"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 </w:t>
      </w:r>
      <w:r w:rsidR="00487BE4" w:rsidRPr="00D848CE">
        <w:rPr>
          <w:rFonts w:ascii="Arial" w:hAnsi="Arial" w:cs="Arial"/>
          <w:color w:val="000000"/>
          <w:sz w:val="22"/>
          <w:szCs w:val="22"/>
          <w:lang w:val="es-ES_tradnl"/>
        </w:rPr>
        <w:t>52</w:t>
      </w:r>
      <w:r w:rsidR="00BC640D" w:rsidRPr="00D848CE">
        <w:rPr>
          <w:rFonts w:ascii="Arial" w:hAnsi="Arial" w:cs="Arial"/>
          <w:color w:val="000000"/>
          <w:sz w:val="22"/>
          <w:szCs w:val="22"/>
          <w:lang w:val="es-ES_tradnl"/>
        </w:rPr>
        <w:t>,</w:t>
      </w:r>
      <w:r w:rsidR="00487BE4" w:rsidRPr="00D848CE">
        <w:rPr>
          <w:rFonts w:ascii="Arial" w:hAnsi="Arial" w:cs="Arial"/>
          <w:color w:val="000000"/>
          <w:sz w:val="22"/>
          <w:szCs w:val="22"/>
          <w:lang w:val="es-ES_tradnl"/>
        </w:rPr>
        <w:t>15</w:t>
      </w:r>
      <w:r w:rsidRPr="00D848CE">
        <w:rPr>
          <w:rFonts w:ascii="Arial" w:hAnsi="Arial" w:cs="Arial"/>
          <w:color w:val="000000"/>
          <w:sz w:val="22"/>
          <w:szCs w:val="22"/>
          <w:lang w:val="es-ES_tradnl"/>
        </w:rPr>
        <w:t xml:space="preserve">% * </w:t>
      </w:r>
      <w:r w:rsidR="0078643C" w:rsidRPr="00D848CE">
        <w:rPr>
          <w:rFonts w:ascii="Arial" w:hAnsi="Arial" w:cs="Arial"/>
          <w:color w:val="000000"/>
          <w:sz w:val="22"/>
          <w:szCs w:val="22"/>
          <w:lang w:val="es-ES_tradnl"/>
        </w:rPr>
        <w:t>5</w:t>
      </w:r>
      <w:r w:rsidR="00BC640D" w:rsidRPr="00D848CE">
        <w:rPr>
          <w:rFonts w:ascii="Arial" w:hAnsi="Arial" w:cs="Arial"/>
          <w:color w:val="000000"/>
          <w:sz w:val="22"/>
          <w:szCs w:val="22"/>
          <w:lang w:val="es-ES_tradnl"/>
        </w:rPr>
        <w:t>,</w:t>
      </w:r>
      <w:r w:rsidR="0078643C" w:rsidRPr="00D848CE">
        <w:rPr>
          <w:rFonts w:ascii="Arial" w:hAnsi="Arial" w:cs="Arial"/>
          <w:color w:val="000000"/>
          <w:sz w:val="22"/>
          <w:szCs w:val="22"/>
          <w:lang w:val="es-ES_tradnl"/>
        </w:rPr>
        <w:t>72% = 0</w:t>
      </w:r>
      <w:r w:rsidR="00BC640D" w:rsidRPr="00D848CE">
        <w:rPr>
          <w:rFonts w:ascii="Arial" w:hAnsi="Arial" w:cs="Arial"/>
          <w:color w:val="000000"/>
          <w:sz w:val="22"/>
          <w:szCs w:val="22"/>
          <w:lang w:val="es-ES_tradnl"/>
        </w:rPr>
        <w:t>,</w:t>
      </w:r>
      <w:r w:rsidR="0078643C" w:rsidRPr="00D848CE">
        <w:rPr>
          <w:rFonts w:ascii="Arial" w:hAnsi="Arial" w:cs="Arial"/>
          <w:color w:val="000000"/>
          <w:sz w:val="22"/>
          <w:szCs w:val="22"/>
          <w:lang w:val="es-ES_tradnl"/>
        </w:rPr>
        <w:t>014</w:t>
      </w:r>
      <w:r w:rsidRPr="00D848CE">
        <w:rPr>
          <w:rFonts w:ascii="Arial" w:hAnsi="Arial" w:cs="Arial"/>
          <w:color w:val="000000"/>
          <w:sz w:val="22"/>
          <w:szCs w:val="22"/>
          <w:lang w:val="es-ES_tradnl"/>
        </w:rPr>
        <w:t>%</w:t>
      </w:r>
    </w:p>
    <w:p w14:paraId="5860255B" w14:textId="77777777" w:rsidR="00D62B25" w:rsidRPr="00D848CE" w:rsidRDefault="00D62B25" w:rsidP="008B5547">
      <w:pPr>
        <w:pStyle w:val="Paragraph"/>
        <w:numPr>
          <w:ilvl w:val="1"/>
          <w:numId w:val="2"/>
        </w:numPr>
        <w:tabs>
          <w:tab w:val="num" w:pos="720"/>
        </w:tabs>
        <w:autoSpaceDE w:val="0"/>
        <w:autoSpaceDN w:val="0"/>
        <w:adjustRightInd w:val="0"/>
        <w:ind w:left="720" w:hanging="720"/>
        <w:outlineLvl w:val="9"/>
        <w:rPr>
          <w:rFonts w:ascii="Arial" w:hAnsi="Arial" w:cs="Arial"/>
          <w:color w:val="000000"/>
          <w:sz w:val="22"/>
          <w:szCs w:val="22"/>
          <w:lang w:val="es-ES_tradnl"/>
        </w:rPr>
      </w:pPr>
      <w:r w:rsidRPr="00D848CE">
        <w:rPr>
          <w:rFonts w:ascii="Arial" w:hAnsi="Arial" w:cs="Arial"/>
          <w:color w:val="000000"/>
          <w:sz w:val="22"/>
          <w:szCs w:val="22"/>
          <w:lang w:val="es-ES_tradnl"/>
        </w:rPr>
        <w:t>El cálculo del impacto en la recaudación en US$ de los GCLSSF en el año 2018 se hace a través de la siguiente fórmula:</w:t>
      </w:r>
    </w:p>
    <w:p w14:paraId="7B85F9E2" w14:textId="77777777" w:rsidR="00D62B25" w:rsidRPr="00D848CE" w:rsidRDefault="00D62B25" w:rsidP="008B5547">
      <w:pPr>
        <w:pStyle w:val="Paragraph"/>
        <w:numPr>
          <w:ilvl w:val="0"/>
          <w:numId w:val="0"/>
        </w:numPr>
        <w:autoSpaceDE w:val="0"/>
        <w:autoSpaceDN w:val="0"/>
        <w:adjustRightInd w:val="0"/>
        <w:ind w:left="720"/>
        <w:outlineLvl w:val="9"/>
        <w:rPr>
          <w:rFonts w:ascii="Arial" w:hAnsi="Arial" w:cs="Arial"/>
          <w:color w:val="000000"/>
          <w:sz w:val="22"/>
          <w:szCs w:val="22"/>
          <w:lang w:val="es-ES_tradnl"/>
        </w:rPr>
      </w:pPr>
      <w:r w:rsidRPr="00D848CE">
        <w:rPr>
          <w:rFonts w:ascii="Arial" w:hAnsi="Arial" w:cs="Arial"/>
          <w:color w:val="000000"/>
          <w:sz w:val="22"/>
          <w:szCs w:val="22"/>
          <w:lang w:val="es-ES_tradnl"/>
        </w:rPr>
        <w:t xml:space="preserve"> Impacto en la recaudación en US$ </w:t>
      </w:r>
      <w:r w:rsidR="005F4006" w:rsidRPr="00D848CE">
        <w:rPr>
          <w:rFonts w:ascii="Arial" w:hAnsi="Arial" w:cs="Arial"/>
          <w:color w:val="000000"/>
          <w:sz w:val="22"/>
          <w:szCs w:val="22"/>
          <w:lang w:val="es-ES_tradnl"/>
        </w:rPr>
        <w:t xml:space="preserve">(línea 5 cuadro </w:t>
      </w:r>
      <w:r w:rsidR="006979D8" w:rsidRPr="00D848CE">
        <w:rPr>
          <w:rFonts w:ascii="Arial" w:hAnsi="Arial" w:cs="Arial"/>
          <w:color w:val="000000"/>
          <w:sz w:val="22"/>
          <w:szCs w:val="22"/>
          <w:lang w:val="es-ES_tradnl"/>
        </w:rPr>
        <w:t>4 Col 5</w:t>
      </w:r>
      <w:r w:rsidR="005F4006" w:rsidRPr="00D848CE">
        <w:rPr>
          <w:rFonts w:ascii="Arial" w:hAnsi="Arial" w:cs="Arial"/>
          <w:color w:val="000000"/>
          <w:sz w:val="22"/>
          <w:szCs w:val="22"/>
          <w:lang w:val="es-ES_tradnl"/>
        </w:rPr>
        <w:t>) =</w:t>
      </w:r>
      <w:r w:rsidRPr="00D848CE">
        <w:rPr>
          <w:rFonts w:ascii="Arial" w:hAnsi="Arial" w:cs="Arial"/>
          <w:color w:val="000000"/>
          <w:sz w:val="22"/>
          <w:szCs w:val="22"/>
          <w:lang w:val="es-ES_tradnl"/>
        </w:rPr>
        <w:t xml:space="preserve"> Impacto en la Recaudación % PIB</w:t>
      </w:r>
      <w:r w:rsidR="005F4006" w:rsidRPr="00D848CE">
        <w:rPr>
          <w:rFonts w:ascii="Arial" w:hAnsi="Arial" w:cs="Arial"/>
          <w:color w:val="000000"/>
          <w:sz w:val="22"/>
          <w:szCs w:val="22"/>
          <w:lang w:val="es-ES_tradnl"/>
        </w:rPr>
        <w:t xml:space="preserve"> (línea 2 cuadro </w:t>
      </w:r>
      <w:r w:rsidR="0078643C" w:rsidRPr="00D848CE">
        <w:rPr>
          <w:rFonts w:ascii="Arial" w:hAnsi="Arial" w:cs="Arial"/>
          <w:color w:val="000000"/>
          <w:sz w:val="22"/>
          <w:szCs w:val="22"/>
          <w:lang w:val="es-ES_tradnl"/>
        </w:rPr>
        <w:t>4</w:t>
      </w:r>
      <w:r w:rsidR="006979D8" w:rsidRPr="00D848CE">
        <w:rPr>
          <w:rFonts w:ascii="Arial" w:hAnsi="Arial" w:cs="Arial"/>
          <w:color w:val="000000"/>
          <w:sz w:val="22"/>
          <w:szCs w:val="22"/>
          <w:lang w:val="es-ES_tradnl"/>
        </w:rPr>
        <w:t xml:space="preserve"> Col 2</w:t>
      </w:r>
      <w:r w:rsidR="005F4006"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 PIB de 2018</w:t>
      </w:r>
      <w:r w:rsidR="005F4006" w:rsidRPr="00D848CE">
        <w:rPr>
          <w:rFonts w:ascii="Arial" w:hAnsi="Arial" w:cs="Arial"/>
          <w:color w:val="000000"/>
          <w:sz w:val="22"/>
          <w:szCs w:val="22"/>
          <w:lang w:val="es-ES_tradnl"/>
        </w:rPr>
        <w:t xml:space="preserve"> (línea 3 cuadro </w:t>
      </w:r>
      <w:r w:rsidR="0078643C" w:rsidRPr="00D848CE">
        <w:rPr>
          <w:rFonts w:ascii="Arial" w:hAnsi="Arial" w:cs="Arial"/>
          <w:color w:val="000000"/>
          <w:sz w:val="22"/>
          <w:szCs w:val="22"/>
          <w:lang w:val="es-ES_tradnl"/>
        </w:rPr>
        <w:t>4</w:t>
      </w:r>
      <w:r w:rsidR="006979D8" w:rsidRPr="00D848CE">
        <w:rPr>
          <w:rFonts w:ascii="Arial" w:hAnsi="Arial" w:cs="Arial"/>
          <w:color w:val="000000"/>
          <w:sz w:val="22"/>
          <w:szCs w:val="22"/>
          <w:lang w:val="es-ES_tradnl"/>
        </w:rPr>
        <w:t xml:space="preserve"> Col 2</w:t>
      </w:r>
      <w:r w:rsidR="005F4006" w:rsidRPr="00D848CE">
        <w:rPr>
          <w:rFonts w:ascii="Arial" w:hAnsi="Arial" w:cs="Arial"/>
          <w:color w:val="000000"/>
          <w:sz w:val="22"/>
          <w:szCs w:val="22"/>
          <w:lang w:val="es-ES_tradnl"/>
        </w:rPr>
        <w:t>)</w:t>
      </w:r>
      <w:r w:rsidRPr="00D848CE">
        <w:rPr>
          <w:rFonts w:ascii="Arial" w:hAnsi="Arial" w:cs="Arial"/>
          <w:color w:val="000000"/>
          <w:sz w:val="22"/>
          <w:szCs w:val="22"/>
          <w:lang w:val="es-ES_tradnl"/>
        </w:rPr>
        <w:t>.</w:t>
      </w:r>
    </w:p>
    <w:p w14:paraId="5DD04D88" w14:textId="77777777" w:rsidR="00D62B25" w:rsidRPr="00D848CE" w:rsidRDefault="00D62B25" w:rsidP="008B5547">
      <w:pPr>
        <w:pStyle w:val="Paragraph"/>
        <w:numPr>
          <w:ilvl w:val="0"/>
          <w:numId w:val="0"/>
        </w:numPr>
        <w:autoSpaceDE w:val="0"/>
        <w:autoSpaceDN w:val="0"/>
        <w:adjustRightInd w:val="0"/>
        <w:ind w:left="720"/>
        <w:outlineLvl w:val="9"/>
        <w:rPr>
          <w:rFonts w:ascii="Arial" w:hAnsi="Arial" w:cs="Arial"/>
          <w:color w:val="000000"/>
          <w:sz w:val="22"/>
          <w:szCs w:val="22"/>
          <w:lang w:val="es-ES_tradnl"/>
        </w:rPr>
      </w:pPr>
      <w:r w:rsidRPr="00D848CE">
        <w:rPr>
          <w:rFonts w:ascii="Arial" w:hAnsi="Arial" w:cs="Arial"/>
          <w:color w:val="000000"/>
          <w:sz w:val="22"/>
          <w:szCs w:val="22"/>
          <w:lang w:val="es-ES_tradnl"/>
        </w:rPr>
        <w:t>Impacto en la recaudación en US</w:t>
      </w:r>
      <w:r w:rsidR="006E4B32" w:rsidRPr="00D848CE">
        <w:rPr>
          <w:rFonts w:ascii="Arial" w:hAnsi="Arial" w:cs="Arial"/>
          <w:color w:val="000000"/>
          <w:sz w:val="22"/>
          <w:szCs w:val="22"/>
          <w:lang w:val="es-ES_tradnl"/>
        </w:rPr>
        <w:t>$ =</w:t>
      </w:r>
      <w:r w:rsidRPr="00D848CE">
        <w:rPr>
          <w:rFonts w:ascii="Arial" w:hAnsi="Arial" w:cs="Arial"/>
          <w:color w:val="000000"/>
          <w:sz w:val="22"/>
          <w:szCs w:val="22"/>
          <w:lang w:val="es-ES_tradnl"/>
        </w:rPr>
        <w:t xml:space="preserve"> 0</w:t>
      </w:r>
      <w:r w:rsidR="00BC640D" w:rsidRPr="00D848CE">
        <w:rPr>
          <w:rFonts w:ascii="Arial" w:hAnsi="Arial" w:cs="Arial"/>
          <w:color w:val="000000"/>
          <w:sz w:val="22"/>
          <w:szCs w:val="22"/>
          <w:lang w:val="es-ES_tradnl"/>
        </w:rPr>
        <w:t>,</w:t>
      </w:r>
      <w:r w:rsidR="0078643C" w:rsidRPr="00D848CE">
        <w:rPr>
          <w:rFonts w:ascii="Arial" w:hAnsi="Arial" w:cs="Arial"/>
          <w:color w:val="000000"/>
          <w:sz w:val="22"/>
          <w:szCs w:val="22"/>
          <w:lang w:val="es-ES_tradnl"/>
        </w:rPr>
        <w:t>014</w:t>
      </w:r>
      <w:r w:rsidR="00BC640D" w:rsidRPr="00D848CE">
        <w:rPr>
          <w:rFonts w:ascii="Arial" w:hAnsi="Arial" w:cs="Arial"/>
          <w:color w:val="000000"/>
          <w:sz w:val="22"/>
          <w:szCs w:val="22"/>
          <w:lang w:val="es-ES_tradnl"/>
        </w:rPr>
        <w:t>% * US$</w:t>
      </w:r>
      <w:r w:rsidRPr="00D848CE">
        <w:rPr>
          <w:rFonts w:ascii="Arial" w:hAnsi="Arial" w:cs="Arial"/>
          <w:color w:val="000000"/>
          <w:sz w:val="22"/>
          <w:szCs w:val="22"/>
          <w:lang w:val="es-ES_tradnl"/>
        </w:rPr>
        <w:t>86</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16 mil millones </w:t>
      </w:r>
      <w:r w:rsidR="006E4B32" w:rsidRPr="00D848CE">
        <w:rPr>
          <w:rFonts w:ascii="Arial" w:hAnsi="Arial" w:cs="Arial"/>
          <w:color w:val="000000"/>
          <w:sz w:val="22"/>
          <w:szCs w:val="22"/>
          <w:lang w:val="es-ES_tradnl"/>
        </w:rPr>
        <w:t>= US</w:t>
      </w:r>
      <w:r w:rsidRPr="00D848CE">
        <w:rPr>
          <w:rFonts w:ascii="Arial" w:hAnsi="Arial" w:cs="Arial"/>
          <w:color w:val="000000"/>
          <w:sz w:val="22"/>
          <w:szCs w:val="22"/>
          <w:lang w:val="es-ES_tradnl"/>
        </w:rPr>
        <w:t xml:space="preserve">$ </w:t>
      </w:r>
      <w:r w:rsidR="00BC640D" w:rsidRPr="00D848CE">
        <w:rPr>
          <w:rFonts w:ascii="Arial" w:hAnsi="Arial" w:cs="Arial"/>
          <w:color w:val="000000"/>
          <w:sz w:val="22"/>
          <w:szCs w:val="22"/>
          <w:lang w:val="es-ES_tradnl"/>
        </w:rPr>
        <w:t>12.</w:t>
      </w:r>
      <w:r w:rsidR="0078643C" w:rsidRPr="00D848CE">
        <w:rPr>
          <w:rFonts w:ascii="Arial" w:hAnsi="Arial" w:cs="Arial"/>
          <w:color w:val="000000"/>
          <w:sz w:val="22"/>
          <w:szCs w:val="22"/>
          <w:lang w:val="es-ES_tradnl"/>
        </w:rPr>
        <w:t>286</w:t>
      </w:r>
      <w:r w:rsidR="00BC640D" w:rsidRPr="00D848CE">
        <w:rPr>
          <w:rFonts w:ascii="Arial" w:hAnsi="Arial" w:cs="Arial"/>
          <w:color w:val="000000"/>
          <w:sz w:val="22"/>
          <w:szCs w:val="22"/>
          <w:lang w:val="es-ES_tradnl"/>
        </w:rPr>
        <w:t>.</w:t>
      </w:r>
      <w:r w:rsidR="0078643C" w:rsidRPr="00D848CE">
        <w:rPr>
          <w:rFonts w:ascii="Arial" w:hAnsi="Arial" w:cs="Arial"/>
          <w:color w:val="000000"/>
          <w:sz w:val="22"/>
          <w:szCs w:val="22"/>
          <w:lang w:val="es-ES_tradnl"/>
        </w:rPr>
        <w:t>054</w:t>
      </w:r>
    </w:p>
    <w:p w14:paraId="1B3B531E" w14:textId="77777777" w:rsidR="00593A0B" w:rsidRPr="00D848CE" w:rsidRDefault="00701965" w:rsidP="008B5547">
      <w:pPr>
        <w:pStyle w:val="Paragraph"/>
        <w:numPr>
          <w:ilvl w:val="1"/>
          <w:numId w:val="2"/>
        </w:numPr>
        <w:tabs>
          <w:tab w:val="num" w:pos="720"/>
        </w:tabs>
        <w:autoSpaceDE w:val="0"/>
        <w:autoSpaceDN w:val="0"/>
        <w:adjustRightInd w:val="0"/>
        <w:ind w:left="720" w:hanging="720"/>
        <w:outlineLvl w:val="9"/>
        <w:rPr>
          <w:rFonts w:ascii="Arial" w:hAnsi="Arial" w:cs="Arial"/>
          <w:sz w:val="22"/>
          <w:szCs w:val="22"/>
          <w:lang w:val="es-ES_tradnl"/>
        </w:rPr>
      </w:pPr>
      <w:r w:rsidRPr="00D848CE">
        <w:rPr>
          <w:rFonts w:ascii="Arial" w:hAnsi="Arial" w:cs="Arial"/>
          <w:b/>
          <w:sz w:val="22"/>
          <w:szCs w:val="22"/>
          <w:lang w:val="es-ES_tradnl"/>
        </w:rPr>
        <w:t>Conclusión</w:t>
      </w:r>
      <w:r w:rsidRPr="00D848CE">
        <w:rPr>
          <w:rFonts w:ascii="Arial" w:hAnsi="Arial" w:cs="Arial"/>
          <w:sz w:val="22"/>
          <w:szCs w:val="22"/>
          <w:lang w:val="es-ES_tradnl"/>
        </w:rPr>
        <w:t xml:space="preserve">: </w:t>
      </w:r>
      <w:r w:rsidR="000213D7" w:rsidRPr="00D848CE">
        <w:rPr>
          <w:rFonts w:ascii="Arial" w:hAnsi="Arial" w:cs="Arial"/>
          <w:sz w:val="22"/>
          <w:szCs w:val="22"/>
          <w:lang w:val="es-ES_tradnl"/>
        </w:rPr>
        <w:t xml:space="preserve"> </w:t>
      </w:r>
      <w:r w:rsidRPr="00D848CE">
        <w:rPr>
          <w:rFonts w:ascii="Arial" w:hAnsi="Arial" w:cs="Arial"/>
          <w:sz w:val="22"/>
          <w:szCs w:val="22"/>
          <w:lang w:val="es-ES_tradnl"/>
        </w:rPr>
        <w:t xml:space="preserve">Con la implantación de la Factura Electrónica de forma piloto para los </w:t>
      </w:r>
      <w:r w:rsidR="006E4B32" w:rsidRPr="00D848CE">
        <w:rPr>
          <w:rFonts w:ascii="Arial" w:hAnsi="Arial" w:cs="Arial"/>
          <w:sz w:val="22"/>
          <w:szCs w:val="22"/>
          <w:lang w:val="es-ES_tradnl"/>
        </w:rPr>
        <w:t>GCLSSF</w:t>
      </w:r>
      <w:r w:rsidRPr="00D848CE">
        <w:rPr>
          <w:rFonts w:ascii="Arial" w:hAnsi="Arial" w:cs="Arial"/>
          <w:sz w:val="22"/>
          <w:szCs w:val="22"/>
          <w:lang w:val="es-ES_tradnl"/>
        </w:rPr>
        <w:t xml:space="preserve">, se genera un adicional de recaudación en 2018 de la orden de </w:t>
      </w:r>
      <w:r w:rsidR="00DB4EB8" w:rsidRPr="00D848CE">
        <w:rPr>
          <w:rFonts w:ascii="Arial" w:hAnsi="Arial" w:cs="Arial"/>
          <w:sz w:val="22"/>
          <w:szCs w:val="22"/>
          <w:lang w:val="es-ES_tradnl"/>
        </w:rPr>
        <w:t>0</w:t>
      </w:r>
      <w:r w:rsidR="001459FD" w:rsidRPr="00D848CE">
        <w:rPr>
          <w:rFonts w:ascii="Arial" w:hAnsi="Arial" w:cs="Arial"/>
          <w:sz w:val="22"/>
          <w:szCs w:val="22"/>
          <w:lang w:val="es-ES_tradnl"/>
        </w:rPr>
        <w:t>,</w:t>
      </w:r>
      <w:r w:rsidR="0078643C" w:rsidRPr="00D848CE">
        <w:rPr>
          <w:rFonts w:ascii="Arial" w:hAnsi="Arial" w:cs="Arial"/>
          <w:sz w:val="22"/>
          <w:szCs w:val="22"/>
          <w:lang w:val="es-ES_tradnl"/>
        </w:rPr>
        <w:t>014</w:t>
      </w:r>
      <w:r w:rsidRPr="00D848CE">
        <w:rPr>
          <w:rFonts w:ascii="Arial" w:hAnsi="Arial" w:cs="Arial"/>
          <w:sz w:val="22"/>
          <w:szCs w:val="22"/>
          <w:lang w:val="es-ES_tradnl"/>
        </w:rPr>
        <w:t xml:space="preserve">% del PIB, representando </w:t>
      </w:r>
      <w:r w:rsidR="00DB4EB8" w:rsidRPr="00D848CE">
        <w:rPr>
          <w:rFonts w:ascii="Arial" w:hAnsi="Arial" w:cs="Arial"/>
          <w:sz w:val="22"/>
          <w:szCs w:val="22"/>
          <w:lang w:val="es-ES_tradnl"/>
        </w:rPr>
        <w:t>US$</w:t>
      </w:r>
      <w:r w:rsidR="0078643C" w:rsidRPr="00D848CE">
        <w:rPr>
          <w:rFonts w:ascii="Arial" w:hAnsi="Arial" w:cs="Arial"/>
          <w:sz w:val="22"/>
          <w:szCs w:val="22"/>
          <w:lang w:val="es-ES_tradnl"/>
        </w:rPr>
        <w:t xml:space="preserve">12,2 </w:t>
      </w:r>
      <w:r w:rsidR="00DB4EB8" w:rsidRPr="00D848CE">
        <w:rPr>
          <w:rFonts w:ascii="Arial" w:hAnsi="Arial" w:cs="Arial"/>
          <w:sz w:val="22"/>
          <w:szCs w:val="22"/>
          <w:lang w:val="es-ES_tradnl"/>
        </w:rPr>
        <w:t>millones. En 2023, manteniendo el mismo escenario, se estima que el beneficio será de US$</w:t>
      </w:r>
      <w:r w:rsidR="0078643C" w:rsidRPr="00D848CE">
        <w:rPr>
          <w:rFonts w:ascii="Arial" w:hAnsi="Arial" w:cs="Arial"/>
          <w:sz w:val="22"/>
          <w:szCs w:val="22"/>
          <w:lang w:val="es-ES_tradnl"/>
        </w:rPr>
        <w:t>15,6</w:t>
      </w:r>
      <w:r w:rsidR="00DB4EB8" w:rsidRPr="00D848CE">
        <w:rPr>
          <w:rFonts w:ascii="Arial" w:hAnsi="Arial" w:cs="Arial"/>
          <w:sz w:val="22"/>
          <w:szCs w:val="22"/>
          <w:lang w:val="es-ES_tradnl"/>
        </w:rPr>
        <w:t xml:space="preserve"> millones.</w:t>
      </w:r>
    </w:p>
    <w:p w14:paraId="4DF07147" w14:textId="77777777" w:rsidR="006B03A2" w:rsidRPr="00D848CE" w:rsidRDefault="006B03A2" w:rsidP="00C95FE4">
      <w:pPr>
        <w:pStyle w:val="Chapter"/>
        <w:numPr>
          <w:ilvl w:val="0"/>
          <w:numId w:val="2"/>
        </w:numPr>
        <w:tabs>
          <w:tab w:val="left" w:pos="1170"/>
        </w:tabs>
        <w:ind w:left="720" w:hanging="720"/>
        <w:jc w:val="left"/>
        <w:outlineLvl w:val="0"/>
        <w:rPr>
          <w:rFonts w:ascii="Arial" w:hAnsi="Arial" w:cs="Arial"/>
          <w:sz w:val="22"/>
          <w:szCs w:val="22"/>
          <w:lang w:val="es-ES_tradnl"/>
        </w:rPr>
      </w:pPr>
      <w:bookmarkStart w:id="10" w:name="_Toc479116393"/>
      <w:r w:rsidRPr="00D848CE">
        <w:rPr>
          <w:rFonts w:ascii="Arial" w:hAnsi="Arial" w:cs="Arial"/>
          <w:sz w:val="22"/>
          <w:szCs w:val="22"/>
          <w:lang w:val="es-ES_tradnl"/>
        </w:rPr>
        <w:lastRenderedPageBreak/>
        <w:t>Estimación de los Beneficios Provenientes de la Mejora del Gasto Público</w:t>
      </w:r>
      <w:bookmarkEnd w:id="10"/>
    </w:p>
    <w:tbl>
      <w:tblPr>
        <w:tblStyle w:val="TableGrid"/>
        <w:tblW w:w="9445" w:type="dxa"/>
        <w:tblLook w:val="04A0" w:firstRow="1" w:lastRow="0" w:firstColumn="1" w:lastColumn="0" w:noHBand="0" w:noVBand="1"/>
      </w:tblPr>
      <w:tblGrid>
        <w:gridCol w:w="9445"/>
      </w:tblGrid>
      <w:tr w:rsidR="00DC5F2E" w:rsidRPr="00D848CE" w14:paraId="71E48C5E" w14:textId="77777777" w:rsidTr="00C95FE4">
        <w:tc>
          <w:tcPr>
            <w:tcW w:w="9445" w:type="dxa"/>
          </w:tcPr>
          <w:p w14:paraId="1C36804B" w14:textId="77777777" w:rsidR="00DC5F2E" w:rsidRPr="00D848CE" w:rsidRDefault="005F4006" w:rsidP="00E50751">
            <w:pPr>
              <w:jc w:val="both"/>
              <w:rPr>
                <w:rFonts w:ascii="Arial" w:hAnsi="Arial" w:cs="Arial"/>
                <w:lang w:val="es-ES_tradnl"/>
              </w:rPr>
            </w:pPr>
            <w:r w:rsidRPr="00D848CE">
              <w:rPr>
                <w:rFonts w:ascii="Arial" w:hAnsi="Arial" w:cs="Arial"/>
                <w:b/>
                <w:i/>
                <w:lang w:val="es-ES_tradnl"/>
              </w:rPr>
              <w:t xml:space="preserve">Supuesto 2 -  </w:t>
            </w:r>
            <w:r w:rsidRPr="00D848CE">
              <w:rPr>
                <w:rFonts w:ascii="Arial" w:hAnsi="Arial" w:cs="Arial"/>
                <w:i/>
                <w:lang w:val="es-ES_tradnl"/>
              </w:rPr>
              <w:t>Con el aumento de los recursos financieros que tramitan a través de la Cuenta Única del Tesoro (CUT),</w:t>
            </w:r>
            <w:r w:rsidRPr="00D848CE">
              <w:rPr>
                <w:rFonts w:ascii="Arial" w:hAnsi="Arial" w:cs="Arial"/>
                <w:b/>
                <w:i/>
                <w:lang w:val="es-ES_tradnl"/>
              </w:rPr>
              <w:t xml:space="preserve"> </w:t>
            </w:r>
            <w:r w:rsidRPr="00D848CE">
              <w:rPr>
                <w:rFonts w:ascii="Arial" w:hAnsi="Arial" w:cs="Arial"/>
                <w:i/>
                <w:lang w:val="es-ES_tradnl"/>
              </w:rPr>
              <w:t xml:space="preserve">se genera un beneficio financiero a partir de una mayor disponibilidad de recursos para una eficiente gestión de caja, con posible disminución del endeudamiento de corto plazo, además del costo de oportunidad que estos recursos generan; como por ejemplo </w:t>
            </w:r>
            <w:r w:rsidR="00E50751" w:rsidRPr="00D848CE">
              <w:rPr>
                <w:rFonts w:ascii="Arial" w:hAnsi="Arial" w:cs="Arial"/>
                <w:i/>
                <w:lang w:val="es-ES_tradnl"/>
              </w:rPr>
              <w:t>los</w:t>
            </w:r>
            <w:r w:rsidRPr="00D848CE">
              <w:rPr>
                <w:rFonts w:ascii="Arial" w:hAnsi="Arial" w:cs="Arial"/>
                <w:i/>
                <w:lang w:val="es-ES_tradnl"/>
              </w:rPr>
              <w:t xml:space="preserve"> intereses </w:t>
            </w:r>
            <w:r w:rsidR="00E50751" w:rsidRPr="00D848CE">
              <w:rPr>
                <w:rFonts w:ascii="Arial" w:hAnsi="Arial" w:cs="Arial"/>
                <w:i/>
                <w:lang w:val="es-ES_tradnl"/>
              </w:rPr>
              <w:t xml:space="preserve">generados </w:t>
            </w:r>
            <w:r w:rsidRPr="00D848CE">
              <w:rPr>
                <w:rFonts w:ascii="Arial" w:hAnsi="Arial" w:cs="Arial"/>
                <w:i/>
                <w:lang w:val="es-ES_tradnl"/>
              </w:rPr>
              <w:t>sobre los saldos disponibles en la CUT.</w:t>
            </w:r>
            <w:r w:rsidR="006C54CE" w:rsidRPr="00D848CE">
              <w:rPr>
                <w:rFonts w:ascii="Arial" w:hAnsi="Arial" w:cs="Arial"/>
                <w:i/>
                <w:lang w:val="es-ES_tradnl"/>
              </w:rPr>
              <w:t xml:space="preserve"> Este supuesto está asociado con el resultado 2 de la Matriz de Resultados (Incremento de la disponibilidad de recursos para una eficiente gestión de caja).</w:t>
            </w:r>
          </w:p>
        </w:tc>
      </w:tr>
    </w:tbl>
    <w:p w14:paraId="67E9EB28" w14:textId="77777777" w:rsidR="00DC5F2E" w:rsidRPr="00D848CE" w:rsidRDefault="00DC5F2E" w:rsidP="00DC5F2E">
      <w:pPr>
        <w:rPr>
          <w:rFonts w:ascii="Arial" w:hAnsi="Arial" w:cs="Arial"/>
          <w:lang w:val="es-ES_tradnl"/>
        </w:rPr>
      </w:pPr>
    </w:p>
    <w:p w14:paraId="13EF44DC" w14:textId="77777777" w:rsidR="00DC5F2E" w:rsidRPr="00D848CE" w:rsidRDefault="00DC5F2E" w:rsidP="005F4006">
      <w:pPr>
        <w:keepNext/>
        <w:ind w:left="720"/>
        <w:rPr>
          <w:rFonts w:ascii="Arial" w:hAnsi="Arial" w:cs="Arial"/>
          <w:lang w:val="es-ES_tradnl"/>
        </w:rPr>
      </w:pPr>
      <w:r w:rsidRPr="00D848CE">
        <w:rPr>
          <w:rFonts w:ascii="Arial" w:hAnsi="Arial" w:cs="Arial"/>
          <w:b/>
          <w:lang w:val="es-ES_tradnl"/>
        </w:rPr>
        <w:t>La Cuenta Única del Tesoro</w:t>
      </w:r>
    </w:p>
    <w:p w14:paraId="5D3171E7" w14:textId="77777777" w:rsidR="00DC5F2E" w:rsidRPr="00D848CE" w:rsidRDefault="00DC5F2E" w:rsidP="00DC5F2E">
      <w:pPr>
        <w:pStyle w:val="FootnoteText"/>
        <w:numPr>
          <w:ilvl w:val="1"/>
          <w:numId w:val="2"/>
        </w:numPr>
        <w:tabs>
          <w:tab w:val="num" w:pos="720"/>
        </w:tabs>
        <w:spacing w:before="120" w:after="120"/>
        <w:ind w:left="720" w:hanging="720"/>
        <w:jc w:val="both"/>
        <w:rPr>
          <w:rFonts w:ascii="Arial" w:hAnsi="Arial" w:cs="Arial"/>
          <w:sz w:val="22"/>
          <w:szCs w:val="22"/>
          <w:lang w:val="es-ES_tradnl"/>
        </w:rPr>
      </w:pPr>
      <w:r w:rsidRPr="00D848CE">
        <w:rPr>
          <w:rFonts w:ascii="Arial" w:hAnsi="Arial" w:cs="Arial"/>
          <w:b/>
          <w:color w:val="000000"/>
          <w:sz w:val="22"/>
          <w:szCs w:val="22"/>
          <w:lang w:val="es-ES_tradnl"/>
        </w:rPr>
        <w:t>Contexto</w:t>
      </w:r>
      <w:r w:rsidRPr="00D848CE">
        <w:rPr>
          <w:rFonts w:ascii="Arial" w:hAnsi="Arial" w:cs="Arial"/>
          <w:color w:val="000000"/>
          <w:sz w:val="22"/>
          <w:szCs w:val="22"/>
          <w:lang w:val="es-ES_tradnl"/>
        </w:rPr>
        <w:t>. Para la aplicación de la CUT, la Tesorería Nacional, desarrolló una estrategia de implementación</w:t>
      </w:r>
      <w:r w:rsidR="00E50751"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w:t>
      </w:r>
      <w:r w:rsidR="00E50751" w:rsidRPr="00D848CE">
        <w:rPr>
          <w:rFonts w:ascii="Arial" w:hAnsi="Arial" w:cs="Arial"/>
          <w:color w:val="000000"/>
          <w:sz w:val="22"/>
          <w:szCs w:val="22"/>
          <w:lang w:val="es-ES_tradnl"/>
        </w:rPr>
        <w:t xml:space="preserve">amparado en el Art. 22 de la Ley de Tesorería, </w:t>
      </w:r>
      <w:r w:rsidRPr="00D848CE">
        <w:rPr>
          <w:rFonts w:ascii="Arial" w:hAnsi="Arial" w:cs="Arial"/>
          <w:color w:val="000000"/>
          <w:sz w:val="22"/>
          <w:szCs w:val="22"/>
          <w:lang w:val="es-ES_tradnl"/>
        </w:rPr>
        <w:t>que se dividió en dos etapas</w:t>
      </w:r>
      <w:r w:rsidR="00E50751" w:rsidRPr="00D848CE">
        <w:rPr>
          <w:rFonts w:ascii="Arial" w:hAnsi="Arial" w:cs="Arial"/>
          <w:color w:val="000000"/>
          <w:sz w:val="22"/>
          <w:szCs w:val="22"/>
          <w:lang w:val="es-ES_tradnl"/>
        </w:rPr>
        <w:t xml:space="preserve">. La </w:t>
      </w:r>
      <w:r w:rsidRPr="00D848CE">
        <w:rPr>
          <w:rFonts w:ascii="Arial" w:hAnsi="Arial" w:cs="Arial"/>
          <w:color w:val="000000"/>
          <w:sz w:val="22"/>
          <w:szCs w:val="22"/>
          <w:lang w:val="es-ES_tradnl"/>
        </w:rPr>
        <w:t>primer</w:t>
      </w:r>
      <w:r w:rsidR="00E50751" w:rsidRPr="00D848CE">
        <w:rPr>
          <w:rFonts w:ascii="Arial" w:hAnsi="Arial" w:cs="Arial"/>
          <w:color w:val="000000"/>
          <w:sz w:val="22"/>
          <w:szCs w:val="22"/>
          <w:lang w:val="es-ES_tradnl"/>
        </w:rPr>
        <w:t>a etapa fue el</w:t>
      </w:r>
      <w:r w:rsidRPr="00D848CE">
        <w:rPr>
          <w:rFonts w:ascii="Arial" w:hAnsi="Arial" w:cs="Arial"/>
          <w:color w:val="000000"/>
          <w:sz w:val="22"/>
          <w:szCs w:val="22"/>
          <w:lang w:val="es-ES_tradnl"/>
        </w:rPr>
        <w:t xml:space="preserve"> Gobierno Central y </w:t>
      </w:r>
      <w:r w:rsidR="00E50751" w:rsidRPr="00D848CE">
        <w:rPr>
          <w:rFonts w:ascii="Arial" w:hAnsi="Arial" w:cs="Arial"/>
          <w:color w:val="000000"/>
          <w:sz w:val="22"/>
          <w:szCs w:val="22"/>
          <w:lang w:val="es-ES_tradnl"/>
        </w:rPr>
        <w:t xml:space="preserve">la segunda, las </w:t>
      </w:r>
      <w:r w:rsidRPr="00D848CE">
        <w:rPr>
          <w:rFonts w:ascii="Arial" w:hAnsi="Arial" w:cs="Arial"/>
          <w:color w:val="000000"/>
          <w:sz w:val="22"/>
          <w:szCs w:val="22"/>
          <w:lang w:val="es-ES_tradnl"/>
        </w:rPr>
        <w:t>instituciones descentralizadas.</w:t>
      </w:r>
    </w:p>
    <w:p w14:paraId="4CEB9DC8" w14:textId="77777777" w:rsidR="00DC5F2E" w:rsidRPr="00D848CE" w:rsidRDefault="00DC5F2E" w:rsidP="00DC5F2E">
      <w:pPr>
        <w:pStyle w:val="FootnoteText"/>
        <w:numPr>
          <w:ilvl w:val="1"/>
          <w:numId w:val="2"/>
        </w:numPr>
        <w:tabs>
          <w:tab w:val="num" w:pos="720"/>
        </w:tabs>
        <w:spacing w:before="120" w:after="120"/>
        <w:ind w:left="720" w:hanging="720"/>
        <w:jc w:val="both"/>
        <w:rPr>
          <w:rFonts w:ascii="Arial" w:hAnsi="Arial" w:cs="Arial"/>
          <w:color w:val="000000"/>
          <w:sz w:val="22"/>
          <w:szCs w:val="22"/>
          <w:lang w:val="es-ES_tradnl"/>
        </w:rPr>
      </w:pPr>
      <w:r w:rsidRPr="00D848CE">
        <w:rPr>
          <w:rFonts w:ascii="Arial" w:hAnsi="Arial" w:cs="Arial"/>
          <w:color w:val="000000"/>
          <w:sz w:val="22"/>
          <w:szCs w:val="22"/>
          <w:lang w:val="es-ES_tradnl"/>
        </w:rPr>
        <w:t>La etapa del Gobierno Central se subdividió en dos fases. La Fase I</w:t>
      </w:r>
      <w:r w:rsidR="00E50751"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 buscaba la incorporación de los recursos directos que captaban las instituciones al flujo del tesoro y la </w:t>
      </w:r>
      <w:r w:rsidR="00E50751" w:rsidRPr="00D848CE">
        <w:rPr>
          <w:rFonts w:ascii="Arial" w:hAnsi="Arial" w:cs="Arial"/>
          <w:color w:val="000000"/>
          <w:sz w:val="22"/>
          <w:szCs w:val="22"/>
          <w:lang w:val="es-ES_tradnl"/>
        </w:rPr>
        <w:t>Fase II,</w:t>
      </w:r>
      <w:r w:rsidRPr="00D848CE">
        <w:rPr>
          <w:rFonts w:ascii="Arial" w:hAnsi="Arial" w:cs="Arial"/>
          <w:color w:val="000000"/>
          <w:sz w:val="22"/>
          <w:szCs w:val="22"/>
          <w:lang w:val="es-ES_tradnl"/>
        </w:rPr>
        <w:t xml:space="preserve"> se orientaba a la ejecución de los recursos que las instituciones tenían en el presupuesto </w:t>
      </w:r>
      <w:r w:rsidR="00E50751" w:rsidRPr="00D848CE">
        <w:rPr>
          <w:rFonts w:ascii="Arial" w:hAnsi="Arial" w:cs="Arial"/>
          <w:color w:val="000000"/>
          <w:sz w:val="22"/>
          <w:szCs w:val="22"/>
          <w:lang w:val="es-ES_tradnl"/>
        </w:rPr>
        <w:t xml:space="preserve">para que </w:t>
      </w:r>
      <w:r w:rsidRPr="00D848CE">
        <w:rPr>
          <w:rFonts w:ascii="Arial" w:hAnsi="Arial" w:cs="Arial"/>
          <w:color w:val="000000"/>
          <w:sz w:val="22"/>
          <w:szCs w:val="22"/>
          <w:lang w:val="es-ES_tradnl"/>
        </w:rPr>
        <w:t>fuesen gestionados desde la CUT.</w:t>
      </w:r>
    </w:p>
    <w:p w14:paraId="0610ECF5" w14:textId="77777777" w:rsidR="00DC5F2E" w:rsidRPr="00D848CE" w:rsidRDefault="00DC5F2E" w:rsidP="00DC5F2E">
      <w:pPr>
        <w:pStyle w:val="FootnoteText"/>
        <w:numPr>
          <w:ilvl w:val="1"/>
          <w:numId w:val="2"/>
        </w:numPr>
        <w:tabs>
          <w:tab w:val="num" w:pos="720"/>
        </w:tabs>
        <w:spacing w:before="120" w:after="120"/>
        <w:ind w:left="720" w:hanging="720"/>
        <w:jc w:val="both"/>
        <w:rPr>
          <w:rFonts w:ascii="Arial" w:hAnsi="Arial" w:cs="Arial"/>
          <w:color w:val="000000"/>
          <w:sz w:val="22"/>
          <w:szCs w:val="22"/>
          <w:lang w:val="es-ES_tradnl"/>
        </w:rPr>
      </w:pPr>
      <w:r w:rsidRPr="00D848CE">
        <w:rPr>
          <w:rFonts w:ascii="Arial" w:hAnsi="Arial" w:cs="Arial"/>
          <w:color w:val="000000"/>
          <w:sz w:val="22"/>
          <w:szCs w:val="22"/>
          <w:lang w:val="es-ES_tradnl"/>
        </w:rPr>
        <w:t>En lo que respecta a la Fase I, se han logrado resultados importantes. Al 30</w:t>
      </w:r>
      <w:r w:rsidR="00E50751" w:rsidRPr="00D848CE">
        <w:rPr>
          <w:rFonts w:ascii="Arial" w:hAnsi="Arial" w:cs="Arial"/>
          <w:color w:val="000000"/>
          <w:sz w:val="22"/>
          <w:szCs w:val="22"/>
          <w:lang w:val="es-ES_tradnl"/>
        </w:rPr>
        <w:t xml:space="preserve"> de </w:t>
      </w:r>
      <w:r w:rsidRPr="00D848CE">
        <w:rPr>
          <w:rFonts w:ascii="Arial" w:hAnsi="Arial" w:cs="Arial"/>
          <w:color w:val="000000"/>
          <w:sz w:val="22"/>
          <w:szCs w:val="22"/>
          <w:lang w:val="es-ES_tradnl"/>
        </w:rPr>
        <w:t>junio se habían incorporado a la CUT unos RD$14</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600 millones de pesos. Para el año 2014, se presupuestaron RD$3</w:t>
      </w:r>
      <w:r w:rsidR="00BC640D" w:rsidRPr="00D848CE">
        <w:rPr>
          <w:rFonts w:ascii="Arial" w:hAnsi="Arial" w:cs="Arial"/>
          <w:color w:val="000000"/>
          <w:sz w:val="22"/>
          <w:szCs w:val="22"/>
          <w:lang w:val="es-ES_tradnl"/>
        </w:rPr>
        <w:t>.</w:t>
      </w:r>
      <w:r w:rsidRPr="00D848CE">
        <w:rPr>
          <w:rFonts w:ascii="Arial" w:hAnsi="Arial" w:cs="Arial"/>
          <w:color w:val="000000"/>
          <w:sz w:val="22"/>
          <w:szCs w:val="22"/>
          <w:lang w:val="es-ES_tradnl"/>
        </w:rPr>
        <w:t xml:space="preserve">800 millones de pesos de los recursos de captación directa de 27 instituciones, </w:t>
      </w:r>
      <w:r w:rsidR="00E50751" w:rsidRPr="00D848CE">
        <w:rPr>
          <w:rFonts w:ascii="Arial" w:hAnsi="Arial" w:cs="Arial"/>
          <w:color w:val="000000"/>
          <w:sz w:val="22"/>
          <w:szCs w:val="22"/>
          <w:lang w:val="es-ES_tradnl"/>
        </w:rPr>
        <w:t>que fueron</w:t>
      </w:r>
      <w:r w:rsidRPr="00D848CE">
        <w:rPr>
          <w:rFonts w:ascii="Arial" w:hAnsi="Arial" w:cs="Arial"/>
          <w:color w:val="000000"/>
          <w:sz w:val="22"/>
          <w:szCs w:val="22"/>
          <w:lang w:val="es-ES_tradnl"/>
        </w:rPr>
        <w:t xml:space="preserve"> superados</w:t>
      </w:r>
      <w:r w:rsidR="00E50751" w:rsidRPr="00D848CE">
        <w:rPr>
          <w:rFonts w:ascii="Arial" w:hAnsi="Arial" w:cs="Arial"/>
          <w:color w:val="000000"/>
          <w:sz w:val="22"/>
          <w:szCs w:val="22"/>
          <w:lang w:val="es-ES_tradnl"/>
        </w:rPr>
        <w:t xml:space="preserve">, </w:t>
      </w:r>
      <w:r w:rsidRPr="00D848CE">
        <w:rPr>
          <w:rFonts w:ascii="Arial" w:hAnsi="Arial" w:cs="Arial"/>
          <w:color w:val="000000"/>
          <w:sz w:val="22"/>
          <w:szCs w:val="22"/>
          <w:lang w:val="es-ES_tradnl"/>
        </w:rPr>
        <w:t>la gestión de los mismos ronda los RD$5</w:t>
      </w:r>
      <w:r w:rsidR="00BC640D" w:rsidRPr="00D848CE">
        <w:rPr>
          <w:rFonts w:ascii="Arial" w:hAnsi="Arial" w:cs="Arial"/>
          <w:color w:val="000000"/>
          <w:sz w:val="22"/>
          <w:szCs w:val="22"/>
          <w:lang w:val="es-ES_tradnl"/>
        </w:rPr>
        <w:t>.200</w:t>
      </w:r>
      <w:r w:rsidRPr="00D848CE">
        <w:rPr>
          <w:rFonts w:ascii="Arial" w:hAnsi="Arial" w:cs="Arial"/>
          <w:color w:val="000000"/>
          <w:sz w:val="22"/>
          <w:szCs w:val="22"/>
          <w:lang w:val="es-ES_tradnl"/>
        </w:rPr>
        <w:t xml:space="preserve"> millones a julio 2014.</w:t>
      </w:r>
    </w:p>
    <w:p w14:paraId="525F2AAD" w14:textId="77777777" w:rsidR="00DC5F2E" w:rsidRPr="00D848CE" w:rsidRDefault="00DC5F2E" w:rsidP="00DC5F2E">
      <w:pPr>
        <w:pStyle w:val="FootnoteText"/>
        <w:numPr>
          <w:ilvl w:val="1"/>
          <w:numId w:val="2"/>
        </w:numPr>
        <w:tabs>
          <w:tab w:val="num" w:pos="720"/>
        </w:tabs>
        <w:spacing w:before="120" w:after="120"/>
        <w:ind w:left="720" w:hanging="720"/>
        <w:jc w:val="both"/>
        <w:rPr>
          <w:rFonts w:ascii="Arial" w:hAnsi="Arial" w:cs="Arial"/>
          <w:color w:val="000000"/>
          <w:sz w:val="22"/>
          <w:szCs w:val="22"/>
          <w:lang w:val="es-ES_tradnl"/>
        </w:rPr>
      </w:pPr>
      <w:r w:rsidRPr="00D848CE">
        <w:rPr>
          <w:rFonts w:ascii="Arial" w:hAnsi="Arial" w:cs="Arial"/>
          <w:color w:val="000000"/>
          <w:sz w:val="22"/>
          <w:szCs w:val="22"/>
          <w:lang w:val="es-ES_tradnl"/>
        </w:rPr>
        <w:t xml:space="preserve">En lo que respecta a la Fase II, se desarrollaron con el apoyo del PAFI, los módulos que han permitido el funcionamiento de la CUT de manera óptima, destacándose los siguientes: módulo de subcuentas, módulo de asignación de cuotas de pago, módulo de ordenamientos de pago descentralizados. </w:t>
      </w:r>
    </w:p>
    <w:p w14:paraId="27F5071D" w14:textId="77777777" w:rsidR="00DC5F2E" w:rsidRPr="00D848CE" w:rsidRDefault="00DC5F2E" w:rsidP="00DE01D6">
      <w:pPr>
        <w:pStyle w:val="FootnoteText"/>
        <w:numPr>
          <w:ilvl w:val="1"/>
          <w:numId w:val="2"/>
        </w:numPr>
        <w:tabs>
          <w:tab w:val="num" w:pos="720"/>
        </w:tabs>
        <w:spacing w:before="120" w:after="120"/>
        <w:ind w:left="720" w:hanging="720"/>
        <w:jc w:val="both"/>
        <w:rPr>
          <w:rFonts w:ascii="Arial" w:hAnsi="Arial" w:cs="Arial"/>
          <w:color w:val="000000"/>
          <w:sz w:val="22"/>
          <w:szCs w:val="22"/>
          <w:lang w:val="es-ES_tradnl"/>
        </w:rPr>
      </w:pPr>
      <w:r w:rsidRPr="00D848CE">
        <w:rPr>
          <w:rFonts w:ascii="Arial" w:hAnsi="Arial" w:cs="Arial"/>
          <w:b/>
          <w:color w:val="000000"/>
          <w:sz w:val="22"/>
          <w:szCs w:val="22"/>
          <w:lang w:val="es-ES_tradnl"/>
        </w:rPr>
        <w:t>Retos para el Futuro.</w:t>
      </w:r>
      <w:r w:rsidRPr="00D848CE">
        <w:rPr>
          <w:rFonts w:ascii="Arial" w:hAnsi="Arial" w:cs="Arial"/>
          <w:color w:val="000000"/>
          <w:sz w:val="22"/>
          <w:szCs w:val="22"/>
          <w:lang w:val="es-ES_tradnl"/>
        </w:rPr>
        <w:t xml:space="preserve"> La Tesorería Nacional ha avanzado significativamente en la aplicación de la </w:t>
      </w:r>
      <w:r w:rsidR="0064058C" w:rsidRPr="00D848CE">
        <w:rPr>
          <w:rFonts w:ascii="Arial" w:hAnsi="Arial" w:cs="Arial"/>
          <w:color w:val="000000"/>
          <w:sz w:val="22"/>
          <w:szCs w:val="22"/>
          <w:lang w:val="es-ES_tradnl"/>
        </w:rPr>
        <w:t>CUT</w:t>
      </w:r>
      <w:r w:rsidRPr="00D848CE">
        <w:rPr>
          <w:rFonts w:ascii="Arial" w:hAnsi="Arial" w:cs="Arial"/>
          <w:color w:val="000000"/>
          <w:sz w:val="22"/>
          <w:szCs w:val="22"/>
          <w:lang w:val="es-ES_tradnl"/>
        </w:rPr>
        <w:t xml:space="preserve">, pues ha logrado establecer un sistema que permite mantener individualizados los recursos de las entidades públicas que participan en la CUT y ha creado una confianza en las instituciones que garantizan el avance y fortalecimiento de la </w:t>
      </w:r>
      <w:r w:rsidR="00A501E5" w:rsidRPr="00D848CE">
        <w:rPr>
          <w:rFonts w:ascii="Arial" w:hAnsi="Arial" w:cs="Arial"/>
          <w:color w:val="000000"/>
          <w:sz w:val="22"/>
          <w:szCs w:val="22"/>
          <w:lang w:val="es-ES_tradnl"/>
        </w:rPr>
        <w:t>CUT</w:t>
      </w:r>
      <w:r w:rsidRPr="00D848CE">
        <w:rPr>
          <w:rFonts w:ascii="Arial" w:hAnsi="Arial" w:cs="Arial"/>
          <w:color w:val="000000"/>
          <w:sz w:val="22"/>
          <w:szCs w:val="22"/>
          <w:lang w:val="es-ES_tradnl"/>
        </w:rPr>
        <w:t xml:space="preserve"> en </w:t>
      </w:r>
      <w:r w:rsidR="00A501E5" w:rsidRPr="00D848CE">
        <w:rPr>
          <w:rFonts w:ascii="Arial" w:hAnsi="Arial" w:cs="Arial"/>
          <w:color w:val="000000"/>
          <w:sz w:val="22"/>
          <w:szCs w:val="22"/>
          <w:lang w:val="es-ES_tradnl"/>
        </w:rPr>
        <w:t>RD</w:t>
      </w:r>
      <w:r w:rsidRPr="00D848CE">
        <w:rPr>
          <w:rFonts w:ascii="Arial" w:hAnsi="Arial" w:cs="Arial"/>
          <w:color w:val="000000"/>
          <w:sz w:val="22"/>
          <w:szCs w:val="22"/>
          <w:lang w:val="es-ES_tradnl"/>
        </w:rPr>
        <w:t>. Dentro de las tareas a desarrollar</w:t>
      </w:r>
      <w:r w:rsidR="00A501E5" w:rsidRPr="00D848CE">
        <w:rPr>
          <w:rFonts w:ascii="Arial" w:hAnsi="Arial" w:cs="Arial"/>
          <w:color w:val="000000"/>
          <w:sz w:val="22"/>
          <w:szCs w:val="22"/>
          <w:lang w:val="es-ES_tradnl"/>
        </w:rPr>
        <w:t>, se encuentran</w:t>
      </w:r>
      <w:r w:rsidRPr="00D848CE">
        <w:rPr>
          <w:rFonts w:ascii="Arial" w:hAnsi="Arial" w:cs="Arial"/>
          <w:color w:val="000000"/>
          <w:sz w:val="22"/>
          <w:szCs w:val="22"/>
          <w:lang w:val="es-ES_tradnl"/>
        </w:rPr>
        <w:t>:</w:t>
      </w:r>
    </w:p>
    <w:p w14:paraId="7E1EBC52" w14:textId="77777777" w:rsidR="00DC5F2E" w:rsidRPr="00D848CE" w:rsidRDefault="0012137A" w:rsidP="00DC5F2E">
      <w:pPr>
        <w:pStyle w:val="FootnoteText"/>
        <w:numPr>
          <w:ilvl w:val="2"/>
          <w:numId w:val="2"/>
        </w:numPr>
        <w:tabs>
          <w:tab w:val="clear" w:pos="2304"/>
          <w:tab w:val="num" w:pos="1170"/>
        </w:tabs>
        <w:ind w:left="1170" w:hanging="450"/>
        <w:rPr>
          <w:rFonts w:ascii="Arial" w:hAnsi="Arial" w:cs="Arial"/>
          <w:color w:val="000000"/>
          <w:sz w:val="22"/>
          <w:szCs w:val="22"/>
          <w:lang w:val="es-ES_tradnl"/>
        </w:rPr>
      </w:pPr>
      <w:r w:rsidRPr="00D848CE">
        <w:rPr>
          <w:rFonts w:ascii="Arial" w:hAnsi="Arial" w:cs="Arial"/>
          <w:color w:val="000000"/>
          <w:sz w:val="22"/>
          <w:szCs w:val="22"/>
          <w:lang w:val="es-ES_tradnl"/>
        </w:rPr>
        <w:t>Concluir</w:t>
      </w:r>
      <w:r w:rsidR="00DC5F2E" w:rsidRPr="00D848CE">
        <w:rPr>
          <w:rFonts w:ascii="Arial" w:hAnsi="Arial" w:cs="Arial"/>
          <w:color w:val="000000"/>
          <w:sz w:val="22"/>
          <w:szCs w:val="22"/>
          <w:lang w:val="es-ES_tradnl"/>
        </w:rPr>
        <w:t xml:space="preserve"> el desmonte de cuentas bancarias de las instituciones descentralizadas</w:t>
      </w:r>
      <w:r w:rsidRPr="00D848CE">
        <w:rPr>
          <w:rFonts w:ascii="Arial" w:hAnsi="Arial" w:cs="Arial"/>
          <w:color w:val="000000"/>
          <w:sz w:val="22"/>
          <w:szCs w:val="22"/>
          <w:lang w:val="es-ES_tradnl"/>
        </w:rPr>
        <w:t>.</w:t>
      </w:r>
    </w:p>
    <w:p w14:paraId="7C2B9F5B" w14:textId="77777777" w:rsidR="00DC5F2E" w:rsidRPr="00D848CE" w:rsidRDefault="00DC5F2E" w:rsidP="00DC5F2E">
      <w:pPr>
        <w:pStyle w:val="FootnoteText"/>
        <w:numPr>
          <w:ilvl w:val="2"/>
          <w:numId w:val="2"/>
        </w:numPr>
        <w:tabs>
          <w:tab w:val="clear" w:pos="2304"/>
          <w:tab w:val="num" w:pos="1170"/>
        </w:tabs>
        <w:ind w:left="1170" w:hanging="450"/>
        <w:rPr>
          <w:rFonts w:ascii="Arial" w:hAnsi="Arial" w:cs="Arial"/>
          <w:color w:val="000000"/>
          <w:sz w:val="22"/>
          <w:szCs w:val="22"/>
          <w:lang w:val="es-ES_tradnl"/>
        </w:rPr>
      </w:pPr>
      <w:r w:rsidRPr="00D848CE">
        <w:rPr>
          <w:rFonts w:ascii="Arial" w:hAnsi="Arial" w:cs="Arial"/>
          <w:color w:val="000000"/>
          <w:sz w:val="22"/>
          <w:szCs w:val="22"/>
          <w:lang w:val="es-ES_tradnl"/>
        </w:rPr>
        <w:t xml:space="preserve">Coordinar con el Ministerio de Educación, la depuración de las cuentas bancarias de las Juntas de Centros Educativos. </w:t>
      </w:r>
    </w:p>
    <w:p w14:paraId="308D52C8" w14:textId="77777777" w:rsidR="00DC5F2E" w:rsidRPr="00D848CE" w:rsidRDefault="00DC5F2E" w:rsidP="00DC5F2E">
      <w:pPr>
        <w:pStyle w:val="FootnoteText"/>
        <w:numPr>
          <w:ilvl w:val="2"/>
          <w:numId w:val="2"/>
        </w:numPr>
        <w:tabs>
          <w:tab w:val="clear" w:pos="2304"/>
          <w:tab w:val="num" w:pos="1170"/>
        </w:tabs>
        <w:ind w:left="1170" w:hanging="450"/>
        <w:rPr>
          <w:rFonts w:ascii="Arial" w:hAnsi="Arial" w:cs="Arial"/>
          <w:color w:val="000000"/>
          <w:sz w:val="22"/>
          <w:szCs w:val="22"/>
          <w:lang w:val="es-ES_tradnl"/>
        </w:rPr>
      </w:pPr>
      <w:r w:rsidRPr="00D848CE">
        <w:rPr>
          <w:rFonts w:ascii="Arial" w:hAnsi="Arial" w:cs="Arial"/>
          <w:color w:val="000000"/>
          <w:sz w:val="22"/>
          <w:szCs w:val="22"/>
          <w:lang w:val="es-ES_tradnl"/>
        </w:rPr>
        <w:t>Coordinar con la DGII para que se asigne un RNC a cada Junta de Centro.</w:t>
      </w:r>
    </w:p>
    <w:p w14:paraId="38AD8BB6" w14:textId="77777777" w:rsidR="00DC5F2E" w:rsidRPr="00D848CE" w:rsidRDefault="00DC5F2E" w:rsidP="00DC5F2E">
      <w:pPr>
        <w:pStyle w:val="FootnoteText"/>
        <w:numPr>
          <w:ilvl w:val="2"/>
          <w:numId w:val="2"/>
        </w:numPr>
        <w:tabs>
          <w:tab w:val="clear" w:pos="2304"/>
          <w:tab w:val="num" w:pos="1170"/>
        </w:tabs>
        <w:ind w:left="1170" w:hanging="450"/>
        <w:rPr>
          <w:rFonts w:ascii="Arial" w:hAnsi="Arial" w:cs="Arial"/>
          <w:color w:val="000000"/>
          <w:sz w:val="22"/>
          <w:szCs w:val="22"/>
          <w:lang w:val="es-ES_tradnl"/>
        </w:rPr>
      </w:pPr>
      <w:r w:rsidRPr="00D848CE">
        <w:rPr>
          <w:rFonts w:ascii="Arial" w:hAnsi="Arial" w:cs="Arial"/>
          <w:color w:val="000000"/>
          <w:sz w:val="22"/>
          <w:szCs w:val="22"/>
          <w:lang w:val="es-ES_tradnl"/>
        </w:rPr>
        <w:t>Continuar el proceso de centralización de recursos en el Tesoro</w:t>
      </w:r>
      <w:r w:rsidR="00A501E5" w:rsidRPr="00D848CE">
        <w:rPr>
          <w:rFonts w:ascii="Arial" w:hAnsi="Arial" w:cs="Arial"/>
          <w:color w:val="000000"/>
          <w:sz w:val="22"/>
          <w:szCs w:val="22"/>
          <w:lang w:val="es-ES_tradnl"/>
        </w:rPr>
        <w:t>.</w:t>
      </w:r>
    </w:p>
    <w:p w14:paraId="74D5A2C6" w14:textId="77777777" w:rsidR="00DC5F2E" w:rsidRPr="00D848CE" w:rsidRDefault="00DC5F2E" w:rsidP="00DC5F2E">
      <w:pPr>
        <w:pStyle w:val="FootnoteText"/>
        <w:numPr>
          <w:ilvl w:val="1"/>
          <w:numId w:val="2"/>
        </w:numPr>
        <w:tabs>
          <w:tab w:val="num" w:pos="720"/>
        </w:tabs>
        <w:spacing w:before="120" w:after="120"/>
        <w:ind w:left="720" w:hanging="720"/>
        <w:jc w:val="both"/>
        <w:rPr>
          <w:rFonts w:ascii="Arial" w:hAnsi="Arial" w:cs="Arial"/>
          <w:color w:val="000000"/>
          <w:sz w:val="22"/>
          <w:szCs w:val="22"/>
          <w:lang w:val="es-ES_tradnl"/>
        </w:rPr>
      </w:pPr>
      <w:r w:rsidRPr="00D848CE">
        <w:rPr>
          <w:rFonts w:ascii="Arial" w:hAnsi="Arial" w:cs="Arial"/>
          <w:color w:val="000000"/>
          <w:sz w:val="22"/>
          <w:szCs w:val="22"/>
          <w:lang w:val="es-ES_tradnl"/>
        </w:rPr>
        <w:t xml:space="preserve">Asimismo, se tiene en carpeta el desarrollo de algunos módulos que ayudarían a la concentración de recursos en la CUT, como sería un módulo de pagos tipo </w:t>
      </w:r>
      <w:r w:rsidRPr="00D848CE">
        <w:rPr>
          <w:rFonts w:ascii="Arial" w:hAnsi="Arial" w:cs="Arial"/>
          <w:i/>
          <w:color w:val="000000"/>
          <w:sz w:val="22"/>
          <w:szCs w:val="22"/>
          <w:lang w:val="es-ES_tradnl"/>
        </w:rPr>
        <w:t>Netbanking</w:t>
      </w:r>
      <w:r w:rsidRPr="00D848CE">
        <w:rPr>
          <w:rFonts w:ascii="Arial" w:hAnsi="Arial" w:cs="Arial"/>
          <w:color w:val="000000"/>
          <w:sz w:val="22"/>
          <w:szCs w:val="22"/>
          <w:lang w:val="es-ES_tradnl"/>
        </w:rPr>
        <w:t xml:space="preserve"> para que las instituciones puedan instruir pagos a beneficiarios directos sin la necesidad de elaborar libramientos de pagos y que su </w:t>
      </w:r>
      <w:r w:rsidRPr="00D848CE">
        <w:rPr>
          <w:rFonts w:ascii="Arial" w:hAnsi="Arial" w:cs="Arial"/>
          <w:color w:val="000000"/>
          <w:sz w:val="22"/>
          <w:szCs w:val="22"/>
          <w:lang w:val="es-ES_tradnl"/>
        </w:rPr>
        <w:lastRenderedPageBreak/>
        <w:t>regularización sea posterior. Esta funcionalidad únicamente aplicaría para entidades que manejen fondos reponibles, recursos menores.</w:t>
      </w:r>
    </w:p>
    <w:p w14:paraId="42D28815" w14:textId="77777777" w:rsidR="00DC5F2E" w:rsidRPr="00D848CE" w:rsidRDefault="00DC5F2E" w:rsidP="00DC5F2E">
      <w:pPr>
        <w:pStyle w:val="FootnoteText"/>
        <w:numPr>
          <w:ilvl w:val="1"/>
          <w:numId w:val="2"/>
        </w:numPr>
        <w:tabs>
          <w:tab w:val="num" w:pos="720"/>
        </w:tabs>
        <w:spacing w:before="120" w:after="120"/>
        <w:ind w:left="720" w:hanging="720"/>
        <w:jc w:val="both"/>
        <w:rPr>
          <w:rFonts w:ascii="Arial" w:hAnsi="Arial" w:cs="Arial"/>
          <w:b/>
          <w:sz w:val="22"/>
          <w:szCs w:val="22"/>
          <w:lang w:val="es-ES_tradnl"/>
        </w:rPr>
      </w:pPr>
      <w:r w:rsidRPr="00D848CE">
        <w:rPr>
          <w:rFonts w:ascii="Arial" w:hAnsi="Arial" w:cs="Arial"/>
          <w:color w:val="000000"/>
          <w:sz w:val="22"/>
          <w:szCs w:val="22"/>
          <w:lang w:val="es-ES_tradnl"/>
        </w:rPr>
        <w:t>Incluir en la CUT los recursos provenientes de proyectos externos es uno de los puntos a desarrollar en el mediano plazo, para ello se hace necesaria la coordinación entre los órganos rectores del SIAFE, las UEPEX, PAFI y los organismos donantes y financiadores</w:t>
      </w:r>
      <w:r w:rsidRPr="00D848CE">
        <w:rPr>
          <w:rFonts w:ascii="Arial" w:hAnsi="Arial" w:cs="Arial"/>
          <w:b/>
          <w:color w:val="000000"/>
          <w:sz w:val="22"/>
          <w:szCs w:val="22"/>
          <w:lang w:val="es-ES_tradnl"/>
        </w:rPr>
        <w:t>.</w:t>
      </w:r>
      <w:r w:rsidRPr="00D848CE">
        <w:rPr>
          <w:rFonts w:ascii="Arial" w:hAnsi="Arial" w:cs="Arial"/>
          <w:b/>
          <w:sz w:val="22"/>
          <w:szCs w:val="22"/>
          <w:lang w:val="es-ES_tradnl"/>
        </w:rPr>
        <w:t xml:space="preserve"> </w:t>
      </w:r>
    </w:p>
    <w:p w14:paraId="21BB54BD" w14:textId="77777777" w:rsidR="008A2AF1" w:rsidRPr="00D848CE" w:rsidRDefault="00DC5F2E" w:rsidP="008A2AF1">
      <w:pPr>
        <w:pStyle w:val="FootnoteText"/>
        <w:numPr>
          <w:ilvl w:val="1"/>
          <w:numId w:val="2"/>
        </w:numPr>
        <w:tabs>
          <w:tab w:val="num" w:pos="720"/>
        </w:tabs>
        <w:spacing w:before="120" w:after="120"/>
        <w:ind w:left="720" w:hanging="720"/>
        <w:jc w:val="both"/>
        <w:rPr>
          <w:rFonts w:ascii="Arial" w:hAnsi="Arial" w:cs="Arial"/>
          <w:b/>
          <w:sz w:val="22"/>
          <w:szCs w:val="22"/>
          <w:lang w:val="es-ES_tradnl"/>
        </w:rPr>
      </w:pPr>
      <w:r w:rsidRPr="00D848CE">
        <w:rPr>
          <w:rFonts w:ascii="Arial" w:hAnsi="Arial" w:cs="Arial"/>
          <w:b/>
          <w:sz w:val="22"/>
          <w:szCs w:val="22"/>
          <w:lang w:val="es-ES_tradnl"/>
        </w:rPr>
        <w:t xml:space="preserve">Próximos Pasos. </w:t>
      </w:r>
      <w:r w:rsidRPr="00D848CE">
        <w:rPr>
          <w:rFonts w:ascii="Arial" w:hAnsi="Arial" w:cs="Arial"/>
          <w:sz w:val="22"/>
          <w:szCs w:val="22"/>
          <w:lang w:val="es-ES_tradnl"/>
        </w:rPr>
        <w:t xml:space="preserve">A pesar de los importantes avances en la consolidación de la CUT, todavía existen un promedio de </w:t>
      </w:r>
      <w:r w:rsidRPr="00D848CE">
        <w:rPr>
          <w:rFonts w:ascii="Arial" w:hAnsi="Arial" w:cs="Arial"/>
          <w:color w:val="000000"/>
          <w:sz w:val="22"/>
          <w:szCs w:val="22"/>
          <w:lang w:val="es-ES_tradnl"/>
        </w:rPr>
        <w:t>RD$</w:t>
      </w:r>
      <w:r w:rsidR="008A2AF1" w:rsidRPr="00D848CE">
        <w:rPr>
          <w:rFonts w:ascii="Arial" w:hAnsi="Arial" w:cs="Arial"/>
          <w:color w:val="000000"/>
          <w:sz w:val="22"/>
          <w:szCs w:val="22"/>
          <w:lang w:val="es-ES_tradnl"/>
        </w:rPr>
        <w:t>22,1</w:t>
      </w:r>
      <w:r w:rsidR="00BC640D" w:rsidRPr="00D848CE">
        <w:rPr>
          <w:rFonts w:ascii="Arial" w:hAnsi="Arial" w:cs="Arial"/>
          <w:color w:val="000000"/>
          <w:sz w:val="22"/>
          <w:szCs w:val="22"/>
          <w:lang w:val="es-ES_tradnl"/>
        </w:rPr>
        <w:t xml:space="preserve"> Mil Millones (US$</w:t>
      </w:r>
      <w:r w:rsidR="008A2AF1" w:rsidRPr="00D848CE">
        <w:rPr>
          <w:rFonts w:ascii="Arial" w:hAnsi="Arial" w:cs="Arial"/>
          <w:color w:val="000000"/>
          <w:sz w:val="22"/>
          <w:szCs w:val="22"/>
          <w:lang w:val="es-ES_tradnl"/>
        </w:rPr>
        <w:t>465 millones - 1US$ = 47</w:t>
      </w:r>
      <w:r w:rsidR="001B22B4" w:rsidRPr="00D848CE">
        <w:rPr>
          <w:rFonts w:ascii="Arial" w:hAnsi="Arial" w:cs="Arial"/>
          <w:color w:val="000000"/>
          <w:sz w:val="22"/>
          <w:szCs w:val="22"/>
          <w:lang w:val="es-ES_tradnl"/>
        </w:rPr>
        <w:t>,</w:t>
      </w:r>
      <w:r w:rsidR="008A2AF1" w:rsidRPr="00D848CE">
        <w:rPr>
          <w:rFonts w:ascii="Arial" w:hAnsi="Arial" w:cs="Arial"/>
          <w:color w:val="000000"/>
          <w:sz w:val="22"/>
          <w:szCs w:val="22"/>
          <w:lang w:val="es-ES_tradnl"/>
        </w:rPr>
        <w:t>7</w:t>
      </w:r>
      <w:r w:rsidRPr="00D848CE">
        <w:rPr>
          <w:rFonts w:ascii="Arial" w:hAnsi="Arial" w:cs="Arial"/>
          <w:color w:val="000000"/>
          <w:sz w:val="22"/>
          <w:szCs w:val="22"/>
          <w:lang w:val="es-ES_tradnl"/>
        </w:rPr>
        <w:t xml:space="preserve"> RD$) de recursos en cuentas dispersas que eventualmente pudieran ser parte de la CUT. Recursos, además que incrementarían las disponibilidades de recursos de la Tesorería, </w:t>
      </w:r>
      <w:r w:rsidR="00373549" w:rsidRPr="00D848CE">
        <w:rPr>
          <w:rFonts w:ascii="Arial" w:hAnsi="Arial" w:cs="Arial"/>
          <w:color w:val="000000"/>
          <w:sz w:val="22"/>
          <w:szCs w:val="22"/>
          <w:lang w:val="es-ES_tradnl"/>
        </w:rPr>
        <w:t>disminuyendo la necesidad de</w:t>
      </w:r>
      <w:r w:rsidRPr="00D848CE">
        <w:rPr>
          <w:rFonts w:ascii="Arial" w:hAnsi="Arial" w:cs="Arial"/>
          <w:color w:val="000000"/>
          <w:sz w:val="22"/>
          <w:szCs w:val="22"/>
          <w:lang w:val="es-ES_tradnl"/>
        </w:rPr>
        <w:t xml:space="preserve"> búsqueda de financiamiento a corto plazo. Los recursos correspondientes a los municipios y empresas no fueron incluidos en este monto.</w:t>
      </w:r>
      <w:r w:rsidR="008A2AF1" w:rsidRPr="00D848CE">
        <w:rPr>
          <w:rFonts w:ascii="Arial" w:hAnsi="Arial" w:cs="Arial"/>
          <w:color w:val="000000"/>
          <w:sz w:val="22"/>
          <w:szCs w:val="22"/>
          <w:lang w:val="es-ES_tradnl"/>
        </w:rPr>
        <w:t xml:space="preserve"> </w:t>
      </w:r>
      <w:r w:rsidR="00172D55" w:rsidRPr="00D848CE">
        <w:rPr>
          <w:rFonts w:ascii="Arial" w:hAnsi="Arial" w:cs="Arial"/>
          <w:color w:val="000000"/>
          <w:sz w:val="22"/>
          <w:szCs w:val="22"/>
          <w:lang w:val="es-ES_tradnl"/>
        </w:rPr>
        <w:t>A</w:t>
      </w:r>
      <w:r w:rsidR="008A2AF1" w:rsidRPr="00D848CE">
        <w:rPr>
          <w:rFonts w:ascii="Arial" w:hAnsi="Arial" w:cs="Arial"/>
          <w:color w:val="000000"/>
          <w:sz w:val="22"/>
          <w:szCs w:val="22"/>
          <w:lang w:val="es-ES_tradnl"/>
        </w:rPr>
        <w:t xml:space="preserve"> seguir </w:t>
      </w:r>
      <w:r w:rsidR="00172D55" w:rsidRPr="00D848CE">
        <w:rPr>
          <w:rFonts w:ascii="Arial" w:hAnsi="Arial" w:cs="Arial"/>
          <w:color w:val="000000"/>
          <w:sz w:val="22"/>
          <w:szCs w:val="22"/>
          <w:lang w:val="es-ES_tradnl"/>
        </w:rPr>
        <w:t xml:space="preserve">se </w:t>
      </w:r>
      <w:r w:rsidR="008A2AF1" w:rsidRPr="00D848CE">
        <w:rPr>
          <w:rFonts w:ascii="Arial" w:hAnsi="Arial" w:cs="Arial"/>
          <w:color w:val="000000"/>
          <w:sz w:val="22"/>
          <w:szCs w:val="22"/>
          <w:lang w:val="es-ES_tradnl"/>
        </w:rPr>
        <w:t>presenta el detalle de las entidades y montos fuera de la CUT</w:t>
      </w:r>
      <w:r w:rsidR="00172D55" w:rsidRPr="00D848CE">
        <w:rPr>
          <w:rFonts w:ascii="Arial" w:hAnsi="Arial" w:cs="Arial"/>
          <w:color w:val="000000"/>
          <w:sz w:val="22"/>
          <w:szCs w:val="22"/>
          <w:lang w:val="es-ES_tradnl"/>
        </w:rPr>
        <w:t>, los cuales serán incorporados con apoyo del programa.</w:t>
      </w:r>
    </w:p>
    <w:p w14:paraId="2AAE9899" w14:textId="77777777" w:rsidR="00172D55" w:rsidRPr="00D848CE" w:rsidRDefault="00172D55" w:rsidP="00E82351">
      <w:pPr>
        <w:pStyle w:val="FootnoteText"/>
        <w:tabs>
          <w:tab w:val="num" w:pos="1800"/>
        </w:tabs>
        <w:spacing w:before="120" w:after="120"/>
        <w:ind w:left="90"/>
        <w:jc w:val="center"/>
        <w:rPr>
          <w:rFonts w:ascii="Arial" w:hAnsi="Arial" w:cs="Arial"/>
          <w:b/>
          <w:sz w:val="22"/>
          <w:szCs w:val="22"/>
          <w:lang w:val="es-ES_tradnl"/>
        </w:rPr>
      </w:pPr>
      <w:r w:rsidRPr="00D848CE">
        <w:rPr>
          <w:rFonts w:ascii="Arial" w:hAnsi="Arial" w:cs="Arial"/>
          <w:noProof/>
          <w:sz w:val="22"/>
          <w:szCs w:val="22"/>
          <w:lang w:val="es-ES_tradnl" w:eastAsia="es-ES_tradnl"/>
        </w:rPr>
        <w:lastRenderedPageBreak/>
        <w:drawing>
          <wp:inline distT="0" distB="0" distL="0" distR="0" wp14:anchorId="1F276429" wp14:editId="453A3FDA">
            <wp:extent cx="4315914" cy="5702411"/>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19664" cy="5707366"/>
                    </a:xfrm>
                    <a:prstGeom prst="rect">
                      <a:avLst/>
                    </a:prstGeom>
                    <a:noFill/>
                    <a:ln>
                      <a:noFill/>
                    </a:ln>
                  </pic:spPr>
                </pic:pic>
              </a:graphicData>
            </a:graphic>
          </wp:inline>
        </w:drawing>
      </w:r>
    </w:p>
    <w:p w14:paraId="0720F96E" w14:textId="77777777" w:rsidR="008A2AF1" w:rsidRPr="00D848CE" w:rsidRDefault="008A2AF1" w:rsidP="008A2AF1">
      <w:pPr>
        <w:pStyle w:val="FootnoteText"/>
        <w:spacing w:before="120" w:after="120"/>
        <w:ind w:left="720"/>
        <w:jc w:val="both"/>
        <w:rPr>
          <w:rFonts w:ascii="Arial" w:hAnsi="Arial" w:cs="Arial"/>
          <w:b/>
          <w:sz w:val="22"/>
          <w:szCs w:val="22"/>
          <w:lang w:val="es-ES_tradnl"/>
        </w:rPr>
      </w:pPr>
    </w:p>
    <w:p w14:paraId="170DAE41" w14:textId="77777777" w:rsidR="00DC5F2E" w:rsidRPr="00D848CE" w:rsidRDefault="00DC5F2E" w:rsidP="00DC5F2E">
      <w:pPr>
        <w:pStyle w:val="FootnoteText"/>
        <w:tabs>
          <w:tab w:val="left" w:pos="720"/>
        </w:tabs>
        <w:spacing w:before="120" w:after="120"/>
        <w:ind w:left="720"/>
        <w:jc w:val="both"/>
        <w:rPr>
          <w:rFonts w:ascii="Arial" w:hAnsi="Arial" w:cs="Arial"/>
          <w:sz w:val="22"/>
          <w:szCs w:val="22"/>
          <w:lang w:val="es-ES_tradnl"/>
        </w:rPr>
      </w:pPr>
      <w:r w:rsidRPr="00D848CE">
        <w:rPr>
          <w:rFonts w:ascii="Arial" w:hAnsi="Arial" w:cs="Arial"/>
          <w:b/>
          <w:sz w:val="22"/>
          <w:szCs w:val="22"/>
          <w:lang w:val="es-ES_tradnl"/>
        </w:rPr>
        <w:t xml:space="preserve">Metodología Para el Cálculo de los ahorros Financieros de la </w:t>
      </w:r>
      <w:r w:rsidR="00C5363C" w:rsidRPr="00D848CE">
        <w:rPr>
          <w:rFonts w:ascii="Arial" w:hAnsi="Arial" w:cs="Arial"/>
          <w:b/>
          <w:sz w:val="22"/>
          <w:szCs w:val="22"/>
          <w:lang w:val="es-ES_tradnl"/>
        </w:rPr>
        <w:t>CUT</w:t>
      </w:r>
      <w:r w:rsidRPr="00D848CE">
        <w:rPr>
          <w:rFonts w:ascii="Arial" w:hAnsi="Arial" w:cs="Arial"/>
          <w:b/>
          <w:sz w:val="22"/>
          <w:szCs w:val="22"/>
          <w:lang w:val="es-ES_tradnl"/>
        </w:rPr>
        <w:t>.</w:t>
      </w:r>
    </w:p>
    <w:p w14:paraId="02E2BD6C" w14:textId="77777777" w:rsidR="00DC5F2E" w:rsidRPr="00D848CE" w:rsidRDefault="00DC5F2E" w:rsidP="00DC5F2E">
      <w:pPr>
        <w:pStyle w:val="FootnoteText"/>
        <w:numPr>
          <w:ilvl w:val="1"/>
          <w:numId w:val="2"/>
        </w:numPr>
        <w:tabs>
          <w:tab w:val="num" w:pos="720"/>
        </w:tabs>
        <w:ind w:left="720" w:hanging="720"/>
        <w:jc w:val="both"/>
        <w:rPr>
          <w:rFonts w:ascii="Arial" w:hAnsi="Arial" w:cs="Arial"/>
          <w:sz w:val="22"/>
          <w:szCs w:val="22"/>
          <w:lang w:val="es-ES_tradnl"/>
        </w:rPr>
      </w:pPr>
      <w:r w:rsidRPr="00D848CE">
        <w:rPr>
          <w:rFonts w:ascii="Arial" w:hAnsi="Arial" w:cs="Arial"/>
          <w:sz w:val="22"/>
          <w:szCs w:val="22"/>
          <w:lang w:val="es-ES_tradnl"/>
        </w:rPr>
        <w:t xml:space="preserve">La metodología de cálculo de los </w:t>
      </w:r>
      <w:r w:rsidR="00BB3C9F" w:rsidRPr="00D848CE">
        <w:rPr>
          <w:rFonts w:ascii="Arial" w:hAnsi="Arial" w:cs="Arial"/>
          <w:sz w:val="22"/>
          <w:szCs w:val="22"/>
          <w:lang w:val="es-ES_tradnl"/>
        </w:rPr>
        <w:t>beneficios</w:t>
      </w:r>
      <w:r w:rsidR="00DB70A1" w:rsidRPr="00D848CE">
        <w:rPr>
          <w:rFonts w:ascii="Arial" w:hAnsi="Arial" w:cs="Arial"/>
          <w:sz w:val="22"/>
          <w:szCs w:val="22"/>
          <w:lang w:val="es-ES_tradnl"/>
        </w:rPr>
        <w:t xml:space="preserve"> </w:t>
      </w:r>
      <w:r w:rsidRPr="00D848CE">
        <w:rPr>
          <w:rFonts w:ascii="Arial" w:hAnsi="Arial" w:cs="Arial"/>
          <w:sz w:val="22"/>
          <w:szCs w:val="22"/>
          <w:lang w:val="es-ES_tradnl"/>
        </w:rPr>
        <w:t xml:space="preserve">generados por el </w:t>
      </w:r>
      <w:r w:rsidR="003D0C40" w:rsidRPr="00D848CE">
        <w:rPr>
          <w:rFonts w:ascii="Arial" w:hAnsi="Arial" w:cs="Arial"/>
          <w:sz w:val="22"/>
          <w:szCs w:val="22"/>
          <w:lang w:val="es-ES_tradnl"/>
        </w:rPr>
        <w:t>programa</w:t>
      </w:r>
      <w:r w:rsidRPr="00D848CE">
        <w:rPr>
          <w:rFonts w:ascii="Arial" w:hAnsi="Arial" w:cs="Arial"/>
          <w:sz w:val="22"/>
          <w:szCs w:val="22"/>
          <w:lang w:val="es-ES_tradnl"/>
        </w:rPr>
        <w:t xml:space="preserve"> contempla los siguientes aspectos:</w:t>
      </w:r>
    </w:p>
    <w:p w14:paraId="4F89887D" w14:textId="77777777" w:rsidR="00DC5F2E" w:rsidRPr="00D848CE" w:rsidRDefault="00A05C71" w:rsidP="00DC5F2E">
      <w:pPr>
        <w:pStyle w:val="FootnoteText"/>
        <w:numPr>
          <w:ilvl w:val="2"/>
          <w:numId w:val="2"/>
        </w:numPr>
        <w:tabs>
          <w:tab w:val="num" w:pos="1170"/>
        </w:tabs>
        <w:spacing w:before="120" w:after="120"/>
        <w:ind w:left="1166" w:hanging="446"/>
        <w:jc w:val="both"/>
        <w:rPr>
          <w:rFonts w:ascii="Arial" w:hAnsi="Arial" w:cs="Arial"/>
          <w:sz w:val="22"/>
          <w:szCs w:val="22"/>
          <w:lang w:val="es-ES_tradnl"/>
        </w:rPr>
      </w:pPr>
      <w:r w:rsidRPr="00D848CE">
        <w:rPr>
          <w:rFonts w:ascii="Arial" w:hAnsi="Arial" w:cs="Arial"/>
          <w:sz w:val="22"/>
          <w:szCs w:val="22"/>
          <w:lang w:val="es-ES_tradnl"/>
        </w:rPr>
        <w:t xml:space="preserve">Calcular los flujos diarios </w:t>
      </w:r>
      <w:r w:rsidR="002425B9" w:rsidRPr="00D848CE">
        <w:rPr>
          <w:rFonts w:ascii="Arial" w:hAnsi="Arial" w:cs="Arial"/>
          <w:sz w:val="22"/>
          <w:szCs w:val="22"/>
          <w:lang w:val="es-ES_tradnl"/>
        </w:rPr>
        <w:t>de lo</w:t>
      </w:r>
      <w:r w:rsidR="00C64C86" w:rsidRPr="00D848CE">
        <w:rPr>
          <w:rFonts w:ascii="Arial" w:hAnsi="Arial" w:cs="Arial"/>
          <w:sz w:val="22"/>
          <w:szCs w:val="22"/>
          <w:lang w:val="es-ES_tradnl"/>
        </w:rPr>
        <w:t xml:space="preserve">s recursos </w:t>
      </w:r>
      <w:r w:rsidR="002425B9" w:rsidRPr="00D848CE">
        <w:rPr>
          <w:rFonts w:ascii="Arial" w:hAnsi="Arial" w:cs="Arial"/>
          <w:sz w:val="22"/>
          <w:szCs w:val="22"/>
          <w:lang w:val="es-ES_tradnl"/>
        </w:rPr>
        <w:t xml:space="preserve">correspondientes </w:t>
      </w:r>
      <w:r w:rsidR="00C64C86" w:rsidRPr="00D848CE">
        <w:rPr>
          <w:rFonts w:ascii="Arial" w:hAnsi="Arial" w:cs="Arial"/>
          <w:sz w:val="22"/>
          <w:szCs w:val="22"/>
          <w:lang w:val="es-ES_tradnl"/>
        </w:rPr>
        <w:t>a</w:t>
      </w:r>
      <w:r w:rsidR="002425B9" w:rsidRPr="00D848CE">
        <w:rPr>
          <w:rFonts w:ascii="Arial" w:hAnsi="Arial" w:cs="Arial"/>
          <w:sz w:val="22"/>
          <w:szCs w:val="22"/>
          <w:lang w:val="es-ES_tradnl"/>
        </w:rPr>
        <w:t xml:space="preserve"> las entidades que se van incorporar a la CUT y calcular las ganancias correspondientes a </w:t>
      </w:r>
      <w:r w:rsidR="00F56C89" w:rsidRPr="00D848CE">
        <w:rPr>
          <w:rFonts w:ascii="Arial" w:hAnsi="Arial" w:cs="Arial"/>
          <w:sz w:val="22"/>
          <w:szCs w:val="22"/>
          <w:lang w:val="es-ES_tradnl"/>
        </w:rPr>
        <w:t>aplicaciones en</w:t>
      </w:r>
      <w:r w:rsidR="00DC5F2E" w:rsidRPr="00D848CE">
        <w:rPr>
          <w:rFonts w:ascii="Arial" w:hAnsi="Arial" w:cs="Arial"/>
          <w:sz w:val="22"/>
          <w:szCs w:val="22"/>
          <w:lang w:val="es-ES_tradnl"/>
        </w:rPr>
        <w:t xml:space="preserve"> el overnight con un rendimiento </w:t>
      </w:r>
      <w:r w:rsidR="00C64C86" w:rsidRPr="00D848CE">
        <w:rPr>
          <w:rFonts w:ascii="Arial" w:hAnsi="Arial" w:cs="Arial"/>
          <w:sz w:val="22"/>
          <w:szCs w:val="22"/>
          <w:lang w:val="es-ES_tradnl"/>
        </w:rPr>
        <w:t xml:space="preserve">diario </w:t>
      </w:r>
      <w:r w:rsidR="00DC5F2E" w:rsidRPr="00D848CE">
        <w:rPr>
          <w:rFonts w:ascii="Arial" w:hAnsi="Arial" w:cs="Arial"/>
          <w:sz w:val="22"/>
          <w:szCs w:val="22"/>
          <w:lang w:val="es-ES_tradnl"/>
        </w:rPr>
        <w:t>de aproximadamente 0</w:t>
      </w:r>
      <w:r w:rsidR="001459FD" w:rsidRPr="00D848CE">
        <w:rPr>
          <w:rFonts w:ascii="Arial" w:hAnsi="Arial" w:cs="Arial"/>
          <w:sz w:val="22"/>
          <w:szCs w:val="22"/>
          <w:lang w:val="es-ES_tradnl"/>
        </w:rPr>
        <w:t>,</w:t>
      </w:r>
      <w:r w:rsidR="00DC5F2E" w:rsidRPr="00D848CE">
        <w:rPr>
          <w:rFonts w:ascii="Arial" w:hAnsi="Arial" w:cs="Arial"/>
          <w:sz w:val="22"/>
          <w:szCs w:val="22"/>
          <w:lang w:val="es-ES_tradnl"/>
        </w:rPr>
        <w:t>0164% (</w:t>
      </w:r>
      <w:r w:rsidR="00C64C86" w:rsidRPr="00D848CE">
        <w:rPr>
          <w:rFonts w:ascii="Arial" w:hAnsi="Arial" w:cs="Arial"/>
          <w:sz w:val="22"/>
          <w:szCs w:val="22"/>
          <w:lang w:val="es-ES_tradnl"/>
        </w:rPr>
        <w:t>6% / 365 días</w:t>
      </w:r>
      <w:r w:rsidR="00DC5F2E" w:rsidRPr="00D848CE">
        <w:rPr>
          <w:rFonts w:ascii="Arial" w:hAnsi="Arial" w:cs="Arial"/>
          <w:sz w:val="22"/>
          <w:szCs w:val="22"/>
          <w:lang w:val="es-ES_tradnl"/>
        </w:rPr>
        <w:t xml:space="preserve">).  </w:t>
      </w:r>
    </w:p>
    <w:p w14:paraId="6A45FC5A" w14:textId="77777777" w:rsidR="00DC5F2E" w:rsidRPr="00D848CE" w:rsidRDefault="00DC5F2E" w:rsidP="00DC5F2E">
      <w:pPr>
        <w:pStyle w:val="FootnoteText"/>
        <w:numPr>
          <w:ilvl w:val="2"/>
          <w:numId w:val="2"/>
        </w:numPr>
        <w:tabs>
          <w:tab w:val="num" w:pos="1170"/>
        </w:tabs>
        <w:spacing w:before="120" w:after="120"/>
        <w:ind w:left="1166" w:hanging="446"/>
        <w:jc w:val="both"/>
        <w:rPr>
          <w:rFonts w:ascii="Arial" w:hAnsi="Arial" w:cs="Arial"/>
          <w:sz w:val="22"/>
          <w:szCs w:val="22"/>
          <w:lang w:val="es-ES_tradnl"/>
        </w:rPr>
      </w:pPr>
      <w:r w:rsidRPr="00D848CE">
        <w:rPr>
          <w:rFonts w:ascii="Arial" w:hAnsi="Arial" w:cs="Arial"/>
          <w:sz w:val="22"/>
          <w:szCs w:val="22"/>
          <w:lang w:val="es-ES_tradnl"/>
        </w:rPr>
        <w:t xml:space="preserve">Los recursos obtenidos de las ganancias, podrían </w:t>
      </w:r>
      <w:r w:rsidR="002425B9" w:rsidRPr="00D848CE">
        <w:rPr>
          <w:rFonts w:ascii="Arial" w:hAnsi="Arial" w:cs="Arial"/>
          <w:sz w:val="22"/>
          <w:szCs w:val="22"/>
          <w:lang w:val="es-ES_tradnl"/>
        </w:rPr>
        <w:t xml:space="preserve">también </w:t>
      </w:r>
      <w:r w:rsidRPr="00D848CE">
        <w:rPr>
          <w:rFonts w:ascii="Arial" w:hAnsi="Arial" w:cs="Arial"/>
          <w:sz w:val="22"/>
          <w:szCs w:val="22"/>
          <w:lang w:val="es-ES_tradnl"/>
        </w:rPr>
        <w:t xml:space="preserve">ser utilizados para pagar deuda, lo que al final de año tendría </w:t>
      </w:r>
      <w:r w:rsidR="00F6771F" w:rsidRPr="00D848CE">
        <w:rPr>
          <w:rFonts w:ascii="Arial" w:hAnsi="Arial" w:cs="Arial"/>
          <w:sz w:val="22"/>
          <w:szCs w:val="22"/>
          <w:lang w:val="es-ES_tradnl"/>
        </w:rPr>
        <w:t>u</w:t>
      </w:r>
      <w:r w:rsidRPr="00D848CE">
        <w:rPr>
          <w:rFonts w:ascii="Arial" w:hAnsi="Arial" w:cs="Arial"/>
          <w:sz w:val="22"/>
          <w:szCs w:val="22"/>
          <w:lang w:val="es-ES_tradnl"/>
        </w:rPr>
        <w:t xml:space="preserve">n impacto sobre el pago de los </w:t>
      </w:r>
      <w:r w:rsidRPr="00D848CE">
        <w:rPr>
          <w:rFonts w:ascii="Arial" w:hAnsi="Arial" w:cs="Arial"/>
          <w:sz w:val="22"/>
          <w:szCs w:val="22"/>
          <w:lang w:val="es-ES_tradnl"/>
        </w:rPr>
        <w:lastRenderedPageBreak/>
        <w:t>respectivos intereses</w:t>
      </w:r>
      <w:r w:rsidR="00C64C86" w:rsidRPr="00D848CE">
        <w:rPr>
          <w:rFonts w:ascii="Arial" w:hAnsi="Arial" w:cs="Arial"/>
          <w:sz w:val="22"/>
          <w:szCs w:val="22"/>
          <w:lang w:val="es-ES_tradnl"/>
        </w:rPr>
        <w:t xml:space="preserve">, considerando que el pago medio de los intereses sobre la deuda es de </w:t>
      </w:r>
      <w:r w:rsidR="00F56C89" w:rsidRPr="00D848CE">
        <w:rPr>
          <w:rFonts w:ascii="Arial" w:hAnsi="Arial" w:cs="Arial"/>
          <w:sz w:val="22"/>
          <w:szCs w:val="22"/>
          <w:lang w:val="es-ES_tradnl"/>
        </w:rPr>
        <w:t>7</w:t>
      </w:r>
      <w:r w:rsidR="00BC640D" w:rsidRPr="00D848CE">
        <w:rPr>
          <w:rFonts w:ascii="Arial" w:hAnsi="Arial" w:cs="Arial"/>
          <w:sz w:val="22"/>
          <w:szCs w:val="22"/>
          <w:lang w:val="es-ES_tradnl"/>
        </w:rPr>
        <w:t>,</w:t>
      </w:r>
      <w:r w:rsidR="00F56C89" w:rsidRPr="00D848CE">
        <w:rPr>
          <w:rFonts w:ascii="Arial" w:hAnsi="Arial" w:cs="Arial"/>
          <w:sz w:val="22"/>
          <w:szCs w:val="22"/>
          <w:lang w:val="es-ES_tradnl"/>
        </w:rPr>
        <w:t>6%</w:t>
      </w:r>
      <w:r w:rsidR="00F56C89" w:rsidRPr="00D848CE">
        <w:rPr>
          <w:rStyle w:val="FootnoteReference"/>
          <w:rFonts w:ascii="Arial" w:hAnsi="Arial" w:cs="Arial"/>
          <w:sz w:val="22"/>
          <w:szCs w:val="22"/>
          <w:lang w:val="es-ES_tradnl"/>
        </w:rPr>
        <w:footnoteReference w:id="56"/>
      </w:r>
      <w:r w:rsidR="00C64C86" w:rsidRPr="00D848CE">
        <w:rPr>
          <w:rFonts w:ascii="Arial" w:hAnsi="Arial" w:cs="Arial"/>
          <w:sz w:val="22"/>
          <w:szCs w:val="22"/>
          <w:lang w:val="es-ES_tradnl"/>
        </w:rPr>
        <w:t xml:space="preserve"> al año.</w:t>
      </w:r>
    </w:p>
    <w:p w14:paraId="19EEEA7B" w14:textId="77777777" w:rsidR="002425B9" w:rsidRPr="00D848CE" w:rsidRDefault="002425B9" w:rsidP="00DC5F2E">
      <w:pPr>
        <w:pStyle w:val="FootnoteText"/>
        <w:numPr>
          <w:ilvl w:val="1"/>
          <w:numId w:val="2"/>
        </w:numPr>
        <w:tabs>
          <w:tab w:val="num" w:pos="720"/>
        </w:tabs>
        <w:spacing w:before="120" w:after="120"/>
        <w:ind w:left="720" w:hanging="720"/>
        <w:jc w:val="both"/>
        <w:rPr>
          <w:rFonts w:ascii="Arial" w:eastAsia="Times New Roman" w:hAnsi="Arial" w:cs="Arial"/>
          <w:sz w:val="22"/>
          <w:szCs w:val="22"/>
          <w:lang w:val="es-ES_tradnl" w:eastAsia="es-ES_tradnl"/>
        </w:rPr>
      </w:pPr>
      <w:r w:rsidRPr="00D848CE">
        <w:rPr>
          <w:rFonts w:ascii="Arial" w:eastAsia="Times New Roman" w:hAnsi="Arial" w:cs="Arial"/>
          <w:b/>
          <w:sz w:val="22"/>
          <w:szCs w:val="22"/>
          <w:lang w:val="es-ES_tradnl" w:eastAsia="es-ES_tradnl"/>
        </w:rPr>
        <w:t xml:space="preserve">Cálculo de los flujos diarios </w:t>
      </w:r>
      <w:r w:rsidR="008B5547" w:rsidRPr="00D848CE">
        <w:rPr>
          <w:rFonts w:ascii="Arial" w:eastAsia="Times New Roman" w:hAnsi="Arial" w:cs="Arial"/>
          <w:b/>
          <w:sz w:val="22"/>
          <w:szCs w:val="22"/>
          <w:lang w:val="es-ES_tradnl" w:eastAsia="es-ES_tradnl"/>
        </w:rPr>
        <w:t xml:space="preserve">de </w:t>
      </w:r>
      <w:r w:rsidRPr="00D848CE">
        <w:rPr>
          <w:rFonts w:ascii="Arial" w:eastAsia="Times New Roman" w:hAnsi="Arial" w:cs="Arial"/>
          <w:b/>
          <w:sz w:val="22"/>
          <w:szCs w:val="22"/>
          <w:lang w:val="es-ES_tradnl" w:eastAsia="es-ES_tradnl"/>
        </w:rPr>
        <w:t xml:space="preserve">1 mes. </w:t>
      </w:r>
      <w:r w:rsidRPr="00D848CE">
        <w:rPr>
          <w:rFonts w:ascii="Arial" w:eastAsia="Times New Roman" w:hAnsi="Arial" w:cs="Arial"/>
          <w:sz w:val="22"/>
          <w:szCs w:val="22"/>
          <w:lang w:val="es-ES_tradnl" w:eastAsia="es-ES_tradnl"/>
        </w:rPr>
        <w:t xml:space="preserve">La tabla a seguir provee los </w:t>
      </w:r>
      <w:r w:rsidR="00C64C86" w:rsidRPr="00D848CE">
        <w:rPr>
          <w:rFonts w:ascii="Arial" w:eastAsia="Times New Roman" w:hAnsi="Arial" w:cs="Arial"/>
          <w:sz w:val="22"/>
          <w:szCs w:val="22"/>
          <w:lang w:val="es-ES_tradnl" w:eastAsia="es-ES_tradnl"/>
        </w:rPr>
        <w:t>montos aproximados</w:t>
      </w:r>
      <w:r w:rsidRPr="00D848CE">
        <w:rPr>
          <w:rFonts w:ascii="Arial" w:eastAsia="Times New Roman" w:hAnsi="Arial" w:cs="Arial"/>
          <w:sz w:val="22"/>
          <w:szCs w:val="22"/>
          <w:lang w:val="es-ES_tradnl" w:eastAsia="es-ES_tradnl"/>
        </w:rPr>
        <w:t xml:space="preserve"> de los flujos diarios</w:t>
      </w:r>
      <w:r w:rsidR="009A2227"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 xml:space="preserve"> </w:t>
      </w:r>
    </w:p>
    <w:p w14:paraId="7DA625BB" w14:textId="77777777" w:rsidR="002425B9" w:rsidRPr="00D848CE" w:rsidRDefault="002425B9" w:rsidP="008B5547">
      <w:pPr>
        <w:pStyle w:val="FootnoteText"/>
        <w:tabs>
          <w:tab w:val="num" w:pos="1800"/>
        </w:tabs>
        <w:spacing w:before="120" w:after="120"/>
        <w:ind w:left="720"/>
        <w:jc w:val="center"/>
        <w:rPr>
          <w:rFonts w:ascii="Arial" w:eastAsia="Times New Roman" w:hAnsi="Arial" w:cs="Arial"/>
          <w:b/>
          <w:sz w:val="22"/>
          <w:szCs w:val="22"/>
          <w:lang w:val="es-ES_tradnl" w:eastAsia="es-ES_tradnl"/>
        </w:rPr>
      </w:pPr>
    </w:p>
    <w:tbl>
      <w:tblPr>
        <w:tblStyle w:val="TableGrid"/>
        <w:tblW w:w="5000" w:type="pct"/>
        <w:tblLayout w:type="fixed"/>
        <w:tblLook w:val="04A0" w:firstRow="1" w:lastRow="0" w:firstColumn="1" w:lastColumn="0" w:noHBand="0" w:noVBand="1"/>
      </w:tblPr>
      <w:tblGrid>
        <w:gridCol w:w="988"/>
        <w:gridCol w:w="849"/>
        <w:gridCol w:w="849"/>
        <w:gridCol w:w="849"/>
        <w:gridCol w:w="849"/>
        <w:gridCol w:w="849"/>
        <w:gridCol w:w="849"/>
        <w:gridCol w:w="849"/>
        <w:gridCol w:w="803"/>
        <w:gridCol w:w="896"/>
      </w:tblGrid>
      <w:tr w:rsidR="005037B7" w:rsidRPr="00D848CE" w14:paraId="7956E5D7" w14:textId="77777777" w:rsidTr="00BC640D">
        <w:tc>
          <w:tcPr>
            <w:tcW w:w="5000" w:type="pct"/>
            <w:gridSpan w:val="10"/>
            <w:shd w:val="clear" w:color="auto" w:fill="C6D9F1" w:themeFill="text2" w:themeFillTint="33"/>
          </w:tcPr>
          <w:p w14:paraId="6A0267D9" w14:textId="77777777" w:rsidR="005037B7" w:rsidRPr="00D848CE" w:rsidRDefault="008B5547" w:rsidP="008B5547">
            <w:pPr>
              <w:pStyle w:val="FootnoteText"/>
              <w:tabs>
                <w:tab w:val="num" w:pos="1800"/>
              </w:tabs>
              <w:spacing w:before="120" w:after="120"/>
              <w:ind w:left="720"/>
              <w:jc w:val="center"/>
              <w:rPr>
                <w:rFonts w:ascii="Arial" w:eastAsia="Times New Roman" w:hAnsi="Arial" w:cs="Arial"/>
                <w:b/>
                <w:sz w:val="22"/>
                <w:szCs w:val="22"/>
                <w:lang w:val="es-ES_tradnl" w:eastAsia="es-ES_tradnl"/>
              </w:rPr>
            </w:pPr>
            <w:r w:rsidRPr="00D848CE">
              <w:rPr>
                <w:rFonts w:ascii="Arial" w:eastAsia="Times New Roman" w:hAnsi="Arial" w:cs="Arial"/>
                <w:b/>
                <w:sz w:val="22"/>
                <w:szCs w:val="22"/>
                <w:lang w:val="es-ES_tradnl" w:eastAsia="es-ES_tradnl"/>
              </w:rPr>
              <w:t>FLUJO DIARIO (US$)</w:t>
            </w:r>
          </w:p>
        </w:tc>
      </w:tr>
      <w:tr w:rsidR="00080E81" w:rsidRPr="00D848CE" w14:paraId="123F5F61" w14:textId="77777777" w:rsidTr="00BC640D">
        <w:tc>
          <w:tcPr>
            <w:tcW w:w="572" w:type="pct"/>
          </w:tcPr>
          <w:p w14:paraId="15BC6C88"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Día</w:t>
            </w:r>
          </w:p>
        </w:tc>
        <w:tc>
          <w:tcPr>
            <w:tcW w:w="492" w:type="pct"/>
          </w:tcPr>
          <w:p w14:paraId="789C67F5"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0</w:t>
            </w:r>
          </w:p>
        </w:tc>
        <w:tc>
          <w:tcPr>
            <w:tcW w:w="492" w:type="pct"/>
          </w:tcPr>
          <w:p w14:paraId="234D17F1"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w:t>
            </w:r>
          </w:p>
        </w:tc>
        <w:tc>
          <w:tcPr>
            <w:tcW w:w="492" w:type="pct"/>
          </w:tcPr>
          <w:p w14:paraId="5F9C4ECB"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5</w:t>
            </w:r>
          </w:p>
        </w:tc>
        <w:tc>
          <w:tcPr>
            <w:tcW w:w="492" w:type="pct"/>
          </w:tcPr>
          <w:p w14:paraId="0A879E36"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10</w:t>
            </w:r>
          </w:p>
        </w:tc>
        <w:tc>
          <w:tcPr>
            <w:tcW w:w="492" w:type="pct"/>
          </w:tcPr>
          <w:p w14:paraId="0FCD36A4"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15</w:t>
            </w:r>
          </w:p>
        </w:tc>
        <w:tc>
          <w:tcPr>
            <w:tcW w:w="492" w:type="pct"/>
          </w:tcPr>
          <w:p w14:paraId="4EB5EDD2"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20</w:t>
            </w:r>
          </w:p>
        </w:tc>
        <w:tc>
          <w:tcPr>
            <w:tcW w:w="492" w:type="pct"/>
          </w:tcPr>
          <w:p w14:paraId="34716CA1"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25</w:t>
            </w:r>
          </w:p>
        </w:tc>
        <w:tc>
          <w:tcPr>
            <w:tcW w:w="465" w:type="pct"/>
          </w:tcPr>
          <w:p w14:paraId="7E612012"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30</w:t>
            </w:r>
          </w:p>
        </w:tc>
        <w:tc>
          <w:tcPr>
            <w:tcW w:w="519" w:type="pct"/>
          </w:tcPr>
          <w:p w14:paraId="6F184C98"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Total</w:t>
            </w:r>
          </w:p>
        </w:tc>
      </w:tr>
      <w:tr w:rsidR="00080E81" w:rsidRPr="00D848CE" w14:paraId="67405D8F" w14:textId="77777777" w:rsidTr="00BC640D">
        <w:trPr>
          <w:trHeight w:val="377"/>
        </w:trPr>
        <w:tc>
          <w:tcPr>
            <w:tcW w:w="572" w:type="pct"/>
          </w:tcPr>
          <w:p w14:paraId="243ABEF7"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Gasto Diario acumulados</w:t>
            </w:r>
            <w:r w:rsidR="005037B7" w:rsidRPr="00D848CE">
              <w:rPr>
                <w:rFonts w:ascii="Arial" w:eastAsia="Times New Roman" w:hAnsi="Arial" w:cs="Arial"/>
                <w:sz w:val="22"/>
                <w:szCs w:val="22"/>
                <w:lang w:val="es-ES_tradnl" w:eastAsia="es-ES_tradnl"/>
              </w:rPr>
              <w:t xml:space="preserve"> (1)</w:t>
            </w:r>
          </w:p>
        </w:tc>
        <w:tc>
          <w:tcPr>
            <w:tcW w:w="492" w:type="pct"/>
          </w:tcPr>
          <w:p w14:paraId="7CBCE271"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75480BA6"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15</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500</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000</w:t>
            </w:r>
          </w:p>
        </w:tc>
        <w:tc>
          <w:tcPr>
            <w:tcW w:w="492" w:type="pct"/>
          </w:tcPr>
          <w:p w14:paraId="67F3D038"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3</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206</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897</w:t>
            </w:r>
          </w:p>
        </w:tc>
        <w:tc>
          <w:tcPr>
            <w:tcW w:w="492" w:type="pct"/>
          </w:tcPr>
          <w:p w14:paraId="0F87EA5C"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4</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008</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621</w:t>
            </w:r>
          </w:p>
        </w:tc>
        <w:tc>
          <w:tcPr>
            <w:tcW w:w="492" w:type="pct"/>
          </w:tcPr>
          <w:p w14:paraId="6C36821E"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4</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008</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621</w:t>
            </w:r>
          </w:p>
        </w:tc>
        <w:tc>
          <w:tcPr>
            <w:tcW w:w="492" w:type="pct"/>
          </w:tcPr>
          <w:p w14:paraId="022AA9AB"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4</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008</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621</w:t>
            </w:r>
          </w:p>
        </w:tc>
        <w:tc>
          <w:tcPr>
            <w:tcW w:w="492" w:type="pct"/>
          </w:tcPr>
          <w:p w14:paraId="39BBC6D5"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4</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008</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621</w:t>
            </w:r>
          </w:p>
        </w:tc>
        <w:tc>
          <w:tcPr>
            <w:tcW w:w="465" w:type="pct"/>
          </w:tcPr>
          <w:p w14:paraId="73C7BEAE"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4</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008</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621</w:t>
            </w:r>
          </w:p>
        </w:tc>
        <w:tc>
          <w:tcPr>
            <w:tcW w:w="519" w:type="pct"/>
          </w:tcPr>
          <w:p w14:paraId="50EB203B"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38</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750</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000</w:t>
            </w:r>
          </w:p>
        </w:tc>
      </w:tr>
      <w:tr w:rsidR="00080E81" w:rsidRPr="00D848CE" w14:paraId="0C6F1C87" w14:textId="77777777" w:rsidTr="00BC640D">
        <w:tc>
          <w:tcPr>
            <w:tcW w:w="572" w:type="pct"/>
          </w:tcPr>
          <w:p w14:paraId="2B5226E5"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Saldos Diarios</w:t>
            </w:r>
            <w:r w:rsidR="005037B7" w:rsidRPr="00D848CE">
              <w:rPr>
                <w:rFonts w:ascii="Arial" w:eastAsia="Times New Roman" w:hAnsi="Arial" w:cs="Arial"/>
                <w:sz w:val="22"/>
                <w:szCs w:val="22"/>
                <w:lang w:val="es-ES_tradnl" w:eastAsia="es-ES_tradnl"/>
              </w:rPr>
              <w:t xml:space="preserve"> (2)</w:t>
            </w:r>
          </w:p>
        </w:tc>
        <w:tc>
          <w:tcPr>
            <w:tcW w:w="492" w:type="pct"/>
          </w:tcPr>
          <w:p w14:paraId="09AAE0E8"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38</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750</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000</w:t>
            </w:r>
          </w:p>
        </w:tc>
        <w:tc>
          <w:tcPr>
            <w:tcW w:w="492" w:type="pct"/>
          </w:tcPr>
          <w:p w14:paraId="7B82E338"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23</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250</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000</w:t>
            </w:r>
          </w:p>
        </w:tc>
        <w:tc>
          <w:tcPr>
            <w:tcW w:w="492" w:type="pct"/>
          </w:tcPr>
          <w:p w14:paraId="6753CB5C"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20</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043</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103</w:t>
            </w:r>
          </w:p>
        </w:tc>
        <w:tc>
          <w:tcPr>
            <w:tcW w:w="492" w:type="pct"/>
          </w:tcPr>
          <w:p w14:paraId="14AD778B"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16</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034</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483</w:t>
            </w:r>
          </w:p>
        </w:tc>
        <w:tc>
          <w:tcPr>
            <w:tcW w:w="492" w:type="pct"/>
          </w:tcPr>
          <w:p w14:paraId="5DCFD148"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12</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025</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862</w:t>
            </w:r>
          </w:p>
        </w:tc>
        <w:tc>
          <w:tcPr>
            <w:tcW w:w="492" w:type="pct"/>
          </w:tcPr>
          <w:p w14:paraId="089CA36E"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8</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017</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241</w:t>
            </w:r>
          </w:p>
        </w:tc>
        <w:tc>
          <w:tcPr>
            <w:tcW w:w="492" w:type="pct"/>
          </w:tcPr>
          <w:p w14:paraId="7C36787E"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4</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008</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621</w:t>
            </w:r>
          </w:p>
        </w:tc>
        <w:tc>
          <w:tcPr>
            <w:tcW w:w="465" w:type="pct"/>
          </w:tcPr>
          <w:p w14:paraId="50B96931" w14:textId="77777777" w:rsidR="00013B2D" w:rsidRPr="00D848CE" w:rsidRDefault="00080E81"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0</w:t>
            </w:r>
          </w:p>
        </w:tc>
        <w:tc>
          <w:tcPr>
            <w:tcW w:w="519" w:type="pct"/>
          </w:tcPr>
          <w:p w14:paraId="74055A89"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348</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750</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000</w:t>
            </w:r>
          </w:p>
        </w:tc>
      </w:tr>
      <w:tr w:rsidR="00080E81" w:rsidRPr="00D848CE" w14:paraId="2506FE93" w14:textId="77777777" w:rsidTr="00BC640D">
        <w:tc>
          <w:tcPr>
            <w:tcW w:w="572" w:type="pct"/>
          </w:tcPr>
          <w:p w14:paraId="1DA62A1B" w14:textId="77777777" w:rsidR="00013B2D" w:rsidRPr="00D848CE" w:rsidRDefault="00013B2D"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Costo de oportunidad</w:t>
            </w:r>
            <w:r w:rsidR="005037B7" w:rsidRPr="00D848CE">
              <w:rPr>
                <w:rFonts w:ascii="Arial" w:eastAsia="Times New Roman" w:hAnsi="Arial" w:cs="Arial"/>
                <w:sz w:val="22"/>
                <w:szCs w:val="22"/>
                <w:lang w:val="es-ES_tradnl" w:eastAsia="es-ES_tradnl"/>
              </w:rPr>
              <w:t xml:space="preserve"> (3)</w:t>
            </w:r>
          </w:p>
        </w:tc>
        <w:tc>
          <w:tcPr>
            <w:tcW w:w="492" w:type="pct"/>
          </w:tcPr>
          <w:p w14:paraId="0AAA1718"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3A44998F" w14:textId="77777777" w:rsidR="00013B2D" w:rsidRPr="00D848CE" w:rsidRDefault="00013B2D"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3</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8</w:t>
            </w:r>
            <w:r w:rsidR="00080E81" w:rsidRPr="00D848CE">
              <w:rPr>
                <w:rFonts w:ascii="Arial" w:eastAsia="Times New Roman" w:hAnsi="Arial" w:cs="Arial"/>
                <w:sz w:val="22"/>
                <w:szCs w:val="22"/>
                <w:lang w:val="es-ES_tradnl" w:eastAsia="es-ES_tradnl"/>
              </w:rPr>
              <w:t>22</w:t>
            </w:r>
          </w:p>
        </w:tc>
        <w:tc>
          <w:tcPr>
            <w:tcW w:w="492" w:type="pct"/>
          </w:tcPr>
          <w:p w14:paraId="74C3D25F" w14:textId="77777777" w:rsidR="00013B2D"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17</w:t>
            </w:r>
            <w:r w:rsidR="00BC640D" w:rsidRPr="00D848CE">
              <w:rPr>
                <w:rFonts w:ascii="Arial" w:eastAsia="Times New Roman" w:hAnsi="Arial" w:cs="Arial"/>
                <w:sz w:val="22"/>
                <w:szCs w:val="22"/>
                <w:lang w:val="es-ES_tradnl" w:eastAsia="es-ES_tradnl"/>
              </w:rPr>
              <w:t>.</w:t>
            </w:r>
            <w:r w:rsidR="00080E81" w:rsidRPr="00D848CE">
              <w:rPr>
                <w:rFonts w:ascii="Arial" w:eastAsia="Times New Roman" w:hAnsi="Arial" w:cs="Arial"/>
                <w:sz w:val="22"/>
                <w:szCs w:val="22"/>
                <w:lang w:val="es-ES_tradnl" w:eastAsia="es-ES_tradnl"/>
              </w:rPr>
              <w:t>792</w:t>
            </w:r>
          </w:p>
        </w:tc>
        <w:tc>
          <w:tcPr>
            <w:tcW w:w="492" w:type="pct"/>
          </w:tcPr>
          <w:p w14:paraId="176A7509" w14:textId="77777777" w:rsidR="00013B2D"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14</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4</w:t>
            </w:r>
            <w:r w:rsidR="00080E81" w:rsidRPr="00D848CE">
              <w:rPr>
                <w:rFonts w:ascii="Arial" w:eastAsia="Times New Roman" w:hAnsi="Arial" w:cs="Arial"/>
                <w:sz w:val="22"/>
                <w:szCs w:val="22"/>
                <w:lang w:val="es-ES_tradnl" w:eastAsia="es-ES_tradnl"/>
              </w:rPr>
              <w:t>97</w:t>
            </w:r>
          </w:p>
        </w:tc>
        <w:tc>
          <w:tcPr>
            <w:tcW w:w="492" w:type="pct"/>
          </w:tcPr>
          <w:p w14:paraId="6A188ABF" w14:textId="77777777" w:rsidR="00013B2D"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11</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2</w:t>
            </w:r>
            <w:r w:rsidR="00080E81" w:rsidRPr="00D848CE">
              <w:rPr>
                <w:rFonts w:ascii="Arial" w:eastAsia="Times New Roman" w:hAnsi="Arial" w:cs="Arial"/>
                <w:sz w:val="22"/>
                <w:szCs w:val="22"/>
                <w:lang w:val="es-ES_tradnl" w:eastAsia="es-ES_tradnl"/>
              </w:rPr>
              <w:t>02</w:t>
            </w:r>
          </w:p>
        </w:tc>
        <w:tc>
          <w:tcPr>
            <w:tcW w:w="492" w:type="pct"/>
          </w:tcPr>
          <w:p w14:paraId="4A8FAF3B" w14:textId="77777777" w:rsidR="00013B2D"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7</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9</w:t>
            </w:r>
            <w:r w:rsidR="00080E81" w:rsidRPr="00D848CE">
              <w:rPr>
                <w:rFonts w:ascii="Arial" w:eastAsia="Times New Roman" w:hAnsi="Arial" w:cs="Arial"/>
                <w:sz w:val="22"/>
                <w:szCs w:val="22"/>
                <w:lang w:val="es-ES_tradnl" w:eastAsia="es-ES_tradnl"/>
              </w:rPr>
              <w:t>07</w:t>
            </w:r>
          </w:p>
        </w:tc>
        <w:tc>
          <w:tcPr>
            <w:tcW w:w="492" w:type="pct"/>
          </w:tcPr>
          <w:p w14:paraId="05424F37" w14:textId="77777777" w:rsidR="00013B2D"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4</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6</w:t>
            </w:r>
            <w:r w:rsidR="00080E81" w:rsidRPr="00D848CE">
              <w:rPr>
                <w:rFonts w:ascii="Arial" w:eastAsia="Times New Roman" w:hAnsi="Arial" w:cs="Arial"/>
                <w:sz w:val="22"/>
                <w:szCs w:val="22"/>
                <w:lang w:val="es-ES_tradnl" w:eastAsia="es-ES_tradnl"/>
              </w:rPr>
              <w:t>13</w:t>
            </w:r>
          </w:p>
        </w:tc>
        <w:tc>
          <w:tcPr>
            <w:tcW w:w="465" w:type="pct"/>
          </w:tcPr>
          <w:p w14:paraId="5BE5B038" w14:textId="77777777" w:rsidR="00013B2D"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1</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3</w:t>
            </w:r>
            <w:r w:rsidR="00080E81" w:rsidRPr="00D848CE">
              <w:rPr>
                <w:rFonts w:ascii="Arial" w:eastAsia="Times New Roman" w:hAnsi="Arial" w:cs="Arial"/>
                <w:sz w:val="22"/>
                <w:szCs w:val="22"/>
                <w:lang w:val="es-ES_tradnl" w:eastAsia="es-ES_tradnl"/>
              </w:rPr>
              <w:t>18</w:t>
            </w:r>
          </w:p>
        </w:tc>
        <w:tc>
          <w:tcPr>
            <w:tcW w:w="519" w:type="pct"/>
          </w:tcPr>
          <w:p w14:paraId="15A639E0" w14:textId="77777777" w:rsidR="00013B2D" w:rsidRPr="00D848CE" w:rsidRDefault="00941272"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57</w:t>
            </w:r>
            <w:r w:rsidR="00BC640D" w:rsidRPr="00D848CE">
              <w:rPr>
                <w:rFonts w:ascii="Arial" w:eastAsia="Times New Roman" w:hAnsi="Arial" w:cs="Arial"/>
                <w:sz w:val="22"/>
                <w:szCs w:val="22"/>
                <w:lang w:val="es-ES_tradnl" w:eastAsia="es-ES_tradnl"/>
              </w:rPr>
              <w:t>.</w:t>
            </w:r>
            <w:r w:rsidRPr="00D848CE">
              <w:rPr>
                <w:rFonts w:ascii="Arial" w:eastAsia="Times New Roman" w:hAnsi="Arial" w:cs="Arial"/>
                <w:sz w:val="22"/>
                <w:szCs w:val="22"/>
                <w:lang w:val="es-ES_tradnl" w:eastAsia="es-ES_tradnl"/>
              </w:rPr>
              <w:t>3</w:t>
            </w:r>
            <w:r w:rsidR="00080E81" w:rsidRPr="00D848CE">
              <w:rPr>
                <w:rFonts w:ascii="Arial" w:eastAsia="Times New Roman" w:hAnsi="Arial" w:cs="Arial"/>
                <w:sz w:val="22"/>
                <w:szCs w:val="22"/>
                <w:lang w:val="es-ES_tradnl" w:eastAsia="es-ES_tradnl"/>
              </w:rPr>
              <w:t>29</w:t>
            </w:r>
          </w:p>
        </w:tc>
      </w:tr>
      <w:tr w:rsidR="00080E81" w:rsidRPr="00D848CE" w14:paraId="54AEC14E" w14:textId="77777777" w:rsidTr="00BC640D">
        <w:trPr>
          <w:trHeight w:val="323"/>
        </w:trPr>
        <w:tc>
          <w:tcPr>
            <w:tcW w:w="572" w:type="pct"/>
          </w:tcPr>
          <w:p w14:paraId="186109B9" w14:textId="77777777" w:rsidR="005037B7" w:rsidRPr="00D848CE" w:rsidRDefault="005037B7"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Costo de oportunidad mensual (4)</w:t>
            </w:r>
          </w:p>
        </w:tc>
        <w:tc>
          <w:tcPr>
            <w:tcW w:w="492" w:type="pct"/>
          </w:tcPr>
          <w:p w14:paraId="5DBEBA26"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57,3</w:t>
            </w:r>
          </w:p>
        </w:tc>
        <w:tc>
          <w:tcPr>
            <w:tcW w:w="492" w:type="pct"/>
          </w:tcPr>
          <w:p w14:paraId="78F829A1"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6361FFEB"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41A3D315"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44E59802"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3705543A"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627D0431"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65" w:type="pct"/>
          </w:tcPr>
          <w:p w14:paraId="7116C4CF"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519" w:type="pct"/>
          </w:tcPr>
          <w:p w14:paraId="11892074"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r>
      <w:tr w:rsidR="00080E81" w:rsidRPr="00D848CE" w14:paraId="2C89007F" w14:textId="77777777" w:rsidTr="00BC640D">
        <w:trPr>
          <w:trHeight w:val="152"/>
        </w:trPr>
        <w:tc>
          <w:tcPr>
            <w:tcW w:w="572" w:type="pct"/>
          </w:tcPr>
          <w:p w14:paraId="4F3AABE5" w14:textId="77777777" w:rsidR="005037B7" w:rsidRPr="00D848CE" w:rsidRDefault="005037B7" w:rsidP="00BC640D">
            <w:pPr>
              <w:pStyle w:val="FootnoteText"/>
              <w:tabs>
                <w:tab w:val="num" w:pos="1800"/>
              </w:tabs>
              <w:spacing w:before="120" w:after="120"/>
              <w:ind w:left="-120" w:right="-15"/>
              <w:jc w:val="center"/>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Costo de oportunidad anual (5)</w:t>
            </w:r>
          </w:p>
        </w:tc>
        <w:tc>
          <w:tcPr>
            <w:tcW w:w="492" w:type="pct"/>
          </w:tcPr>
          <w:p w14:paraId="18E152E0"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r w:rsidRPr="00D848CE">
              <w:rPr>
                <w:rFonts w:ascii="Arial" w:eastAsia="Times New Roman" w:hAnsi="Arial" w:cs="Arial"/>
                <w:sz w:val="22"/>
                <w:szCs w:val="22"/>
                <w:lang w:val="es-ES_tradnl" w:eastAsia="es-ES_tradnl"/>
              </w:rPr>
              <w:t>687,9</w:t>
            </w:r>
          </w:p>
        </w:tc>
        <w:tc>
          <w:tcPr>
            <w:tcW w:w="492" w:type="pct"/>
          </w:tcPr>
          <w:p w14:paraId="17351752"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6ACC6440"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3E2EE5AF"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282E3CEC"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10E3F51E"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92" w:type="pct"/>
          </w:tcPr>
          <w:p w14:paraId="143F2909"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465" w:type="pct"/>
          </w:tcPr>
          <w:p w14:paraId="56160D65"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c>
          <w:tcPr>
            <w:tcW w:w="519" w:type="pct"/>
          </w:tcPr>
          <w:p w14:paraId="270CAE57" w14:textId="77777777" w:rsidR="005037B7" w:rsidRPr="00D848CE" w:rsidRDefault="005037B7" w:rsidP="00BC640D">
            <w:pPr>
              <w:pStyle w:val="FootnoteText"/>
              <w:tabs>
                <w:tab w:val="num" w:pos="1800"/>
              </w:tabs>
              <w:spacing w:before="120" w:after="120"/>
              <w:ind w:left="-120" w:right="-15"/>
              <w:jc w:val="right"/>
              <w:rPr>
                <w:rFonts w:ascii="Arial" w:eastAsia="Times New Roman" w:hAnsi="Arial" w:cs="Arial"/>
                <w:sz w:val="22"/>
                <w:szCs w:val="22"/>
                <w:lang w:val="es-ES_tradnl" w:eastAsia="es-ES_tradnl"/>
              </w:rPr>
            </w:pPr>
          </w:p>
        </w:tc>
      </w:tr>
    </w:tbl>
    <w:p w14:paraId="1EE4C727" w14:textId="77777777" w:rsidR="002425B9" w:rsidRPr="00D848CE" w:rsidRDefault="002425B9" w:rsidP="008B5547">
      <w:pPr>
        <w:pStyle w:val="FootnoteText"/>
        <w:tabs>
          <w:tab w:val="num" w:pos="1800"/>
        </w:tabs>
        <w:spacing w:before="120" w:after="120"/>
        <w:ind w:left="720"/>
        <w:jc w:val="both"/>
        <w:rPr>
          <w:rFonts w:ascii="Arial" w:eastAsia="Times New Roman" w:hAnsi="Arial" w:cs="Arial"/>
          <w:sz w:val="22"/>
          <w:szCs w:val="22"/>
          <w:lang w:val="es-ES_tradnl" w:eastAsia="es-ES_tradnl"/>
        </w:rPr>
      </w:pPr>
      <w:r w:rsidRPr="00D848CE">
        <w:rPr>
          <w:rFonts w:ascii="Arial" w:eastAsia="Times New Roman" w:hAnsi="Arial" w:cs="Arial"/>
          <w:b/>
          <w:sz w:val="22"/>
          <w:szCs w:val="22"/>
          <w:lang w:val="es-ES_tradnl" w:eastAsia="es-ES_tradnl"/>
        </w:rPr>
        <w:t xml:space="preserve"> </w:t>
      </w:r>
    </w:p>
    <w:p w14:paraId="49B8F3CA" w14:textId="77777777" w:rsidR="00DC5F2E" w:rsidRPr="00D848CE" w:rsidRDefault="00DC5F2E" w:rsidP="00DC5F2E">
      <w:pPr>
        <w:pStyle w:val="FootnoteText"/>
        <w:numPr>
          <w:ilvl w:val="1"/>
          <w:numId w:val="2"/>
        </w:numPr>
        <w:tabs>
          <w:tab w:val="num" w:pos="720"/>
        </w:tabs>
        <w:spacing w:before="120" w:after="120"/>
        <w:ind w:left="720" w:hanging="720"/>
        <w:jc w:val="both"/>
        <w:rPr>
          <w:rFonts w:ascii="Arial" w:eastAsia="Times New Roman" w:hAnsi="Arial" w:cs="Arial"/>
          <w:sz w:val="22"/>
          <w:szCs w:val="22"/>
          <w:lang w:val="es-ES_tradnl" w:eastAsia="es-ES_tradnl"/>
        </w:rPr>
      </w:pPr>
      <w:r w:rsidRPr="00D848CE">
        <w:rPr>
          <w:rFonts w:ascii="Arial" w:hAnsi="Arial" w:cs="Arial"/>
          <w:b/>
          <w:sz w:val="22"/>
          <w:szCs w:val="22"/>
          <w:lang w:val="es-ES_tradnl"/>
        </w:rPr>
        <w:t xml:space="preserve">Cálculo de </w:t>
      </w:r>
      <w:r w:rsidR="005037B7" w:rsidRPr="00D848CE">
        <w:rPr>
          <w:rFonts w:ascii="Arial" w:hAnsi="Arial" w:cs="Arial"/>
          <w:b/>
          <w:sz w:val="22"/>
          <w:szCs w:val="22"/>
          <w:lang w:val="es-ES_tradnl"/>
        </w:rPr>
        <w:t>los gastos diarios acumulados</w:t>
      </w:r>
    </w:p>
    <w:p w14:paraId="576D774E" w14:textId="77777777" w:rsidR="00DC5F2E" w:rsidRPr="00D848CE" w:rsidRDefault="00DC5F2E" w:rsidP="00DC5F2E">
      <w:pPr>
        <w:pStyle w:val="FootnoteText"/>
        <w:spacing w:before="120" w:after="120"/>
        <w:ind w:left="1440"/>
        <w:jc w:val="both"/>
        <w:rPr>
          <w:rFonts w:ascii="Arial" w:hAnsi="Arial" w:cs="Arial"/>
          <w:b/>
          <w:sz w:val="22"/>
          <w:szCs w:val="22"/>
          <w:lang w:val="es-ES_tradnl"/>
        </w:rPr>
      </w:pPr>
      <w:r w:rsidRPr="00D848CE">
        <w:rPr>
          <w:rFonts w:ascii="Arial" w:hAnsi="Arial" w:cs="Arial"/>
          <w:b/>
          <w:sz w:val="22"/>
          <w:szCs w:val="22"/>
          <w:lang w:val="es-ES_tradnl"/>
        </w:rPr>
        <w:t>G</w:t>
      </w:r>
      <w:r w:rsidR="00D6447C" w:rsidRPr="00D848CE">
        <w:rPr>
          <w:rFonts w:ascii="Arial" w:hAnsi="Arial" w:cs="Arial"/>
          <w:b/>
          <w:sz w:val="22"/>
          <w:szCs w:val="22"/>
          <w:lang w:val="es-ES_tradnl"/>
        </w:rPr>
        <w:t>DA</w:t>
      </w:r>
      <w:r w:rsidRPr="00D848CE">
        <w:rPr>
          <w:rFonts w:ascii="Arial" w:hAnsi="Arial" w:cs="Arial"/>
          <w:b/>
          <w:sz w:val="22"/>
          <w:szCs w:val="22"/>
          <w:lang w:val="es-ES_tradnl"/>
        </w:rPr>
        <w:t xml:space="preserve"> = </w:t>
      </w:r>
      <w:r w:rsidR="005037B7" w:rsidRPr="00D848CE">
        <w:rPr>
          <w:rFonts w:ascii="Arial" w:hAnsi="Arial" w:cs="Arial"/>
          <w:b/>
          <w:sz w:val="22"/>
          <w:szCs w:val="22"/>
          <w:lang w:val="es-ES_tradnl"/>
        </w:rPr>
        <w:t xml:space="preserve">Gastos </w:t>
      </w:r>
      <w:r w:rsidR="00931B5F" w:rsidRPr="00D848CE">
        <w:rPr>
          <w:rFonts w:ascii="Arial" w:hAnsi="Arial" w:cs="Arial"/>
          <w:b/>
          <w:sz w:val="22"/>
          <w:szCs w:val="22"/>
          <w:lang w:val="es-ES_tradnl"/>
        </w:rPr>
        <w:t>D</w:t>
      </w:r>
      <w:r w:rsidR="005037B7" w:rsidRPr="00D848CE">
        <w:rPr>
          <w:rFonts w:ascii="Arial" w:hAnsi="Arial" w:cs="Arial"/>
          <w:b/>
          <w:sz w:val="22"/>
          <w:szCs w:val="22"/>
          <w:lang w:val="es-ES_tradnl"/>
        </w:rPr>
        <w:t>iarios</w:t>
      </w:r>
      <w:r w:rsidR="00931B5F" w:rsidRPr="00D848CE">
        <w:rPr>
          <w:rFonts w:ascii="Arial" w:hAnsi="Arial" w:cs="Arial"/>
          <w:b/>
          <w:sz w:val="22"/>
          <w:szCs w:val="22"/>
          <w:lang w:val="es-ES_tradnl"/>
        </w:rPr>
        <w:t xml:space="preserve"> A</w:t>
      </w:r>
      <w:r w:rsidR="005037B7" w:rsidRPr="00D848CE">
        <w:rPr>
          <w:rFonts w:ascii="Arial" w:hAnsi="Arial" w:cs="Arial"/>
          <w:b/>
          <w:sz w:val="22"/>
          <w:szCs w:val="22"/>
          <w:lang w:val="es-ES_tradnl"/>
        </w:rPr>
        <w:t>cumulados</w:t>
      </w:r>
      <w:r w:rsidR="00941272" w:rsidRPr="00D848CE">
        <w:rPr>
          <w:rFonts w:ascii="Arial" w:hAnsi="Arial" w:cs="Arial"/>
          <w:b/>
          <w:sz w:val="22"/>
          <w:szCs w:val="22"/>
          <w:lang w:val="es-ES_tradnl"/>
        </w:rPr>
        <w:t xml:space="preserve"> (1)</w:t>
      </w:r>
    </w:p>
    <w:p w14:paraId="1D86CCE5" w14:textId="77777777" w:rsidR="00DC5F2E" w:rsidRPr="00D848CE" w:rsidRDefault="00DC5F2E" w:rsidP="00C95FE4">
      <w:pPr>
        <w:pStyle w:val="FootnoteText"/>
        <w:numPr>
          <w:ilvl w:val="0"/>
          <w:numId w:val="8"/>
        </w:numPr>
        <w:spacing w:before="120" w:after="120"/>
        <w:jc w:val="both"/>
        <w:rPr>
          <w:rFonts w:ascii="Arial" w:hAnsi="Arial" w:cs="Arial"/>
          <w:sz w:val="22"/>
          <w:szCs w:val="22"/>
          <w:lang w:val="es-ES_tradnl"/>
        </w:rPr>
      </w:pPr>
      <w:r w:rsidRPr="00D848CE">
        <w:rPr>
          <w:rFonts w:ascii="Arial" w:hAnsi="Arial" w:cs="Arial"/>
          <w:sz w:val="22"/>
          <w:szCs w:val="22"/>
          <w:lang w:val="es-ES_tradnl"/>
        </w:rPr>
        <w:t>G</w:t>
      </w:r>
      <w:r w:rsidR="00D6447C" w:rsidRPr="00D848CE">
        <w:rPr>
          <w:rFonts w:ascii="Arial" w:hAnsi="Arial" w:cs="Arial"/>
          <w:sz w:val="22"/>
          <w:szCs w:val="22"/>
          <w:lang w:val="es-ES_tradnl"/>
        </w:rPr>
        <w:t>DA</w:t>
      </w:r>
      <w:r w:rsidRPr="00D848CE">
        <w:rPr>
          <w:rFonts w:ascii="Arial" w:hAnsi="Arial" w:cs="Arial"/>
          <w:sz w:val="22"/>
          <w:szCs w:val="22"/>
          <w:lang w:val="es-ES_tradnl"/>
        </w:rPr>
        <w:t xml:space="preserve"> </w:t>
      </w:r>
      <w:r w:rsidR="005037B7" w:rsidRPr="00D848CE">
        <w:rPr>
          <w:rFonts w:ascii="Arial" w:hAnsi="Arial" w:cs="Arial"/>
          <w:sz w:val="22"/>
          <w:szCs w:val="22"/>
          <w:lang w:val="es-ES_tradnl"/>
        </w:rPr>
        <w:t>día 1 = 40% (% de la nómina</w:t>
      </w:r>
      <w:r w:rsidR="00C64C86" w:rsidRPr="00D848CE">
        <w:rPr>
          <w:rFonts w:ascii="Arial" w:hAnsi="Arial" w:cs="Arial"/>
          <w:sz w:val="22"/>
          <w:szCs w:val="22"/>
          <w:lang w:val="es-ES_tradnl"/>
        </w:rPr>
        <w:t xml:space="preserve"> 29.5%</w:t>
      </w:r>
      <w:r w:rsidR="00C64C86" w:rsidRPr="00D848CE">
        <w:rPr>
          <w:rStyle w:val="FootnoteReference"/>
          <w:rFonts w:ascii="Arial" w:hAnsi="Arial" w:cs="Arial"/>
          <w:sz w:val="22"/>
          <w:szCs w:val="22"/>
          <w:lang w:val="es-ES_tradnl"/>
        </w:rPr>
        <w:footnoteReference w:id="57"/>
      </w:r>
      <w:r w:rsidR="00C64C86" w:rsidRPr="00D848CE">
        <w:rPr>
          <w:rFonts w:ascii="Arial" w:hAnsi="Arial" w:cs="Arial"/>
          <w:sz w:val="22"/>
          <w:szCs w:val="22"/>
          <w:lang w:val="es-ES_tradnl"/>
        </w:rPr>
        <w:t xml:space="preserve"> + otros gastos prioritarios</w:t>
      </w:r>
      <w:r w:rsidR="005037B7" w:rsidRPr="00D848CE">
        <w:rPr>
          <w:rFonts w:ascii="Arial" w:hAnsi="Arial" w:cs="Arial"/>
          <w:sz w:val="22"/>
          <w:szCs w:val="22"/>
          <w:lang w:val="es-ES_tradnl"/>
        </w:rPr>
        <w:t>) * Saldos diarios día 0 = 40% * US$38</w:t>
      </w:r>
      <w:r w:rsidR="00BC640D" w:rsidRPr="00D848CE">
        <w:rPr>
          <w:rFonts w:ascii="Arial" w:hAnsi="Arial" w:cs="Arial"/>
          <w:sz w:val="22"/>
          <w:szCs w:val="22"/>
          <w:lang w:val="es-ES_tradnl"/>
        </w:rPr>
        <w:t>.</w:t>
      </w:r>
      <w:r w:rsidR="005037B7" w:rsidRPr="00D848CE">
        <w:rPr>
          <w:rFonts w:ascii="Arial" w:hAnsi="Arial" w:cs="Arial"/>
          <w:sz w:val="22"/>
          <w:szCs w:val="22"/>
          <w:lang w:val="es-ES_tradnl"/>
        </w:rPr>
        <w:t>750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00C64C86" w:rsidRPr="00D848CE">
        <w:rPr>
          <w:rStyle w:val="FootnoteReference"/>
          <w:rFonts w:ascii="Arial" w:hAnsi="Arial" w:cs="Arial"/>
          <w:sz w:val="22"/>
          <w:szCs w:val="22"/>
          <w:lang w:val="es-ES_tradnl"/>
        </w:rPr>
        <w:footnoteReference w:id="58"/>
      </w:r>
      <w:r w:rsidR="005037B7" w:rsidRPr="00D848CE">
        <w:rPr>
          <w:rFonts w:ascii="Arial" w:hAnsi="Arial" w:cs="Arial"/>
          <w:sz w:val="22"/>
          <w:szCs w:val="22"/>
          <w:lang w:val="es-ES_tradnl"/>
        </w:rPr>
        <w:t xml:space="preserve"> = US$ </w:t>
      </w:r>
      <w:r w:rsidR="00B05A8C" w:rsidRPr="00D848CE">
        <w:rPr>
          <w:rFonts w:ascii="Arial" w:hAnsi="Arial" w:cs="Arial"/>
          <w:sz w:val="22"/>
          <w:szCs w:val="22"/>
          <w:lang w:val="es-ES_tradnl"/>
        </w:rPr>
        <w:t>15</w:t>
      </w:r>
      <w:r w:rsidR="00BC640D" w:rsidRPr="00D848CE">
        <w:rPr>
          <w:rFonts w:ascii="Arial" w:hAnsi="Arial" w:cs="Arial"/>
          <w:sz w:val="22"/>
          <w:szCs w:val="22"/>
          <w:lang w:val="es-ES_tradnl"/>
        </w:rPr>
        <w:t>.</w:t>
      </w:r>
      <w:r w:rsidR="00B05A8C" w:rsidRPr="00D848CE">
        <w:rPr>
          <w:rFonts w:ascii="Arial" w:hAnsi="Arial" w:cs="Arial"/>
          <w:sz w:val="22"/>
          <w:szCs w:val="22"/>
          <w:lang w:val="es-ES_tradnl"/>
        </w:rPr>
        <w:t>500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005037B7" w:rsidRPr="00D848CE">
        <w:rPr>
          <w:rFonts w:ascii="Arial" w:hAnsi="Arial" w:cs="Arial"/>
          <w:sz w:val="22"/>
          <w:szCs w:val="22"/>
          <w:lang w:val="es-ES_tradnl"/>
        </w:rPr>
        <w:t xml:space="preserve"> </w:t>
      </w:r>
    </w:p>
    <w:p w14:paraId="576F33B3" w14:textId="77777777" w:rsidR="00DC5F2E" w:rsidRPr="00D848CE" w:rsidRDefault="00B05A8C" w:rsidP="00C95FE4">
      <w:pPr>
        <w:pStyle w:val="FootnoteText"/>
        <w:numPr>
          <w:ilvl w:val="0"/>
          <w:numId w:val="8"/>
        </w:numPr>
        <w:spacing w:before="120" w:after="120"/>
        <w:jc w:val="both"/>
        <w:rPr>
          <w:rFonts w:ascii="Arial" w:hAnsi="Arial" w:cs="Arial"/>
          <w:sz w:val="22"/>
          <w:szCs w:val="22"/>
          <w:lang w:val="es-ES_tradnl"/>
        </w:rPr>
      </w:pPr>
      <w:r w:rsidRPr="00D848CE">
        <w:rPr>
          <w:rFonts w:ascii="Arial" w:hAnsi="Arial" w:cs="Arial"/>
          <w:sz w:val="22"/>
          <w:szCs w:val="22"/>
          <w:lang w:val="es-ES_tradnl"/>
        </w:rPr>
        <w:t>G</w:t>
      </w:r>
      <w:r w:rsidR="00D6447C" w:rsidRPr="00D848CE">
        <w:rPr>
          <w:rFonts w:ascii="Arial" w:hAnsi="Arial" w:cs="Arial"/>
          <w:sz w:val="22"/>
          <w:szCs w:val="22"/>
          <w:lang w:val="es-ES_tradnl"/>
        </w:rPr>
        <w:t>DA</w:t>
      </w:r>
      <w:r w:rsidRPr="00D848CE">
        <w:rPr>
          <w:rFonts w:ascii="Arial" w:hAnsi="Arial" w:cs="Arial"/>
          <w:sz w:val="22"/>
          <w:szCs w:val="22"/>
          <w:lang w:val="es-ES_tradnl"/>
        </w:rPr>
        <w:t xml:space="preserve"> días 2-30 = (60%/29) * Saldos diarios día 0 = 2</w:t>
      </w:r>
      <w:r w:rsidR="00BC640D" w:rsidRPr="00D848CE">
        <w:rPr>
          <w:rFonts w:ascii="Arial" w:hAnsi="Arial" w:cs="Arial"/>
          <w:sz w:val="22"/>
          <w:szCs w:val="22"/>
          <w:lang w:val="es-ES_tradnl"/>
        </w:rPr>
        <w:t>,</w:t>
      </w:r>
      <w:r w:rsidRPr="00D848CE">
        <w:rPr>
          <w:rFonts w:ascii="Arial" w:hAnsi="Arial" w:cs="Arial"/>
          <w:sz w:val="22"/>
          <w:szCs w:val="22"/>
          <w:lang w:val="es-ES_tradnl"/>
        </w:rPr>
        <w:t>06% * US$ 38</w:t>
      </w:r>
      <w:r w:rsidR="00BC640D" w:rsidRPr="00D848CE">
        <w:rPr>
          <w:rFonts w:ascii="Arial" w:hAnsi="Arial" w:cs="Arial"/>
          <w:sz w:val="22"/>
          <w:szCs w:val="22"/>
          <w:lang w:val="es-ES_tradnl"/>
        </w:rPr>
        <w:t>.</w:t>
      </w:r>
      <w:r w:rsidRPr="00D848CE">
        <w:rPr>
          <w:rFonts w:ascii="Arial" w:hAnsi="Arial" w:cs="Arial"/>
          <w:sz w:val="22"/>
          <w:szCs w:val="22"/>
          <w:lang w:val="es-ES_tradnl"/>
        </w:rPr>
        <w:t>750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Pr="00D848CE">
        <w:rPr>
          <w:rFonts w:ascii="Arial" w:hAnsi="Arial" w:cs="Arial"/>
          <w:sz w:val="22"/>
          <w:szCs w:val="22"/>
          <w:lang w:val="es-ES_tradnl"/>
        </w:rPr>
        <w:t xml:space="preserve"> = US$ 801</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724</w:t>
      </w:r>
      <w:r w:rsidR="006A0426" w:rsidRPr="00D848CE">
        <w:rPr>
          <w:rFonts w:ascii="Arial" w:hAnsi="Arial" w:cs="Arial"/>
          <w:sz w:val="22"/>
          <w:szCs w:val="22"/>
          <w:lang w:val="es-ES_tradnl"/>
        </w:rPr>
        <w:t xml:space="preserve"> (la distribución de los gastos en el periodo 2-30 del mes no está representado en la tabla)</w:t>
      </w:r>
    </w:p>
    <w:p w14:paraId="601F30F1" w14:textId="77777777" w:rsidR="00B05A8C" w:rsidRPr="00D848CE" w:rsidRDefault="00B05A8C" w:rsidP="00C95FE4">
      <w:pPr>
        <w:pStyle w:val="FootnoteText"/>
        <w:numPr>
          <w:ilvl w:val="0"/>
          <w:numId w:val="8"/>
        </w:numPr>
        <w:spacing w:before="120" w:after="120"/>
        <w:jc w:val="both"/>
        <w:rPr>
          <w:rFonts w:ascii="Arial" w:hAnsi="Arial" w:cs="Arial"/>
          <w:sz w:val="22"/>
          <w:szCs w:val="22"/>
          <w:lang w:val="es-ES_tradnl"/>
        </w:rPr>
      </w:pPr>
      <w:r w:rsidRPr="00D848CE">
        <w:rPr>
          <w:rFonts w:ascii="Arial" w:hAnsi="Arial" w:cs="Arial"/>
          <w:sz w:val="22"/>
          <w:szCs w:val="22"/>
          <w:lang w:val="es-ES_tradnl"/>
        </w:rPr>
        <w:t>G</w:t>
      </w:r>
      <w:r w:rsidR="00D6447C" w:rsidRPr="00D848CE">
        <w:rPr>
          <w:rFonts w:ascii="Arial" w:hAnsi="Arial" w:cs="Arial"/>
          <w:sz w:val="22"/>
          <w:szCs w:val="22"/>
          <w:lang w:val="es-ES_tradnl"/>
        </w:rPr>
        <w:t>DA</w:t>
      </w:r>
      <w:r w:rsidRPr="00D848CE">
        <w:rPr>
          <w:rFonts w:ascii="Arial" w:hAnsi="Arial" w:cs="Arial"/>
          <w:sz w:val="22"/>
          <w:szCs w:val="22"/>
          <w:lang w:val="es-ES_tradnl"/>
        </w:rPr>
        <w:t xml:space="preserve"> día 5 = Sumatorio (G</w:t>
      </w:r>
      <w:r w:rsidR="00D6447C" w:rsidRPr="00D848CE">
        <w:rPr>
          <w:rFonts w:ascii="Arial" w:hAnsi="Arial" w:cs="Arial"/>
          <w:sz w:val="22"/>
          <w:szCs w:val="22"/>
          <w:lang w:val="es-ES_tradnl"/>
        </w:rPr>
        <w:t>DA</w:t>
      </w:r>
      <w:r w:rsidRPr="00D848CE">
        <w:rPr>
          <w:rFonts w:ascii="Arial" w:hAnsi="Arial" w:cs="Arial"/>
          <w:sz w:val="22"/>
          <w:szCs w:val="22"/>
          <w:lang w:val="es-ES_tradnl"/>
        </w:rPr>
        <w:t xml:space="preserve"> días 2-5) = US$ 801</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724</w:t>
      </w:r>
      <w:r w:rsidRPr="00D848CE">
        <w:rPr>
          <w:rFonts w:ascii="Arial" w:hAnsi="Arial" w:cs="Arial"/>
          <w:sz w:val="22"/>
          <w:szCs w:val="22"/>
          <w:lang w:val="es-ES_tradnl"/>
        </w:rPr>
        <w:t xml:space="preserve"> * 4 = US$3</w:t>
      </w:r>
      <w:r w:rsidR="00BC640D" w:rsidRPr="00D848CE">
        <w:rPr>
          <w:rFonts w:ascii="Arial" w:hAnsi="Arial" w:cs="Arial"/>
          <w:sz w:val="22"/>
          <w:szCs w:val="22"/>
          <w:lang w:val="es-ES_tradnl"/>
        </w:rPr>
        <w:t>.</w:t>
      </w:r>
      <w:r w:rsidRPr="00D848CE">
        <w:rPr>
          <w:rFonts w:ascii="Arial" w:hAnsi="Arial" w:cs="Arial"/>
          <w:sz w:val="22"/>
          <w:szCs w:val="22"/>
          <w:lang w:val="es-ES_tradnl"/>
        </w:rPr>
        <w:t>206</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897</w:t>
      </w:r>
    </w:p>
    <w:p w14:paraId="27A5825E" w14:textId="77777777" w:rsidR="00941272" w:rsidRPr="00D848CE" w:rsidRDefault="00B05A8C" w:rsidP="00C95FE4">
      <w:pPr>
        <w:pStyle w:val="FootnoteText"/>
        <w:numPr>
          <w:ilvl w:val="0"/>
          <w:numId w:val="8"/>
        </w:numPr>
        <w:spacing w:before="120" w:after="120"/>
        <w:jc w:val="both"/>
        <w:rPr>
          <w:rFonts w:ascii="Arial" w:hAnsi="Arial" w:cs="Arial"/>
          <w:sz w:val="22"/>
          <w:szCs w:val="22"/>
          <w:lang w:val="es-ES_tradnl"/>
        </w:rPr>
      </w:pPr>
      <w:r w:rsidRPr="00D848CE">
        <w:rPr>
          <w:rFonts w:ascii="Arial" w:hAnsi="Arial" w:cs="Arial"/>
          <w:sz w:val="22"/>
          <w:szCs w:val="22"/>
          <w:lang w:val="es-ES_tradnl"/>
        </w:rPr>
        <w:lastRenderedPageBreak/>
        <w:t>G</w:t>
      </w:r>
      <w:r w:rsidR="00D6447C" w:rsidRPr="00D848CE">
        <w:rPr>
          <w:rFonts w:ascii="Arial" w:hAnsi="Arial" w:cs="Arial"/>
          <w:sz w:val="22"/>
          <w:szCs w:val="22"/>
          <w:lang w:val="es-ES_tradnl"/>
        </w:rPr>
        <w:t>DA</w:t>
      </w:r>
      <w:r w:rsidRPr="00D848CE">
        <w:rPr>
          <w:rFonts w:ascii="Arial" w:hAnsi="Arial" w:cs="Arial"/>
          <w:sz w:val="22"/>
          <w:szCs w:val="22"/>
          <w:lang w:val="es-ES_tradnl"/>
        </w:rPr>
        <w:t xml:space="preserve"> día 10 = Sumatorio (G</w:t>
      </w:r>
      <w:r w:rsidR="00D6447C" w:rsidRPr="00D848CE">
        <w:rPr>
          <w:rFonts w:ascii="Arial" w:hAnsi="Arial" w:cs="Arial"/>
          <w:sz w:val="22"/>
          <w:szCs w:val="22"/>
          <w:lang w:val="es-ES_tradnl"/>
        </w:rPr>
        <w:t>DA</w:t>
      </w:r>
      <w:r w:rsidRPr="00D848CE">
        <w:rPr>
          <w:rFonts w:ascii="Arial" w:hAnsi="Arial" w:cs="Arial"/>
          <w:sz w:val="22"/>
          <w:szCs w:val="22"/>
          <w:lang w:val="es-ES_tradnl"/>
        </w:rPr>
        <w:t xml:space="preserve"> días 6-10) = US$ 801</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724</w:t>
      </w:r>
      <w:r w:rsidRPr="00D848CE">
        <w:rPr>
          <w:rFonts w:ascii="Arial" w:hAnsi="Arial" w:cs="Arial"/>
          <w:sz w:val="22"/>
          <w:szCs w:val="22"/>
          <w:lang w:val="es-ES_tradnl"/>
        </w:rPr>
        <w:t xml:space="preserve"> * </w:t>
      </w:r>
      <w:r w:rsidR="00941272" w:rsidRPr="00D848CE">
        <w:rPr>
          <w:rFonts w:ascii="Arial" w:hAnsi="Arial" w:cs="Arial"/>
          <w:sz w:val="22"/>
          <w:szCs w:val="22"/>
          <w:lang w:val="es-ES_tradnl"/>
        </w:rPr>
        <w:t>5 = US$ 4</w:t>
      </w:r>
      <w:r w:rsidR="00BC640D" w:rsidRPr="00D848CE">
        <w:rPr>
          <w:rFonts w:ascii="Arial" w:hAnsi="Arial" w:cs="Arial"/>
          <w:sz w:val="22"/>
          <w:szCs w:val="22"/>
          <w:lang w:val="es-ES_tradnl"/>
        </w:rPr>
        <w:t>.</w:t>
      </w:r>
      <w:r w:rsidR="00941272" w:rsidRPr="00D848CE">
        <w:rPr>
          <w:rFonts w:ascii="Arial" w:hAnsi="Arial" w:cs="Arial"/>
          <w:sz w:val="22"/>
          <w:szCs w:val="22"/>
          <w:lang w:val="es-ES_tradnl"/>
        </w:rPr>
        <w:t>008</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621</w:t>
      </w:r>
    </w:p>
    <w:p w14:paraId="13870A72" w14:textId="77777777" w:rsidR="00B05A8C" w:rsidRPr="00D848CE" w:rsidRDefault="00941272" w:rsidP="00C95FE4">
      <w:pPr>
        <w:pStyle w:val="FootnoteText"/>
        <w:numPr>
          <w:ilvl w:val="0"/>
          <w:numId w:val="8"/>
        </w:numPr>
        <w:spacing w:before="120" w:after="120"/>
        <w:jc w:val="both"/>
        <w:rPr>
          <w:rFonts w:ascii="Arial" w:hAnsi="Arial" w:cs="Arial"/>
          <w:sz w:val="22"/>
          <w:szCs w:val="22"/>
          <w:lang w:val="es-ES_tradnl"/>
        </w:rPr>
      </w:pPr>
      <w:r w:rsidRPr="00D848CE">
        <w:rPr>
          <w:rFonts w:ascii="Arial" w:hAnsi="Arial" w:cs="Arial"/>
          <w:sz w:val="22"/>
          <w:szCs w:val="22"/>
          <w:lang w:val="es-ES_tradnl"/>
        </w:rPr>
        <w:t>G</w:t>
      </w:r>
      <w:r w:rsidR="00D6447C" w:rsidRPr="00D848CE">
        <w:rPr>
          <w:rFonts w:ascii="Arial" w:hAnsi="Arial" w:cs="Arial"/>
          <w:sz w:val="22"/>
          <w:szCs w:val="22"/>
          <w:lang w:val="es-ES_tradnl"/>
        </w:rPr>
        <w:t>DA</w:t>
      </w:r>
      <w:r w:rsidRPr="00D848CE">
        <w:rPr>
          <w:rFonts w:ascii="Arial" w:hAnsi="Arial" w:cs="Arial"/>
          <w:sz w:val="22"/>
          <w:szCs w:val="22"/>
          <w:lang w:val="es-ES_tradnl"/>
        </w:rPr>
        <w:t xml:space="preserve"> de los días 15, 20,</w:t>
      </w:r>
      <w:r w:rsidR="00D6447C" w:rsidRPr="00D848CE">
        <w:rPr>
          <w:rFonts w:ascii="Arial" w:hAnsi="Arial" w:cs="Arial"/>
          <w:sz w:val="22"/>
          <w:szCs w:val="22"/>
          <w:lang w:val="es-ES_tradnl"/>
        </w:rPr>
        <w:t xml:space="preserve"> </w:t>
      </w:r>
      <w:r w:rsidRPr="00D848CE">
        <w:rPr>
          <w:rFonts w:ascii="Arial" w:hAnsi="Arial" w:cs="Arial"/>
          <w:sz w:val="22"/>
          <w:szCs w:val="22"/>
          <w:lang w:val="es-ES_tradnl"/>
        </w:rPr>
        <w:t xml:space="preserve">25 y 30 </w:t>
      </w:r>
      <w:r w:rsidR="005D04FB" w:rsidRPr="00D848CE">
        <w:rPr>
          <w:rFonts w:ascii="Arial" w:hAnsi="Arial" w:cs="Arial"/>
          <w:sz w:val="22"/>
          <w:szCs w:val="22"/>
          <w:lang w:val="es-ES_tradnl"/>
        </w:rPr>
        <w:t>se calculan de acuerdo con la fó</w:t>
      </w:r>
      <w:r w:rsidRPr="00D848CE">
        <w:rPr>
          <w:rFonts w:ascii="Arial" w:hAnsi="Arial" w:cs="Arial"/>
          <w:sz w:val="22"/>
          <w:szCs w:val="22"/>
          <w:lang w:val="es-ES_tradnl"/>
        </w:rPr>
        <w:t>rmula anterior</w:t>
      </w:r>
      <w:r w:rsidR="00B05A8C" w:rsidRPr="00D848CE">
        <w:rPr>
          <w:rFonts w:ascii="Arial" w:hAnsi="Arial" w:cs="Arial"/>
          <w:sz w:val="22"/>
          <w:szCs w:val="22"/>
          <w:lang w:val="es-ES_tradnl"/>
        </w:rPr>
        <w:t xml:space="preserve"> </w:t>
      </w:r>
    </w:p>
    <w:p w14:paraId="3EA87707" w14:textId="77777777" w:rsidR="00C64C86" w:rsidRPr="00D848CE" w:rsidRDefault="00640DF2" w:rsidP="001D28A5">
      <w:pPr>
        <w:pStyle w:val="FootnoteText"/>
        <w:spacing w:before="120" w:after="120"/>
        <w:ind w:left="2070" w:hanging="900"/>
        <w:jc w:val="both"/>
        <w:rPr>
          <w:rFonts w:ascii="Arial" w:hAnsi="Arial" w:cs="Arial"/>
          <w:sz w:val="22"/>
          <w:szCs w:val="22"/>
          <w:lang w:val="es-ES_tradnl"/>
        </w:rPr>
      </w:pPr>
      <w:r w:rsidRPr="00D848CE">
        <w:rPr>
          <w:rFonts w:ascii="Arial" w:hAnsi="Arial" w:cs="Arial"/>
          <w:noProof/>
          <w:sz w:val="22"/>
          <w:szCs w:val="22"/>
          <w:lang w:val="es-ES_tradnl" w:eastAsia="es-ES_tradnl"/>
        </w:rPr>
        <w:drawing>
          <wp:inline distT="0" distB="0" distL="0" distR="0" wp14:anchorId="66B0688F" wp14:editId="18A8120A">
            <wp:extent cx="4822224" cy="25923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28462" cy="2595705"/>
                    </a:xfrm>
                    <a:prstGeom prst="rect">
                      <a:avLst/>
                    </a:prstGeom>
                  </pic:spPr>
                </pic:pic>
              </a:graphicData>
            </a:graphic>
          </wp:inline>
        </w:drawing>
      </w:r>
    </w:p>
    <w:p w14:paraId="5FEB298C" w14:textId="77777777" w:rsidR="00DC5F2E" w:rsidRPr="00D848CE" w:rsidRDefault="00DC5F2E" w:rsidP="008B5547">
      <w:pPr>
        <w:pStyle w:val="FootnoteText"/>
        <w:numPr>
          <w:ilvl w:val="1"/>
          <w:numId w:val="2"/>
        </w:numPr>
        <w:tabs>
          <w:tab w:val="num" w:pos="720"/>
        </w:tabs>
        <w:spacing w:before="120" w:after="120"/>
        <w:ind w:left="720" w:hanging="720"/>
        <w:jc w:val="both"/>
        <w:rPr>
          <w:rFonts w:ascii="Arial" w:hAnsi="Arial" w:cs="Arial"/>
          <w:b/>
          <w:sz w:val="22"/>
          <w:szCs w:val="22"/>
          <w:lang w:val="es-ES_tradnl"/>
        </w:rPr>
      </w:pPr>
      <w:r w:rsidRPr="00D848CE">
        <w:rPr>
          <w:rFonts w:ascii="Arial" w:hAnsi="Arial" w:cs="Arial"/>
          <w:b/>
          <w:sz w:val="22"/>
          <w:szCs w:val="22"/>
          <w:lang w:val="es-ES_tradnl"/>
        </w:rPr>
        <w:t xml:space="preserve">Cálculo de </w:t>
      </w:r>
      <w:r w:rsidR="00941272" w:rsidRPr="00D848CE">
        <w:rPr>
          <w:rFonts w:ascii="Arial" w:hAnsi="Arial" w:cs="Arial"/>
          <w:b/>
          <w:sz w:val="22"/>
          <w:szCs w:val="22"/>
          <w:lang w:val="es-ES_tradnl"/>
        </w:rPr>
        <w:t xml:space="preserve">los saldos </w:t>
      </w:r>
      <w:r w:rsidR="008B5547" w:rsidRPr="00D848CE">
        <w:rPr>
          <w:rFonts w:ascii="Arial" w:hAnsi="Arial" w:cs="Arial"/>
          <w:b/>
          <w:sz w:val="22"/>
          <w:szCs w:val="22"/>
          <w:lang w:val="es-ES_tradnl"/>
        </w:rPr>
        <w:t>D</w:t>
      </w:r>
      <w:r w:rsidR="00941272" w:rsidRPr="00D848CE">
        <w:rPr>
          <w:rFonts w:ascii="Arial" w:hAnsi="Arial" w:cs="Arial"/>
          <w:b/>
          <w:sz w:val="22"/>
          <w:szCs w:val="22"/>
          <w:lang w:val="es-ES_tradnl"/>
        </w:rPr>
        <w:t>iarios</w:t>
      </w:r>
    </w:p>
    <w:p w14:paraId="5BA5D02D" w14:textId="77777777" w:rsidR="00941272" w:rsidRPr="00D848CE" w:rsidRDefault="00941272" w:rsidP="008B5547">
      <w:pPr>
        <w:pStyle w:val="FootnoteText"/>
        <w:spacing w:before="120" w:after="120"/>
        <w:ind w:left="1440"/>
        <w:jc w:val="both"/>
        <w:rPr>
          <w:rFonts w:ascii="Arial" w:hAnsi="Arial" w:cs="Arial"/>
          <w:b/>
          <w:sz w:val="22"/>
          <w:szCs w:val="22"/>
          <w:lang w:val="es-ES_tradnl"/>
        </w:rPr>
      </w:pPr>
      <w:r w:rsidRPr="00D848CE">
        <w:rPr>
          <w:rFonts w:ascii="Arial" w:hAnsi="Arial" w:cs="Arial"/>
          <w:b/>
          <w:sz w:val="22"/>
          <w:szCs w:val="22"/>
          <w:lang w:val="es-ES_tradnl"/>
        </w:rPr>
        <w:t xml:space="preserve">SD = Saldos </w:t>
      </w:r>
      <w:r w:rsidR="00931B5F" w:rsidRPr="00D848CE">
        <w:rPr>
          <w:rFonts w:ascii="Arial" w:hAnsi="Arial" w:cs="Arial"/>
          <w:b/>
          <w:sz w:val="22"/>
          <w:szCs w:val="22"/>
          <w:lang w:val="es-ES_tradnl"/>
        </w:rPr>
        <w:t>D</w:t>
      </w:r>
      <w:r w:rsidRPr="00D848CE">
        <w:rPr>
          <w:rFonts w:ascii="Arial" w:hAnsi="Arial" w:cs="Arial"/>
          <w:b/>
          <w:sz w:val="22"/>
          <w:szCs w:val="22"/>
          <w:lang w:val="es-ES_tradnl"/>
        </w:rPr>
        <w:t>iarios (2)</w:t>
      </w:r>
    </w:p>
    <w:p w14:paraId="033032E8" w14:textId="77777777" w:rsidR="00DC5F2E" w:rsidRPr="00D848CE" w:rsidRDefault="000D4DAF" w:rsidP="008B5547">
      <w:pPr>
        <w:pStyle w:val="FootnoteText"/>
        <w:numPr>
          <w:ilvl w:val="0"/>
          <w:numId w:val="9"/>
        </w:numPr>
        <w:spacing w:before="120" w:after="120"/>
        <w:jc w:val="both"/>
        <w:rPr>
          <w:rFonts w:ascii="Arial" w:hAnsi="Arial" w:cs="Arial"/>
          <w:sz w:val="22"/>
          <w:szCs w:val="22"/>
          <w:lang w:val="es-ES_tradnl"/>
        </w:rPr>
      </w:pPr>
      <w:r w:rsidRPr="00D848CE">
        <w:rPr>
          <w:rFonts w:ascii="Arial" w:hAnsi="Arial" w:cs="Arial"/>
          <w:sz w:val="22"/>
          <w:szCs w:val="22"/>
          <w:lang w:val="es-ES_tradnl"/>
        </w:rPr>
        <w:t xml:space="preserve">SD día 0 = Valor total del presupuesto mensual de las entidades no incorporadas a la CUT = </w:t>
      </w:r>
      <w:r w:rsidR="00080E81" w:rsidRPr="00D848CE">
        <w:rPr>
          <w:rFonts w:ascii="Arial" w:hAnsi="Arial" w:cs="Arial"/>
          <w:sz w:val="22"/>
          <w:szCs w:val="22"/>
          <w:lang w:val="es-ES_tradnl"/>
        </w:rPr>
        <w:t>US$465</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006A0426" w:rsidRPr="00D848CE">
        <w:rPr>
          <w:rFonts w:ascii="Arial" w:hAnsi="Arial" w:cs="Arial"/>
          <w:sz w:val="22"/>
          <w:szCs w:val="22"/>
          <w:lang w:val="es-ES_tradnl"/>
        </w:rPr>
        <w:t xml:space="preserve"> (valor anual del presupuesto) </w:t>
      </w:r>
      <w:r w:rsidRPr="00D848CE">
        <w:rPr>
          <w:rFonts w:ascii="Arial" w:hAnsi="Arial" w:cs="Arial"/>
          <w:sz w:val="22"/>
          <w:szCs w:val="22"/>
          <w:lang w:val="es-ES_tradnl"/>
        </w:rPr>
        <w:t>/</w:t>
      </w:r>
      <w:r w:rsidR="00080E81" w:rsidRPr="00D848CE">
        <w:rPr>
          <w:rFonts w:ascii="Arial" w:hAnsi="Arial" w:cs="Arial"/>
          <w:sz w:val="22"/>
          <w:szCs w:val="22"/>
          <w:lang w:val="es-ES_tradnl"/>
        </w:rPr>
        <w:t xml:space="preserve"> </w:t>
      </w:r>
      <w:r w:rsidRPr="00D848CE">
        <w:rPr>
          <w:rFonts w:ascii="Arial" w:hAnsi="Arial" w:cs="Arial"/>
          <w:sz w:val="22"/>
          <w:szCs w:val="22"/>
          <w:lang w:val="es-ES_tradnl"/>
        </w:rPr>
        <w:t>12 = US$38</w:t>
      </w:r>
      <w:r w:rsidR="00BC640D" w:rsidRPr="00D848CE">
        <w:rPr>
          <w:rFonts w:ascii="Arial" w:hAnsi="Arial" w:cs="Arial"/>
          <w:sz w:val="22"/>
          <w:szCs w:val="22"/>
          <w:lang w:val="es-ES_tradnl"/>
        </w:rPr>
        <w:t>.</w:t>
      </w:r>
      <w:r w:rsidRPr="00D848CE">
        <w:rPr>
          <w:rFonts w:ascii="Arial" w:hAnsi="Arial" w:cs="Arial"/>
          <w:sz w:val="22"/>
          <w:szCs w:val="22"/>
          <w:lang w:val="es-ES_tradnl"/>
        </w:rPr>
        <w:t>7</w:t>
      </w:r>
      <w:r w:rsidR="00080E81" w:rsidRPr="00D848CE">
        <w:rPr>
          <w:rFonts w:ascii="Arial" w:hAnsi="Arial" w:cs="Arial"/>
          <w:sz w:val="22"/>
          <w:szCs w:val="22"/>
          <w:lang w:val="es-ES_tradnl"/>
        </w:rPr>
        <w:t>50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Pr="00D848CE">
        <w:rPr>
          <w:rFonts w:ascii="Arial" w:hAnsi="Arial" w:cs="Arial"/>
          <w:sz w:val="22"/>
          <w:szCs w:val="22"/>
          <w:lang w:val="es-ES_tradnl"/>
        </w:rPr>
        <w:t xml:space="preserve"> millones</w:t>
      </w:r>
    </w:p>
    <w:p w14:paraId="6B1D989D" w14:textId="77777777" w:rsidR="00DC5F2E" w:rsidRPr="00D848CE" w:rsidRDefault="000D4DAF" w:rsidP="008B5547">
      <w:pPr>
        <w:pStyle w:val="FootnoteText"/>
        <w:numPr>
          <w:ilvl w:val="0"/>
          <w:numId w:val="9"/>
        </w:numPr>
        <w:spacing w:before="120" w:after="120"/>
        <w:jc w:val="both"/>
        <w:rPr>
          <w:rFonts w:ascii="Arial" w:hAnsi="Arial" w:cs="Arial"/>
          <w:sz w:val="22"/>
          <w:szCs w:val="22"/>
          <w:lang w:val="es-ES_tradnl"/>
        </w:rPr>
      </w:pPr>
      <w:r w:rsidRPr="00D848CE">
        <w:rPr>
          <w:rFonts w:ascii="Arial" w:hAnsi="Arial" w:cs="Arial"/>
          <w:sz w:val="22"/>
          <w:szCs w:val="22"/>
          <w:lang w:val="es-ES_tradnl"/>
        </w:rPr>
        <w:t>SD día 1 = SD día 0 – G</w:t>
      </w:r>
      <w:r w:rsidR="00D6447C" w:rsidRPr="00D848CE">
        <w:rPr>
          <w:rFonts w:ascii="Arial" w:hAnsi="Arial" w:cs="Arial"/>
          <w:sz w:val="22"/>
          <w:szCs w:val="22"/>
          <w:lang w:val="es-ES_tradnl"/>
        </w:rPr>
        <w:t>DA</w:t>
      </w:r>
      <w:r w:rsidR="00BC640D" w:rsidRPr="00D848CE">
        <w:rPr>
          <w:rFonts w:ascii="Arial" w:hAnsi="Arial" w:cs="Arial"/>
          <w:sz w:val="22"/>
          <w:szCs w:val="22"/>
          <w:lang w:val="es-ES_tradnl"/>
        </w:rPr>
        <w:t xml:space="preserve"> día 1 = US$</w:t>
      </w:r>
      <w:r w:rsidRPr="00D848CE">
        <w:rPr>
          <w:rFonts w:ascii="Arial" w:hAnsi="Arial" w:cs="Arial"/>
          <w:sz w:val="22"/>
          <w:szCs w:val="22"/>
          <w:lang w:val="es-ES_tradnl"/>
        </w:rPr>
        <w:t>38</w:t>
      </w:r>
      <w:r w:rsidR="00BC640D" w:rsidRPr="00D848CE">
        <w:rPr>
          <w:rFonts w:ascii="Arial" w:hAnsi="Arial" w:cs="Arial"/>
          <w:sz w:val="22"/>
          <w:szCs w:val="22"/>
          <w:lang w:val="es-ES_tradnl"/>
        </w:rPr>
        <w:t>.</w:t>
      </w:r>
      <w:r w:rsidRPr="00D848CE">
        <w:rPr>
          <w:rFonts w:ascii="Arial" w:hAnsi="Arial" w:cs="Arial"/>
          <w:sz w:val="22"/>
          <w:szCs w:val="22"/>
          <w:lang w:val="es-ES_tradnl"/>
        </w:rPr>
        <w:t>750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Pr="00D848CE">
        <w:rPr>
          <w:rFonts w:ascii="Arial" w:hAnsi="Arial" w:cs="Arial"/>
          <w:sz w:val="22"/>
          <w:szCs w:val="22"/>
          <w:lang w:val="es-ES_tradnl"/>
        </w:rPr>
        <w:t xml:space="preserve"> -</w:t>
      </w:r>
      <w:r w:rsidR="005D04FB" w:rsidRPr="00D848CE">
        <w:rPr>
          <w:rFonts w:ascii="Arial" w:hAnsi="Arial" w:cs="Arial"/>
          <w:sz w:val="22"/>
          <w:szCs w:val="22"/>
          <w:lang w:val="es-ES_tradnl"/>
        </w:rPr>
        <w:t xml:space="preserve"> </w:t>
      </w:r>
      <w:r w:rsidR="00BC640D" w:rsidRPr="00D848CE">
        <w:rPr>
          <w:rFonts w:ascii="Arial" w:hAnsi="Arial" w:cs="Arial"/>
          <w:sz w:val="22"/>
          <w:szCs w:val="22"/>
          <w:lang w:val="es-ES_tradnl"/>
        </w:rPr>
        <w:t>US$15.</w:t>
      </w:r>
      <w:r w:rsidRPr="00D848CE">
        <w:rPr>
          <w:rFonts w:ascii="Arial" w:hAnsi="Arial" w:cs="Arial"/>
          <w:sz w:val="22"/>
          <w:szCs w:val="22"/>
          <w:lang w:val="es-ES_tradnl"/>
        </w:rPr>
        <w:t>500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00BC640D" w:rsidRPr="00D848CE">
        <w:rPr>
          <w:rFonts w:ascii="Arial" w:hAnsi="Arial" w:cs="Arial"/>
          <w:sz w:val="22"/>
          <w:szCs w:val="22"/>
          <w:lang w:val="es-ES_tradnl"/>
        </w:rPr>
        <w:t xml:space="preserve"> = US$</w:t>
      </w:r>
      <w:r w:rsidRPr="00D848CE">
        <w:rPr>
          <w:rFonts w:ascii="Arial" w:hAnsi="Arial" w:cs="Arial"/>
          <w:sz w:val="22"/>
          <w:szCs w:val="22"/>
          <w:lang w:val="es-ES_tradnl"/>
        </w:rPr>
        <w:t>23</w:t>
      </w:r>
      <w:r w:rsidR="00BC640D" w:rsidRPr="00D848CE">
        <w:rPr>
          <w:rFonts w:ascii="Arial" w:hAnsi="Arial" w:cs="Arial"/>
          <w:sz w:val="22"/>
          <w:szCs w:val="22"/>
          <w:lang w:val="es-ES_tradnl"/>
        </w:rPr>
        <w:t>.</w:t>
      </w:r>
      <w:r w:rsidRPr="00D848CE">
        <w:rPr>
          <w:rFonts w:ascii="Arial" w:hAnsi="Arial" w:cs="Arial"/>
          <w:sz w:val="22"/>
          <w:szCs w:val="22"/>
          <w:lang w:val="es-ES_tradnl"/>
        </w:rPr>
        <w:t>250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p>
    <w:p w14:paraId="6974B0ED" w14:textId="77777777" w:rsidR="000D4DAF" w:rsidRPr="00D848CE" w:rsidRDefault="000D4DAF" w:rsidP="008B5547">
      <w:pPr>
        <w:pStyle w:val="FootnoteText"/>
        <w:numPr>
          <w:ilvl w:val="0"/>
          <w:numId w:val="9"/>
        </w:numPr>
        <w:spacing w:before="120" w:after="120"/>
        <w:jc w:val="both"/>
        <w:rPr>
          <w:rFonts w:ascii="Arial" w:hAnsi="Arial" w:cs="Arial"/>
          <w:sz w:val="22"/>
          <w:szCs w:val="22"/>
          <w:lang w:val="es-ES_tradnl"/>
        </w:rPr>
      </w:pPr>
      <w:r w:rsidRPr="00D848CE">
        <w:rPr>
          <w:rFonts w:ascii="Arial" w:hAnsi="Arial" w:cs="Arial"/>
          <w:sz w:val="22"/>
          <w:szCs w:val="22"/>
          <w:lang w:val="es-ES_tradnl"/>
        </w:rPr>
        <w:t>SD día 5 = SD d</w:t>
      </w:r>
      <w:r w:rsidR="005D04FB" w:rsidRPr="00D848CE">
        <w:rPr>
          <w:rFonts w:ascii="Arial" w:hAnsi="Arial" w:cs="Arial"/>
          <w:sz w:val="22"/>
          <w:szCs w:val="22"/>
          <w:lang w:val="es-ES_tradnl"/>
        </w:rPr>
        <w:t>ía 1</w:t>
      </w:r>
      <w:r w:rsidRPr="00D848CE">
        <w:rPr>
          <w:rFonts w:ascii="Arial" w:hAnsi="Arial" w:cs="Arial"/>
          <w:sz w:val="22"/>
          <w:szCs w:val="22"/>
          <w:lang w:val="es-ES_tradnl"/>
        </w:rPr>
        <w:t xml:space="preserve"> – G</w:t>
      </w:r>
      <w:r w:rsidR="00D6447C" w:rsidRPr="00D848CE">
        <w:rPr>
          <w:rFonts w:ascii="Arial" w:hAnsi="Arial" w:cs="Arial"/>
          <w:sz w:val="22"/>
          <w:szCs w:val="22"/>
          <w:lang w:val="es-ES_tradnl"/>
        </w:rPr>
        <w:t>DA</w:t>
      </w:r>
      <w:r w:rsidRPr="00D848CE">
        <w:rPr>
          <w:rFonts w:ascii="Arial" w:hAnsi="Arial" w:cs="Arial"/>
          <w:sz w:val="22"/>
          <w:szCs w:val="22"/>
          <w:lang w:val="es-ES_tradnl"/>
        </w:rPr>
        <w:t xml:space="preserve"> día 5 = US$</w:t>
      </w:r>
      <w:r w:rsidR="005D04FB" w:rsidRPr="00D848CE">
        <w:rPr>
          <w:rFonts w:ascii="Arial" w:hAnsi="Arial" w:cs="Arial"/>
          <w:sz w:val="22"/>
          <w:szCs w:val="22"/>
          <w:lang w:val="es-ES_tradnl"/>
        </w:rPr>
        <w:t>23</w:t>
      </w:r>
      <w:r w:rsidR="00BC640D" w:rsidRPr="00D848CE">
        <w:rPr>
          <w:rFonts w:ascii="Arial" w:hAnsi="Arial" w:cs="Arial"/>
          <w:sz w:val="22"/>
          <w:szCs w:val="22"/>
          <w:lang w:val="es-ES_tradnl"/>
        </w:rPr>
        <w:t>.</w:t>
      </w:r>
      <w:r w:rsidR="005D04FB" w:rsidRPr="00D848CE">
        <w:rPr>
          <w:rFonts w:ascii="Arial" w:hAnsi="Arial" w:cs="Arial"/>
          <w:sz w:val="22"/>
          <w:szCs w:val="22"/>
          <w:lang w:val="es-ES_tradnl"/>
        </w:rPr>
        <w:t>250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005D04FB" w:rsidRPr="00D848CE">
        <w:rPr>
          <w:rFonts w:ascii="Arial" w:hAnsi="Arial" w:cs="Arial"/>
          <w:sz w:val="22"/>
          <w:szCs w:val="22"/>
          <w:lang w:val="es-ES_tradnl"/>
        </w:rPr>
        <w:t xml:space="preserve"> – US$3</w:t>
      </w:r>
      <w:r w:rsidR="00BC640D" w:rsidRPr="00D848CE">
        <w:rPr>
          <w:rFonts w:ascii="Arial" w:hAnsi="Arial" w:cs="Arial"/>
          <w:sz w:val="22"/>
          <w:szCs w:val="22"/>
          <w:lang w:val="es-ES_tradnl"/>
        </w:rPr>
        <w:t>.</w:t>
      </w:r>
      <w:r w:rsidR="005D04FB" w:rsidRPr="00D848CE">
        <w:rPr>
          <w:rFonts w:ascii="Arial" w:hAnsi="Arial" w:cs="Arial"/>
          <w:sz w:val="22"/>
          <w:szCs w:val="22"/>
          <w:lang w:val="es-ES_tradnl"/>
        </w:rPr>
        <w:t>206</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897</w:t>
      </w:r>
      <w:r w:rsidR="00BC640D" w:rsidRPr="00D848CE">
        <w:rPr>
          <w:rFonts w:ascii="Arial" w:hAnsi="Arial" w:cs="Arial"/>
          <w:sz w:val="22"/>
          <w:szCs w:val="22"/>
          <w:lang w:val="es-ES_tradnl"/>
        </w:rPr>
        <w:t xml:space="preserve"> = US$</w:t>
      </w:r>
      <w:r w:rsidR="005D04FB" w:rsidRPr="00D848CE">
        <w:rPr>
          <w:rFonts w:ascii="Arial" w:hAnsi="Arial" w:cs="Arial"/>
          <w:sz w:val="22"/>
          <w:szCs w:val="22"/>
          <w:lang w:val="es-ES_tradnl"/>
        </w:rPr>
        <w:t>20</w:t>
      </w:r>
      <w:r w:rsidR="00BC640D" w:rsidRPr="00D848CE">
        <w:rPr>
          <w:rFonts w:ascii="Arial" w:hAnsi="Arial" w:cs="Arial"/>
          <w:sz w:val="22"/>
          <w:szCs w:val="22"/>
          <w:lang w:val="es-ES_tradnl"/>
        </w:rPr>
        <w:t>.</w:t>
      </w:r>
      <w:r w:rsidR="005D04FB" w:rsidRPr="00D848CE">
        <w:rPr>
          <w:rFonts w:ascii="Arial" w:hAnsi="Arial" w:cs="Arial"/>
          <w:sz w:val="22"/>
          <w:szCs w:val="22"/>
          <w:lang w:val="es-ES_tradnl"/>
        </w:rPr>
        <w:t>043</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103</w:t>
      </w:r>
    </w:p>
    <w:p w14:paraId="3CB4689D" w14:textId="77777777" w:rsidR="005D04FB" w:rsidRPr="00D848CE" w:rsidRDefault="00D6447C" w:rsidP="008B5547">
      <w:pPr>
        <w:pStyle w:val="FootnoteText"/>
        <w:numPr>
          <w:ilvl w:val="0"/>
          <w:numId w:val="9"/>
        </w:numPr>
        <w:spacing w:before="120" w:after="120"/>
        <w:jc w:val="both"/>
        <w:rPr>
          <w:rFonts w:ascii="Arial" w:hAnsi="Arial" w:cs="Arial"/>
          <w:sz w:val="22"/>
          <w:szCs w:val="22"/>
          <w:lang w:val="es-ES_tradnl"/>
        </w:rPr>
      </w:pPr>
      <w:r w:rsidRPr="00D848CE">
        <w:rPr>
          <w:rFonts w:ascii="Arial" w:hAnsi="Arial" w:cs="Arial"/>
          <w:sz w:val="22"/>
          <w:szCs w:val="22"/>
          <w:lang w:val="es-ES_tradnl"/>
        </w:rPr>
        <w:t>SD</w:t>
      </w:r>
      <w:r w:rsidR="005D04FB" w:rsidRPr="00D848CE">
        <w:rPr>
          <w:rFonts w:ascii="Arial" w:hAnsi="Arial" w:cs="Arial"/>
          <w:sz w:val="22"/>
          <w:szCs w:val="22"/>
          <w:lang w:val="es-ES_tradnl"/>
        </w:rPr>
        <w:t xml:space="preserve"> de los días 15, 20,</w:t>
      </w:r>
      <w:r w:rsidRPr="00D848CE">
        <w:rPr>
          <w:rFonts w:ascii="Arial" w:hAnsi="Arial" w:cs="Arial"/>
          <w:sz w:val="22"/>
          <w:szCs w:val="22"/>
          <w:lang w:val="es-ES_tradnl"/>
        </w:rPr>
        <w:t xml:space="preserve"> </w:t>
      </w:r>
      <w:r w:rsidR="005D04FB" w:rsidRPr="00D848CE">
        <w:rPr>
          <w:rFonts w:ascii="Arial" w:hAnsi="Arial" w:cs="Arial"/>
          <w:sz w:val="22"/>
          <w:szCs w:val="22"/>
          <w:lang w:val="es-ES_tradnl"/>
        </w:rPr>
        <w:t>25,</w:t>
      </w:r>
      <w:r w:rsidRPr="00D848CE">
        <w:rPr>
          <w:rFonts w:ascii="Arial" w:hAnsi="Arial" w:cs="Arial"/>
          <w:sz w:val="22"/>
          <w:szCs w:val="22"/>
          <w:lang w:val="es-ES_tradnl"/>
        </w:rPr>
        <w:t xml:space="preserve"> </w:t>
      </w:r>
      <w:r w:rsidR="005D04FB" w:rsidRPr="00D848CE">
        <w:rPr>
          <w:rFonts w:ascii="Arial" w:hAnsi="Arial" w:cs="Arial"/>
          <w:sz w:val="22"/>
          <w:szCs w:val="22"/>
          <w:lang w:val="es-ES_tradnl"/>
        </w:rPr>
        <w:t>30 se calculan de acuerdo con la fórmula anterior</w:t>
      </w:r>
    </w:p>
    <w:p w14:paraId="701E13D1" w14:textId="77777777" w:rsidR="005D04FB" w:rsidRPr="00D848CE" w:rsidRDefault="005D04FB" w:rsidP="008B5547">
      <w:pPr>
        <w:pStyle w:val="FootnoteText"/>
        <w:numPr>
          <w:ilvl w:val="1"/>
          <w:numId w:val="2"/>
        </w:numPr>
        <w:tabs>
          <w:tab w:val="clear" w:pos="1296"/>
        </w:tabs>
        <w:spacing w:before="120" w:after="120"/>
        <w:ind w:left="720" w:hanging="720"/>
        <w:jc w:val="both"/>
        <w:rPr>
          <w:rFonts w:ascii="Arial" w:hAnsi="Arial" w:cs="Arial"/>
          <w:sz w:val="22"/>
          <w:szCs w:val="22"/>
          <w:lang w:val="es-ES_tradnl"/>
        </w:rPr>
      </w:pPr>
      <w:r w:rsidRPr="00D848CE">
        <w:rPr>
          <w:rFonts w:ascii="Arial" w:hAnsi="Arial" w:cs="Arial"/>
          <w:b/>
          <w:sz w:val="22"/>
          <w:szCs w:val="22"/>
          <w:lang w:val="es-ES_tradnl"/>
        </w:rPr>
        <w:t>C</w:t>
      </w:r>
      <w:r w:rsidR="008B5547" w:rsidRPr="00D848CE">
        <w:rPr>
          <w:rFonts w:ascii="Arial" w:hAnsi="Arial" w:cs="Arial"/>
          <w:b/>
          <w:sz w:val="22"/>
          <w:szCs w:val="22"/>
          <w:lang w:val="es-ES_tradnl"/>
        </w:rPr>
        <w:t>álculo del Costo de O</w:t>
      </w:r>
      <w:r w:rsidRPr="00D848CE">
        <w:rPr>
          <w:rFonts w:ascii="Arial" w:hAnsi="Arial" w:cs="Arial"/>
          <w:b/>
          <w:sz w:val="22"/>
          <w:szCs w:val="22"/>
          <w:lang w:val="es-ES_tradnl"/>
        </w:rPr>
        <w:t>portunidad</w:t>
      </w:r>
      <w:r w:rsidR="008B5547" w:rsidRPr="00D848CE">
        <w:rPr>
          <w:rFonts w:ascii="Arial" w:hAnsi="Arial" w:cs="Arial"/>
          <w:b/>
          <w:sz w:val="22"/>
          <w:szCs w:val="22"/>
          <w:lang w:val="es-ES_tradnl"/>
        </w:rPr>
        <w:t xml:space="preserve"> Diario</w:t>
      </w:r>
    </w:p>
    <w:p w14:paraId="4CEB2F63" w14:textId="77777777" w:rsidR="005D04FB" w:rsidRPr="00D848CE" w:rsidRDefault="005D04FB" w:rsidP="008B5547">
      <w:pPr>
        <w:pStyle w:val="FootnoteText"/>
        <w:spacing w:before="120" w:after="120"/>
        <w:ind w:left="1440"/>
        <w:jc w:val="both"/>
        <w:rPr>
          <w:rFonts w:ascii="Arial" w:hAnsi="Arial" w:cs="Arial"/>
          <w:b/>
          <w:sz w:val="22"/>
          <w:szCs w:val="22"/>
          <w:lang w:val="es-ES_tradnl"/>
        </w:rPr>
      </w:pPr>
      <w:r w:rsidRPr="00D848CE">
        <w:rPr>
          <w:rFonts w:ascii="Arial" w:hAnsi="Arial" w:cs="Arial"/>
          <w:b/>
          <w:sz w:val="22"/>
          <w:szCs w:val="22"/>
          <w:lang w:val="es-ES_tradnl"/>
        </w:rPr>
        <w:t>CO</w:t>
      </w:r>
      <w:r w:rsidR="008B5547" w:rsidRPr="00D848CE">
        <w:rPr>
          <w:rFonts w:ascii="Arial" w:hAnsi="Arial" w:cs="Arial"/>
          <w:b/>
          <w:sz w:val="22"/>
          <w:szCs w:val="22"/>
          <w:lang w:val="es-ES_tradnl"/>
        </w:rPr>
        <w:t>D</w:t>
      </w:r>
      <w:r w:rsidRPr="00D848CE">
        <w:rPr>
          <w:rFonts w:ascii="Arial" w:hAnsi="Arial" w:cs="Arial"/>
          <w:b/>
          <w:sz w:val="22"/>
          <w:szCs w:val="22"/>
          <w:lang w:val="es-ES_tradnl"/>
        </w:rPr>
        <w:t xml:space="preserve"> = Costo de Oportunidad (3)</w:t>
      </w:r>
    </w:p>
    <w:p w14:paraId="7585C98B" w14:textId="77777777" w:rsidR="00D6447C" w:rsidRPr="00D848CE" w:rsidRDefault="00D6447C" w:rsidP="008B5547">
      <w:pPr>
        <w:pStyle w:val="FootnoteText"/>
        <w:numPr>
          <w:ilvl w:val="0"/>
          <w:numId w:val="16"/>
        </w:numPr>
        <w:spacing w:before="120" w:after="120"/>
        <w:jc w:val="both"/>
        <w:rPr>
          <w:rFonts w:ascii="Arial" w:hAnsi="Arial" w:cs="Arial"/>
          <w:sz w:val="22"/>
          <w:szCs w:val="22"/>
          <w:lang w:val="es-ES_tradnl"/>
        </w:rPr>
      </w:pPr>
      <w:r w:rsidRPr="00D848CE">
        <w:rPr>
          <w:rFonts w:ascii="Arial" w:hAnsi="Arial" w:cs="Arial"/>
          <w:sz w:val="22"/>
          <w:szCs w:val="22"/>
          <w:lang w:val="es-ES_tradnl"/>
        </w:rPr>
        <w:t>CO</w:t>
      </w:r>
      <w:r w:rsidR="008B5547" w:rsidRPr="00D848CE">
        <w:rPr>
          <w:rFonts w:ascii="Arial" w:hAnsi="Arial" w:cs="Arial"/>
          <w:sz w:val="22"/>
          <w:szCs w:val="22"/>
          <w:lang w:val="es-ES_tradnl"/>
        </w:rPr>
        <w:t>D</w:t>
      </w:r>
      <w:r w:rsidR="007054A7" w:rsidRPr="00D848CE">
        <w:rPr>
          <w:rFonts w:ascii="Arial" w:hAnsi="Arial" w:cs="Arial"/>
          <w:sz w:val="22"/>
          <w:szCs w:val="22"/>
          <w:lang w:val="es-ES_tradnl"/>
        </w:rPr>
        <w:t xml:space="preserve"> día 1 = SD día 1</w:t>
      </w:r>
      <w:r w:rsidR="00BC640D" w:rsidRPr="00D848CE">
        <w:rPr>
          <w:rFonts w:ascii="Arial" w:hAnsi="Arial" w:cs="Arial"/>
          <w:sz w:val="22"/>
          <w:szCs w:val="22"/>
          <w:lang w:val="es-ES_tradnl"/>
        </w:rPr>
        <w:t xml:space="preserve"> * tasa de interés diario = US$</w:t>
      </w:r>
      <w:r w:rsidR="007054A7" w:rsidRPr="00D848CE">
        <w:rPr>
          <w:rFonts w:ascii="Arial" w:hAnsi="Arial" w:cs="Arial"/>
          <w:sz w:val="22"/>
          <w:szCs w:val="22"/>
          <w:lang w:val="es-ES_tradnl"/>
        </w:rPr>
        <w:t>23</w:t>
      </w:r>
      <w:r w:rsidR="00BC640D" w:rsidRPr="00D848CE">
        <w:rPr>
          <w:rFonts w:ascii="Arial" w:hAnsi="Arial" w:cs="Arial"/>
          <w:sz w:val="22"/>
          <w:szCs w:val="22"/>
          <w:lang w:val="es-ES_tradnl"/>
        </w:rPr>
        <w:t>.</w:t>
      </w:r>
      <w:r w:rsidR="007054A7" w:rsidRPr="00D848CE">
        <w:rPr>
          <w:rFonts w:ascii="Arial" w:hAnsi="Arial" w:cs="Arial"/>
          <w:sz w:val="22"/>
          <w:szCs w:val="22"/>
          <w:lang w:val="es-ES_tradnl"/>
        </w:rPr>
        <w:t>250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007054A7" w:rsidRPr="00D848CE">
        <w:rPr>
          <w:rFonts w:ascii="Arial" w:hAnsi="Arial" w:cs="Arial"/>
          <w:sz w:val="22"/>
          <w:szCs w:val="22"/>
          <w:lang w:val="es-ES_tradnl"/>
        </w:rPr>
        <w:t xml:space="preserve"> * (6% / 365</w:t>
      </w:r>
      <w:r w:rsidRPr="00D848CE">
        <w:rPr>
          <w:rFonts w:ascii="Arial" w:hAnsi="Arial" w:cs="Arial"/>
          <w:sz w:val="22"/>
          <w:szCs w:val="22"/>
          <w:lang w:val="es-ES_tradnl"/>
        </w:rPr>
        <w:t xml:space="preserve"> días</w:t>
      </w:r>
      <w:r w:rsidR="00BC640D" w:rsidRPr="00D848CE">
        <w:rPr>
          <w:rFonts w:ascii="Arial" w:hAnsi="Arial" w:cs="Arial"/>
          <w:sz w:val="22"/>
          <w:szCs w:val="22"/>
          <w:lang w:val="es-ES_tradnl"/>
        </w:rPr>
        <w:t>) = US$</w:t>
      </w:r>
      <w:r w:rsidR="007054A7" w:rsidRPr="00D848CE">
        <w:rPr>
          <w:rFonts w:ascii="Arial" w:hAnsi="Arial" w:cs="Arial"/>
          <w:sz w:val="22"/>
          <w:szCs w:val="22"/>
          <w:lang w:val="es-ES_tradnl"/>
        </w:rPr>
        <w:t>23</w:t>
      </w:r>
      <w:r w:rsidR="00BC640D" w:rsidRPr="00D848CE">
        <w:rPr>
          <w:rFonts w:ascii="Arial" w:hAnsi="Arial" w:cs="Arial"/>
          <w:sz w:val="22"/>
          <w:szCs w:val="22"/>
          <w:lang w:val="es-ES_tradnl"/>
        </w:rPr>
        <w:t>.</w:t>
      </w:r>
      <w:r w:rsidR="007054A7" w:rsidRPr="00D848CE">
        <w:rPr>
          <w:rFonts w:ascii="Arial" w:hAnsi="Arial" w:cs="Arial"/>
          <w:sz w:val="22"/>
          <w:szCs w:val="22"/>
          <w:lang w:val="es-ES_tradnl"/>
        </w:rPr>
        <w:t>250</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000</w:t>
      </w:r>
      <w:r w:rsidR="00BC640D" w:rsidRPr="00D848CE">
        <w:rPr>
          <w:rFonts w:ascii="Arial" w:hAnsi="Arial" w:cs="Arial"/>
          <w:sz w:val="22"/>
          <w:szCs w:val="22"/>
          <w:lang w:val="es-ES_tradnl"/>
        </w:rPr>
        <w:t xml:space="preserve"> * 0,</w:t>
      </w:r>
      <w:r w:rsidR="007054A7" w:rsidRPr="00D848CE">
        <w:rPr>
          <w:rFonts w:ascii="Arial" w:hAnsi="Arial" w:cs="Arial"/>
          <w:sz w:val="22"/>
          <w:szCs w:val="22"/>
          <w:lang w:val="es-ES_tradnl"/>
        </w:rPr>
        <w:t xml:space="preserve">016438% = </w:t>
      </w:r>
      <w:r w:rsidR="00BC640D" w:rsidRPr="00D848CE">
        <w:rPr>
          <w:rFonts w:ascii="Arial" w:hAnsi="Arial" w:cs="Arial"/>
          <w:sz w:val="22"/>
          <w:szCs w:val="22"/>
          <w:lang w:val="es-ES_tradnl"/>
        </w:rPr>
        <w:t>US$</w:t>
      </w:r>
      <w:r w:rsidR="00080E81" w:rsidRPr="00D848CE">
        <w:rPr>
          <w:rFonts w:ascii="Arial" w:hAnsi="Arial" w:cs="Arial"/>
          <w:sz w:val="22"/>
          <w:szCs w:val="22"/>
          <w:lang w:val="es-ES_tradnl"/>
        </w:rPr>
        <w:t>3</w:t>
      </w:r>
      <w:r w:rsidR="00BC640D" w:rsidRPr="00D848CE">
        <w:rPr>
          <w:rFonts w:ascii="Arial" w:hAnsi="Arial" w:cs="Arial"/>
          <w:sz w:val="22"/>
          <w:szCs w:val="22"/>
          <w:lang w:val="es-ES_tradnl"/>
        </w:rPr>
        <w:t>.</w:t>
      </w:r>
      <w:r w:rsidR="00080E81" w:rsidRPr="00D848CE">
        <w:rPr>
          <w:rFonts w:ascii="Arial" w:hAnsi="Arial" w:cs="Arial"/>
          <w:sz w:val="22"/>
          <w:szCs w:val="22"/>
          <w:lang w:val="es-ES_tradnl"/>
        </w:rPr>
        <w:t>8</w:t>
      </w:r>
      <w:r w:rsidRPr="00D848CE">
        <w:rPr>
          <w:rFonts w:ascii="Arial" w:hAnsi="Arial" w:cs="Arial"/>
          <w:sz w:val="22"/>
          <w:szCs w:val="22"/>
          <w:lang w:val="es-ES_tradnl"/>
        </w:rPr>
        <w:t>22</w:t>
      </w:r>
    </w:p>
    <w:p w14:paraId="2891DEDF" w14:textId="77777777" w:rsidR="005D04FB" w:rsidRPr="00D848CE" w:rsidRDefault="00080E81" w:rsidP="008B5547">
      <w:pPr>
        <w:pStyle w:val="FootnoteText"/>
        <w:numPr>
          <w:ilvl w:val="0"/>
          <w:numId w:val="16"/>
        </w:numPr>
        <w:spacing w:before="120" w:after="120"/>
        <w:jc w:val="both"/>
        <w:rPr>
          <w:rFonts w:ascii="Arial" w:hAnsi="Arial" w:cs="Arial"/>
          <w:sz w:val="22"/>
          <w:szCs w:val="22"/>
          <w:lang w:val="es-ES_tradnl"/>
        </w:rPr>
      </w:pPr>
      <w:r w:rsidRPr="00D848CE">
        <w:rPr>
          <w:rFonts w:ascii="Arial" w:hAnsi="Arial" w:cs="Arial"/>
          <w:sz w:val="22"/>
          <w:szCs w:val="22"/>
          <w:lang w:val="es-ES_tradnl"/>
        </w:rPr>
        <w:t xml:space="preserve"> </w:t>
      </w:r>
      <w:r w:rsidR="00D6447C" w:rsidRPr="00D848CE">
        <w:rPr>
          <w:rFonts w:ascii="Arial" w:hAnsi="Arial" w:cs="Arial"/>
          <w:sz w:val="22"/>
          <w:szCs w:val="22"/>
          <w:lang w:val="es-ES_tradnl"/>
        </w:rPr>
        <w:t>CO</w:t>
      </w:r>
      <w:r w:rsidR="008B5547" w:rsidRPr="00D848CE">
        <w:rPr>
          <w:rFonts w:ascii="Arial" w:hAnsi="Arial" w:cs="Arial"/>
          <w:sz w:val="22"/>
          <w:szCs w:val="22"/>
          <w:lang w:val="es-ES_tradnl"/>
        </w:rPr>
        <w:t>D</w:t>
      </w:r>
      <w:r w:rsidR="00BC640D" w:rsidRPr="00D848CE">
        <w:rPr>
          <w:rFonts w:ascii="Arial" w:hAnsi="Arial" w:cs="Arial"/>
          <w:sz w:val="22"/>
          <w:szCs w:val="22"/>
          <w:lang w:val="es-ES_tradnl"/>
        </w:rPr>
        <w:t xml:space="preserve"> día 5 = SD día 5 * 0,</w:t>
      </w:r>
      <w:r w:rsidR="00D6447C" w:rsidRPr="00D848CE">
        <w:rPr>
          <w:rFonts w:ascii="Arial" w:hAnsi="Arial" w:cs="Arial"/>
          <w:sz w:val="22"/>
          <w:szCs w:val="22"/>
          <w:lang w:val="es-ES_tradnl"/>
        </w:rPr>
        <w:t>016438% = US$ 20</w:t>
      </w:r>
      <w:r w:rsidR="00BC640D" w:rsidRPr="00D848CE">
        <w:rPr>
          <w:rFonts w:ascii="Arial" w:hAnsi="Arial" w:cs="Arial"/>
          <w:sz w:val="22"/>
          <w:szCs w:val="22"/>
          <w:lang w:val="es-ES_tradnl"/>
        </w:rPr>
        <w:t>.</w:t>
      </w:r>
      <w:r w:rsidR="00D6447C" w:rsidRPr="00D848CE">
        <w:rPr>
          <w:rFonts w:ascii="Arial" w:hAnsi="Arial" w:cs="Arial"/>
          <w:sz w:val="22"/>
          <w:szCs w:val="22"/>
          <w:lang w:val="es-ES_tradnl"/>
        </w:rPr>
        <w:t>043</w:t>
      </w:r>
      <w:r w:rsidR="00BC640D" w:rsidRPr="00D848CE">
        <w:rPr>
          <w:rFonts w:ascii="Arial" w:hAnsi="Arial" w:cs="Arial"/>
          <w:sz w:val="22"/>
          <w:szCs w:val="22"/>
          <w:lang w:val="es-ES_tradnl"/>
        </w:rPr>
        <w:t>.103 * 0,016438% US$17.</w:t>
      </w:r>
      <w:r w:rsidR="00D6447C" w:rsidRPr="00D848CE">
        <w:rPr>
          <w:rFonts w:ascii="Arial" w:hAnsi="Arial" w:cs="Arial"/>
          <w:sz w:val="22"/>
          <w:szCs w:val="22"/>
          <w:lang w:val="es-ES_tradnl"/>
        </w:rPr>
        <w:t>792</w:t>
      </w:r>
    </w:p>
    <w:p w14:paraId="7F1FD0C6" w14:textId="77777777" w:rsidR="00D6447C" w:rsidRPr="00D848CE" w:rsidRDefault="00D6447C" w:rsidP="00D6447C">
      <w:pPr>
        <w:pStyle w:val="FootnoteText"/>
        <w:numPr>
          <w:ilvl w:val="0"/>
          <w:numId w:val="16"/>
        </w:numPr>
        <w:spacing w:before="120" w:after="120"/>
        <w:jc w:val="both"/>
        <w:rPr>
          <w:rFonts w:ascii="Arial" w:hAnsi="Arial" w:cs="Arial"/>
          <w:sz w:val="22"/>
          <w:szCs w:val="22"/>
          <w:lang w:val="es-ES_tradnl"/>
        </w:rPr>
      </w:pPr>
      <w:r w:rsidRPr="00D848CE">
        <w:rPr>
          <w:rFonts w:ascii="Arial" w:hAnsi="Arial" w:cs="Arial"/>
          <w:sz w:val="22"/>
          <w:szCs w:val="22"/>
          <w:lang w:val="es-ES_tradnl"/>
        </w:rPr>
        <w:t>CO</w:t>
      </w:r>
      <w:r w:rsidR="008B5547" w:rsidRPr="00D848CE">
        <w:rPr>
          <w:rFonts w:ascii="Arial" w:hAnsi="Arial" w:cs="Arial"/>
          <w:sz w:val="22"/>
          <w:szCs w:val="22"/>
          <w:lang w:val="es-ES_tradnl"/>
        </w:rPr>
        <w:t>D</w:t>
      </w:r>
      <w:r w:rsidRPr="00D848CE">
        <w:rPr>
          <w:rFonts w:ascii="Arial" w:hAnsi="Arial" w:cs="Arial"/>
          <w:sz w:val="22"/>
          <w:szCs w:val="22"/>
          <w:lang w:val="es-ES_tradnl"/>
        </w:rPr>
        <w:t xml:space="preserve"> de los días 15, 20, 25, 30 se calculan de acuerdo con la fórmula anterior</w:t>
      </w:r>
    </w:p>
    <w:p w14:paraId="02992BE0" w14:textId="77777777" w:rsidR="00E82351" w:rsidRPr="00D848CE" w:rsidRDefault="00E82351" w:rsidP="00E82351">
      <w:pPr>
        <w:pStyle w:val="FootnoteText"/>
        <w:spacing w:before="120" w:after="120"/>
        <w:ind w:left="1440"/>
        <w:jc w:val="both"/>
        <w:rPr>
          <w:rFonts w:ascii="Arial" w:hAnsi="Arial" w:cs="Arial"/>
          <w:sz w:val="22"/>
          <w:szCs w:val="22"/>
          <w:lang w:val="es-ES_tradnl"/>
        </w:rPr>
      </w:pPr>
    </w:p>
    <w:p w14:paraId="4934F23D" w14:textId="77777777" w:rsidR="00931B5F" w:rsidRPr="00D848CE" w:rsidRDefault="00931B5F" w:rsidP="008B5547">
      <w:pPr>
        <w:pStyle w:val="FootnoteText"/>
        <w:numPr>
          <w:ilvl w:val="1"/>
          <w:numId w:val="2"/>
        </w:numPr>
        <w:tabs>
          <w:tab w:val="clear" w:pos="1296"/>
        </w:tabs>
        <w:spacing w:before="120" w:after="120"/>
        <w:ind w:left="720" w:hanging="720"/>
        <w:jc w:val="both"/>
        <w:rPr>
          <w:rFonts w:ascii="Arial" w:hAnsi="Arial" w:cs="Arial"/>
          <w:sz w:val="22"/>
          <w:szCs w:val="22"/>
          <w:lang w:val="es-ES_tradnl"/>
        </w:rPr>
      </w:pPr>
      <w:r w:rsidRPr="00D848CE">
        <w:rPr>
          <w:rFonts w:ascii="Arial" w:hAnsi="Arial" w:cs="Arial"/>
          <w:b/>
          <w:sz w:val="22"/>
          <w:szCs w:val="22"/>
          <w:lang w:val="es-ES_tradnl"/>
        </w:rPr>
        <w:t>Cálculo del Costo s de Oportunidad Mensual</w:t>
      </w:r>
    </w:p>
    <w:p w14:paraId="0F3DDB0B" w14:textId="77777777" w:rsidR="00931B5F" w:rsidRPr="00D848CE" w:rsidRDefault="00931B5F" w:rsidP="008B5547">
      <w:pPr>
        <w:pStyle w:val="FootnoteText"/>
        <w:spacing w:before="120" w:after="120"/>
        <w:ind w:left="1440"/>
        <w:jc w:val="both"/>
        <w:rPr>
          <w:rFonts w:ascii="Arial" w:hAnsi="Arial" w:cs="Arial"/>
          <w:b/>
          <w:sz w:val="22"/>
          <w:szCs w:val="22"/>
          <w:lang w:val="es-ES_tradnl"/>
        </w:rPr>
      </w:pPr>
      <w:r w:rsidRPr="00D848CE">
        <w:rPr>
          <w:rFonts w:ascii="Arial" w:hAnsi="Arial" w:cs="Arial"/>
          <w:b/>
          <w:sz w:val="22"/>
          <w:szCs w:val="22"/>
          <w:lang w:val="es-ES_tradnl"/>
        </w:rPr>
        <w:t>COM = Costo de Oportunidad mensual</w:t>
      </w:r>
      <w:r w:rsidR="008B5547" w:rsidRPr="00D848CE">
        <w:rPr>
          <w:rFonts w:ascii="Arial" w:hAnsi="Arial" w:cs="Arial"/>
          <w:b/>
          <w:sz w:val="22"/>
          <w:szCs w:val="22"/>
          <w:lang w:val="es-ES_tradnl"/>
        </w:rPr>
        <w:t xml:space="preserve"> (4)</w:t>
      </w:r>
    </w:p>
    <w:p w14:paraId="5308E70C" w14:textId="77777777" w:rsidR="00D6447C" w:rsidRPr="00D848CE" w:rsidRDefault="00931B5F" w:rsidP="008B5547">
      <w:pPr>
        <w:pStyle w:val="FootnoteText"/>
        <w:numPr>
          <w:ilvl w:val="0"/>
          <w:numId w:val="17"/>
        </w:numPr>
        <w:spacing w:before="120" w:after="120"/>
        <w:jc w:val="both"/>
        <w:rPr>
          <w:rFonts w:ascii="Arial" w:hAnsi="Arial" w:cs="Arial"/>
          <w:sz w:val="22"/>
          <w:szCs w:val="22"/>
        </w:rPr>
      </w:pPr>
      <w:r w:rsidRPr="00D848CE">
        <w:rPr>
          <w:rFonts w:ascii="Arial" w:hAnsi="Arial" w:cs="Arial"/>
          <w:sz w:val="22"/>
          <w:szCs w:val="22"/>
        </w:rPr>
        <w:lastRenderedPageBreak/>
        <w:t>COM = Sumatori</w:t>
      </w:r>
      <w:r w:rsidR="00C95FE4" w:rsidRPr="00D848CE">
        <w:rPr>
          <w:rFonts w:ascii="Arial" w:hAnsi="Arial" w:cs="Arial"/>
          <w:sz w:val="22"/>
          <w:szCs w:val="22"/>
        </w:rPr>
        <w:t>a</w:t>
      </w:r>
      <w:r w:rsidRPr="00D848CE">
        <w:rPr>
          <w:rFonts w:ascii="Arial" w:hAnsi="Arial" w:cs="Arial"/>
          <w:sz w:val="22"/>
          <w:szCs w:val="22"/>
        </w:rPr>
        <w:t xml:space="preserve"> </w:t>
      </w:r>
      <w:r w:rsidR="00B40E72" w:rsidRPr="00D848CE">
        <w:rPr>
          <w:rFonts w:ascii="Arial" w:hAnsi="Arial" w:cs="Arial"/>
          <w:sz w:val="22"/>
          <w:szCs w:val="22"/>
        </w:rPr>
        <w:t>(CO</w:t>
      </w:r>
      <w:r w:rsidR="008B5547" w:rsidRPr="00D848CE">
        <w:rPr>
          <w:rFonts w:ascii="Arial" w:hAnsi="Arial" w:cs="Arial"/>
          <w:sz w:val="22"/>
          <w:szCs w:val="22"/>
        </w:rPr>
        <w:t>D</w:t>
      </w:r>
      <w:r w:rsidRPr="00D848CE">
        <w:rPr>
          <w:rFonts w:ascii="Arial" w:hAnsi="Arial" w:cs="Arial"/>
          <w:sz w:val="22"/>
          <w:szCs w:val="22"/>
        </w:rPr>
        <w:t xml:space="preserve"> </w:t>
      </w:r>
      <w:r w:rsidR="00BC640D" w:rsidRPr="00D848CE">
        <w:rPr>
          <w:rFonts w:ascii="Arial" w:hAnsi="Arial" w:cs="Arial"/>
          <w:sz w:val="22"/>
          <w:szCs w:val="22"/>
        </w:rPr>
        <w:t>días 1, 5,10,15,20,25,30) = US$</w:t>
      </w:r>
      <w:r w:rsidRPr="00D848CE">
        <w:rPr>
          <w:rFonts w:ascii="Arial" w:hAnsi="Arial" w:cs="Arial"/>
          <w:sz w:val="22"/>
          <w:szCs w:val="22"/>
        </w:rPr>
        <w:t>3</w:t>
      </w:r>
      <w:r w:rsidR="00BC640D" w:rsidRPr="00D848CE">
        <w:rPr>
          <w:rFonts w:ascii="Arial" w:hAnsi="Arial" w:cs="Arial"/>
          <w:sz w:val="22"/>
          <w:szCs w:val="22"/>
        </w:rPr>
        <w:t>.</w:t>
      </w:r>
      <w:r w:rsidRPr="00D848CE">
        <w:rPr>
          <w:rFonts w:ascii="Arial" w:hAnsi="Arial" w:cs="Arial"/>
          <w:sz w:val="22"/>
          <w:szCs w:val="22"/>
        </w:rPr>
        <w:t>822 + US$17</w:t>
      </w:r>
      <w:r w:rsidR="00BC640D" w:rsidRPr="00D848CE">
        <w:rPr>
          <w:rFonts w:ascii="Arial" w:hAnsi="Arial" w:cs="Arial"/>
          <w:sz w:val="22"/>
          <w:szCs w:val="22"/>
        </w:rPr>
        <w:t>.792 + US$14.497 + US$</w:t>
      </w:r>
      <w:r w:rsidRPr="00D848CE">
        <w:rPr>
          <w:rFonts w:ascii="Arial" w:hAnsi="Arial" w:cs="Arial"/>
          <w:sz w:val="22"/>
          <w:szCs w:val="22"/>
        </w:rPr>
        <w:t>11</w:t>
      </w:r>
      <w:r w:rsidR="00BC640D" w:rsidRPr="00D848CE">
        <w:rPr>
          <w:rFonts w:ascii="Arial" w:hAnsi="Arial" w:cs="Arial"/>
          <w:sz w:val="22"/>
          <w:szCs w:val="22"/>
        </w:rPr>
        <w:t>.</w:t>
      </w:r>
      <w:r w:rsidRPr="00D848CE">
        <w:rPr>
          <w:rFonts w:ascii="Arial" w:hAnsi="Arial" w:cs="Arial"/>
          <w:sz w:val="22"/>
          <w:szCs w:val="22"/>
        </w:rPr>
        <w:t>202 + US$7</w:t>
      </w:r>
      <w:r w:rsidR="00BC640D" w:rsidRPr="00D848CE">
        <w:rPr>
          <w:rFonts w:ascii="Arial" w:hAnsi="Arial" w:cs="Arial"/>
          <w:sz w:val="22"/>
          <w:szCs w:val="22"/>
        </w:rPr>
        <w:t>.</w:t>
      </w:r>
      <w:r w:rsidRPr="00D848CE">
        <w:rPr>
          <w:rFonts w:ascii="Arial" w:hAnsi="Arial" w:cs="Arial"/>
          <w:sz w:val="22"/>
          <w:szCs w:val="22"/>
        </w:rPr>
        <w:t>907 + US$4</w:t>
      </w:r>
      <w:r w:rsidR="00BC640D" w:rsidRPr="00D848CE">
        <w:rPr>
          <w:rFonts w:ascii="Arial" w:hAnsi="Arial" w:cs="Arial"/>
          <w:sz w:val="22"/>
          <w:szCs w:val="22"/>
        </w:rPr>
        <w:t>.</w:t>
      </w:r>
      <w:r w:rsidRPr="00D848CE">
        <w:rPr>
          <w:rFonts w:ascii="Arial" w:hAnsi="Arial" w:cs="Arial"/>
          <w:sz w:val="22"/>
          <w:szCs w:val="22"/>
        </w:rPr>
        <w:t>613 + US$1</w:t>
      </w:r>
      <w:r w:rsidR="00BC640D" w:rsidRPr="00D848CE">
        <w:rPr>
          <w:rFonts w:ascii="Arial" w:hAnsi="Arial" w:cs="Arial"/>
          <w:sz w:val="22"/>
          <w:szCs w:val="22"/>
        </w:rPr>
        <w:t>.</w:t>
      </w:r>
      <w:r w:rsidRPr="00D848CE">
        <w:rPr>
          <w:rFonts w:ascii="Arial" w:hAnsi="Arial" w:cs="Arial"/>
          <w:sz w:val="22"/>
          <w:szCs w:val="22"/>
        </w:rPr>
        <w:t>318 = US$ 57</w:t>
      </w:r>
      <w:r w:rsidR="00BC640D" w:rsidRPr="00D848CE">
        <w:rPr>
          <w:rFonts w:ascii="Arial" w:hAnsi="Arial" w:cs="Arial"/>
          <w:sz w:val="22"/>
          <w:szCs w:val="22"/>
        </w:rPr>
        <w:t>.</w:t>
      </w:r>
      <w:r w:rsidRPr="00D848CE">
        <w:rPr>
          <w:rFonts w:ascii="Arial" w:hAnsi="Arial" w:cs="Arial"/>
          <w:sz w:val="22"/>
          <w:szCs w:val="22"/>
        </w:rPr>
        <w:t>329</w:t>
      </w:r>
    </w:p>
    <w:p w14:paraId="17949E17" w14:textId="77777777" w:rsidR="00B40E72" w:rsidRPr="00D848CE" w:rsidRDefault="00B40E72" w:rsidP="008B5547">
      <w:pPr>
        <w:pStyle w:val="FootnoteText"/>
        <w:numPr>
          <w:ilvl w:val="1"/>
          <w:numId w:val="2"/>
        </w:numPr>
        <w:tabs>
          <w:tab w:val="clear" w:pos="1296"/>
        </w:tabs>
        <w:spacing w:before="120" w:after="120"/>
        <w:ind w:left="720" w:hanging="720"/>
        <w:jc w:val="both"/>
        <w:rPr>
          <w:rFonts w:ascii="Arial" w:hAnsi="Arial" w:cs="Arial"/>
          <w:sz w:val="22"/>
          <w:szCs w:val="22"/>
          <w:lang w:val="es-ES_tradnl"/>
        </w:rPr>
      </w:pPr>
      <w:r w:rsidRPr="00D848CE">
        <w:rPr>
          <w:rFonts w:ascii="Arial" w:hAnsi="Arial" w:cs="Arial"/>
          <w:b/>
          <w:sz w:val="22"/>
          <w:szCs w:val="22"/>
          <w:lang w:val="es-ES_tradnl"/>
        </w:rPr>
        <w:t xml:space="preserve">Cálculo del Costo s de Oportunidad </w:t>
      </w:r>
      <w:r w:rsidR="0041232B" w:rsidRPr="00D848CE">
        <w:rPr>
          <w:rFonts w:ascii="Arial" w:hAnsi="Arial" w:cs="Arial"/>
          <w:b/>
          <w:sz w:val="22"/>
          <w:szCs w:val="22"/>
          <w:lang w:val="es-ES_tradnl"/>
        </w:rPr>
        <w:t>Anual</w:t>
      </w:r>
    </w:p>
    <w:p w14:paraId="3B818CF5" w14:textId="77777777" w:rsidR="0041232B" w:rsidRPr="00D848CE" w:rsidRDefault="0041232B" w:rsidP="008B5547">
      <w:pPr>
        <w:pStyle w:val="FootnoteText"/>
        <w:spacing w:before="120" w:after="120"/>
        <w:ind w:left="1440"/>
        <w:jc w:val="both"/>
        <w:rPr>
          <w:rFonts w:ascii="Arial" w:hAnsi="Arial" w:cs="Arial"/>
          <w:b/>
          <w:sz w:val="22"/>
          <w:szCs w:val="22"/>
          <w:lang w:val="es-ES_tradnl"/>
        </w:rPr>
      </w:pPr>
      <w:r w:rsidRPr="00D848CE">
        <w:rPr>
          <w:rFonts w:ascii="Arial" w:hAnsi="Arial" w:cs="Arial"/>
          <w:b/>
          <w:sz w:val="22"/>
          <w:szCs w:val="22"/>
          <w:lang w:val="es-ES_tradnl"/>
        </w:rPr>
        <w:t>COA = Costo de Oportunidad Anual</w:t>
      </w:r>
      <w:r w:rsidR="008B5547" w:rsidRPr="00D848CE">
        <w:rPr>
          <w:rFonts w:ascii="Arial" w:hAnsi="Arial" w:cs="Arial"/>
          <w:b/>
          <w:sz w:val="22"/>
          <w:szCs w:val="22"/>
          <w:lang w:val="es-ES_tradnl"/>
        </w:rPr>
        <w:t xml:space="preserve"> (5)</w:t>
      </w:r>
    </w:p>
    <w:p w14:paraId="74095A1C" w14:textId="77777777" w:rsidR="00B40E72" w:rsidRPr="00D848CE" w:rsidRDefault="0041232B" w:rsidP="008B5547">
      <w:pPr>
        <w:pStyle w:val="FootnoteText"/>
        <w:numPr>
          <w:ilvl w:val="0"/>
          <w:numId w:val="18"/>
        </w:numPr>
        <w:spacing w:before="120" w:after="120"/>
        <w:jc w:val="both"/>
        <w:rPr>
          <w:rFonts w:ascii="Arial" w:hAnsi="Arial" w:cs="Arial"/>
          <w:sz w:val="22"/>
          <w:szCs w:val="22"/>
          <w:lang w:val="es-ES_tradnl"/>
        </w:rPr>
      </w:pPr>
      <w:r w:rsidRPr="00D848CE">
        <w:rPr>
          <w:rFonts w:ascii="Arial" w:hAnsi="Arial" w:cs="Arial"/>
          <w:sz w:val="22"/>
          <w:szCs w:val="22"/>
          <w:lang w:val="es-ES_tradnl"/>
        </w:rPr>
        <w:t>COA = COM * 12 = US$57</w:t>
      </w:r>
      <w:r w:rsidR="00BC640D" w:rsidRPr="00D848CE">
        <w:rPr>
          <w:rFonts w:ascii="Arial" w:hAnsi="Arial" w:cs="Arial"/>
          <w:sz w:val="22"/>
          <w:szCs w:val="22"/>
          <w:lang w:val="es-ES_tradnl"/>
        </w:rPr>
        <w:t>.329 *12 = US$</w:t>
      </w:r>
      <w:r w:rsidRPr="00D848CE">
        <w:rPr>
          <w:rFonts w:ascii="Arial" w:hAnsi="Arial" w:cs="Arial"/>
          <w:sz w:val="22"/>
          <w:szCs w:val="22"/>
          <w:lang w:val="es-ES_tradnl"/>
        </w:rPr>
        <w:t>687</w:t>
      </w:r>
      <w:r w:rsidR="00BC640D" w:rsidRPr="00D848CE">
        <w:rPr>
          <w:rFonts w:ascii="Arial" w:hAnsi="Arial" w:cs="Arial"/>
          <w:sz w:val="22"/>
          <w:szCs w:val="22"/>
          <w:lang w:val="es-ES_tradnl"/>
        </w:rPr>
        <w:t>.</w:t>
      </w:r>
      <w:r w:rsidRPr="00D848CE">
        <w:rPr>
          <w:rFonts w:ascii="Arial" w:hAnsi="Arial" w:cs="Arial"/>
          <w:sz w:val="22"/>
          <w:szCs w:val="22"/>
          <w:lang w:val="es-ES_tradnl"/>
        </w:rPr>
        <w:t>945</w:t>
      </w:r>
    </w:p>
    <w:p w14:paraId="25D2CC79" w14:textId="77777777" w:rsidR="0041232B" w:rsidRPr="00D848CE" w:rsidRDefault="0041232B" w:rsidP="008B5547">
      <w:pPr>
        <w:pStyle w:val="FootnoteText"/>
        <w:numPr>
          <w:ilvl w:val="1"/>
          <w:numId w:val="2"/>
        </w:numPr>
        <w:tabs>
          <w:tab w:val="clear" w:pos="1296"/>
        </w:tabs>
        <w:spacing w:before="120" w:after="120"/>
        <w:ind w:left="720" w:hanging="720"/>
        <w:jc w:val="both"/>
        <w:rPr>
          <w:rFonts w:ascii="Arial" w:hAnsi="Arial" w:cs="Arial"/>
          <w:b/>
          <w:sz w:val="22"/>
          <w:szCs w:val="22"/>
          <w:lang w:val="es-ES_tradnl"/>
        </w:rPr>
      </w:pPr>
      <w:r w:rsidRPr="00D848CE">
        <w:rPr>
          <w:rFonts w:ascii="Arial" w:hAnsi="Arial" w:cs="Arial"/>
          <w:b/>
          <w:sz w:val="22"/>
          <w:szCs w:val="22"/>
          <w:lang w:val="es-ES_tradnl"/>
        </w:rPr>
        <w:t>Cálculo de los ahorros con el pago de deuda</w:t>
      </w:r>
    </w:p>
    <w:p w14:paraId="22FB11CE" w14:textId="77777777" w:rsidR="0041232B" w:rsidRPr="00D848CE" w:rsidRDefault="0041232B" w:rsidP="008B5547">
      <w:pPr>
        <w:pStyle w:val="FootnoteText"/>
        <w:spacing w:before="120" w:after="120"/>
        <w:ind w:left="720" w:firstLine="720"/>
        <w:jc w:val="both"/>
        <w:rPr>
          <w:rFonts w:ascii="Arial" w:hAnsi="Arial" w:cs="Arial"/>
          <w:b/>
          <w:sz w:val="22"/>
          <w:szCs w:val="22"/>
          <w:lang w:val="es-ES_tradnl"/>
        </w:rPr>
      </w:pPr>
      <w:r w:rsidRPr="00D848CE">
        <w:rPr>
          <w:rFonts w:ascii="Arial" w:hAnsi="Arial" w:cs="Arial"/>
          <w:b/>
          <w:sz w:val="22"/>
          <w:szCs w:val="22"/>
          <w:lang w:val="es-ES_tradnl"/>
        </w:rPr>
        <w:t>APD = Ahorros Pago de la Deuda</w:t>
      </w:r>
    </w:p>
    <w:p w14:paraId="14E6C921" w14:textId="77777777" w:rsidR="0041232B" w:rsidRPr="00D848CE" w:rsidRDefault="0041232B" w:rsidP="008B5547">
      <w:pPr>
        <w:pStyle w:val="FootnoteText"/>
        <w:numPr>
          <w:ilvl w:val="0"/>
          <w:numId w:val="19"/>
        </w:numPr>
        <w:spacing w:before="120" w:after="120"/>
        <w:jc w:val="both"/>
        <w:rPr>
          <w:rFonts w:ascii="Arial" w:hAnsi="Arial" w:cs="Arial"/>
          <w:b/>
          <w:sz w:val="22"/>
          <w:szCs w:val="22"/>
          <w:lang w:val="es-ES_tradnl"/>
        </w:rPr>
      </w:pPr>
      <w:r w:rsidRPr="00D848CE">
        <w:rPr>
          <w:rFonts w:ascii="Arial" w:hAnsi="Arial" w:cs="Arial"/>
          <w:sz w:val="22"/>
          <w:szCs w:val="22"/>
          <w:lang w:val="es-ES_tradnl"/>
        </w:rPr>
        <w:t>AP</w:t>
      </w:r>
      <w:r w:rsidR="00F56C89" w:rsidRPr="00D848CE">
        <w:rPr>
          <w:rFonts w:ascii="Arial" w:hAnsi="Arial" w:cs="Arial"/>
          <w:sz w:val="22"/>
          <w:szCs w:val="22"/>
          <w:lang w:val="es-ES_tradnl"/>
        </w:rPr>
        <w:t>D = COA * 15%</w:t>
      </w:r>
      <w:r w:rsidR="00BC640D" w:rsidRPr="00D848CE">
        <w:rPr>
          <w:rFonts w:ascii="Arial" w:hAnsi="Arial" w:cs="Arial"/>
          <w:sz w:val="22"/>
          <w:szCs w:val="22"/>
          <w:lang w:val="es-ES_tradnl"/>
        </w:rPr>
        <w:t xml:space="preserve"> = US$</w:t>
      </w:r>
      <w:r w:rsidR="00F56C89" w:rsidRPr="00D848CE">
        <w:rPr>
          <w:rFonts w:ascii="Arial" w:hAnsi="Arial" w:cs="Arial"/>
          <w:sz w:val="22"/>
          <w:szCs w:val="22"/>
          <w:lang w:val="es-ES_tradnl"/>
        </w:rPr>
        <w:t>687</w:t>
      </w:r>
      <w:r w:rsidR="00BC640D" w:rsidRPr="00D848CE">
        <w:rPr>
          <w:rFonts w:ascii="Arial" w:hAnsi="Arial" w:cs="Arial"/>
          <w:sz w:val="22"/>
          <w:szCs w:val="22"/>
          <w:lang w:val="es-ES_tradnl"/>
        </w:rPr>
        <w:t>.</w:t>
      </w:r>
      <w:r w:rsidR="00F56C89" w:rsidRPr="00D848CE">
        <w:rPr>
          <w:rFonts w:ascii="Arial" w:hAnsi="Arial" w:cs="Arial"/>
          <w:sz w:val="22"/>
          <w:szCs w:val="22"/>
          <w:lang w:val="es-ES_tradnl"/>
        </w:rPr>
        <w:t>945 * 7.6</w:t>
      </w:r>
      <w:r w:rsidRPr="00D848CE">
        <w:rPr>
          <w:rFonts w:ascii="Arial" w:hAnsi="Arial" w:cs="Arial"/>
          <w:sz w:val="22"/>
          <w:szCs w:val="22"/>
          <w:lang w:val="es-ES_tradnl"/>
        </w:rPr>
        <w:t xml:space="preserve">% = </w:t>
      </w:r>
      <w:r w:rsidR="00F56C89" w:rsidRPr="00D848CE">
        <w:rPr>
          <w:rFonts w:ascii="Arial" w:hAnsi="Arial" w:cs="Arial"/>
          <w:sz w:val="22"/>
          <w:szCs w:val="22"/>
          <w:lang w:val="es-ES_tradnl"/>
        </w:rPr>
        <w:t>US$51</w:t>
      </w:r>
      <w:r w:rsidR="00BC640D" w:rsidRPr="00D848CE">
        <w:rPr>
          <w:rFonts w:ascii="Arial" w:hAnsi="Arial" w:cs="Arial"/>
          <w:sz w:val="22"/>
          <w:szCs w:val="22"/>
          <w:lang w:val="es-ES_tradnl"/>
        </w:rPr>
        <w:t>.</w:t>
      </w:r>
      <w:r w:rsidR="00F56C89" w:rsidRPr="00D848CE">
        <w:rPr>
          <w:rFonts w:ascii="Arial" w:hAnsi="Arial" w:cs="Arial"/>
          <w:sz w:val="22"/>
          <w:szCs w:val="22"/>
          <w:lang w:val="es-ES_tradnl"/>
        </w:rPr>
        <w:t>596</w:t>
      </w:r>
    </w:p>
    <w:p w14:paraId="74BEC0CA" w14:textId="77777777" w:rsidR="005D04FB" w:rsidRPr="00D848CE" w:rsidRDefault="005D04FB" w:rsidP="00DC5F2E">
      <w:pPr>
        <w:pStyle w:val="FootnoteText"/>
        <w:spacing w:before="120" w:after="120"/>
        <w:ind w:left="1440"/>
        <w:jc w:val="both"/>
        <w:rPr>
          <w:rFonts w:ascii="Arial" w:hAnsi="Arial" w:cs="Arial"/>
          <w:sz w:val="22"/>
          <w:szCs w:val="22"/>
          <w:lang w:val="es-ES_tradnl"/>
        </w:rPr>
      </w:pPr>
    </w:p>
    <w:p w14:paraId="54F7025D" w14:textId="77777777" w:rsidR="006B03A2" w:rsidRPr="00D848CE" w:rsidRDefault="00DC5F2E" w:rsidP="00DC5F2E">
      <w:pPr>
        <w:pStyle w:val="Paragraph"/>
        <w:numPr>
          <w:ilvl w:val="1"/>
          <w:numId w:val="2"/>
        </w:numPr>
        <w:tabs>
          <w:tab w:val="num" w:pos="720"/>
        </w:tabs>
        <w:autoSpaceDE w:val="0"/>
        <w:autoSpaceDN w:val="0"/>
        <w:adjustRightInd w:val="0"/>
        <w:ind w:left="720" w:hanging="720"/>
        <w:outlineLvl w:val="9"/>
        <w:rPr>
          <w:rFonts w:ascii="Arial" w:hAnsi="Arial" w:cs="Arial"/>
          <w:sz w:val="22"/>
          <w:szCs w:val="22"/>
          <w:lang w:val="es-ES_tradnl"/>
        </w:rPr>
      </w:pPr>
      <w:r w:rsidRPr="00D848CE">
        <w:rPr>
          <w:rFonts w:ascii="Arial" w:hAnsi="Arial" w:cs="Arial"/>
          <w:b/>
          <w:sz w:val="22"/>
          <w:szCs w:val="22"/>
          <w:lang w:val="es-ES_tradnl"/>
        </w:rPr>
        <w:t xml:space="preserve">Conclusión. </w:t>
      </w:r>
      <w:r w:rsidRPr="00D848CE">
        <w:rPr>
          <w:rFonts w:ascii="Arial" w:hAnsi="Arial" w:cs="Arial"/>
          <w:sz w:val="22"/>
          <w:szCs w:val="22"/>
          <w:lang w:val="es-ES_tradnl"/>
        </w:rPr>
        <w:t xml:space="preserve">Considerando </w:t>
      </w:r>
      <w:r w:rsidR="0041232B" w:rsidRPr="00D848CE">
        <w:rPr>
          <w:rFonts w:ascii="Arial" w:hAnsi="Arial" w:cs="Arial"/>
          <w:sz w:val="22"/>
          <w:szCs w:val="22"/>
          <w:lang w:val="es-ES_tradnl"/>
        </w:rPr>
        <w:t xml:space="preserve">los flujos </w:t>
      </w:r>
      <w:r w:rsidR="006A0426" w:rsidRPr="00D848CE">
        <w:rPr>
          <w:rFonts w:ascii="Arial" w:hAnsi="Arial" w:cs="Arial"/>
          <w:sz w:val="22"/>
          <w:szCs w:val="22"/>
          <w:lang w:val="es-ES_tradnl"/>
        </w:rPr>
        <w:t>diarios</w:t>
      </w:r>
      <w:r w:rsidR="0041232B" w:rsidRPr="00D848CE">
        <w:rPr>
          <w:rFonts w:ascii="Arial" w:hAnsi="Arial" w:cs="Arial"/>
          <w:sz w:val="22"/>
          <w:szCs w:val="22"/>
          <w:lang w:val="es-ES_tradnl"/>
        </w:rPr>
        <w:t xml:space="preserve"> de </w:t>
      </w:r>
      <w:r w:rsidRPr="00D848CE">
        <w:rPr>
          <w:rFonts w:ascii="Arial" w:hAnsi="Arial" w:cs="Arial"/>
          <w:sz w:val="22"/>
          <w:szCs w:val="22"/>
          <w:lang w:val="es-ES_tradnl"/>
        </w:rPr>
        <w:t>los US$</w:t>
      </w:r>
      <w:r w:rsidR="00172D55" w:rsidRPr="00D848CE">
        <w:rPr>
          <w:rFonts w:ascii="Arial" w:hAnsi="Arial" w:cs="Arial"/>
          <w:sz w:val="22"/>
          <w:szCs w:val="22"/>
          <w:lang w:val="es-ES_tradnl"/>
        </w:rPr>
        <w:t>465</w:t>
      </w:r>
      <w:r w:rsidRPr="00D848CE">
        <w:rPr>
          <w:rFonts w:ascii="Arial" w:hAnsi="Arial" w:cs="Arial"/>
          <w:sz w:val="22"/>
          <w:szCs w:val="22"/>
          <w:lang w:val="es-ES_tradnl"/>
        </w:rPr>
        <w:t xml:space="preserve"> millones excedentes </w:t>
      </w:r>
      <w:r w:rsidR="006A0426" w:rsidRPr="00D848CE">
        <w:rPr>
          <w:rFonts w:ascii="Arial" w:hAnsi="Arial" w:cs="Arial"/>
          <w:sz w:val="22"/>
          <w:szCs w:val="22"/>
          <w:lang w:val="es-ES_tradnl"/>
        </w:rPr>
        <w:t xml:space="preserve">incorporados </w:t>
      </w:r>
      <w:r w:rsidRPr="00D848CE">
        <w:rPr>
          <w:rFonts w:ascii="Arial" w:hAnsi="Arial" w:cs="Arial"/>
          <w:sz w:val="22"/>
          <w:szCs w:val="22"/>
          <w:lang w:val="es-ES_tradnl"/>
        </w:rPr>
        <w:t xml:space="preserve">en la cuenta única, se generaría una ganancia de </w:t>
      </w:r>
      <w:r w:rsidR="00172D55" w:rsidRPr="00D848CE">
        <w:rPr>
          <w:rFonts w:ascii="Arial" w:hAnsi="Arial" w:cs="Arial"/>
          <w:sz w:val="22"/>
          <w:szCs w:val="22"/>
          <w:lang w:val="es-ES_tradnl"/>
        </w:rPr>
        <w:t xml:space="preserve">aproximadamente </w:t>
      </w:r>
      <w:r w:rsidRPr="00D848CE">
        <w:rPr>
          <w:rFonts w:ascii="Arial" w:hAnsi="Arial" w:cs="Arial"/>
          <w:sz w:val="22"/>
          <w:szCs w:val="22"/>
          <w:lang w:val="es-ES_tradnl"/>
        </w:rPr>
        <w:t>US$</w:t>
      </w:r>
      <w:r w:rsidR="0041232B" w:rsidRPr="00D848CE">
        <w:rPr>
          <w:rFonts w:ascii="Arial" w:hAnsi="Arial" w:cs="Arial"/>
          <w:sz w:val="22"/>
          <w:szCs w:val="22"/>
          <w:lang w:val="es-ES_tradnl"/>
        </w:rPr>
        <w:t>687</w:t>
      </w:r>
      <w:r w:rsidR="00BC640D" w:rsidRPr="00D848CE">
        <w:rPr>
          <w:rFonts w:ascii="Arial" w:hAnsi="Arial" w:cs="Arial"/>
          <w:sz w:val="22"/>
          <w:szCs w:val="22"/>
          <w:lang w:val="es-ES_tradnl"/>
        </w:rPr>
        <w:t>.</w:t>
      </w:r>
      <w:r w:rsidR="0041232B" w:rsidRPr="00D848CE">
        <w:rPr>
          <w:rFonts w:ascii="Arial" w:hAnsi="Arial" w:cs="Arial"/>
          <w:sz w:val="22"/>
          <w:szCs w:val="22"/>
          <w:lang w:val="es-ES_tradnl"/>
        </w:rPr>
        <w:t xml:space="preserve">945 </w:t>
      </w:r>
      <w:r w:rsidRPr="00D848CE">
        <w:rPr>
          <w:rFonts w:ascii="Arial" w:hAnsi="Arial" w:cs="Arial"/>
          <w:sz w:val="22"/>
          <w:szCs w:val="22"/>
          <w:lang w:val="es-ES_tradnl"/>
        </w:rPr>
        <w:t>(ver ¶5.1</w:t>
      </w:r>
      <w:r w:rsidR="0041232B" w:rsidRPr="00D848CE">
        <w:rPr>
          <w:rFonts w:ascii="Arial" w:hAnsi="Arial" w:cs="Arial"/>
          <w:sz w:val="22"/>
          <w:szCs w:val="22"/>
          <w:lang w:val="es-ES_tradnl"/>
        </w:rPr>
        <w:t>6</w:t>
      </w:r>
      <w:r w:rsidRPr="00D848CE">
        <w:rPr>
          <w:rFonts w:ascii="Arial" w:hAnsi="Arial" w:cs="Arial"/>
          <w:sz w:val="22"/>
          <w:szCs w:val="22"/>
          <w:lang w:val="es-ES_tradnl"/>
        </w:rPr>
        <w:t xml:space="preserve">). Adicionalmente, con la utilización de este recurso para el pago de la deuda pública, se generaría un ahorro </w:t>
      </w:r>
      <w:r w:rsidR="006A0426" w:rsidRPr="00D848CE">
        <w:rPr>
          <w:rFonts w:ascii="Arial" w:hAnsi="Arial" w:cs="Arial"/>
          <w:sz w:val="22"/>
          <w:szCs w:val="22"/>
          <w:lang w:val="es-ES_tradnl"/>
        </w:rPr>
        <w:t xml:space="preserve">adicional con la </w:t>
      </w:r>
      <w:r w:rsidR="00F56C89" w:rsidRPr="00D848CE">
        <w:rPr>
          <w:rFonts w:ascii="Arial" w:hAnsi="Arial" w:cs="Arial"/>
          <w:sz w:val="22"/>
          <w:szCs w:val="22"/>
          <w:lang w:val="es-ES_tradnl"/>
        </w:rPr>
        <w:t>disminución</w:t>
      </w:r>
      <w:r w:rsidR="006A0426" w:rsidRPr="00D848CE">
        <w:rPr>
          <w:rFonts w:ascii="Arial" w:hAnsi="Arial" w:cs="Arial"/>
          <w:sz w:val="22"/>
          <w:szCs w:val="22"/>
          <w:lang w:val="es-ES_tradnl"/>
        </w:rPr>
        <w:t xml:space="preserve"> de</w:t>
      </w:r>
      <w:r w:rsidRPr="00D848CE">
        <w:rPr>
          <w:rFonts w:ascii="Arial" w:hAnsi="Arial" w:cs="Arial"/>
          <w:sz w:val="22"/>
          <w:szCs w:val="22"/>
          <w:lang w:val="es-ES_tradnl"/>
        </w:rPr>
        <w:t xml:space="preserve"> los intereses de aproximadamente US$</w:t>
      </w:r>
      <w:r w:rsidR="00F56C89" w:rsidRPr="00D848CE">
        <w:rPr>
          <w:rFonts w:ascii="Arial" w:hAnsi="Arial" w:cs="Arial"/>
          <w:sz w:val="22"/>
          <w:szCs w:val="22"/>
          <w:lang w:val="es-ES_tradnl"/>
        </w:rPr>
        <w:t>51</w:t>
      </w:r>
      <w:r w:rsidR="00BC640D" w:rsidRPr="00D848CE">
        <w:rPr>
          <w:rFonts w:ascii="Arial" w:hAnsi="Arial" w:cs="Arial"/>
          <w:sz w:val="22"/>
          <w:szCs w:val="22"/>
          <w:lang w:val="es-ES_tradnl"/>
        </w:rPr>
        <w:t>.</w:t>
      </w:r>
      <w:r w:rsidR="00F56C89" w:rsidRPr="00D848CE">
        <w:rPr>
          <w:rFonts w:ascii="Arial" w:hAnsi="Arial" w:cs="Arial"/>
          <w:sz w:val="22"/>
          <w:szCs w:val="22"/>
          <w:lang w:val="es-ES_tradnl"/>
        </w:rPr>
        <w:t>596</w:t>
      </w:r>
      <w:r w:rsidRPr="00D848CE">
        <w:rPr>
          <w:rFonts w:ascii="Arial" w:hAnsi="Arial" w:cs="Arial"/>
          <w:sz w:val="22"/>
          <w:szCs w:val="22"/>
          <w:lang w:val="es-ES_tradnl"/>
        </w:rPr>
        <w:t xml:space="preserve"> (ver ¶5.1</w:t>
      </w:r>
      <w:r w:rsidR="0041232B" w:rsidRPr="00D848CE">
        <w:rPr>
          <w:rFonts w:ascii="Arial" w:hAnsi="Arial" w:cs="Arial"/>
          <w:sz w:val="22"/>
          <w:szCs w:val="22"/>
          <w:lang w:val="es-ES_tradnl"/>
        </w:rPr>
        <w:t>7</w:t>
      </w:r>
      <w:r w:rsidRPr="00D848CE">
        <w:rPr>
          <w:rFonts w:ascii="Arial" w:hAnsi="Arial" w:cs="Arial"/>
          <w:sz w:val="22"/>
          <w:szCs w:val="22"/>
          <w:lang w:val="es-ES_tradnl"/>
        </w:rPr>
        <w:t>), los cuales acumulados con los intereses de las aplicaciones financieras generaría un beneficio financiero</w:t>
      </w:r>
      <w:r w:rsidR="006A0426" w:rsidRPr="00D848CE">
        <w:rPr>
          <w:rFonts w:ascii="Arial" w:hAnsi="Arial" w:cs="Arial"/>
          <w:sz w:val="22"/>
          <w:szCs w:val="22"/>
          <w:lang w:val="es-ES_tradnl"/>
        </w:rPr>
        <w:t xml:space="preserve"> total </w:t>
      </w:r>
      <w:r w:rsidRPr="00D848CE">
        <w:rPr>
          <w:rFonts w:ascii="Arial" w:hAnsi="Arial" w:cs="Arial"/>
          <w:sz w:val="22"/>
          <w:szCs w:val="22"/>
          <w:lang w:val="es-ES_tradnl"/>
        </w:rPr>
        <w:t>de aproximadamente US$</w:t>
      </w:r>
      <w:r w:rsidR="0041232B" w:rsidRPr="00D848CE">
        <w:rPr>
          <w:rFonts w:ascii="Arial" w:hAnsi="Arial" w:cs="Arial"/>
          <w:sz w:val="22"/>
          <w:szCs w:val="22"/>
          <w:lang w:val="es-ES_tradnl"/>
        </w:rPr>
        <w:t>7</w:t>
      </w:r>
      <w:r w:rsidR="00F56C89" w:rsidRPr="00D848CE">
        <w:rPr>
          <w:rFonts w:ascii="Arial" w:hAnsi="Arial" w:cs="Arial"/>
          <w:sz w:val="22"/>
          <w:szCs w:val="22"/>
          <w:lang w:val="es-ES_tradnl"/>
        </w:rPr>
        <w:t>39</w:t>
      </w:r>
      <w:r w:rsidR="00BC640D" w:rsidRPr="00D848CE">
        <w:rPr>
          <w:rFonts w:ascii="Arial" w:hAnsi="Arial" w:cs="Arial"/>
          <w:sz w:val="22"/>
          <w:szCs w:val="22"/>
          <w:lang w:val="es-ES_tradnl"/>
        </w:rPr>
        <w:t>.</w:t>
      </w:r>
      <w:r w:rsidR="00F56C89" w:rsidRPr="00D848CE">
        <w:rPr>
          <w:rFonts w:ascii="Arial" w:hAnsi="Arial" w:cs="Arial"/>
          <w:sz w:val="22"/>
          <w:szCs w:val="22"/>
          <w:lang w:val="es-ES_tradnl"/>
        </w:rPr>
        <w:t>541</w:t>
      </w:r>
      <w:r w:rsidRPr="00D848CE">
        <w:rPr>
          <w:rFonts w:ascii="Arial" w:hAnsi="Arial" w:cs="Arial"/>
          <w:sz w:val="22"/>
          <w:szCs w:val="22"/>
          <w:lang w:val="es-ES_tradnl"/>
        </w:rPr>
        <w:t xml:space="preserve"> millon</w:t>
      </w:r>
      <w:r w:rsidR="00E91AEF" w:rsidRPr="00D848CE">
        <w:rPr>
          <w:rFonts w:ascii="Arial" w:hAnsi="Arial" w:cs="Arial"/>
          <w:sz w:val="22"/>
          <w:szCs w:val="22"/>
          <w:lang w:val="es-ES_tradnl"/>
        </w:rPr>
        <w:t>es anuales a partir del año 20</w:t>
      </w:r>
      <w:r w:rsidR="00191928" w:rsidRPr="00D848CE">
        <w:rPr>
          <w:rFonts w:ascii="Arial" w:hAnsi="Arial" w:cs="Arial"/>
          <w:sz w:val="22"/>
          <w:szCs w:val="22"/>
          <w:lang w:val="es-ES_tradnl"/>
        </w:rPr>
        <w:t>1</w:t>
      </w:r>
      <w:r w:rsidR="00BF5DDF" w:rsidRPr="00D848CE">
        <w:rPr>
          <w:rFonts w:ascii="Arial" w:hAnsi="Arial" w:cs="Arial"/>
          <w:sz w:val="22"/>
          <w:szCs w:val="22"/>
          <w:lang w:val="es-ES_tradnl"/>
        </w:rPr>
        <w:t>8.</w:t>
      </w:r>
      <w:r w:rsidR="00191928" w:rsidRPr="00D848CE">
        <w:rPr>
          <w:rFonts w:ascii="Arial" w:hAnsi="Arial" w:cs="Arial"/>
          <w:sz w:val="22"/>
          <w:szCs w:val="22"/>
          <w:lang w:val="es-ES_tradnl"/>
        </w:rPr>
        <w:tab/>
      </w:r>
      <w:r w:rsidR="00172D55" w:rsidRPr="00D848CE">
        <w:rPr>
          <w:rFonts w:ascii="Arial" w:hAnsi="Arial" w:cs="Arial"/>
          <w:sz w:val="22"/>
          <w:szCs w:val="22"/>
          <w:lang w:val="es-ES_tradnl"/>
        </w:rPr>
        <w:tab/>
      </w:r>
      <w:r w:rsidRPr="00D848CE">
        <w:rPr>
          <w:rFonts w:ascii="Arial" w:hAnsi="Arial" w:cs="Arial"/>
          <w:sz w:val="22"/>
          <w:szCs w:val="22"/>
          <w:lang w:val="es-ES_tradnl"/>
        </w:rPr>
        <w:t>.</w:t>
      </w:r>
    </w:p>
    <w:p w14:paraId="232282BA" w14:textId="77777777" w:rsidR="00701965" w:rsidRPr="00D848CE" w:rsidRDefault="00701965" w:rsidP="00220684">
      <w:pPr>
        <w:pStyle w:val="Chapter"/>
        <w:numPr>
          <w:ilvl w:val="0"/>
          <w:numId w:val="2"/>
        </w:numPr>
        <w:ind w:left="720" w:hanging="720"/>
        <w:jc w:val="left"/>
        <w:outlineLvl w:val="0"/>
        <w:rPr>
          <w:rFonts w:ascii="Arial" w:hAnsi="Arial" w:cs="Arial"/>
          <w:sz w:val="22"/>
          <w:szCs w:val="22"/>
          <w:lang w:val="es-ES_tradnl"/>
        </w:rPr>
      </w:pPr>
      <w:bookmarkStart w:id="11" w:name="_Toc479116394"/>
      <w:r w:rsidRPr="00D848CE">
        <w:rPr>
          <w:rFonts w:ascii="Arial" w:hAnsi="Arial" w:cs="Arial"/>
          <w:sz w:val="22"/>
          <w:szCs w:val="22"/>
          <w:lang w:val="es-ES_tradnl"/>
        </w:rPr>
        <w:t>Costos del Proyecto</w:t>
      </w:r>
      <w:bookmarkEnd w:id="11"/>
    </w:p>
    <w:p w14:paraId="7DFDE458" w14:textId="77777777" w:rsidR="007E1221" w:rsidRPr="00D848CE" w:rsidRDefault="007E1221" w:rsidP="00701965">
      <w:pPr>
        <w:pStyle w:val="Paragraph"/>
        <w:numPr>
          <w:ilvl w:val="1"/>
          <w:numId w:val="2"/>
        </w:numPr>
        <w:autoSpaceDE w:val="0"/>
        <w:autoSpaceDN w:val="0"/>
        <w:adjustRightInd w:val="0"/>
        <w:ind w:left="720" w:hanging="720"/>
        <w:outlineLvl w:val="9"/>
        <w:rPr>
          <w:rFonts w:ascii="Arial" w:hAnsi="Arial" w:cs="Arial"/>
          <w:sz w:val="22"/>
          <w:szCs w:val="22"/>
          <w:lang w:val="es-ES_tradnl"/>
        </w:rPr>
      </w:pPr>
      <w:r w:rsidRPr="00D848CE">
        <w:rPr>
          <w:rFonts w:ascii="Arial" w:hAnsi="Arial" w:cs="Arial"/>
          <w:sz w:val="22"/>
          <w:szCs w:val="22"/>
          <w:lang w:val="es-ES_tradnl"/>
        </w:rPr>
        <w:t xml:space="preserve">Para efecto </w:t>
      </w:r>
      <w:r w:rsidR="00B65F90" w:rsidRPr="00D848CE">
        <w:rPr>
          <w:rFonts w:ascii="Arial" w:hAnsi="Arial" w:cs="Arial"/>
          <w:sz w:val="22"/>
          <w:szCs w:val="22"/>
          <w:lang w:val="es-ES_tradnl"/>
        </w:rPr>
        <w:t>del beneficio</w:t>
      </w:r>
      <w:r w:rsidRPr="00D848CE">
        <w:rPr>
          <w:rFonts w:ascii="Arial" w:hAnsi="Arial" w:cs="Arial"/>
          <w:sz w:val="22"/>
          <w:szCs w:val="22"/>
          <w:lang w:val="es-ES_tradnl"/>
        </w:rPr>
        <w:t xml:space="preserve"> del proyecto</w:t>
      </w:r>
      <w:r w:rsidR="00EA7D3F" w:rsidRPr="00D848CE">
        <w:rPr>
          <w:rFonts w:ascii="Arial" w:hAnsi="Arial" w:cs="Arial"/>
          <w:sz w:val="22"/>
          <w:szCs w:val="22"/>
          <w:lang w:val="es-ES_tradnl"/>
        </w:rPr>
        <w:t xml:space="preserve"> </w:t>
      </w:r>
      <w:r w:rsidR="00A07A60" w:rsidRPr="00D848CE">
        <w:rPr>
          <w:rFonts w:ascii="Arial" w:hAnsi="Arial" w:cs="Arial"/>
          <w:sz w:val="22"/>
          <w:szCs w:val="22"/>
          <w:lang w:val="es-ES_tradnl"/>
        </w:rPr>
        <w:t>dos</w:t>
      </w:r>
      <w:r w:rsidR="002E6EF4" w:rsidRPr="00D848CE">
        <w:rPr>
          <w:rFonts w:ascii="Arial" w:hAnsi="Arial" w:cs="Arial"/>
          <w:sz w:val="22"/>
          <w:szCs w:val="22"/>
          <w:lang w:val="es-ES_tradnl"/>
        </w:rPr>
        <w:t xml:space="preserve"> </w:t>
      </w:r>
      <w:r w:rsidRPr="00D848CE">
        <w:rPr>
          <w:rFonts w:ascii="Arial" w:hAnsi="Arial" w:cs="Arial"/>
          <w:sz w:val="22"/>
          <w:szCs w:val="22"/>
          <w:lang w:val="es-ES_tradnl"/>
        </w:rPr>
        <w:t xml:space="preserve">costos fueron considerados: (i) </w:t>
      </w:r>
      <w:r w:rsidR="00424B27" w:rsidRPr="00D848CE">
        <w:rPr>
          <w:rFonts w:ascii="Arial" w:hAnsi="Arial" w:cs="Arial"/>
          <w:sz w:val="22"/>
          <w:szCs w:val="22"/>
          <w:lang w:val="es-ES_tradnl"/>
        </w:rPr>
        <w:t>c</w:t>
      </w:r>
      <w:r w:rsidR="00C74FB3" w:rsidRPr="00D848CE">
        <w:rPr>
          <w:rFonts w:ascii="Arial" w:hAnsi="Arial" w:cs="Arial"/>
          <w:sz w:val="22"/>
          <w:szCs w:val="22"/>
          <w:lang w:val="es-ES_tradnl"/>
        </w:rPr>
        <w:t xml:space="preserve">ostos </w:t>
      </w:r>
      <w:r w:rsidR="002E6EF4" w:rsidRPr="00D848CE">
        <w:rPr>
          <w:rFonts w:ascii="Arial" w:hAnsi="Arial" w:cs="Arial"/>
          <w:sz w:val="22"/>
          <w:szCs w:val="22"/>
          <w:lang w:val="es-ES_tradnl"/>
        </w:rPr>
        <w:t xml:space="preserve">económicos de </w:t>
      </w:r>
      <w:r w:rsidR="002E6EF4" w:rsidRPr="00D848CE">
        <w:rPr>
          <w:rFonts w:ascii="Arial" w:hAnsi="Arial" w:cs="Arial"/>
          <w:bCs/>
          <w:color w:val="000000"/>
          <w:sz w:val="22"/>
          <w:szCs w:val="22"/>
          <w:lang w:val="es-ES_tradnl"/>
        </w:rPr>
        <w:t>inversión</w:t>
      </w:r>
      <w:r w:rsidRPr="00D848CE">
        <w:rPr>
          <w:rFonts w:ascii="Arial" w:hAnsi="Arial" w:cs="Arial"/>
          <w:sz w:val="22"/>
          <w:szCs w:val="22"/>
          <w:lang w:val="es-ES_tradnl"/>
        </w:rPr>
        <w:t>; y (</w:t>
      </w:r>
      <w:r w:rsidR="00C74FB3" w:rsidRPr="00D848CE">
        <w:rPr>
          <w:rFonts w:ascii="Arial" w:hAnsi="Arial" w:cs="Arial"/>
          <w:sz w:val="22"/>
          <w:szCs w:val="22"/>
          <w:lang w:val="es-ES_tradnl"/>
        </w:rPr>
        <w:t>ii</w:t>
      </w:r>
      <w:r w:rsidRPr="00D848CE">
        <w:rPr>
          <w:rFonts w:ascii="Arial" w:hAnsi="Arial" w:cs="Arial"/>
          <w:sz w:val="22"/>
          <w:szCs w:val="22"/>
          <w:lang w:val="es-ES_tradnl"/>
        </w:rPr>
        <w:t xml:space="preserve">) </w:t>
      </w:r>
      <w:r w:rsidR="002E6EF4" w:rsidRPr="00D848CE">
        <w:rPr>
          <w:rFonts w:ascii="Arial" w:hAnsi="Arial" w:cs="Arial"/>
          <w:sz w:val="22"/>
          <w:szCs w:val="22"/>
          <w:lang w:val="es-ES_tradnl"/>
        </w:rPr>
        <w:t>los costos económicos de mantenimiento. El Anexo I de este documento presenta los cálculos detallados de los costos económico de inversión y mantenimiento.</w:t>
      </w:r>
    </w:p>
    <w:p w14:paraId="102E0ED0" w14:textId="77777777" w:rsidR="00D20DAC" w:rsidRPr="00D848CE" w:rsidRDefault="002E6EF4" w:rsidP="00701965">
      <w:pPr>
        <w:pStyle w:val="Paragraph"/>
        <w:numPr>
          <w:ilvl w:val="2"/>
          <w:numId w:val="2"/>
        </w:numPr>
        <w:ind w:left="993" w:hanging="284"/>
        <w:outlineLvl w:val="9"/>
        <w:rPr>
          <w:rFonts w:ascii="Arial" w:hAnsi="Arial" w:cs="Arial"/>
          <w:sz w:val="22"/>
          <w:szCs w:val="22"/>
          <w:lang w:val="es-ES_tradnl"/>
        </w:rPr>
      </w:pPr>
      <w:r w:rsidRPr="00D848CE">
        <w:rPr>
          <w:rFonts w:ascii="Arial" w:hAnsi="Arial" w:cs="Arial"/>
          <w:sz w:val="22"/>
          <w:szCs w:val="22"/>
          <w:lang w:val="es-ES_tradnl"/>
        </w:rPr>
        <w:t>Los costos económicos de inversión conforme el Anexo I.</w:t>
      </w:r>
    </w:p>
    <w:p w14:paraId="51FB0B5E" w14:textId="77777777" w:rsidR="00C74FB3" w:rsidRPr="00D848CE" w:rsidRDefault="006979D8" w:rsidP="00C95FE4">
      <w:pPr>
        <w:pStyle w:val="Paragraph"/>
        <w:numPr>
          <w:ilvl w:val="0"/>
          <w:numId w:val="0"/>
        </w:numPr>
        <w:ind w:left="360"/>
        <w:jc w:val="center"/>
        <w:outlineLvl w:val="9"/>
        <w:rPr>
          <w:rFonts w:ascii="Arial" w:hAnsi="Arial" w:cs="Arial"/>
          <w:sz w:val="22"/>
          <w:szCs w:val="22"/>
          <w:lang w:val="es-ES_tradnl"/>
        </w:rPr>
      </w:pPr>
      <w:r w:rsidRPr="00D848CE">
        <w:rPr>
          <w:rFonts w:ascii="Arial" w:hAnsi="Arial" w:cs="Arial"/>
          <w:noProof/>
          <w:sz w:val="22"/>
          <w:szCs w:val="22"/>
          <w:lang w:val="es-ES_tradnl" w:eastAsia="es-ES_tradnl"/>
        </w:rPr>
        <w:drawing>
          <wp:inline distT="0" distB="0" distL="0" distR="0" wp14:anchorId="02C8C62E" wp14:editId="6B677D31">
            <wp:extent cx="5353050" cy="1059607"/>
            <wp:effectExtent l="0" t="0" r="0" b="762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9922" cy="1070865"/>
                    </a:xfrm>
                    <a:prstGeom prst="rect">
                      <a:avLst/>
                    </a:prstGeom>
                    <a:noFill/>
                    <a:ln>
                      <a:noFill/>
                    </a:ln>
                  </pic:spPr>
                </pic:pic>
              </a:graphicData>
            </a:graphic>
          </wp:inline>
        </w:drawing>
      </w:r>
    </w:p>
    <w:p w14:paraId="26EFEBC4" w14:textId="77777777" w:rsidR="002E6EF4" w:rsidRPr="00D848CE" w:rsidRDefault="002E6EF4" w:rsidP="00701965">
      <w:pPr>
        <w:pStyle w:val="Paragraph"/>
        <w:numPr>
          <w:ilvl w:val="2"/>
          <w:numId w:val="2"/>
        </w:numPr>
        <w:ind w:left="993" w:hanging="284"/>
        <w:outlineLvl w:val="9"/>
        <w:rPr>
          <w:rFonts w:ascii="Arial" w:hAnsi="Arial" w:cs="Arial"/>
          <w:sz w:val="22"/>
          <w:szCs w:val="22"/>
          <w:lang w:val="es-ES_tradnl"/>
        </w:rPr>
      </w:pPr>
      <w:r w:rsidRPr="00D848CE">
        <w:rPr>
          <w:rFonts w:ascii="Arial" w:hAnsi="Arial" w:cs="Arial"/>
          <w:sz w:val="22"/>
          <w:szCs w:val="22"/>
          <w:lang w:val="es-ES_tradnl"/>
        </w:rPr>
        <w:t>Los costos económicos de mantenimiento conforme el Anexo I.</w:t>
      </w:r>
    </w:p>
    <w:p w14:paraId="5D349724" w14:textId="77777777" w:rsidR="00890306" w:rsidRPr="00D848CE" w:rsidRDefault="006979D8" w:rsidP="00C95FE4">
      <w:pPr>
        <w:pStyle w:val="Paragraph"/>
        <w:numPr>
          <w:ilvl w:val="0"/>
          <w:numId w:val="0"/>
        </w:numPr>
        <w:ind w:left="1530" w:hanging="720"/>
        <w:jc w:val="center"/>
        <w:outlineLvl w:val="9"/>
        <w:rPr>
          <w:rFonts w:ascii="Arial" w:hAnsi="Arial" w:cs="Arial"/>
          <w:sz w:val="22"/>
          <w:szCs w:val="22"/>
          <w:lang w:val="es-ES_tradnl"/>
        </w:rPr>
      </w:pPr>
      <w:r w:rsidRPr="00D848CE">
        <w:rPr>
          <w:rFonts w:ascii="Arial" w:hAnsi="Arial" w:cs="Arial"/>
          <w:noProof/>
          <w:sz w:val="22"/>
          <w:szCs w:val="22"/>
          <w:lang w:val="es-ES_tradnl" w:eastAsia="es-ES_tradnl"/>
        </w:rPr>
        <w:drawing>
          <wp:inline distT="0" distB="0" distL="0" distR="0" wp14:anchorId="7C3AC0A1" wp14:editId="74FCCCC2">
            <wp:extent cx="4627880" cy="1137285"/>
            <wp:effectExtent l="0" t="0" r="1270" b="571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27880" cy="1137285"/>
                    </a:xfrm>
                    <a:prstGeom prst="rect">
                      <a:avLst/>
                    </a:prstGeom>
                    <a:noFill/>
                    <a:ln>
                      <a:noFill/>
                    </a:ln>
                  </pic:spPr>
                </pic:pic>
              </a:graphicData>
            </a:graphic>
          </wp:inline>
        </w:drawing>
      </w:r>
    </w:p>
    <w:p w14:paraId="45973138" w14:textId="77777777" w:rsidR="00EA7D3F" w:rsidRPr="00D848CE" w:rsidRDefault="00EA7D3F" w:rsidP="00EB03E0">
      <w:pPr>
        <w:pStyle w:val="Paragraph"/>
        <w:numPr>
          <w:ilvl w:val="0"/>
          <w:numId w:val="0"/>
        </w:numPr>
        <w:ind w:left="1530" w:hanging="1530"/>
        <w:jc w:val="left"/>
        <w:outlineLvl w:val="9"/>
        <w:rPr>
          <w:rFonts w:ascii="Arial" w:hAnsi="Arial" w:cs="Arial"/>
          <w:sz w:val="22"/>
          <w:szCs w:val="22"/>
          <w:lang w:val="es-ES_tradnl"/>
        </w:rPr>
      </w:pPr>
    </w:p>
    <w:p w14:paraId="544815D2" w14:textId="77777777" w:rsidR="00DE1620" w:rsidRPr="00D848CE" w:rsidRDefault="00A00A3D" w:rsidP="00701965">
      <w:pPr>
        <w:pStyle w:val="Chapter"/>
        <w:numPr>
          <w:ilvl w:val="0"/>
          <w:numId w:val="2"/>
        </w:numPr>
        <w:spacing w:before="120" w:after="120"/>
        <w:jc w:val="left"/>
        <w:outlineLvl w:val="0"/>
        <w:rPr>
          <w:rFonts w:ascii="Arial" w:hAnsi="Arial" w:cs="Arial"/>
          <w:sz w:val="22"/>
          <w:szCs w:val="22"/>
          <w:lang w:val="es-ES_tradnl"/>
        </w:rPr>
      </w:pPr>
      <w:bookmarkStart w:id="12" w:name="_Toc479116395"/>
      <w:r w:rsidRPr="00D848CE">
        <w:rPr>
          <w:rFonts w:ascii="Arial" w:hAnsi="Arial" w:cs="Arial"/>
          <w:sz w:val="22"/>
          <w:szCs w:val="22"/>
          <w:lang w:val="es-ES_tradnl"/>
        </w:rPr>
        <w:lastRenderedPageBreak/>
        <w:t>Estimación</w:t>
      </w:r>
      <w:r w:rsidR="00DE1620" w:rsidRPr="00D848CE">
        <w:rPr>
          <w:rFonts w:ascii="Arial" w:hAnsi="Arial" w:cs="Arial"/>
          <w:sz w:val="22"/>
          <w:szCs w:val="22"/>
          <w:lang w:val="es-ES_tradnl"/>
        </w:rPr>
        <w:t xml:space="preserve"> del Beneficio Económico en Valor Presente</w:t>
      </w:r>
      <w:bookmarkEnd w:id="12"/>
    </w:p>
    <w:p w14:paraId="6C7A0961" w14:textId="77777777" w:rsidR="000B3945" w:rsidRPr="00D848CE" w:rsidRDefault="00DE1620" w:rsidP="00701965">
      <w:pPr>
        <w:pStyle w:val="Paragraph"/>
        <w:numPr>
          <w:ilvl w:val="1"/>
          <w:numId w:val="2"/>
        </w:numPr>
        <w:ind w:left="720" w:hanging="720"/>
        <w:outlineLvl w:val="9"/>
        <w:rPr>
          <w:rFonts w:ascii="Arial" w:hAnsi="Arial" w:cs="Arial"/>
          <w:sz w:val="22"/>
          <w:szCs w:val="22"/>
          <w:lang w:val="es-ES_tradnl"/>
        </w:rPr>
      </w:pPr>
      <w:r w:rsidRPr="00D848CE">
        <w:rPr>
          <w:rFonts w:ascii="Arial" w:hAnsi="Arial" w:cs="Arial"/>
          <w:sz w:val="22"/>
          <w:szCs w:val="22"/>
          <w:lang w:val="es-ES_tradnl"/>
        </w:rPr>
        <w:t>De acuerdo con la tabla a continuación, al final del año 2</w:t>
      </w:r>
      <w:r w:rsidR="009000DA" w:rsidRPr="00D848CE">
        <w:rPr>
          <w:rFonts w:ascii="Arial" w:hAnsi="Arial" w:cs="Arial"/>
          <w:sz w:val="22"/>
          <w:szCs w:val="22"/>
          <w:lang w:val="es-ES_tradnl"/>
        </w:rPr>
        <w:t>0</w:t>
      </w:r>
      <w:r w:rsidR="002E39E5" w:rsidRPr="00D848CE">
        <w:rPr>
          <w:rFonts w:ascii="Arial" w:hAnsi="Arial" w:cs="Arial"/>
          <w:sz w:val="22"/>
          <w:szCs w:val="22"/>
          <w:lang w:val="es-ES_tradnl"/>
        </w:rPr>
        <w:t>2</w:t>
      </w:r>
      <w:r w:rsidR="003D678E" w:rsidRPr="00D848CE">
        <w:rPr>
          <w:rFonts w:ascii="Arial" w:hAnsi="Arial" w:cs="Arial"/>
          <w:sz w:val="22"/>
          <w:szCs w:val="22"/>
          <w:lang w:val="es-ES_tradnl"/>
        </w:rPr>
        <w:t>8</w:t>
      </w:r>
      <w:r w:rsidRPr="00D848CE">
        <w:rPr>
          <w:rFonts w:ascii="Arial" w:hAnsi="Arial" w:cs="Arial"/>
          <w:sz w:val="22"/>
          <w:szCs w:val="22"/>
          <w:lang w:val="es-ES_tradnl"/>
        </w:rPr>
        <w:t xml:space="preserve"> (</w:t>
      </w:r>
      <w:r w:rsidR="002E39E5" w:rsidRPr="00D848CE">
        <w:rPr>
          <w:rFonts w:ascii="Arial" w:hAnsi="Arial" w:cs="Arial"/>
          <w:sz w:val="22"/>
          <w:szCs w:val="22"/>
          <w:lang w:val="es-ES_tradnl"/>
        </w:rPr>
        <w:t>1</w:t>
      </w:r>
      <w:r w:rsidRPr="00D848CE">
        <w:rPr>
          <w:rFonts w:ascii="Arial" w:hAnsi="Arial" w:cs="Arial"/>
          <w:sz w:val="22"/>
          <w:szCs w:val="22"/>
          <w:lang w:val="es-ES_tradnl"/>
        </w:rPr>
        <w:t>0 años) las inversiones del proyecto estarán generando un V</w:t>
      </w:r>
      <w:r w:rsidR="00BC640D" w:rsidRPr="00D848CE">
        <w:rPr>
          <w:rFonts w:ascii="Arial" w:hAnsi="Arial" w:cs="Arial"/>
          <w:sz w:val="22"/>
          <w:szCs w:val="22"/>
          <w:lang w:val="es-ES_tradnl"/>
        </w:rPr>
        <w:t>alor Presente Neto (VPN) de US$</w:t>
      </w:r>
      <w:r w:rsidR="00F56C89" w:rsidRPr="00D848CE">
        <w:rPr>
          <w:rFonts w:ascii="Arial" w:hAnsi="Arial" w:cs="Arial"/>
          <w:sz w:val="22"/>
          <w:szCs w:val="22"/>
          <w:lang w:val="es-ES_tradnl"/>
        </w:rPr>
        <w:t>27,6</w:t>
      </w:r>
      <w:r w:rsidR="007334AA" w:rsidRPr="00D848CE">
        <w:rPr>
          <w:rFonts w:ascii="Arial" w:hAnsi="Arial" w:cs="Arial"/>
          <w:sz w:val="22"/>
          <w:szCs w:val="22"/>
          <w:lang w:val="es-ES_tradnl"/>
        </w:rPr>
        <w:t xml:space="preserve"> </w:t>
      </w:r>
      <w:r w:rsidR="00F0440A" w:rsidRPr="00D848CE">
        <w:rPr>
          <w:rFonts w:ascii="Arial" w:hAnsi="Arial" w:cs="Arial"/>
          <w:sz w:val="22"/>
          <w:szCs w:val="22"/>
          <w:lang w:val="es-ES_tradnl"/>
        </w:rPr>
        <w:t>millones</w:t>
      </w:r>
      <w:r w:rsidRPr="00D848CE">
        <w:rPr>
          <w:rFonts w:ascii="Arial" w:hAnsi="Arial" w:cs="Arial"/>
          <w:sz w:val="22"/>
          <w:szCs w:val="22"/>
          <w:lang w:val="es-ES_tradnl"/>
        </w:rPr>
        <w:t xml:space="preserve"> con una Tasa Interna de Retorno de</w:t>
      </w:r>
      <w:r w:rsidR="00D16512" w:rsidRPr="00D848CE">
        <w:rPr>
          <w:rFonts w:ascii="Arial" w:hAnsi="Arial" w:cs="Arial"/>
          <w:sz w:val="22"/>
          <w:szCs w:val="22"/>
          <w:lang w:val="es-ES_tradnl"/>
        </w:rPr>
        <w:t>l</w:t>
      </w:r>
      <w:r w:rsidRPr="00D848CE">
        <w:rPr>
          <w:rFonts w:ascii="Arial" w:hAnsi="Arial" w:cs="Arial"/>
          <w:sz w:val="22"/>
          <w:szCs w:val="22"/>
          <w:lang w:val="es-ES_tradnl"/>
        </w:rPr>
        <w:t xml:space="preserve"> </w:t>
      </w:r>
      <w:r w:rsidR="003D678E" w:rsidRPr="00D848CE">
        <w:rPr>
          <w:rFonts w:ascii="Arial" w:hAnsi="Arial" w:cs="Arial"/>
          <w:sz w:val="22"/>
          <w:szCs w:val="22"/>
          <w:lang w:val="es-ES_tradnl"/>
        </w:rPr>
        <w:t>18</w:t>
      </w:r>
      <w:r w:rsidRPr="00D848CE">
        <w:rPr>
          <w:rFonts w:ascii="Arial" w:hAnsi="Arial" w:cs="Arial"/>
          <w:sz w:val="22"/>
          <w:szCs w:val="22"/>
          <w:lang w:val="es-ES_tradnl"/>
        </w:rPr>
        <w:t xml:space="preserve">%. </w:t>
      </w:r>
    </w:p>
    <w:p w14:paraId="20C6C441" w14:textId="77777777" w:rsidR="00DE1620" w:rsidRPr="00D848CE" w:rsidRDefault="00F56C89" w:rsidP="008B5547">
      <w:pPr>
        <w:pStyle w:val="Paragraph"/>
        <w:numPr>
          <w:ilvl w:val="0"/>
          <w:numId w:val="0"/>
        </w:numPr>
        <w:ind w:left="1296" w:hanging="1836"/>
        <w:outlineLvl w:val="9"/>
        <w:rPr>
          <w:rFonts w:ascii="Arial" w:hAnsi="Arial" w:cs="Arial"/>
          <w:sz w:val="22"/>
          <w:szCs w:val="22"/>
          <w:lang w:val="es-ES_tradnl"/>
        </w:rPr>
      </w:pPr>
      <w:r w:rsidRPr="00D848CE">
        <w:rPr>
          <w:rFonts w:ascii="Arial" w:hAnsi="Arial" w:cs="Arial"/>
          <w:noProof/>
          <w:sz w:val="22"/>
          <w:szCs w:val="22"/>
          <w:lang w:val="es-ES_tradnl" w:eastAsia="es-ES_tradnl"/>
        </w:rPr>
        <w:drawing>
          <wp:inline distT="0" distB="0" distL="0" distR="0" wp14:anchorId="21481A73" wp14:editId="662B7DE0">
            <wp:extent cx="5810250" cy="27329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47839" cy="2750600"/>
                    </a:xfrm>
                    <a:prstGeom prst="rect">
                      <a:avLst/>
                    </a:prstGeom>
                    <a:noFill/>
                    <a:ln>
                      <a:noFill/>
                    </a:ln>
                  </pic:spPr>
                </pic:pic>
              </a:graphicData>
            </a:graphic>
          </wp:inline>
        </w:drawing>
      </w:r>
    </w:p>
    <w:p w14:paraId="0463A864" w14:textId="77777777" w:rsidR="00220684" w:rsidRPr="00D848CE" w:rsidRDefault="00220684" w:rsidP="00EB03E0">
      <w:pPr>
        <w:pStyle w:val="Paragraph"/>
        <w:numPr>
          <w:ilvl w:val="0"/>
          <w:numId w:val="0"/>
        </w:numPr>
        <w:outlineLvl w:val="9"/>
        <w:rPr>
          <w:rFonts w:ascii="Arial" w:hAnsi="Arial" w:cs="Arial"/>
          <w:sz w:val="22"/>
          <w:szCs w:val="22"/>
          <w:lang w:val="es-ES_tradnl"/>
        </w:rPr>
      </w:pPr>
    </w:p>
    <w:p w14:paraId="7E3FAF55" w14:textId="77777777" w:rsidR="00C358D8" w:rsidRPr="00D848CE" w:rsidRDefault="00C358D8" w:rsidP="00BC640D">
      <w:pPr>
        <w:pStyle w:val="Chapter"/>
        <w:numPr>
          <w:ilvl w:val="0"/>
          <w:numId w:val="2"/>
        </w:numPr>
        <w:spacing w:before="120" w:after="120"/>
        <w:ind w:left="720" w:hanging="720"/>
        <w:jc w:val="both"/>
        <w:outlineLvl w:val="0"/>
        <w:rPr>
          <w:rFonts w:ascii="Arial" w:hAnsi="Arial" w:cs="Arial"/>
          <w:sz w:val="22"/>
          <w:szCs w:val="22"/>
          <w:lang w:val="es-ES_tradnl"/>
        </w:rPr>
      </w:pPr>
      <w:bookmarkStart w:id="13" w:name="_Toc479116396"/>
      <w:r w:rsidRPr="00D848CE">
        <w:rPr>
          <w:rFonts w:ascii="Arial" w:hAnsi="Arial" w:cs="Arial"/>
          <w:sz w:val="22"/>
          <w:szCs w:val="22"/>
          <w:lang w:val="es-ES_tradnl"/>
        </w:rPr>
        <w:t>Análisis de Sensibilidad</w:t>
      </w:r>
      <w:bookmarkEnd w:id="13"/>
    </w:p>
    <w:p w14:paraId="6C365A1F" w14:textId="77777777" w:rsidR="00340694" w:rsidRPr="00D848CE" w:rsidRDefault="007334AA" w:rsidP="00BC640D">
      <w:pPr>
        <w:pStyle w:val="Paragraph"/>
        <w:numPr>
          <w:ilvl w:val="1"/>
          <w:numId w:val="2"/>
        </w:numPr>
        <w:ind w:left="720" w:hanging="720"/>
        <w:outlineLvl w:val="9"/>
        <w:rPr>
          <w:rFonts w:ascii="Arial" w:hAnsi="Arial" w:cs="Arial"/>
          <w:sz w:val="22"/>
          <w:szCs w:val="22"/>
          <w:lang w:val="es-ES_tradnl"/>
        </w:rPr>
      </w:pPr>
      <w:r w:rsidRPr="00D848CE">
        <w:rPr>
          <w:rFonts w:ascii="Arial" w:hAnsi="Arial" w:cs="Arial"/>
          <w:sz w:val="22"/>
          <w:szCs w:val="22"/>
          <w:lang w:val="es-ES_tradnl"/>
        </w:rPr>
        <w:t xml:space="preserve">El análisis de sensibilidad se basó </w:t>
      </w:r>
      <w:r w:rsidR="00397591" w:rsidRPr="00D848CE">
        <w:rPr>
          <w:rFonts w:ascii="Arial" w:hAnsi="Arial" w:cs="Arial"/>
          <w:sz w:val="22"/>
          <w:szCs w:val="22"/>
          <w:lang w:val="es-ES_tradnl"/>
        </w:rPr>
        <w:t xml:space="preserve">únicamente </w:t>
      </w:r>
      <w:r w:rsidRPr="00D848CE">
        <w:rPr>
          <w:rFonts w:ascii="Arial" w:hAnsi="Arial" w:cs="Arial"/>
          <w:sz w:val="22"/>
          <w:szCs w:val="22"/>
          <w:lang w:val="es-ES_tradnl"/>
        </w:rPr>
        <w:t xml:space="preserve">en </w:t>
      </w:r>
      <w:r w:rsidR="00397591" w:rsidRPr="00D848CE">
        <w:rPr>
          <w:rFonts w:ascii="Arial" w:hAnsi="Arial" w:cs="Arial"/>
          <w:sz w:val="22"/>
          <w:szCs w:val="22"/>
          <w:lang w:val="es-ES_tradnl"/>
        </w:rPr>
        <w:t>simular</w:t>
      </w:r>
      <w:r w:rsidRPr="00D848CE">
        <w:rPr>
          <w:rFonts w:ascii="Arial" w:hAnsi="Arial" w:cs="Arial"/>
          <w:sz w:val="22"/>
          <w:szCs w:val="22"/>
          <w:lang w:val="es-ES_tradnl"/>
        </w:rPr>
        <w:t xml:space="preserve"> cuál sería el menor aumento del número de </w:t>
      </w:r>
      <w:r w:rsidR="00A30954" w:rsidRPr="00D848CE">
        <w:rPr>
          <w:rFonts w:ascii="Arial" w:hAnsi="Arial" w:cs="Arial"/>
          <w:sz w:val="22"/>
          <w:szCs w:val="22"/>
          <w:lang w:val="es-ES_tradnl"/>
        </w:rPr>
        <w:t xml:space="preserve">contribuyentes con Factura Electrónica </w:t>
      </w:r>
      <w:r w:rsidRPr="00D848CE">
        <w:rPr>
          <w:rFonts w:ascii="Arial" w:hAnsi="Arial" w:cs="Arial"/>
          <w:sz w:val="22"/>
          <w:szCs w:val="22"/>
          <w:lang w:val="es-ES_tradnl"/>
        </w:rPr>
        <w:t xml:space="preserve">necesario para generar una </w:t>
      </w:r>
      <w:r w:rsidR="00D96D48" w:rsidRPr="00D848CE">
        <w:rPr>
          <w:rFonts w:ascii="Arial" w:hAnsi="Arial" w:cs="Arial"/>
          <w:sz w:val="22"/>
          <w:szCs w:val="22"/>
          <w:lang w:val="es-ES_tradnl"/>
        </w:rPr>
        <w:t>TIR</w:t>
      </w:r>
      <w:r w:rsidRPr="00D848CE">
        <w:rPr>
          <w:rFonts w:ascii="Arial" w:hAnsi="Arial" w:cs="Arial"/>
          <w:sz w:val="22"/>
          <w:szCs w:val="22"/>
          <w:lang w:val="es-ES_tradnl"/>
        </w:rPr>
        <w:t xml:space="preserve"> de 12%, la cual ya justificaría la inversión planifi</w:t>
      </w:r>
      <w:r w:rsidR="00D96D48" w:rsidRPr="00D848CE">
        <w:rPr>
          <w:rFonts w:ascii="Arial" w:hAnsi="Arial" w:cs="Arial"/>
          <w:sz w:val="22"/>
          <w:szCs w:val="22"/>
          <w:lang w:val="es-ES_tradnl"/>
        </w:rPr>
        <w:t>cada.</w:t>
      </w:r>
      <w:r w:rsidRPr="00D848CE">
        <w:rPr>
          <w:rFonts w:ascii="Arial" w:hAnsi="Arial" w:cs="Arial"/>
          <w:sz w:val="22"/>
          <w:szCs w:val="22"/>
          <w:lang w:val="es-ES_tradnl"/>
        </w:rPr>
        <w:t xml:space="preserve"> </w:t>
      </w:r>
      <w:r w:rsidR="001A0A7B" w:rsidRPr="00D848CE">
        <w:rPr>
          <w:rFonts w:ascii="Arial" w:hAnsi="Arial" w:cs="Arial"/>
          <w:sz w:val="22"/>
          <w:szCs w:val="22"/>
          <w:lang w:val="es-ES_tradnl"/>
        </w:rPr>
        <w:t>El Cuadro</w:t>
      </w:r>
      <w:r w:rsidR="0078643C" w:rsidRPr="00D848CE">
        <w:rPr>
          <w:rFonts w:ascii="Arial" w:hAnsi="Arial" w:cs="Arial"/>
          <w:sz w:val="22"/>
          <w:szCs w:val="22"/>
          <w:lang w:val="es-ES_tradnl"/>
        </w:rPr>
        <w:t xml:space="preserve"> 5</w:t>
      </w:r>
      <w:r w:rsidR="001A0A7B" w:rsidRPr="00D848CE">
        <w:rPr>
          <w:rFonts w:ascii="Arial" w:hAnsi="Arial" w:cs="Arial"/>
          <w:sz w:val="22"/>
          <w:szCs w:val="22"/>
          <w:lang w:val="es-ES_tradnl"/>
        </w:rPr>
        <w:t xml:space="preserve"> a continuación simula la hipótesis de implementación de la Factura Electrónica en </w:t>
      </w:r>
      <w:r w:rsidR="00075E58" w:rsidRPr="00D848CE">
        <w:rPr>
          <w:rFonts w:ascii="Arial" w:hAnsi="Arial" w:cs="Arial"/>
          <w:sz w:val="22"/>
          <w:szCs w:val="22"/>
          <w:lang w:val="es-ES_tradnl"/>
        </w:rPr>
        <w:t>95</w:t>
      </w:r>
      <w:r w:rsidR="0078643C" w:rsidRPr="00D848CE">
        <w:rPr>
          <w:rFonts w:ascii="Arial" w:hAnsi="Arial" w:cs="Arial"/>
          <w:sz w:val="22"/>
          <w:szCs w:val="22"/>
          <w:lang w:val="es-ES_tradnl"/>
        </w:rPr>
        <w:t>%</w:t>
      </w:r>
      <w:r w:rsidR="001A0A7B" w:rsidRPr="00D848CE">
        <w:rPr>
          <w:rFonts w:ascii="Arial" w:hAnsi="Arial" w:cs="Arial"/>
          <w:sz w:val="22"/>
          <w:szCs w:val="22"/>
          <w:lang w:val="es-ES_tradnl"/>
        </w:rPr>
        <w:t xml:space="preserve"> de los GCLSSF. En este caso, la Factura Electrónica estaría cubriendo </w:t>
      </w:r>
      <w:r w:rsidR="00191928" w:rsidRPr="00D848CE">
        <w:rPr>
          <w:rFonts w:ascii="Arial" w:hAnsi="Arial" w:cs="Arial"/>
          <w:sz w:val="22"/>
          <w:szCs w:val="22"/>
          <w:lang w:val="es-ES_tradnl"/>
        </w:rPr>
        <w:t>5</w:t>
      </w:r>
      <w:r w:rsidR="00BC640D" w:rsidRPr="00D848CE">
        <w:rPr>
          <w:rFonts w:ascii="Arial" w:hAnsi="Arial" w:cs="Arial"/>
          <w:sz w:val="22"/>
          <w:szCs w:val="22"/>
          <w:lang w:val="es-ES_tradnl"/>
        </w:rPr>
        <w:t>,</w:t>
      </w:r>
      <w:r w:rsidR="00075E58" w:rsidRPr="00D848CE">
        <w:rPr>
          <w:rFonts w:ascii="Arial" w:hAnsi="Arial" w:cs="Arial"/>
          <w:sz w:val="22"/>
          <w:szCs w:val="22"/>
          <w:lang w:val="es-ES_tradnl"/>
        </w:rPr>
        <w:t>38</w:t>
      </w:r>
      <w:r w:rsidR="001A0A7B" w:rsidRPr="00D848CE">
        <w:rPr>
          <w:rFonts w:ascii="Arial" w:hAnsi="Arial" w:cs="Arial"/>
          <w:sz w:val="22"/>
          <w:szCs w:val="22"/>
          <w:lang w:val="es-ES_tradnl"/>
        </w:rPr>
        <w:t xml:space="preserve">% de </w:t>
      </w:r>
      <w:r w:rsidR="005D4589" w:rsidRPr="00D848CE">
        <w:rPr>
          <w:rFonts w:ascii="Arial" w:hAnsi="Arial" w:cs="Arial"/>
          <w:sz w:val="22"/>
          <w:szCs w:val="22"/>
          <w:lang w:val="es-ES_tradnl"/>
        </w:rPr>
        <w:t>las ventas</w:t>
      </w:r>
      <w:r w:rsidR="0078643C" w:rsidRPr="00D848CE">
        <w:rPr>
          <w:rFonts w:ascii="Arial" w:hAnsi="Arial" w:cs="Arial"/>
          <w:sz w:val="22"/>
          <w:szCs w:val="22"/>
          <w:lang w:val="es-ES_tradnl"/>
        </w:rPr>
        <w:t xml:space="preserve"> (línea 1</w:t>
      </w:r>
      <w:r w:rsidR="001A0A7B" w:rsidRPr="00D848CE">
        <w:rPr>
          <w:rFonts w:ascii="Arial" w:hAnsi="Arial" w:cs="Arial"/>
          <w:sz w:val="22"/>
          <w:szCs w:val="22"/>
          <w:lang w:val="es-ES_tradnl"/>
        </w:rPr>
        <w:t>) y estaría generando un</w:t>
      </w:r>
      <w:r w:rsidR="00BC640D" w:rsidRPr="00D848CE">
        <w:rPr>
          <w:rFonts w:ascii="Arial" w:hAnsi="Arial" w:cs="Arial"/>
          <w:sz w:val="22"/>
          <w:szCs w:val="22"/>
          <w:lang w:val="es-ES_tradnl"/>
        </w:rPr>
        <w:t xml:space="preserve"> impacto en la recaudación de 0,</w:t>
      </w:r>
      <w:r w:rsidR="001A0A7B" w:rsidRPr="00D848CE">
        <w:rPr>
          <w:rFonts w:ascii="Arial" w:hAnsi="Arial" w:cs="Arial"/>
          <w:sz w:val="22"/>
          <w:szCs w:val="22"/>
          <w:lang w:val="es-ES_tradnl"/>
        </w:rPr>
        <w:t>01</w:t>
      </w:r>
      <w:r w:rsidR="00191928" w:rsidRPr="00D848CE">
        <w:rPr>
          <w:rFonts w:ascii="Arial" w:hAnsi="Arial" w:cs="Arial"/>
          <w:sz w:val="22"/>
          <w:szCs w:val="22"/>
          <w:lang w:val="es-ES_tradnl"/>
        </w:rPr>
        <w:t>3</w:t>
      </w:r>
      <w:r w:rsidR="001A0A7B" w:rsidRPr="00D848CE">
        <w:rPr>
          <w:rFonts w:ascii="Arial" w:hAnsi="Arial" w:cs="Arial"/>
          <w:sz w:val="22"/>
          <w:szCs w:val="22"/>
          <w:lang w:val="es-ES_tradnl"/>
        </w:rPr>
        <w:t>% del PIB</w:t>
      </w:r>
      <w:r w:rsidR="0078643C" w:rsidRPr="00D848CE">
        <w:rPr>
          <w:rFonts w:ascii="Arial" w:hAnsi="Arial" w:cs="Arial"/>
          <w:sz w:val="22"/>
          <w:szCs w:val="22"/>
          <w:lang w:val="es-ES_tradnl"/>
        </w:rPr>
        <w:t xml:space="preserve"> (línea 2</w:t>
      </w:r>
      <w:r w:rsidR="001A0A7B" w:rsidRPr="00D848CE">
        <w:rPr>
          <w:rFonts w:ascii="Arial" w:hAnsi="Arial" w:cs="Arial"/>
          <w:sz w:val="22"/>
          <w:szCs w:val="22"/>
          <w:lang w:val="es-ES_tradnl"/>
        </w:rPr>
        <w:t xml:space="preserve">), lo que </w:t>
      </w:r>
      <w:r w:rsidR="00BC640D" w:rsidRPr="00D848CE">
        <w:rPr>
          <w:rFonts w:ascii="Arial" w:hAnsi="Arial" w:cs="Arial"/>
          <w:sz w:val="22"/>
          <w:szCs w:val="22"/>
          <w:lang w:val="es-ES_tradnl"/>
        </w:rPr>
        <w:t>correspondería a US$</w:t>
      </w:r>
      <w:r w:rsidR="003D678E" w:rsidRPr="00D848CE">
        <w:rPr>
          <w:rFonts w:ascii="Arial" w:hAnsi="Arial" w:cs="Arial"/>
          <w:sz w:val="22"/>
          <w:szCs w:val="22"/>
          <w:lang w:val="es-ES_tradnl"/>
        </w:rPr>
        <w:t>11,</w:t>
      </w:r>
      <w:r w:rsidR="00075E58" w:rsidRPr="00D848CE">
        <w:rPr>
          <w:rFonts w:ascii="Arial" w:hAnsi="Arial" w:cs="Arial"/>
          <w:sz w:val="22"/>
          <w:szCs w:val="22"/>
          <w:lang w:val="es-ES_tradnl"/>
        </w:rPr>
        <w:t>54</w:t>
      </w:r>
      <w:r w:rsidR="001A0A7B" w:rsidRPr="00D848CE">
        <w:rPr>
          <w:rFonts w:ascii="Arial" w:hAnsi="Arial" w:cs="Arial"/>
          <w:sz w:val="22"/>
          <w:szCs w:val="22"/>
          <w:lang w:val="es-ES_tradnl"/>
        </w:rPr>
        <w:t xml:space="preserve"> millones </w:t>
      </w:r>
      <w:r w:rsidR="003D678E" w:rsidRPr="00D848CE">
        <w:rPr>
          <w:rFonts w:ascii="Arial" w:hAnsi="Arial" w:cs="Arial"/>
          <w:sz w:val="22"/>
          <w:szCs w:val="22"/>
          <w:lang w:val="es-ES_tradnl"/>
        </w:rPr>
        <w:t>en 2018</w:t>
      </w:r>
      <w:r w:rsidR="00220684" w:rsidRPr="00D848CE">
        <w:rPr>
          <w:rFonts w:ascii="Arial" w:hAnsi="Arial" w:cs="Arial"/>
          <w:sz w:val="22"/>
          <w:szCs w:val="22"/>
          <w:lang w:val="es-ES_tradnl"/>
        </w:rPr>
        <w:t xml:space="preserve"> </w:t>
      </w:r>
      <w:r w:rsidR="001A0A7B" w:rsidRPr="00D848CE">
        <w:rPr>
          <w:rFonts w:ascii="Arial" w:hAnsi="Arial" w:cs="Arial"/>
          <w:sz w:val="22"/>
          <w:szCs w:val="22"/>
          <w:lang w:val="es-ES_tradnl"/>
        </w:rPr>
        <w:t xml:space="preserve">(línea </w:t>
      </w:r>
      <w:r w:rsidR="0078643C" w:rsidRPr="00D848CE">
        <w:rPr>
          <w:rFonts w:ascii="Arial" w:hAnsi="Arial" w:cs="Arial"/>
          <w:sz w:val="22"/>
          <w:szCs w:val="22"/>
          <w:lang w:val="es-ES_tradnl"/>
        </w:rPr>
        <w:t>5</w:t>
      </w:r>
      <w:r w:rsidR="001A0A7B" w:rsidRPr="00D848CE">
        <w:rPr>
          <w:rFonts w:ascii="Arial" w:hAnsi="Arial" w:cs="Arial"/>
          <w:sz w:val="22"/>
          <w:szCs w:val="22"/>
          <w:lang w:val="es-ES_tradnl"/>
        </w:rPr>
        <w:t xml:space="preserve">). </w:t>
      </w:r>
    </w:p>
    <w:p w14:paraId="7C2C360B" w14:textId="77777777" w:rsidR="003B0A31" w:rsidRPr="00D848CE" w:rsidRDefault="00075E58" w:rsidP="00220684">
      <w:pPr>
        <w:pStyle w:val="Paragraph"/>
        <w:numPr>
          <w:ilvl w:val="0"/>
          <w:numId w:val="0"/>
        </w:numPr>
        <w:ind w:left="1296" w:hanging="1656"/>
        <w:outlineLvl w:val="9"/>
        <w:rPr>
          <w:rFonts w:ascii="Arial" w:hAnsi="Arial" w:cs="Arial"/>
          <w:sz w:val="22"/>
          <w:szCs w:val="22"/>
          <w:lang w:val="es-ES_tradnl"/>
        </w:rPr>
      </w:pPr>
      <w:r w:rsidRPr="00D848CE">
        <w:rPr>
          <w:rFonts w:ascii="Arial" w:hAnsi="Arial" w:cs="Arial"/>
          <w:noProof/>
          <w:sz w:val="22"/>
          <w:szCs w:val="22"/>
          <w:lang w:val="es-ES_tradnl" w:eastAsia="es-ES_tradnl"/>
        </w:rPr>
        <w:drawing>
          <wp:inline distT="0" distB="0" distL="0" distR="0" wp14:anchorId="2D88DAE2" wp14:editId="7641E824">
            <wp:extent cx="5695950" cy="1896526"/>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0016" cy="1914528"/>
                    </a:xfrm>
                    <a:prstGeom prst="rect">
                      <a:avLst/>
                    </a:prstGeom>
                    <a:noFill/>
                    <a:ln>
                      <a:noFill/>
                    </a:ln>
                  </pic:spPr>
                </pic:pic>
              </a:graphicData>
            </a:graphic>
          </wp:inline>
        </w:drawing>
      </w:r>
    </w:p>
    <w:p w14:paraId="47223BA8" w14:textId="77777777" w:rsidR="00B93514" w:rsidRPr="00D848CE" w:rsidRDefault="00B93514" w:rsidP="00EB03E0">
      <w:pPr>
        <w:pStyle w:val="Paragraph"/>
        <w:numPr>
          <w:ilvl w:val="0"/>
          <w:numId w:val="0"/>
        </w:numPr>
        <w:ind w:left="1296" w:hanging="1296"/>
        <w:outlineLvl w:val="9"/>
        <w:rPr>
          <w:rFonts w:ascii="Arial" w:hAnsi="Arial" w:cs="Arial"/>
          <w:sz w:val="22"/>
          <w:szCs w:val="22"/>
          <w:lang w:val="es-ES_tradnl"/>
        </w:rPr>
      </w:pPr>
    </w:p>
    <w:p w14:paraId="07577905" w14:textId="77777777" w:rsidR="00220684" w:rsidRPr="00D848CE" w:rsidRDefault="00D96D48" w:rsidP="00220684">
      <w:pPr>
        <w:pStyle w:val="Paragraph"/>
        <w:numPr>
          <w:ilvl w:val="1"/>
          <w:numId w:val="2"/>
        </w:numPr>
        <w:ind w:left="720" w:hanging="900"/>
        <w:jc w:val="left"/>
        <w:outlineLvl w:val="9"/>
        <w:rPr>
          <w:rFonts w:ascii="Arial" w:hAnsi="Arial" w:cs="Arial"/>
          <w:b/>
          <w:sz w:val="22"/>
          <w:szCs w:val="22"/>
          <w:lang w:val="es-ES_tradnl"/>
        </w:rPr>
      </w:pPr>
      <w:r w:rsidRPr="00D848CE">
        <w:rPr>
          <w:rFonts w:ascii="Arial" w:hAnsi="Arial" w:cs="Arial"/>
          <w:sz w:val="22"/>
          <w:szCs w:val="22"/>
          <w:lang w:val="es-ES_tradnl"/>
        </w:rPr>
        <w:t xml:space="preserve">En este </w:t>
      </w:r>
      <w:r w:rsidR="005D4589" w:rsidRPr="00D848CE">
        <w:rPr>
          <w:rFonts w:ascii="Arial" w:hAnsi="Arial" w:cs="Arial"/>
          <w:sz w:val="22"/>
          <w:szCs w:val="22"/>
          <w:lang w:val="es-ES_tradnl"/>
        </w:rPr>
        <w:t>escenario, la TIR sería de 12</w:t>
      </w:r>
      <w:r w:rsidR="009F4086" w:rsidRPr="00D848CE">
        <w:rPr>
          <w:rFonts w:ascii="Arial" w:hAnsi="Arial" w:cs="Arial"/>
          <w:sz w:val="22"/>
          <w:szCs w:val="22"/>
          <w:lang w:val="es-ES_tradnl"/>
        </w:rPr>
        <w:t>% al final del año 20</w:t>
      </w:r>
      <w:r w:rsidR="0078643C" w:rsidRPr="00D848CE">
        <w:rPr>
          <w:rFonts w:ascii="Arial" w:hAnsi="Arial" w:cs="Arial"/>
          <w:sz w:val="22"/>
          <w:szCs w:val="22"/>
          <w:lang w:val="es-ES_tradnl"/>
        </w:rPr>
        <w:t>2</w:t>
      </w:r>
      <w:r w:rsidR="003D678E" w:rsidRPr="00D848CE">
        <w:rPr>
          <w:rFonts w:ascii="Arial" w:hAnsi="Arial" w:cs="Arial"/>
          <w:sz w:val="22"/>
          <w:szCs w:val="22"/>
          <w:lang w:val="es-ES_tradnl"/>
        </w:rPr>
        <w:t>8</w:t>
      </w:r>
      <w:r w:rsidR="009F4086" w:rsidRPr="00D848CE">
        <w:rPr>
          <w:rFonts w:ascii="Arial" w:hAnsi="Arial" w:cs="Arial"/>
          <w:sz w:val="22"/>
          <w:szCs w:val="22"/>
          <w:lang w:val="es-ES_tradnl"/>
        </w:rPr>
        <w:t>, con un VPN</w:t>
      </w:r>
      <w:r w:rsidR="00BC640D" w:rsidRPr="00D848CE">
        <w:rPr>
          <w:rFonts w:ascii="Arial" w:hAnsi="Arial" w:cs="Arial"/>
          <w:sz w:val="22"/>
          <w:szCs w:val="22"/>
          <w:lang w:val="es-ES_tradnl"/>
        </w:rPr>
        <w:t xml:space="preserve"> de US$</w:t>
      </w:r>
      <w:r w:rsidR="003D678E" w:rsidRPr="00D848CE">
        <w:rPr>
          <w:rFonts w:ascii="Arial" w:hAnsi="Arial" w:cs="Arial"/>
          <w:sz w:val="22"/>
          <w:szCs w:val="22"/>
          <w:lang w:val="es-ES_tradnl"/>
        </w:rPr>
        <w:t>26,9</w:t>
      </w:r>
      <w:r w:rsidR="009F4086" w:rsidRPr="00D848CE">
        <w:rPr>
          <w:rFonts w:ascii="Arial" w:hAnsi="Arial" w:cs="Arial"/>
          <w:sz w:val="22"/>
          <w:szCs w:val="22"/>
          <w:lang w:val="es-ES_tradnl"/>
        </w:rPr>
        <w:t xml:space="preserve"> </w:t>
      </w:r>
      <w:r w:rsidR="004053FD" w:rsidRPr="00D848CE">
        <w:rPr>
          <w:rFonts w:ascii="Arial" w:hAnsi="Arial" w:cs="Arial"/>
          <w:sz w:val="22"/>
          <w:szCs w:val="22"/>
          <w:lang w:val="es-ES_tradnl"/>
        </w:rPr>
        <w:t xml:space="preserve">millones </w:t>
      </w:r>
      <w:r w:rsidR="009F4086" w:rsidRPr="00D848CE">
        <w:rPr>
          <w:rFonts w:ascii="Arial" w:hAnsi="Arial" w:cs="Arial"/>
          <w:sz w:val="22"/>
          <w:szCs w:val="22"/>
          <w:lang w:val="es-ES_tradnl"/>
        </w:rPr>
        <w:t xml:space="preserve">conforme presentado en </w:t>
      </w:r>
      <w:r w:rsidR="004035DA" w:rsidRPr="00D848CE">
        <w:rPr>
          <w:rFonts w:ascii="Arial" w:hAnsi="Arial" w:cs="Arial"/>
          <w:sz w:val="22"/>
          <w:szCs w:val="22"/>
          <w:lang w:val="es-ES_tradnl"/>
        </w:rPr>
        <w:t xml:space="preserve">el </w:t>
      </w:r>
      <w:r w:rsidR="0078643C" w:rsidRPr="00D848CE">
        <w:rPr>
          <w:rFonts w:ascii="Arial" w:hAnsi="Arial" w:cs="Arial"/>
          <w:sz w:val="22"/>
          <w:szCs w:val="22"/>
          <w:lang w:val="es-ES_tradnl"/>
        </w:rPr>
        <w:t>Cuadro 6.</w:t>
      </w:r>
    </w:p>
    <w:p w14:paraId="41CA7841" w14:textId="77777777" w:rsidR="00EB03E0" w:rsidRPr="00D848CE" w:rsidRDefault="00075E58" w:rsidP="00220684">
      <w:pPr>
        <w:pStyle w:val="Paragraph"/>
        <w:numPr>
          <w:ilvl w:val="0"/>
          <w:numId w:val="0"/>
        </w:numPr>
        <w:ind w:left="-180"/>
        <w:jc w:val="left"/>
        <w:outlineLvl w:val="9"/>
        <w:rPr>
          <w:rFonts w:ascii="Arial" w:hAnsi="Arial" w:cs="Arial"/>
          <w:b/>
          <w:sz w:val="22"/>
          <w:szCs w:val="22"/>
          <w:lang w:val="es-ES_tradnl"/>
        </w:rPr>
      </w:pPr>
      <w:r w:rsidRPr="00D848CE">
        <w:rPr>
          <w:rFonts w:ascii="Arial" w:hAnsi="Arial" w:cs="Arial"/>
          <w:sz w:val="22"/>
          <w:szCs w:val="22"/>
          <w:lang w:val="es-ES_tradnl"/>
        </w:rPr>
        <w:lastRenderedPageBreak/>
        <w:t xml:space="preserve"> </w:t>
      </w:r>
      <w:r w:rsidRPr="00D848CE">
        <w:rPr>
          <w:rFonts w:ascii="Arial" w:hAnsi="Arial" w:cs="Arial"/>
          <w:noProof/>
          <w:sz w:val="22"/>
          <w:szCs w:val="22"/>
          <w:lang w:val="es-ES_tradnl" w:eastAsia="es-ES_tradnl"/>
        </w:rPr>
        <w:drawing>
          <wp:inline distT="0" distB="0" distL="0" distR="0" wp14:anchorId="59739753" wp14:editId="42813ADF">
            <wp:extent cx="5851886" cy="31108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75593" cy="3123468"/>
                    </a:xfrm>
                    <a:prstGeom prst="rect">
                      <a:avLst/>
                    </a:prstGeom>
                    <a:noFill/>
                    <a:ln>
                      <a:noFill/>
                    </a:ln>
                  </pic:spPr>
                </pic:pic>
              </a:graphicData>
            </a:graphic>
          </wp:inline>
        </w:drawing>
      </w:r>
    </w:p>
    <w:p w14:paraId="0F741B60" w14:textId="77777777" w:rsidR="00EB03E0" w:rsidRPr="00D848CE" w:rsidRDefault="00EB03E0" w:rsidP="00EB03E0">
      <w:pPr>
        <w:pStyle w:val="Heading1"/>
        <w:ind w:left="-547"/>
        <w:rPr>
          <w:rFonts w:cs="Arial"/>
          <w:b w:val="0"/>
          <w:sz w:val="22"/>
          <w:szCs w:val="22"/>
          <w:lang w:val="es-ES_tradnl"/>
        </w:rPr>
      </w:pPr>
    </w:p>
    <w:p w14:paraId="744AE978" w14:textId="77777777" w:rsidR="003D678E" w:rsidRPr="00D848CE" w:rsidRDefault="003D678E">
      <w:pPr>
        <w:rPr>
          <w:rFonts w:ascii="Arial" w:eastAsia="Times New Roman" w:hAnsi="Arial" w:cs="Arial"/>
          <w:b/>
          <w:kern w:val="28"/>
          <w:lang w:val="es-ES_tradnl"/>
        </w:rPr>
      </w:pPr>
      <w:r w:rsidRPr="00D848CE">
        <w:rPr>
          <w:rFonts w:ascii="Arial" w:hAnsi="Arial" w:cs="Arial"/>
          <w:lang w:val="es-ES_tradnl"/>
        </w:rPr>
        <w:br w:type="page"/>
      </w:r>
    </w:p>
    <w:p w14:paraId="78EB9840" w14:textId="77777777" w:rsidR="008B7FE1" w:rsidRPr="00D848CE" w:rsidRDefault="00D44F3E" w:rsidP="00417F76">
      <w:pPr>
        <w:pStyle w:val="Heading1"/>
        <w:rPr>
          <w:rFonts w:cs="Arial"/>
          <w:b w:val="0"/>
          <w:sz w:val="22"/>
          <w:szCs w:val="22"/>
          <w:lang w:val="es-ES_tradnl"/>
        </w:rPr>
      </w:pPr>
      <w:bookmarkStart w:id="14" w:name="_Toc479116397"/>
      <w:r w:rsidRPr="00D848CE">
        <w:rPr>
          <w:rFonts w:cs="Arial"/>
          <w:sz w:val="22"/>
          <w:szCs w:val="22"/>
          <w:lang w:val="es-ES_tradnl"/>
        </w:rPr>
        <w:lastRenderedPageBreak/>
        <w:t xml:space="preserve">ANEXO I – </w:t>
      </w:r>
      <w:r w:rsidR="00D915DA" w:rsidRPr="00D848CE">
        <w:rPr>
          <w:rFonts w:cs="Arial"/>
          <w:sz w:val="22"/>
          <w:szCs w:val="22"/>
          <w:lang w:val="es-ES_tradnl"/>
        </w:rPr>
        <w:t xml:space="preserve">Precio Sombra - </w:t>
      </w:r>
      <w:r w:rsidR="00A00A3D" w:rsidRPr="00D848CE">
        <w:rPr>
          <w:rFonts w:cs="Arial"/>
          <w:sz w:val="22"/>
          <w:szCs w:val="22"/>
          <w:lang w:val="es-ES_tradnl"/>
        </w:rPr>
        <w:t xml:space="preserve">Estimación </w:t>
      </w:r>
      <w:r w:rsidRPr="00D848CE">
        <w:rPr>
          <w:rFonts w:cs="Arial"/>
          <w:sz w:val="22"/>
          <w:szCs w:val="22"/>
          <w:lang w:val="es-ES_tradnl"/>
        </w:rPr>
        <w:t>de los Costos Económicos de Inversión y Mantenimiento</w:t>
      </w:r>
      <w:bookmarkEnd w:id="14"/>
      <w:r w:rsidR="00703CB1" w:rsidRPr="00D848CE">
        <w:rPr>
          <w:rFonts w:cs="Arial"/>
          <w:sz w:val="22"/>
          <w:szCs w:val="22"/>
          <w:lang w:val="es-ES_tradnl"/>
        </w:rPr>
        <w:t xml:space="preserve"> </w:t>
      </w:r>
    </w:p>
    <w:p w14:paraId="013CD29A" w14:textId="77777777" w:rsidR="00D44F3E" w:rsidRPr="00D848CE" w:rsidRDefault="00D44F3E" w:rsidP="00BE3276">
      <w:pPr>
        <w:pStyle w:val="Heading2"/>
        <w:numPr>
          <w:ilvl w:val="0"/>
          <w:numId w:val="7"/>
        </w:numPr>
        <w:rPr>
          <w:rFonts w:ascii="Arial" w:hAnsi="Arial" w:cs="Arial"/>
          <w:bCs w:val="0"/>
          <w:sz w:val="22"/>
          <w:szCs w:val="22"/>
          <w:lang w:val="es-ES_tradnl"/>
        </w:rPr>
      </w:pPr>
      <w:bookmarkStart w:id="15" w:name="_Toc479116398"/>
      <w:r w:rsidRPr="00D848CE">
        <w:rPr>
          <w:rFonts w:ascii="Arial" w:hAnsi="Arial" w:cs="Arial"/>
          <w:sz w:val="22"/>
          <w:szCs w:val="22"/>
          <w:lang w:val="es-ES_tradnl"/>
        </w:rPr>
        <w:t>Costos</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Inversión</w:t>
      </w:r>
      <w:bookmarkEnd w:id="15"/>
    </w:p>
    <w:p w14:paraId="15682175" w14:textId="77777777" w:rsidR="006F5177" w:rsidRPr="00D848CE" w:rsidRDefault="006F5177" w:rsidP="00BE3276">
      <w:pPr>
        <w:pStyle w:val="Paragraph"/>
        <w:numPr>
          <w:ilvl w:val="1"/>
          <w:numId w:val="3"/>
        </w:numPr>
        <w:tabs>
          <w:tab w:val="num" w:pos="1296"/>
        </w:tabs>
        <w:ind w:left="188" w:hanging="634"/>
        <w:outlineLvl w:val="9"/>
        <w:rPr>
          <w:rFonts w:ascii="Arial" w:hAnsi="Arial" w:cs="Arial"/>
          <w:sz w:val="22"/>
          <w:szCs w:val="22"/>
          <w:lang w:val="es-ES_tradnl"/>
        </w:rPr>
      </w:pPr>
      <w:r w:rsidRPr="00D848CE">
        <w:rPr>
          <w:rFonts w:ascii="Arial" w:hAnsi="Arial" w:cs="Arial"/>
          <w:sz w:val="22"/>
          <w:szCs w:val="22"/>
          <w:lang w:val="es-ES_tradnl"/>
        </w:rPr>
        <w:t>Los costos de inversión incluyen los costos directos de equipos y costos indirectos, tales como costos de supervisión, capacitación y otros servicios, así como imprevistos. Los precios unitarios fueron colectados del POA del programa.</w:t>
      </w:r>
    </w:p>
    <w:p w14:paraId="56D8523B" w14:textId="77777777" w:rsidR="006F5177" w:rsidRPr="00D848CE" w:rsidRDefault="006F5177" w:rsidP="00BE3276">
      <w:pPr>
        <w:pStyle w:val="Paragraph"/>
        <w:numPr>
          <w:ilvl w:val="1"/>
          <w:numId w:val="3"/>
        </w:numPr>
        <w:tabs>
          <w:tab w:val="num" w:pos="1296"/>
        </w:tabs>
        <w:ind w:left="188" w:hanging="634"/>
        <w:outlineLvl w:val="9"/>
        <w:rPr>
          <w:rFonts w:ascii="Arial" w:hAnsi="Arial" w:cs="Arial"/>
          <w:sz w:val="22"/>
          <w:szCs w:val="22"/>
          <w:lang w:val="es-ES_tradnl"/>
        </w:rPr>
      </w:pPr>
      <w:bookmarkStart w:id="16" w:name="Cuadro_2:_Costos_de_inversión_por_catego"/>
      <w:bookmarkEnd w:id="16"/>
      <w:r w:rsidRPr="00D848CE">
        <w:rPr>
          <w:rFonts w:ascii="Arial" w:hAnsi="Arial" w:cs="Arial"/>
          <w:sz w:val="22"/>
          <w:szCs w:val="22"/>
          <w:lang w:val="es-ES_tradnl"/>
        </w:rPr>
        <w:t>El valor total de las inversiones planeadas a precios de mercado alcanza US$49</w:t>
      </w:r>
      <w:r w:rsidR="00BC640D" w:rsidRPr="00D848CE">
        <w:rPr>
          <w:rFonts w:ascii="Arial" w:hAnsi="Arial" w:cs="Arial"/>
          <w:sz w:val="22"/>
          <w:szCs w:val="22"/>
          <w:lang w:val="es-ES_tradnl"/>
        </w:rPr>
        <w:t>,</w:t>
      </w:r>
      <w:r w:rsidRPr="00D848CE">
        <w:rPr>
          <w:rFonts w:ascii="Arial" w:hAnsi="Arial" w:cs="Arial"/>
          <w:sz w:val="22"/>
          <w:szCs w:val="22"/>
          <w:lang w:val="es-ES_tradnl"/>
        </w:rPr>
        <w:t>4 millones. El detalle de los costos de inversión se presenta en el Cuadro 1 a continuación.</w:t>
      </w:r>
    </w:p>
    <w:p w14:paraId="43D786C6" w14:textId="77777777" w:rsidR="00855FD4" w:rsidRPr="00D848CE" w:rsidRDefault="006979D8" w:rsidP="00D13AD2">
      <w:pPr>
        <w:spacing w:before="120" w:after="120"/>
        <w:ind w:firstLine="1800"/>
        <w:contextualSpacing/>
        <w:jc w:val="both"/>
        <w:rPr>
          <w:rFonts w:ascii="Arial" w:hAnsi="Arial" w:cs="Arial"/>
          <w:lang w:val="es-ES_tradnl"/>
        </w:rPr>
      </w:pPr>
      <w:r w:rsidRPr="00D848CE">
        <w:rPr>
          <w:rFonts w:ascii="Arial" w:hAnsi="Arial" w:cs="Arial"/>
          <w:noProof/>
          <w:lang w:val="es-ES_tradnl" w:eastAsia="es-ES_tradnl"/>
        </w:rPr>
        <w:drawing>
          <wp:inline distT="0" distB="0" distL="0" distR="0" wp14:anchorId="72BC502E" wp14:editId="3D5CE661">
            <wp:extent cx="3124835" cy="167005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24835" cy="1670050"/>
                    </a:xfrm>
                    <a:prstGeom prst="rect">
                      <a:avLst/>
                    </a:prstGeom>
                    <a:noFill/>
                    <a:ln>
                      <a:noFill/>
                    </a:ln>
                  </pic:spPr>
                </pic:pic>
              </a:graphicData>
            </a:graphic>
          </wp:inline>
        </w:drawing>
      </w:r>
    </w:p>
    <w:p w14:paraId="3E5A3A4A" w14:textId="77777777" w:rsidR="00D44F3E" w:rsidRPr="00D848CE" w:rsidRDefault="00D44F3E" w:rsidP="00BE3276">
      <w:pPr>
        <w:pStyle w:val="Paragraph"/>
        <w:numPr>
          <w:ilvl w:val="1"/>
          <w:numId w:val="3"/>
        </w:numPr>
        <w:ind w:left="188" w:hanging="634"/>
        <w:outlineLvl w:val="9"/>
        <w:rPr>
          <w:rFonts w:ascii="Arial" w:hAnsi="Arial" w:cs="Arial"/>
          <w:spacing w:val="-1"/>
          <w:sz w:val="22"/>
          <w:szCs w:val="22"/>
          <w:lang w:val="es-ES_tradnl"/>
        </w:rPr>
      </w:pPr>
      <w:r w:rsidRPr="00D848CE">
        <w:rPr>
          <w:rFonts w:ascii="Arial" w:hAnsi="Arial" w:cs="Arial"/>
          <w:spacing w:val="-1"/>
          <w:sz w:val="22"/>
          <w:szCs w:val="22"/>
          <w:lang w:val="es-ES_tradnl"/>
        </w:rPr>
        <w:t>En</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el</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Cuadro</w:t>
      </w:r>
      <w:r w:rsidRPr="00D848CE">
        <w:rPr>
          <w:rFonts w:ascii="Arial" w:hAnsi="Arial" w:cs="Arial"/>
          <w:spacing w:val="4"/>
          <w:sz w:val="22"/>
          <w:szCs w:val="22"/>
          <w:lang w:val="es-ES_tradnl"/>
        </w:rPr>
        <w:t xml:space="preserve"> </w:t>
      </w:r>
      <w:r w:rsidR="006979D8" w:rsidRPr="00D848CE">
        <w:rPr>
          <w:rFonts w:ascii="Arial" w:hAnsi="Arial" w:cs="Arial"/>
          <w:sz w:val="22"/>
          <w:szCs w:val="22"/>
          <w:lang w:val="es-ES_tradnl"/>
        </w:rPr>
        <w:t>2</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se</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muestra</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el</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valor</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
          <w:sz w:val="22"/>
          <w:szCs w:val="22"/>
          <w:lang w:val="es-ES_tradnl"/>
        </w:rPr>
        <w:t xml:space="preserve"> </w:t>
      </w:r>
      <w:r w:rsidR="006607B1" w:rsidRPr="00D848CE">
        <w:rPr>
          <w:rFonts w:ascii="Arial" w:hAnsi="Arial" w:cs="Arial"/>
          <w:spacing w:val="-1"/>
          <w:sz w:val="22"/>
          <w:szCs w:val="22"/>
          <w:lang w:val="es-ES_tradnl"/>
        </w:rPr>
        <w:t>los costos financieros</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través</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del</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tiempo</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en</w:t>
      </w:r>
      <w:r w:rsidRPr="00D848CE">
        <w:rPr>
          <w:rFonts w:ascii="Arial" w:hAnsi="Arial" w:cs="Arial"/>
          <w:spacing w:val="97"/>
          <w:sz w:val="22"/>
          <w:szCs w:val="22"/>
          <w:lang w:val="es-ES_tradnl"/>
        </w:rPr>
        <w:t xml:space="preserve"> </w:t>
      </w:r>
      <w:r w:rsidRPr="00D848CE">
        <w:rPr>
          <w:rFonts w:ascii="Arial" w:hAnsi="Arial" w:cs="Arial"/>
          <w:spacing w:val="-1"/>
          <w:sz w:val="22"/>
          <w:szCs w:val="22"/>
          <w:lang w:val="es-ES_tradnl"/>
        </w:rPr>
        <w:t>US$.</w:t>
      </w:r>
    </w:p>
    <w:p w14:paraId="267AF2FD" w14:textId="77777777" w:rsidR="006979D8" w:rsidRPr="00D848CE" w:rsidRDefault="006979D8" w:rsidP="00D13AD2">
      <w:pPr>
        <w:pStyle w:val="Paragraph"/>
        <w:numPr>
          <w:ilvl w:val="0"/>
          <w:numId w:val="0"/>
        </w:numPr>
        <w:ind w:left="-180"/>
        <w:outlineLvl w:val="9"/>
        <w:rPr>
          <w:rFonts w:ascii="Arial" w:hAnsi="Arial" w:cs="Arial"/>
          <w:sz w:val="22"/>
          <w:szCs w:val="22"/>
          <w:lang w:val="es-ES_tradnl"/>
        </w:rPr>
      </w:pPr>
      <w:r w:rsidRPr="00D848CE">
        <w:rPr>
          <w:rFonts w:ascii="Arial" w:hAnsi="Arial" w:cs="Arial"/>
          <w:noProof/>
          <w:sz w:val="22"/>
          <w:szCs w:val="22"/>
          <w:lang w:val="es-ES_tradnl" w:eastAsia="es-ES_tradnl"/>
        </w:rPr>
        <w:drawing>
          <wp:inline distT="0" distB="0" distL="0" distR="0" wp14:anchorId="2FFEDFD8" wp14:editId="5FDE3BAE">
            <wp:extent cx="5784241" cy="1049572"/>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4122" cy="1051365"/>
                    </a:xfrm>
                    <a:prstGeom prst="rect">
                      <a:avLst/>
                    </a:prstGeom>
                    <a:noFill/>
                    <a:ln>
                      <a:noFill/>
                    </a:ln>
                  </pic:spPr>
                </pic:pic>
              </a:graphicData>
            </a:graphic>
          </wp:inline>
        </w:drawing>
      </w:r>
    </w:p>
    <w:p w14:paraId="55C8A009" w14:textId="77777777" w:rsidR="00D44F3E" w:rsidRPr="00D848CE" w:rsidRDefault="00D44F3E" w:rsidP="00BE3276">
      <w:pPr>
        <w:pStyle w:val="Paragraph"/>
        <w:numPr>
          <w:ilvl w:val="1"/>
          <w:numId w:val="3"/>
        </w:numPr>
        <w:ind w:left="188" w:hanging="634"/>
        <w:outlineLvl w:val="9"/>
        <w:rPr>
          <w:rFonts w:ascii="Arial" w:hAnsi="Arial" w:cs="Arial"/>
          <w:sz w:val="22"/>
          <w:szCs w:val="22"/>
          <w:lang w:val="es-ES_tradnl"/>
        </w:rPr>
      </w:pPr>
      <w:r w:rsidRPr="00D848CE">
        <w:rPr>
          <w:rFonts w:ascii="Arial" w:hAnsi="Arial" w:cs="Arial"/>
          <w:sz w:val="22"/>
          <w:szCs w:val="22"/>
          <w:lang w:val="es-ES_tradnl"/>
        </w:rPr>
        <w:t>A</w:t>
      </w:r>
      <w:r w:rsidRPr="00D848CE">
        <w:rPr>
          <w:rFonts w:ascii="Arial" w:hAnsi="Arial" w:cs="Arial"/>
          <w:spacing w:val="34"/>
          <w:sz w:val="22"/>
          <w:szCs w:val="22"/>
          <w:lang w:val="es-ES_tradnl"/>
        </w:rPr>
        <w:t xml:space="preserve"> </w:t>
      </w:r>
      <w:r w:rsidRPr="00D848CE">
        <w:rPr>
          <w:rFonts w:ascii="Arial" w:hAnsi="Arial" w:cs="Arial"/>
          <w:spacing w:val="-1"/>
          <w:sz w:val="22"/>
          <w:szCs w:val="22"/>
          <w:lang w:val="es-ES_tradnl"/>
        </w:rPr>
        <w:t>fin</w:t>
      </w:r>
      <w:r w:rsidRPr="00D848CE">
        <w:rPr>
          <w:rFonts w:ascii="Arial" w:hAnsi="Arial" w:cs="Arial"/>
          <w:spacing w:val="36"/>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4"/>
          <w:sz w:val="22"/>
          <w:szCs w:val="22"/>
          <w:lang w:val="es-ES_tradnl"/>
        </w:rPr>
        <w:t xml:space="preserve"> </w:t>
      </w:r>
      <w:r w:rsidRPr="00D848CE">
        <w:rPr>
          <w:rFonts w:ascii="Arial" w:hAnsi="Arial" w:cs="Arial"/>
          <w:spacing w:val="-1"/>
          <w:sz w:val="22"/>
          <w:szCs w:val="22"/>
          <w:lang w:val="es-ES_tradnl"/>
        </w:rPr>
        <w:t>convertir</w:t>
      </w:r>
      <w:r w:rsidRPr="00D848CE">
        <w:rPr>
          <w:rFonts w:ascii="Arial" w:hAnsi="Arial" w:cs="Arial"/>
          <w:spacing w:val="34"/>
          <w:sz w:val="22"/>
          <w:szCs w:val="22"/>
          <w:lang w:val="es-ES_tradnl"/>
        </w:rPr>
        <w:t xml:space="preserve"> </w:t>
      </w:r>
      <w:r w:rsidRPr="00D848CE">
        <w:rPr>
          <w:rFonts w:ascii="Arial" w:hAnsi="Arial" w:cs="Arial"/>
          <w:sz w:val="22"/>
          <w:szCs w:val="22"/>
          <w:lang w:val="es-ES_tradnl"/>
        </w:rPr>
        <w:t>los</w:t>
      </w:r>
      <w:r w:rsidRPr="00D848CE">
        <w:rPr>
          <w:rFonts w:ascii="Arial" w:hAnsi="Arial" w:cs="Arial"/>
          <w:spacing w:val="36"/>
          <w:sz w:val="22"/>
          <w:szCs w:val="22"/>
          <w:lang w:val="es-ES_tradnl"/>
        </w:rPr>
        <w:t xml:space="preserve"> </w:t>
      </w:r>
      <w:r w:rsidRPr="00D848CE">
        <w:rPr>
          <w:rFonts w:ascii="Arial" w:hAnsi="Arial" w:cs="Arial"/>
          <w:spacing w:val="-1"/>
          <w:sz w:val="22"/>
          <w:szCs w:val="22"/>
          <w:lang w:val="es-ES_tradnl"/>
        </w:rPr>
        <w:t>costos</w:t>
      </w:r>
      <w:r w:rsidRPr="00D848CE">
        <w:rPr>
          <w:rFonts w:ascii="Arial" w:hAnsi="Arial" w:cs="Arial"/>
          <w:spacing w:val="33"/>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4"/>
          <w:sz w:val="22"/>
          <w:szCs w:val="22"/>
          <w:lang w:val="es-ES_tradnl"/>
        </w:rPr>
        <w:t xml:space="preserve"> </w:t>
      </w:r>
      <w:r w:rsidRPr="00D848CE">
        <w:rPr>
          <w:rFonts w:ascii="Arial" w:hAnsi="Arial" w:cs="Arial"/>
          <w:spacing w:val="-1"/>
          <w:sz w:val="22"/>
          <w:szCs w:val="22"/>
          <w:lang w:val="es-ES_tradnl"/>
        </w:rPr>
        <w:t>inversión</w:t>
      </w:r>
      <w:r w:rsidRPr="00D848CE">
        <w:rPr>
          <w:rFonts w:ascii="Arial" w:hAnsi="Arial" w:cs="Arial"/>
          <w:spacing w:val="34"/>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4"/>
          <w:sz w:val="22"/>
          <w:szCs w:val="22"/>
          <w:lang w:val="es-ES_tradnl"/>
        </w:rPr>
        <w:t xml:space="preserve"> </w:t>
      </w:r>
      <w:r w:rsidRPr="00D848CE">
        <w:rPr>
          <w:rFonts w:ascii="Arial" w:hAnsi="Arial" w:cs="Arial"/>
          <w:spacing w:val="-1"/>
          <w:sz w:val="22"/>
          <w:szCs w:val="22"/>
          <w:lang w:val="es-ES_tradnl"/>
        </w:rPr>
        <w:t>precios</w:t>
      </w:r>
      <w:r w:rsidRPr="00D848CE">
        <w:rPr>
          <w:rFonts w:ascii="Arial" w:hAnsi="Arial" w:cs="Arial"/>
          <w:spacing w:val="35"/>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5"/>
          <w:sz w:val="22"/>
          <w:szCs w:val="22"/>
          <w:lang w:val="es-ES_tradnl"/>
        </w:rPr>
        <w:t xml:space="preserve"> </w:t>
      </w:r>
      <w:r w:rsidRPr="00D848CE">
        <w:rPr>
          <w:rFonts w:ascii="Arial" w:hAnsi="Arial" w:cs="Arial"/>
          <w:spacing w:val="-1"/>
          <w:sz w:val="22"/>
          <w:szCs w:val="22"/>
          <w:lang w:val="es-ES_tradnl"/>
        </w:rPr>
        <w:t>mercado</w:t>
      </w:r>
      <w:r w:rsidRPr="00D848CE">
        <w:rPr>
          <w:rFonts w:ascii="Arial" w:hAnsi="Arial" w:cs="Arial"/>
          <w:spacing w:val="37"/>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34"/>
          <w:sz w:val="22"/>
          <w:szCs w:val="22"/>
          <w:lang w:val="es-ES_tradnl"/>
        </w:rPr>
        <w:t xml:space="preserve"> </w:t>
      </w:r>
      <w:r w:rsidRPr="00D848CE">
        <w:rPr>
          <w:rFonts w:ascii="Arial" w:hAnsi="Arial" w:cs="Arial"/>
          <w:spacing w:val="-1"/>
          <w:sz w:val="22"/>
          <w:szCs w:val="22"/>
          <w:lang w:val="es-ES_tradnl"/>
        </w:rPr>
        <w:t>precios</w:t>
      </w:r>
      <w:r w:rsidRPr="00D848CE">
        <w:rPr>
          <w:rFonts w:ascii="Arial" w:hAnsi="Arial" w:cs="Arial"/>
          <w:spacing w:val="36"/>
          <w:sz w:val="22"/>
          <w:szCs w:val="22"/>
          <w:lang w:val="es-ES_tradnl"/>
        </w:rPr>
        <w:t xml:space="preserve"> </w:t>
      </w:r>
      <w:r w:rsidRPr="00D848CE">
        <w:rPr>
          <w:rFonts w:ascii="Arial" w:hAnsi="Arial" w:cs="Arial"/>
          <w:spacing w:val="-1"/>
          <w:sz w:val="22"/>
          <w:szCs w:val="22"/>
          <w:lang w:val="es-ES_tradnl"/>
        </w:rPr>
        <w:t>sociales,</w:t>
      </w:r>
      <w:r w:rsidRPr="00D848CE">
        <w:rPr>
          <w:rFonts w:ascii="Arial" w:hAnsi="Arial" w:cs="Arial"/>
          <w:spacing w:val="35"/>
          <w:sz w:val="22"/>
          <w:szCs w:val="22"/>
          <w:lang w:val="es-ES_tradnl"/>
        </w:rPr>
        <w:t xml:space="preserve"> </w:t>
      </w:r>
      <w:r w:rsidRPr="00D848CE">
        <w:rPr>
          <w:rFonts w:ascii="Arial" w:hAnsi="Arial" w:cs="Arial"/>
          <w:sz w:val="22"/>
          <w:szCs w:val="22"/>
          <w:lang w:val="es-ES_tradnl"/>
        </w:rPr>
        <w:t>se</w:t>
      </w:r>
      <w:r w:rsidRPr="00D848CE">
        <w:rPr>
          <w:rFonts w:ascii="Arial" w:hAnsi="Arial" w:cs="Arial"/>
          <w:spacing w:val="77"/>
          <w:w w:val="99"/>
          <w:sz w:val="22"/>
          <w:szCs w:val="22"/>
          <w:lang w:val="es-ES_tradnl"/>
        </w:rPr>
        <w:t xml:space="preserve"> </w:t>
      </w:r>
      <w:r w:rsidRPr="00D848CE">
        <w:rPr>
          <w:rFonts w:ascii="Arial" w:hAnsi="Arial" w:cs="Arial"/>
          <w:spacing w:val="-1"/>
          <w:sz w:val="22"/>
          <w:szCs w:val="22"/>
          <w:lang w:val="es-ES_tradnl"/>
        </w:rPr>
        <w:t>realizó</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una</w:t>
      </w:r>
      <w:r w:rsidRPr="00D848CE">
        <w:rPr>
          <w:rFonts w:ascii="Arial" w:hAnsi="Arial" w:cs="Arial"/>
          <w:spacing w:val="2"/>
          <w:sz w:val="22"/>
          <w:szCs w:val="22"/>
          <w:lang w:val="es-ES_tradnl"/>
        </w:rPr>
        <w:t xml:space="preserve"> </w:t>
      </w:r>
      <w:r w:rsidRPr="00D848CE">
        <w:rPr>
          <w:rFonts w:ascii="Arial" w:hAnsi="Arial" w:cs="Arial"/>
          <w:sz w:val="22"/>
          <w:szCs w:val="22"/>
          <w:lang w:val="es-ES_tradnl"/>
        </w:rPr>
        <w:t>desagregación</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2"/>
          <w:sz w:val="22"/>
          <w:szCs w:val="22"/>
          <w:lang w:val="es-ES_tradnl"/>
        </w:rPr>
        <w:t xml:space="preserve"> </w:t>
      </w:r>
      <w:r w:rsidRPr="00D848CE">
        <w:rPr>
          <w:rFonts w:ascii="Arial" w:hAnsi="Arial" w:cs="Arial"/>
          <w:sz w:val="22"/>
          <w:szCs w:val="22"/>
          <w:lang w:val="es-ES_tradnl"/>
        </w:rPr>
        <w:t>los</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costos</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en</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materiales</w:t>
      </w:r>
      <w:r w:rsidRPr="00D848CE">
        <w:rPr>
          <w:rFonts w:ascii="Arial" w:hAnsi="Arial" w:cs="Arial"/>
          <w:spacing w:val="8"/>
          <w:sz w:val="22"/>
          <w:szCs w:val="22"/>
          <w:lang w:val="es-ES_tradnl"/>
        </w:rPr>
        <w:t xml:space="preserve"> </w:t>
      </w:r>
      <w:r w:rsidRPr="00D848CE">
        <w:rPr>
          <w:rFonts w:ascii="Arial" w:hAnsi="Arial" w:cs="Arial"/>
          <w:sz w:val="22"/>
          <w:szCs w:val="22"/>
          <w:lang w:val="es-ES_tradnl"/>
        </w:rPr>
        <w:t>y</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equipos</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nacionales,</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materiales</w:t>
      </w:r>
      <w:r w:rsidRPr="00D848CE">
        <w:rPr>
          <w:rFonts w:ascii="Arial" w:hAnsi="Arial" w:cs="Arial"/>
          <w:spacing w:val="8"/>
          <w:sz w:val="22"/>
          <w:szCs w:val="22"/>
          <w:lang w:val="es-ES_tradnl"/>
        </w:rPr>
        <w:t xml:space="preserve"> </w:t>
      </w:r>
      <w:r w:rsidRPr="00D848CE">
        <w:rPr>
          <w:rFonts w:ascii="Arial" w:hAnsi="Arial" w:cs="Arial"/>
          <w:sz w:val="22"/>
          <w:szCs w:val="22"/>
          <w:lang w:val="es-ES_tradnl"/>
        </w:rPr>
        <w:t>y</w:t>
      </w:r>
      <w:r w:rsidRPr="00D848CE">
        <w:rPr>
          <w:rFonts w:ascii="Arial" w:hAnsi="Arial" w:cs="Arial"/>
          <w:spacing w:val="1"/>
          <w:sz w:val="22"/>
          <w:szCs w:val="22"/>
          <w:lang w:val="es-ES_tradnl"/>
        </w:rPr>
        <w:t xml:space="preserve"> </w:t>
      </w:r>
      <w:r w:rsidRPr="00D848CE">
        <w:rPr>
          <w:rFonts w:ascii="Arial" w:hAnsi="Arial" w:cs="Arial"/>
          <w:spacing w:val="-1"/>
          <w:sz w:val="22"/>
          <w:szCs w:val="22"/>
          <w:lang w:val="es-ES_tradnl"/>
        </w:rPr>
        <w:t>equipos</w:t>
      </w:r>
      <w:r w:rsidRPr="00D848CE">
        <w:rPr>
          <w:rFonts w:ascii="Arial" w:hAnsi="Arial" w:cs="Arial"/>
          <w:spacing w:val="95"/>
          <w:sz w:val="22"/>
          <w:szCs w:val="22"/>
          <w:lang w:val="es-ES_tradnl"/>
        </w:rPr>
        <w:t xml:space="preserve"> </w:t>
      </w:r>
      <w:r w:rsidRPr="00D848CE">
        <w:rPr>
          <w:rFonts w:ascii="Arial" w:hAnsi="Arial" w:cs="Arial"/>
          <w:spacing w:val="-1"/>
          <w:sz w:val="22"/>
          <w:szCs w:val="22"/>
          <w:lang w:val="es-ES_tradnl"/>
        </w:rPr>
        <w:t>importados,</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mano</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obra</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calificada</w:t>
      </w:r>
      <w:r w:rsidRPr="00D848CE">
        <w:rPr>
          <w:rFonts w:ascii="Arial" w:hAnsi="Arial" w:cs="Arial"/>
          <w:sz w:val="22"/>
          <w:szCs w:val="22"/>
          <w:lang w:val="es-ES_tradnl"/>
        </w:rPr>
        <w:t xml:space="preserve"> y</w:t>
      </w:r>
      <w:r w:rsidRPr="00D848CE">
        <w:rPr>
          <w:rFonts w:ascii="Arial" w:hAnsi="Arial" w:cs="Arial"/>
          <w:spacing w:val="-8"/>
          <w:sz w:val="22"/>
          <w:szCs w:val="22"/>
          <w:lang w:val="es-ES_tradnl"/>
        </w:rPr>
        <w:t xml:space="preserve"> </w:t>
      </w:r>
      <w:r w:rsidRPr="00D848CE">
        <w:rPr>
          <w:rFonts w:ascii="Arial" w:hAnsi="Arial" w:cs="Arial"/>
          <w:sz w:val="22"/>
          <w:szCs w:val="22"/>
          <w:lang w:val="es-ES_tradnl"/>
        </w:rPr>
        <w:t>mano</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obra</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no</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calificada.</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Esa</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desagregación</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se</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presenta</w:t>
      </w:r>
      <w:r w:rsidRPr="00D848CE">
        <w:rPr>
          <w:rFonts w:ascii="Arial" w:hAnsi="Arial" w:cs="Arial"/>
          <w:spacing w:val="89"/>
          <w:w w:val="99"/>
          <w:sz w:val="22"/>
          <w:szCs w:val="22"/>
          <w:lang w:val="es-ES_tradnl"/>
        </w:rPr>
        <w:t xml:space="preserve"> </w:t>
      </w:r>
      <w:r w:rsidRPr="00D848CE">
        <w:rPr>
          <w:rFonts w:ascii="Arial" w:hAnsi="Arial" w:cs="Arial"/>
          <w:spacing w:val="-1"/>
          <w:sz w:val="22"/>
          <w:szCs w:val="22"/>
          <w:lang w:val="es-ES_tradnl"/>
        </w:rPr>
        <w:t>en</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el</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Cuadro</w:t>
      </w:r>
      <w:r w:rsidRPr="00D848CE">
        <w:rPr>
          <w:rFonts w:ascii="Arial" w:hAnsi="Arial" w:cs="Arial"/>
          <w:spacing w:val="-3"/>
          <w:sz w:val="22"/>
          <w:szCs w:val="22"/>
          <w:lang w:val="es-ES_tradnl"/>
        </w:rPr>
        <w:t xml:space="preserve"> </w:t>
      </w:r>
      <w:r w:rsidR="006979D8" w:rsidRPr="00D848CE">
        <w:rPr>
          <w:rFonts w:ascii="Arial" w:hAnsi="Arial" w:cs="Arial"/>
          <w:sz w:val="22"/>
          <w:szCs w:val="22"/>
          <w:lang w:val="es-ES_tradnl"/>
        </w:rPr>
        <w:t>3</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continuación.</w:t>
      </w:r>
    </w:p>
    <w:p w14:paraId="0CB06818" w14:textId="77777777" w:rsidR="00D44F3E" w:rsidRPr="00D848CE" w:rsidRDefault="006979D8" w:rsidP="00E82351">
      <w:pPr>
        <w:ind w:left="1530"/>
        <w:jc w:val="center"/>
        <w:rPr>
          <w:rFonts w:ascii="Arial" w:hAnsi="Arial" w:cs="Arial"/>
          <w:b/>
          <w:bCs/>
          <w:lang w:val="es-ES_tradnl"/>
        </w:rPr>
      </w:pPr>
      <w:r w:rsidRPr="00D848CE">
        <w:rPr>
          <w:rFonts w:ascii="Arial" w:hAnsi="Arial" w:cs="Arial"/>
          <w:noProof/>
          <w:lang w:val="es-ES_tradnl" w:eastAsia="es-ES_tradnl"/>
        </w:rPr>
        <w:drawing>
          <wp:inline distT="0" distB="0" distL="0" distR="0" wp14:anchorId="6BA476B9" wp14:editId="1F6B825B">
            <wp:extent cx="2586437" cy="2318657"/>
            <wp:effectExtent l="0" t="0" r="4445" b="571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89307" cy="2321230"/>
                    </a:xfrm>
                    <a:prstGeom prst="rect">
                      <a:avLst/>
                    </a:prstGeom>
                    <a:noFill/>
                    <a:ln>
                      <a:noFill/>
                    </a:ln>
                  </pic:spPr>
                </pic:pic>
              </a:graphicData>
            </a:graphic>
          </wp:inline>
        </w:drawing>
      </w:r>
    </w:p>
    <w:p w14:paraId="669606A1" w14:textId="77777777" w:rsidR="00D44F3E" w:rsidRPr="00D848CE" w:rsidRDefault="00D44F3E" w:rsidP="00BE3276">
      <w:pPr>
        <w:pStyle w:val="Paragraph"/>
        <w:numPr>
          <w:ilvl w:val="1"/>
          <w:numId w:val="3"/>
        </w:numPr>
        <w:ind w:left="188" w:hanging="634"/>
        <w:outlineLvl w:val="9"/>
        <w:rPr>
          <w:rFonts w:ascii="Arial" w:hAnsi="Arial" w:cs="Arial"/>
          <w:sz w:val="22"/>
          <w:szCs w:val="22"/>
          <w:lang w:val="es-ES_tradnl"/>
        </w:rPr>
      </w:pPr>
      <w:r w:rsidRPr="00D848CE">
        <w:rPr>
          <w:rFonts w:ascii="Arial" w:hAnsi="Arial" w:cs="Arial"/>
          <w:spacing w:val="-1"/>
          <w:sz w:val="22"/>
          <w:szCs w:val="22"/>
          <w:lang w:val="es-ES_tradnl"/>
        </w:rPr>
        <w:lastRenderedPageBreak/>
        <w:t>Dado</w:t>
      </w:r>
      <w:r w:rsidRPr="00D848CE">
        <w:rPr>
          <w:rFonts w:ascii="Arial" w:hAnsi="Arial" w:cs="Arial"/>
          <w:spacing w:val="1"/>
          <w:sz w:val="22"/>
          <w:szCs w:val="22"/>
          <w:lang w:val="es-ES_tradnl"/>
        </w:rPr>
        <w:t xml:space="preserve"> </w:t>
      </w:r>
      <w:r w:rsidRPr="00D848CE">
        <w:rPr>
          <w:rFonts w:ascii="Arial" w:hAnsi="Arial" w:cs="Arial"/>
          <w:sz w:val="22"/>
          <w:szCs w:val="22"/>
          <w:lang w:val="es-ES_tradnl"/>
        </w:rPr>
        <w:t>que</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los</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precios</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6"/>
          <w:sz w:val="22"/>
          <w:szCs w:val="22"/>
          <w:lang w:val="es-ES_tradnl"/>
        </w:rPr>
        <w:t xml:space="preserve"> </w:t>
      </w:r>
      <w:r w:rsidRPr="00D848CE">
        <w:rPr>
          <w:rFonts w:ascii="Arial" w:hAnsi="Arial" w:cs="Arial"/>
          <w:spacing w:val="-1"/>
          <w:sz w:val="22"/>
          <w:szCs w:val="22"/>
          <w:lang w:val="es-ES_tradnl"/>
        </w:rPr>
        <w:t>mercado</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no</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reflejan</w:t>
      </w:r>
      <w:r w:rsidRPr="00D848CE">
        <w:rPr>
          <w:rFonts w:ascii="Arial" w:hAnsi="Arial" w:cs="Arial"/>
          <w:spacing w:val="5"/>
          <w:sz w:val="22"/>
          <w:szCs w:val="22"/>
          <w:lang w:val="es-ES_tradnl"/>
        </w:rPr>
        <w:t xml:space="preserve"> </w:t>
      </w:r>
      <w:r w:rsidRPr="00D848CE">
        <w:rPr>
          <w:rFonts w:ascii="Arial" w:hAnsi="Arial" w:cs="Arial"/>
          <w:spacing w:val="-1"/>
          <w:sz w:val="22"/>
          <w:szCs w:val="22"/>
          <w:lang w:val="es-ES_tradnl"/>
        </w:rPr>
        <w:t>el</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costo</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real</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de</w:t>
      </w:r>
      <w:r w:rsidRPr="00D848CE">
        <w:rPr>
          <w:rFonts w:ascii="Arial" w:hAnsi="Arial" w:cs="Arial"/>
          <w:sz w:val="22"/>
          <w:szCs w:val="22"/>
          <w:lang w:val="es-ES_tradnl"/>
        </w:rPr>
        <w:t xml:space="preserve"> </w:t>
      </w:r>
      <w:r w:rsidRPr="00D848CE">
        <w:rPr>
          <w:rFonts w:ascii="Arial" w:hAnsi="Arial" w:cs="Arial"/>
          <w:spacing w:val="-1"/>
          <w:sz w:val="22"/>
          <w:szCs w:val="22"/>
          <w:lang w:val="es-ES_tradnl"/>
        </w:rPr>
        <w:t>oportunidad</w:t>
      </w:r>
      <w:r w:rsidRPr="00D848CE">
        <w:rPr>
          <w:rFonts w:ascii="Arial" w:hAnsi="Arial" w:cs="Arial"/>
          <w:spacing w:val="7"/>
          <w:sz w:val="22"/>
          <w:szCs w:val="22"/>
          <w:lang w:val="es-ES_tradnl"/>
        </w:rPr>
        <w:t xml:space="preserve"> </w:t>
      </w:r>
      <w:r w:rsidRPr="00D848CE">
        <w:rPr>
          <w:rFonts w:ascii="Arial" w:hAnsi="Arial" w:cs="Arial"/>
          <w:sz w:val="22"/>
          <w:szCs w:val="22"/>
          <w:lang w:val="es-ES_tradnl"/>
        </w:rPr>
        <w:t>de los</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recursos,</w:t>
      </w:r>
      <w:r w:rsidRPr="00D848CE">
        <w:rPr>
          <w:rFonts w:ascii="Arial" w:hAnsi="Arial" w:cs="Arial"/>
          <w:spacing w:val="2"/>
          <w:sz w:val="22"/>
          <w:szCs w:val="22"/>
          <w:lang w:val="es-ES_tradnl"/>
        </w:rPr>
        <w:t xml:space="preserve"> </w:t>
      </w:r>
      <w:r w:rsidRPr="00D848CE">
        <w:rPr>
          <w:rFonts w:ascii="Arial" w:hAnsi="Arial" w:cs="Arial"/>
          <w:sz w:val="22"/>
          <w:szCs w:val="22"/>
          <w:lang w:val="es-ES_tradnl"/>
        </w:rPr>
        <w:t>debido</w:t>
      </w:r>
      <w:r w:rsidRPr="00D848CE">
        <w:rPr>
          <w:rFonts w:ascii="Arial" w:hAnsi="Arial" w:cs="Arial"/>
          <w:spacing w:val="73"/>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7"/>
          <w:sz w:val="22"/>
          <w:szCs w:val="22"/>
          <w:lang w:val="es-ES_tradnl"/>
        </w:rPr>
        <w:t xml:space="preserve"> </w:t>
      </w:r>
      <w:r w:rsidRPr="00D848CE">
        <w:rPr>
          <w:rFonts w:ascii="Arial" w:hAnsi="Arial" w:cs="Arial"/>
          <w:sz w:val="22"/>
          <w:szCs w:val="22"/>
          <w:lang w:val="es-ES_tradnl"/>
        </w:rPr>
        <w:t>la</w:t>
      </w:r>
      <w:r w:rsidRPr="00D848CE">
        <w:rPr>
          <w:rFonts w:ascii="Arial" w:hAnsi="Arial" w:cs="Arial"/>
          <w:spacing w:val="7"/>
          <w:sz w:val="22"/>
          <w:szCs w:val="22"/>
          <w:lang w:val="es-ES_tradnl"/>
        </w:rPr>
        <w:t xml:space="preserve"> </w:t>
      </w:r>
      <w:r w:rsidRPr="00D848CE">
        <w:rPr>
          <w:rFonts w:ascii="Arial" w:hAnsi="Arial" w:cs="Arial"/>
          <w:sz w:val="22"/>
          <w:szCs w:val="22"/>
          <w:lang w:val="es-ES_tradnl"/>
        </w:rPr>
        <w:t>presencia</w:t>
      </w:r>
      <w:r w:rsidRPr="00D848CE">
        <w:rPr>
          <w:rFonts w:ascii="Arial" w:hAnsi="Arial" w:cs="Arial"/>
          <w:spacing w:val="7"/>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7"/>
          <w:sz w:val="22"/>
          <w:szCs w:val="22"/>
          <w:lang w:val="es-ES_tradnl"/>
        </w:rPr>
        <w:t xml:space="preserve"> </w:t>
      </w:r>
      <w:r w:rsidRPr="00D848CE">
        <w:rPr>
          <w:rFonts w:ascii="Arial" w:hAnsi="Arial" w:cs="Arial"/>
          <w:spacing w:val="-1"/>
          <w:sz w:val="22"/>
          <w:szCs w:val="22"/>
          <w:lang w:val="es-ES_tradnl"/>
        </w:rPr>
        <w:t>imperfecciones</w:t>
      </w:r>
      <w:r w:rsidRPr="00D848CE">
        <w:rPr>
          <w:rFonts w:ascii="Arial" w:hAnsi="Arial" w:cs="Arial"/>
          <w:spacing w:val="8"/>
          <w:sz w:val="22"/>
          <w:szCs w:val="22"/>
          <w:lang w:val="es-ES_tradnl"/>
        </w:rPr>
        <w:t xml:space="preserve"> </w:t>
      </w:r>
      <w:r w:rsidRPr="00D848CE">
        <w:rPr>
          <w:rFonts w:ascii="Arial" w:hAnsi="Arial" w:cs="Arial"/>
          <w:spacing w:val="-1"/>
          <w:sz w:val="22"/>
          <w:szCs w:val="22"/>
          <w:lang w:val="es-ES_tradnl"/>
        </w:rPr>
        <w:t>tales</w:t>
      </w:r>
      <w:r w:rsidRPr="00D848CE">
        <w:rPr>
          <w:rFonts w:ascii="Arial" w:hAnsi="Arial" w:cs="Arial"/>
          <w:spacing w:val="10"/>
          <w:sz w:val="22"/>
          <w:szCs w:val="22"/>
          <w:lang w:val="es-ES_tradnl"/>
        </w:rPr>
        <w:t xml:space="preserve"> </w:t>
      </w:r>
      <w:r w:rsidRPr="00D848CE">
        <w:rPr>
          <w:rFonts w:ascii="Arial" w:hAnsi="Arial" w:cs="Arial"/>
          <w:spacing w:val="-1"/>
          <w:sz w:val="22"/>
          <w:szCs w:val="22"/>
          <w:lang w:val="es-ES_tradnl"/>
        </w:rPr>
        <w:t>como</w:t>
      </w:r>
      <w:r w:rsidRPr="00D848CE">
        <w:rPr>
          <w:rFonts w:ascii="Arial" w:hAnsi="Arial" w:cs="Arial"/>
          <w:spacing w:val="8"/>
          <w:sz w:val="22"/>
          <w:szCs w:val="22"/>
          <w:lang w:val="es-ES_tradnl"/>
        </w:rPr>
        <w:t xml:space="preserve"> </w:t>
      </w:r>
      <w:r w:rsidRPr="00D848CE">
        <w:rPr>
          <w:rFonts w:ascii="Arial" w:hAnsi="Arial" w:cs="Arial"/>
          <w:sz w:val="22"/>
          <w:szCs w:val="22"/>
          <w:lang w:val="es-ES_tradnl"/>
        </w:rPr>
        <w:t>impuestos</w:t>
      </w:r>
      <w:r w:rsidRPr="00D848CE">
        <w:rPr>
          <w:rFonts w:ascii="Arial" w:hAnsi="Arial" w:cs="Arial"/>
          <w:spacing w:val="8"/>
          <w:sz w:val="22"/>
          <w:szCs w:val="22"/>
          <w:lang w:val="es-ES_tradnl"/>
        </w:rPr>
        <w:t xml:space="preserve"> </w:t>
      </w:r>
      <w:r w:rsidRPr="00D848CE">
        <w:rPr>
          <w:rFonts w:ascii="Arial" w:hAnsi="Arial" w:cs="Arial"/>
          <w:spacing w:val="-1"/>
          <w:sz w:val="22"/>
          <w:szCs w:val="22"/>
          <w:lang w:val="es-ES_tradnl"/>
        </w:rPr>
        <w:t>(subsidios),</w:t>
      </w:r>
      <w:r w:rsidRPr="00D848CE">
        <w:rPr>
          <w:rFonts w:ascii="Arial" w:hAnsi="Arial" w:cs="Arial"/>
          <w:spacing w:val="8"/>
          <w:sz w:val="22"/>
          <w:szCs w:val="22"/>
          <w:lang w:val="es-ES_tradnl"/>
        </w:rPr>
        <w:t xml:space="preserve"> </w:t>
      </w:r>
      <w:r w:rsidRPr="00D848CE">
        <w:rPr>
          <w:rFonts w:ascii="Arial" w:hAnsi="Arial" w:cs="Arial"/>
          <w:spacing w:val="-1"/>
          <w:sz w:val="22"/>
          <w:szCs w:val="22"/>
          <w:lang w:val="es-ES_tradnl"/>
        </w:rPr>
        <w:t>bandas</w:t>
      </w:r>
      <w:r w:rsidRPr="00D848CE">
        <w:rPr>
          <w:rFonts w:ascii="Arial" w:hAnsi="Arial" w:cs="Arial"/>
          <w:spacing w:val="10"/>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7"/>
          <w:sz w:val="22"/>
          <w:szCs w:val="22"/>
          <w:lang w:val="es-ES_tradnl"/>
        </w:rPr>
        <w:t xml:space="preserve"> </w:t>
      </w:r>
      <w:r w:rsidRPr="00D848CE">
        <w:rPr>
          <w:rFonts w:ascii="Arial" w:hAnsi="Arial" w:cs="Arial"/>
          <w:spacing w:val="-1"/>
          <w:sz w:val="22"/>
          <w:szCs w:val="22"/>
          <w:lang w:val="es-ES_tradnl"/>
        </w:rPr>
        <w:t>precios,</w:t>
      </w:r>
      <w:r w:rsidRPr="00D848CE">
        <w:rPr>
          <w:rFonts w:ascii="Arial" w:hAnsi="Arial" w:cs="Arial"/>
          <w:spacing w:val="8"/>
          <w:sz w:val="22"/>
          <w:szCs w:val="22"/>
          <w:lang w:val="es-ES_tradnl"/>
        </w:rPr>
        <w:t xml:space="preserve"> </w:t>
      </w:r>
      <w:r w:rsidRPr="00D848CE">
        <w:rPr>
          <w:rFonts w:ascii="Arial" w:hAnsi="Arial" w:cs="Arial"/>
          <w:spacing w:val="-1"/>
          <w:sz w:val="22"/>
          <w:szCs w:val="22"/>
          <w:lang w:val="es-ES_tradnl"/>
        </w:rPr>
        <w:t>presencia</w:t>
      </w:r>
      <w:r w:rsidRPr="00D848CE">
        <w:rPr>
          <w:rFonts w:ascii="Arial" w:hAnsi="Arial" w:cs="Arial"/>
          <w:spacing w:val="93"/>
          <w:w w:val="99"/>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8"/>
          <w:sz w:val="22"/>
          <w:szCs w:val="22"/>
          <w:lang w:val="es-ES_tradnl"/>
        </w:rPr>
        <w:t xml:space="preserve"> </w:t>
      </w:r>
      <w:r w:rsidRPr="00D848CE">
        <w:rPr>
          <w:rFonts w:ascii="Arial" w:hAnsi="Arial" w:cs="Arial"/>
          <w:spacing w:val="-1"/>
          <w:sz w:val="22"/>
          <w:szCs w:val="22"/>
          <w:lang w:val="es-ES_tradnl"/>
        </w:rPr>
        <w:t>poder</w:t>
      </w:r>
      <w:r w:rsidRPr="00D848CE">
        <w:rPr>
          <w:rFonts w:ascii="Arial" w:hAnsi="Arial" w:cs="Arial"/>
          <w:spacing w:val="38"/>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9"/>
          <w:sz w:val="22"/>
          <w:szCs w:val="22"/>
          <w:lang w:val="es-ES_tradnl"/>
        </w:rPr>
        <w:t xml:space="preserve"> </w:t>
      </w:r>
      <w:r w:rsidRPr="00D848CE">
        <w:rPr>
          <w:rFonts w:ascii="Arial" w:hAnsi="Arial" w:cs="Arial"/>
          <w:sz w:val="22"/>
          <w:szCs w:val="22"/>
          <w:lang w:val="es-ES_tradnl"/>
        </w:rPr>
        <w:t>mercado</w:t>
      </w:r>
      <w:r w:rsidRPr="00D848CE">
        <w:rPr>
          <w:rFonts w:ascii="Arial" w:hAnsi="Arial" w:cs="Arial"/>
          <w:spacing w:val="39"/>
          <w:sz w:val="22"/>
          <w:szCs w:val="22"/>
          <w:lang w:val="es-ES_tradnl"/>
        </w:rPr>
        <w:t xml:space="preserve"> </w:t>
      </w:r>
      <w:r w:rsidRPr="00D848CE">
        <w:rPr>
          <w:rFonts w:ascii="Arial" w:hAnsi="Arial" w:cs="Arial"/>
          <w:sz w:val="22"/>
          <w:szCs w:val="22"/>
          <w:lang w:val="es-ES_tradnl"/>
        </w:rPr>
        <w:t>(monopolios),</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etc.,</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dichos</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precios</w:t>
      </w:r>
      <w:r w:rsidRPr="00D848CE">
        <w:rPr>
          <w:rFonts w:ascii="Arial" w:hAnsi="Arial" w:cs="Arial"/>
          <w:spacing w:val="39"/>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8"/>
          <w:sz w:val="22"/>
          <w:szCs w:val="22"/>
          <w:lang w:val="es-ES_tradnl"/>
        </w:rPr>
        <w:t xml:space="preserve"> </w:t>
      </w:r>
      <w:r w:rsidRPr="00D848CE">
        <w:rPr>
          <w:rFonts w:ascii="Arial" w:hAnsi="Arial" w:cs="Arial"/>
          <w:sz w:val="22"/>
          <w:szCs w:val="22"/>
          <w:lang w:val="es-ES_tradnl"/>
        </w:rPr>
        <w:t>mercado</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deben</w:t>
      </w:r>
      <w:r w:rsidRPr="00D848CE">
        <w:rPr>
          <w:rFonts w:ascii="Arial" w:hAnsi="Arial" w:cs="Arial"/>
          <w:spacing w:val="39"/>
          <w:sz w:val="22"/>
          <w:szCs w:val="22"/>
          <w:lang w:val="es-ES_tradnl"/>
        </w:rPr>
        <w:t xml:space="preserve"> </w:t>
      </w:r>
      <w:r w:rsidRPr="00D848CE">
        <w:rPr>
          <w:rFonts w:ascii="Arial" w:hAnsi="Arial" w:cs="Arial"/>
          <w:sz w:val="22"/>
          <w:szCs w:val="22"/>
          <w:lang w:val="es-ES_tradnl"/>
        </w:rPr>
        <w:t>corregirse</w:t>
      </w:r>
      <w:r w:rsidRPr="00D848CE">
        <w:rPr>
          <w:rFonts w:ascii="Arial" w:hAnsi="Arial" w:cs="Arial"/>
          <w:spacing w:val="77"/>
          <w:w w:val="99"/>
          <w:sz w:val="22"/>
          <w:szCs w:val="22"/>
          <w:lang w:val="es-ES_tradnl"/>
        </w:rPr>
        <w:t xml:space="preserve"> </w:t>
      </w:r>
      <w:r w:rsidRPr="00D848CE">
        <w:rPr>
          <w:rFonts w:ascii="Arial" w:hAnsi="Arial" w:cs="Arial"/>
          <w:spacing w:val="-1"/>
          <w:sz w:val="22"/>
          <w:szCs w:val="22"/>
          <w:lang w:val="es-ES_tradnl"/>
        </w:rPr>
        <w:t>considerando</w:t>
      </w:r>
      <w:r w:rsidRPr="00D848CE">
        <w:rPr>
          <w:rFonts w:ascii="Arial" w:hAnsi="Arial" w:cs="Arial"/>
          <w:spacing w:val="42"/>
          <w:sz w:val="22"/>
          <w:szCs w:val="22"/>
          <w:lang w:val="es-ES_tradnl"/>
        </w:rPr>
        <w:t xml:space="preserve"> </w:t>
      </w:r>
      <w:r w:rsidRPr="00D848CE">
        <w:rPr>
          <w:rFonts w:ascii="Arial" w:hAnsi="Arial" w:cs="Arial"/>
          <w:spacing w:val="-1"/>
          <w:sz w:val="22"/>
          <w:szCs w:val="22"/>
          <w:lang w:val="es-ES_tradnl"/>
        </w:rPr>
        <w:t>factores</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de</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conversión</w:t>
      </w:r>
      <w:r w:rsidRPr="00D848CE">
        <w:rPr>
          <w:rFonts w:ascii="Arial" w:hAnsi="Arial" w:cs="Arial"/>
          <w:spacing w:val="41"/>
          <w:sz w:val="22"/>
          <w:szCs w:val="22"/>
          <w:lang w:val="es-ES_tradnl"/>
        </w:rPr>
        <w:t xml:space="preserve"> </w:t>
      </w:r>
      <w:r w:rsidRPr="00D848CE">
        <w:rPr>
          <w:rFonts w:ascii="Arial" w:hAnsi="Arial" w:cs="Arial"/>
          <w:sz w:val="22"/>
          <w:szCs w:val="22"/>
          <w:lang w:val="es-ES_tradnl"/>
        </w:rPr>
        <w:t>que</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transforman</w:t>
      </w:r>
      <w:r w:rsidRPr="00D848CE">
        <w:rPr>
          <w:rFonts w:ascii="Arial" w:hAnsi="Arial" w:cs="Arial"/>
          <w:spacing w:val="40"/>
          <w:sz w:val="22"/>
          <w:szCs w:val="22"/>
          <w:lang w:val="es-ES_tradnl"/>
        </w:rPr>
        <w:t xml:space="preserve"> </w:t>
      </w:r>
      <w:r w:rsidRPr="00D848CE">
        <w:rPr>
          <w:rFonts w:ascii="Arial" w:hAnsi="Arial" w:cs="Arial"/>
          <w:sz w:val="22"/>
          <w:szCs w:val="22"/>
          <w:lang w:val="es-ES_tradnl"/>
        </w:rPr>
        <w:t>un</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precio</w:t>
      </w:r>
      <w:r w:rsidRPr="00D848CE">
        <w:rPr>
          <w:rFonts w:ascii="Arial" w:hAnsi="Arial" w:cs="Arial"/>
          <w:spacing w:val="41"/>
          <w:sz w:val="22"/>
          <w:szCs w:val="22"/>
          <w:lang w:val="es-ES_tradnl"/>
        </w:rPr>
        <w:t xml:space="preserve"> </w:t>
      </w:r>
      <w:r w:rsidRPr="00D848CE">
        <w:rPr>
          <w:rFonts w:ascii="Arial" w:hAnsi="Arial" w:cs="Arial"/>
          <w:spacing w:val="1"/>
          <w:sz w:val="22"/>
          <w:szCs w:val="22"/>
          <w:lang w:val="es-ES_tradnl"/>
        </w:rPr>
        <w:t>de</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mercado</w:t>
      </w:r>
      <w:r w:rsidRPr="00D848CE">
        <w:rPr>
          <w:rFonts w:ascii="Arial" w:hAnsi="Arial" w:cs="Arial"/>
          <w:spacing w:val="42"/>
          <w:sz w:val="22"/>
          <w:szCs w:val="22"/>
          <w:lang w:val="es-ES_tradnl"/>
        </w:rPr>
        <w:t xml:space="preserve"> </w:t>
      </w:r>
      <w:r w:rsidRPr="00D848CE">
        <w:rPr>
          <w:rFonts w:ascii="Arial" w:hAnsi="Arial" w:cs="Arial"/>
          <w:spacing w:val="-1"/>
          <w:sz w:val="22"/>
          <w:szCs w:val="22"/>
          <w:lang w:val="es-ES_tradnl"/>
        </w:rPr>
        <w:t>en</w:t>
      </w:r>
      <w:r w:rsidRPr="00D848CE">
        <w:rPr>
          <w:rFonts w:ascii="Arial" w:hAnsi="Arial" w:cs="Arial"/>
          <w:spacing w:val="40"/>
          <w:sz w:val="22"/>
          <w:szCs w:val="22"/>
          <w:lang w:val="es-ES_tradnl"/>
        </w:rPr>
        <w:t xml:space="preserve"> </w:t>
      </w:r>
      <w:r w:rsidRPr="00D848CE">
        <w:rPr>
          <w:rFonts w:ascii="Arial" w:hAnsi="Arial" w:cs="Arial"/>
          <w:sz w:val="22"/>
          <w:szCs w:val="22"/>
          <w:lang w:val="es-ES_tradnl"/>
        </w:rPr>
        <w:t>un</w:t>
      </w:r>
      <w:r w:rsidRPr="00D848CE">
        <w:rPr>
          <w:rFonts w:ascii="Arial" w:hAnsi="Arial" w:cs="Arial"/>
          <w:spacing w:val="41"/>
          <w:sz w:val="22"/>
          <w:szCs w:val="22"/>
          <w:lang w:val="es-ES_tradnl"/>
        </w:rPr>
        <w:t xml:space="preserve"> </w:t>
      </w:r>
      <w:r w:rsidRPr="00D848CE">
        <w:rPr>
          <w:rFonts w:ascii="Arial" w:hAnsi="Arial" w:cs="Arial"/>
          <w:spacing w:val="-1"/>
          <w:sz w:val="22"/>
          <w:szCs w:val="22"/>
          <w:lang w:val="es-ES_tradnl"/>
        </w:rPr>
        <w:t>precio</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de</w:t>
      </w:r>
      <w:r w:rsidRPr="00D848CE">
        <w:rPr>
          <w:rFonts w:ascii="Arial" w:hAnsi="Arial" w:cs="Arial"/>
          <w:spacing w:val="97"/>
          <w:w w:val="99"/>
          <w:sz w:val="22"/>
          <w:szCs w:val="22"/>
          <w:lang w:val="es-ES_tradnl"/>
        </w:rPr>
        <w:t xml:space="preserve"> </w:t>
      </w:r>
      <w:r w:rsidRPr="00D848CE">
        <w:rPr>
          <w:rFonts w:ascii="Arial" w:hAnsi="Arial" w:cs="Arial"/>
          <w:spacing w:val="-1"/>
          <w:sz w:val="22"/>
          <w:szCs w:val="22"/>
          <w:lang w:val="es-ES_tradnl"/>
        </w:rPr>
        <w:t>eficiencia</w:t>
      </w:r>
      <w:r w:rsidRPr="00D848CE">
        <w:rPr>
          <w:rFonts w:ascii="Arial" w:hAnsi="Arial" w:cs="Arial"/>
          <w:spacing w:val="2"/>
          <w:sz w:val="22"/>
          <w:szCs w:val="22"/>
          <w:lang w:val="es-ES_tradnl"/>
        </w:rPr>
        <w:t xml:space="preserve"> </w:t>
      </w:r>
      <w:r w:rsidRPr="00D848CE">
        <w:rPr>
          <w:rFonts w:ascii="Arial" w:hAnsi="Arial" w:cs="Arial"/>
          <w:sz w:val="22"/>
          <w:szCs w:val="22"/>
          <w:lang w:val="es-ES_tradnl"/>
        </w:rPr>
        <w:t>o</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precio</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social</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(precio</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sombra).</w:t>
      </w:r>
      <w:r w:rsidRPr="00D848CE">
        <w:rPr>
          <w:rFonts w:ascii="Arial" w:hAnsi="Arial" w:cs="Arial"/>
          <w:spacing w:val="5"/>
          <w:sz w:val="22"/>
          <w:szCs w:val="22"/>
          <w:lang w:val="es-ES_tradnl"/>
        </w:rPr>
        <w:t xml:space="preserve"> </w:t>
      </w:r>
      <w:r w:rsidRPr="00D848CE">
        <w:rPr>
          <w:rFonts w:ascii="Arial" w:hAnsi="Arial" w:cs="Arial"/>
          <w:sz w:val="22"/>
          <w:szCs w:val="22"/>
          <w:lang w:val="es-ES_tradnl"/>
        </w:rPr>
        <w:t>Para</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realizar</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dicha</w:t>
      </w:r>
      <w:r w:rsidRPr="00D848CE">
        <w:rPr>
          <w:rFonts w:ascii="Arial" w:hAnsi="Arial" w:cs="Arial"/>
          <w:spacing w:val="4"/>
          <w:sz w:val="22"/>
          <w:szCs w:val="22"/>
          <w:lang w:val="es-ES_tradnl"/>
        </w:rPr>
        <w:t xml:space="preserve"> </w:t>
      </w:r>
      <w:r w:rsidRPr="00D848CE">
        <w:rPr>
          <w:rFonts w:ascii="Arial" w:hAnsi="Arial" w:cs="Arial"/>
          <w:spacing w:val="-1"/>
          <w:sz w:val="22"/>
          <w:szCs w:val="22"/>
          <w:lang w:val="es-ES_tradnl"/>
        </w:rPr>
        <w:t>conversión</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 xml:space="preserve">se </w:t>
      </w:r>
      <w:r w:rsidRPr="00D848CE">
        <w:rPr>
          <w:rFonts w:ascii="Arial" w:hAnsi="Arial" w:cs="Arial"/>
          <w:spacing w:val="2"/>
          <w:sz w:val="22"/>
          <w:szCs w:val="22"/>
          <w:lang w:val="es-ES_tradnl"/>
        </w:rPr>
        <w:t>aplicaron</w:t>
      </w:r>
      <w:r w:rsidRPr="00D848CE">
        <w:rPr>
          <w:rFonts w:ascii="Arial" w:hAnsi="Arial" w:cs="Arial"/>
          <w:sz w:val="22"/>
          <w:szCs w:val="22"/>
          <w:lang w:val="es-ES_tradnl"/>
        </w:rPr>
        <w:t xml:space="preserve"> </w:t>
      </w:r>
      <w:r w:rsidRPr="00D848CE">
        <w:rPr>
          <w:rFonts w:ascii="Arial" w:hAnsi="Arial" w:cs="Arial"/>
          <w:spacing w:val="6"/>
          <w:sz w:val="22"/>
          <w:szCs w:val="22"/>
          <w:lang w:val="es-ES_tradnl"/>
        </w:rPr>
        <w:t>los</w:t>
      </w:r>
      <w:r w:rsidRPr="00D848CE">
        <w:rPr>
          <w:rFonts w:ascii="Arial" w:hAnsi="Arial" w:cs="Arial"/>
          <w:spacing w:val="95"/>
          <w:sz w:val="22"/>
          <w:szCs w:val="22"/>
          <w:lang w:val="es-ES_tradnl"/>
        </w:rPr>
        <w:t xml:space="preserve"> </w:t>
      </w:r>
      <w:r w:rsidRPr="00D848CE">
        <w:rPr>
          <w:rFonts w:ascii="Arial" w:hAnsi="Arial" w:cs="Arial"/>
          <w:spacing w:val="-1"/>
          <w:sz w:val="22"/>
          <w:szCs w:val="22"/>
          <w:lang w:val="es-ES_tradnl"/>
        </w:rPr>
        <w:t>factores</w:t>
      </w:r>
      <w:r w:rsidRPr="00D848CE">
        <w:rPr>
          <w:rFonts w:ascii="Arial" w:hAnsi="Arial" w:cs="Arial"/>
          <w:spacing w:val="-6"/>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6"/>
          <w:sz w:val="22"/>
          <w:szCs w:val="22"/>
          <w:lang w:val="es-ES_tradnl"/>
        </w:rPr>
        <w:t xml:space="preserve"> </w:t>
      </w:r>
      <w:r w:rsidRPr="00D848CE">
        <w:rPr>
          <w:rFonts w:ascii="Arial" w:hAnsi="Arial" w:cs="Arial"/>
          <w:spacing w:val="-1"/>
          <w:sz w:val="22"/>
          <w:szCs w:val="22"/>
          <w:lang w:val="es-ES_tradnl"/>
        </w:rPr>
        <w:t>conversión</w:t>
      </w:r>
      <w:r w:rsidRPr="00D848CE">
        <w:rPr>
          <w:rFonts w:ascii="Arial" w:hAnsi="Arial" w:cs="Arial"/>
          <w:spacing w:val="-5"/>
          <w:sz w:val="22"/>
          <w:szCs w:val="22"/>
          <w:lang w:val="es-ES_tradnl"/>
        </w:rPr>
        <w:t xml:space="preserve"> </w:t>
      </w:r>
      <w:r w:rsidRPr="00D848CE">
        <w:rPr>
          <w:rFonts w:ascii="Arial" w:hAnsi="Arial" w:cs="Arial"/>
          <w:spacing w:val="-1"/>
          <w:sz w:val="22"/>
          <w:szCs w:val="22"/>
          <w:lang w:val="es-ES_tradnl"/>
        </w:rPr>
        <w:t>indicados</w:t>
      </w:r>
      <w:r w:rsidRPr="00D848CE">
        <w:rPr>
          <w:rFonts w:ascii="Arial" w:hAnsi="Arial" w:cs="Arial"/>
          <w:spacing w:val="-5"/>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6"/>
          <w:sz w:val="22"/>
          <w:szCs w:val="22"/>
          <w:lang w:val="es-ES_tradnl"/>
        </w:rPr>
        <w:t xml:space="preserve"> </w:t>
      </w:r>
      <w:r w:rsidRPr="00D848CE">
        <w:rPr>
          <w:rFonts w:ascii="Arial" w:hAnsi="Arial" w:cs="Arial"/>
          <w:spacing w:val="-1"/>
          <w:sz w:val="22"/>
          <w:szCs w:val="22"/>
          <w:lang w:val="es-ES_tradnl"/>
        </w:rPr>
        <w:t>continuación.</w:t>
      </w:r>
    </w:p>
    <w:p w14:paraId="24894B3F" w14:textId="77777777" w:rsidR="00D44F3E" w:rsidRPr="00D848CE" w:rsidRDefault="00D44F3E" w:rsidP="00BE3276">
      <w:pPr>
        <w:pStyle w:val="Paragraph"/>
        <w:numPr>
          <w:ilvl w:val="0"/>
          <w:numId w:val="4"/>
        </w:numPr>
        <w:ind w:left="630" w:hanging="450"/>
        <w:outlineLvl w:val="9"/>
        <w:rPr>
          <w:rFonts w:ascii="Arial" w:hAnsi="Arial" w:cs="Arial"/>
          <w:sz w:val="22"/>
          <w:szCs w:val="22"/>
          <w:lang w:val="es-ES_tradnl"/>
        </w:rPr>
      </w:pPr>
      <w:r w:rsidRPr="00D848CE">
        <w:rPr>
          <w:rFonts w:ascii="Arial" w:hAnsi="Arial" w:cs="Arial"/>
          <w:spacing w:val="-1"/>
          <w:sz w:val="22"/>
          <w:szCs w:val="22"/>
          <w:u w:val="single" w:color="000000"/>
          <w:lang w:val="es-ES_tradnl"/>
        </w:rPr>
        <w:t>Factor</w:t>
      </w:r>
      <w:r w:rsidRPr="00D848CE">
        <w:rPr>
          <w:rFonts w:ascii="Arial" w:hAnsi="Arial" w:cs="Arial"/>
          <w:spacing w:val="38"/>
          <w:sz w:val="22"/>
          <w:szCs w:val="22"/>
          <w:u w:val="single" w:color="000000"/>
          <w:lang w:val="es-ES_tradnl"/>
        </w:rPr>
        <w:t xml:space="preserve"> </w:t>
      </w:r>
      <w:r w:rsidRPr="00D848CE">
        <w:rPr>
          <w:rFonts w:ascii="Arial" w:hAnsi="Arial" w:cs="Arial"/>
          <w:sz w:val="22"/>
          <w:szCs w:val="22"/>
          <w:u w:val="single" w:color="000000"/>
          <w:lang w:val="es-ES_tradnl"/>
        </w:rPr>
        <w:t>de</w:t>
      </w:r>
      <w:r w:rsidRPr="00D848CE">
        <w:rPr>
          <w:rFonts w:ascii="Arial" w:hAnsi="Arial" w:cs="Arial"/>
          <w:spacing w:val="39"/>
          <w:sz w:val="22"/>
          <w:szCs w:val="22"/>
          <w:u w:val="single" w:color="000000"/>
          <w:lang w:val="es-ES_tradnl"/>
        </w:rPr>
        <w:t xml:space="preserve"> </w:t>
      </w:r>
      <w:r w:rsidRPr="00D848CE">
        <w:rPr>
          <w:rFonts w:ascii="Arial" w:hAnsi="Arial" w:cs="Arial"/>
          <w:spacing w:val="-1"/>
          <w:sz w:val="22"/>
          <w:szCs w:val="22"/>
          <w:u w:val="single" w:color="000000"/>
          <w:lang w:val="es-ES_tradnl"/>
        </w:rPr>
        <w:t>conversión</w:t>
      </w:r>
      <w:r w:rsidRPr="00D848CE">
        <w:rPr>
          <w:rFonts w:ascii="Arial" w:hAnsi="Arial" w:cs="Arial"/>
          <w:spacing w:val="39"/>
          <w:sz w:val="22"/>
          <w:szCs w:val="22"/>
          <w:u w:val="single" w:color="000000"/>
          <w:lang w:val="es-ES_tradnl"/>
        </w:rPr>
        <w:t xml:space="preserve"> </w:t>
      </w:r>
      <w:r w:rsidRPr="00D848CE">
        <w:rPr>
          <w:rFonts w:ascii="Arial" w:hAnsi="Arial" w:cs="Arial"/>
          <w:spacing w:val="-1"/>
          <w:sz w:val="22"/>
          <w:szCs w:val="22"/>
          <w:u w:val="single" w:color="000000"/>
          <w:lang w:val="es-ES_tradnl"/>
        </w:rPr>
        <w:t>estándar</w:t>
      </w:r>
      <w:r w:rsidRPr="00D848CE">
        <w:rPr>
          <w:rFonts w:ascii="Arial" w:hAnsi="Arial" w:cs="Arial"/>
          <w:spacing w:val="37"/>
          <w:sz w:val="22"/>
          <w:szCs w:val="22"/>
          <w:u w:val="single" w:color="000000"/>
          <w:lang w:val="es-ES_tradnl"/>
        </w:rPr>
        <w:t xml:space="preserve"> </w:t>
      </w:r>
      <w:r w:rsidRPr="00D848CE">
        <w:rPr>
          <w:rFonts w:ascii="Arial" w:hAnsi="Arial" w:cs="Arial"/>
          <w:spacing w:val="-1"/>
          <w:sz w:val="22"/>
          <w:szCs w:val="22"/>
          <w:u w:val="single" w:color="000000"/>
          <w:lang w:val="es-ES_tradnl"/>
        </w:rPr>
        <w:t>(FCS)</w:t>
      </w:r>
      <w:r w:rsidRPr="00D848CE">
        <w:rPr>
          <w:rFonts w:ascii="Arial" w:hAnsi="Arial" w:cs="Arial"/>
          <w:spacing w:val="-1"/>
          <w:sz w:val="22"/>
          <w:szCs w:val="22"/>
          <w:lang w:val="es-ES_tradnl"/>
        </w:rPr>
        <w:t>:</w:t>
      </w:r>
      <w:r w:rsidRPr="00D848CE">
        <w:rPr>
          <w:rFonts w:ascii="Arial" w:hAnsi="Arial" w:cs="Arial"/>
          <w:spacing w:val="38"/>
          <w:sz w:val="22"/>
          <w:szCs w:val="22"/>
          <w:lang w:val="es-ES_tradnl"/>
        </w:rPr>
        <w:t xml:space="preserve"> </w:t>
      </w:r>
      <w:r w:rsidRPr="00D848CE">
        <w:rPr>
          <w:rFonts w:ascii="Arial" w:hAnsi="Arial" w:cs="Arial"/>
          <w:sz w:val="22"/>
          <w:szCs w:val="22"/>
          <w:lang w:val="es-ES_tradnl"/>
        </w:rPr>
        <w:t>se</w:t>
      </w:r>
      <w:r w:rsidRPr="00D848CE">
        <w:rPr>
          <w:rFonts w:ascii="Arial" w:hAnsi="Arial" w:cs="Arial"/>
          <w:spacing w:val="35"/>
          <w:sz w:val="22"/>
          <w:szCs w:val="22"/>
          <w:lang w:val="es-ES_tradnl"/>
        </w:rPr>
        <w:t xml:space="preserve"> </w:t>
      </w:r>
      <w:r w:rsidRPr="00D848CE">
        <w:rPr>
          <w:rFonts w:ascii="Arial" w:hAnsi="Arial" w:cs="Arial"/>
          <w:sz w:val="22"/>
          <w:szCs w:val="22"/>
          <w:lang w:val="es-ES_tradnl"/>
        </w:rPr>
        <w:t>obtiene</w:t>
      </w:r>
      <w:r w:rsidRPr="00D848CE">
        <w:rPr>
          <w:rFonts w:ascii="Arial" w:hAnsi="Arial" w:cs="Arial"/>
          <w:spacing w:val="36"/>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36"/>
          <w:sz w:val="22"/>
          <w:szCs w:val="22"/>
          <w:lang w:val="es-ES_tradnl"/>
        </w:rPr>
        <w:t xml:space="preserve"> </w:t>
      </w:r>
      <w:r w:rsidRPr="00D848CE">
        <w:rPr>
          <w:rFonts w:ascii="Arial" w:hAnsi="Arial" w:cs="Arial"/>
          <w:spacing w:val="-1"/>
          <w:sz w:val="22"/>
          <w:szCs w:val="22"/>
          <w:lang w:val="es-ES_tradnl"/>
        </w:rPr>
        <w:t>través</w:t>
      </w:r>
      <w:r w:rsidRPr="00D848CE">
        <w:rPr>
          <w:rFonts w:ascii="Arial" w:hAnsi="Arial" w:cs="Arial"/>
          <w:spacing w:val="37"/>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9"/>
          <w:sz w:val="22"/>
          <w:szCs w:val="22"/>
          <w:lang w:val="es-ES_tradnl"/>
        </w:rPr>
        <w:t xml:space="preserve"> </w:t>
      </w:r>
      <w:r w:rsidRPr="00D848CE">
        <w:rPr>
          <w:rFonts w:ascii="Arial" w:hAnsi="Arial" w:cs="Arial"/>
          <w:sz w:val="22"/>
          <w:szCs w:val="22"/>
          <w:lang w:val="es-ES_tradnl"/>
        </w:rPr>
        <w:t>la</w:t>
      </w:r>
      <w:r w:rsidRPr="00D848CE">
        <w:rPr>
          <w:rFonts w:ascii="Arial" w:hAnsi="Arial" w:cs="Arial"/>
          <w:spacing w:val="35"/>
          <w:sz w:val="22"/>
          <w:szCs w:val="22"/>
          <w:lang w:val="es-ES_tradnl"/>
        </w:rPr>
        <w:t xml:space="preserve"> </w:t>
      </w:r>
      <w:r w:rsidRPr="00D848CE">
        <w:rPr>
          <w:rFonts w:ascii="Arial" w:hAnsi="Arial" w:cs="Arial"/>
          <w:sz w:val="22"/>
          <w:szCs w:val="22"/>
          <w:lang w:val="es-ES_tradnl"/>
        </w:rPr>
        <w:t>aplicación</w:t>
      </w:r>
      <w:r w:rsidRPr="00D848CE">
        <w:rPr>
          <w:rFonts w:ascii="Arial" w:hAnsi="Arial" w:cs="Arial"/>
          <w:spacing w:val="37"/>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6"/>
          <w:sz w:val="22"/>
          <w:szCs w:val="22"/>
          <w:lang w:val="es-ES_tradnl"/>
        </w:rPr>
        <w:t xml:space="preserve"> </w:t>
      </w:r>
      <w:r w:rsidRPr="00D848CE">
        <w:rPr>
          <w:rFonts w:ascii="Arial" w:hAnsi="Arial" w:cs="Arial"/>
          <w:sz w:val="22"/>
          <w:szCs w:val="22"/>
          <w:lang w:val="es-ES_tradnl"/>
        </w:rPr>
        <w:t>la</w:t>
      </w:r>
      <w:r w:rsidRPr="00D848CE">
        <w:rPr>
          <w:rFonts w:ascii="Arial" w:hAnsi="Arial" w:cs="Arial"/>
          <w:spacing w:val="36"/>
          <w:sz w:val="22"/>
          <w:szCs w:val="22"/>
          <w:lang w:val="es-ES_tradnl"/>
        </w:rPr>
        <w:t xml:space="preserve"> </w:t>
      </w:r>
      <w:r w:rsidRPr="00D848CE">
        <w:rPr>
          <w:rFonts w:ascii="Arial" w:hAnsi="Arial" w:cs="Arial"/>
          <w:spacing w:val="-1"/>
          <w:sz w:val="22"/>
          <w:szCs w:val="22"/>
          <w:lang w:val="es-ES_tradnl"/>
        </w:rPr>
        <w:t>siguiente</w:t>
      </w:r>
      <w:r w:rsidRPr="00D848CE">
        <w:rPr>
          <w:rFonts w:ascii="Arial" w:hAnsi="Arial" w:cs="Arial"/>
          <w:spacing w:val="63"/>
          <w:w w:val="99"/>
          <w:sz w:val="22"/>
          <w:szCs w:val="22"/>
          <w:lang w:val="es-ES_tradnl"/>
        </w:rPr>
        <w:t xml:space="preserve"> </w:t>
      </w:r>
      <w:r w:rsidRPr="00D848CE">
        <w:rPr>
          <w:rFonts w:ascii="Arial" w:hAnsi="Arial" w:cs="Arial"/>
          <w:spacing w:val="-1"/>
          <w:sz w:val="22"/>
          <w:szCs w:val="22"/>
          <w:lang w:val="es-ES_tradnl"/>
        </w:rPr>
        <w:t>ecuación,</w:t>
      </w:r>
      <w:r w:rsidRPr="00D848CE">
        <w:rPr>
          <w:rFonts w:ascii="Arial" w:hAnsi="Arial" w:cs="Arial"/>
          <w:spacing w:val="35"/>
          <w:sz w:val="22"/>
          <w:szCs w:val="22"/>
          <w:lang w:val="es-ES_tradnl"/>
        </w:rPr>
        <w:t xml:space="preserve"> </w:t>
      </w:r>
      <w:r w:rsidRPr="00D848CE">
        <w:rPr>
          <w:rFonts w:ascii="Arial" w:hAnsi="Arial" w:cs="Arial"/>
          <w:spacing w:val="-1"/>
          <w:sz w:val="22"/>
          <w:szCs w:val="22"/>
          <w:lang w:val="es-ES_tradnl"/>
        </w:rPr>
        <w:t>sobre</w:t>
      </w:r>
      <w:r w:rsidRPr="00D848CE">
        <w:rPr>
          <w:rFonts w:ascii="Arial" w:hAnsi="Arial" w:cs="Arial"/>
          <w:spacing w:val="35"/>
          <w:sz w:val="22"/>
          <w:szCs w:val="22"/>
          <w:lang w:val="es-ES_tradnl"/>
        </w:rPr>
        <w:t xml:space="preserve"> </w:t>
      </w:r>
      <w:r w:rsidRPr="00D848CE">
        <w:rPr>
          <w:rFonts w:ascii="Arial" w:hAnsi="Arial" w:cs="Arial"/>
          <w:spacing w:val="-1"/>
          <w:sz w:val="22"/>
          <w:szCs w:val="22"/>
          <w:lang w:val="es-ES_tradnl"/>
        </w:rPr>
        <w:t>datos</w:t>
      </w:r>
      <w:r w:rsidRPr="00D848CE">
        <w:rPr>
          <w:rFonts w:ascii="Arial" w:hAnsi="Arial" w:cs="Arial"/>
          <w:spacing w:val="35"/>
          <w:sz w:val="22"/>
          <w:szCs w:val="22"/>
          <w:lang w:val="es-ES_tradnl"/>
        </w:rPr>
        <w:t xml:space="preserve"> </w:t>
      </w:r>
      <w:r w:rsidRPr="00D848CE">
        <w:rPr>
          <w:rFonts w:ascii="Arial" w:hAnsi="Arial" w:cs="Arial"/>
          <w:spacing w:val="1"/>
          <w:sz w:val="22"/>
          <w:szCs w:val="22"/>
          <w:lang w:val="es-ES_tradnl"/>
        </w:rPr>
        <w:t>de</w:t>
      </w:r>
      <w:r w:rsidRPr="00D848CE">
        <w:rPr>
          <w:rFonts w:ascii="Arial" w:hAnsi="Arial" w:cs="Arial"/>
          <w:spacing w:val="34"/>
          <w:sz w:val="22"/>
          <w:szCs w:val="22"/>
          <w:lang w:val="es-ES_tradnl"/>
        </w:rPr>
        <w:t xml:space="preserve"> </w:t>
      </w:r>
      <w:r w:rsidRPr="00D848CE">
        <w:rPr>
          <w:rFonts w:ascii="Arial" w:hAnsi="Arial" w:cs="Arial"/>
          <w:spacing w:val="-1"/>
          <w:sz w:val="22"/>
          <w:szCs w:val="22"/>
          <w:lang w:val="es-ES_tradnl"/>
        </w:rPr>
        <w:t>comercio</w:t>
      </w:r>
      <w:r w:rsidRPr="00D848CE">
        <w:rPr>
          <w:rFonts w:ascii="Arial" w:hAnsi="Arial" w:cs="Arial"/>
          <w:spacing w:val="37"/>
          <w:sz w:val="22"/>
          <w:szCs w:val="22"/>
          <w:lang w:val="es-ES_tradnl"/>
        </w:rPr>
        <w:t xml:space="preserve"> </w:t>
      </w:r>
      <w:r w:rsidRPr="00D848CE">
        <w:rPr>
          <w:rFonts w:ascii="Arial" w:hAnsi="Arial" w:cs="Arial"/>
          <w:spacing w:val="-1"/>
          <w:sz w:val="22"/>
          <w:szCs w:val="22"/>
          <w:lang w:val="es-ES_tradnl"/>
        </w:rPr>
        <w:t>exterior</w:t>
      </w:r>
      <w:r w:rsidRPr="00D848CE">
        <w:rPr>
          <w:rFonts w:ascii="Arial" w:hAnsi="Arial" w:cs="Arial"/>
          <w:spacing w:val="34"/>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6"/>
          <w:sz w:val="22"/>
          <w:szCs w:val="22"/>
          <w:lang w:val="es-ES_tradnl"/>
        </w:rPr>
        <w:t xml:space="preserve"> </w:t>
      </w:r>
      <w:r w:rsidRPr="00D848CE">
        <w:rPr>
          <w:rFonts w:ascii="Arial" w:hAnsi="Arial" w:cs="Arial"/>
          <w:spacing w:val="-1"/>
          <w:sz w:val="22"/>
          <w:szCs w:val="22"/>
          <w:lang w:val="es-ES_tradnl"/>
        </w:rPr>
        <w:t>República</w:t>
      </w:r>
      <w:r w:rsidRPr="00D848CE">
        <w:rPr>
          <w:rFonts w:ascii="Arial" w:hAnsi="Arial" w:cs="Arial"/>
          <w:spacing w:val="34"/>
          <w:sz w:val="22"/>
          <w:szCs w:val="22"/>
          <w:lang w:val="es-ES_tradnl"/>
        </w:rPr>
        <w:t xml:space="preserve"> </w:t>
      </w:r>
      <w:r w:rsidRPr="00D848CE">
        <w:rPr>
          <w:rFonts w:ascii="Arial" w:hAnsi="Arial" w:cs="Arial"/>
          <w:spacing w:val="-1"/>
          <w:sz w:val="22"/>
          <w:szCs w:val="22"/>
          <w:lang w:val="es-ES_tradnl"/>
        </w:rPr>
        <w:t>Dominicana</w:t>
      </w:r>
      <w:r w:rsidRPr="00D848CE">
        <w:rPr>
          <w:rFonts w:ascii="Arial" w:hAnsi="Arial" w:cs="Arial"/>
          <w:spacing w:val="34"/>
          <w:sz w:val="22"/>
          <w:szCs w:val="22"/>
          <w:lang w:val="es-ES_tradnl"/>
        </w:rPr>
        <w:t xml:space="preserve"> </w:t>
      </w:r>
      <w:r w:rsidRPr="00D848CE">
        <w:rPr>
          <w:rFonts w:ascii="Arial" w:hAnsi="Arial" w:cs="Arial"/>
          <w:sz w:val="22"/>
          <w:szCs w:val="22"/>
          <w:lang w:val="es-ES_tradnl"/>
        </w:rPr>
        <w:t>en</w:t>
      </w:r>
      <w:r w:rsidRPr="00D848CE">
        <w:rPr>
          <w:rFonts w:ascii="Arial" w:hAnsi="Arial" w:cs="Arial"/>
          <w:spacing w:val="35"/>
          <w:sz w:val="22"/>
          <w:szCs w:val="22"/>
          <w:lang w:val="es-ES_tradnl"/>
        </w:rPr>
        <w:t xml:space="preserve"> </w:t>
      </w:r>
      <w:r w:rsidRPr="00D848CE">
        <w:rPr>
          <w:rFonts w:ascii="Arial" w:hAnsi="Arial" w:cs="Arial"/>
          <w:sz w:val="22"/>
          <w:szCs w:val="22"/>
          <w:lang w:val="es-ES_tradnl"/>
        </w:rPr>
        <w:t>los</w:t>
      </w:r>
      <w:r w:rsidRPr="00D848CE">
        <w:rPr>
          <w:rFonts w:ascii="Arial" w:hAnsi="Arial" w:cs="Arial"/>
          <w:spacing w:val="35"/>
          <w:sz w:val="22"/>
          <w:szCs w:val="22"/>
          <w:lang w:val="es-ES_tradnl"/>
        </w:rPr>
        <w:t xml:space="preserve"> </w:t>
      </w:r>
      <w:r w:rsidRPr="00D848CE">
        <w:rPr>
          <w:rFonts w:ascii="Arial" w:hAnsi="Arial" w:cs="Arial"/>
          <w:spacing w:val="-1"/>
          <w:sz w:val="22"/>
          <w:szCs w:val="22"/>
          <w:lang w:val="es-ES_tradnl"/>
        </w:rPr>
        <w:t>años</w:t>
      </w:r>
      <w:r w:rsidRPr="00D848CE">
        <w:rPr>
          <w:rFonts w:ascii="Arial" w:hAnsi="Arial" w:cs="Arial"/>
          <w:spacing w:val="35"/>
          <w:sz w:val="22"/>
          <w:szCs w:val="22"/>
          <w:lang w:val="es-ES_tradnl"/>
        </w:rPr>
        <w:t xml:space="preserve"> </w:t>
      </w:r>
      <w:r w:rsidRPr="00D848CE">
        <w:rPr>
          <w:rFonts w:ascii="Arial" w:hAnsi="Arial" w:cs="Arial"/>
          <w:sz w:val="22"/>
          <w:szCs w:val="22"/>
          <w:lang w:val="es-ES_tradnl"/>
        </w:rPr>
        <w:t>2013</w:t>
      </w:r>
      <w:r w:rsidRPr="00D848CE">
        <w:rPr>
          <w:rFonts w:ascii="Arial" w:hAnsi="Arial" w:cs="Arial"/>
          <w:spacing w:val="37"/>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97"/>
          <w:w w:val="99"/>
          <w:sz w:val="22"/>
          <w:szCs w:val="22"/>
          <w:lang w:val="es-ES_tradnl"/>
        </w:rPr>
        <w:t xml:space="preserve"> </w:t>
      </w:r>
      <w:r w:rsidRPr="00D848CE">
        <w:rPr>
          <w:rFonts w:ascii="Arial" w:hAnsi="Arial" w:cs="Arial"/>
          <w:sz w:val="22"/>
          <w:szCs w:val="22"/>
          <w:lang w:val="es-ES_tradnl"/>
        </w:rPr>
        <w:t>2015:</w:t>
      </w:r>
    </w:p>
    <w:p w14:paraId="421873EC"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fr-FR"/>
        </w:rPr>
      </w:pPr>
      <w:r w:rsidRPr="00D848CE">
        <w:rPr>
          <w:rFonts w:ascii="Arial" w:hAnsi="Arial" w:cs="Arial"/>
          <w:spacing w:val="-1"/>
          <w:sz w:val="22"/>
          <w:szCs w:val="22"/>
          <w:u w:color="000000"/>
          <w:lang w:val="fr-FR"/>
        </w:rPr>
        <w:t>FCS= X + M / (X + M + T)</w:t>
      </w:r>
    </w:p>
    <w:p w14:paraId="3F23FBE0"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fr-FR"/>
        </w:rPr>
      </w:pPr>
      <w:r w:rsidRPr="00D848CE">
        <w:rPr>
          <w:rFonts w:ascii="Arial" w:hAnsi="Arial" w:cs="Arial"/>
          <w:spacing w:val="-1"/>
          <w:sz w:val="22"/>
          <w:szCs w:val="22"/>
          <w:u w:color="000000"/>
          <w:lang w:val="fr-FR"/>
        </w:rPr>
        <w:t>Donde,</w:t>
      </w:r>
    </w:p>
    <w:p w14:paraId="6282A3BA"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fr-FR"/>
        </w:rPr>
      </w:pPr>
      <w:r w:rsidRPr="00D848CE">
        <w:rPr>
          <w:rFonts w:ascii="Arial" w:hAnsi="Arial" w:cs="Arial"/>
          <w:spacing w:val="-1"/>
          <w:sz w:val="22"/>
          <w:szCs w:val="22"/>
          <w:u w:color="000000"/>
          <w:lang w:val="fr-FR"/>
        </w:rPr>
        <w:t xml:space="preserve">X: valor total de exportaciones de República Dominicana </w:t>
      </w:r>
    </w:p>
    <w:p w14:paraId="48D0113A"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fr-FR"/>
        </w:rPr>
      </w:pPr>
      <w:r w:rsidRPr="00D848CE">
        <w:rPr>
          <w:rFonts w:ascii="Arial" w:hAnsi="Arial" w:cs="Arial"/>
          <w:spacing w:val="-1"/>
          <w:sz w:val="22"/>
          <w:szCs w:val="22"/>
          <w:u w:color="000000"/>
          <w:lang w:val="fr-FR"/>
        </w:rPr>
        <w:t>M: valor total de importaciones de República Dominicana</w:t>
      </w:r>
    </w:p>
    <w:p w14:paraId="7131C52B" w14:textId="77777777" w:rsidR="00D44F3E" w:rsidRPr="00D848CE" w:rsidRDefault="00D44F3E" w:rsidP="00D13AD2">
      <w:pPr>
        <w:pStyle w:val="Paragraph"/>
        <w:numPr>
          <w:ilvl w:val="0"/>
          <w:numId w:val="0"/>
        </w:numPr>
        <w:ind w:left="1350"/>
        <w:outlineLvl w:val="9"/>
        <w:rPr>
          <w:rFonts w:ascii="Arial" w:hAnsi="Arial" w:cs="Arial"/>
          <w:b/>
          <w:spacing w:val="-1"/>
          <w:sz w:val="22"/>
          <w:szCs w:val="22"/>
          <w:u w:color="000000"/>
          <w:lang w:val="fr-FR"/>
        </w:rPr>
      </w:pPr>
      <w:r w:rsidRPr="00D848CE">
        <w:rPr>
          <w:rFonts w:ascii="Arial" w:hAnsi="Arial" w:cs="Arial"/>
          <w:spacing w:val="-1"/>
          <w:sz w:val="22"/>
          <w:szCs w:val="22"/>
          <w:u w:color="000000"/>
          <w:lang w:val="fr-FR"/>
        </w:rPr>
        <w:t>T: recaudación aduanera de República Dominicana</w:t>
      </w:r>
      <w:r w:rsidRPr="00D848CE">
        <w:rPr>
          <w:rFonts w:ascii="Arial" w:hAnsi="Arial" w:cs="Arial"/>
          <w:b/>
          <w:spacing w:val="-1"/>
          <w:sz w:val="22"/>
          <w:szCs w:val="22"/>
          <w:u w:color="000000"/>
          <w:lang w:val="fr-FR"/>
        </w:rPr>
        <w:t xml:space="preserve">. </w:t>
      </w:r>
    </w:p>
    <w:p w14:paraId="1D66006E"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Los datos relevantes se indican en la siguiente tabla:</w:t>
      </w:r>
    </w:p>
    <w:tbl>
      <w:tblPr>
        <w:tblStyle w:val="TableNormal1"/>
        <w:tblW w:w="0" w:type="auto"/>
        <w:tblInd w:w="894" w:type="dxa"/>
        <w:tblLayout w:type="fixed"/>
        <w:tblLook w:val="01E0" w:firstRow="1" w:lastRow="1" w:firstColumn="1" w:lastColumn="1" w:noHBand="0" w:noVBand="0"/>
      </w:tblPr>
      <w:tblGrid>
        <w:gridCol w:w="4200"/>
        <w:gridCol w:w="930"/>
        <w:gridCol w:w="900"/>
        <w:gridCol w:w="900"/>
        <w:gridCol w:w="12"/>
      </w:tblGrid>
      <w:tr w:rsidR="00D44F3E" w:rsidRPr="00D848CE" w14:paraId="2CA52EEA" w14:textId="77777777" w:rsidTr="00E50744">
        <w:trPr>
          <w:trHeight w:hRule="exact" w:val="282"/>
        </w:trPr>
        <w:tc>
          <w:tcPr>
            <w:tcW w:w="6930" w:type="dxa"/>
            <w:gridSpan w:val="5"/>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6D2B2E89"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Factor de Conversión Estándar</w:t>
            </w:r>
            <w:r w:rsidR="006607B1" w:rsidRPr="00D848CE">
              <w:rPr>
                <w:rFonts w:ascii="Arial" w:eastAsia="Times New Roman" w:hAnsi="Arial" w:cs="Arial"/>
                <w:b/>
                <w:bCs/>
                <w:color w:val="000000"/>
                <w:lang w:val="es-ES_tradnl"/>
              </w:rPr>
              <w:t xml:space="preserve"> </w:t>
            </w:r>
          </w:p>
        </w:tc>
      </w:tr>
      <w:tr w:rsidR="00D44F3E" w:rsidRPr="00D848CE" w14:paraId="190E5712" w14:textId="77777777" w:rsidTr="00E50744">
        <w:trPr>
          <w:gridAfter w:val="1"/>
          <w:wAfter w:w="12" w:type="dxa"/>
          <w:trHeight w:hRule="exact" w:val="282"/>
        </w:trPr>
        <w:tc>
          <w:tcPr>
            <w:tcW w:w="420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58058546"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Categorías</w:t>
            </w:r>
          </w:p>
        </w:tc>
        <w:tc>
          <w:tcPr>
            <w:tcW w:w="93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6D6A618"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2013</w:t>
            </w:r>
          </w:p>
        </w:tc>
        <w:tc>
          <w:tcPr>
            <w:tcW w:w="90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53AED47D"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2014</w:t>
            </w:r>
          </w:p>
        </w:tc>
        <w:tc>
          <w:tcPr>
            <w:tcW w:w="90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751A9D38"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2015</w:t>
            </w:r>
          </w:p>
        </w:tc>
      </w:tr>
      <w:tr w:rsidR="00D44F3E" w:rsidRPr="00D848CE" w14:paraId="581C9F0D" w14:textId="77777777" w:rsidTr="00E50744">
        <w:trPr>
          <w:gridAfter w:val="1"/>
          <w:wAfter w:w="12" w:type="dxa"/>
          <w:trHeight w:hRule="exact" w:val="311"/>
        </w:trPr>
        <w:tc>
          <w:tcPr>
            <w:tcW w:w="4200" w:type="dxa"/>
            <w:tcBorders>
              <w:top w:val="single" w:sz="5" w:space="0" w:color="000000"/>
              <w:left w:val="single" w:sz="5" w:space="0" w:color="000000"/>
              <w:bottom w:val="single" w:sz="5" w:space="0" w:color="000000"/>
              <w:right w:val="single" w:sz="5" w:space="0" w:color="000000"/>
            </w:tcBorders>
          </w:tcPr>
          <w:p w14:paraId="562F0C67"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Exportaciones (millones de US$)</w:t>
            </w:r>
          </w:p>
        </w:tc>
        <w:tc>
          <w:tcPr>
            <w:tcW w:w="930" w:type="dxa"/>
            <w:tcBorders>
              <w:top w:val="single" w:sz="5" w:space="0" w:color="000000"/>
              <w:left w:val="single" w:sz="5" w:space="0" w:color="000000"/>
              <w:bottom w:val="single" w:sz="5" w:space="0" w:color="000000"/>
              <w:right w:val="single" w:sz="5" w:space="0" w:color="000000"/>
            </w:tcBorders>
          </w:tcPr>
          <w:p w14:paraId="65FBB477"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9</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424</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3</w:t>
            </w:r>
          </w:p>
        </w:tc>
        <w:tc>
          <w:tcPr>
            <w:tcW w:w="900" w:type="dxa"/>
            <w:tcBorders>
              <w:top w:val="single" w:sz="5" w:space="0" w:color="000000"/>
              <w:left w:val="single" w:sz="5" w:space="0" w:color="000000"/>
              <w:bottom w:val="single" w:sz="5" w:space="0" w:color="000000"/>
              <w:right w:val="single" w:sz="5" w:space="0" w:color="000000"/>
            </w:tcBorders>
          </w:tcPr>
          <w:p w14:paraId="04472C66"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9.898</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9</w:t>
            </w:r>
          </w:p>
        </w:tc>
        <w:tc>
          <w:tcPr>
            <w:tcW w:w="900" w:type="dxa"/>
            <w:tcBorders>
              <w:top w:val="single" w:sz="5" w:space="0" w:color="000000"/>
              <w:left w:val="single" w:sz="5" w:space="0" w:color="000000"/>
              <w:bottom w:val="single" w:sz="5" w:space="0" w:color="000000"/>
              <w:right w:val="single" w:sz="5" w:space="0" w:color="000000"/>
            </w:tcBorders>
          </w:tcPr>
          <w:p w14:paraId="397EFF80"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9</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523</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3</w:t>
            </w:r>
          </w:p>
        </w:tc>
      </w:tr>
      <w:tr w:rsidR="00D44F3E" w:rsidRPr="00D848CE" w14:paraId="28599BE5" w14:textId="77777777" w:rsidTr="00E50744">
        <w:trPr>
          <w:gridAfter w:val="1"/>
          <w:wAfter w:w="12" w:type="dxa"/>
          <w:trHeight w:hRule="exact" w:val="266"/>
        </w:trPr>
        <w:tc>
          <w:tcPr>
            <w:tcW w:w="4200" w:type="dxa"/>
            <w:tcBorders>
              <w:top w:val="single" w:sz="5" w:space="0" w:color="000000"/>
              <w:left w:val="single" w:sz="5" w:space="0" w:color="000000"/>
              <w:bottom w:val="single" w:sz="5" w:space="0" w:color="000000"/>
              <w:right w:val="single" w:sz="5" w:space="0" w:color="000000"/>
            </w:tcBorders>
          </w:tcPr>
          <w:p w14:paraId="5D0E8F7C"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Importaciones (millones de US$)</w:t>
            </w:r>
          </w:p>
        </w:tc>
        <w:tc>
          <w:tcPr>
            <w:tcW w:w="930" w:type="dxa"/>
            <w:tcBorders>
              <w:top w:val="single" w:sz="5" w:space="0" w:color="000000"/>
              <w:left w:val="single" w:sz="5" w:space="0" w:color="000000"/>
              <w:bottom w:val="single" w:sz="5" w:space="0" w:color="000000"/>
              <w:right w:val="single" w:sz="5" w:space="0" w:color="000000"/>
            </w:tcBorders>
          </w:tcPr>
          <w:p w14:paraId="12A3791E"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16</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801</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2</w:t>
            </w:r>
          </w:p>
        </w:tc>
        <w:tc>
          <w:tcPr>
            <w:tcW w:w="900" w:type="dxa"/>
            <w:tcBorders>
              <w:top w:val="single" w:sz="5" w:space="0" w:color="000000"/>
              <w:left w:val="single" w:sz="5" w:space="0" w:color="000000"/>
              <w:bottom w:val="single" w:sz="5" w:space="0" w:color="000000"/>
              <w:right w:val="single" w:sz="5" w:space="0" w:color="000000"/>
            </w:tcBorders>
          </w:tcPr>
          <w:p w14:paraId="246A2B0C"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17</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723</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3</w:t>
            </w:r>
          </w:p>
        </w:tc>
        <w:tc>
          <w:tcPr>
            <w:tcW w:w="900" w:type="dxa"/>
            <w:tcBorders>
              <w:top w:val="single" w:sz="5" w:space="0" w:color="000000"/>
              <w:left w:val="single" w:sz="5" w:space="0" w:color="000000"/>
              <w:bottom w:val="single" w:sz="5" w:space="0" w:color="000000"/>
              <w:right w:val="single" w:sz="5" w:space="0" w:color="000000"/>
            </w:tcBorders>
          </w:tcPr>
          <w:p w14:paraId="18023936"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16</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863</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4</w:t>
            </w:r>
          </w:p>
        </w:tc>
      </w:tr>
      <w:tr w:rsidR="00D44F3E" w:rsidRPr="00D848CE" w14:paraId="06CF0163" w14:textId="77777777" w:rsidTr="00E50744">
        <w:trPr>
          <w:gridAfter w:val="1"/>
          <w:wAfter w:w="12" w:type="dxa"/>
          <w:trHeight w:hRule="exact" w:val="257"/>
        </w:trPr>
        <w:tc>
          <w:tcPr>
            <w:tcW w:w="4200" w:type="dxa"/>
            <w:tcBorders>
              <w:top w:val="single" w:sz="5" w:space="0" w:color="000000"/>
              <w:left w:val="single" w:sz="5" w:space="0" w:color="000000"/>
              <w:bottom w:val="single" w:sz="5" w:space="0" w:color="000000"/>
              <w:right w:val="single" w:sz="5" w:space="0" w:color="000000"/>
            </w:tcBorders>
          </w:tcPr>
          <w:p w14:paraId="10BE5A6A"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Recaudación aduanera (millones de US$)</w:t>
            </w:r>
          </w:p>
        </w:tc>
        <w:tc>
          <w:tcPr>
            <w:tcW w:w="930" w:type="dxa"/>
            <w:tcBorders>
              <w:top w:val="single" w:sz="5" w:space="0" w:color="000000"/>
              <w:left w:val="single" w:sz="5" w:space="0" w:color="000000"/>
              <w:bottom w:val="single" w:sz="5" w:space="0" w:color="000000"/>
              <w:right w:val="single" w:sz="5" w:space="0" w:color="000000"/>
            </w:tcBorders>
          </w:tcPr>
          <w:p w14:paraId="719F4D27"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1</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535</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8</w:t>
            </w:r>
          </w:p>
        </w:tc>
        <w:tc>
          <w:tcPr>
            <w:tcW w:w="900" w:type="dxa"/>
            <w:tcBorders>
              <w:top w:val="single" w:sz="5" w:space="0" w:color="000000"/>
              <w:left w:val="single" w:sz="5" w:space="0" w:color="000000"/>
              <w:bottom w:val="single" w:sz="5" w:space="0" w:color="000000"/>
              <w:right w:val="single" w:sz="5" w:space="0" w:color="000000"/>
            </w:tcBorders>
          </w:tcPr>
          <w:p w14:paraId="075FB74D"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1</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768</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6</w:t>
            </w:r>
          </w:p>
        </w:tc>
        <w:tc>
          <w:tcPr>
            <w:tcW w:w="900" w:type="dxa"/>
            <w:tcBorders>
              <w:top w:val="single" w:sz="5" w:space="0" w:color="000000"/>
              <w:left w:val="single" w:sz="5" w:space="0" w:color="000000"/>
              <w:bottom w:val="single" w:sz="5" w:space="0" w:color="000000"/>
              <w:right w:val="single" w:sz="5" w:space="0" w:color="000000"/>
            </w:tcBorders>
          </w:tcPr>
          <w:p w14:paraId="7E07A843"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2</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078</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3</w:t>
            </w:r>
          </w:p>
        </w:tc>
      </w:tr>
      <w:tr w:rsidR="00D44F3E" w:rsidRPr="00D848CE" w14:paraId="6BF2E8CB" w14:textId="77777777" w:rsidTr="00E50744">
        <w:trPr>
          <w:gridAfter w:val="1"/>
          <w:wAfter w:w="12" w:type="dxa"/>
          <w:trHeight w:hRule="exact" w:val="275"/>
        </w:trPr>
        <w:tc>
          <w:tcPr>
            <w:tcW w:w="4200" w:type="dxa"/>
            <w:tcBorders>
              <w:top w:val="single" w:sz="5" w:space="0" w:color="000000"/>
              <w:left w:val="single" w:sz="5" w:space="0" w:color="000000"/>
              <w:bottom w:val="single" w:sz="5" w:space="0" w:color="000000"/>
              <w:right w:val="single" w:sz="5" w:space="0" w:color="000000"/>
            </w:tcBorders>
          </w:tcPr>
          <w:p w14:paraId="4E74EDEF"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FCS*</w:t>
            </w:r>
          </w:p>
        </w:tc>
        <w:tc>
          <w:tcPr>
            <w:tcW w:w="930" w:type="dxa"/>
            <w:tcBorders>
              <w:top w:val="single" w:sz="5" w:space="0" w:color="000000"/>
              <w:left w:val="single" w:sz="5" w:space="0" w:color="000000"/>
              <w:bottom w:val="single" w:sz="5" w:space="0" w:color="000000"/>
              <w:right w:val="single" w:sz="5" w:space="0" w:color="000000"/>
            </w:tcBorders>
          </w:tcPr>
          <w:p w14:paraId="76D8C1C9"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0,907</w:t>
            </w:r>
          </w:p>
        </w:tc>
        <w:tc>
          <w:tcPr>
            <w:tcW w:w="900" w:type="dxa"/>
            <w:tcBorders>
              <w:top w:val="single" w:sz="5" w:space="0" w:color="000000"/>
              <w:left w:val="single" w:sz="5" w:space="0" w:color="000000"/>
              <w:bottom w:val="single" w:sz="5" w:space="0" w:color="000000"/>
              <w:right w:val="single" w:sz="5" w:space="0" w:color="000000"/>
            </w:tcBorders>
          </w:tcPr>
          <w:p w14:paraId="748F45A9"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0,857</w:t>
            </w:r>
          </w:p>
        </w:tc>
        <w:tc>
          <w:tcPr>
            <w:tcW w:w="900" w:type="dxa"/>
            <w:tcBorders>
              <w:top w:val="single" w:sz="5" w:space="0" w:color="000000"/>
              <w:left w:val="single" w:sz="5" w:space="0" w:color="000000"/>
              <w:bottom w:val="single" w:sz="5" w:space="0" w:color="000000"/>
              <w:right w:val="single" w:sz="5" w:space="0" w:color="000000"/>
            </w:tcBorders>
          </w:tcPr>
          <w:p w14:paraId="37705829"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0,847</w:t>
            </w:r>
          </w:p>
        </w:tc>
      </w:tr>
      <w:tr w:rsidR="00D44F3E" w:rsidRPr="00D848CE" w14:paraId="0FF7D475" w14:textId="77777777" w:rsidTr="00E50744">
        <w:trPr>
          <w:gridAfter w:val="1"/>
          <w:wAfter w:w="12" w:type="dxa"/>
          <w:trHeight w:hRule="exact" w:val="266"/>
        </w:trPr>
        <w:tc>
          <w:tcPr>
            <w:tcW w:w="4200" w:type="dxa"/>
            <w:tcBorders>
              <w:top w:val="single" w:sz="5" w:space="0" w:color="000000"/>
              <w:left w:val="single" w:sz="5" w:space="0" w:color="000000"/>
              <w:bottom w:val="single" w:sz="5" w:space="0" w:color="000000"/>
              <w:right w:val="single" w:sz="5" w:space="0" w:color="000000"/>
            </w:tcBorders>
          </w:tcPr>
          <w:p w14:paraId="60D9B406"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FCS promedio*</w:t>
            </w:r>
          </w:p>
        </w:tc>
        <w:tc>
          <w:tcPr>
            <w:tcW w:w="930" w:type="dxa"/>
            <w:tcBorders>
              <w:top w:val="single" w:sz="5" w:space="0" w:color="000000"/>
              <w:left w:val="single" w:sz="5" w:space="0" w:color="000000"/>
              <w:bottom w:val="single" w:sz="5" w:space="0" w:color="000000"/>
              <w:right w:val="single" w:sz="5" w:space="0" w:color="000000"/>
            </w:tcBorders>
          </w:tcPr>
          <w:p w14:paraId="1ADC22D3" w14:textId="77777777" w:rsidR="00D44F3E" w:rsidRPr="00D848CE" w:rsidRDefault="00D44F3E" w:rsidP="00D13AD2">
            <w:pPr>
              <w:jc w:val="right"/>
              <w:rPr>
                <w:rFonts w:ascii="Arial" w:eastAsia="Times New Roman" w:hAnsi="Arial" w:cs="Arial"/>
                <w:b/>
                <w:bCs/>
                <w:color w:val="000000"/>
                <w:lang w:val="es-ES_tradnl"/>
              </w:rPr>
            </w:pPr>
            <w:r w:rsidRPr="00D848CE">
              <w:rPr>
                <w:rFonts w:ascii="Arial" w:eastAsia="Times New Roman" w:hAnsi="Arial" w:cs="Arial"/>
                <w:b/>
                <w:bCs/>
                <w:color w:val="000000"/>
                <w:lang w:val="es-ES_tradnl"/>
              </w:rPr>
              <w:t>0</w:t>
            </w:r>
            <w:r w:rsidR="00BC640D" w:rsidRPr="00D848CE">
              <w:rPr>
                <w:rFonts w:ascii="Arial" w:eastAsia="Times New Roman" w:hAnsi="Arial" w:cs="Arial"/>
                <w:b/>
                <w:bCs/>
                <w:color w:val="000000"/>
                <w:lang w:val="es-ES_tradnl"/>
              </w:rPr>
              <w:t>,</w:t>
            </w:r>
            <w:r w:rsidRPr="00D848CE">
              <w:rPr>
                <w:rFonts w:ascii="Arial" w:eastAsia="Times New Roman" w:hAnsi="Arial" w:cs="Arial"/>
                <w:b/>
                <w:bCs/>
                <w:color w:val="000000"/>
                <w:lang w:val="es-ES_tradnl"/>
              </w:rPr>
              <w:t>870</w:t>
            </w:r>
          </w:p>
        </w:tc>
        <w:tc>
          <w:tcPr>
            <w:tcW w:w="900" w:type="dxa"/>
            <w:tcBorders>
              <w:top w:val="single" w:sz="5" w:space="0" w:color="000000"/>
              <w:left w:val="single" w:sz="5" w:space="0" w:color="000000"/>
              <w:bottom w:val="single" w:sz="5" w:space="0" w:color="000000"/>
              <w:right w:val="single" w:sz="5" w:space="0" w:color="000000"/>
            </w:tcBorders>
          </w:tcPr>
          <w:p w14:paraId="0A30A790" w14:textId="77777777" w:rsidR="00D44F3E" w:rsidRPr="00D848CE" w:rsidRDefault="00D44F3E" w:rsidP="00D13AD2">
            <w:pPr>
              <w:jc w:val="right"/>
              <w:rPr>
                <w:rFonts w:ascii="Arial" w:eastAsia="Times New Roman" w:hAnsi="Arial" w:cs="Arial"/>
                <w:bCs/>
                <w:color w:val="000000"/>
                <w:lang w:val="es-ES_tradnl"/>
              </w:rPr>
            </w:pPr>
          </w:p>
        </w:tc>
        <w:tc>
          <w:tcPr>
            <w:tcW w:w="900" w:type="dxa"/>
            <w:tcBorders>
              <w:top w:val="single" w:sz="5" w:space="0" w:color="000000"/>
              <w:left w:val="single" w:sz="5" w:space="0" w:color="000000"/>
              <w:bottom w:val="single" w:sz="5" w:space="0" w:color="000000"/>
              <w:right w:val="single" w:sz="5" w:space="0" w:color="000000"/>
            </w:tcBorders>
          </w:tcPr>
          <w:p w14:paraId="0798E78E" w14:textId="77777777" w:rsidR="00D44F3E" w:rsidRPr="00D848CE" w:rsidRDefault="00D44F3E" w:rsidP="00D13AD2">
            <w:pPr>
              <w:jc w:val="right"/>
              <w:rPr>
                <w:rFonts w:ascii="Arial" w:eastAsia="Times New Roman" w:hAnsi="Arial" w:cs="Arial"/>
                <w:bCs/>
                <w:color w:val="000000"/>
                <w:lang w:val="es-ES_tradnl"/>
              </w:rPr>
            </w:pPr>
          </w:p>
        </w:tc>
      </w:tr>
      <w:tr w:rsidR="00D44F3E" w:rsidRPr="00D848CE" w14:paraId="1F9ECB22" w14:textId="77777777" w:rsidTr="00E50744">
        <w:trPr>
          <w:trHeight w:hRule="exact" w:val="455"/>
        </w:trPr>
        <w:tc>
          <w:tcPr>
            <w:tcW w:w="6930" w:type="dxa"/>
            <w:gridSpan w:val="5"/>
            <w:tcBorders>
              <w:top w:val="single" w:sz="5" w:space="0" w:color="000000"/>
              <w:left w:val="single" w:sz="5" w:space="0" w:color="000000"/>
              <w:bottom w:val="single" w:sz="5" w:space="0" w:color="000000"/>
              <w:right w:val="single" w:sz="5" w:space="0" w:color="000000"/>
            </w:tcBorders>
          </w:tcPr>
          <w:p w14:paraId="319E43E1"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*Incluye además el Impuesto a las Ventas del 16% sobre las importaciones. Fuente: Banco de Central de República Dominicana.</w:t>
            </w:r>
          </w:p>
        </w:tc>
      </w:tr>
    </w:tbl>
    <w:p w14:paraId="29E39A44" w14:textId="77777777" w:rsidR="00D44F3E" w:rsidRPr="00D848CE" w:rsidRDefault="00D44F3E" w:rsidP="00D13AD2">
      <w:pPr>
        <w:spacing w:before="120" w:after="120"/>
        <w:ind w:hanging="31"/>
        <w:contextualSpacing/>
        <w:jc w:val="both"/>
        <w:rPr>
          <w:rFonts w:ascii="Arial" w:eastAsia="Times New Roman" w:hAnsi="Arial" w:cs="Arial"/>
          <w:i/>
          <w:lang w:val="es-ES_tradnl"/>
        </w:rPr>
      </w:pPr>
    </w:p>
    <w:p w14:paraId="1BA1DE0D" w14:textId="77777777" w:rsidR="00D44F3E" w:rsidRPr="00D848CE" w:rsidRDefault="00D44F3E" w:rsidP="00BE3276">
      <w:pPr>
        <w:pStyle w:val="Paragraph"/>
        <w:numPr>
          <w:ilvl w:val="0"/>
          <w:numId w:val="4"/>
        </w:numPr>
        <w:ind w:left="630" w:hanging="4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Factor de conversión de productos y materiales de origen nacional: en este caso el factor utilizado ha sido de 0</w:t>
      </w:r>
      <w:r w:rsidR="00BC640D" w:rsidRPr="00D848CE">
        <w:rPr>
          <w:rFonts w:ascii="Arial" w:hAnsi="Arial" w:cs="Arial"/>
          <w:spacing w:val="-1"/>
          <w:sz w:val="22"/>
          <w:szCs w:val="22"/>
          <w:u w:color="000000"/>
          <w:lang w:val="es-ES_tradnl"/>
        </w:rPr>
        <w:t>,</w:t>
      </w:r>
      <w:r w:rsidRPr="00D848CE">
        <w:rPr>
          <w:rFonts w:ascii="Arial" w:hAnsi="Arial" w:cs="Arial"/>
          <w:spacing w:val="-1"/>
          <w:sz w:val="22"/>
          <w:szCs w:val="22"/>
          <w:u w:color="000000"/>
          <w:lang w:val="es-ES_tradnl"/>
        </w:rPr>
        <w:t>860, lo cual descuenta la aplicación directa del Impuesto a las Ventas de 16% que grava todos los productos que se transan en el país.</w:t>
      </w:r>
    </w:p>
    <w:p w14:paraId="2BD046CE" w14:textId="77777777" w:rsidR="00D44F3E" w:rsidRPr="00D848CE" w:rsidRDefault="00D44F3E" w:rsidP="00BE3276">
      <w:pPr>
        <w:pStyle w:val="Paragraph"/>
        <w:numPr>
          <w:ilvl w:val="0"/>
          <w:numId w:val="4"/>
        </w:numPr>
        <w:ind w:left="630" w:hanging="4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Factor de conversión de materiales y equipos de origen externo (transables): el factor de conversión descuenta expresamente el Impuesto a las Ventas y los aranceles aduaneros que aplican sobre las importaciones. Los datos relevantes se indican en la siguiente tabla:</w:t>
      </w:r>
    </w:p>
    <w:p w14:paraId="70391B82" w14:textId="77777777" w:rsidR="00D44F3E" w:rsidRPr="00D848CE" w:rsidRDefault="00D44F3E" w:rsidP="00D13AD2">
      <w:pPr>
        <w:pStyle w:val="BodyText"/>
        <w:spacing w:before="120" w:after="120"/>
        <w:ind w:right="119"/>
        <w:jc w:val="both"/>
        <w:rPr>
          <w:rFonts w:ascii="Arial" w:hAnsi="Arial" w:cs="Arial"/>
          <w:spacing w:val="-1"/>
          <w:sz w:val="22"/>
          <w:szCs w:val="22"/>
          <w:u w:color="000000"/>
          <w:lang w:val="es-ES_tradnl"/>
        </w:rPr>
      </w:pPr>
    </w:p>
    <w:tbl>
      <w:tblPr>
        <w:tblStyle w:val="TableNormal1"/>
        <w:tblW w:w="0" w:type="auto"/>
        <w:tblInd w:w="534" w:type="dxa"/>
        <w:tblLayout w:type="fixed"/>
        <w:tblLook w:val="01E0" w:firstRow="1" w:lastRow="1" w:firstColumn="1" w:lastColumn="1" w:noHBand="0" w:noVBand="0"/>
      </w:tblPr>
      <w:tblGrid>
        <w:gridCol w:w="4930"/>
        <w:gridCol w:w="1056"/>
        <w:gridCol w:w="1056"/>
        <w:gridCol w:w="1056"/>
      </w:tblGrid>
      <w:tr w:rsidR="00D44F3E" w:rsidRPr="00D848CE" w14:paraId="31590213" w14:textId="77777777" w:rsidTr="00E50744">
        <w:trPr>
          <w:trHeight w:hRule="exact" w:val="372"/>
        </w:trPr>
        <w:tc>
          <w:tcPr>
            <w:tcW w:w="8098" w:type="dxa"/>
            <w:gridSpan w:val="4"/>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59E13FCA"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Factor de conversión de materiales y equipos de origen externo</w:t>
            </w:r>
          </w:p>
        </w:tc>
      </w:tr>
      <w:tr w:rsidR="00D44F3E" w:rsidRPr="00D848CE" w14:paraId="555659F6" w14:textId="77777777" w:rsidTr="00E50744">
        <w:trPr>
          <w:trHeight w:hRule="exact" w:val="273"/>
        </w:trPr>
        <w:tc>
          <w:tcPr>
            <w:tcW w:w="4930"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3EB156A3"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Categorías</w:t>
            </w:r>
          </w:p>
        </w:tc>
        <w:tc>
          <w:tcPr>
            <w:tcW w:w="1056"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34558CD9"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2013</w:t>
            </w:r>
          </w:p>
        </w:tc>
        <w:tc>
          <w:tcPr>
            <w:tcW w:w="1056"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51092E4F"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2014</w:t>
            </w:r>
          </w:p>
        </w:tc>
        <w:tc>
          <w:tcPr>
            <w:tcW w:w="1056"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8425F7E" w14:textId="77777777" w:rsidR="00D44F3E" w:rsidRPr="00D848CE" w:rsidRDefault="00D44F3E" w:rsidP="00D13AD2">
            <w:pPr>
              <w:jc w:val="center"/>
              <w:rPr>
                <w:rFonts w:ascii="Arial" w:eastAsia="Times New Roman" w:hAnsi="Arial" w:cs="Arial"/>
                <w:b/>
                <w:bCs/>
                <w:color w:val="000000"/>
                <w:lang w:val="es-ES_tradnl"/>
              </w:rPr>
            </w:pPr>
            <w:r w:rsidRPr="00D848CE">
              <w:rPr>
                <w:rFonts w:ascii="Arial" w:eastAsia="Times New Roman" w:hAnsi="Arial" w:cs="Arial"/>
                <w:b/>
                <w:bCs/>
                <w:color w:val="000000"/>
                <w:lang w:val="es-ES_tradnl"/>
              </w:rPr>
              <w:t>2015</w:t>
            </w:r>
          </w:p>
        </w:tc>
      </w:tr>
      <w:tr w:rsidR="00D44F3E" w:rsidRPr="00D848CE" w14:paraId="363F70FC" w14:textId="77777777" w:rsidTr="00E50744">
        <w:trPr>
          <w:trHeight w:hRule="exact" w:val="264"/>
        </w:trPr>
        <w:tc>
          <w:tcPr>
            <w:tcW w:w="4930" w:type="dxa"/>
            <w:tcBorders>
              <w:top w:val="single" w:sz="5" w:space="0" w:color="000000"/>
              <w:left w:val="single" w:sz="5" w:space="0" w:color="000000"/>
              <w:bottom w:val="single" w:sz="5" w:space="0" w:color="000000"/>
              <w:right w:val="single" w:sz="5" w:space="0" w:color="000000"/>
            </w:tcBorders>
          </w:tcPr>
          <w:p w14:paraId="6CC60F80"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Importaciones (millones de US$)</w:t>
            </w:r>
          </w:p>
        </w:tc>
        <w:tc>
          <w:tcPr>
            <w:tcW w:w="1056" w:type="dxa"/>
            <w:tcBorders>
              <w:top w:val="single" w:sz="5" w:space="0" w:color="000000"/>
              <w:left w:val="single" w:sz="5" w:space="0" w:color="000000"/>
              <w:bottom w:val="single" w:sz="5" w:space="0" w:color="000000"/>
              <w:right w:val="single" w:sz="5" w:space="0" w:color="000000"/>
            </w:tcBorders>
          </w:tcPr>
          <w:p w14:paraId="054D993D"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16</w:t>
            </w:r>
            <w:r w:rsidR="00BC640D" w:rsidRPr="00D848CE">
              <w:rPr>
                <w:rFonts w:ascii="Arial" w:eastAsia="Times New Roman" w:hAnsi="Arial" w:cs="Arial"/>
                <w:bCs/>
                <w:color w:val="000000"/>
                <w:lang w:val="es-ES_tradnl"/>
              </w:rPr>
              <w:t>.801,</w:t>
            </w:r>
            <w:r w:rsidRPr="00D848CE">
              <w:rPr>
                <w:rFonts w:ascii="Arial" w:eastAsia="Times New Roman" w:hAnsi="Arial" w:cs="Arial"/>
                <w:bCs/>
                <w:color w:val="000000"/>
                <w:lang w:val="es-ES_tradnl"/>
              </w:rPr>
              <w:t>2</w:t>
            </w:r>
          </w:p>
        </w:tc>
        <w:tc>
          <w:tcPr>
            <w:tcW w:w="1056" w:type="dxa"/>
            <w:tcBorders>
              <w:top w:val="single" w:sz="5" w:space="0" w:color="000000"/>
              <w:left w:val="single" w:sz="5" w:space="0" w:color="000000"/>
              <w:bottom w:val="single" w:sz="5" w:space="0" w:color="000000"/>
              <w:right w:val="single" w:sz="5" w:space="0" w:color="000000"/>
            </w:tcBorders>
          </w:tcPr>
          <w:p w14:paraId="0CFC76D4"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17.273</w:t>
            </w:r>
            <w:r w:rsidR="00BC640D" w:rsidRPr="00D848CE">
              <w:rPr>
                <w:rFonts w:ascii="Arial" w:eastAsia="Times New Roman" w:hAnsi="Arial" w:cs="Arial"/>
                <w:bCs/>
                <w:color w:val="000000"/>
                <w:lang w:val="es-ES_tradnl"/>
              </w:rPr>
              <w:t>,</w:t>
            </w:r>
            <w:r w:rsidRPr="00D848CE">
              <w:rPr>
                <w:rFonts w:ascii="Arial" w:eastAsia="Times New Roman" w:hAnsi="Arial" w:cs="Arial"/>
                <w:bCs/>
                <w:color w:val="000000"/>
                <w:lang w:val="es-ES_tradnl"/>
              </w:rPr>
              <w:t>3</w:t>
            </w:r>
          </w:p>
        </w:tc>
        <w:tc>
          <w:tcPr>
            <w:tcW w:w="1056" w:type="dxa"/>
            <w:tcBorders>
              <w:top w:val="single" w:sz="5" w:space="0" w:color="000000"/>
              <w:left w:val="single" w:sz="5" w:space="0" w:color="000000"/>
              <w:bottom w:val="single" w:sz="5" w:space="0" w:color="000000"/>
              <w:right w:val="single" w:sz="5" w:space="0" w:color="000000"/>
            </w:tcBorders>
          </w:tcPr>
          <w:p w14:paraId="4C67694C" w14:textId="77777777" w:rsidR="00D44F3E" w:rsidRPr="00D848CE" w:rsidRDefault="00BC640D"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16.</w:t>
            </w:r>
            <w:r w:rsidR="00D44F3E" w:rsidRPr="00D848CE">
              <w:rPr>
                <w:rFonts w:ascii="Arial" w:eastAsia="Times New Roman" w:hAnsi="Arial" w:cs="Arial"/>
                <w:bCs/>
                <w:color w:val="000000"/>
                <w:lang w:val="es-ES_tradnl"/>
              </w:rPr>
              <w:t>863</w:t>
            </w:r>
            <w:r w:rsidRPr="00D848CE">
              <w:rPr>
                <w:rFonts w:ascii="Arial" w:eastAsia="Times New Roman" w:hAnsi="Arial" w:cs="Arial"/>
                <w:bCs/>
                <w:color w:val="000000"/>
                <w:lang w:val="es-ES_tradnl"/>
              </w:rPr>
              <w:t>,</w:t>
            </w:r>
            <w:r w:rsidR="00D44F3E" w:rsidRPr="00D848CE">
              <w:rPr>
                <w:rFonts w:ascii="Arial" w:eastAsia="Times New Roman" w:hAnsi="Arial" w:cs="Arial"/>
                <w:bCs/>
                <w:color w:val="000000"/>
                <w:lang w:val="es-ES_tradnl"/>
              </w:rPr>
              <w:t>4</w:t>
            </w:r>
          </w:p>
        </w:tc>
      </w:tr>
      <w:tr w:rsidR="00D44F3E" w:rsidRPr="00D848CE" w14:paraId="1D050123" w14:textId="77777777" w:rsidTr="00E50744">
        <w:trPr>
          <w:trHeight w:hRule="exact" w:val="273"/>
        </w:trPr>
        <w:tc>
          <w:tcPr>
            <w:tcW w:w="4930" w:type="dxa"/>
            <w:tcBorders>
              <w:top w:val="single" w:sz="5" w:space="0" w:color="000000"/>
              <w:left w:val="single" w:sz="5" w:space="0" w:color="000000"/>
              <w:bottom w:val="single" w:sz="5" w:space="0" w:color="000000"/>
              <w:right w:val="single" w:sz="5" w:space="0" w:color="000000"/>
            </w:tcBorders>
          </w:tcPr>
          <w:p w14:paraId="3ADE4E5C"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Impuesto sobre importaciones (millones de US$)</w:t>
            </w:r>
          </w:p>
        </w:tc>
        <w:tc>
          <w:tcPr>
            <w:tcW w:w="1056" w:type="dxa"/>
            <w:tcBorders>
              <w:top w:val="single" w:sz="5" w:space="0" w:color="000000"/>
              <w:left w:val="single" w:sz="5" w:space="0" w:color="000000"/>
              <w:bottom w:val="single" w:sz="5" w:space="0" w:color="000000"/>
              <w:right w:val="single" w:sz="5" w:space="0" w:color="000000"/>
            </w:tcBorders>
          </w:tcPr>
          <w:p w14:paraId="7D70FEF4"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511,0</w:t>
            </w:r>
          </w:p>
        </w:tc>
        <w:tc>
          <w:tcPr>
            <w:tcW w:w="1056" w:type="dxa"/>
            <w:tcBorders>
              <w:top w:val="single" w:sz="5" w:space="0" w:color="000000"/>
              <w:left w:val="single" w:sz="5" w:space="0" w:color="000000"/>
              <w:bottom w:val="single" w:sz="5" w:space="0" w:color="000000"/>
              <w:right w:val="single" w:sz="5" w:space="0" w:color="000000"/>
            </w:tcBorders>
          </w:tcPr>
          <w:p w14:paraId="72F1C72E"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532,5</w:t>
            </w:r>
          </w:p>
        </w:tc>
        <w:tc>
          <w:tcPr>
            <w:tcW w:w="1056" w:type="dxa"/>
            <w:tcBorders>
              <w:top w:val="single" w:sz="5" w:space="0" w:color="000000"/>
              <w:left w:val="single" w:sz="5" w:space="0" w:color="000000"/>
              <w:bottom w:val="single" w:sz="5" w:space="0" w:color="000000"/>
              <w:right w:val="single" w:sz="5" w:space="0" w:color="000000"/>
            </w:tcBorders>
          </w:tcPr>
          <w:p w14:paraId="40732952"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497,4</w:t>
            </w:r>
          </w:p>
        </w:tc>
      </w:tr>
      <w:tr w:rsidR="00D44F3E" w:rsidRPr="00D848CE" w14:paraId="63D70B69" w14:textId="77777777" w:rsidTr="006979D8">
        <w:trPr>
          <w:trHeight w:hRule="exact" w:val="309"/>
        </w:trPr>
        <w:tc>
          <w:tcPr>
            <w:tcW w:w="4930" w:type="dxa"/>
            <w:tcBorders>
              <w:top w:val="single" w:sz="5" w:space="0" w:color="000000"/>
              <w:left w:val="single" w:sz="5" w:space="0" w:color="000000"/>
              <w:bottom w:val="single" w:sz="5" w:space="0" w:color="000000"/>
              <w:right w:val="single" w:sz="5" w:space="0" w:color="000000"/>
            </w:tcBorders>
          </w:tcPr>
          <w:p w14:paraId="64096717" w14:textId="77777777" w:rsidR="00D44F3E" w:rsidRPr="00D848CE" w:rsidRDefault="00D44F3E" w:rsidP="00D13AD2">
            <w:pPr>
              <w:rPr>
                <w:rFonts w:ascii="Arial" w:eastAsia="Times New Roman" w:hAnsi="Arial" w:cs="Arial"/>
                <w:bCs/>
                <w:color w:val="000000"/>
                <w:lang w:val="es-ES_tradnl"/>
              </w:rPr>
            </w:pPr>
            <w:r w:rsidRPr="00D848CE">
              <w:rPr>
                <w:rFonts w:ascii="Arial" w:eastAsia="Times New Roman" w:hAnsi="Arial" w:cs="Arial"/>
                <w:bCs/>
                <w:color w:val="000000"/>
                <w:lang w:val="es-ES_tradnl"/>
              </w:rPr>
              <w:t>FC*</w:t>
            </w:r>
          </w:p>
        </w:tc>
        <w:tc>
          <w:tcPr>
            <w:tcW w:w="1056" w:type="dxa"/>
            <w:tcBorders>
              <w:top w:val="single" w:sz="5" w:space="0" w:color="000000"/>
              <w:left w:val="single" w:sz="5" w:space="0" w:color="000000"/>
              <w:bottom w:val="single" w:sz="5" w:space="0" w:color="000000"/>
              <w:right w:val="single" w:sz="5" w:space="0" w:color="000000"/>
            </w:tcBorders>
          </w:tcPr>
          <w:p w14:paraId="57C4D337"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0,836</w:t>
            </w:r>
          </w:p>
        </w:tc>
        <w:tc>
          <w:tcPr>
            <w:tcW w:w="1056" w:type="dxa"/>
            <w:tcBorders>
              <w:top w:val="single" w:sz="5" w:space="0" w:color="000000"/>
              <w:left w:val="single" w:sz="5" w:space="0" w:color="000000"/>
              <w:bottom w:val="single" w:sz="5" w:space="0" w:color="000000"/>
              <w:right w:val="single" w:sz="5" w:space="0" w:color="000000"/>
            </w:tcBorders>
          </w:tcPr>
          <w:p w14:paraId="34E7DA78"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0,840</w:t>
            </w:r>
          </w:p>
        </w:tc>
        <w:tc>
          <w:tcPr>
            <w:tcW w:w="1056" w:type="dxa"/>
            <w:tcBorders>
              <w:top w:val="single" w:sz="5" w:space="0" w:color="000000"/>
              <w:left w:val="single" w:sz="5" w:space="0" w:color="000000"/>
              <w:bottom w:val="single" w:sz="5" w:space="0" w:color="000000"/>
              <w:right w:val="single" w:sz="5" w:space="0" w:color="000000"/>
            </w:tcBorders>
          </w:tcPr>
          <w:p w14:paraId="3DB5003D" w14:textId="77777777" w:rsidR="00D44F3E" w:rsidRPr="00D848CE" w:rsidRDefault="00D44F3E" w:rsidP="00D13AD2">
            <w:pPr>
              <w:jc w:val="right"/>
              <w:rPr>
                <w:rFonts w:ascii="Arial" w:eastAsia="Times New Roman" w:hAnsi="Arial" w:cs="Arial"/>
                <w:bCs/>
                <w:color w:val="000000"/>
                <w:lang w:val="es-ES_tradnl"/>
              </w:rPr>
            </w:pPr>
            <w:r w:rsidRPr="00D848CE">
              <w:rPr>
                <w:rFonts w:ascii="Arial" w:eastAsia="Times New Roman" w:hAnsi="Arial" w:cs="Arial"/>
                <w:bCs/>
                <w:color w:val="000000"/>
                <w:lang w:val="es-ES_tradnl"/>
              </w:rPr>
              <w:t>0,844</w:t>
            </w:r>
          </w:p>
        </w:tc>
      </w:tr>
      <w:tr w:rsidR="00D44F3E" w:rsidRPr="00D848CE" w14:paraId="716DE341" w14:textId="77777777" w:rsidTr="00E50744">
        <w:trPr>
          <w:trHeight w:hRule="exact" w:val="406"/>
        </w:trPr>
        <w:tc>
          <w:tcPr>
            <w:tcW w:w="4930" w:type="dxa"/>
            <w:tcBorders>
              <w:top w:val="single" w:sz="5" w:space="0" w:color="000000"/>
              <w:left w:val="single" w:sz="5" w:space="0" w:color="000000"/>
              <w:bottom w:val="single" w:sz="5" w:space="0" w:color="000000"/>
              <w:right w:val="single" w:sz="5" w:space="0" w:color="000000"/>
            </w:tcBorders>
          </w:tcPr>
          <w:p w14:paraId="4BDDA086" w14:textId="77777777" w:rsidR="00D44F3E" w:rsidRPr="00D848CE" w:rsidRDefault="00D44F3E" w:rsidP="00D13AD2">
            <w:pPr>
              <w:pStyle w:val="TableParagraph"/>
              <w:spacing w:before="120" w:after="120"/>
              <w:ind w:left="102" w:firstLine="89"/>
              <w:contextualSpacing/>
              <w:jc w:val="both"/>
              <w:rPr>
                <w:rFonts w:ascii="Arial" w:eastAsia="Times New Roman" w:hAnsi="Arial" w:cs="Arial"/>
                <w:lang w:val="es-ES_tradnl"/>
              </w:rPr>
            </w:pPr>
            <w:r w:rsidRPr="00D848CE">
              <w:rPr>
                <w:rFonts w:ascii="Arial" w:hAnsi="Arial" w:cs="Arial"/>
                <w:b/>
                <w:spacing w:val="-1"/>
                <w:lang w:val="es-ES_tradnl"/>
              </w:rPr>
              <w:t>Factor</w:t>
            </w:r>
            <w:r w:rsidRPr="00D848CE">
              <w:rPr>
                <w:rFonts w:ascii="Arial" w:hAnsi="Arial" w:cs="Arial"/>
                <w:b/>
                <w:spacing w:val="-6"/>
                <w:lang w:val="es-ES_tradnl"/>
              </w:rPr>
              <w:t xml:space="preserve"> </w:t>
            </w:r>
            <w:r w:rsidRPr="00D848CE">
              <w:rPr>
                <w:rFonts w:ascii="Arial" w:hAnsi="Arial" w:cs="Arial"/>
                <w:b/>
                <w:lang w:val="es-ES_tradnl"/>
              </w:rPr>
              <w:t>de</w:t>
            </w:r>
            <w:r w:rsidRPr="00D848CE">
              <w:rPr>
                <w:rFonts w:ascii="Arial" w:hAnsi="Arial" w:cs="Arial"/>
                <w:b/>
                <w:spacing w:val="-6"/>
                <w:lang w:val="es-ES_tradnl"/>
              </w:rPr>
              <w:t xml:space="preserve"> </w:t>
            </w:r>
            <w:r w:rsidRPr="00D848CE">
              <w:rPr>
                <w:rFonts w:ascii="Arial" w:hAnsi="Arial" w:cs="Arial"/>
                <w:b/>
                <w:spacing w:val="-1"/>
                <w:lang w:val="es-ES_tradnl"/>
              </w:rPr>
              <w:t>Conversión</w:t>
            </w:r>
            <w:r w:rsidRPr="00D848CE">
              <w:rPr>
                <w:rFonts w:ascii="Arial" w:hAnsi="Arial" w:cs="Arial"/>
                <w:b/>
                <w:spacing w:val="-4"/>
                <w:lang w:val="es-ES_tradnl"/>
              </w:rPr>
              <w:t xml:space="preserve"> </w:t>
            </w:r>
            <w:r w:rsidRPr="00D848CE">
              <w:rPr>
                <w:rFonts w:ascii="Arial" w:hAnsi="Arial" w:cs="Arial"/>
                <w:b/>
                <w:spacing w:val="-1"/>
                <w:lang w:val="es-ES_tradnl"/>
              </w:rPr>
              <w:t>promedio*</w:t>
            </w:r>
          </w:p>
        </w:tc>
        <w:tc>
          <w:tcPr>
            <w:tcW w:w="1056" w:type="dxa"/>
            <w:tcBorders>
              <w:top w:val="single" w:sz="5" w:space="0" w:color="000000"/>
              <w:left w:val="single" w:sz="5" w:space="0" w:color="000000"/>
              <w:bottom w:val="single" w:sz="5" w:space="0" w:color="000000"/>
              <w:right w:val="single" w:sz="5" w:space="0" w:color="000000"/>
            </w:tcBorders>
          </w:tcPr>
          <w:p w14:paraId="1064054E" w14:textId="77777777" w:rsidR="00D44F3E" w:rsidRPr="00D848CE" w:rsidRDefault="00D44F3E" w:rsidP="00D13AD2">
            <w:pPr>
              <w:pStyle w:val="TableParagraph"/>
              <w:spacing w:before="120" w:after="120"/>
              <w:ind w:left="251" w:firstLine="89"/>
              <w:contextualSpacing/>
              <w:jc w:val="right"/>
              <w:rPr>
                <w:rFonts w:ascii="Arial" w:eastAsia="Times New Roman" w:hAnsi="Arial" w:cs="Arial"/>
                <w:lang w:val="es-ES_tradnl"/>
              </w:rPr>
            </w:pPr>
            <w:r w:rsidRPr="00D848CE">
              <w:rPr>
                <w:rFonts w:ascii="Arial" w:hAnsi="Arial" w:cs="Arial"/>
                <w:b/>
                <w:lang w:val="es-ES_tradnl"/>
              </w:rPr>
              <w:t>0,840</w:t>
            </w:r>
          </w:p>
        </w:tc>
        <w:tc>
          <w:tcPr>
            <w:tcW w:w="1056" w:type="dxa"/>
            <w:tcBorders>
              <w:top w:val="single" w:sz="5" w:space="0" w:color="000000"/>
              <w:left w:val="single" w:sz="5" w:space="0" w:color="000000"/>
              <w:bottom w:val="single" w:sz="5" w:space="0" w:color="000000"/>
              <w:right w:val="single" w:sz="5" w:space="0" w:color="000000"/>
            </w:tcBorders>
          </w:tcPr>
          <w:p w14:paraId="682C45E5" w14:textId="77777777" w:rsidR="00D44F3E" w:rsidRPr="00D848CE" w:rsidRDefault="00D44F3E" w:rsidP="00D13AD2">
            <w:pPr>
              <w:spacing w:before="120" w:after="120"/>
              <w:ind w:firstLine="89"/>
              <w:contextualSpacing/>
              <w:jc w:val="both"/>
              <w:rPr>
                <w:rFonts w:ascii="Arial" w:hAnsi="Arial" w:cs="Arial"/>
                <w:lang w:val="es-ES_tradnl"/>
              </w:rPr>
            </w:pPr>
          </w:p>
        </w:tc>
        <w:tc>
          <w:tcPr>
            <w:tcW w:w="1056" w:type="dxa"/>
            <w:tcBorders>
              <w:top w:val="single" w:sz="5" w:space="0" w:color="000000"/>
              <w:left w:val="single" w:sz="5" w:space="0" w:color="000000"/>
              <w:bottom w:val="single" w:sz="5" w:space="0" w:color="000000"/>
              <w:right w:val="single" w:sz="5" w:space="0" w:color="000000"/>
            </w:tcBorders>
          </w:tcPr>
          <w:p w14:paraId="058243C0" w14:textId="77777777" w:rsidR="00D44F3E" w:rsidRPr="00D848CE" w:rsidRDefault="00D44F3E" w:rsidP="00D13AD2">
            <w:pPr>
              <w:spacing w:before="120" w:after="120"/>
              <w:ind w:firstLine="89"/>
              <w:contextualSpacing/>
              <w:jc w:val="both"/>
              <w:rPr>
                <w:rFonts w:ascii="Arial" w:hAnsi="Arial" w:cs="Arial"/>
                <w:lang w:val="es-ES_tradnl"/>
              </w:rPr>
            </w:pPr>
          </w:p>
        </w:tc>
      </w:tr>
      <w:tr w:rsidR="00D44F3E" w:rsidRPr="00D848CE" w14:paraId="7585303C" w14:textId="77777777" w:rsidTr="006979D8">
        <w:trPr>
          <w:trHeight w:hRule="exact" w:val="579"/>
        </w:trPr>
        <w:tc>
          <w:tcPr>
            <w:tcW w:w="8098" w:type="dxa"/>
            <w:gridSpan w:val="4"/>
            <w:tcBorders>
              <w:top w:val="single" w:sz="5" w:space="0" w:color="000000"/>
              <w:left w:val="single" w:sz="5" w:space="0" w:color="000000"/>
              <w:bottom w:val="single" w:sz="5" w:space="0" w:color="000000"/>
              <w:right w:val="single" w:sz="5" w:space="0" w:color="000000"/>
            </w:tcBorders>
          </w:tcPr>
          <w:p w14:paraId="1FB431E5" w14:textId="77777777" w:rsidR="00D44F3E" w:rsidRPr="00D848CE" w:rsidRDefault="00D44F3E" w:rsidP="00D13AD2">
            <w:pPr>
              <w:spacing w:before="120" w:after="120"/>
              <w:ind w:left="300" w:right="178" w:hanging="30"/>
              <w:contextualSpacing/>
              <w:jc w:val="both"/>
              <w:rPr>
                <w:rFonts w:ascii="Arial" w:eastAsia="Times New Roman" w:hAnsi="Arial" w:cs="Arial"/>
                <w:lang w:val="es-ES_tradnl"/>
              </w:rPr>
            </w:pPr>
            <w:r w:rsidRPr="00D848CE">
              <w:rPr>
                <w:rFonts w:ascii="Arial" w:hAnsi="Arial" w:cs="Arial"/>
                <w:i/>
                <w:lang w:val="es-ES_tradnl"/>
              </w:rPr>
              <w:t>*Incluye</w:t>
            </w:r>
            <w:r w:rsidRPr="00D848CE">
              <w:rPr>
                <w:rFonts w:ascii="Arial" w:hAnsi="Arial" w:cs="Arial"/>
                <w:i/>
                <w:spacing w:val="-7"/>
                <w:lang w:val="es-ES_tradnl"/>
              </w:rPr>
              <w:t xml:space="preserve"> </w:t>
            </w:r>
            <w:r w:rsidRPr="00D848CE">
              <w:rPr>
                <w:rFonts w:ascii="Arial" w:hAnsi="Arial" w:cs="Arial"/>
                <w:i/>
                <w:lang w:val="es-ES_tradnl"/>
              </w:rPr>
              <w:t>además</w:t>
            </w:r>
            <w:r w:rsidRPr="00D848CE">
              <w:rPr>
                <w:rFonts w:ascii="Arial" w:hAnsi="Arial" w:cs="Arial"/>
                <w:i/>
                <w:spacing w:val="-6"/>
                <w:lang w:val="es-ES_tradnl"/>
              </w:rPr>
              <w:t xml:space="preserve"> </w:t>
            </w:r>
            <w:r w:rsidRPr="00D848CE">
              <w:rPr>
                <w:rFonts w:ascii="Arial" w:hAnsi="Arial" w:cs="Arial"/>
                <w:i/>
                <w:lang w:val="es-ES_tradnl"/>
              </w:rPr>
              <w:t>el</w:t>
            </w:r>
            <w:r w:rsidRPr="00D848CE">
              <w:rPr>
                <w:rFonts w:ascii="Arial" w:hAnsi="Arial" w:cs="Arial"/>
                <w:i/>
                <w:spacing w:val="-5"/>
                <w:lang w:val="es-ES_tradnl"/>
              </w:rPr>
              <w:t xml:space="preserve"> </w:t>
            </w:r>
            <w:r w:rsidRPr="00D848CE">
              <w:rPr>
                <w:rFonts w:ascii="Arial" w:hAnsi="Arial" w:cs="Arial"/>
                <w:i/>
                <w:spacing w:val="-1"/>
                <w:lang w:val="es-ES_tradnl"/>
              </w:rPr>
              <w:t>Impuesto</w:t>
            </w:r>
            <w:r w:rsidRPr="00D848CE">
              <w:rPr>
                <w:rFonts w:ascii="Arial" w:hAnsi="Arial" w:cs="Arial"/>
                <w:i/>
                <w:spacing w:val="-5"/>
                <w:lang w:val="es-ES_tradnl"/>
              </w:rPr>
              <w:t xml:space="preserve"> </w:t>
            </w:r>
            <w:r w:rsidRPr="00D848CE">
              <w:rPr>
                <w:rFonts w:ascii="Arial" w:hAnsi="Arial" w:cs="Arial"/>
                <w:i/>
                <w:lang w:val="es-ES_tradnl"/>
              </w:rPr>
              <w:t>a</w:t>
            </w:r>
            <w:r w:rsidRPr="00D848CE">
              <w:rPr>
                <w:rFonts w:ascii="Arial" w:hAnsi="Arial" w:cs="Arial"/>
                <w:i/>
                <w:spacing w:val="-4"/>
                <w:lang w:val="es-ES_tradnl"/>
              </w:rPr>
              <w:t xml:space="preserve"> </w:t>
            </w:r>
            <w:r w:rsidRPr="00D848CE">
              <w:rPr>
                <w:rFonts w:ascii="Arial" w:hAnsi="Arial" w:cs="Arial"/>
                <w:i/>
                <w:lang w:val="es-ES_tradnl"/>
              </w:rPr>
              <w:t>las</w:t>
            </w:r>
            <w:r w:rsidRPr="00D848CE">
              <w:rPr>
                <w:rFonts w:ascii="Arial" w:hAnsi="Arial" w:cs="Arial"/>
                <w:i/>
                <w:spacing w:val="-6"/>
                <w:lang w:val="es-ES_tradnl"/>
              </w:rPr>
              <w:t xml:space="preserve"> </w:t>
            </w:r>
            <w:r w:rsidRPr="00D848CE">
              <w:rPr>
                <w:rFonts w:ascii="Arial" w:hAnsi="Arial" w:cs="Arial"/>
                <w:i/>
                <w:lang w:val="es-ES_tradnl"/>
              </w:rPr>
              <w:t>Ventas</w:t>
            </w:r>
            <w:r w:rsidRPr="00D848CE">
              <w:rPr>
                <w:rFonts w:ascii="Arial" w:hAnsi="Arial" w:cs="Arial"/>
                <w:i/>
                <w:spacing w:val="-6"/>
                <w:lang w:val="es-ES_tradnl"/>
              </w:rPr>
              <w:t xml:space="preserve"> </w:t>
            </w:r>
            <w:r w:rsidRPr="00D848CE">
              <w:rPr>
                <w:rFonts w:ascii="Arial" w:hAnsi="Arial" w:cs="Arial"/>
                <w:i/>
                <w:lang w:val="es-ES_tradnl"/>
              </w:rPr>
              <w:t>del</w:t>
            </w:r>
            <w:r w:rsidRPr="00D848CE">
              <w:rPr>
                <w:rFonts w:ascii="Arial" w:hAnsi="Arial" w:cs="Arial"/>
                <w:i/>
                <w:spacing w:val="-5"/>
                <w:lang w:val="es-ES_tradnl"/>
              </w:rPr>
              <w:t xml:space="preserve"> </w:t>
            </w:r>
            <w:r w:rsidRPr="00D848CE">
              <w:rPr>
                <w:rFonts w:ascii="Arial" w:hAnsi="Arial" w:cs="Arial"/>
                <w:i/>
                <w:spacing w:val="-1"/>
                <w:lang w:val="es-ES_tradnl"/>
              </w:rPr>
              <w:t>16%</w:t>
            </w:r>
            <w:r w:rsidRPr="00D848CE">
              <w:rPr>
                <w:rFonts w:ascii="Arial" w:hAnsi="Arial" w:cs="Arial"/>
                <w:i/>
                <w:spacing w:val="-5"/>
                <w:lang w:val="es-ES_tradnl"/>
              </w:rPr>
              <w:t xml:space="preserve"> </w:t>
            </w:r>
            <w:r w:rsidRPr="00D848CE">
              <w:rPr>
                <w:rFonts w:ascii="Arial" w:hAnsi="Arial" w:cs="Arial"/>
                <w:i/>
                <w:lang w:val="es-ES_tradnl"/>
              </w:rPr>
              <w:t>sobre</w:t>
            </w:r>
            <w:r w:rsidRPr="00D848CE">
              <w:rPr>
                <w:rFonts w:ascii="Arial" w:hAnsi="Arial" w:cs="Arial"/>
                <w:i/>
                <w:spacing w:val="-5"/>
                <w:lang w:val="es-ES_tradnl"/>
              </w:rPr>
              <w:t xml:space="preserve"> </w:t>
            </w:r>
            <w:r w:rsidRPr="00D848CE">
              <w:rPr>
                <w:rFonts w:ascii="Arial" w:hAnsi="Arial" w:cs="Arial"/>
                <w:i/>
                <w:spacing w:val="-1"/>
                <w:lang w:val="es-ES_tradnl"/>
              </w:rPr>
              <w:t>las</w:t>
            </w:r>
            <w:r w:rsidRPr="00D848CE">
              <w:rPr>
                <w:rFonts w:ascii="Arial" w:hAnsi="Arial" w:cs="Arial"/>
                <w:i/>
                <w:spacing w:val="-6"/>
                <w:lang w:val="es-ES_tradnl"/>
              </w:rPr>
              <w:t xml:space="preserve"> </w:t>
            </w:r>
            <w:r w:rsidRPr="00D848CE">
              <w:rPr>
                <w:rFonts w:ascii="Arial" w:hAnsi="Arial" w:cs="Arial"/>
                <w:i/>
                <w:spacing w:val="-1"/>
                <w:lang w:val="es-ES_tradnl"/>
              </w:rPr>
              <w:t>importaciones.</w:t>
            </w:r>
            <w:r w:rsidRPr="00D848CE">
              <w:rPr>
                <w:rFonts w:ascii="Arial" w:hAnsi="Arial" w:cs="Arial"/>
                <w:i/>
                <w:spacing w:val="54"/>
                <w:w w:val="99"/>
                <w:lang w:val="es-ES_tradnl"/>
              </w:rPr>
              <w:t xml:space="preserve"> </w:t>
            </w:r>
            <w:r w:rsidRPr="00D848CE">
              <w:rPr>
                <w:rFonts w:ascii="Arial" w:hAnsi="Arial" w:cs="Arial"/>
                <w:i/>
                <w:lang w:val="es-ES_tradnl"/>
              </w:rPr>
              <w:t>Fuente:</w:t>
            </w:r>
            <w:r w:rsidRPr="00D848CE">
              <w:rPr>
                <w:rFonts w:ascii="Arial" w:hAnsi="Arial" w:cs="Arial"/>
                <w:i/>
                <w:spacing w:val="-6"/>
                <w:lang w:val="es-ES_tradnl"/>
              </w:rPr>
              <w:t xml:space="preserve"> </w:t>
            </w:r>
            <w:r w:rsidRPr="00D848CE">
              <w:rPr>
                <w:rFonts w:ascii="Arial" w:hAnsi="Arial" w:cs="Arial"/>
                <w:i/>
                <w:spacing w:val="-1"/>
                <w:lang w:val="es-ES_tradnl"/>
              </w:rPr>
              <w:t>Banco</w:t>
            </w:r>
            <w:r w:rsidRPr="00D848CE">
              <w:rPr>
                <w:rFonts w:ascii="Arial" w:hAnsi="Arial" w:cs="Arial"/>
                <w:i/>
                <w:spacing w:val="-8"/>
                <w:lang w:val="es-ES_tradnl"/>
              </w:rPr>
              <w:t xml:space="preserve"> </w:t>
            </w:r>
            <w:r w:rsidRPr="00D848CE">
              <w:rPr>
                <w:rFonts w:ascii="Arial" w:hAnsi="Arial" w:cs="Arial"/>
                <w:i/>
                <w:lang w:val="es-ES_tradnl"/>
              </w:rPr>
              <w:t>de</w:t>
            </w:r>
            <w:r w:rsidRPr="00D848CE">
              <w:rPr>
                <w:rFonts w:ascii="Arial" w:hAnsi="Arial" w:cs="Arial"/>
                <w:i/>
                <w:spacing w:val="-6"/>
                <w:lang w:val="es-ES_tradnl"/>
              </w:rPr>
              <w:t xml:space="preserve"> </w:t>
            </w:r>
            <w:r w:rsidRPr="00D848CE">
              <w:rPr>
                <w:rFonts w:ascii="Arial" w:hAnsi="Arial" w:cs="Arial"/>
                <w:i/>
                <w:spacing w:val="-1"/>
                <w:lang w:val="es-ES_tradnl"/>
              </w:rPr>
              <w:t>Central</w:t>
            </w:r>
            <w:r w:rsidRPr="00D848CE">
              <w:rPr>
                <w:rFonts w:ascii="Arial" w:hAnsi="Arial" w:cs="Arial"/>
                <w:i/>
                <w:spacing w:val="-7"/>
                <w:lang w:val="es-ES_tradnl"/>
              </w:rPr>
              <w:t xml:space="preserve"> </w:t>
            </w:r>
            <w:r w:rsidRPr="00D848CE">
              <w:rPr>
                <w:rFonts w:ascii="Arial" w:hAnsi="Arial" w:cs="Arial"/>
                <w:i/>
                <w:lang w:val="es-ES_tradnl"/>
              </w:rPr>
              <w:t>de</w:t>
            </w:r>
            <w:r w:rsidRPr="00D848CE">
              <w:rPr>
                <w:rFonts w:ascii="Arial" w:hAnsi="Arial" w:cs="Arial"/>
                <w:i/>
                <w:spacing w:val="-8"/>
                <w:lang w:val="es-ES_tradnl"/>
              </w:rPr>
              <w:t xml:space="preserve"> </w:t>
            </w:r>
            <w:r w:rsidRPr="00D848CE">
              <w:rPr>
                <w:rFonts w:ascii="Arial" w:hAnsi="Arial" w:cs="Arial"/>
                <w:i/>
                <w:lang w:val="es-ES_tradnl"/>
              </w:rPr>
              <w:t>República</w:t>
            </w:r>
            <w:r w:rsidRPr="00D848CE">
              <w:rPr>
                <w:rFonts w:ascii="Arial" w:hAnsi="Arial" w:cs="Arial"/>
                <w:i/>
                <w:spacing w:val="-6"/>
                <w:lang w:val="es-ES_tradnl"/>
              </w:rPr>
              <w:t xml:space="preserve"> </w:t>
            </w:r>
            <w:r w:rsidRPr="00D848CE">
              <w:rPr>
                <w:rFonts w:ascii="Arial" w:hAnsi="Arial" w:cs="Arial"/>
                <w:i/>
                <w:lang w:val="es-ES_tradnl"/>
              </w:rPr>
              <w:t>Dominicana.</w:t>
            </w:r>
          </w:p>
          <w:p w14:paraId="5EEAECA4" w14:textId="77777777" w:rsidR="00D44F3E" w:rsidRPr="00D848CE" w:rsidRDefault="00D44F3E" w:rsidP="00D13AD2">
            <w:pPr>
              <w:spacing w:before="120" w:after="120"/>
              <w:ind w:firstLine="89"/>
              <w:contextualSpacing/>
              <w:jc w:val="both"/>
              <w:rPr>
                <w:rFonts w:ascii="Arial" w:hAnsi="Arial" w:cs="Arial"/>
                <w:lang w:val="es-ES_tradnl"/>
              </w:rPr>
            </w:pPr>
          </w:p>
        </w:tc>
      </w:tr>
    </w:tbl>
    <w:p w14:paraId="119853C7" w14:textId="77777777" w:rsidR="00D44F3E" w:rsidRPr="00D848CE" w:rsidRDefault="00D44F3E" w:rsidP="00BE3276">
      <w:pPr>
        <w:pStyle w:val="Paragraph"/>
        <w:numPr>
          <w:ilvl w:val="0"/>
          <w:numId w:val="4"/>
        </w:numPr>
        <w:ind w:left="630" w:hanging="4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lastRenderedPageBreak/>
        <w:t>Mano de obra calificada: para este factor se deducen de las remuneraciones (a costo empresa) aquellos ítems de cargas salariales que representan básicamente transferencias, de acuerdo con la siguiente tabla:</w:t>
      </w:r>
    </w:p>
    <w:tbl>
      <w:tblPr>
        <w:tblStyle w:val="TableNormal1"/>
        <w:tblW w:w="0" w:type="auto"/>
        <w:tblInd w:w="1345" w:type="dxa"/>
        <w:tblLayout w:type="fixed"/>
        <w:tblLook w:val="01E0" w:firstRow="1" w:lastRow="1" w:firstColumn="1" w:lastColumn="1" w:noHBand="0" w:noVBand="0"/>
      </w:tblPr>
      <w:tblGrid>
        <w:gridCol w:w="4978"/>
        <w:gridCol w:w="1413"/>
      </w:tblGrid>
      <w:tr w:rsidR="00D44F3E" w:rsidRPr="00D848CE" w14:paraId="7D770502" w14:textId="77777777" w:rsidTr="00E50744">
        <w:trPr>
          <w:trHeight w:hRule="exact" w:val="447"/>
        </w:trPr>
        <w:tc>
          <w:tcPr>
            <w:tcW w:w="639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D2B503" w14:textId="77777777" w:rsidR="00D44F3E" w:rsidRPr="00D848CE" w:rsidRDefault="00D44F3E" w:rsidP="00D13AD2">
            <w:pPr>
              <w:pStyle w:val="TableParagraph"/>
              <w:keepNext/>
              <w:keepLines/>
              <w:spacing w:before="120" w:after="120"/>
              <w:ind w:left="109" w:right="125"/>
              <w:contextualSpacing/>
              <w:jc w:val="center"/>
              <w:rPr>
                <w:rFonts w:ascii="Arial" w:hAnsi="Arial" w:cs="Arial"/>
                <w:b/>
                <w:spacing w:val="-1"/>
                <w:lang w:val="es-ES_tradnl"/>
              </w:rPr>
            </w:pPr>
            <w:r w:rsidRPr="00D848CE">
              <w:rPr>
                <w:rFonts w:ascii="Arial" w:hAnsi="Arial" w:cs="Arial"/>
                <w:b/>
                <w:spacing w:val="-1"/>
                <w:lang w:val="es-ES_tradnl"/>
              </w:rPr>
              <w:t>Cargas Salariales</w:t>
            </w:r>
          </w:p>
        </w:tc>
      </w:tr>
      <w:tr w:rsidR="00D44F3E" w:rsidRPr="00D848CE" w14:paraId="3455D8AE" w14:textId="77777777" w:rsidTr="00E50744">
        <w:trPr>
          <w:trHeight w:hRule="exact" w:val="726"/>
        </w:trPr>
        <w:tc>
          <w:tcPr>
            <w:tcW w:w="4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082485" w14:textId="77777777" w:rsidR="00D44F3E" w:rsidRPr="00D848CE" w:rsidRDefault="00D44F3E" w:rsidP="00D13AD2">
            <w:pPr>
              <w:pStyle w:val="TableParagraph"/>
              <w:keepNext/>
              <w:keepLines/>
              <w:spacing w:before="120" w:after="120"/>
              <w:ind w:firstLine="137"/>
              <w:contextualSpacing/>
              <w:jc w:val="both"/>
              <w:rPr>
                <w:rFonts w:ascii="Arial" w:eastAsia="Times New Roman" w:hAnsi="Arial" w:cs="Arial"/>
                <w:lang w:val="es-ES_tradnl"/>
              </w:rPr>
            </w:pPr>
          </w:p>
          <w:p w14:paraId="056DF9D5" w14:textId="77777777" w:rsidR="00D44F3E" w:rsidRPr="00D848CE" w:rsidRDefault="00D44F3E" w:rsidP="00D13AD2">
            <w:pPr>
              <w:pStyle w:val="TableParagraph"/>
              <w:keepNext/>
              <w:keepLines/>
              <w:spacing w:before="120" w:after="120"/>
              <w:ind w:left="497" w:right="2" w:firstLine="990"/>
              <w:contextualSpacing/>
              <w:jc w:val="both"/>
              <w:rPr>
                <w:rFonts w:ascii="Arial" w:eastAsia="Times New Roman" w:hAnsi="Arial" w:cs="Arial"/>
                <w:lang w:val="es-ES_tradnl"/>
              </w:rPr>
            </w:pPr>
            <w:r w:rsidRPr="00D848CE">
              <w:rPr>
                <w:rFonts w:ascii="Arial" w:hAnsi="Arial" w:cs="Arial"/>
                <w:b/>
                <w:spacing w:val="-1"/>
                <w:lang w:val="es-ES_tradnl"/>
              </w:rPr>
              <w:t>Partida</w:t>
            </w:r>
          </w:p>
        </w:tc>
        <w:tc>
          <w:tcPr>
            <w:tcW w:w="14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1608FD" w14:textId="77777777" w:rsidR="00D44F3E" w:rsidRPr="00D848CE" w:rsidRDefault="00D44F3E" w:rsidP="00D13AD2">
            <w:pPr>
              <w:pStyle w:val="TableParagraph"/>
              <w:keepNext/>
              <w:keepLines/>
              <w:spacing w:before="120" w:after="120"/>
              <w:ind w:left="109" w:right="125"/>
              <w:contextualSpacing/>
              <w:jc w:val="center"/>
              <w:rPr>
                <w:rFonts w:ascii="Arial" w:eastAsia="Times New Roman" w:hAnsi="Arial" w:cs="Arial"/>
                <w:lang w:val="es-ES_tradnl"/>
              </w:rPr>
            </w:pPr>
            <w:r w:rsidRPr="00D848CE">
              <w:rPr>
                <w:rFonts w:ascii="Arial" w:hAnsi="Arial" w:cs="Arial"/>
                <w:b/>
                <w:spacing w:val="-1"/>
                <w:lang w:val="es-ES_tradnl"/>
              </w:rPr>
              <w:t>Aporte</w:t>
            </w:r>
            <w:r w:rsidRPr="00D848CE">
              <w:rPr>
                <w:rFonts w:ascii="Arial" w:hAnsi="Arial" w:cs="Arial"/>
                <w:b/>
                <w:spacing w:val="23"/>
                <w:w w:val="99"/>
                <w:lang w:val="es-ES_tradnl"/>
              </w:rPr>
              <w:t xml:space="preserve"> E</w:t>
            </w:r>
            <w:r w:rsidRPr="00D848CE">
              <w:rPr>
                <w:rFonts w:ascii="Arial" w:hAnsi="Arial" w:cs="Arial"/>
                <w:b/>
                <w:spacing w:val="-1"/>
                <w:w w:val="95"/>
                <w:lang w:val="es-ES_tradnl"/>
              </w:rPr>
              <w:t>mpleador</w:t>
            </w:r>
          </w:p>
          <w:p w14:paraId="5363BCFB" w14:textId="77777777" w:rsidR="00D44F3E" w:rsidRPr="00D848CE" w:rsidRDefault="00D44F3E" w:rsidP="00D13AD2">
            <w:pPr>
              <w:pStyle w:val="TableParagraph"/>
              <w:keepNext/>
              <w:keepLines/>
              <w:spacing w:before="120" w:after="120"/>
              <w:ind w:left="109"/>
              <w:contextualSpacing/>
              <w:jc w:val="center"/>
              <w:rPr>
                <w:rFonts w:ascii="Arial" w:eastAsia="Times New Roman" w:hAnsi="Arial" w:cs="Arial"/>
                <w:lang w:val="es-ES_tradnl"/>
              </w:rPr>
            </w:pPr>
            <w:r w:rsidRPr="00D848CE">
              <w:rPr>
                <w:rFonts w:ascii="Arial" w:hAnsi="Arial" w:cs="Arial"/>
                <w:b/>
                <w:lang w:val="es-ES_tradnl"/>
              </w:rPr>
              <w:t>%</w:t>
            </w:r>
          </w:p>
        </w:tc>
      </w:tr>
      <w:tr w:rsidR="00D44F3E" w:rsidRPr="00D848CE" w14:paraId="1B4F4552" w14:textId="77777777" w:rsidTr="006979D8">
        <w:trPr>
          <w:trHeight w:hRule="exact" w:val="361"/>
        </w:trPr>
        <w:tc>
          <w:tcPr>
            <w:tcW w:w="4978" w:type="dxa"/>
            <w:tcBorders>
              <w:top w:val="single" w:sz="4" w:space="0" w:color="auto"/>
              <w:left w:val="single" w:sz="5" w:space="0" w:color="000000"/>
              <w:bottom w:val="single" w:sz="5" w:space="0" w:color="000000"/>
              <w:right w:val="single" w:sz="5" w:space="0" w:color="000000"/>
            </w:tcBorders>
          </w:tcPr>
          <w:p w14:paraId="5C66497A" w14:textId="77777777" w:rsidR="00D44F3E" w:rsidRPr="00D848CE" w:rsidRDefault="00D44F3E" w:rsidP="00D13AD2">
            <w:pPr>
              <w:pStyle w:val="TableParagraph"/>
              <w:keepNext/>
              <w:keepLines/>
              <w:spacing w:before="120" w:after="120"/>
              <w:ind w:left="102" w:firstLine="137"/>
              <w:contextualSpacing/>
              <w:jc w:val="both"/>
              <w:rPr>
                <w:rFonts w:ascii="Arial" w:eastAsia="Times New Roman" w:hAnsi="Arial" w:cs="Arial"/>
                <w:lang w:val="es-ES_tradnl"/>
              </w:rPr>
            </w:pPr>
            <w:r w:rsidRPr="00D848CE">
              <w:rPr>
                <w:rFonts w:ascii="Arial" w:hAnsi="Arial" w:cs="Arial"/>
                <w:spacing w:val="-1"/>
                <w:lang w:val="es-ES_tradnl"/>
              </w:rPr>
              <w:t>Seguro</w:t>
            </w:r>
            <w:r w:rsidRPr="00D848CE">
              <w:rPr>
                <w:rFonts w:ascii="Arial" w:hAnsi="Arial" w:cs="Arial"/>
                <w:spacing w:val="-3"/>
                <w:lang w:val="es-ES_tradnl"/>
              </w:rPr>
              <w:t xml:space="preserve"> </w:t>
            </w:r>
            <w:r w:rsidRPr="00D848CE">
              <w:rPr>
                <w:rFonts w:ascii="Arial" w:hAnsi="Arial" w:cs="Arial"/>
                <w:spacing w:val="1"/>
                <w:lang w:val="es-ES_tradnl"/>
              </w:rPr>
              <w:t>de</w:t>
            </w:r>
            <w:r w:rsidRPr="00D848CE">
              <w:rPr>
                <w:rFonts w:ascii="Arial" w:hAnsi="Arial" w:cs="Arial"/>
                <w:spacing w:val="-4"/>
                <w:lang w:val="es-ES_tradnl"/>
              </w:rPr>
              <w:t xml:space="preserve"> </w:t>
            </w:r>
            <w:r w:rsidRPr="00D848CE">
              <w:rPr>
                <w:rFonts w:ascii="Arial" w:hAnsi="Arial" w:cs="Arial"/>
                <w:spacing w:val="-1"/>
                <w:lang w:val="es-ES_tradnl"/>
              </w:rPr>
              <w:t>salud</w:t>
            </w:r>
          </w:p>
        </w:tc>
        <w:tc>
          <w:tcPr>
            <w:tcW w:w="1413" w:type="dxa"/>
            <w:tcBorders>
              <w:top w:val="single" w:sz="4" w:space="0" w:color="auto"/>
              <w:left w:val="single" w:sz="5" w:space="0" w:color="000000"/>
              <w:bottom w:val="single" w:sz="5" w:space="0" w:color="000000"/>
              <w:right w:val="single" w:sz="5" w:space="0" w:color="000000"/>
            </w:tcBorders>
          </w:tcPr>
          <w:p w14:paraId="5B1DA4FC" w14:textId="77777777" w:rsidR="00D44F3E" w:rsidRPr="00D848CE" w:rsidRDefault="00D44F3E" w:rsidP="00D13AD2">
            <w:pPr>
              <w:pStyle w:val="TableParagraph"/>
              <w:keepNext/>
              <w:keepLines/>
              <w:spacing w:before="120" w:after="120"/>
              <w:ind w:left="379" w:firstLine="137"/>
              <w:contextualSpacing/>
              <w:jc w:val="both"/>
              <w:rPr>
                <w:rFonts w:ascii="Arial" w:eastAsia="Times New Roman" w:hAnsi="Arial" w:cs="Arial"/>
                <w:lang w:val="es-ES_tradnl"/>
              </w:rPr>
            </w:pPr>
            <w:r w:rsidRPr="00D848CE">
              <w:rPr>
                <w:rFonts w:ascii="Arial" w:hAnsi="Arial" w:cs="Arial"/>
                <w:lang w:val="es-ES_tradnl"/>
              </w:rPr>
              <w:t>7,00</w:t>
            </w:r>
          </w:p>
        </w:tc>
      </w:tr>
      <w:tr w:rsidR="00D44F3E" w:rsidRPr="00D848CE" w14:paraId="0332E079" w14:textId="77777777" w:rsidTr="006979D8">
        <w:trPr>
          <w:trHeight w:hRule="exact" w:val="453"/>
        </w:trPr>
        <w:tc>
          <w:tcPr>
            <w:tcW w:w="4978" w:type="dxa"/>
            <w:tcBorders>
              <w:top w:val="single" w:sz="5" w:space="0" w:color="000000"/>
              <w:left w:val="single" w:sz="5" w:space="0" w:color="000000"/>
              <w:bottom w:val="single" w:sz="5" w:space="0" w:color="000000"/>
              <w:right w:val="single" w:sz="5" w:space="0" w:color="000000"/>
            </w:tcBorders>
          </w:tcPr>
          <w:p w14:paraId="4B23123C" w14:textId="77777777" w:rsidR="00D44F3E" w:rsidRPr="00D848CE" w:rsidRDefault="00D44F3E" w:rsidP="00D13AD2">
            <w:pPr>
              <w:pStyle w:val="TableParagraph"/>
              <w:keepNext/>
              <w:keepLines/>
              <w:spacing w:before="120" w:after="120"/>
              <w:ind w:left="102" w:firstLine="137"/>
              <w:contextualSpacing/>
              <w:jc w:val="both"/>
              <w:rPr>
                <w:rFonts w:ascii="Arial" w:eastAsia="Times New Roman" w:hAnsi="Arial" w:cs="Arial"/>
                <w:lang w:val="es-ES_tradnl"/>
              </w:rPr>
            </w:pPr>
            <w:r w:rsidRPr="00D848CE">
              <w:rPr>
                <w:rFonts w:ascii="Arial" w:hAnsi="Arial" w:cs="Arial"/>
                <w:spacing w:val="-1"/>
                <w:lang w:val="es-ES_tradnl"/>
              </w:rPr>
              <w:t>Fondo</w:t>
            </w:r>
            <w:r w:rsidRPr="00D848CE">
              <w:rPr>
                <w:rFonts w:ascii="Arial" w:hAnsi="Arial" w:cs="Arial"/>
                <w:spacing w:val="-4"/>
                <w:lang w:val="es-ES_tradnl"/>
              </w:rPr>
              <w:t xml:space="preserve"> </w:t>
            </w:r>
            <w:r w:rsidRPr="00D848CE">
              <w:rPr>
                <w:rFonts w:ascii="Arial" w:hAnsi="Arial" w:cs="Arial"/>
                <w:lang w:val="es-ES_tradnl"/>
              </w:rPr>
              <w:t>de</w:t>
            </w:r>
            <w:r w:rsidRPr="00D848CE">
              <w:rPr>
                <w:rFonts w:ascii="Arial" w:hAnsi="Arial" w:cs="Arial"/>
                <w:spacing w:val="-4"/>
                <w:lang w:val="es-ES_tradnl"/>
              </w:rPr>
              <w:t xml:space="preserve"> </w:t>
            </w:r>
            <w:r w:rsidRPr="00D848CE">
              <w:rPr>
                <w:rFonts w:ascii="Arial" w:hAnsi="Arial" w:cs="Arial"/>
                <w:lang w:val="es-ES_tradnl"/>
              </w:rPr>
              <w:t>pensiones</w:t>
            </w:r>
          </w:p>
        </w:tc>
        <w:tc>
          <w:tcPr>
            <w:tcW w:w="1413" w:type="dxa"/>
            <w:tcBorders>
              <w:top w:val="single" w:sz="5" w:space="0" w:color="000000"/>
              <w:left w:val="single" w:sz="5" w:space="0" w:color="000000"/>
              <w:bottom w:val="single" w:sz="5" w:space="0" w:color="000000"/>
              <w:right w:val="single" w:sz="5" w:space="0" w:color="000000"/>
            </w:tcBorders>
          </w:tcPr>
          <w:p w14:paraId="1B7F7186" w14:textId="77777777" w:rsidR="00D44F3E" w:rsidRPr="00D848CE" w:rsidRDefault="00D44F3E" w:rsidP="00D13AD2">
            <w:pPr>
              <w:pStyle w:val="TableParagraph"/>
              <w:keepNext/>
              <w:keepLines/>
              <w:spacing w:before="120" w:after="120"/>
              <w:ind w:left="379" w:firstLine="137"/>
              <w:contextualSpacing/>
              <w:jc w:val="both"/>
              <w:rPr>
                <w:rFonts w:ascii="Arial" w:eastAsia="Times New Roman" w:hAnsi="Arial" w:cs="Arial"/>
                <w:lang w:val="es-ES_tradnl"/>
              </w:rPr>
            </w:pPr>
            <w:r w:rsidRPr="00D848CE">
              <w:rPr>
                <w:rFonts w:ascii="Arial" w:hAnsi="Arial" w:cs="Arial"/>
                <w:lang w:val="es-ES_tradnl"/>
              </w:rPr>
              <w:t>7,12</w:t>
            </w:r>
          </w:p>
        </w:tc>
      </w:tr>
      <w:tr w:rsidR="00D44F3E" w:rsidRPr="00D848CE" w14:paraId="1EAE0B01" w14:textId="77777777" w:rsidTr="00E50744">
        <w:trPr>
          <w:trHeight w:hRule="exact" w:val="406"/>
        </w:trPr>
        <w:tc>
          <w:tcPr>
            <w:tcW w:w="4978" w:type="dxa"/>
            <w:tcBorders>
              <w:top w:val="single" w:sz="5" w:space="0" w:color="000000"/>
              <w:left w:val="single" w:sz="5" w:space="0" w:color="000000"/>
              <w:bottom w:val="single" w:sz="5" w:space="0" w:color="000000"/>
              <w:right w:val="single" w:sz="5" w:space="0" w:color="000000"/>
            </w:tcBorders>
          </w:tcPr>
          <w:p w14:paraId="51DA3DAD" w14:textId="77777777" w:rsidR="00D44F3E" w:rsidRPr="00D848CE" w:rsidRDefault="00D44F3E" w:rsidP="00D13AD2">
            <w:pPr>
              <w:pStyle w:val="TableParagraph"/>
              <w:keepNext/>
              <w:keepLines/>
              <w:spacing w:before="120" w:after="120"/>
              <w:ind w:left="102" w:firstLine="137"/>
              <w:contextualSpacing/>
              <w:jc w:val="both"/>
              <w:rPr>
                <w:rFonts w:ascii="Arial" w:eastAsia="Times New Roman" w:hAnsi="Arial" w:cs="Arial"/>
                <w:lang w:val="es-ES_tradnl"/>
              </w:rPr>
            </w:pPr>
            <w:r w:rsidRPr="00D848CE">
              <w:rPr>
                <w:rFonts w:ascii="Arial" w:hAnsi="Arial" w:cs="Arial"/>
                <w:spacing w:val="-1"/>
                <w:lang w:val="es-ES_tradnl"/>
              </w:rPr>
              <w:t>Riesgos</w:t>
            </w:r>
            <w:r w:rsidRPr="00D848CE">
              <w:rPr>
                <w:rFonts w:ascii="Arial" w:hAnsi="Arial" w:cs="Arial"/>
                <w:spacing w:val="-7"/>
                <w:lang w:val="es-ES_tradnl"/>
              </w:rPr>
              <w:t xml:space="preserve"> </w:t>
            </w:r>
            <w:r w:rsidRPr="00D848CE">
              <w:rPr>
                <w:rFonts w:ascii="Arial" w:hAnsi="Arial" w:cs="Arial"/>
                <w:spacing w:val="-1"/>
                <w:lang w:val="es-ES_tradnl"/>
              </w:rPr>
              <w:t>laborales</w:t>
            </w:r>
          </w:p>
        </w:tc>
        <w:tc>
          <w:tcPr>
            <w:tcW w:w="1413" w:type="dxa"/>
            <w:tcBorders>
              <w:top w:val="single" w:sz="5" w:space="0" w:color="000000"/>
              <w:left w:val="single" w:sz="5" w:space="0" w:color="000000"/>
              <w:bottom w:val="single" w:sz="5" w:space="0" w:color="000000"/>
              <w:right w:val="single" w:sz="5" w:space="0" w:color="000000"/>
            </w:tcBorders>
          </w:tcPr>
          <w:p w14:paraId="3C7CE6C6" w14:textId="77777777" w:rsidR="00D44F3E" w:rsidRPr="00D848CE" w:rsidRDefault="00D44F3E" w:rsidP="00D13AD2">
            <w:pPr>
              <w:pStyle w:val="TableParagraph"/>
              <w:keepNext/>
              <w:keepLines/>
              <w:spacing w:before="120" w:after="120"/>
              <w:ind w:left="379" w:firstLine="137"/>
              <w:contextualSpacing/>
              <w:jc w:val="both"/>
              <w:rPr>
                <w:rFonts w:ascii="Arial" w:eastAsia="Times New Roman" w:hAnsi="Arial" w:cs="Arial"/>
                <w:lang w:val="es-ES_tradnl"/>
              </w:rPr>
            </w:pPr>
            <w:r w:rsidRPr="00D848CE">
              <w:rPr>
                <w:rFonts w:ascii="Arial" w:hAnsi="Arial" w:cs="Arial"/>
                <w:lang w:val="es-ES_tradnl"/>
              </w:rPr>
              <w:t>1,25</w:t>
            </w:r>
          </w:p>
        </w:tc>
      </w:tr>
      <w:tr w:rsidR="00D44F3E" w:rsidRPr="00D848CE" w14:paraId="7483DEB9" w14:textId="77777777" w:rsidTr="00E50744">
        <w:trPr>
          <w:trHeight w:hRule="exact" w:val="406"/>
        </w:trPr>
        <w:tc>
          <w:tcPr>
            <w:tcW w:w="4978" w:type="dxa"/>
            <w:tcBorders>
              <w:top w:val="single" w:sz="5" w:space="0" w:color="000000"/>
              <w:left w:val="single" w:sz="5" w:space="0" w:color="000000"/>
              <w:bottom w:val="single" w:sz="5" w:space="0" w:color="000000"/>
              <w:right w:val="single" w:sz="5" w:space="0" w:color="000000"/>
            </w:tcBorders>
          </w:tcPr>
          <w:p w14:paraId="15E8ED5F" w14:textId="77777777" w:rsidR="00D44F3E" w:rsidRPr="00D848CE" w:rsidRDefault="00D44F3E" w:rsidP="00D13AD2">
            <w:pPr>
              <w:pStyle w:val="TableParagraph"/>
              <w:keepNext/>
              <w:keepLines/>
              <w:spacing w:before="120" w:after="120"/>
              <w:ind w:left="102" w:firstLine="137"/>
              <w:contextualSpacing/>
              <w:jc w:val="both"/>
              <w:rPr>
                <w:rFonts w:ascii="Arial" w:eastAsia="Times New Roman" w:hAnsi="Arial" w:cs="Arial"/>
                <w:lang w:val="es-ES_tradnl"/>
              </w:rPr>
            </w:pPr>
            <w:r w:rsidRPr="00D848CE">
              <w:rPr>
                <w:rFonts w:ascii="Arial" w:hAnsi="Arial" w:cs="Arial"/>
                <w:spacing w:val="-1"/>
                <w:lang w:val="es-ES_tradnl"/>
              </w:rPr>
              <w:t>INFOTEP</w:t>
            </w:r>
          </w:p>
        </w:tc>
        <w:tc>
          <w:tcPr>
            <w:tcW w:w="1413" w:type="dxa"/>
            <w:tcBorders>
              <w:top w:val="single" w:sz="5" w:space="0" w:color="000000"/>
              <w:left w:val="single" w:sz="5" w:space="0" w:color="000000"/>
              <w:bottom w:val="single" w:sz="5" w:space="0" w:color="000000"/>
              <w:right w:val="single" w:sz="5" w:space="0" w:color="000000"/>
            </w:tcBorders>
          </w:tcPr>
          <w:p w14:paraId="23E71E58" w14:textId="77777777" w:rsidR="00D44F3E" w:rsidRPr="00D848CE" w:rsidRDefault="00D44F3E" w:rsidP="00D13AD2">
            <w:pPr>
              <w:pStyle w:val="TableParagraph"/>
              <w:keepNext/>
              <w:keepLines/>
              <w:spacing w:before="120" w:after="120"/>
              <w:ind w:left="379" w:firstLine="137"/>
              <w:contextualSpacing/>
              <w:jc w:val="both"/>
              <w:rPr>
                <w:rFonts w:ascii="Arial" w:eastAsia="Times New Roman" w:hAnsi="Arial" w:cs="Arial"/>
                <w:lang w:val="es-ES_tradnl"/>
              </w:rPr>
            </w:pPr>
            <w:r w:rsidRPr="00D848CE">
              <w:rPr>
                <w:rFonts w:ascii="Arial" w:hAnsi="Arial" w:cs="Arial"/>
                <w:lang w:val="es-ES_tradnl"/>
              </w:rPr>
              <w:t>1,00</w:t>
            </w:r>
          </w:p>
        </w:tc>
      </w:tr>
      <w:tr w:rsidR="00D44F3E" w:rsidRPr="00D848CE" w14:paraId="1BC5F429" w14:textId="77777777" w:rsidTr="00E50744">
        <w:trPr>
          <w:trHeight w:hRule="exact" w:val="406"/>
        </w:trPr>
        <w:tc>
          <w:tcPr>
            <w:tcW w:w="4978" w:type="dxa"/>
            <w:tcBorders>
              <w:top w:val="single" w:sz="5" w:space="0" w:color="000000"/>
              <w:left w:val="single" w:sz="5" w:space="0" w:color="000000"/>
              <w:bottom w:val="single" w:sz="5" w:space="0" w:color="000000"/>
              <w:right w:val="single" w:sz="5" w:space="0" w:color="000000"/>
            </w:tcBorders>
          </w:tcPr>
          <w:p w14:paraId="0204475D" w14:textId="77777777" w:rsidR="00D44F3E" w:rsidRPr="00D848CE" w:rsidRDefault="00D44F3E" w:rsidP="00D13AD2">
            <w:pPr>
              <w:pStyle w:val="TableParagraph"/>
              <w:keepNext/>
              <w:keepLines/>
              <w:spacing w:before="120" w:after="120"/>
              <w:ind w:left="102" w:firstLine="137"/>
              <w:contextualSpacing/>
              <w:jc w:val="both"/>
              <w:rPr>
                <w:rFonts w:ascii="Arial" w:eastAsia="Times New Roman" w:hAnsi="Arial" w:cs="Arial"/>
                <w:lang w:val="es-ES_tradnl"/>
              </w:rPr>
            </w:pPr>
            <w:r w:rsidRPr="00D848CE">
              <w:rPr>
                <w:rFonts w:ascii="Arial" w:hAnsi="Arial" w:cs="Arial"/>
                <w:spacing w:val="-1"/>
                <w:lang w:val="es-ES_tradnl"/>
              </w:rPr>
              <w:t>Total</w:t>
            </w:r>
          </w:p>
        </w:tc>
        <w:tc>
          <w:tcPr>
            <w:tcW w:w="1413" w:type="dxa"/>
            <w:tcBorders>
              <w:top w:val="single" w:sz="5" w:space="0" w:color="000000"/>
              <w:left w:val="single" w:sz="5" w:space="0" w:color="000000"/>
              <w:bottom w:val="single" w:sz="5" w:space="0" w:color="000000"/>
              <w:right w:val="single" w:sz="5" w:space="0" w:color="000000"/>
            </w:tcBorders>
          </w:tcPr>
          <w:p w14:paraId="79325A7A" w14:textId="77777777" w:rsidR="00D44F3E" w:rsidRPr="00D848CE" w:rsidRDefault="00D44F3E" w:rsidP="00D13AD2">
            <w:pPr>
              <w:pStyle w:val="TableParagraph"/>
              <w:keepNext/>
              <w:keepLines/>
              <w:spacing w:before="120" w:after="120"/>
              <w:ind w:left="379" w:firstLine="137"/>
              <w:contextualSpacing/>
              <w:jc w:val="both"/>
              <w:rPr>
                <w:rFonts w:ascii="Arial" w:eastAsia="Times New Roman" w:hAnsi="Arial" w:cs="Arial"/>
                <w:lang w:val="es-ES_tradnl"/>
              </w:rPr>
            </w:pPr>
            <w:r w:rsidRPr="00D848CE">
              <w:rPr>
                <w:rFonts w:ascii="Arial" w:hAnsi="Arial" w:cs="Arial"/>
                <w:lang w:val="es-ES_tradnl"/>
              </w:rPr>
              <w:t>16,37</w:t>
            </w:r>
          </w:p>
        </w:tc>
      </w:tr>
      <w:tr w:rsidR="00D44F3E" w:rsidRPr="00D848CE" w14:paraId="6596954E" w14:textId="77777777" w:rsidTr="00E50744">
        <w:trPr>
          <w:trHeight w:hRule="exact" w:val="408"/>
        </w:trPr>
        <w:tc>
          <w:tcPr>
            <w:tcW w:w="4978" w:type="dxa"/>
            <w:tcBorders>
              <w:top w:val="single" w:sz="5" w:space="0" w:color="000000"/>
              <w:left w:val="single" w:sz="5" w:space="0" w:color="000000"/>
              <w:bottom w:val="single" w:sz="5" w:space="0" w:color="000000"/>
              <w:right w:val="single" w:sz="5" w:space="0" w:color="000000"/>
            </w:tcBorders>
          </w:tcPr>
          <w:p w14:paraId="14347A6D" w14:textId="77777777" w:rsidR="00D44F3E" w:rsidRPr="00D848CE" w:rsidRDefault="00D44F3E" w:rsidP="00D13AD2">
            <w:pPr>
              <w:pStyle w:val="TableParagraph"/>
              <w:keepNext/>
              <w:keepLines/>
              <w:spacing w:before="120" w:after="120"/>
              <w:ind w:left="102" w:firstLine="137"/>
              <w:contextualSpacing/>
              <w:jc w:val="both"/>
              <w:rPr>
                <w:rFonts w:ascii="Arial" w:eastAsia="Times New Roman" w:hAnsi="Arial" w:cs="Arial"/>
                <w:lang w:val="es-ES_tradnl"/>
              </w:rPr>
            </w:pPr>
            <w:r w:rsidRPr="00D848CE">
              <w:rPr>
                <w:rFonts w:ascii="Arial" w:hAnsi="Arial" w:cs="Arial"/>
                <w:b/>
                <w:spacing w:val="-1"/>
                <w:lang w:val="es-ES_tradnl"/>
              </w:rPr>
              <w:t>Factor</w:t>
            </w:r>
            <w:r w:rsidRPr="00D848CE">
              <w:rPr>
                <w:rFonts w:ascii="Arial" w:hAnsi="Arial" w:cs="Arial"/>
                <w:b/>
                <w:spacing w:val="-7"/>
                <w:lang w:val="es-ES_tradnl"/>
              </w:rPr>
              <w:t xml:space="preserve"> </w:t>
            </w:r>
            <w:r w:rsidRPr="00D848CE">
              <w:rPr>
                <w:rFonts w:ascii="Arial" w:hAnsi="Arial" w:cs="Arial"/>
                <w:b/>
                <w:lang w:val="es-ES_tradnl"/>
              </w:rPr>
              <w:t>de</w:t>
            </w:r>
            <w:r w:rsidRPr="00D848CE">
              <w:rPr>
                <w:rFonts w:ascii="Arial" w:hAnsi="Arial" w:cs="Arial"/>
                <w:b/>
                <w:spacing w:val="-7"/>
                <w:lang w:val="es-ES_tradnl"/>
              </w:rPr>
              <w:t xml:space="preserve"> </w:t>
            </w:r>
            <w:r w:rsidRPr="00D848CE">
              <w:rPr>
                <w:rFonts w:ascii="Arial" w:hAnsi="Arial" w:cs="Arial"/>
                <w:b/>
                <w:spacing w:val="-1"/>
                <w:lang w:val="es-ES_tradnl"/>
              </w:rPr>
              <w:t>Conversión</w:t>
            </w:r>
          </w:p>
        </w:tc>
        <w:tc>
          <w:tcPr>
            <w:tcW w:w="1413" w:type="dxa"/>
            <w:tcBorders>
              <w:top w:val="single" w:sz="5" w:space="0" w:color="000000"/>
              <w:left w:val="single" w:sz="5" w:space="0" w:color="000000"/>
              <w:bottom w:val="single" w:sz="5" w:space="0" w:color="000000"/>
              <w:right w:val="single" w:sz="5" w:space="0" w:color="000000"/>
            </w:tcBorders>
          </w:tcPr>
          <w:p w14:paraId="3C495D8C" w14:textId="77777777" w:rsidR="00D44F3E" w:rsidRPr="00D848CE" w:rsidRDefault="00D44F3E" w:rsidP="00D13AD2">
            <w:pPr>
              <w:pStyle w:val="TableParagraph"/>
              <w:keepNext/>
              <w:keepLines/>
              <w:spacing w:before="120" w:after="120"/>
              <w:ind w:left="379" w:firstLine="137"/>
              <w:contextualSpacing/>
              <w:jc w:val="both"/>
              <w:rPr>
                <w:rFonts w:ascii="Arial" w:eastAsia="Times New Roman" w:hAnsi="Arial" w:cs="Arial"/>
                <w:lang w:val="es-ES_tradnl"/>
              </w:rPr>
            </w:pPr>
            <w:r w:rsidRPr="00D848CE">
              <w:rPr>
                <w:rFonts w:ascii="Arial" w:hAnsi="Arial" w:cs="Arial"/>
                <w:b/>
                <w:lang w:val="es-ES_tradnl"/>
              </w:rPr>
              <w:t>0,859</w:t>
            </w:r>
          </w:p>
        </w:tc>
      </w:tr>
      <w:tr w:rsidR="00D44F3E" w:rsidRPr="00D848CE" w14:paraId="344231AA" w14:textId="77777777" w:rsidTr="00E50744">
        <w:trPr>
          <w:trHeight w:hRule="exact" w:val="438"/>
        </w:trPr>
        <w:tc>
          <w:tcPr>
            <w:tcW w:w="6391" w:type="dxa"/>
            <w:gridSpan w:val="2"/>
            <w:tcBorders>
              <w:top w:val="single" w:sz="5" w:space="0" w:color="000000"/>
              <w:left w:val="single" w:sz="5" w:space="0" w:color="000000"/>
              <w:bottom w:val="single" w:sz="5" w:space="0" w:color="000000"/>
              <w:right w:val="single" w:sz="5" w:space="0" w:color="000000"/>
            </w:tcBorders>
          </w:tcPr>
          <w:p w14:paraId="5CEABC2F" w14:textId="77777777" w:rsidR="00D44F3E" w:rsidRPr="00D848CE" w:rsidRDefault="00D44F3E" w:rsidP="00D13AD2">
            <w:pPr>
              <w:pStyle w:val="TableParagraph"/>
              <w:keepNext/>
              <w:keepLines/>
              <w:spacing w:before="120" w:after="120"/>
              <w:ind w:left="180"/>
              <w:contextualSpacing/>
              <w:jc w:val="both"/>
              <w:rPr>
                <w:rFonts w:ascii="Arial" w:hAnsi="Arial" w:cs="Arial"/>
                <w:b/>
                <w:lang w:val="es-ES_tradnl"/>
              </w:rPr>
            </w:pPr>
            <w:r w:rsidRPr="00D848CE">
              <w:rPr>
                <w:rFonts w:ascii="Arial" w:hAnsi="Arial" w:cs="Arial"/>
                <w:i/>
                <w:lang w:val="es-ES_tradnl"/>
              </w:rPr>
              <w:t>Fuente:</w:t>
            </w:r>
            <w:r w:rsidRPr="00D848CE">
              <w:rPr>
                <w:rFonts w:ascii="Arial" w:hAnsi="Arial" w:cs="Arial"/>
                <w:i/>
                <w:spacing w:val="-7"/>
                <w:lang w:val="es-ES_tradnl"/>
              </w:rPr>
              <w:t xml:space="preserve"> </w:t>
            </w:r>
            <w:r w:rsidRPr="00D848CE">
              <w:rPr>
                <w:rFonts w:ascii="Arial" w:hAnsi="Arial" w:cs="Arial"/>
                <w:i/>
                <w:spacing w:val="-1"/>
                <w:lang w:val="es-ES_tradnl"/>
              </w:rPr>
              <w:t>Dirección</w:t>
            </w:r>
            <w:r w:rsidRPr="00D848CE">
              <w:rPr>
                <w:rFonts w:ascii="Arial" w:hAnsi="Arial" w:cs="Arial"/>
                <w:i/>
                <w:spacing w:val="-6"/>
                <w:lang w:val="es-ES_tradnl"/>
              </w:rPr>
              <w:t xml:space="preserve"> </w:t>
            </w:r>
            <w:r w:rsidRPr="00D848CE">
              <w:rPr>
                <w:rFonts w:ascii="Arial" w:hAnsi="Arial" w:cs="Arial"/>
                <w:i/>
                <w:lang w:val="es-ES_tradnl"/>
              </w:rPr>
              <w:t>General</w:t>
            </w:r>
            <w:r w:rsidRPr="00D848CE">
              <w:rPr>
                <w:rFonts w:ascii="Arial" w:hAnsi="Arial" w:cs="Arial"/>
                <w:i/>
                <w:spacing w:val="-8"/>
                <w:lang w:val="es-ES_tradnl"/>
              </w:rPr>
              <w:t xml:space="preserve"> </w:t>
            </w:r>
            <w:r w:rsidRPr="00D848CE">
              <w:rPr>
                <w:rFonts w:ascii="Arial" w:hAnsi="Arial" w:cs="Arial"/>
                <w:i/>
                <w:lang w:val="es-ES_tradnl"/>
              </w:rPr>
              <w:t>de</w:t>
            </w:r>
            <w:r w:rsidRPr="00D848CE">
              <w:rPr>
                <w:rFonts w:ascii="Arial" w:hAnsi="Arial" w:cs="Arial"/>
                <w:i/>
                <w:spacing w:val="-8"/>
                <w:lang w:val="es-ES_tradnl"/>
              </w:rPr>
              <w:t xml:space="preserve"> </w:t>
            </w:r>
            <w:r w:rsidRPr="00D848CE">
              <w:rPr>
                <w:rFonts w:ascii="Arial" w:hAnsi="Arial" w:cs="Arial"/>
                <w:i/>
                <w:lang w:val="es-ES_tradnl"/>
              </w:rPr>
              <w:t>Impuestos</w:t>
            </w:r>
            <w:r w:rsidRPr="00D848CE">
              <w:rPr>
                <w:rFonts w:ascii="Arial" w:hAnsi="Arial" w:cs="Arial"/>
                <w:i/>
                <w:spacing w:val="-9"/>
                <w:lang w:val="es-ES_tradnl"/>
              </w:rPr>
              <w:t xml:space="preserve"> </w:t>
            </w:r>
            <w:r w:rsidRPr="00D848CE">
              <w:rPr>
                <w:rFonts w:ascii="Arial" w:hAnsi="Arial" w:cs="Arial"/>
                <w:i/>
                <w:lang w:val="es-ES_tradnl"/>
              </w:rPr>
              <w:t>Internos</w:t>
            </w:r>
            <w:r w:rsidRPr="00D848CE">
              <w:rPr>
                <w:rFonts w:ascii="Arial" w:hAnsi="Arial" w:cs="Arial"/>
                <w:i/>
                <w:spacing w:val="-8"/>
                <w:lang w:val="es-ES_tradnl"/>
              </w:rPr>
              <w:t xml:space="preserve"> </w:t>
            </w:r>
            <w:r w:rsidRPr="00D848CE">
              <w:rPr>
                <w:rFonts w:ascii="Arial" w:hAnsi="Arial" w:cs="Arial"/>
                <w:i/>
                <w:lang w:val="es-ES_tradnl"/>
              </w:rPr>
              <w:t>de</w:t>
            </w:r>
            <w:r w:rsidRPr="00D848CE">
              <w:rPr>
                <w:rFonts w:ascii="Arial" w:hAnsi="Arial" w:cs="Arial"/>
                <w:i/>
                <w:spacing w:val="-7"/>
                <w:lang w:val="es-ES_tradnl"/>
              </w:rPr>
              <w:t xml:space="preserve"> </w:t>
            </w:r>
            <w:r w:rsidRPr="00D848CE">
              <w:rPr>
                <w:rFonts w:ascii="Arial" w:hAnsi="Arial" w:cs="Arial"/>
                <w:i/>
                <w:spacing w:val="-1"/>
                <w:lang w:val="es-ES_tradnl"/>
              </w:rPr>
              <w:t>Republica</w:t>
            </w:r>
            <w:r w:rsidRPr="00D848CE">
              <w:rPr>
                <w:rFonts w:ascii="Arial" w:hAnsi="Arial" w:cs="Arial"/>
                <w:i/>
                <w:spacing w:val="-6"/>
                <w:lang w:val="es-ES_tradnl"/>
              </w:rPr>
              <w:t xml:space="preserve"> </w:t>
            </w:r>
            <w:r w:rsidRPr="00D848CE">
              <w:rPr>
                <w:rFonts w:ascii="Arial" w:hAnsi="Arial" w:cs="Arial"/>
                <w:i/>
                <w:lang w:val="es-ES_tradnl"/>
              </w:rPr>
              <w:t>Dominicana.</w:t>
            </w:r>
          </w:p>
        </w:tc>
      </w:tr>
    </w:tbl>
    <w:p w14:paraId="6A781162" w14:textId="77777777" w:rsidR="00D44F3E" w:rsidRPr="00D848CE" w:rsidRDefault="00D44F3E" w:rsidP="00D13AD2">
      <w:pPr>
        <w:pStyle w:val="BodyText"/>
        <w:spacing w:before="120" w:after="120"/>
        <w:ind w:right="119"/>
        <w:jc w:val="both"/>
        <w:rPr>
          <w:rFonts w:ascii="Arial" w:hAnsi="Arial" w:cs="Arial"/>
          <w:spacing w:val="-1"/>
          <w:sz w:val="22"/>
          <w:szCs w:val="22"/>
          <w:u w:color="000000"/>
          <w:lang w:val="es-ES_tradnl"/>
        </w:rPr>
      </w:pPr>
    </w:p>
    <w:p w14:paraId="1B3FD982" w14:textId="77777777" w:rsidR="00D44F3E" w:rsidRPr="00D848CE" w:rsidRDefault="00D44F3E" w:rsidP="00BE3276">
      <w:pPr>
        <w:pStyle w:val="Paragraph"/>
        <w:numPr>
          <w:ilvl w:val="0"/>
          <w:numId w:val="4"/>
        </w:numPr>
        <w:ind w:left="630" w:hanging="4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A lo anterior se aplica el factor de conversión estándar para conservar el numerario del análisis, con lo cual:</w:t>
      </w:r>
    </w:p>
    <w:p w14:paraId="7B882232"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FCMOC = 0,859 * 0,870 = 0,747</w:t>
      </w:r>
    </w:p>
    <w:p w14:paraId="3094CD6E" w14:textId="77777777" w:rsidR="00D44F3E" w:rsidRPr="00D848CE" w:rsidRDefault="00D44F3E" w:rsidP="00BE3276">
      <w:pPr>
        <w:pStyle w:val="Paragraph"/>
        <w:numPr>
          <w:ilvl w:val="0"/>
          <w:numId w:val="4"/>
        </w:numPr>
        <w:ind w:left="630" w:hanging="4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Mano de obra no calificada: se adopta el mismo criterio que para el caso de mano de obra calificada, al excluirse aquellos conceptos de las remuneraciones que son efectivamente transferencias. En adición</w:t>
      </w:r>
      <w:r w:rsidR="00A21C34" w:rsidRPr="00D848CE">
        <w:rPr>
          <w:rFonts w:ascii="Arial" w:hAnsi="Arial" w:cs="Arial"/>
          <w:spacing w:val="-1"/>
          <w:sz w:val="22"/>
          <w:szCs w:val="22"/>
          <w:u w:color="000000"/>
          <w:lang w:val="es-ES_tradnl"/>
        </w:rPr>
        <w:t>,</w:t>
      </w:r>
      <w:r w:rsidRPr="00D848CE">
        <w:rPr>
          <w:rFonts w:ascii="Arial" w:hAnsi="Arial" w:cs="Arial"/>
          <w:spacing w:val="-1"/>
          <w:sz w:val="22"/>
          <w:szCs w:val="22"/>
          <w:u w:color="000000"/>
          <w:lang w:val="es-ES_tradnl"/>
        </w:rPr>
        <w:t xml:space="preserve"> se descuenta un factor asociado a la tasa de desempleo de este tipo de mano de obra, según la siguiente fórmula</w:t>
      </w:r>
      <w:r w:rsidRPr="00D848CE">
        <w:rPr>
          <w:rStyle w:val="FootnoteReference"/>
          <w:rFonts w:ascii="Arial" w:hAnsi="Arial" w:cs="Arial"/>
          <w:spacing w:val="-1"/>
          <w:sz w:val="22"/>
          <w:szCs w:val="22"/>
          <w:u w:color="000000"/>
          <w:lang w:val="es-ES_tradnl"/>
        </w:rPr>
        <w:footnoteReference w:id="59"/>
      </w:r>
      <w:r w:rsidRPr="00D848CE">
        <w:rPr>
          <w:rFonts w:ascii="Arial" w:hAnsi="Arial" w:cs="Arial"/>
          <w:spacing w:val="-1"/>
          <w:sz w:val="22"/>
          <w:szCs w:val="22"/>
          <w:u w:color="000000"/>
          <w:lang w:val="es-ES_tradnl"/>
        </w:rPr>
        <w:t>:</w:t>
      </w:r>
    </w:p>
    <w:p w14:paraId="5799B2C7"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FCMONC = W * FCMOC * (1 - U) = 1.0 * 0,747 * (1- 0,058) = 0,703</w:t>
      </w:r>
    </w:p>
    <w:p w14:paraId="3E6C5083"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es-ES_tradnl"/>
        </w:rPr>
      </w:pPr>
      <w:bookmarkStart w:id="17" w:name="_bookmark1"/>
      <w:bookmarkEnd w:id="17"/>
      <w:r w:rsidRPr="00D848CE">
        <w:rPr>
          <w:rFonts w:ascii="Arial" w:hAnsi="Arial" w:cs="Arial"/>
          <w:spacing w:val="-1"/>
          <w:sz w:val="22"/>
          <w:szCs w:val="22"/>
          <w:u w:color="000000"/>
          <w:lang w:val="es-ES_tradnl"/>
        </w:rPr>
        <w:t>Donde:</w:t>
      </w:r>
    </w:p>
    <w:p w14:paraId="5C5991B9"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FCMONC: factor de conversión de la mano de obra no calificada</w:t>
      </w:r>
    </w:p>
    <w:p w14:paraId="733841C4"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W: es el salario costo empresa (índice 1.0)</w:t>
      </w:r>
    </w:p>
    <w:p w14:paraId="503FFB0E"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FCMOC: factor de conversión de la mano de obra calificada</w:t>
      </w:r>
    </w:p>
    <w:p w14:paraId="418F35DB" w14:textId="77777777" w:rsidR="00D44F3E" w:rsidRPr="00D848CE" w:rsidRDefault="00D44F3E" w:rsidP="00D13AD2">
      <w:pPr>
        <w:pStyle w:val="Paragraph"/>
        <w:numPr>
          <w:ilvl w:val="0"/>
          <w:numId w:val="0"/>
        </w:numPr>
        <w:ind w:left="1350"/>
        <w:outlineLvl w:val="9"/>
        <w:rPr>
          <w:rFonts w:ascii="Arial" w:hAnsi="Arial" w:cs="Arial"/>
          <w:spacing w:val="-1"/>
          <w:sz w:val="22"/>
          <w:szCs w:val="22"/>
          <w:u w:color="000000"/>
          <w:lang w:val="es-ES_tradnl"/>
        </w:rPr>
      </w:pPr>
      <w:r w:rsidRPr="00D848CE">
        <w:rPr>
          <w:rFonts w:ascii="Arial" w:hAnsi="Arial" w:cs="Arial"/>
          <w:spacing w:val="-1"/>
          <w:sz w:val="22"/>
          <w:szCs w:val="22"/>
          <w:u w:color="000000"/>
          <w:lang w:val="es-ES_tradnl"/>
        </w:rPr>
        <w:t>U: tasa de desempleo abierta.</w:t>
      </w:r>
    </w:p>
    <w:p w14:paraId="2E11F05F" w14:textId="77777777" w:rsidR="00D44F3E" w:rsidRPr="00D848CE" w:rsidRDefault="00D44F3E" w:rsidP="00BE3276">
      <w:pPr>
        <w:pStyle w:val="Paragraph"/>
        <w:numPr>
          <w:ilvl w:val="1"/>
          <w:numId w:val="3"/>
        </w:numPr>
        <w:ind w:left="188" w:hanging="634"/>
        <w:outlineLvl w:val="9"/>
        <w:rPr>
          <w:rFonts w:ascii="Arial" w:hAnsi="Arial" w:cs="Arial"/>
          <w:sz w:val="22"/>
          <w:szCs w:val="22"/>
          <w:lang w:val="es-ES_tradnl"/>
        </w:rPr>
      </w:pPr>
      <w:r w:rsidRPr="00D848CE">
        <w:rPr>
          <w:rFonts w:ascii="Arial" w:hAnsi="Arial" w:cs="Arial"/>
          <w:spacing w:val="-1"/>
          <w:sz w:val="22"/>
          <w:szCs w:val="22"/>
          <w:lang w:val="es-ES_tradnl"/>
        </w:rPr>
        <w:t>Tomando</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en</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cuenta</w:t>
      </w:r>
      <w:r w:rsidRPr="00D848CE">
        <w:rPr>
          <w:rFonts w:ascii="Arial" w:hAnsi="Arial" w:cs="Arial"/>
          <w:spacing w:val="39"/>
          <w:sz w:val="22"/>
          <w:szCs w:val="22"/>
          <w:lang w:val="es-ES_tradnl"/>
        </w:rPr>
        <w:t xml:space="preserve"> </w:t>
      </w:r>
      <w:r w:rsidRPr="00D848CE">
        <w:rPr>
          <w:rFonts w:ascii="Arial" w:hAnsi="Arial" w:cs="Arial"/>
          <w:sz w:val="22"/>
          <w:szCs w:val="22"/>
          <w:lang w:val="es-ES_tradnl"/>
        </w:rPr>
        <w:t>la</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composición</w:t>
      </w:r>
      <w:r w:rsidRPr="00D848CE">
        <w:rPr>
          <w:rFonts w:ascii="Arial" w:hAnsi="Arial" w:cs="Arial"/>
          <w:spacing w:val="40"/>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costos</w:t>
      </w:r>
      <w:r w:rsidRPr="00D848CE">
        <w:rPr>
          <w:rFonts w:ascii="Arial" w:hAnsi="Arial" w:cs="Arial"/>
          <w:spacing w:val="38"/>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cada</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categoría</w:t>
      </w:r>
      <w:r w:rsidRPr="00D848CE">
        <w:rPr>
          <w:rFonts w:ascii="Arial" w:hAnsi="Arial" w:cs="Arial"/>
          <w:spacing w:val="38"/>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39"/>
          <w:sz w:val="22"/>
          <w:szCs w:val="22"/>
          <w:lang w:val="es-ES_tradnl"/>
        </w:rPr>
        <w:t xml:space="preserve"> </w:t>
      </w:r>
      <w:r w:rsidRPr="00D848CE">
        <w:rPr>
          <w:rFonts w:ascii="Arial" w:hAnsi="Arial" w:cs="Arial"/>
          <w:sz w:val="22"/>
          <w:szCs w:val="22"/>
          <w:lang w:val="es-ES_tradnl"/>
        </w:rPr>
        <w:t>gasto</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(ver</w:t>
      </w:r>
      <w:r w:rsidRPr="00D848CE">
        <w:rPr>
          <w:rFonts w:ascii="Arial" w:hAnsi="Arial" w:cs="Arial"/>
          <w:spacing w:val="39"/>
          <w:sz w:val="22"/>
          <w:szCs w:val="22"/>
          <w:lang w:val="es-ES_tradnl"/>
        </w:rPr>
        <w:t xml:space="preserve"> </w:t>
      </w:r>
      <w:r w:rsidRPr="00D848CE">
        <w:rPr>
          <w:rFonts w:ascii="Arial" w:hAnsi="Arial" w:cs="Arial"/>
          <w:spacing w:val="-1"/>
          <w:sz w:val="22"/>
          <w:szCs w:val="22"/>
          <w:lang w:val="es-ES_tradnl"/>
        </w:rPr>
        <w:t>Cuadro</w:t>
      </w:r>
      <w:r w:rsidRPr="00D848CE">
        <w:rPr>
          <w:rFonts w:ascii="Arial" w:hAnsi="Arial" w:cs="Arial"/>
          <w:spacing w:val="40"/>
          <w:sz w:val="22"/>
          <w:szCs w:val="22"/>
          <w:lang w:val="es-ES_tradnl"/>
        </w:rPr>
        <w:t xml:space="preserve"> </w:t>
      </w:r>
      <w:r w:rsidRPr="00D848CE">
        <w:rPr>
          <w:rFonts w:ascii="Arial" w:hAnsi="Arial" w:cs="Arial"/>
          <w:spacing w:val="-1"/>
          <w:sz w:val="22"/>
          <w:szCs w:val="22"/>
          <w:lang w:val="es-ES_tradnl"/>
        </w:rPr>
        <w:t>5),</w:t>
      </w:r>
      <w:r w:rsidRPr="00D848CE">
        <w:rPr>
          <w:rFonts w:ascii="Arial" w:hAnsi="Arial" w:cs="Arial"/>
          <w:spacing w:val="40"/>
          <w:sz w:val="22"/>
          <w:szCs w:val="22"/>
          <w:lang w:val="es-ES_tradnl"/>
        </w:rPr>
        <w:t xml:space="preserve"> </w:t>
      </w:r>
      <w:r w:rsidRPr="00D848CE">
        <w:rPr>
          <w:rFonts w:ascii="Arial" w:hAnsi="Arial" w:cs="Arial"/>
          <w:sz w:val="22"/>
          <w:szCs w:val="22"/>
          <w:lang w:val="es-ES_tradnl"/>
        </w:rPr>
        <w:t>se</w:t>
      </w:r>
      <w:r w:rsidRPr="00D848CE">
        <w:rPr>
          <w:rFonts w:ascii="Arial" w:hAnsi="Arial" w:cs="Arial"/>
          <w:spacing w:val="83"/>
          <w:w w:val="99"/>
          <w:sz w:val="22"/>
          <w:szCs w:val="22"/>
          <w:lang w:val="es-ES_tradnl"/>
        </w:rPr>
        <w:t xml:space="preserve"> </w:t>
      </w:r>
      <w:r w:rsidRPr="00D848CE">
        <w:rPr>
          <w:rFonts w:ascii="Arial" w:hAnsi="Arial" w:cs="Arial"/>
          <w:spacing w:val="-1"/>
          <w:sz w:val="22"/>
          <w:szCs w:val="22"/>
          <w:lang w:val="es-ES_tradnl"/>
        </w:rPr>
        <w:t>obtiene</w:t>
      </w:r>
      <w:r w:rsidRPr="00D848CE">
        <w:rPr>
          <w:rFonts w:ascii="Arial" w:hAnsi="Arial" w:cs="Arial"/>
          <w:spacing w:val="56"/>
          <w:sz w:val="22"/>
          <w:szCs w:val="22"/>
          <w:lang w:val="es-ES_tradnl"/>
        </w:rPr>
        <w:t xml:space="preserve"> </w:t>
      </w:r>
      <w:r w:rsidRPr="00D848CE">
        <w:rPr>
          <w:rFonts w:ascii="Arial" w:hAnsi="Arial" w:cs="Arial"/>
          <w:sz w:val="22"/>
          <w:szCs w:val="22"/>
          <w:lang w:val="es-ES_tradnl"/>
        </w:rPr>
        <w:t>que</w:t>
      </w:r>
      <w:r w:rsidRPr="00D848CE">
        <w:rPr>
          <w:rFonts w:ascii="Arial" w:hAnsi="Arial" w:cs="Arial"/>
          <w:spacing w:val="57"/>
          <w:sz w:val="22"/>
          <w:szCs w:val="22"/>
          <w:lang w:val="es-ES_tradnl"/>
        </w:rPr>
        <w:t xml:space="preserve"> </w:t>
      </w:r>
      <w:r w:rsidRPr="00D848CE">
        <w:rPr>
          <w:rFonts w:ascii="Arial" w:hAnsi="Arial" w:cs="Arial"/>
          <w:sz w:val="22"/>
          <w:szCs w:val="22"/>
          <w:lang w:val="es-ES_tradnl"/>
        </w:rPr>
        <w:t>la</w:t>
      </w:r>
      <w:r w:rsidRPr="00D848CE">
        <w:rPr>
          <w:rFonts w:ascii="Arial" w:hAnsi="Arial" w:cs="Arial"/>
          <w:spacing w:val="56"/>
          <w:sz w:val="22"/>
          <w:szCs w:val="22"/>
          <w:lang w:val="es-ES_tradnl"/>
        </w:rPr>
        <w:t xml:space="preserve"> </w:t>
      </w:r>
      <w:r w:rsidRPr="00D848CE">
        <w:rPr>
          <w:rFonts w:ascii="Arial" w:hAnsi="Arial" w:cs="Arial"/>
          <w:spacing w:val="-1"/>
          <w:sz w:val="22"/>
          <w:szCs w:val="22"/>
          <w:lang w:val="es-ES_tradnl"/>
        </w:rPr>
        <w:t>aplicación</w:t>
      </w:r>
      <w:r w:rsidRPr="00D848CE">
        <w:rPr>
          <w:rFonts w:ascii="Arial" w:hAnsi="Arial" w:cs="Arial"/>
          <w:spacing w:val="57"/>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57"/>
          <w:sz w:val="22"/>
          <w:szCs w:val="22"/>
          <w:lang w:val="es-ES_tradnl"/>
        </w:rPr>
        <w:t xml:space="preserve"> </w:t>
      </w:r>
      <w:r w:rsidRPr="00D848CE">
        <w:rPr>
          <w:rFonts w:ascii="Arial" w:hAnsi="Arial" w:cs="Arial"/>
          <w:sz w:val="22"/>
          <w:szCs w:val="22"/>
          <w:lang w:val="es-ES_tradnl"/>
        </w:rPr>
        <w:t>los</w:t>
      </w:r>
      <w:r w:rsidRPr="00D848CE">
        <w:rPr>
          <w:rFonts w:ascii="Arial" w:hAnsi="Arial" w:cs="Arial"/>
          <w:spacing w:val="57"/>
          <w:sz w:val="22"/>
          <w:szCs w:val="22"/>
          <w:lang w:val="es-ES_tradnl"/>
        </w:rPr>
        <w:t xml:space="preserve"> </w:t>
      </w:r>
      <w:r w:rsidRPr="00D848CE">
        <w:rPr>
          <w:rFonts w:ascii="Arial" w:hAnsi="Arial" w:cs="Arial"/>
          <w:spacing w:val="-1"/>
          <w:sz w:val="22"/>
          <w:szCs w:val="22"/>
          <w:lang w:val="es-ES_tradnl"/>
        </w:rPr>
        <w:t>factores</w:t>
      </w:r>
      <w:r w:rsidRPr="00D848CE">
        <w:rPr>
          <w:rFonts w:ascii="Arial" w:hAnsi="Arial" w:cs="Arial"/>
          <w:spacing w:val="58"/>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58"/>
          <w:sz w:val="22"/>
          <w:szCs w:val="22"/>
          <w:lang w:val="es-ES_tradnl"/>
        </w:rPr>
        <w:t xml:space="preserve"> </w:t>
      </w:r>
      <w:r w:rsidRPr="00D848CE">
        <w:rPr>
          <w:rFonts w:ascii="Arial" w:hAnsi="Arial" w:cs="Arial"/>
          <w:spacing w:val="-1"/>
          <w:sz w:val="22"/>
          <w:szCs w:val="22"/>
          <w:lang w:val="es-ES_tradnl"/>
        </w:rPr>
        <w:t>conversión</w:t>
      </w:r>
      <w:r w:rsidRPr="00D848CE">
        <w:rPr>
          <w:rFonts w:ascii="Arial" w:hAnsi="Arial" w:cs="Arial"/>
          <w:spacing w:val="58"/>
          <w:sz w:val="22"/>
          <w:szCs w:val="22"/>
          <w:lang w:val="es-ES_tradnl"/>
        </w:rPr>
        <w:t xml:space="preserve"> </w:t>
      </w:r>
      <w:r w:rsidRPr="00D848CE">
        <w:rPr>
          <w:rFonts w:ascii="Arial" w:hAnsi="Arial" w:cs="Arial"/>
          <w:sz w:val="22"/>
          <w:szCs w:val="22"/>
          <w:lang w:val="es-ES_tradnl"/>
        </w:rPr>
        <w:t>para</w:t>
      </w:r>
      <w:r w:rsidRPr="00D848CE">
        <w:rPr>
          <w:rFonts w:ascii="Arial" w:hAnsi="Arial" w:cs="Arial"/>
          <w:spacing w:val="56"/>
          <w:sz w:val="22"/>
          <w:szCs w:val="22"/>
          <w:lang w:val="es-ES_tradnl"/>
        </w:rPr>
        <w:t xml:space="preserve"> </w:t>
      </w:r>
      <w:r w:rsidRPr="00D848CE">
        <w:rPr>
          <w:rFonts w:ascii="Arial" w:hAnsi="Arial" w:cs="Arial"/>
          <w:spacing w:val="-1"/>
          <w:sz w:val="22"/>
          <w:szCs w:val="22"/>
          <w:lang w:val="es-ES_tradnl"/>
        </w:rPr>
        <w:t>eliminar</w:t>
      </w:r>
      <w:r w:rsidRPr="00D848CE">
        <w:rPr>
          <w:rFonts w:ascii="Arial" w:hAnsi="Arial" w:cs="Arial"/>
          <w:sz w:val="22"/>
          <w:szCs w:val="22"/>
          <w:lang w:val="es-ES_tradnl"/>
        </w:rPr>
        <w:t xml:space="preserve"> impuestos</w:t>
      </w:r>
      <w:r w:rsidRPr="00D848CE">
        <w:rPr>
          <w:rFonts w:ascii="Arial" w:hAnsi="Arial" w:cs="Arial"/>
          <w:spacing w:val="57"/>
          <w:sz w:val="22"/>
          <w:szCs w:val="22"/>
          <w:lang w:val="es-ES_tradnl"/>
        </w:rPr>
        <w:t xml:space="preserve"> </w:t>
      </w:r>
      <w:r w:rsidRPr="00D848CE">
        <w:rPr>
          <w:rFonts w:ascii="Arial" w:hAnsi="Arial" w:cs="Arial"/>
          <w:spacing w:val="-1"/>
          <w:sz w:val="22"/>
          <w:szCs w:val="22"/>
          <w:lang w:val="es-ES_tradnl"/>
        </w:rPr>
        <w:t>indirectos</w:t>
      </w:r>
      <w:r w:rsidRPr="00D848CE">
        <w:rPr>
          <w:rFonts w:ascii="Arial" w:hAnsi="Arial" w:cs="Arial"/>
          <w:spacing w:val="83"/>
          <w:sz w:val="22"/>
          <w:szCs w:val="22"/>
          <w:lang w:val="es-ES_tradnl"/>
        </w:rPr>
        <w:t xml:space="preserve"> </w:t>
      </w:r>
      <w:r w:rsidRPr="00D848CE">
        <w:rPr>
          <w:rFonts w:ascii="Arial" w:hAnsi="Arial" w:cs="Arial"/>
          <w:spacing w:val="-1"/>
          <w:sz w:val="22"/>
          <w:szCs w:val="22"/>
          <w:lang w:val="es-ES_tradnl"/>
        </w:rPr>
        <w:t>(Impuesto</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las</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Ventas</w:t>
      </w:r>
      <w:r w:rsidRPr="00D848CE">
        <w:rPr>
          <w:rFonts w:ascii="Arial" w:hAnsi="Arial" w:cs="Arial"/>
          <w:spacing w:val="2"/>
          <w:sz w:val="22"/>
          <w:szCs w:val="22"/>
          <w:lang w:val="es-ES_tradnl"/>
        </w:rPr>
        <w:t xml:space="preserve"> </w:t>
      </w:r>
      <w:r w:rsidRPr="00D848CE">
        <w:rPr>
          <w:rFonts w:ascii="Arial" w:hAnsi="Arial" w:cs="Arial"/>
          <w:sz w:val="22"/>
          <w:szCs w:val="22"/>
          <w:lang w:val="es-ES_tradnl"/>
        </w:rPr>
        <w:t>y</w:t>
      </w:r>
      <w:r w:rsidRPr="00D848CE">
        <w:rPr>
          <w:rFonts w:ascii="Arial" w:hAnsi="Arial" w:cs="Arial"/>
          <w:spacing w:val="-5"/>
          <w:sz w:val="22"/>
          <w:szCs w:val="22"/>
          <w:lang w:val="es-ES_tradnl"/>
        </w:rPr>
        <w:t xml:space="preserve"> </w:t>
      </w:r>
      <w:r w:rsidRPr="00D848CE">
        <w:rPr>
          <w:rFonts w:ascii="Arial" w:hAnsi="Arial" w:cs="Arial"/>
          <w:spacing w:val="-1"/>
          <w:sz w:val="22"/>
          <w:szCs w:val="22"/>
          <w:lang w:val="es-ES_tradnl"/>
        </w:rPr>
        <w:t>aranceles)</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y</w:t>
      </w:r>
      <w:r w:rsidRPr="00D848CE">
        <w:rPr>
          <w:rFonts w:ascii="Arial" w:hAnsi="Arial" w:cs="Arial"/>
          <w:spacing w:val="-7"/>
          <w:sz w:val="22"/>
          <w:szCs w:val="22"/>
          <w:lang w:val="es-ES_tradnl"/>
        </w:rPr>
        <w:t xml:space="preserve"> </w:t>
      </w:r>
      <w:r w:rsidRPr="00D848CE">
        <w:rPr>
          <w:rFonts w:ascii="Arial" w:hAnsi="Arial" w:cs="Arial"/>
          <w:spacing w:val="-1"/>
          <w:sz w:val="22"/>
          <w:szCs w:val="22"/>
          <w:lang w:val="es-ES_tradnl"/>
        </w:rPr>
        <w:t>otras</w:t>
      </w:r>
      <w:r w:rsidRPr="00D848CE">
        <w:rPr>
          <w:rFonts w:ascii="Arial" w:hAnsi="Arial" w:cs="Arial"/>
          <w:spacing w:val="-2"/>
          <w:sz w:val="22"/>
          <w:szCs w:val="22"/>
          <w:lang w:val="es-ES_tradnl"/>
        </w:rPr>
        <w:t xml:space="preserve"> </w:t>
      </w:r>
      <w:r w:rsidRPr="00D848CE">
        <w:rPr>
          <w:rFonts w:ascii="Arial" w:hAnsi="Arial" w:cs="Arial"/>
          <w:sz w:val="22"/>
          <w:szCs w:val="22"/>
          <w:lang w:val="es-ES_tradnl"/>
        </w:rPr>
        <w:t>distorsiones</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en el</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mercado</w:t>
      </w:r>
      <w:r w:rsidRPr="00D848CE">
        <w:rPr>
          <w:rFonts w:ascii="Arial" w:hAnsi="Arial" w:cs="Arial"/>
          <w:spacing w:val="-2"/>
          <w:sz w:val="22"/>
          <w:szCs w:val="22"/>
          <w:lang w:val="es-ES_tradnl"/>
        </w:rPr>
        <w:t xml:space="preserve"> </w:t>
      </w:r>
      <w:r w:rsidRPr="00D848CE">
        <w:rPr>
          <w:rFonts w:ascii="Arial" w:hAnsi="Arial" w:cs="Arial"/>
          <w:sz w:val="22"/>
          <w:szCs w:val="22"/>
          <w:lang w:val="es-ES_tradnl"/>
        </w:rPr>
        <w:t>laboral,</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ha</w:t>
      </w:r>
      <w:r w:rsidR="00A21C34" w:rsidRPr="00D848CE">
        <w:rPr>
          <w:rFonts w:ascii="Arial" w:hAnsi="Arial" w:cs="Arial"/>
          <w:spacing w:val="-1"/>
          <w:sz w:val="22"/>
          <w:szCs w:val="22"/>
          <w:lang w:val="es-ES_tradnl"/>
        </w:rPr>
        <w:t>ce</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que</w:t>
      </w:r>
      <w:r w:rsidRPr="00D848CE">
        <w:rPr>
          <w:rFonts w:ascii="Arial" w:hAnsi="Arial" w:cs="Arial"/>
          <w:spacing w:val="-1"/>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precios</w:t>
      </w:r>
      <w:r w:rsidRPr="00D848CE">
        <w:rPr>
          <w:rFonts w:ascii="Arial" w:hAnsi="Arial" w:cs="Arial"/>
          <w:spacing w:val="77"/>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cuenta</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la</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inversión</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total</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alcance</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un</w:t>
      </w:r>
      <w:r w:rsidRPr="00D848CE">
        <w:rPr>
          <w:rFonts w:ascii="Arial" w:hAnsi="Arial" w:cs="Arial"/>
          <w:spacing w:val="-1"/>
          <w:sz w:val="22"/>
          <w:szCs w:val="22"/>
          <w:lang w:val="es-ES_tradnl"/>
        </w:rPr>
        <w:t xml:space="preserve"> </w:t>
      </w:r>
      <w:r w:rsidRPr="00D848CE">
        <w:rPr>
          <w:rFonts w:ascii="Arial" w:hAnsi="Arial" w:cs="Arial"/>
          <w:sz w:val="22"/>
          <w:szCs w:val="22"/>
          <w:lang w:val="es-ES_tradnl"/>
        </w:rPr>
        <w:t>8</w:t>
      </w:r>
      <w:r w:rsidR="004279CA" w:rsidRPr="00D848CE">
        <w:rPr>
          <w:rFonts w:ascii="Arial" w:hAnsi="Arial" w:cs="Arial"/>
          <w:sz w:val="22"/>
          <w:szCs w:val="22"/>
          <w:lang w:val="es-ES_tradnl"/>
        </w:rPr>
        <w:t>0</w:t>
      </w:r>
      <w:r w:rsidRPr="00D848CE">
        <w:rPr>
          <w:rFonts w:ascii="Arial" w:hAnsi="Arial" w:cs="Arial"/>
          <w:sz w:val="22"/>
          <w:szCs w:val="22"/>
          <w:lang w:val="es-ES_tradnl"/>
        </w:rPr>
        <w:t>.5</w:t>
      </w:r>
      <w:r w:rsidR="004279CA" w:rsidRPr="00D848CE">
        <w:rPr>
          <w:rFonts w:ascii="Arial" w:hAnsi="Arial" w:cs="Arial"/>
          <w:sz w:val="22"/>
          <w:szCs w:val="22"/>
          <w:lang w:val="es-ES_tradnl"/>
        </w:rPr>
        <w:t>8</w:t>
      </w:r>
      <w:r w:rsidRPr="00D848CE">
        <w:rPr>
          <w:rFonts w:ascii="Arial" w:hAnsi="Arial" w:cs="Arial"/>
          <w:sz w:val="22"/>
          <w:szCs w:val="22"/>
          <w:lang w:val="es-ES_tradnl"/>
        </w:rPr>
        <w:t xml:space="preserve"> %</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del</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valor</w:t>
      </w:r>
      <w:r w:rsidRPr="00D848CE">
        <w:rPr>
          <w:rFonts w:ascii="Arial" w:hAnsi="Arial" w:cs="Arial"/>
          <w:spacing w:val="-4"/>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3"/>
          <w:sz w:val="22"/>
          <w:szCs w:val="22"/>
          <w:lang w:val="es-ES_tradnl"/>
        </w:rPr>
        <w:t xml:space="preserve"> </w:t>
      </w:r>
      <w:r w:rsidRPr="00D848CE">
        <w:rPr>
          <w:rFonts w:ascii="Arial" w:hAnsi="Arial" w:cs="Arial"/>
          <w:spacing w:val="-1"/>
          <w:sz w:val="22"/>
          <w:szCs w:val="22"/>
          <w:lang w:val="es-ES_tradnl"/>
        </w:rPr>
        <w:t>precios</w:t>
      </w:r>
      <w:r w:rsidRPr="00D848CE">
        <w:rPr>
          <w:rFonts w:ascii="Arial" w:hAnsi="Arial" w:cs="Arial"/>
          <w:spacing w:val="-3"/>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2"/>
          <w:sz w:val="22"/>
          <w:szCs w:val="22"/>
          <w:lang w:val="es-ES_tradnl"/>
        </w:rPr>
        <w:t xml:space="preserve"> </w:t>
      </w:r>
      <w:r w:rsidRPr="00D848CE">
        <w:rPr>
          <w:rFonts w:ascii="Arial" w:hAnsi="Arial" w:cs="Arial"/>
          <w:spacing w:val="-1"/>
          <w:sz w:val="22"/>
          <w:szCs w:val="22"/>
          <w:lang w:val="es-ES_tradnl"/>
        </w:rPr>
        <w:t xml:space="preserve">mercado. </w:t>
      </w:r>
    </w:p>
    <w:p w14:paraId="013F2FE0" w14:textId="77777777" w:rsidR="00F320D4" w:rsidRPr="00D848CE" w:rsidRDefault="006979D8" w:rsidP="00D13AD2">
      <w:pPr>
        <w:pStyle w:val="Paragraph"/>
        <w:numPr>
          <w:ilvl w:val="0"/>
          <w:numId w:val="0"/>
        </w:numPr>
        <w:ind w:left="810"/>
        <w:outlineLvl w:val="9"/>
        <w:rPr>
          <w:rFonts w:ascii="Arial" w:hAnsi="Arial" w:cs="Arial"/>
          <w:sz w:val="22"/>
          <w:szCs w:val="22"/>
          <w:lang w:val="es-ES_tradnl"/>
        </w:rPr>
      </w:pPr>
      <w:r w:rsidRPr="00D848CE">
        <w:rPr>
          <w:rFonts w:ascii="Arial" w:hAnsi="Arial" w:cs="Arial"/>
          <w:noProof/>
          <w:sz w:val="22"/>
          <w:szCs w:val="22"/>
          <w:lang w:val="es-ES_tradnl" w:eastAsia="es-ES_tradnl"/>
        </w:rPr>
        <w:lastRenderedPageBreak/>
        <w:drawing>
          <wp:inline distT="0" distB="0" distL="0" distR="0" wp14:anchorId="7A74AD4E" wp14:editId="692977C7">
            <wp:extent cx="4627880" cy="3029585"/>
            <wp:effectExtent l="0" t="0" r="127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27880" cy="3029585"/>
                    </a:xfrm>
                    <a:prstGeom prst="rect">
                      <a:avLst/>
                    </a:prstGeom>
                    <a:noFill/>
                    <a:ln>
                      <a:noFill/>
                    </a:ln>
                  </pic:spPr>
                </pic:pic>
              </a:graphicData>
            </a:graphic>
          </wp:inline>
        </w:drawing>
      </w:r>
    </w:p>
    <w:p w14:paraId="701C632A" w14:textId="77777777" w:rsidR="00D44F3E" w:rsidRPr="00D848CE" w:rsidRDefault="00D44F3E" w:rsidP="00BE3276">
      <w:pPr>
        <w:pStyle w:val="Heading2"/>
        <w:numPr>
          <w:ilvl w:val="0"/>
          <w:numId w:val="7"/>
        </w:numPr>
        <w:rPr>
          <w:rFonts w:ascii="Arial" w:hAnsi="Arial" w:cs="Arial"/>
          <w:sz w:val="22"/>
          <w:szCs w:val="22"/>
          <w:lang w:val="es-ES_tradnl"/>
        </w:rPr>
      </w:pPr>
      <w:bookmarkStart w:id="18" w:name="_Toc479116399"/>
      <w:r w:rsidRPr="00D848CE">
        <w:rPr>
          <w:rFonts w:ascii="Arial" w:hAnsi="Arial" w:cs="Arial"/>
          <w:sz w:val="22"/>
          <w:szCs w:val="22"/>
          <w:lang w:val="es-ES_tradnl"/>
        </w:rPr>
        <w:t>Costos de Mantenimiento</w:t>
      </w:r>
      <w:bookmarkEnd w:id="18"/>
    </w:p>
    <w:p w14:paraId="0C152458" w14:textId="77777777" w:rsidR="000654FD" w:rsidRPr="00D848CE" w:rsidRDefault="00D44F3E" w:rsidP="00BE3276">
      <w:pPr>
        <w:pStyle w:val="Paragraph"/>
        <w:keepNext/>
        <w:numPr>
          <w:ilvl w:val="1"/>
          <w:numId w:val="3"/>
        </w:numPr>
        <w:ind w:left="188" w:hanging="634"/>
        <w:outlineLvl w:val="9"/>
        <w:rPr>
          <w:rFonts w:ascii="Arial" w:eastAsiaTheme="minorHAnsi" w:hAnsi="Arial" w:cs="Arial"/>
          <w:sz w:val="22"/>
          <w:szCs w:val="22"/>
          <w:lang w:val="es-ES_tradnl"/>
        </w:rPr>
      </w:pPr>
      <w:r w:rsidRPr="00D848CE">
        <w:rPr>
          <w:rFonts w:ascii="Arial" w:hAnsi="Arial" w:cs="Arial"/>
          <w:spacing w:val="-2"/>
          <w:sz w:val="22"/>
          <w:szCs w:val="22"/>
          <w:lang w:val="es-ES_tradnl"/>
        </w:rPr>
        <w:t>La</w:t>
      </w:r>
      <w:r w:rsidRPr="00D848CE">
        <w:rPr>
          <w:rFonts w:ascii="Arial" w:hAnsi="Arial" w:cs="Arial"/>
          <w:spacing w:val="50"/>
          <w:sz w:val="22"/>
          <w:szCs w:val="22"/>
          <w:lang w:val="es-ES_tradnl"/>
        </w:rPr>
        <w:t xml:space="preserve"> </w:t>
      </w:r>
      <w:r w:rsidRPr="00D848CE">
        <w:rPr>
          <w:rFonts w:ascii="Arial" w:hAnsi="Arial" w:cs="Arial"/>
          <w:sz w:val="22"/>
          <w:szCs w:val="22"/>
          <w:lang w:val="es-ES_tradnl"/>
        </w:rPr>
        <w:t>vida</w:t>
      </w:r>
      <w:r w:rsidRPr="00D848CE">
        <w:rPr>
          <w:rFonts w:ascii="Arial" w:hAnsi="Arial" w:cs="Arial"/>
          <w:spacing w:val="51"/>
          <w:sz w:val="22"/>
          <w:szCs w:val="22"/>
          <w:lang w:val="es-ES_tradnl"/>
        </w:rPr>
        <w:t xml:space="preserve"> </w:t>
      </w:r>
      <w:r w:rsidRPr="00D848CE">
        <w:rPr>
          <w:rFonts w:ascii="Arial" w:hAnsi="Arial" w:cs="Arial"/>
          <w:sz w:val="22"/>
          <w:szCs w:val="22"/>
          <w:lang w:val="es-ES_tradnl"/>
        </w:rPr>
        <w:t>útil</w:t>
      </w:r>
      <w:r w:rsidRPr="00D848CE">
        <w:rPr>
          <w:rFonts w:ascii="Arial" w:hAnsi="Arial" w:cs="Arial"/>
          <w:spacing w:val="52"/>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51"/>
          <w:sz w:val="22"/>
          <w:szCs w:val="22"/>
          <w:lang w:val="es-ES_tradnl"/>
        </w:rPr>
        <w:t xml:space="preserve"> </w:t>
      </w:r>
      <w:r w:rsidRPr="00D848CE">
        <w:rPr>
          <w:rFonts w:ascii="Arial" w:hAnsi="Arial" w:cs="Arial"/>
          <w:sz w:val="22"/>
          <w:szCs w:val="22"/>
          <w:lang w:val="es-ES_tradnl"/>
        </w:rPr>
        <w:t>los</w:t>
      </w:r>
      <w:r w:rsidRPr="00D848CE">
        <w:rPr>
          <w:rFonts w:ascii="Arial" w:hAnsi="Arial" w:cs="Arial"/>
          <w:spacing w:val="51"/>
          <w:sz w:val="22"/>
          <w:szCs w:val="22"/>
          <w:lang w:val="es-ES_tradnl"/>
        </w:rPr>
        <w:t xml:space="preserve"> </w:t>
      </w:r>
      <w:r w:rsidRPr="00D848CE">
        <w:rPr>
          <w:rFonts w:ascii="Arial" w:hAnsi="Arial" w:cs="Arial"/>
          <w:sz w:val="22"/>
          <w:szCs w:val="22"/>
          <w:lang w:val="es-ES_tradnl"/>
        </w:rPr>
        <w:t>componentes</w:t>
      </w:r>
      <w:r w:rsidRPr="00D848CE">
        <w:rPr>
          <w:rFonts w:ascii="Arial" w:hAnsi="Arial" w:cs="Arial"/>
          <w:spacing w:val="52"/>
          <w:sz w:val="22"/>
          <w:szCs w:val="22"/>
          <w:lang w:val="es-ES_tradnl"/>
        </w:rPr>
        <w:t xml:space="preserve"> </w:t>
      </w:r>
      <w:r w:rsidRPr="00D848CE">
        <w:rPr>
          <w:rFonts w:ascii="Arial" w:hAnsi="Arial" w:cs="Arial"/>
          <w:sz w:val="22"/>
          <w:szCs w:val="22"/>
          <w:lang w:val="es-ES_tradnl"/>
        </w:rPr>
        <w:t>de</w:t>
      </w:r>
      <w:r w:rsidRPr="00D848CE">
        <w:rPr>
          <w:rFonts w:ascii="Arial" w:hAnsi="Arial" w:cs="Arial"/>
          <w:spacing w:val="51"/>
          <w:sz w:val="22"/>
          <w:szCs w:val="22"/>
          <w:lang w:val="es-ES_tradnl"/>
        </w:rPr>
        <w:t xml:space="preserve"> </w:t>
      </w:r>
      <w:r w:rsidRPr="00D848CE">
        <w:rPr>
          <w:rFonts w:ascii="Arial" w:hAnsi="Arial" w:cs="Arial"/>
          <w:spacing w:val="-1"/>
          <w:sz w:val="22"/>
          <w:szCs w:val="22"/>
          <w:lang w:val="es-ES_tradnl"/>
        </w:rPr>
        <w:t>inversión</w:t>
      </w:r>
      <w:r w:rsidRPr="00D848CE">
        <w:rPr>
          <w:rFonts w:ascii="Arial" w:hAnsi="Arial" w:cs="Arial"/>
          <w:spacing w:val="52"/>
          <w:sz w:val="22"/>
          <w:szCs w:val="22"/>
          <w:lang w:val="es-ES_tradnl"/>
        </w:rPr>
        <w:t xml:space="preserve"> </w:t>
      </w:r>
      <w:r w:rsidRPr="00D848CE">
        <w:rPr>
          <w:rFonts w:ascii="Arial" w:hAnsi="Arial" w:cs="Arial"/>
          <w:spacing w:val="-1"/>
          <w:sz w:val="22"/>
          <w:szCs w:val="22"/>
          <w:lang w:val="es-ES_tradnl"/>
        </w:rPr>
        <w:t>más</w:t>
      </w:r>
      <w:r w:rsidRPr="00D848CE">
        <w:rPr>
          <w:rFonts w:ascii="Arial" w:hAnsi="Arial" w:cs="Arial"/>
          <w:spacing w:val="52"/>
          <w:sz w:val="22"/>
          <w:szCs w:val="22"/>
          <w:lang w:val="es-ES_tradnl"/>
        </w:rPr>
        <w:t xml:space="preserve"> </w:t>
      </w:r>
      <w:r w:rsidRPr="00D848CE">
        <w:rPr>
          <w:rFonts w:ascii="Arial" w:hAnsi="Arial" w:cs="Arial"/>
          <w:spacing w:val="-1"/>
          <w:sz w:val="22"/>
          <w:szCs w:val="22"/>
          <w:lang w:val="es-ES_tradnl"/>
        </w:rPr>
        <w:t>importantes</w:t>
      </w:r>
      <w:r w:rsidRPr="00D848CE">
        <w:rPr>
          <w:rFonts w:ascii="Arial" w:hAnsi="Arial" w:cs="Arial"/>
          <w:spacing w:val="51"/>
          <w:sz w:val="22"/>
          <w:szCs w:val="22"/>
          <w:lang w:val="es-ES_tradnl"/>
        </w:rPr>
        <w:t xml:space="preserve"> </w:t>
      </w:r>
      <w:r w:rsidRPr="00D848CE">
        <w:rPr>
          <w:rFonts w:ascii="Arial" w:hAnsi="Arial" w:cs="Arial"/>
          <w:sz w:val="22"/>
          <w:szCs w:val="22"/>
          <w:lang w:val="es-ES_tradnl"/>
        </w:rPr>
        <w:t>se</w:t>
      </w:r>
      <w:r w:rsidRPr="00D848CE">
        <w:rPr>
          <w:rFonts w:ascii="Arial" w:hAnsi="Arial" w:cs="Arial"/>
          <w:spacing w:val="51"/>
          <w:sz w:val="22"/>
          <w:szCs w:val="22"/>
          <w:lang w:val="es-ES_tradnl"/>
        </w:rPr>
        <w:t xml:space="preserve"> </w:t>
      </w:r>
      <w:r w:rsidRPr="00D848CE">
        <w:rPr>
          <w:rFonts w:ascii="Arial" w:hAnsi="Arial" w:cs="Arial"/>
          <w:spacing w:val="-1"/>
          <w:sz w:val="22"/>
          <w:szCs w:val="22"/>
          <w:lang w:val="es-ES_tradnl"/>
        </w:rPr>
        <w:t>ilustra</w:t>
      </w:r>
      <w:r w:rsidRPr="00D848CE">
        <w:rPr>
          <w:rFonts w:ascii="Arial" w:hAnsi="Arial" w:cs="Arial"/>
          <w:spacing w:val="51"/>
          <w:sz w:val="22"/>
          <w:szCs w:val="22"/>
          <w:lang w:val="es-ES_tradnl"/>
        </w:rPr>
        <w:t xml:space="preserve"> </w:t>
      </w:r>
      <w:r w:rsidRPr="00D848CE">
        <w:rPr>
          <w:rFonts w:ascii="Arial" w:hAnsi="Arial" w:cs="Arial"/>
          <w:spacing w:val="-1"/>
          <w:sz w:val="22"/>
          <w:szCs w:val="22"/>
          <w:lang w:val="es-ES_tradnl"/>
        </w:rPr>
        <w:t>en</w:t>
      </w:r>
      <w:r w:rsidRPr="00D848CE">
        <w:rPr>
          <w:rFonts w:ascii="Arial" w:hAnsi="Arial" w:cs="Arial"/>
          <w:spacing w:val="52"/>
          <w:sz w:val="22"/>
          <w:szCs w:val="22"/>
          <w:lang w:val="es-ES_tradnl"/>
        </w:rPr>
        <w:t xml:space="preserve"> </w:t>
      </w:r>
      <w:r w:rsidRPr="00D848CE">
        <w:rPr>
          <w:rFonts w:ascii="Arial" w:hAnsi="Arial" w:cs="Arial"/>
          <w:spacing w:val="-1"/>
          <w:sz w:val="22"/>
          <w:szCs w:val="22"/>
          <w:lang w:val="es-ES_tradnl"/>
        </w:rPr>
        <w:t>el</w:t>
      </w:r>
      <w:r w:rsidRPr="00D848CE">
        <w:rPr>
          <w:rFonts w:ascii="Arial" w:hAnsi="Arial" w:cs="Arial"/>
          <w:spacing w:val="52"/>
          <w:sz w:val="22"/>
          <w:szCs w:val="22"/>
          <w:lang w:val="es-ES_tradnl"/>
        </w:rPr>
        <w:t xml:space="preserve"> </w:t>
      </w:r>
      <w:r w:rsidRPr="00D848CE">
        <w:rPr>
          <w:rFonts w:ascii="Arial" w:hAnsi="Arial" w:cs="Arial"/>
          <w:spacing w:val="-1"/>
          <w:sz w:val="22"/>
          <w:szCs w:val="22"/>
          <w:lang w:val="es-ES_tradnl"/>
        </w:rPr>
        <w:t>Cuadro</w:t>
      </w:r>
      <w:r w:rsidRPr="00D848CE">
        <w:rPr>
          <w:rFonts w:ascii="Arial" w:hAnsi="Arial" w:cs="Arial"/>
          <w:spacing w:val="51"/>
          <w:sz w:val="22"/>
          <w:szCs w:val="22"/>
          <w:lang w:val="es-ES_tradnl"/>
        </w:rPr>
        <w:t xml:space="preserve"> </w:t>
      </w:r>
      <w:r w:rsidR="006979D8" w:rsidRPr="00D848CE">
        <w:rPr>
          <w:rFonts w:ascii="Arial" w:hAnsi="Arial" w:cs="Arial"/>
          <w:sz w:val="22"/>
          <w:szCs w:val="22"/>
          <w:lang w:val="es-ES_tradnl"/>
        </w:rPr>
        <w:t>5</w:t>
      </w:r>
      <w:r w:rsidRPr="00D848CE">
        <w:rPr>
          <w:rFonts w:ascii="Arial" w:hAnsi="Arial" w:cs="Arial"/>
          <w:spacing w:val="52"/>
          <w:sz w:val="22"/>
          <w:szCs w:val="22"/>
          <w:lang w:val="es-ES_tradnl"/>
        </w:rPr>
        <w:t xml:space="preserve"> </w:t>
      </w:r>
      <w:r w:rsidRPr="00D848CE">
        <w:rPr>
          <w:rFonts w:ascii="Arial" w:hAnsi="Arial" w:cs="Arial"/>
          <w:sz w:val="22"/>
          <w:szCs w:val="22"/>
          <w:lang w:val="es-ES_tradnl"/>
        </w:rPr>
        <w:t>a</w:t>
      </w:r>
      <w:r w:rsidRPr="00D848CE">
        <w:rPr>
          <w:rFonts w:ascii="Arial" w:hAnsi="Arial" w:cs="Arial"/>
          <w:spacing w:val="71"/>
          <w:w w:val="99"/>
          <w:sz w:val="22"/>
          <w:szCs w:val="22"/>
          <w:lang w:val="es-ES_tradnl"/>
        </w:rPr>
        <w:t xml:space="preserve"> </w:t>
      </w:r>
      <w:r w:rsidRPr="00D848CE">
        <w:rPr>
          <w:rFonts w:ascii="Arial" w:hAnsi="Arial" w:cs="Arial"/>
          <w:spacing w:val="-1"/>
          <w:sz w:val="22"/>
          <w:szCs w:val="22"/>
          <w:lang w:val="es-ES_tradnl"/>
        </w:rPr>
        <w:t>continuación:</w:t>
      </w:r>
      <w:r w:rsidRPr="00D848CE">
        <w:rPr>
          <w:rFonts w:ascii="Arial" w:hAnsi="Arial" w:cs="Arial"/>
          <w:spacing w:val="-1"/>
          <w:sz w:val="22"/>
          <w:szCs w:val="22"/>
          <w:lang w:val="es-ES_tradnl"/>
        </w:rPr>
        <w:fldChar w:fldCharType="begin"/>
      </w:r>
      <w:r w:rsidRPr="00D848CE">
        <w:rPr>
          <w:rFonts w:ascii="Arial" w:hAnsi="Arial" w:cs="Arial"/>
          <w:spacing w:val="-1"/>
          <w:sz w:val="22"/>
          <w:szCs w:val="22"/>
          <w:lang w:val="es-ES_tradnl"/>
        </w:rPr>
        <w:instrText xml:space="preserve"> LINK </w:instrText>
      </w:r>
      <w:r w:rsidR="000654FD" w:rsidRPr="00D848CE">
        <w:rPr>
          <w:rFonts w:ascii="Arial" w:hAnsi="Arial" w:cs="Arial"/>
          <w:spacing w:val="-1"/>
          <w:sz w:val="22"/>
          <w:szCs w:val="22"/>
          <w:lang w:val="es-ES_tradnl"/>
        </w:rPr>
        <w:instrText xml:space="preserve">Excel.Sheet.12 "C:\\Users\\Familia Cracel\\Desktop\\Desktop 3\\Dominicana CCSD\\Evaluación Económica\\calculo precio sombra.xlsx" Sheet1!R37C4:R43C7 </w:instrText>
      </w:r>
      <w:r w:rsidRPr="00D848CE">
        <w:rPr>
          <w:rFonts w:ascii="Arial" w:hAnsi="Arial" w:cs="Arial"/>
          <w:spacing w:val="-1"/>
          <w:sz w:val="22"/>
          <w:szCs w:val="22"/>
          <w:lang w:val="es-ES_tradnl"/>
        </w:rPr>
        <w:instrText xml:space="preserve">\a \f 4 \h  \* MERGEFORMAT </w:instrText>
      </w:r>
      <w:r w:rsidRPr="00D848CE">
        <w:rPr>
          <w:rFonts w:ascii="Arial" w:hAnsi="Arial" w:cs="Arial"/>
          <w:spacing w:val="-1"/>
          <w:sz w:val="22"/>
          <w:szCs w:val="22"/>
          <w:lang w:val="es-ES_tradnl"/>
        </w:rPr>
        <w:fldChar w:fldCharType="separate"/>
      </w:r>
    </w:p>
    <w:p w14:paraId="221FFA25" w14:textId="77777777" w:rsidR="0072703D" w:rsidRPr="00D848CE" w:rsidRDefault="00D44F3E" w:rsidP="00D13AD2">
      <w:pPr>
        <w:pStyle w:val="Paragraph"/>
        <w:keepNext/>
        <w:numPr>
          <w:ilvl w:val="0"/>
          <w:numId w:val="0"/>
        </w:numPr>
        <w:ind w:left="810"/>
        <w:outlineLvl w:val="9"/>
        <w:rPr>
          <w:rFonts w:ascii="Arial" w:eastAsia="Times New Roman" w:hAnsi="Arial" w:cs="Arial"/>
          <w:b/>
          <w:bCs/>
          <w:sz w:val="22"/>
          <w:szCs w:val="22"/>
          <w:lang w:val="es-ES_tradnl"/>
        </w:rPr>
      </w:pPr>
      <w:r w:rsidRPr="00D848CE">
        <w:rPr>
          <w:rFonts w:ascii="Arial" w:hAnsi="Arial" w:cs="Arial"/>
          <w:spacing w:val="-1"/>
          <w:sz w:val="22"/>
          <w:szCs w:val="22"/>
          <w:lang w:val="es-ES_tradnl"/>
        </w:rPr>
        <w:fldChar w:fldCharType="end"/>
      </w:r>
      <w:r w:rsidRPr="00D848CE">
        <w:rPr>
          <w:rFonts w:ascii="Arial" w:eastAsia="Times New Roman" w:hAnsi="Arial" w:cs="Arial"/>
          <w:b/>
          <w:bCs/>
          <w:sz w:val="22"/>
          <w:szCs w:val="22"/>
          <w:lang w:val="es-ES_tradnl"/>
        </w:rPr>
        <w:t xml:space="preserve"> </w:t>
      </w:r>
      <w:r w:rsidR="006979D8" w:rsidRPr="00D848CE">
        <w:rPr>
          <w:rFonts w:ascii="Arial" w:hAnsi="Arial" w:cs="Arial"/>
          <w:noProof/>
          <w:sz w:val="22"/>
          <w:szCs w:val="22"/>
          <w:lang w:val="es-ES_tradnl" w:eastAsia="es-ES_tradnl"/>
        </w:rPr>
        <w:drawing>
          <wp:inline distT="0" distB="0" distL="0" distR="0" wp14:anchorId="76E5039A" wp14:editId="4AC823E1">
            <wp:extent cx="4627880" cy="1137285"/>
            <wp:effectExtent l="0" t="0" r="1270" b="571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27880" cy="1137285"/>
                    </a:xfrm>
                    <a:prstGeom prst="rect">
                      <a:avLst/>
                    </a:prstGeom>
                    <a:noFill/>
                    <a:ln>
                      <a:noFill/>
                    </a:ln>
                  </pic:spPr>
                </pic:pic>
              </a:graphicData>
            </a:graphic>
          </wp:inline>
        </w:drawing>
      </w:r>
    </w:p>
    <w:p w14:paraId="3FCC1D6E" w14:textId="77777777" w:rsidR="00D44F3E" w:rsidRPr="00D848CE" w:rsidRDefault="00D44F3E" w:rsidP="00BE3276">
      <w:pPr>
        <w:pStyle w:val="Paragraph"/>
        <w:numPr>
          <w:ilvl w:val="1"/>
          <w:numId w:val="3"/>
        </w:numPr>
        <w:ind w:left="188" w:hanging="634"/>
        <w:outlineLvl w:val="9"/>
        <w:rPr>
          <w:rFonts w:ascii="Arial" w:hAnsi="Arial" w:cs="Arial"/>
          <w:spacing w:val="-2"/>
          <w:sz w:val="22"/>
          <w:szCs w:val="22"/>
          <w:lang w:val="es-ES_tradnl"/>
        </w:rPr>
      </w:pPr>
      <w:r w:rsidRPr="00D848CE">
        <w:rPr>
          <w:rFonts w:ascii="Arial" w:hAnsi="Arial" w:cs="Arial"/>
          <w:spacing w:val="-1"/>
          <w:sz w:val="22"/>
          <w:szCs w:val="22"/>
          <w:lang w:val="es-ES_tradnl"/>
        </w:rPr>
        <w:t>El</w:t>
      </w:r>
      <w:r w:rsidRPr="00D848CE">
        <w:rPr>
          <w:rFonts w:ascii="Arial" w:hAnsi="Arial" w:cs="Arial"/>
          <w:spacing w:val="16"/>
          <w:sz w:val="22"/>
          <w:szCs w:val="22"/>
          <w:lang w:val="es-ES_tradnl"/>
        </w:rPr>
        <w:t xml:space="preserve"> </w:t>
      </w:r>
      <w:r w:rsidRPr="00D848CE">
        <w:rPr>
          <w:rFonts w:ascii="Arial" w:hAnsi="Arial" w:cs="Arial"/>
          <w:spacing w:val="-2"/>
          <w:sz w:val="22"/>
          <w:szCs w:val="22"/>
          <w:lang w:val="es-ES_tradnl"/>
        </w:rPr>
        <w:t xml:space="preserve">horizonte de análisis de la evaluación costo-beneficio es de </w:t>
      </w:r>
      <w:r w:rsidR="006979D8" w:rsidRPr="00D848CE">
        <w:rPr>
          <w:rFonts w:ascii="Arial" w:hAnsi="Arial" w:cs="Arial"/>
          <w:spacing w:val="-2"/>
          <w:sz w:val="22"/>
          <w:szCs w:val="22"/>
          <w:lang w:val="es-ES_tradnl"/>
        </w:rPr>
        <w:t>10</w:t>
      </w:r>
      <w:r w:rsidRPr="00D848CE">
        <w:rPr>
          <w:rFonts w:ascii="Arial" w:hAnsi="Arial" w:cs="Arial"/>
          <w:spacing w:val="-2"/>
          <w:sz w:val="22"/>
          <w:szCs w:val="22"/>
          <w:lang w:val="es-ES_tradnl"/>
        </w:rPr>
        <w:t xml:space="preserve"> años. Por lo tanto</w:t>
      </w:r>
      <w:r w:rsidR="00902007" w:rsidRPr="00D848CE">
        <w:rPr>
          <w:rFonts w:ascii="Arial" w:hAnsi="Arial" w:cs="Arial"/>
          <w:spacing w:val="-2"/>
          <w:sz w:val="22"/>
          <w:szCs w:val="22"/>
          <w:lang w:val="es-ES_tradnl"/>
        </w:rPr>
        <w:t>,</w:t>
      </w:r>
      <w:r w:rsidRPr="00D848CE">
        <w:rPr>
          <w:rFonts w:ascii="Arial" w:hAnsi="Arial" w:cs="Arial"/>
          <w:spacing w:val="-2"/>
          <w:sz w:val="22"/>
          <w:szCs w:val="22"/>
          <w:lang w:val="es-ES_tradnl"/>
        </w:rPr>
        <w:t xml:space="preserve"> el mantenimiento será distribuido cronológicamente de la siguiente forma: (i) </w:t>
      </w:r>
      <w:r w:rsidR="006979D8" w:rsidRPr="00D848CE">
        <w:rPr>
          <w:rFonts w:ascii="Arial" w:hAnsi="Arial" w:cs="Arial"/>
          <w:spacing w:val="-2"/>
          <w:sz w:val="22"/>
          <w:szCs w:val="22"/>
          <w:lang w:val="es-ES_tradnl"/>
        </w:rPr>
        <w:t xml:space="preserve">Los costos de servicios (US$9,8 millones) serán incluidos en los años 2022 y 2027; y (ii) los costos de sistemas de computador y equipos informáticos serán incluidos en el año 2024. </w:t>
      </w:r>
    </w:p>
    <w:p w14:paraId="1491E373" w14:textId="77777777" w:rsidR="00D44F3E" w:rsidRPr="00D848CE" w:rsidRDefault="006979D8" w:rsidP="00BE3276">
      <w:pPr>
        <w:pStyle w:val="Paragraph"/>
        <w:numPr>
          <w:ilvl w:val="1"/>
          <w:numId w:val="3"/>
        </w:numPr>
        <w:ind w:left="188" w:hanging="634"/>
        <w:outlineLvl w:val="9"/>
        <w:rPr>
          <w:rFonts w:ascii="Arial" w:hAnsi="Arial" w:cs="Arial"/>
          <w:spacing w:val="-2"/>
          <w:sz w:val="22"/>
          <w:szCs w:val="22"/>
          <w:lang w:val="es-ES_tradnl"/>
        </w:rPr>
      </w:pPr>
      <w:r w:rsidRPr="00D848CE">
        <w:rPr>
          <w:rFonts w:ascii="Arial" w:hAnsi="Arial" w:cs="Arial"/>
          <w:spacing w:val="-2"/>
          <w:sz w:val="22"/>
          <w:szCs w:val="22"/>
          <w:lang w:val="es-ES_tradnl"/>
        </w:rPr>
        <w:t>El Cuadro 6</w:t>
      </w:r>
      <w:r w:rsidR="00D44F3E" w:rsidRPr="00D848CE">
        <w:rPr>
          <w:rFonts w:ascii="Arial" w:hAnsi="Arial" w:cs="Arial"/>
          <w:spacing w:val="-2"/>
          <w:sz w:val="22"/>
          <w:szCs w:val="22"/>
          <w:lang w:val="es-ES_tradnl"/>
        </w:rPr>
        <w:t xml:space="preserve"> presenta la distribución de los costos </w:t>
      </w:r>
      <w:r w:rsidR="006607B1" w:rsidRPr="00D848CE">
        <w:rPr>
          <w:rFonts w:ascii="Arial" w:hAnsi="Arial" w:cs="Arial"/>
          <w:spacing w:val="-2"/>
          <w:sz w:val="22"/>
          <w:szCs w:val="22"/>
          <w:lang w:val="es-ES_tradnl"/>
        </w:rPr>
        <w:t xml:space="preserve">financieros y </w:t>
      </w:r>
      <w:r w:rsidR="00D44F3E" w:rsidRPr="00D848CE">
        <w:rPr>
          <w:rFonts w:ascii="Arial" w:hAnsi="Arial" w:cs="Arial"/>
          <w:spacing w:val="-2"/>
          <w:sz w:val="22"/>
          <w:szCs w:val="22"/>
          <w:lang w:val="es-ES_tradnl"/>
        </w:rPr>
        <w:t>económicos del proyecto.</w:t>
      </w:r>
    </w:p>
    <w:p w14:paraId="3BCF6820" w14:textId="77777777" w:rsidR="0072703D" w:rsidRPr="00D848CE" w:rsidRDefault="0072703D" w:rsidP="00D13AD2">
      <w:pPr>
        <w:pStyle w:val="Paragraph"/>
        <w:numPr>
          <w:ilvl w:val="0"/>
          <w:numId w:val="0"/>
        </w:numPr>
        <w:ind w:left="-446"/>
        <w:outlineLvl w:val="9"/>
        <w:rPr>
          <w:rFonts w:ascii="Arial" w:hAnsi="Arial" w:cs="Arial"/>
          <w:spacing w:val="-2"/>
          <w:sz w:val="22"/>
          <w:szCs w:val="22"/>
          <w:lang w:val="es-ES_tradnl"/>
        </w:rPr>
      </w:pPr>
    </w:p>
    <w:p w14:paraId="1EDA7A0E" w14:textId="77777777" w:rsidR="00D44F3E" w:rsidRPr="00D848CE" w:rsidRDefault="006979D8" w:rsidP="00D13AD2">
      <w:pPr>
        <w:jc w:val="center"/>
        <w:rPr>
          <w:rFonts w:ascii="Arial" w:hAnsi="Arial" w:cs="Arial"/>
          <w:b/>
          <w:lang w:val="es-ES_tradnl"/>
        </w:rPr>
      </w:pPr>
      <w:r w:rsidRPr="00D848CE">
        <w:rPr>
          <w:rFonts w:ascii="Arial" w:hAnsi="Arial" w:cs="Arial"/>
          <w:noProof/>
          <w:lang w:val="es-ES_tradnl" w:eastAsia="es-ES_tradnl"/>
        </w:rPr>
        <w:drawing>
          <wp:inline distT="0" distB="0" distL="0" distR="0" wp14:anchorId="7B154F2B" wp14:editId="7B8B1C0E">
            <wp:extent cx="5410200" cy="1085845"/>
            <wp:effectExtent l="0" t="0" r="0" b="63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51130" cy="1094060"/>
                    </a:xfrm>
                    <a:prstGeom prst="rect">
                      <a:avLst/>
                    </a:prstGeom>
                    <a:noFill/>
                    <a:ln>
                      <a:noFill/>
                    </a:ln>
                  </pic:spPr>
                </pic:pic>
              </a:graphicData>
            </a:graphic>
          </wp:inline>
        </w:drawing>
      </w:r>
    </w:p>
    <w:sectPr w:rsidR="00D44F3E" w:rsidRPr="00D848CE" w:rsidSect="00E82351">
      <w:pgSz w:w="12240" w:h="15840" w:code="1"/>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896F8" w14:textId="77777777" w:rsidR="008058C8" w:rsidRDefault="008058C8" w:rsidP="00DB1C03">
      <w:pPr>
        <w:spacing w:after="0" w:line="240" w:lineRule="auto"/>
      </w:pPr>
      <w:r>
        <w:separator/>
      </w:r>
    </w:p>
  </w:endnote>
  <w:endnote w:type="continuationSeparator" w:id="0">
    <w:p w14:paraId="4D80F697" w14:textId="77777777" w:rsidR="008058C8" w:rsidRDefault="008058C8" w:rsidP="00DB1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49A7D" w14:textId="77777777" w:rsidR="008058C8" w:rsidRDefault="008058C8" w:rsidP="00DB1C03">
      <w:pPr>
        <w:spacing w:after="0" w:line="240" w:lineRule="auto"/>
      </w:pPr>
      <w:r>
        <w:separator/>
      </w:r>
    </w:p>
  </w:footnote>
  <w:footnote w:type="continuationSeparator" w:id="0">
    <w:p w14:paraId="4AF4252E" w14:textId="77777777" w:rsidR="008058C8" w:rsidRDefault="008058C8" w:rsidP="00DB1C03">
      <w:pPr>
        <w:spacing w:after="0" w:line="240" w:lineRule="auto"/>
      </w:pPr>
      <w:r>
        <w:continuationSeparator/>
      </w:r>
    </w:p>
  </w:footnote>
  <w:footnote w:id="1">
    <w:p w14:paraId="5BCB6AC1" w14:textId="77777777" w:rsidR="00E664AF" w:rsidRPr="00E845B2" w:rsidRDefault="00E664AF" w:rsidP="00557398">
      <w:pPr>
        <w:pStyle w:val="FootnoteText"/>
        <w:ind w:left="270" w:hanging="270"/>
        <w:contextualSpacing/>
        <w:rPr>
          <w:rFonts w:ascii="Arial" w:hAnsi="Arial" w:cs="Arial"/>
          <w:sz w:val="18"/>
          <w:szCs w:val="18"/>
          <w:lang w:val="es-ES_tradnl"/>
        </w:rPr>
      </w:pPr>
      <w:r w:rsidRPr="00E845B2">
        <w:rPr>
          <w:rFonts w:ascii="Arial" w:hAnsi="Arial" w:cs="Arial"/>
          <w:sz w:val="18"/>
          <w:szCs w:val="18"/>
          <w:vertAlign w:val="superscript"/>
          <w:lang w:val="es-ES_tradnl"/>
        </w:rPr>
        <w:footnoteRef/>
      </w:r>
      <w:r w:rsidRPr="00E845B2">
        <w:rPr>
          <w:rFonts w:ascii="Arial" w:hAnsi="Arial" w:cs="Arial"/>
          <w:sz w:val="18"/>
          <w:szCs w:val="18"/>
          <w:vertAlign w:val="superscript"/>
          <w:lang w:val="es-ES_tradnl"/>
        </w:rPr>
        <w:t xml:space="preserve"> </w:t>
      </w:r>
      <w:r w:rsidRPr="00E845B2">
        <w:rPr>
          <w:rFonts w:ascii="Arial" w:hAnsi="Arial" w:cs="Arial"/>
          <w:sz w:val="18"/>
          <w:szCs w:val="18"/>
          <w:lang w:val="es-ES_tradnl"/>
        </w:rPr>
        <w:tab/>
        <w:t>La fuente de los datos macrofiscales en los párrafos 1.1 y 1.2 es del Banco Central</w:t>
      </w:r>
      <w:r>
        <w:rPr>
          <w:rFonts w:ascii="Arial" w:hAnsi="Arial" w:cs="Arial"/>
          <w:sz w:val="18"/>
          <w:szCs w:val="18"/>
          <w:lang w:val="es-ES_tradnl"/>
        </w:rPr>
        <w:t xml:space="preserve"> de República Dominicana (BCRD). </w:t>
      </w:r>
    </w:p>
  </w:footnote>
  <w:footnote w:id="2">
    <w:p w14:paraId="25CB6254" w14:textId="77777777" w:rsidR="00E664AF" w:rsidRPr="00E845B2" w:rsidRDefault="00E664AF" w:rsidP="00557398">
      <w:pPr>
        <w:pStyle w:val="FootnoteText"/>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Cálculo del Ministerio de Economía, Planificación y Desarrollo (MEPyD).</w:t>
      </w:r>
    </w:p>
  </w:footnote>
  <w:footnote w:id="3">
    <w:p w14:paraId="0687FFCB" w14:textId="77777777" w:rsidR="00E664AF" w:rsidRPr="00E845B2" w:rsidRDefault="00E664AF" w:rsidP="00557398">
      <w:pPr>
        <w:pStyle w:val="FootnoteText"/>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Style w:val="FootnoteReference"/>
          <w:rFonts w:ascii="Arial" w:hAnsi="Arial" w:cs="Arial"/>
          <w:sz w:val="18"/>
          <w:szCs w:val="18"/>
          <w:lang w:val="es-ES_tradnl"/>
        </w:rPr>
        <w:t xml:space="preserve"> </w:t>
      </w:r>
      <w:r w:rsidRPr="00E845B2">
        <w:rPr>
          <w:rFonts w:ascii="Arial" w:hAnsi="Arial" w:cs="Arial"/>
          <w:sz w:val="18"/>
          <w:szCs w:val="18"/>
          <w:lang w:val="es-ES_tradnl"/>
        </w:rPr>
        <w:tab/>
        <w:t>La desigualdad del ingreso medido por el índice Gini pasó de 0,57 puntos en 2005 a 0,52 en 2014, reducción de 8,8%</w:t>
      </w:r>
      <w:r>
        <w:rPr>
          <w:rFonts w:ascii="Arial" w:hAnsi="Arial" w:cs="Arial"/>
          <w:sz w:val="18"/>
          <w:szCs w:val="18"/>
          <w:lang w:val="es-ES_tradnl"/>
        </w:rPr>
        <w:t>, comparado con</w:t>
      </w:r>
      <w:r w:rsidRPr="00E845B2">
        <w:rPr>
          <w:rFonts w:ascii="Arial" w:hAnsi="Arial" w:cs="Arial"/>
          <w:sz w:val="18"/>
          <w:szCs w:val="18"/>
          <w:lang w:val="es-ES_tradnl"/>
        </w:rPr>
        <w:t xml:space="preserve"> 7,9% en A</w:t>
      </w:r>
      <w:r>
        <w:rPr>
          <w:rFonts w:ascii="Arial" w:hAnsi="Arial" w:cs="Arial"/>
          <w:sz w:val="18"/>
          <w:szCs w:val="18"/>
          <w:lang w:val="es-ES_tradnl"/>
        </w:rPr>
        <w:t>LC (CEPAL)</w:t>
      </w:r>
      <w:r w:rsidRPr="00E845B2">
        <w:rPr>
          <w:rFonts w:ascii="Arial" w:hAnsi="Arial" w:cs="Arial"/>
          <w:sz w:val="18"/>
          <w:szCs w:val="18"/>
          <w:lang w:val="es-ES_tradnl"/>
        </w:rPr>
        <w:t xml:space="preserve">. </w:t>
      </w:r>
      <w:r>
        <w:rPr>
          <w:rFonts w:ascii="Arial" w:hAnsi="Arial" w:cs="Arial"/>
          <w:sz w:val="18"/>
          <w:szCs w:val="18"/>
          <w:lang w:val="es-ES_tradnl"/>
        </w:rPr>
        <w:t>Según</w:t>
      </w:r>
      <w:r w:rsidRPr="00E845B2">
        <w:rPr>
          <w:rFonts w:ascii="Arial" w:hAnsi="Arial" w:cs="Arial"/>
          <w:sz w:val="18"/>
          <w:szCs w:val="18"/>
          <w:lang w:val="es-ES_tradnl"/>
        </w:rPr>
        <w:t xml:space="preserve"> Bourguignon (2003), el impacto del crecimiento sobre la reducción de la pobreza es menor en países con alta inequidad de ingresos.</w:t>
      </w:r>
    </w:p>
  </w:footnote>
  <w:footnote w:id="4">
    <w:p w14:paraId="2A6CC8F8" w14:textId="77777777" w:rsidR="00E664AF" w:rsidRPr="00E845B2" w:rsidRDefault="00E664AF" w:rsidP="00557398">
      <w:pPr>
        <w:pStyle w:val="FootnoteText"/>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Apoyada por el Programa de Apoyo al Fortalecimiento Fiscal (</w:t>
      </w:r>
      <w:hyperlink r:id="rId1" w:history="1">
        <w:r w:rsidRPr="00E845B2">
          <w:rPr>
            <w:rStyle w:val="Hyperlink"/>
            <w:rFonts w:ascii="Arial" w:hAnsi="Arial" w:cs="Arial"/>
            <w:sz w:val="18"/>
            <w:szCs w:val="18"/>
            <w:lang w:val="es-ES_tradnl"/>
          </w:rPr>
          <w:t>3110/OC-DR</w:t>
        </w:r>
      </w:hyperlink>
      <w:r w:rsidRPr="00E845B2">
        <w:rPr>
          <w:rFonts w:ascii="Arial" w:hAnsi="Arial" w:cs="Arial"/>
          <w:sz w:val="18"/>
          <w:szCs w:val="18"/>
          <w:lang w:val="es-ES_tradnl"/>
        </w:rPr>
        <w:t>).</w:t>
      </w:r>
    </w:p>
  </w:footnote>
  <w:footnote w:id="5">
    <w:p w14:paraId="2A668ABE" w14:textId="77777777" w:rsidR="00E664AF" w:rsidRPr="00E845B2" w:rsidRDefault="00E664AF" w:rsidP="00557398">
      <w:pPr>
        <w:ind w:left="270" w:hanging="270"/>
        <w:contextualSpacing/>
        <w:jc w:val="both"/>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La estimación del déficit 2015 excluye la recompra de deuda con descuento de PetroCaribe (3,1% del PIB, ingreso de capital contabiliz</w:t>
      </w:r>
      <w:r>
        <w:rPr>
          <w:rFonts w:ascii="Arial" w:hAnsi="Arial" w:cs="Arial"/>
          <w:sz w:val="18"/>
          <w:szCs w:val="18"/>
          <w:lang w:val="es-ES_tradnl"/>
        </w:rPr>
        <w:t>ado</w:t>
      </w:r>
      <w:r w:rsidRPr="00E845B2">
        <w:rPr>
          <w:rFonts w:ascii="Arial" w:hAnsi="Arial" w:cs="Arial"/>
          <w:sz w:val="18"/>
          <w:szCs w:val="18"/>
          <w:lang w:val="es-ES_tradnl"/>
        </w:rPr>
        <w:t xml:space="preserve"> como donaciones). El déficit del gobierno central pasó de 6,57% (2012) a 0% del PIB (2015).</w:t>
      </w:r>
    </w:p>
  </w:footnote>
  <w:footnote w:id="6">
    <w:p w14:paraId="3AE55ACA" w14:textId="77777777" w:rsidR="00E664AF" w:rsidRPr="00E845B2" w:rsidRDefault="00E664AF" w:rsidP="00557398">
      <w:pPr>
        <w:pStyle w:val="FootnoteText"/>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r>
      <w:r w:rsidRPr="00E845B2">
        <w:rPr>
          <w:rFonts w:ascii="Arial" w:hAnsi="Arial" w:cs="Arial"/>
          <w:bCs/>
          <w:sz w:val="18"/>
          <w:szCs w:val="18"/>
          <w:lang w:val="es-ES_tradnl"/>
        </w:rPr>
        <w:t>Hacia una Administración Tributaria Eficaz. Seminario-taller,</w:t>
      </w:r>
      <w:r w:rsidRPr="00E845B2">
        <w:rPr>
          <w:rFonts w:ascii="Arial" w:hAnsi="Arial" w:cs="Arial"/>
          <w:b/>
          <w:bCs/>
          <w:sz w:val="18"/>
          <w:szCs w:val="18"/>
          <w:lang w:val="es-ES_tradnl"/>
        </w:rPr>
        <w:t xml:space="preserve"> </w:t>
      </w:r>
      <w:r w:rsidRPr="00E845B2">
        <w:rPr>
          <w:rFonts w:ascii="Arial" w:hAnsi="Arial" w:cs="Arial"/>
          <w:bCs/>
          <w:sz w:val="18"/>
          <w:szCs w:val="18"/>
          <w:lang w:val="es-ES_tradnl"/>
        </w:rPr>
        <w:t xml:space="preserve">Díaz Yubero y </w:t>
      </w:r>
      <w:r w:rsidRPr="00E845B2">
        <w:rPr>
          <w:rFonts w:ascii="Arial" w:hAnsi="Arial" w:cs="Arial"/>
          <w:sz w:val="18"/>
          <w:szCs w:val="18"/>
          <w:lang w:val="es-ES_tradnl"/>
        </w:rPr>
        <w:t>Vázquez, 2016.</w:t>
      </w:r>
    </w:p>
  </w:footnote>
  <w:footnote w:id="7">
    <w:p w14:paraId="0BD8C0F7" w14:textId="77777777" w:rsidR="00E664AF" w:rsidRPr="00E845B2" w:rsidRDefault="00E664AF" w:rsidP="00557398">
      <w:pPr>
        <w:pStyle w:val="FootnoteText"/>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Producto de exenciones e incentivos que generan un alto gasto tributario (</w:t>
      </w:r>
      <w:r w:rsidRPr="00E845B2">
        <w:rPr>
          <w:rFonts w:ascii="Arial" w:hAnsi="Arial" w:cs="Arial"/>
          <w:bCs/>
          <w:sz w:val="18"/>
          <w:szCs w:val="18"/>
          <w:lang w:val="es-ES_tradnl"/>
        </w:rPr>
        <w:t>6,7% del PIB en 2015 superior al promedio latinoamericano de 4,7%). Gastos Tributarios en República Dominicana: Estimación para el Presupuesto General del Estado de 2016, Comisión Interinstitucional Coordinada por la Dirección General de Política y Legislación Tributaria del Ministerio de Hacienda (MH), 2015.</w:t>
      </w:r>
    </w:p>
  </w:footnote>
  <w:footnote w:id="8">
    <w:p w14:paraId="156F8572" w14:textId="77777777" w:rsidR="00E664AF" w:rsidRPr="00E845B2" w:rsidRDefault="00E664AF" w:rsidP="00557398">
      <w:pPr>
        <w:pStyle w:val="FootnoteText"/>
        <w:tabs>
          <w:tab w:val="left" w:pos="5580"/>
        </w:tabs>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Incluye evasión, elusión y mora. </w:t>
      </w:r>
      <w:hyperlink r:id="rId2" w:history="1">
        <w:r w:rsidRPr="00E845B2">
          <w:rPr>
            <w:rStyle w:val="Hyperlink"/>
            <w:rFonts w:ascii="Arial" w:hAnsi="Arial" w:cs="Arial"/>
            <w:sz w:val="18"/>
            <w:szCs w:val="18"/>
            <w:lang w:val="es-ES_tradnl"/>
          </w:rPr>
          <w:t>Estimación del incumplimiento tributario. Dirección General de Aduanas</w:t>
        </w:r>
        <w:r>
          <w:rPr>
            <w:rStyle w:val="Hyperlink"/>
            <w:rFonts w:ascii="Arial" w:hAnsi="Arial" w:cs="Arial"/>
            <w:sz w:val="18"/>
            <w:szCs w:val="18"/>
            <w:lang w:val="es-ES_tradnl"/>
          </w:rPr>
          <w:t>-</w:t>
        </w:r>
        <w:r w:rsidRPr="00E845B2">
          <w:rPr>
            <w:rStyle w:val="Hyperlink"/>
            <w:rFonts w:ascii="Arial" w:hAnsi="Arial" w:cs="Arial"/>
            <w:sz w:val="18"/>
            <w:szCs w:val="18"/>
            <w:lang w:val="es-ES_tradnl"/>
          </w:rPr>
          <w:t xml:space="preserve"> DGII</w:t>
        </w:r>
        <w:r>
          <w:rPr>
            <w:rStyle w:val="Hyperlink"/>
            <w:rFonts w:ascii="Arial" w:hAnsi="Arial" w:cs="Arial"/>
            <w:sz w:val="18"/>
            <w:szCs w:val="18"/>
            <w:lang w:val="es-ES_tradnl"/>
          </w:rPr>
          <w:t>-</w:t>
        </w:r>
        <w:r w:rsidRPr="00E845B2">
          <w:rPr>
            <w:rStyle w:val="Hyperlink"/>
            <w:rFonts w:ascii="Arial" w:hAnsi="Arial" w:cs="Arial"/>
            <w:sz w:val="18"/>
            <w:szCs w:val="18"/>
            <w:lang w:val="es-ES_tradnl"/>
          </w:rPr>
          <w:t>MH</w:t>
        </w:r>
        <w:r>
          <w:rPr>
            <w:rStyle w:val="Hyperlink"/>
            <w:rFonts w:ascii="Arial" w:hAnsi="Arial" w:cs="Arial"/>
            <w:sz w:val="18"/>
            <w:szCs w:val="18"/>
            <w:lang w:val="es-ES_tradnl"/>
          </w:rPr>
          <w:t>-</w:t>
        </w:r>
        <w:r w:rsidRPr="00E845B2">
          <w:rPr>
            <w:rStyle w:val="Hyperlink"/>
            <w:rFonts w:ascii="Arial" w:hAnsi="Arial" w:cs="Arial"/>
            <w:sz w:val="18"/>
            <w:szCs w:val="18"/>
            <w:lang w:val="es-ES_tradnl"/>
          </w:rPr>
          <w:t>BCRD</w:t>
        </w:r>
        <w:r>
          <w:rPr>
            <w:rStyle w:val="Hyperlink"/>
            <w:rFonts w:ascii="Arial" w:hAnsi="Arial" w:cs="Arial"/>
            <w:sz w:val="18"/>
            <w:szCs w:val="18"/>
            <w:lang w:val="es-ES_tradnl"/>
          </w:rPr>
          <w:t>-</w:t>
        </w:r>
        <w:r w:rsidRPr="00E845B2">
          <w:rPr>
            <w:rStyle w:val="Hyperlink"/>
            <w:rFonts w:ascii="Arial" w:hAnsi="Arial" w:cs="Arial"/>
            <w:sz w:val="18"/>
            <w:szCs w:val="18"/>
            <w:lang w:val="es-ES_tradnl"/>
          </w:rPr>
          <w:t>MEPyD, 2016</w:t>
        </w:r>
      </w:hyperlink>
      <w:r w:rsidRPr="00E845B2">
        <w:rPr>
          <w:rFonts w:ascii="Arial" w:hAnsi="Arial" w:cs="Arial"/>
          <w:sz w:val="18"/>
          <w:szCs w:val="18"/>
          <w:lang w:val="es-ES_tradnl"/>
        </w:rPr>
        <w:t>.</w:t>
      </w:r>
    </w:p>
  </w:footnote>
  <w:footnote w:id="9">
    <w:p w14:paraId="725F255A" w14:textId="77777777" w:rsidR="00E664AF" w:rsidRPr="00E845B2" w:rsidRDefault="00E664AF" w:rsidP="00557398">
      <w:pPr>
        <w:pStyle w:val="FootnoteText"/>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Remuneraciones, intereses y prestaciones sociales representan, en promedio, el 55% de ingresos tributarios (2010-2015), BCRD.</w:t>
      </w:r>
    </w:p>
  </w:footnote>
  <w:footnote w:id="10">
    <w:p w14:paraId="4728DDB7" w14:textId="77777777" w:rsidR="00E664AF" w:rsidRPr="003D0C40" w:rsidRDefault="00E664AF" w:rsidP="00D848CE">
      <w:pPr>
        <w:pStyle w:val="FootnoteText"/>
        <w:ind w:left="274" w:hanging="270"/>
        <w:jc w:val="both"/>
        <w:rPr>
          <w:rFonts w:ascii="Arial" w:hAnsi="Arial" w:cs="Arial"/>
          <w:sz w:val="18"/>
          <w:szCs w:val="18"/>
          <w:lang w:val="es-ES"/>
        </w:rPr>
      </w:pPr>
      <w:r w:rsidRPr="003D0C40">
        <w:rPr>
          <w:rStyle w:val="FootnoteReference"/>
          <w:rFonts w:ascii="Arial" w:hAnsi="Arial" w:cs="Arial"/>
          <w:sz w:val="18"/>
          <w:szCs w:val="18"/>
        </w:rPr>
        <w:footnoteRef/>
      </w:r>
      <w:r w:rsidRPr="003D0C40">
        <w:rPr>
          <w:rFonts w:ascii="Arial" w:hAnsi="Arial" w:cs="Arial"/>
          <w:sz w:val="18"/>
          <w:szCs w:val="18"/>
          <w:lang w:val="es-ES"/>
        </w:rPr>
        <w:t xml:space="preserve"> </w:t>
      </w:r>
      <w:r w:rsidRPr="003D0C40">
        <w:rPr>
          <w:rFonts w:ascii="Arial" w:hAnsi="Arial" w:cs="Arial"/>
          <w:sz w:val="18"/>
          <w:szCs w:val="18"/>
          <w:lang w:val="es-ES"/>
        </w:rPr>
        <w:tab/>
      </w:r>
      <w:hyperlink r:id="rId3" w:history="1">
        <w:r w:rsidRPr="003D0C40">
          <w:rPr>
            <w:rStyle w:val="Hyperlink"/>
            <w:rFonts w:ascii="Arial" w:hAnsi="Arial" w:cs="Arial"/>
            <w:sz w:val="18"/>
            <w:szCs w:val="18"/>
            <w:lang w:val="es-ES"/>
          </w:rPr>
          <w:t>CCLIP Para el PROFISCO (Respaldo a la Gestión e Integración de las Administraciones Financieras en Brasil)</w:t>
        </w:r>
      </w:hyperlink>
      <w:r w:rsidRPr="003D0C40">
        <w:rPr>
          <w:rStyle w:val="Hyperlink"/>
          <w:rFonts w:ascii="Arial" w:hAnsi="Arial" w:cs="Arial"/>
          <w:sz w:val="18"/>
          <w:szCs w:val="18"/>
          <w:lang w:val="es-ES"/>
        </w:rPr>
        <w:t>.</w:t>
      </w:r>
    </w:p>
  </w:footnote>
  <w:footnote w:id="11">
    <w:p w14:paraId="05CE7E3D" w14:textId="77777777" w:rsidR="00E664AF" w:rsidRPr="003D0C40" w:rsidRDefault="00E664AF" w:rsidP="00D848CE">
      <w:pPr>
        <w:pStyle w:val="FootnoteText"/>
        <w:ind w:left="274" w:hanging="270"/>
        <w:jc w:val="both"/>
        <w:rPr>
          <w:rFonts w:ascii="Arial" w:hAnsi="Arial" w:cs="Arial"/>
          <w:sz w:val="18"/>
          <w:szCs w:val="18"/>
          <w:lang w:val="es-ES_tradnl"/>
        </w:rPr>
      </w:pPr>
      <w:r w:rsidRPr="003D0C40">
        <w:rPr>
          <w:rStyle w:val="FootnoteReference"/>
          <w:rFonts w:ascii="Arial" w:hAnsi="Arial" w:cs="Arial"/>
          <w:sz w:val="18"/>
          <w:szCs w:val="18"/>
        </w:rPr>
        <w:footnoteRef/>
      </w:r>
      <w:r w:rsidRPr="003D0C40">
        <w:rPr>
          <w:rFonts w:ascii="Arial" w:hAnsi="Arial" w:cs="Arial"/>
          <w:sz w:val="18"/>
          <w:szCs w:val="18"/>
          <w:lang w:val="es-ES_tradnl"/>
        </w:rPr>
        <w:t xml:space="preserve"> </w:t>
      </w:r>
      <w:r w:rsidRPr="003D0C40">
        <w:rPr>
          <w:rFonts w:ascii="Arial" w:hAnsi="Arial" w:cs="Arial"/>
          <w:sz w:val="18"/>
          <w:szCs w:val="18"/>
          <w:lang w:val="es-ES_tradnl"/>
        </w:rPr>
        <w:tab/>
        <w:t>Calculado según tipo de cambio a 31 de diciembre de 2014 (USD$=2,6574).</w:t>
      </w:r>
    </w:p>
  </w:footnote>
  <w:footnote w:id="12">
    <w:p w14:paraId="5DCDABF2" w14:textId="77777777" w:rsidR="00E664AF" w:rsidRPr="003D0C40" w:rsidRDefault="00E664AF" w:rsidP="00D848CE">
      <w:pPr>
        <w:pStyle w:val="FootnoteText"/>
        <w:ind w:left="274" w:hanging="270"/>
        <w:jc w:val="both"/>
        <w:rPr>
          <w:rFonts w:ascii="Arial" w:hAnsi="Arial" w:cs="Arial"/>
          <w:sz w:val="18"/>
          <w:szCs w:val="18"/>
          <w:lang w:val="es-ES"/>
        </w:rPr>
      </w:pPr>
      <w:r w:rsidRPr="003D0C40">
        <w:rPr>
          <w:rStyle w:val="FootnoteReference"/>
          <w:rFonts w:ascii="Arial" w:hAnsi="Arial" w:cs="Arial"/>
          <w:sz w:val="18"/>
          <w:szCs w:val="18"/>
        </w:rPr>
        <w:footnoteRef/>
      </w:r>
      <w:r w:rsidRPr="003D0C40">
        <w:rPr>
          <w:rFonts w:ascii="Arial" w:hAnsi="Arial" w:cs="Arial"/>
          <w:sz w:val="18"/>
          <w:szCs w:val="18"/>
          <w:lang w:val="es-ES"/>
        </w:rPr>
        <w:t xml:space="preserve"> </w:t>
      </w:r>
      <w:r w:rsidRPr="003D0C40">
        <w:rPr>
          <w:rFonts w:ascii="Arial" w:hAnsi="Arial" w:cs="Arial"/>
          <w:sz w:val="18"/>
          <w:szCs w:val="18"/>
          <w:lang w:val="es-ES"/>
        </w:rPr>
        <w:tab/>
      </w:r>
      <w:hyperlink r:id="rId4" w:history="1">
        <w:r w:rsidRPr="003D0C40">
          <w:rPr>
            <w:rStyle w:val="Hyperlink"/>
            <w:rFonts w:ascii="Arial" w:hAnsi="Arial" w:cs="Arial"/>
            <w:sz w:val="18"/>
            <w:szCs w:val="18"/>
            <w:lang w:val="es-ES"/>
          </w:rPr>
          <w:t>Impacto del Programa Nota Fiscal Paulista en la expansión de la Recaudación Tributaría del Estado de São Paulo</w:t>
        </w:r>
      </w:hyperlink>
      <w:r w:rsidRPr="003D0C40">
        <w:rPr>
          <w:rStyle w:val="Hyperlink"/>
          <w:rFonts w:ascii="Arial" w:hAnsi="Arial" w:cs="Arial"/>
          <w:sz w:val="18"/>
          <w:szCs w:val="18"/>
          <w:lang w:val="es-ES"/>
        </w:rPr>
        <w:t>.</w:t>
      </w:r>
    </w:p>
  </w:footnote>
  <w:footnote w:id="13">
    <w:p w14:paraId="37CC0307" w14:textId="77777777" w:rsidR="00E664AF" w:rsidRPr="00E845B2" w:rsidRDefault="00E664AF" w:rsidP="00D848CE">
      <w:pPr>
        <w:pStyle w:val="FootnoteText"/>
        <w:ind w:left="274" w:hanging="274"/>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Silos donde </w:t>
      </w:r>
      <w:r w:rsidRPr="00E845B2">
        <w:rPr>
          <w:rFonts w:ascii="Arial" w:hAnsi="Arial" w:cs="Arial"/>
          <w:bCs/>
          <w:sz w:val="18"/>
          <w:szCs w:val="18"/>
          <w:lang w:val="es-ES_tradnl"/>
        </w:rPr>
        <w:t>no fluye la información entre los distintos departamentos.</w:t>
      </w:r>
    </w:p>
  </w:footnote>
  <w:footnote w:id="14">
    <w:p w14:paraId="289CFCB6" w14:textId="77777777" w:rsidR="00E664AF" w:rsidRPr="00E845B2" w:rsidRDefault="00E664AF" w:rsidP="00D848CE">
      <w:pPr>
        <w:pStyle w:val="FootnoteText"/>
        <w:tabs>
          <w:tab w:val="left" w:pos="5580"/>
        </w:tabs>
        <w:ind w:left="360" w:hanging="36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r>
      <w:hyperlink r:id="rId5" w:history="1">
        <w:bookmarkStart w:id="4" w:name="_Hlk482283580"/>
        <w:r w:rsidRPr="00E845B2">
          <w:rPr>
            <w:rStyle w:val="Hyperlink"/>
            <w:rFonts w:ascii="Arial" w:hAnsi="Arial" w:cs="Arial"/>
            <w:sz w:val="18"/>
            <w:szCs w:val="18"/>
            <w:lang w:val="es-ES_tradnl"/>
          </w:rPr>
          <w:t>FAD del Fondo Monetario Internacional (FMI</w:t>
        </w:r>
        <w:bookmarkEnd w:id="4"/>
        <w:r w:rsidRPr="00E845B2">
          <w:rPr>
            <w:rStyle w:val="Hyperlink"/>
            <w:rFonts w:ascii="Arial" w:hAnsi="Arial" w:cs="Arial"/>
            <w:sz w:val="18"/>
            <w:szCs w:val="18"/>
            <w:lang w:val="es-ES_tradnl"/>
          </w:rPr>
          <w:t>). Desafíos para la recuperación de la A</w:t>
        </w:r>
        <w:r>
          <w:rPr>
            <w:rStyle w:val="Hyperlink"/>
            <w:rFonts w:ascii="Arial" w:hAnsi="Arial" w:cs="Arial"/>
            <w:sz w:val="18"/>
            <w:szCs w:val="18"/>
            <w:lang w:val="es-ES_tradnl"/>
          </w:rPr>
          <w:t>T</w:t>
        </w:r>
        <w:r w:rsidRPr="00E845B2">
          <w:rPr>
            <w:rStyle w:val="Hyperlink"/>
            <w:rFonts w:ascii="Arial" w:hAnsi="Arial" w:cs="Arial"/>
            <w:sz w:val="18"/>
            <w:szCs w:val="18"/>
            <w:lang w:val="es-ES_tradnl"/>
          </w:rPr>
          <w:t xml:space="preserve"> de la República Dominicana. Rojas, E y Diaz Yubero, F</w:t>
        </w:r>
        <w:r>
          <w:rPr>
            <w:rStyle w:val="Hyperlink"/>
            <w:rFonts w:ascii="Arial" w:hAnsi="Arial" w:cs="Arial"/>
            <w:sz w:val="18"/>
            <w:szCs w:val="18"/>
            <w:lang w:val="es-ES_tradnl"/>
          </w:rPr>
          <w:t>,</w:t>
        </w:r>
        <w:r w:rsidRPr="00E845B2">
          <w:rPr>
            <w:rStyle w:val="Hyperlink"/>
            <w:rFonts w:ascii="Arial" w:hAnsi="Arial" w:cs="Arial"/>
            <w:sz w:val="18"/>
            <w:szCs w:val="18"/>
            <w:lang w:val="es-ES_tradnl"/>
          </w:rPr>
          <w:t xml:space="preserve"> 2016</w:t>
        </w:r>
      </w:hyperlink>
      <w:r w:rsidRPr="00E845B2">
        <w:rPr>
          <w:rFonts w:ascii="Arial" w:hAnsi="Arial" w:cs="Arial"/>
          <w:sz w:val="18"/>
          <w:szCs w:val="18"/>
          <w:lang w:val="es-ES_tradnl"/>
        </w:rPr>
        <w:t xml:space="preserve">. Las buenas prácticas de gobernanza y gerenciamiento de AT </w:t>
      </w:r>
      <w:r w:rsidRPr="00E845B2">
        <w:rPr>
          <w:rFonts w:ascii="Arial" w:hAnsi="Arial" w:cs="Arial"/>
          <w:bCs/>
          <w:sz w:val="18"/>
          <w:szCs w:val="18"/>
          <w:lang w:val="es-ES_tradnl"/>
        </w:rPr>
        <w:t>agrupan responsabilidades estratégicas/tácticas y operativas en diferentes unidades organizativas</w:t>
      </w:r>
      <w:r w:rsidRPr="00E845B2">
        <w:rPr>
          <w:rFonts w:ascii="Arial" w:hAnsi="Arial" w:cs="Arial"/>
          <w:sz w:val="18"/>
          <w:szCs w:val="18"/>
          <w:lang w:val="es-ES_tradnl"/>
        </w:rPr>
        <w:t>.</w:t>
      </w:r>
    </w:p>
  </w:footnote>
  <w:footnote w:id="15">
    <w:p w14:paraId="29978B70" w14:textId="77777777" w:rsidR="00E664AF" w:rsidRPr="00E845B2" w:rsidRDefault="00E664AF" w:rsidP="00D848CE">
      <w:pPr>
        <w:pStyle w:val="FootnoteText"/>
        <w:tabs>
          <w:tab w:val="left" w:pos="5580"/>
        </w:tabs>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Entre 2012-2016, renunciaron 417 funcionarios del total de 2.674. DGII.</w:t>
      </w:r>
    </w:p>
  </w:footnote>
  <w:footnote w:id="16">
    <w:p w14:paraId="35CD1FCE" w14:textId="77777777" w:rsidR="00E664AF" w:rsidRPr="00E845B2" w:rsidRDefault="00E664AF" w:rsidP="00D848CE">
      <w:pPr>
        <w:pStyle w:val="FootnoteText"/>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En lo relativo a género, desde 2014 la DGII trabaja en coordinación con el Ministerio de la Mujer para incorporar el enfoque de género en la institución, mediante distintas iniciativas (sala de lactancia, lenguaje inclusivo y actividades de sensibilización), informe </w:t>
      </w:r>
      <w:r w:rsidRPr="00E845B2">
        <w:rPr>
          <w:rFonts w:ascii="Arial" w:hAnsi="Arial" w:cs="Arial"/>
          <w:sz w:val="18"/>
          <w:szCs w:val="18"/>
          <w:lang w:val="es-DO"/>
        </w:rPr>
        <w:t xml:space="preserve">Implementación de la perspectiva de género en la DGII, Gerencia de </w:t>
      </w:r>
      <w:r w:rsidRPr="00A04F8A">
        <w:rPr>
          <w:rFonts w:ascii="Arial" w:hAnsi="Arial" w:cs="Arial"/>
          <w:sz w:val="18"/>
          <w:szCs w:val="18"/>
          <w:lang w:val="es-DO"/>
        </w:rPr>
        <w:t xml:space="preserve">recursos humanos </w:t>
      </w:r>
      <w:r>
        <w:rPr>
          <w:rFonts w:ascii="Arial" w:hAnsi="Arial" w:cs="Arial"/>
          <w:sz w:val="18"/>
          <w:szCs w:val="18"/>
          <w:lang w:val="es-DO"/>
        </w:rPr>
        <w:t>(</w:t>
      </w:r>
      <w:r w:rsidRPr="00E845B2">
        <w:rPr>
          <w:rFonts w:ascii="Arial" w:hAnsi="Arial" w:cs="Arial"/>
          <w:sz w:val="18"/>
          <w:szCs w:val="18"/>
          <w:lang w:val="es-DO"/>
        </w:rPr>
        <w:t>RRHH</w:t>
      </w:r>
      <w:r>
        <w:rPr>
          <w:rFonts w:ascii="Arial" w:hAnsi="Arial" w:cs="Arial"/>
          <w:sz w:val="18"/>
          <w:szCs w:val="18"/>
          <w:lang w:val="es-DO"/>
        </w:rPr>
        <w:t>)</w:t>
      </w:r>
      <w:r w:rsidRPr="00E845B2">
        <w:rPr>
          <w:rFonts w:ascii="Arial" w:hAnsi="Arial" w:cs="Arial"/>
          <w:sz w:val="18"/>
          <w:szCs w:val="18"/>
          <w:lang w:val="es-DO"/>
        </w:rPr>
        <w:t>, DGII, 2015</w:t>
      </w:r>
      <w:r w:rsidRPr="00E845B2">
        <w:rPr>
          <w:rFonts w:ascii="Arial" w:hAnsi="Arial" w:cs="Arial"/>
          <w:sz w:val="18"/>
          <w:szCs w:val="18"/>
          <w:lang w:val="es-ES_tradnl"/>
        </w:rPr>
        <w:t xml:space="preserve">. Una de las iniciativas pendiente de implementar es un protocolo en caso de violencia y acoso. Según </w:t>
      </w:r>
      <w:hyperlink r:id="rId6" w:history="1">
        <w:r w:rsidRPr="00E845B2">
          <w:rPr>
            <w:rStyle w:val="Hyperlink"/>
            <w:rFonts w:ascii="Arial" w:hAnsi="Arial" w:cs="Arial"/>
            <w:sz w:val="18"/>
            <w:szCs w:val="18"/>
            <w:lang w:val="es-ES_tradnl"/>
          </w:rPr>
          <w:t>informe del Centro de Investigación para la Acción Femenina (2010)</w:t>
        </w:r>
      </w:hyperlink>
      <w:r w:rsidRPr="00E845B2">
        <w:rPr>
          <w:rFonts w:ascii="Arial" w:hAnsi="Arial" w:cs="Arial"/>
          <w:sz w:val="18"/>
          <w:szCs w:val="18"/>
          <w:lang w:val="es-ES_tradnl"/>
        </w:rPr>
        <w:t>, el acoso sexual en entidades públicas es de 31,9%</w:t>
      </w:r>
      <w:r>
        <w:rPr>
          <w:rFonts w:ascii="Arial" w:hAnsi="Arial" w:cs="Arial"/>
          <w:sz w:val="18"/>
          <w:szCs w:val="18"/>
          <w:lang w:val="es-ES_tradnl"/>
        </w:rPr>
        <w:t xml:space="preserve">, </w:t>
      </w:r>
      <w:r w:rsidRPr="00953FA2">
        <w:rPr>
          <w:rFonts w:ascii="Arial" w:hAnsi="Arial" w:cs="Arial"/>
          <w:sz w:val="18"/>
          <w:szCs w:val="18"/>
          <w:lang w:val="es-ES_tradnl"/>
        </w:rPr>
        <w:t>y </w:t>
      </w:r>
      <w:r w:rsidRPr="00885F4E">
        <w:rPr>
          <w:rFonts w:ascii="Arial" w:hAnsi="Arial" w:cs="Arial"/>
          <w:sz w:val="18"/>
          <w:szCs w:val="18"/>
          <w:lang w:val="es-ES"/>
        </w:rPr>
        <w:t>según el Sistema de Administración de Servidores Públicos, </w:t>
      </w:r>
      <w:r w:rsidRPr="007B066B">
        <w:rPr>
          <w:rFonts w:ascii="Arial" w:hAnsi="Arial" w:cs="Arial"/>
          <w:sz w:val="18"/>
          <w:szCs w:val="18"/>
          <w:lang w:val="es-ES_tradnl"/>
        </w:rPr>
        <w:t>el 64,19% de la fuerza laboral del sector público está compuesta por mujeres</w:t>
      </w:r>
      <w:r w:rsidRPr="00885F4E">
        <w:rPr>
          <w:rFonts w:ascii="Arial" w:hAnsi="Arial" w:cs="Arial"/>
          <w:sz w:val="18"/>
          <w:szCs w:val="18"/>
          <w:lang w:val="es-ES"/>
        </w:rPr>
        <w:t>. </w:t>
      </w:r>
      <w:r w:rsidRPr="007B066B">
        <w:rPr>
          <w:rFonts w:ascii="Arial" w:hAnsi="Arial" w:cs="Arial"/>
          <w:sz w:val="18"/>
          <w:szCs w:val="18"/>
          <w:lang w:val="es-ES_tradnl"/>
        </w:rPr>
        <w:t xml:space="preserve">El acoso sexual en el trabajo, además de violar los derechos, </w:t>
      </w:r>
      <w:r>
        <w:rPr>
          <w:rFonts w:ascii="Arial" w:hAnsi="Arial" w:cs="Arial"/>
          <w:sz w:val="18"/>
          <w:szCs w:val="18"/>
          <w:lang w:val="es-ES_tradnl"/>
        </w:rPr>
        <w:t>es</w:t>
      </w:r>
      <w:r w:rsidRPr="007B066B">
        <w:rPr>
          <w:rFonts w:ascii="Arial" w:hAnsi="Arial" w:cs="Arial"/>
          <w:sz w:val="18"/>
          <w:szCs w:val="18"/>
          <w:lang w:val="es-ES_tradnl"/>
        </w:rPr>
        <w:t xml:space="preserve"> identificado como factor que reduce la productividad en las víctimas, según la Organización Internacional del Trabajo (</w:t>
      </w:r>
      <w:hyperlink r:id="rId7" w:tgtFrame="_blank" w:history="1">
        <w:r w:rsidRPr="007B066B">
          <w:rPr>
            <w:rStyle w:val="Hyperlink"/>
            <w:rFonts w:ascii="Arial" w:hAnsi="Arial" w:cs="Arial"/>
            <w:sz w:val="18"/>
            <w:szCs w:val="18"/>
            <w:lang w:val="es-ES_tradnl"/>
          </w:rPr>
          <w:t>Reunión de expertos sobre la violencia contra las mujeres y los hombres en el mundo del trabajo, 2016</w:t>
        </w:r>
      </w:hyperlink>
      <w:r w:rsidRPr="007B066B">
        <w:rPr>
          <w:rFonts w:ascii="Arial" w:hAnsi="Arial" w:cs="Arial"/>
          <w:sz w:val="18"/>
          <w:szCs w:val="18"/>
          <w:lang w:val="es-ES_tradnl"/>
        </w:rPr>
        <w:t>).</w:t>
      </w:r>
    </w:p>
  </w:footnote>
  <w:footnote w:id="17">
    <w:p w14:paraId="421FCE43" w14:textId="77777777" w:rsidR="00E664AF" w:rsidRPr="00E845B2" w:rsidRDefault="00E664AF" w:rsidP="00D848CE">
      <w:pPr>
        <w:pStyle w:val="FootnoteText"/>
        <w:tabs>
          <w:tab w:val="left" w:pos="5580"/>
        </w:tabs>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En 2015, 28,7% de los casos requeridos fueron cerrados por información errónea. </w:t>
      </w:r>
      <w:hyperlink r:id="rId8" w:history="1">
        <w:r w:rsidRPr="00E845B2">
          <w:rPr>
            <w:rStyle w:val="Hyperlink"/>
            <w:rFonts w:ascii="Arial" w:hAnsi="Arial" w:cs="Arial"/>
            <w:sz w:val="18"/>
            <w:szCs w:val="18"/>
            <w:lang w:val="es-ES_tradnl"/>
          </w:rPr>
          <w:t>Fortalecimiento de la Fiscalización en la DGII, Trujillo, J., 2016</w:t>
        </w:r>
      </w:hyperlink>
      <w:r w:rsidRPr="00E845B2">
        <w:rPr>
          <w:rFonts w:ascii="Arial" w:hAnsi="Arial" w:cs="Arial"/>
          <w:sz w:val="18"/>
          <w:szCs w:val="18"/>
          <w:lang w:val="es-ES_tradnl"/>
        </w:rPr>
        <w:t>.</w:t>
      </w:r>
    </w:p>
  </w:footnote>
  <w:footnote w:id="18">
    <w:p w14:paraId="5938B47C" w14:textId="77777777" w:rsidR="00E664AF" w:rsidRPr="00E845B2" w:rsidRDefault="00E664AF" w:rsidP="00D848CE">
      <w:pPr>
        <w:pStyle w:val="FootnoteText"/>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El RNC no incluye personas físicas (ingresos </w:t>
      </w:r>
      <w:r>
        <w:rPr>
          <w:rFonts w:ascii="Arial" w:hAnsi="Arial" w:cs="Arial"/>
          <w:sz w:val="18"/>
          <w:szCs w:val="18"/>
          <w:lang w:val="es-ES_tradnl"/>
        </w:rPr>
        <w:t>inferiores a</w:t>
      </w:r>
      <w:r w:rsidRPr="00E845B2">
        <w:rPr>
          <w:rFonts w:ascii="Arial" w:hAnsi="Arial" w:cs="Arial"/>
          <w:sz w:val="18"/>
          <w:szCs w:val="18"/>
          <w:lang w:val="es-ES_tradnl"/>
        </w:rPr>
        <w:t>l mínimo exento</w:t>
      </w:r>
      <w:r>
        <w:rPr>
          <w:rFonts w:ascii="Arial" w:hAnsi="Arial" w:cs="Arial"/>
          <w:sz w:val="18"/>
          <w:szCs w:val="18"/>
          <w:lang w:val="es-ES_tradnl"/>
        </w:rPr>
        <w:t>)</w:t>
      </w:r>
      <w:r w:rsidRPr="00E845B2">
        <w:rPr>
          <w:rFonts w:ascii="Arial" w:hAnsi="Arial" w:cs="Arial"/>
          <w:sz w:val="18"/>
          <w:szCs w:val="18"/>
          <w:lang w:val="es-ES_tradnl"/>
        </w:rPr>
        <w:t xml:space="preserve">, pero si vehículos, incompatible con mejores prácticas internacionales. En 2010, la proporción de contribuyentes registrados respecto a población era 2,5%; el promedio de </w:t>
      </w:r>
      <w:r>
        <w:rPr>
          <w:rFonts w:ascii="Arial" w:hAnsi="Arial" w:cs="Arial"/>
          <w:sz w:val="18"/>
          <w:szCs w:val="18"/>
          <w:lang w:val="es-ES_tradnl"/>
        </w:rPr>
        <w:t>ALC,</w:t>
      </w:r>
      <w:r w:rsidRPr="00E845B2">
        <w:rPr>
          <w:rFonts w:ascii="Arial" w:hAnsi="Arial" w:cs="Arial"/>
          <w:sz w:val="18"/>
          <w:szCs w:val="18"/>
          <w:lang w:val="es-ES_tradnl"/>
        </w:rPr>
        <w:t xml:space="preserve"> 23% y el de la Organización para la Cooperación y el Desarrollo Económicos (OCDE)</w:t>
      </w:r>
      <w:r>
        <w:rPr>
          <w:rFonts w:ascii="Arial" w:hAnsi="Arial" w:cs="Arial"/>
          <w:sz w:val="18"/>
          <w:szCs w:val="18"/>
          <w:lang w:val="es-ES_tradnl"/>
        </w:rPr>
        <w:t>,</w:t>
      </w:r>
      <w:r w:rsidRPr="00E845B2">
        <w:rPr>
          <w:rFonts w:ascii="Arial" w:hAnsi="Arial" w:cs="Arial"/>
          <w:sz w:val="18"/>
          <w:szCs w:val="18"/>
          <w:lang w:val="es-ES_tradnl"/>
        </w:rPr>
        <w:t xml:space="preserve"> 59,2%. (BID - </w:t>
      </w:r>
      <w:r w:rsidRPr="00395101">
        <w:rPr>
          <w:rFonts w:ascii="Arial" w:hAnsi="Arial" w:cs="Arial"/>
          <w:sz w:val="18"/>
          <w:szCs w:val="18"/>
          <w:lang w:val="es-ES_tradnl"/>
        </w:rPr>
        <w:t>Centro Regional de Asistencia Técnica para Centroamérica, Panamá y República Dominicana</w:t>
      </w:r>
      <w:r>
        <w:rPr>
          <w:rFonts w:ascii="Arial" w:hAnsi="Arial" w:cs="Arial"/>
          <w:sz w:val="18"/>
          <w:szCs w:val="18"/>
          <w:lang w:val="es-ES_tradnl"/>
        </w:rPr>
        <w:t xml:space="preserve"> (</w:t>
      </w:r>
      <w:r w:rsidRPr="00E845B2">
        <w:rPr>
          <w:rFonts w:ascii="Arial" w:hAnsi="Arial" w:cs="Arial"/>
          <w:sz w:val="18"/>
          <w:szCs w:val="18"/>
          <w:lang w:val="es-ES_tradnl"/>
        </w:rPr>
        <w:t>CAPTAC-DR</w:t>
      </w:r>
      <w:r>
        <w:rPr>
          <w:rFonts w:ascii="Arial" w:hAnsi="Arial" w:cs="Arial"/>
          <w:sz w:val="18"/>
          <w:szCs w:val="18"/>
          <w:lang w:val="es-ES_tradnl"/>
        </w:rPr>
        <w:t>)</w:t>
      </w:r>
      <w:r w:rsidRPr="00E845B2">
        <w:rPr>
          <w:rFonts w:ascii="Arial" w:hAnsi="Arial" w:cs="Arial"/>
          <w:sz w:val="18"/>
          <w:szCs w:val="18"/>
          <w:lang w:val="es-ES_tradnl"/>
        </w:rPr>
        <w:t xml:space="preserve"> -</w:t>
      </w:r>
      <w:r>
        <w:rPr>
          <w:rFonts w:ascii="Arial" w:hAnsi="Arial" w:cs="Arial"/>
          <w:sz w:val="18"/>
          <w:szCs w:val="18"/>
          <w:lang w:val="es-ES_tradnl"/>
        </w:rPr>
        <w:t xml:space="preserve"> </w:t>
      </w:r>
      <w:r w:rsidRPr="00395101">
        <w:rPr>
          <w:rFonts w:ascii="Arial" w:hAnsi="Arial" w:cs="Arial"/>
          <w:sz w:val="18"/>
          <w:szCs w:val="18"/>
          <w:lang w:val="es-ES_tradnl"/>
        </w:rPr>
        <w:t>Centro Interamericano de Administraciones Tributarias</w:t>
      </w:r>
      <w:r w:rsidRPr="00E845B2">
        <w:rPr>
          <w:rFonts w:ascii="Arial" w:hAnsi="Arial" w:cs="Arial"/>
          <w:sz w:val="18"/>
          <w:szCs w:val="18"/>
          <w:lang w:val="es-ES_tradnl"/>
        </w:rPr>
        <w:t xml:space="preserve"> </w:t>
      </w:r>
      <w:r>
        <w:rPr>
          <w:rFonts w:ascii="Arial" w:hAnsi="Arial" w:cs="Arial"/>
          <w:sz w:val="18"/>
          <w:szCs w:val="18"/>
          <w:lang w:val="es-ES_tradnl"/>
        </w:rPr>
        <w:t>(</w:t>
      </w:r>
      <w:r w:rsidRPr="00E845B2">
        <w:rPr>
          <w:rFonts w:ascii="Arial" w:hAnsi="Arial" w:cs="Arial"/>
          <w:bCs/>
          <w:sz w:val="18"/>
          <w:szCs w:val="18"/>
          <w:lang w:val="es-ES_tradnl"/>
        </w:rPr>
        <w:t>CIAT</w:t>
      </w:r>
      <w:r>
        <w:rPr>
          <w:rFonts w:ascii="Arial" w:hAnsi="Arial" w:cs="Arial"/>
          <w:bCs/>
          <w:sz w:val="18"/>
          <w:szCs w:val="18"/>
          <w:lang w:val="es-ES_tradnl"/>
        </w:rPr>
        <w:t>)</w:t>
      </w:r>
      <w:r w:rsidRPr="00E845B2">
        <w:rPr>
          <w:rFonts w:ascii="Arial" w:hAnsi="Arial" w:cs="Arial"/>
          <w:sz w:val="18"/>
          <w:szCs w:val="18"/>
          <w:lang w:val="es-ES_tradnl"/>
        </w:rPr>
        <w:t>, Estado de la Administración Tributaria en América Latina: 2006-2010, 2013.</w:t>
      </w:r>
    </w:p>
  </w:footnote>
  <w:footnote w:id="19">
    <w:p w14:paraId="6F70D235" w14:textId="77777777" w:rsidR="00E664AF" w:rsidRPr="00E845B2" w:rsidRDefault="00E664AF" w:rsidP="00D848CE">
      <w:pPr>
        <w:pStyle w:val="FootnoteText"/>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Empresas legales que encubren actividades ilegales y normalmente existen solo en el papel.</w:t>
      </w:r>
    </w:p>
  </w:footnote>
  <w:footnote w:id="20">
    <w:p w14:paraId="563D414D" w14:textId="77777777" w:rsidR="00E664AF" w:rsidRPr="00E845B2" w:rsidRDefault="00E664AF" w:rsidP="00D848CE">
      <w:pPr>
        <w:pStyle w:val="FootnoteText"/>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R</w:t>
      </w:r>
      <w:r w:rsidRPr="00E845B2">
        <w:rPr>
          <w:rFonts w:ascii="Arial" w:hAnsi="Arial" w:cs="Arial"/>
          <w:color w:val="000000"/>
          <w:sz w:val="18"/>
          <w:szCs w:val="18"/>
          <w:lang w:val="es-ES_tradnl"/>
        </w:rPr>
        <w:t>epositorio único de información del contribuyente para el control de su cumplimiento tributario.</w:t>
      </w:r>
    </w:p>
  </w:footnote>
  <w:footnote w:id="21">
    <w:p w14:paraId="06FEFF2B" w14:textId="77777777" w:rsidR="00E664AF" w:rsidRPr="00E845B2" w:rsidRDefault="00E664AF" w:rsidP="00D848CE">
      <w:pPr>
        <w:pStyle w:val="FootnoteText"/>
        <w:tabs>
          <w:tab w:val="left" w:pos="5580"/>
        </w:tabs>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Toma 316 horas/año para las empresas pagar impuestos en R</w:t>
      </w:r>
      <w:r>
        <w:rPr>
          <w:rFonts w:ascii="Arial" w:hAnsi="Arial" w:cs="Arial"/>
          <w:sz w:val="18"/>
          <w:szCs w:val="18"/>
          <w:lang w:val="es-ES_tradnl"/>
        </w:rPr>
        <w:t>D</w:t>
      </w:r>
      <w:r w:rsidRPr="00E845B2">
        <w:rPr>
          <w:rFonts w:ascii="Arial" w:hAnsi="Arial" w:cs="Arial"/>
          <w:sz w:val="18"/>
          <w:szCs w:val="18"/>
          <w:lang w:val="es-ES_tradnl"/>
        </w:rPr>
        <w:t xml:space="preserve"> (promedio </w:t>
      </w:r>
      <w:r>
        <w:rPr>
          <w:rFonts w:ascii="Arial" w:hAnsi="Arial" w:cs="Arial"/>
          <w:sz w:val="18"/>
          <w:szCs w:val="18"/>
          <w:lang w:val="es-ES_tradnl"/>
        </w:rPr>
        <w:br/>
      </w:r>
      <w:r w:rsidRPr="00E845B2">
        <w:rPr>
          <w:rFonts w:ascii="Arial" w:hAnsi="Arial" w:cs="Arial"/>
          <w:sz w:val="18"/>
          <w:szCs w:val="18"/>
          <w:lang w:val="es-ES_tradnl"/>
        </w:rPr>
        <w:t>Centroamérica 269 y OCDE 176).</w:t>
      </w:r>
      <w:r w:rsidRPr="00E845B2">
        <w:rPr>
          <w:rFonts w:ascii="Arial" w:hAnsi="Arial" w:cs="Arial"/>
          <w:bCs/>
          <w:sz w:val="18"/>
          <w:szCs w:val="18"/>
          <w:lang w:val="es-ES_tradnl"/>
        </w:rPr>
        <w:t xml:space="preserve"> Díaz</w:t>
      </w:r>
      <w:r>
        <w:rPr>
          <w:rFonts w:ascii="Arial" w:hAnsi="Arial" w:cs="Arial"/>
          <w:bCs/>
          <w:sz w:val="18"/>
          <w:szCs w:val="18"/>
          <w:lang w:val="es-ES_tradnl"/>
        </w:rPr>
        <w:t>-</w:t>
      </w:r>
      <w:r w:rsidRPr="00E845B2">
        <w:rPr>
          <w:rFonts w:ascii="Arial" w:hAnsi="Arial" w:cs="Arial"/>
          <w:bCs/>
          <w:sz w:val="18"/>
          <w:szCs w:val="18"/>
          <w:lang w:val="es-ES_tradnl"/>
        </w:rPr>
        <w:t xml:space="preserve">Yubero y </w:t>
      </w:r>
      <w:r w:rsidRPr="00E845B2">
        <w:rPr>
          <w:rFonts w:ascii="Arial" w:hAnsi="Arial" w:cs="Arial"/>
          <w:sz w:val="18"/>
          <w:szCs w:val="18"/>
          <w:lang w:val="es-ES_tradnl"/>
        </w:rPr>
        <w:t>Vázquez, 2016.</w:t>
      </w:r>
    </w:p>
  </w:footnote>
  <w:footnote w:id="22">
    <w:p w14:paraId="7F8FC013" w14:textId="77777777" w:rsidR="00E664AF" w:rsidRPr="00E845B2" w:rsidRDefault="00E664AF" w:rsidP="00D848CE">
      <w:pPr>
        <w:pStyle w:val="FootnoteText"/>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Asistencia por internet limitada. Canal mayoritario es presencial (2,6 millones contribuyentes atendidos en 2015, la mayoría en relación a vehículos), telefónico (337.000 usuarios) e internet (50.000 usuarios).</w:t>
      </w:r>
      <w:r>
        <w:rPr>
          <w:rFonts w:ascii="Arial" w:hAnsi="Arial" w:cs="Arial"/>
          <w:sz w:val="18"/>
          <w:szCs w:val="18"/>
          <w:lang w:val="es-ES_tradnl"/>
        </w:rPr>
        <w:br/>
      </w:r>
      <w:r w:rsidRPr="00E845B2">
        <w:rPr>
          <w:rFonts w:ascii="Arial" w:hAnsi="Arial" w:cs="Arial"/>
          <w:sz w:val="18"/>
          <w:szCs w:val="18"/>
          <w:lang w:val="es-ES_tradnl"/>
        </w:rPr>
        <w:t>FAD, 2016, pág. 37.</w:t>
      </w:r>
    </w:p>
  </w:footnote>
  <w:footnote w:id="23">
    <w:p w14:paraId="48C8A697" w14:textId="77777777" w:rsidR="00E664AF" w:rsidRPr="00E845B2" w:rsidRDefault="00E664AF" w:rsidP="00D848CE">
      <w:pPr>
        <w:pStyle w:val="FootnoteText"/>
        <w:ind w:left="360" w:hanging="36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En solicitudes presentadas por los contribuyentes se aplica el silencio administrativo positivo</w:t>
      </w:r>
      <w:r>
        <w:rPr>
          <w:rFonts w:ascii="Arial" w:hAnsi="Arial" w:cs="Arial"/>
          <w:sz w:val="18"/>
          <w:szCs w:val="18"/>
          <w:lang w:val="es-ES_tradnl"/>
        </w:rPr>
        <w:t xml:space="preserve"> pasados</w:t>
      </w:r>
      <w:r w:rsidRPr="00E845B2">
        <w:rPr>
          <w:rFonts w:ascii="Arial" w:hAnsi="Arial" w:cs="Arial"/>
          <w:sz w:val="18"/>
          <w:szCs w:val="18"/>
          <w:lang w:val="es-ES_tradnl"/>
        </w:rPr>
        <w:t xml:space="preserve"> dos meses.</w:t>
      </w:r>
    </w:p>
  </w:footnote>
  <w:footnote w:id="24">
    <w:p w14:paraId="54ABDB47"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r>
      <w:r w:rsidRPr="00E845B2">
        <w:rPr>
          <w:rFonts w:ascii="Arial" w:hAnsi="Arial" w:cs="Arial"/>
          <w:bCs/>
          <w:sz w:val="18"/>
          <w:szCs w:val="18"/>
          <w:lang w:val="es-ES_tradnl"/>
        </w:rPr>
        <w:t>La mora se controla manualmente</w:t>
      </w:r>
      <w:r w:rsidRPr="00E845B2">
        <w:rPr>
          <w:rFonts w:ascii="Arial" w:hAnsi="Arial" w:cs="Arial"/>
          <w:sz w:val="18"/>
          <w:szCs w:val="18"/>
          <w:lang w:val="es-ES_tradnl"/>
        </w:rPr>
        <w:t>. En 2010, se recuperó 6,8% de la deuda morosa.</w:t>
      </w:r>
      <w:bookmarkStart w:id="5" w:name="_Hlk482606669"/>
      <w:r>
        <w:rPr>
          <w:rFonts w:ascii="Arial" w:hAnsi="Arial" w:cs="Arial"/>
          <w:sz w:val="18"/>
          <w:szCs w:val="18"/>
          <w:lang w:val="es-ES_tradnl"/>
        </w:rPr>
        <w:t xml:space="preserve"> </w:t>
      </w:r>
      <w:r w:rsidRPr="00E845B2">
        <w:rPr>
          <w:rFonts w:ascii="Arial" w:hAnsi="Arial" w:cs="Arial"/>
          <w:sz w:val="18"/>
          <w:szCs w:val="18"/>
          <w:lang w:val="es-ES_tradnl"/>
        </w:rPr>
        <w:t>BID-CAPTAC-DR-CIAT, 2013</w:t>
      </w:r>
      <w:bookmarkEnd w:id="5"/>
      <w:r w:rsidRPr="00E845B2">
        <w:rPr>
          <w:rFonts w:ascii="Arial" w:hAnsi="Arial" w:cs="Arial"/>
          <w:sz w:val="18"/>
          <w:szCs w:val="18"/>
          <w:lang w:val="es-ES_tradnl"/>
        </w:rPr>
        <w:t>.</w:t>
      </w:r>
    </w:p>
  </w:footnote>
  <w:footnote w:id="25">
    <w:p w14:paraId="60080643"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Cobertura de la fiscalización interna y externa en grandes contribuyentes fue promedio 42,7% y 3,8% para el resto de contribuyentes (2015). </w:t>
      </w:r>
      <w:r w:rsidRPr="00E845B2">
        <w:rPr>
          <w:rFonts w:ascii="Arial" w:hAnsi="Arial" w:cs="Arial"/>
          <w:bCs/>
          <w:sz w:val="18"/>
          <w:szCs w:val="18"/>
          <w:lang w:val="es-ES_tradnl"/>
        </w:rPr>
        <w:t>Trujillo, 2016.</w:t>
      </w:r>
    </w:p>
  </w:footnote>
  <w:footnote w:id="26">
    <w:p w14:paraId="2EE51F84"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Área de control tributario distribuida en instancias tácticas y operativas y cuatro subdirecciones (Planificación, Fiscalización, General y Recaudación), </w:t>
      </w:r>
      <w:r w:rsidRPr="00E845B2">
        <w:rPr>
          <w:rFonts w:ascii="Arial" w:hAnsi="Arial" w:cs="Arial"/>
          <w:bCs/>
          <w:sz w:val="18"/>
          <w:szCs w:val="18"/>
          <w:lang w:val="es-ES_tradnl"/>
        </w:rPr>
        <w:t>sin coordin</w:t>
      </w:r>
      <w:r>
        <w:rPr>
          <w:rFonts w:ascii="Arial" w:hAnsi="Arial" w:cs="Arial"/>
          <w:bCs/>
          <w:sz w:val="18"/>
          <w:szCs w:val="18"/>
          <w:lang w:val="es-ES_tradnl"/>
        </w:rPr>
        <w:t xml:space="preserve">ación, llevando a redundancias. </w:t>
      </w:r>
      <w:r w:rsidRPr="00E845B2">
        <w:rPr>
          <w:rFonts w:ascii="Arial" w:hAnsi="Arial" w:cs="Arial"/>
          <w:sz w:val="18"/>
          <w:szCs w:val="18"/>
          <w:lang w:val="es-ES_tradnl"/>
        </w:rPr>
        <w:t>Trujillo, 2016.</w:t>
      </w:r>
    </w:p>
  </w:footnote>
  <w:footnote w:id="27">
    <w:p w14:paraId="26F6E95D"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Desde 2014 se han detectado 3.764.232 omisiones por declaración ITBIS, pero sólo se aplica</w:t>
      </w:r>
      <w:r>
        <w:rPr>
          <w:rFonts w:ascii="Arial" w:hAnsi="Arial" w:cs="Arial"/>
          <w:sz w:val="18"/>
          <w:szCs w:val="18"/>
          <w:lang w:val="es-ES_tradnl"/>
        </w:rPr>
        <w:t>ron</w:t>
      </w:r>
      <w:r w:rsidRPr="00E845B2">
        <w:rPr>
          <w:rFonts w:ascii="Arial" w:hAnsi="Arial" w:cs="Arial"/>
          <w:sz w:val="18"/>
          <w:szCs w:val="18"/>
          <w:lang w:val="es-ES_tradnl"/>
        </w:rPr>
        <w:t xml:space="preserve"> 431 multas. Relación multas/contribuyentes activos fue 0,25% en 2015.</w:t>
      </w:r>
      <w:r w:rsidRPr="00E845B2">
        <w:rPr>
          <w:rFonts w:ascii="Arial" w:eastAsia="Calibri" w:hAnsi="Arial" w:cs="Arial"/>
          <w:sz w:val="18"/>
          <w:szCs w:val="18"/>
          <w:lang w:val="es-ES_tradnl"/>
        </w:rPr>
        <w:t xml:space="preserve"> </w:t>
      </w:r>
      <w:r w:rsidRPr="00E845B2">
        <w:rPr>
          <w:rFonts w:ascii="Arial" w:hAnsi="Arial" w:cs="Arial"/>
          <w:sz w:val="18"/>
          <w:szCs w:val="18"/>
          <w:lang w:val="es-ES_tradnl"/>
        </w:rPr>
        <w:t>Información DGII, 2016.</w:t>
      </w:r>
    </w:p>
  </w:footnote>
  <w:footnote w:id="28">
    <w:p w14:paraId="1EC788F0" w14:textId="77777777" w:rsidR="00E664AF" w:rsidRPr="003D0C40" w:rsidRDefault="00E664AF" w:rsidP="003D0C40">
      <w:pPr>
        <w:pStyle w:val="FootnoteText"/>
        <w:ind w:left="270" w:right="86" w:hanging="270"/>
        <w:contextualSpacing/>
        <w:jc w:val="both"/>
        <w:rPr>
          <w:rFonts w:ascii="Arial" w:hAnsi="Arial" w:cs="Arial"/>
          <w:sz w:val="18"/>
          <w:szCs w:val="18"/>
          <w:lang w:val="es-ES_tradnl"/>
        </w:rPr>
      </w:pPr>
      <w:r w:rsidRPr="003D0C40">
        <w:rPr>
          <w:rStyle w:val="FootnoteReference"/>
          <w:rFonts w:ascii="Arial" w:hAnsi="Arial" w:cs="Arial"/>
          <w:sz w:val="18"/>
          <w:szCs w:val="18"/>
        </w:rPr>
        <w:footnoteRef/>
      </w:r>
      <w:r w:rsidRPr="003D0C40">
        <w:rPr>
          <w:rFonts w:ascii="Arial" w:hAnsi="Arial" w:cs="Arial"/>
          <w:sz w:val="18"/>
          <w:szCs w:val="18"/>
          <w:lang w:val="es-ES_tradnl"/>
        </w:rPr>
        <w:t xml:space="preserve"> </w:t>
      </w:r>
      <w:r w:rsidRPr="003D0C40">
        <w:rPr>
          <w:rFonts w:ascii="Arial" w:hAnsi="Arial" w:cs="Arial"/>
          <w:sz w:val="18"/>
          <w:szCs w:val="18"/>
          <w:lang w:val="es-ES_tradnl"/>
        </w:rPr>
        <w:tab/>
        <w:t>El principal servicio de la OFV que utilizan los contribuyentes es el de presentación de declaraciones de renta e ITBIS (PETI, párr. 77).</w:t>
      </w:r>
    </w:p>
  </w:footnote>
  <w:footnote w:id="29">
    <w:p w14:paraId="67DD1462" w14:textId="77777777" w:rsidR="00E664AF" w:rsidRPr="003D0C40" w:rsidRDefault="00E664AF" w:rsidP="003D0C40">
      <w:pPr>
        <w:pStyle w:val="FootnoteText"/>
        <w:ind w:left="270" w:right="86" w:hanging="270"/>
        <w:contextualSpacing/>
        <w:jc w:val="both"/>
        <w:rPr>
          <w:rFonts w:ascii="Arial" w:hAnsi="Arial" w:cs="Arial"/>
          <w:sz w:val="18"/>
          <w:szCs w:val="18"/>
          <w:lang w:val="es-ES_tradnl"/>
        </w:rPr>
      </w:pPr>
      <w:r w:rsidRPr="003D0C40">
        <w:rPr>
          <w:rStyle w:val="FootnoteReference"/>
          <w:rFonts w:ascii="Arial" w:hAnsi="Arial" w:cs="Arial"/>
          <w:sz w:val="18"/>
          <w:szCs w:val="18"/>
        </w:rPr>
        <w:footnoteRef/>
      </w:r>
      <w:r w:rsidRPr="003D0C40">
        <w:rPr>
          <w:rFonts w:ascii="Arial" w:hAnsi="Arial" w:cs="Arial"/>
          <w:sz w:val="18"/>
          <w:szCs w:val="18"/>
          <w:lang w:val="es-ES_tradnl"/>
        </w:rPr>
        <w:t xml:space="preserve"> </w:t>
      </w:r>
      <w:r w:rsidRPr="003D0C40">
        <w:rPr>
          <w:rFonts w:ascii="Arial" w:hAnsi="Arial" w:cs="Arial"/>
          <w:sz w:val="18"/>
          <w:szCs w:val="18"/>
          <w:lang w:val="es-ES_tradnl"/>
        </w:rPr>
        <w:tab/>
        <w:t xml:space="preserve">No se controla la correcta autenticación de contribuyentes y representantes, la validez técnica y legal de las transacciones y notificaciones efectuadas por la OFV, garantía de la disponibilidad del servicio, seguridad frente a ataques externos, etc. (PETI, párr. 76). </w:t>
      </w:r>
    </w:p>
  </w:footnote>
  <w:footnote w:id="30">
    <w:p w14:paraId="2763F275" w14:textId="77777777" w:rsidR="00E664AF" w:rsidRPr="003D0C40" w:rsidRDefault="00E664AF" w:rsidP="003D0C40">
      <w:pPr>
        <w:pStyle w:val="FootnoteText"/>
        <w:ind w:left="270" w:right="86" w:hanging="270"/>
        <w:contextualSpacing/>
        <w:jc w:val="both"/>
        <w:rPr>
          <w:rFonts w:ascii="Arial" w:hAnsi="Arial" w:cs="Arial"/>
          <w:sz w:val="18"/>
          <w:szCs w:val="18"/>
          <w:lang w:val="es-ES_tradnl"/>
        </w:rPr>
      </w:pPr>
      <w:r w:rsidRPr="003D0C40">
        <w:rPr>
          <w:rStyle w:val="FootnoteReference"/>
          <w:rFonts w:ascii="Arial" w:hAnsi="Arial" w:cs="Arial"/>
          <w:sz w:val="18"/>
          <w:szCs w:val="18"/>
        </w:rPr>
        <w:footnoteRef/>
      </w:r>
      <w:r w:rsidRPr="003D0C40">
        <w:rPr>
          <w:rFonts w:ascii="Arial" w:hAnsi="Arial" w:cs="Arial"/>
          <w:sz w:val="18"/>
          <w:szCs w:val="18"/>
          <w:lang w:val="es-ES_tradnl"/>
        </w:rPr>
        <w:t xml:space="preserve"> </w:t>
      </w:r>
      <w:r w:rsidRPr="003D0C40">
        <w:rPr>
          <w:rFonts w:ascii="Arial" w:hAnsi="Arial" w:cs="Arial"/>
          <w:sz w:val="18"/>
          <w:szCs w:val="18"/>
          <w:lang w:val="es-ES_tradnl"/>
        </w:rPr>
        <w:tab/>
        <w:t>DGII no cuenta con una capa de integración de l</w:t>
      </w:r>
      <w:r w:rsidRPr="003D0C40">
        <w:rPr>
          <w:rFonts w:ascii="Arial" w:hAnsi="Arial" w:cs="Arial"/>
          <w:sz w:val="18"/>
          <w:szCs w:val="18"/>
          <w:lang w:val="es-ES_tradnl" w:eastAsia="es-ES"/>
        </w:rPr>
        <w:t xml:space="preserve">a información que involucre todos los procesos y negocios </w:t>
      </w:r>
      <w:r w:rsidRPr="003D0C40">
        <w:rPr>
          <w:rFonts w:ascii="Arial" w:hAnsi="Arial" w:cs="Arial"/>
          <w:sz w:val="18"/>
          <w:szCs w:val="18"/>
          <w:lang w:val="es-ES_tradnl"/>
        </w:rPr>
        <w:t>(FAD 2016, párr. 42).</w:t>
      </w:r>
    </w:p>
  </w:footnote>
  <w:footnote w:id="31">
    <w:p w14:paraId="405939D6" w14:textId="77777777" w:rsidR="00E664AF" w:rsidRPr="003D0C40" w:rsidRDefault="00E664AF" w:rsidP="003D0C40">
      <w:pPr>
        <w:pStyle w:val="FootnoteText"/>
        <w:ind w:left="270" w:hanging="270"/>
        <w:contextualSpacing/>
        <w:jc w:val="both"/>
        <w:rPr>
          <w:rFonts w:ascii="Arial" w:hAnsi="Arial" w:cs="Arial"/>
          <w:sz w:val="18"/>
          <w:szCs w:val="18"/>
          <w:lang w:val="es-ES_tradnl"/>
        </w:rPr>
      </w:pPr>
      <w:r w:rsidRPr="003D0C40">
        <w:rPr>
          <w:rStyle w:val="FootnoteReference"/>
          <w:rFonts w:ascii="Arial" w:hAnsi="Arial" w:cs="Arial"/>
          <w:sz w:val="18"/>
          <w:szCs w:val="18"/>
        </w:rPr>
        <w:footnoteRef/>
      </w:r>
      <w:r w:rsidRPr="003D0C40">
        <w:rPr>
          <w:rFonts w:ascii="Arial" w:hAnsi="Arial" w:cs="Arial"/>
          <w:sz w:val="18"/>
          <w:szCs w:val="18"/>
          <w:lang w:val="es-ES_tradnl"/>
        </w:rPr>
        <w:t xml:space="preserve"> </w:t>
      </w:r>
      <w:r w:rsidRPr="003D0C40">
        <w:rPr>
          <w:rFonts w:ascii="Arial" w:hAnsi="Arial" w:cs="Arial"/>
          <w:sz w:val="18"/>
          <w:szCs w:val="18"/>
          <w:lang w:val="es-ES_tradnl"/>
        </w:rPr>
        <w:tab/>
        <w:t xml:space="preserve">Significa en qué grado los componentes tecnológicos de la organización (información, sistemas de información y de comunicaciones) se alinean o satisfacen las necesidades de Tecnologías de la Información y la Comunicación (TIC) de la organización. </w:t>
      </w:r>
    </w:p>
  </w:footnote>
  <w:footnote w:id="32">
    <w:p w14:paraId="18ED4EB0" w14:textId="77777777" w:rsidR="00E664AF" w:rsidRPr="00E845B2" w:rsidRDefault="00E664AF" w:rsidP="00D848CE">
      <w:pPr>
        <w:pStyle w:val="FootnoteText"/>
        <w:ind w:left="270" w:hanging="270"/>
        <w:rPr>
          <w:rFonts w:ascii="Arial" w:hAnsi="Arial" w:cs="Arial"/>
          <w:i/>
          <w:sz w:val="18"/>
          <w:szCs w:val="18"/>
          <w:lang w:val="es-ES_tradnl"/>
        </w:rPr>
      </w:pPr>
      <w:r w:rsidRPr="00E845B2">
        <w:rPr>
          <w:rFonts w:ascii="Arial" w:hAnsi="Arial" w:cs="Arial"/>
          <w:sz w:val="18"/>
          <w:szCs w:val="18"/>
          <w:vertAlign w:val="superscript"/>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Desviaciones del presupuesto planificado respecto el ejecutado.</w:t>
      </w:r>
      <w:r w:rsidRPr="00E845B2">
        <w:rPr>
          <w:rFonts w:ascii="Arial" w:hAnsi="Arial" w:cs="Arial"/>
          <w:i/>
          <w:sz w:val="18"/>
          <w:szCs w:val="18"/>
          <w:lang w:val="es-ES_tradnl"/>
        </w:rPr>
        <w:t xml:space="preserve"> </w:t>
      </w:r>
      <w:hyperlink r:id="rId9" w:history="1">
        <w:r w:rsidRPr="0077196F">
          <w:rPr>
            <w:rStyle w:val="Hyperlink"/>
            <w:rFonts w:ascii="Arial" w:hAnsi="Arial" w:cs="Arial"/>
            <w:i/>
            <w:sz w:val="18"/>
            <w:szCs w:val="18"/>
            <w:lang w:val="es-ES_tradnl"/>
          </w:rPr>
          <w:t>Public Expenditure and Financial Accountability (PEFA)</w:t>
        </w:r>
        <w:r w:rsidRPr="0077196F">
          <w:rPr>
            <w:rStyle w:val="Hyperlink"/>
            <w:rFonts w:ascii="Arial" w:hAnsi="Arial" w:cs="Arial"/>
            <w:sz w:val="18"/>
            <w:szCs w:val="18"/>
            <w:lang w:val="es-ES_tradnl"/>
          </w:rPr>
          <w:t>, 2016</w:t>
        </w:r>
      </w:hyperlink>
      <w:r w:rsidRPr="00E845B2">
        <w:rPr>
          <w:rFonts w:ascii="Arial" w:hAnsi="Arial" w:cs="Arial"/>
          <w:i/>
          <w:sz w:val="18"/>
          <w:szCs w:val="18"/>
          <w:lang w:val="es-ES_tradnl"/>
        </w:rPr>
        <w:t>.</w:t>
      </w:r>
    </w:p>
  </w:footnote>
  <w:footnote w:id="33">
    <w:p w14:paraId="62F08596"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PEFA, 2016. ID-14 Previsiones macroeconómicas y fiscales, subindicador análisis de sostenibilidad macrofiscal, calificación D. El presupuesto no incluye escenarios fiscales ni análisis de sensibilidad basados en factores de riesgo externos que impacten sobre ingresos y gastos.</w:t>
      </w:r>
    </w:p>
  </w:footnote>
  <w:footnote w:id="34">
    <w:p w14:paraId="4041A88E"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PEFA, 2016, ID-16 Perspectiva de mediano plazo para la p</w:t>
      </w:r>
      <w:r>
        <w:rPr>
          <w:rFonts w:ascii="Arial" w:hAnsi="Arial" w:cs="Arial"/>
          <w:sz w:val="18"/>
          <w:szCs w:val="18"/>
          <w:lang w:val="es-ES_tradnl"/>
        </w:rPr>
        <w:t>resupuestación del gasto, l</w:t>
      </w:r>
      <w:r w:rsidRPr="00E845B2">
        <w:rPr>
          <w:rFonts w:ascii="Arial" w:hAnsi="Arial" w:cs="Arial"/>
          <w:sz w:val="18"/>
          <w:szCs w:val="18"/>
          <w:lang w:val="es-ES_tradnl"/>
        </w:rPr>
        <w:t>ímites de gasto de mediano plazo, calificación D. No se establecen límites máximos de gasto para el mediano plazo.</w:t>
      </w:r>
    </w:p>
  </w:footnote>
  <w:footnote w:id="35">
    <w:p w14:paraId="31EC19FE"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Existen programas y unidades administrativas creadas por Decreto Ejecutivo que representan duplicación de funciones. El Banco apoya la elaboración de un estudio en cinco instituciones estatales para identificar estas redundancias de gastos.</w:t>
      </w:r>
    </w:p>
  </w:footnote>
  <w:footnote w:id="36">
    <w:p w14:paraId="49ADE6E9"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Unidad de Política Fiscal del MH.</w:t>
      </w:r>
    </w:p>
  </w:footnote>
  <w:footnote w:id="37">
    <w:p w14:paraId="398E63BE"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Poder legislativo, judicial, electoral y órganos constitutivos.</w:t>
      </w:r>
    </w:p>
  </w:footnote>
  <w:footnote w:id="38">
    <w:p w14:paraId="26954C7D" w14:textId="77777777" w:rsidR="00E664AF" w:rsidRPr="00E845B2" w:rsidRDefault="00E664AF" w:rsidP="00D848CE">
      <w:pPr>
        <w:autoSpaceDE w:val="0"/>
        <w:autoSpaceDN w:val="0"/>
        <w:adjustRightInd w:val="0"/>
        <w:spacing w:after="0"/>
        <w:ind w:left="274" w:hanging="274"/>
        <w:contextualSpacing/>
        <w:jc w:val="both"/>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PEFA</w:t>
      </w:r>
      <w:r>
        <w:rPr>
          <w:rFonts w:ascii="Arial" w:hAnsi="Arial" w:cs="Arial"/>
          <w:sz w:val="18"/>
          <w:szCs w:val="18"/>
          <w:lang w:val="es-ES_tradnl"/>
        </w:rPr>
        <w:t>,</w:t>
      </w:r>
      <w:r w:rsidRPr="00E845B2">
        <w:rPr>
          <w:rFonts w:ascii="Arial" w:hAnsi="Arial" w:cs="Arial"/>
          <w:sz w:val="18"/>
          <w:szCs w:val="18"/>
          <w:lang w:val="es-ES_tradnl"/>
        </w:rPr>
        <w:t xml:space="preserve"> 2016, ID-27 Integridad de los datos financieros, cuentas de anticipos, calificación D. Anticipos a contratistas están dentro de un valor material por conciliar de años anteriores.</w:t>
      </w:r>
    </w:p>
  </w:footnote>
  <w:footnote w:id="39">
    <w:p w14:paraId="48A4106E" w14:textId="77777777" w:rsidR="00E664AF" w:rsidRPr="00E845B2" w:rsidRDefault="00E664AF" w:rsidP="00D848CE">
      <w:pPr>
        <w:pStyle w:val="FootnoteText"/>
        <w:ind w:left="274" w:hanging="274"/>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98% de los pagos se registran simultáneamente con el compromiso y el devengado (SIGEF, 2016).</w:t>
      </w:r>
    </w:p>
  </w:footnote>
  <w:footnote w:id="40">
    <w:p w14:paraId="59172E91"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Se utiliza aplicación </w:t>
      </w:r>
      <w:r w:rsidRPr="00E845B2">
        <w:rPr>
          <w:rFonts w:ascii="Arial" w:hAnsi="Arial" w:cs="Arial"/>
          <w:i/>
          <w:sz w:val="18"/>
          <w:szCs w:val="18"/>
          <w:lang w:val="es-ES_tradnl"/>
        </w:rPr>
        <w:t>stand-alone</w:t>
      </w:r>
      <w:r w:rsidRPr="00E845B2">
        <w:rPr>
          <w:rFonts w:ascii="Arial" w:hAnsi="Arial" w:cs="Arial"/>
          <w:sz w:val="18"/>
          <w:szCs w:val="18"/>
          <w:lang w:val="es-ES_tradnl"/>
        </w:rPr>
        <w:t>, Unidad Ejecutora de Proyectos con Financiamiento Externo (UEPEX). En 2015, el financiamiento multilateral y bilateral del gobierno central alcanzó 2,1% del PIB</w:t>
      </w:r>
      <w:r>
        <w:rPr>
          <w:rFonts w:ascii="Arial" w:hAnsi="Arial" w:cs="Arial"/>
          <w:sz w:val="18"/>
          <w:szCs w:val="18"/>
          <w:lang w:val="es-ES_tradnl"/>
        </w:rPr>
        <w:t>,</w:t>
      </w:r>
      <w:r w:rsidRPr="00E845B2">
        <w:rPr>
          <w:rFonts w:ascii="Arial" w:hAnsi="Arial" w:cs="Arial"/>
          <w:sz w:val="18"/>
          <w:szCs w:val="18"/>
          <w:lang w:val="es-ES_tradnl"/>
        </w:rPr>
        <w:t xml:space="preserve"> BCRD.</w:t>
      </w:r>
    </w:p>
  </w:footnote>
  <w:footnote w:id="41">
    <w:p w14:paraId="69624C03"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 xml:space="preserve">Dos de los cinco principales informes </w:t>
      </w:r>
      <w:r>
        <w:rPr>
          <w:rFonts w:ascii="Arial" w:hAnsi="Arial" w:cs="Arial"/>
          <w:sz w:val="18"/>
          <w:szCs w:val="18"/>
          <w:lang w:val="es-ES_tradnl"/>
        </w:rPr>
        <w:t>de rendición de cuenta se genera</w:t>
      </w:r>
      <w:r w:rsidRPr="00E845B2">
        <w:rPr>
          <w:rFonts w:ascii="Arial" w:hAnsi="Arial" w:cs="Arial"/>
          <w:sz w:val="18"/>
          <w:szCs w:val="18"/>
          <w:lang w:val="es-ES_tradnl"/>
        </w:rPr>
        <w:t>n automáticamente.</w:t>
      </w:r>
    </w:p>
  </w:footnote>
  <w:footnote w:id="42">
    <w:p w14:paraId="7B0AF909" w14:textId="77777777" w:rsidR="00E664AF" w:rsidRPr="00E845B2" w:rsidRDefault="00E664AF" w:rsidP="00D848CE">
      <w:pPr>
        <w:pStyle w:val="FootnoteText"/>
        <w:tabs>
          <w:tab w:val="left" w:pos="360"/>
        </w:tabs>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SIGEF no interopera con otros sistemas de apoyo a la ejecución presupuestaria, como el Sistema de Gestión y Análisis de la Deuda (SIGADE).</w:t>
      </w:r>
    </w:p>
  </w:footnote>
  <w:footnote w:id="43">
    <w:p w14:paraId="6F00C853"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Tienen</w:t>
      </w:r>
      <w:r w:rsidRPr="00E845B2">
        <w:rPr>
          <w:rFonts w:ascii="Arial" w:eastAsia="Arial" w:hAnsi="Arial" w:cs="Arial"/>
          <w:sz w:val="18"/>
          <w:szCs w:val="18"/>
          <w:lang w:val="es-ES_tradnl"/>
        </w:rPr>
        <w:t xml:space="preserve"> 17.000 títulos públicos d</w:t>
      </w:r>
      <w:r w:rsidRPr="00E845B2">
        <w:rPr>
          <w:rFonts w:ascii="Arial" w:hAnsi="Arial" w:cs="Arial"/>
          <w:sz w:val="18"/>
          <w:szCs w:val="18"/>
          <w:lang w:val="es-ES_tradnl"/>
        </w:rPr>
        <w:t>e aproximadamente 100.000 bienes inmuebles. Dirección General de Bienes Nacionales.</w:t>
      </w:r>
    </w:p>
  </w:footnote>
  <w:footnote w:id="44">
    <w:p w14:paraId="0C121450"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Dirección General de Contabilidad Gubernamental.</w:t>
      </w:r>
    </w:p>
  </w:footnote>
  <w:footnote w:id="45">
    <w:p w14:paraId="2CA1F3CA" w14:textId="77777777" w:rsidR="00E664AF" w:rsidRPr="00E845B2" w:rsidRDefault="00E664AF" w:rsidP="00D848CE">
      <w:pPr>
        <w:pStyle w:val="FootnoteText"/>
        <w:ind w:left="270" w:hanging="270"/>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La Dirección de Catastro está actualizando su sistema, que permitiría georeferenciar y digitalizar datos de inmuebles públicos, incluyendo título de propiedad.</w:t>
      </w:r>
    </w:p>
  </w:footnote>
  <w:footnote w:id="46">
    <w:p w14:paraId="5CE8B59E" w14:textId="77777777" w:rsidR="00E664AF" w:rsidRPr="00E845B2" w:rsidRDefault="00E664AF" w:rsidP="00D848CE">
      <w:pPr>
        <w:pStyle w:val="FootnoteText"/>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Pr>
          <w:rFonts w:ascii="Arial" w:hAnsi="Arial" w:cs="Arial"/>
          <w:sz w:val="18"/>
          <w:szCs w:val="18"/>
          <w:lang w:val="es-ES_tradnl"/>
        </w:rPr>
        <w:tab/>
      </w:r>
      <w:r w:rsidRPr="00E845B2">
        <w:rPr>
          <w:rFonts w:ascii="Arial" w:hAnsi="Arial" w:cs="Arial"/>
          <w:sz w:val="18"/>
          <w:szCs w:val="18"/>
          <w:lang w:val="es-ES_tradnl"/>
        </w:rPr>
        <w:t xml:space="preserve">Incluye implementación del protocolo de canalización y acompañamiento de casos de violencia y acoso. </w:t>
      </w:r>
    </w:p>
  </w:footnote>
  <w:footnote w:id="47">
    <w:p w14:paraId="668C66A8" w14:textId="77777777" w:rsidR="00E664AF" w:rsidRPr="003E535A" w:rsidRDefault="00E664AF" w:rsidP="00D848CE">
      <w:pPr>
        <w:pStyle w:val="FootnoteText"/>
        <w:ind w:left="270" w:hanging="270"/>
        <w:rPr>
          <w:lang w:val="es-ES_tradnl"/>
        </w:rPr>
      </w:pPr>
      <w:r>
        <w:rPr>
          <w:rStyle w:val="FootnoteReference"/>
        </w:rPr>
        <w:footnoteRef/>
      </w:r>
      <w:r w:rsidRPr="005E18C0">
        <w:rPr>
          <w:lang w:val="es-ES_tradnl"/>
        </w:rPr>
        <w:t xml:space="preserve"> </w:t>
      </w:r>
      <w:r>
        <w:rPr>
          <w:lang w:val="es-ES_tradnl"/>
        </w:rPr>
        <w:t xml:space="preserve"> </w:t>
      </w:r>
      <w:r w:rsidRPr="005E18C0">
        <w:rPr>
          <w:rFonts w:ascii="Arial" w:hAnsi="Arial" w:cs="Arial"/>
          <w:sz w:val="18"/>
          <w:szCs w:val="18"/>
          <w:lang w:val="es-ES_tradnl"/>
        </w:rPr>
        <w:t xml:space="preserve">La revisión </w:t>
      </w:r>
      <w:r>
        <w:rPr>
          <w:rFonts w:ascii="Arial" w:hAnsi="Arial" w:cs="Arial"/>
          <w:sz w:val="18"/>
          <w:szCs w:val="18"/>
          <w:lang w:val="es-ES_tradnl"/>
        </w:rPr>
        <w:t>de la estructura organizacional</w:t>
      </w:r>
      <w:r w:rsidRPr="00357303">
        <w:rPr>
          <w:rFonts w:ascii="Arial" w:hAnsi="Arial" w:cs="Arial"/>
          <w:sz w:val="18"/>
          <w:szCs w:val="18"/>
          <w:lang w:val="es-ES_tradnl"/>
        </w:rPr>
        <w:t xml:space="preserve"> </w:t>
      </w:r>
      <w:r>
        <w:rPr>
          <w:rFonts w:ascii="Arial" w:hAnsi="Arial" w:cs="Arial"/>
          <w:sz w:val="18"/>
          <w:szCs w:val="18"/>
          <w:lang w:val="es-ES_tradnl"/>
        </w:rPr>
        <w:t>p</w:t>
      </w:r>
      <w:r w:rsidRPr="005E18C0">
        <w:rPr>
          <w:rFonts w:ascii="Arial" w:hAnsi="Arial" w:cs="Arial"/>
          <w:sz w:val="18"/>
          <w:szCs w:val="18"/>
          <w:lang w:val="es-ES_tradnl"/>
        </w:rPr>
        <w:t>odría incluir redistribución de funciones</w:t>
      </w:r>
      <w:r>
        <w:rPr>
          <w:rFonts w:ascii="Arial" w:hAnsi="Arial" w:cs="Arial"/>
          <w:sz w:val="18"/>
          <w:szCs w:val="18"/>
          <w:lang w:val="es-ES_tradnl"/>
        </w:rPr>
        <w:t xml:space="preserve"> y </w:t>
      </w:r>
      <w:r w:rsidRPr="005E18C0">
        <w:rPr>
          <w:rFonts w:ascii="Arial" w:hAnsi="Arial" w:cs="Arial"/>
          <w:sz w:val="18"/>
          <w:szCs w:val="18"/>
          <w:lang w:val="es-ES_tradnl"/>
        </w:rPr>
        <w:t xml:space="preserve">desvinculaciones </w:t>
      </w:r>
      <w:r>
        <w:rPr>
          <w:rFonts w:ascii="Arial" w:hAnsi="Arial" w:cs="Arial"/>
          <w:sz w:val="18"/>
          <w:szCs w:val="18"/>
          <w:lang w:val="es-ES_tradnl"/>
        </w:rPr>
        <w:t>voluntarias.</w:t>
      </w:r>
    </w:p>
  </w:footnote>
  <w:footnote w:id="48">
    <w:p w14:paraId="03839B7E" w14:textId="77777777" w:rsidR="00E664AF" w:rsidRPr="003D0C40" w:rsidRDefault="00E664AF" w:rsidP="003D0C40">
      <w:pPr>
        <w:pStyle w:val="FootnoteText"/>
        <w:ind w:left="270" w:hanging="270"/>
        <w:jc w:val="both"/>
        <w:rPr>
          <w:rFonts w:ascii="Arial" w:hAnsi="Arial" w:cs="Arial"/>
          <w:sz w:val="18"/>
          <w:szCs w:val="18"/>
          <w:lang w:val="es-ES_tradnl"/>
        </w:rPr>
      </w:pPr>
      <w:r w:rsidRPr="003D0C40">
        <w:rPr>
          <w:rStyle w:val="FootnoteReference"/>
          <w:rFonts w:ascii="Arial" w:hAnsi="Arial" w:cs="Arial"/>
          <w:sz w:val="18"/>
          <w:szCs w:val="18"/>
          <w:lang w:val="es-ES_tradnl"/>
        </w:rPr>
        <w:footnoteRef/>
      </w:r>
      <w:r w:rsidRPr="003D0C40">
        <w:rPr>
          <w:rFonts w:ascii="Arial" w:hAnsi="Arial" w:cs="Arial"/>
          <w:sz w:val="18"/>
          <w:szCs w:val="18"/>
          <w:lang w:val="es-ES_tradnl"/>
        </w:rPr>
        <w:t xml:space="preserve"> </w:t>
      </w:r>
      <w:r w:rsidRPr="003D0C40">
        <w:rPr>
          <w:rFonts w:ascii="Arial" w:hAnsi="Arial" w:cs="Arial"/>
          <w:sz w:val="18"/>
          <w:szCs w:val="18"/>
          <w:lang w:val="es-ES_tradnl"/>
        </w:rPr>
        <w:tab/>
        <w:t xml:space="preserve">No incluye obras de infraestructura física. El Plan Estratégico de Tecnología de la Información </w:t>
      </w:r>
      <w:r>
        <w:rPr>
          <w:rFonts w:ascii="Arial" w:hAnsi="Arial" w:cs="Arial"/>
          <w:sz w:val="18"/>
          <w:szCs w:val="18"/>
          <w:lang w:val="es-ES_tradnl"/>
        </w:rPr>
        <w:br/>
      </w:r>
      <w:r w:rsidRPr="003D0C40">
        <w:rPr>
          <w:rFonts w:ascii="Arial" w:hAnsi="Arial" w:cs="Arial"/>
          <w:sz w:val="18"/>
          <w:szCs w:val="18"/>
          <w:lang w:val="es-ES_tradnl"/>
        </w:rPr>
        <w:t xml:space="preserve">(2017-2020), (PETI) contiene el cronograma, plan de adquisiciones y de implementación de la infraestructura tecnológica. </w:t>
      </w:r>
    </w:p>
  </w:footnote>
  <w:footnote w:id="49">
    <w:p w14:paraId="1552205B" w14:textId="176652C8" w:rsidR="00D848CE" w:rsidRPr="00E845B2" w:rsidRDefault="00D848CE" w:rsidP="00D848CE">
      <w:pPr>
        <w:pStyle w:val="FootnoteText"/>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Pr>
          <w:rFonts w:ascii="Arial" w:hAnsi="Arial" w:cs="Arial"/>
          <w:sz w:val="18"/>
          <w:szCs w:val="18"/>
          <w:lang w:val="es-ES_tradnl"/>
        </w:rPr>
        <w:t xml:space="preserve"> </w:t>
      </w:r>
      <w:r>
        <w:rPr>
          <w:rFonts w:ascii="Arial" w:hAnsi="Arial" w:cs="Arial"/>
          <w:sz w:val="18"/>
          <w:szCs w:val="18"/>
          <w:lang w:val="es-ES_tradnl"/>
        </w:rPr>
        <w:tab/>
      </w:r>
      <w:r w:rsidRPr="00E845B2">
        <w:rPr>
          <w:rFonts w:ascii="Arial" w:hAnsi="Arial" w:cs="Arial"/>
          <w:sz w:val="18"/>
          <w:szCs w:val="18"/>
          <w:lang w:val="es-ES_tradnl"/>
        </w:rPr>
        <w:t>Incluyendo consultorías para los estudios necesarios para la implantación.</w:t>
      </w:r>
    </w:p>
  </w:footnote>
  <w:footnote w:id="50">
    <w:p w14:paraId="534BB228" w14:textId="77777777" w:rsidR="00D848CE" w:rsidRPr="00E845B2" w:rsidRDefault="00D848CE" w:rsidP="00D848CE">
      <w:pPr>
        <w:pStyle w:val="FootnoteText"/>
        <w:tabs>
          <w:tab w:val="left" w:pos="270"/>
          <w:tab w:val="left" w:pos="360"/>
        </w:tabs>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Incluye ajustes a la UEPEX y sustitución de anticipos financieros por tarjeta de compras institucionales.</w:t>
      </w:r>
    </w:p>
  </w:footnote>
  <w:footnote w:id="51">
    <w:p w14:paraId="19FE8EA9" w14:textId="77777777" w:rsidR="00D848CE" w:rsidRPr="00E845B2" w:rsidRDefault="00D848CE" w:rsidP="00D848CE">
      <w:pPr>
        <w:pStyle w:val="FootnoteText"/>
        <w:tabs>
          <w:tab w:val="left" w:pos="90"/>
          <w:tab w:val="left" w:pos="270"/>
        </w:tabs>
        <w:ind w:left="270" w:hanging="270"/>
        <w:contextualSpacing/>
        <w:rPr>
          <w:rFonts w:ascii="Arial" w:hAnsi="Arial" w:cs="Arial"/>
          <w:sz w:val="18"/>
          <w:szCs w:val="18"/>
          <w:lang w:val="es-ES_tradnl"/>
        </w:rPr>
      </w:pPr>
      <w:r w:rsidRPr="00E845B2">
        <w:rPr>
          <w:rStyle w:val="FootnoteReference"/>
          <w:rFonts w:ascii="Arial" w:hAnsi="Arial" w:cs="Arial"/>
          <w:sz w:val="18"/>
          <w:szCs w:val="18"/>
          <w:lang w:val="es-ES_tradnl"/>
        </w:rPr>
        <w:footnoteRef/>
      </w:r>
      <w:r w:rsidRPr="00E845B2">
        <w:rPr>
          <w:rFonts w:ascii="Arial" w:hAnsi="Arial" w:cs="Arial"/>
          <w:sz w:val="18"/>
          <w:szCs w:val="18"/>
          <w:lang w:val="es-ES_tradnl"/>
        </w:rPr>
        <w:t xml:space="preserve"> </w:t>
      </w:r>
      <w:r w:rsidRPr="00E845B2">
        <w:rPr>
          <w:rFonts w:ascii="Arial" w:hAnsi="Arial" w:cs="Arial"/>
          <w:sz w:val="18"/>
          <w:szCs w:val="18"/>
          <w:lang w:val="es-ES_tradnl"/>
        </w:rPr>
        <w:tab/>
        <w:t>Uno de los principales resultados del nuevo modelo de negocio es la eliminación del registro simultáneo del gasto.</w:t>
      </w:r>
    </w:p>
  </w:footnote>
  <w:footnote w:id="52">
    <w:p w14:paraId="025E7E87" w14:textId="77777777" w:rsidR="00E664AF" w:rsidRPr="003D0C40" w:rsidRDefault="00E664AF" w:rsidP="003D0C40">
      <w:pPr>
        <w:pStyle w:val="FootnoteText"/>
        <w:ind w:left="270" w:hanging="270"/>
        <w:jc w:val="both"/>
        <w:rPr>
          <w:rFonts w:ascii="Arial" w:hAnsi="Arial" w:cs="Arial"/>
          <w:sz w:val="18"/>
          <w:szCs w:val="18"/>
          <w:lang w:val="es-ES"/>
        </w:rPr>
      </w:pPr>
      <w:r w:rsidRPr="003D0C40">
        <w:rPr>
          <w:rStyle w:val="FootnoteReference"/>
          <w:rFonts w:ascii="Arial" w:hAnsi="Arial" w:cs="Arial"/>
          <w:sz w:val="18"/>
          <w:szCs w:val="18"/>
        </w:rPr>
        <w:footnoteRef/>
      </w:r>
      <w:r w:rsidRPr="003D0C40">
        <w:rPr>
          <w:rFonts w:ascii="Arial" w:hAnsi="Arial" w:cs="Arial"/>
          <w:sz w:val="18"/>
          <w:szCs w:val="18"/>
          <w:lang w:val="es-ES"/>
        </w:rPr>
        <w:t xml:space="preserve">  </w:t>
      </w:r>
      <w:r w:rsidRPr="003D0C40">
        <w:rPr>
          <w:rFonts w:ascii="Arial" w:hAnsi="Arial" w:cs="Arial"/>
          <w:sz w:val="18"/>
          <w:szCs w:val="18"/>
          <w:lang w:val="es-ES"/>
        </w:rPr>
        <w:tab/>
      </w:r>
      <w:hyperlink r:id="rId10" w:history="1">
        <w:r w:rsidRPr="003D0C40">
          <w:rPr>
            <w:rStyle w:val="Hyperlink"/>
            <w:rFonts w:ascii="Arial" w:hAnsi="Arial" w:cs="Arial"/>
            <w:sz w:val="18"/>
            <w:szCs w:val="18"/>
            <w:lang w:val="es-ES_tradnl"/>
          </w:rPr>
          <w:t xml:space="preserve">Estimación </w:t>
        </w:r>
        <w:r>
          <w:rPr>
            <w:rStyle w:val="Hyperlink"/>
            <w:rFonts w:ascii="Arial" w:hAnsi="Arial" w:cs="Arial"/>
            <w:sz w:val="18"/>
            <w:szCs w:val="18"/>
            <w:lang w:val="es-ES_tradnl"/>
          </w:rPr>
          <w:t>del Incumplimiento Tributario e</w:t>
        </w:r>
        <w:r w:rsidRPr="003D0C40">
          <w:rPr>
            <w:rStyle w:val="Hyperlink"/>
            <w:rFonts w:ascii="Arial" w:hAnsi="Arial" w:cs="Arial"/>
            <w:sz w:val="18"/>
            <w:szCs w:val="18"/>
            <w:lang w:val="es-ES_tradnl"/>
          </w:rPr>
          <w:t xml:space="preserve">n </w:t>
        </w:r>
        <w:r>
          <w:rPr>
            <w:rStyle w:val="Hyperlink"/>
            <w:rFonts w:ascii="Arial" w:hAnsi="Arial" w:cs="Arial"/>
            <w:sz w:val="18"/>
            <w:szCs w:val="18"/>
            <w:lang w:val="es-ES_tradnl"/>
          </w:rPr>
          <w:t>l</w:t>
        </w:r>
        <w:r w:rsidRPr="003D0C40">
          <w:rPr>
            <w:rStyle w:val="Hyperlink"/>
            <w:rFonts w:ascii="Arial" w:hAnsi="Arial" w:cs="Arial"/>
            <w:sz w:val="18"/>
            <w:szCs w:val="18"/>
            <w:lang w:val="es-ES_tradnl"/>
          </w:rPr>
          <w:t>a República Dominicana</w:t>
        </w:r>
      </w:hyperlink>
      <w:r>
        <w:rPr>
          <w:rStyle w:val="Hyperlink"/>
          <w:rFonts w:ascii="Arial" w:hAnsi="Arial" w:cs="Arial"/>
          <w:sz w:val="18"/>
          <w:szCs w:val="18"/>
          <w:lang w:val="es-ES_tradnl"/>
        </w:rPr>
        <w:t>.</w:t>
      </w:r>
    </w:p>
  </w:footnote>
  <w:footnote w:id="53">
    <w:p w14:paraId="7E28A574" w14:textId="77777777" w:rsidR="00E664AF" w:rsidRPr="003D0C40" w:rsidRDefault="00E664AF" w:rsidP="003D0C40">
      <w:pPr>
        <w:pStyle w:val="FootnoteText"/>
        <w:ind w:left="270" w:hanging="270"/>
        <w:jc w:val="both"/>
        <w:rPr>
          <w:rFonts w:ascii="Arial" w:hAnsi="Arial" w:cs="Arial"/>
          <w:sz w:val="18"/>
          <w:szCs w:val="18"/>
          <w:lang w:val="es-ES"/>
        </w:rPr>
      </w:pPr>
      <w:r w:rsidRPr="003D0C40">
        <w:rPr>
          <w:rStyle w:val="FootnoteReference"/>
          <w:rFonts w:ascii="Arial" w:hAnsi="Arial" w:cs="Arial"/>
          <w:sz w:val="18"/>
          <w:szCs w:val="18"/>
        </w:rPr>
        <w:footnoteRef/>
      </w:r>
      <w:r w:rsidRPr="003D0C40">
        <w:rPr>
          <w:rFonts w:ascii="Arial" w:hAnsi="Arial" w:cs="Arial"/>
          <w:sz w:val="18"/>
          <w:szCs w:val="18"/>
          <w:lang w:val="es-ES"/>
        </w:rPr>
        <w:t xml:space="preserve"> </w:t>
      </w:r>
      <w:r w:rsidRPr="003D0C40">
        <w:rPr>
          <w:rFonts w:ascii="Arial" w:hAnsi="Arial" w:cs="Arial"/>
          <w:sz w:val="18"/>
          <w:szCs w:val="18"/>
          <w:lang w:val="es-ES"/>
        </w:rPr>
        <w:tab/>
        <w:t>Una factura electrónica es un documento que sirve para describir el costo de los servicios y desglosar los impuestos correspondientes a pagar. Sustituye, según las disposiciones legales correspondientes, a las facturas tradicionales en papel y garantiza, entre otras cosas, la autenticidad de su origen y la integridad de su contenido. La factura electrónica es, por tanto, la versión digital de las facturas tradicionales en soporte papel y debe ser funcional y legalmente equivalente a estas últimas. Por su propia naturaleza, las facturas electrónicas pueden almacenarse, gestionarse e intercambiarse por medios electrónicos o digitales. Para que la factura electrónica tenga validez legal, debe estar completada con la firma electrónica, que permite eliminar la factura en papel.</w:t>
      </w:r>
    </w:p>
  </w:footnote>
  <w:footnote w:id="54">
    <w:p w14:paraId="78605DFB" w14:textId="77777777" w:rsidR="00E664AF" w:rsidRPr="003D0C40" w:rsidRDefault="00E664AF" w:rsidP="003D0C40">
      <w:pPr>
        <w:pStyle w:val="FootnoteText"/>
        <w:ind w:left="270" w:hanging="270"/>
        <w:jc w:val="both"/>
        <w:rPr>
          <w:rFonts w:ascii="Arial" w:hAnsi="Arial" w:cs="Arial"/>
          <w:sz w:val="18"/>
          <w:szCs w:val="18"/>
          <w:lang w:val="es-ES"/>
        </w:rPr>
      </w:pPr>
      <w:r w:rsidRPr="003D0C40">
        <w:rPr>
          <w:rStyle w:val="FootnoteReference"/>
          <w:rFonts w:ascii="Arial" w:hAnsi="Arial" w:cs="Arial"/>
          <w:sz w:val="18"/>
          <w:szCs w:val="18"/>
        </w:rPr>
        <w:footnoteRef/>
      </w:r>
      <w:r w:rsidRPr="003D0C40">
        <w:rPr>
          <w:rFonts w:ascii="Arial" w:hAnsi="Arial" w:cs="Arial"/>
          <w:sz w:val="18"/>
          <w:szCs w:val="18"/>
          <w:lang w:val="es-ES"/>
        </w:rPr>
        <w:t xml:space="preserve">  </w:t>
      </w:r>
      <w:r w:rsidRPr="003D0C40">
        <w:rPr>
          <w:rFonts w:ascii="Arial" w:hAnsi="Arial" w:cs="Arial"/>
          <w:sz w:val="18"/>
          <w:szCs w:val="18"/>
          <w:lang w:val="es-ES"/>
        </w:rPr>
        <w:tab/>
      </w:r>
      <w:hyperlink r:id="rId11" w:history="1">
        <w:r w:rsidRPr="003D0C40">
          <w:rPr>
            <w:rStyle w:val="Hyperlink"/>
            <w:rFonts w:ascii="Arial" w:hAnsi="Arial" w:cs="Arial"/>
            <w:sz w:val="18"/>
            <w:szCs w:val="18"/>
            <w:lang w:val="es-ES"/>
          </w:rPr>
          <w:t>Evaluación del impacto de la Implementación de las Impresoras Fiscales</w:t>
        </w:r>
      </w:hyperlink>
      <w:r>
        <w:rPr>
          <w:rStyle w:val="Hyperlink"/>
          <w:rFonts w:ascii="Arial" w:hAnsi="Arial" w:cs="Arial"/>
          <w:sz w:val="18"/>
          <w:szCs w:val="18"/>
          <w:lang w:val="es-ES"/>
        </w:rPr>
        <w:t>.</w:t>
      </w:r>
    </w:p>
  </w:footnote>
  <w:footnote w:id="55">
    <w:p w14:paraId="24026D48" w14:textId="77777777" w:rsidR="00E664AF" w:rsidRPr="003D0C40" w:rsidRDefault="00E664AF" w:rsidP="003D0C40">
      <w:pPr>
        <w:pStyle w:val="FootnoteText"/>
        <w:ind w:left="270" w:hanging="270"/>
        <w:jc w:val="both"/>
        <w:rPr>
          <w:rFonts w:ascii="Arial" w:hAnsi="Arial" w:cs="Arial"/>
          <w:sz w:val="18"/>
          <w:szCs w:val="18"/>
          <w:lang w:val="es-DO"/>
        </w:rPr>
      </w:pPr>
    </w:p>
  </w:footnote>
  <w:footnote w:id="56">
    <w:p w14:paraId="0C2729D1" w14:textId="77777777" w:rsidR="00E664AF" w:rsidRPr="003D0C40" w:rsidRDefault="00E664AF" w:rsidP="003D0C40">
      <w:pPr>
        <w:pStyle w:val="FootnoteText"/>
        <w:ind w:left="270" w:hanging="270"/>
        <w:contextualSpacing/>
        <w:jc w:val="both"/>
        <w:rPr>
          <w:rFonts w:ascii="Arial" w:hAnsi="Arial" w:cs="Arial"/>
          <w:sz w:val="18"/>
          <w:szCs w:val="18"/>
          <w:lang w:val="es-ES_tradnl"/>
        </w:rPr>
      </w:pPr>
      <w:r w:rsidRPr="003D0C40">
        <w:rPr>
          <w:rStyle w:val="FootnoteReference"/>
          <w:rFonts w:ascii="Arial" w:hAnsi="Arial" w:cs="Arial"/>
          <w:sz w:val="18"/>
          <w:szCs w:val="18"/>
        </w:rPr>
        <w:footnoteRef/>
      </w:r>
      <w:r w:rsidRPr="003D0C40">
        <w:rPr>
          <w:rFonts w:ascii="Arial" w:hAnsi="Arial" w:cs="Arial"/>
          <w:sz w:val="18"/>
          <w:szCs w:val="18"/>
          <w:lang w:val="es-ES_tradnl"/>
        </w:rPr>
        <w:t xml:space="preserve"> </w:t>
      </w:r>
      <w:r w:rsidRPr="003D0C40">
        <w:rPr>
          <w:rFonts w:ascii="Arial" w:hAnsi="Arial" w:cs="Arial"/>
          <w:sz w:val="18"/>
          <w:szCs w:val="18"/>
          <w:lang w:val="es-ES_tradnl"/>
        </w:rPr>
        <w:tab/>
        <w:t>Articulo IV IMF (2015).</w:t>
      </w:r>
    </w:p>
  </w:footnote>
  <w:footnote w:id="57">
    <w:p w14:paraId="557BF56A" w14:textId="77777777" w:rsidR="00E664AF" w:rsidRPr="003D0C40" w:rsidRDefault="00E664AF" w:rsidP="003D0C40">
      <w:pPr>
        <w:pStyle w:val="FootnoteText"/>
        <w:ind w:left="270" w:hanging="270"/>
        <w:contextualSpacing/>
        <w:jc w:val="both"/>
        <w:rPr>
          <w:rFonts w:ascii="Arial" w:hAnsi="Arial" w:cs="Arial"/>
          <w:sz w:val="18"/>
          <w:szCs w:val="18"/>
          <w:lang w:val="es-ES"/>
        </w:rPr>
      </w:pPr>
      <w:r w:rsidRPr="003D0C40">
        <w:rPr>
          <w:rStyle w:val="FootnoteReference"/>
          <w:rFonts w:ascii="Arial" w:hAnsi="Arial" w:cs="Arial"/>
          <w:sz w:val="18"/>
          <w:szCs w:val="18"/>
        </w:rPr>
        <w:footnoteRef/>
      </w:r>
      <w:r w:rsidRPr="003D0C40">
        <w:rPr>
          <w:rFonts w:ascii="Arial" w:hAnsi="Arial" w:cs="Arial"/>
          <w:sz w:val="18"/>
          <w:szCs w:val="18"/>
          <w:lang w:val="es-ES"/>
        </w:rPr>
        <w:t xml:space="preserve"> </w:t>
      </w:r>
      <w:r w:rsidRPr="003D0C40">
        <w:rPr>
          <w:rFonts w:ascii="Arial" w:hAnsi="Arial" w:cs="Arial"/>
          <w:sz w:val="18"/>
          <w:szCs w:val="18"/>
          <w:lang w:val="es-ES"/>
        </w:rPr>
        <w:tab/>
        <w:t>Ver cuadro Gastos del Gobierno Central</w:t>
      </w:r>
    </w:p>
  </w:footnote>
  <w:footnote w:id="58">
    <w:p w14:paraId="0F82D015" w14:textId="77777777" w:rsidR="00E664AF" w:rsidRPr="003D0C40" w:rsidRDefault="00E664AF" w:rsidP="003D0C40">
      <w:pPr>
        <w:pStyle w:val="FootnoteText"/>
        <w:ind w:left="270" w:hanging="270"/>
        <w:contextualSpacing/>
        <w:jc w:val="both"/>
        <w:rPr>
          <w:rFonts w:ascii="Arial" w:hAnsi="Arial" w:cs="Arial"/>
          <w:sz w:val="18"/>
          <w:szCs w:val="18"/>
          <w:lang w:val="es-ES"/>
        </w:rPr>
      </w:pPr>
      <w:r w:rsidRPr="003D0C40">
        <w:rPr>
          <w:rStyle w:val="FootnoteReference"/>
          <w:rFonts w:ascii="Arial" w:hAnsi="Arial" w:cs="Arial"/>
          <w:sz w:val="18"/>
          <w:szCs w:val="18"/>
        </w:rPr>
        <w:footnoteRef/>
      </w:r>
      <w:r w:rsidRPr="003D0C40">
        <w:rPr>
          <w:rFonts w:ascii="Arial" w:hAnsi="Arial" w:cs="Arial"/>
          <w:sz w:val="18"/>
          <w:szCs w:val="18"/>
          <w:lang w:val="es-ES"/>
        </w:rPr>
        <w:t xml:space="preserve"> </w:t>
      </w:r>
      <w:r w:rsidRPr="003D0C40">
        <w:rPr>
          <w:rFonts w:ascii="Arial" w:hAnsi="Arial" w:cs="Arial"/>
          <w:sz w:val="18"/>
          <w:szCs w:val="18"/>
          <w:lang w:val="es-ES"/>
        </w:rPr>
        <w:tab/>
        <w:t>Ver referencia en 5.13 (i)</w:t>
      </w:r>
    </w:p>
  </w:footnote>
  <w:footnote w:id="59">
    <w:p w14:paraId="287570AD" w14:textId="77777777" w:rsidR="00E664AF" w:rsidRPr="003D0C40" w:rsidRDefault="00E664AF" w:rsidP="003D0C40">
      <w:pPr>
        <w:pStyle w:val="FootnoteText"/>
        <w:ind w:left="270" w:hanging="270"/>
        <w:jc w:val="both"/>
        <w:rPr>
          <w:rFonts w:ascii="Arial" w:hAnsi="Arial" w:cs="Arial"/>
          <w:sz w:val="18"/>
          <w:szCs w:val="18"/>
          <w:lang w:val="es-ES"/>
        </w:rPr>
      </w:pPr>
      <w:r w:rsidRPr="003D0C40">
        <w:rPr>
          <w:rStyle w:val="FootnoteReference"/>
          <w:rFonts w:ascii="Arial" w:hAnsi="Arial" w:cs="Arial"/>
          <w:sz w:val="18"/>
          <w:szCs w:val="18"/>
        </w:rPr>
        <w:footnoteRef/>
      </w:r>
      <w:r w:rsidRPr="003D0C40">
        <w:rPr>
          <w:rFonts w:ascii="Arial" w:hAnsi="Arial" w:cs="Arial"/>
          <w:sz w:val="18"/>
          <w:szCs w:val="18"/>
          <w:lang w:val="es-ES"/>
        </w:rPr>
        <w:t xml:space="preserve"> </w:t>
      </w:r>
      <w:r w:rsidRPr="003D0C40">
        <w:rPr>
          <w:rFonts w:ascii="Arial" w:hAnsi="Arial" w:cs="Arial"/>
          <w:sz w:val="18"/>
          <w:szCs w:val="18"/>
          <w:lang w:val="es-ES"/>
        </w:rPr>
        <w:tab/>
        <w:t xml:space="preserve">La fórmula presupone que la mano de obra al proyecto proviene según la proporción actual de empleados en otras actividades (al mismo salario) y los desempleados para los cuales el costo de oportunidad es cero.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353"/>
    <w:multiLevelType w:val="hybridMultilevel"/>
    <w:tmpl w:val="3D683156"/>
    <w:lvl w:ilvl="0" w:tplc="2A1E2D94">
      <w:start w:val="1"/>
      <w:numFmt w:val="lowerRoman"/>
      <w:lvlText w:val="(%1)"/>
      <w:lvlJc w:val="left"/>
      <w:pPr>
        <w:ind w:left="1440" w:hanging="720"/>
      </w:pPr>
      <w:rPr>
        <w:rFonts w:ascii="Arial" w:eastAsiaTheme="minorEastAsia" w:hAnsi="Arial" w:cs="Arial"/>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75505B"/>
    <w:multiLevelType w:val="hybridMultilevel"/>
    <w:tmpl w:val="8EDADE66"/>
    <w:lvl w:ilvl="0" w:tplc="59A0D64A">
      <w:start w:val="1"/>
      <w:numFmt w:val="upp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2"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1E903921"/>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22B2465E"/>
    <w:multiLevelType w:val="hybridMultilevel"/>
    <w:tmpl w:val="82B83BB6"/>
    <w:lvl w:ilvl="0" w:tplc="09FEB886">
      <w:start w:val="1"/>
      <w:numFmt w:val="lowerRoman"/>
      <w:lvlText w:val="(%1)"/>
      <w:lvlJc w:val="left"/>
      <w:pPr>
        <w:ind w:left="1440" w:hanging="720"/>
      </w:pPr>
      <w:rPr>
        <w:rFonts w:ascii="Arial" w:eastAsiaTheme="minorEastAsia"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1D2874"/>
    <w:multiLevelType w:val="hybridMultilevel"/>
    <w:tmpl w:val="82B83BB6"/>
    <w:lvl w:ilvl="0" w:tplc="09FEB886">
      <w:start w:val="1"/>
      <w:numFmt w:val="lowerRoman"/>
      <w:lvlText w:val="(%1)"/>
      <w:lvlJc w:val="left"/>
      <w:pPr>
        <w:ind w:left="1440" w:hanging="720"/>
      </w:pPr>
      <w:rPr>
        <w:rFonts w:ascii="Arial" w:eastAsiaTheme="minorEastAsia"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C42F03"/>
    <w:multiLevelType w:val="multilevel"/>
    <w:tmpl w:val="70CA7046"/>
    <w:lvl w:ilvl="0">
      <w:start w:val="1"/>
      <w:numFmt w:val="decimal"/>
      <w:lvlText w:val="%1."/>
      <w:lvlJc w:val="left"/>
      <w:pPr>
        <w:ind w:left="540" w:hanging="360"/>
      </w:pPr>
      <w:rPr>
        <w:rFonts w:hint="default"/>
        <w:i w:val="0"/>
        <w:color w:val="000000" w:themeColor="text1"/>
      </w:rPr>
    </w:lvl>
    <w:lvl w:ilvl="1">
      <w:start w:val="1"/>
      <w:numFmt w:val="decimal"/>
      <w:isLgl/>
      <w:lvlText w:val="%1.%2"/>
      <w:lvlJc w:val="left"/>
      <w:pPr>
        <w:ind w:left="108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300" w:hanging="1800"/>
      </w:pPr>
      <w:rPr>
        <w:rFonts w:hint="default"/>
      </w:rPr>
    </w:lvl>
  </w:abstractNum>
  <w:abstractNum w:abstractNumId="7" w15:restartNumberingAfterBreak="0">
    <w:nsid w:val="359B4991"/>
    <w:multiLevelType w:val="multilevel"/>
    <w:tmpl w:val="60CE237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rPr>
        <w:b/>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B091933"/>
    <w:multiLevelType w:val="hybridMultilevel"/>
    <w:tmpl w:val="82B83BB6"/>
    <w:lvl w:ilvl="0" w:tplc="09FEB886">
      <w:start w:val="1"/>
      <w:numFmt w:val="lowerRoman"/>
      <w:lvlText w:val="(%1)"/>
      <w:lvlJc w:val="left"/>
      <w:pPr>
        <w:ind w:left="1440" w:hanging="720"/>
      </w:pPr>
      <w:rPr>
        <w:rFonts w:ascii="Arial" w:eastAsiaTheme="minorEastAsia"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FF1C38"/>
    <w:multiLevelType w:val="hybridMultilevel"/>
    <w:tmpl w:val="6BD095A2"/>
    <w:lvl w:ilvl="0" w:tplc="157EF24E">
      <w:start w:val="1"/>
      <w:numFmt w:val="decimal"/>
      <w:lvlText w:val="%1."/>
      <w:lvlJc w:val="left"/>
      <w:pPr>
        <w:ind w:left="1080" w:hanging="360"/>
      </w:pPr>
      <w:rPr>
        <w:rFonts w:hint="default"/>
        <w:u w:val="none"/>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4C577150"/>
    <w:multiLevelType w:val="hybridMultilevel"/>
    <w:tmpl w:val="82B83BB6"/>
    <w:lvl w:ilvl="0" w:tplc="09FEB886">
      <w:start w:val="1"/>
      <w:numFmt w:val="lowerRoman"/>
      <w:lvlText w:val="(%1)"/>
      <w:lvlJc w:val="left"/>
      <w:pPr>
        <w:ind w:left="1440" w:hanging="720"/>
      </w:pPr>
      <w:rPr>
        <w:rFonts w:ascii="Arial" w:eastAsiaTheme="minorEastAsia"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1167283"/>
    <w:multiLevelType w:val="multilevel"/>
    <w:tmpl w:val="D7EE604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15:restartNumberingAfterBreak="0">
    <w:nsid w:val="57D02081"/>
    <w:multiLevelType w:val="hybridMultilevel"/>
    <w:tmpl w:val="89108B60"/>
    <w:lvl w:ilvl="0" w:tplc="FD2668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E90F41"/>
    <w:multiLevelType w:val="hybridMultilevel"/>
    <w:tmpl w:val="3B466B52"/>
    <w:lvl w:ilvl="0" w:tplc="AB881980">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3A55FF"/>
    <w:multiLevelType w:val="multilevel"/>
    <w:tmpl w:val="AE0E00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0B70B68"/>
    <w:multiLevelType w:val="multilevel"/>
    <w:tmpl w:val="FE0A90D6"/>
    <w:lvl w:ilvl="0">
      <w:start w:val="1"/>
      <w:numFmt w:val="upperRoman"/>
      <w:lvlRestart w:val="0"/>
      <w:lvlText w:val="%1."/>
      <w:lvlJc w:val="center"/>
      <w:pPr>
        <w:tabs>
          <w:tab w:val="num" w:pos="2088"/>
        </w:tabs>
        <w:ind w:left="1440" w:firstLine="288"/>
      </w:pPr>
      <w:rPr>
        <w:b/>
        <w:i w:val="0"/>
      </w:rPr>
    </w:lvl>
    <w:lvl w:ilvl="1">
      <w:start w:val="1"/>
      <w:numFmt w:val="upperLetter"/>
      <w:isLgl/>
      <w:lvlText w:val="%2."/>
      <w:lvlJc w:val="left"/>
      <w:pPr>
        <w:tabs>
          <w:tab w:val="num" w:pos="2736"/>
        </w:tabs>
        <w:ind w:left="2736" w:hanging="1296"/>
      </w:pPr>
      <w:rPr>
        <w:rFonts w:ascii="Arial" w:eastAsiaTheme="minorEastAsia" w:hAnsi="Arial" w:cs="Arial"/>
        <w:color w:val="auto"/>
        <w:sz w:val="22"/>
        <w:szCs w:val="22"/>
      </w:rPr>
    </w:lvl>
    <w:lvl w:ilvl="2">
      <w:start w:val="1"/>
      <w:numFmt w:val="lowerLetter"/>
      <w:lvlText w:val="%3."/>
      <w:lvlJc w:val="left"/>
      <w:pPr>
        <w:tabs>
          <w:tab w:val="num" w:pos="2592"/>
        </w:tabs>
        <w:ind w:left="2592" w:hanging="432"/>
      </w:pPr>
      <w:rPr>
        <w:color w:val="auto"/>
      </w:rPr>
    </w:lvl>
    <w:lvl w:ilvl="3">
      <w:start w:val="1"/>
      <w:numFmt w:val="lowerRoman"/>
      <w:lvlText w:val="%4."/>
      <w:lvlJc w:val="right"/>
      <w:pPr>
        <w:tabs>
          <w:tab w:val="num" w:pos="3024"/>
        </w:tabs>
        <w:ind w:left="3024" w:hanging="288"/>
      </w:pPr>
      <w:rPr>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6" w15:restartNumberingAfterBreak="0">
    <w:nsid w:val="64C5303E"/>
    <w:multiLevelType w:val="multilevel"/>
    <w:tmpl w:val="78EEA9D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912339D"/>
    <w:multiLevelType w:val="hybridMultilevel"/>
    <w:tmpl w:val="02AA7DC8"/>
    <w:lvl w:ilvl="0" w:tplc="BA0E45F4">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AB7756"/>
    <w:multiLevelType w:val="hybridMultilevel"/>
    <w:tmpl w:val="89108B60"/>
    <w:lvl w:ilvl="0" w:tplc="FD2668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9"/>
  </w:num>
  <w:num w:numId="5">
    <w:abstractNumId w:val="11"/>
  </w:num>
  <w:num w:numId="6">
    <w:abstractNumId w:val="13"/>
  </w:num>
  <w:num w:numId="7">
    <w:abstractNumId w:val="1"/>
  </w:num>
  <w:num w:numId="8">
    <w:abstractNumId w:val="18"/>
  </w:num>
  <w:num w:numId="9">
    <w:abstractNumId w:val="4"/>
  </w:num>
  <w:num w:numId="10">
    <w:abstractNumId w:val="12"/>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7"/>
  </w:num>
  <w:num w:numId="16">
    <w:abstractNumId w:val="10"/>
  </w:num>
  <w:num w:numId="17">
    <w:abstractNumId w:val="5"/>
  </w:num>
  <w:num w:numId="18">
    <w:abstractNumId w:val="8"/>
  </w:num>
  <w:num w:numId="19">
    <w:abstractNumId w:val="0"/>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7"/>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9EB"/>
    <w:rsid w:val="00012785"/>
    <w:rsid w:val="00012DA5"/>
    <w:rsid w:val="00013B2D"/>
    <w:rsid w:val="000202FD"/>
    <w:rsid w:val="000213D7"/>
    <w:rsid w:val="000314C3"/>
    <w:rsid w:val="00040C37"/>
    <w:rsid w:val="000440C3"/>
    <w:rsid w:val="00046981"/>
    <w:rsid w:val="00047165"/>
    <w:rsid w:val="00047DA6"/>
    <w:rsid w:val="00052FB1"/>
    <w:rsid w:val="00053880"/>
    <w:rsid w:val="00060EA9"/>
    <w:rsid w:val="00062DCD"/>
    <w:rsid w:val="00064BE0"/>
    <w:rsid w:val="000654FD"/>
    <w:rsid w:val="000704CB"/>
    <w:rsid w:val="000731F5"/>
    <w:rsid w:val="00073648"/>
    <w:rsid w:val="00075776"/>
    <w:rsid w:val="00075E58"/>
    <w:rsid w:val="00080E81"/>
    <w:rsid w:val="00092120"/>
    <w:rsid w:val="0009606A"/>
    <w:rsid w:val="000A0BDD"/>
    <w:rsid w:val="000B2912"/>
    <w:rsid w:val="000B2BBD"/>
    <w:rsid w:val="000B2D56"/>
    <w:rsid w:val="000B3945"/>
    <w:rsid w:val="000B5C5D"/>
    <w:rsid w:val="000B6B2F"/>
    <w:rsid w:val="000C28C9"/>
    <w:rsid w:val="000C4235"/>
    <w:rsid w:val="000C5063"/>
    <w:rsid w:val="000D16DB"/>
    <w:rsid w:val="000D46CC"/>
    <w:rsid w:val="000D4DAF"/>
    <w:rsid w:val="000E3B76"/>
    <w:rsid w:val="000E721F"/>
    <w:rsid w:val="000F7C90"/>
    <w:rsid w:val="0010682B"/>
    <w:rsid w:val="001069FD"/>
    <w:rsid w:val="001134A8"/>
    <w:rsid w:val="0012053B"/>
    <w:rsid w:val="0012137A"/>
    <w:rsid w:val="00124374"/>
    <w:rsid w:val="00130538"/>
    <w:rsid w:val="00142BE0"/>
    <w:rsid w:val="00143C76"/>
    <w:rsid w:val="001459FD"/>
    <w:rsid w:val="001512D4"/>
    <w:rsid w:val="001674D0"/>
    <w:rsid w:val="00172D55"/>
    <w:rsid w:val="0017495C"/>
    <w:rsid w:val="00176914"/>
    <w:rsid w:val="00181505"/>
    <w:rsid w:val="00181850"/>
    <w:rsid w:val="00183313"/>
    <w:rsid w:val="00183580"/>
    <w:rsid w:val="001842B8"/>
    <w:rsid w:val="00191928"/>
    <w:rsid w:val="001929A3"/>
    <w:rsid w:val="0019563F"/>
    <w:rsid w:val="0019582C"/>
    <w:rsid w:val="00196332"/>
    <w:rsid w:val="001978C7"/>
    <w:rsid w:val="001A0A7B"/>
    <w:rsid w:val="001A2336"/>
    <w:rsid w:val="001A4E3B"/>
    <w:rsid w:val="001B05B4"/>
    <w:rsid w:val="001B22B4"/>
    <w:rsid w:val="001C2254"/>
    <w:rsid w:val="001C5264"/>
    <w:rsid w:val="001D28A5"/>
    <w:rsid w:val="001F671F"/>
    <w:rsid w:val="001F737B"/>
    <w:rsid w:val="001F7929"/>
    <w:rsid w:val="001F7A75"/>
    <w:rsid w:val="0020216E"/>
    <w:rsid w:val="002032CB"/>
    <w:rsid w:val="00217BF3"/>
    <w:rsid w:val="00220684"/>
    <w:rsid w:val="002216DF"/>
    <w:rsid w:val="00226706"/>
    <w:rsid w:val="00227847"/>
    <w:rsid w:val="002309C8"/>
    <w:rsid w:val="00233D2A"/>
    <w:rsid w:val="00236218"/>
    <w:rsid w:val="002407F9"/>
    <w:rsid w:val="002425B9"/>
    <w:rsid w:val="00243FD0"/>
    <w:rsid w:val="0024472D"/>
    <w:rsid w:val="00244D6C"/>
    <w:rsid w:val="00245AA7"/>
    <w:rsid w:val="00247764"/>
    <w:rsid w:val="0025116C"/>
    <w:rsid w:val="00252EB9"/>
    <w:rsid w:val="00254EAB"/>
    <w:rsid w:val="00265C33"/>
    <w:rsid w:val="00266409"/>
    <w:rsid w:val="00267E55"/>
    <w:rsid w:val="00270068"/>
    <w:rsid w:val="00271A6A"/>
    <w:rsid w:val="0027316B"/>
    <w:rsid w:val="00273A01"/>
    <w:rsid w:val="00274504"/>
    <w:rsid w:val="00274DF5"/>
    <w:rsid w:val="00281E1F"/>
    <w:rsid w:val="002846E1"/>
    <w:rsid w:val="002870D0"/>
    <w:rsid w:val="0029101B"/>
    <w:rsid w:val="00291B08"/>
    <w:rsid w:val="0029255B"/>
    <w:rsid w:val="002936F3"/>
    <w:rsid w:val="00294AA2"/>
    <w:rsid w:val="00295728"/>
    <w:rsid w:val="00295947"/>
    <w:rsid w:val="002972FD"/>
    <w:rsid w:val="002A6A87"/>
    <w:rsid w:val="002A7D18"/>
    <w:rsid w:val="002A7F6D"/>
    <w:rsid w:val="002B44C5"/>
    <w:rsid w:val="002C139E"/>
    <w:rsid w:val="002E3354"/>
    <w:rsid w:val="002E39E5"/>
    <w:rsid w:val="002E3DF0"/>
    <w:rsid w:val="002E4FBA"/>
    <w:rsid w:val="002E6677"/>
    <w:rsid w:val="002E6EF4"/>
    <w:rsid w:val="002F09A5"/>
    <w:rsid w:val="002F218E"/>
    <w:rsid w:val="00301B5B"/>
    <w:rsid w:val="00307980"/>
    <w:rsid w:val="003133A0"/>
    <w:rsid w:val="0031447D"/>
    <w:rsid w:val="00316D10"/>
    <w:rsid w:val="003177D2"/>
    <w:rsid w:val="003243BD"/>
    <w:rsid w:val="003258C4"/>
    <w:rsid w:val="0032602A"/>
    <w:rsid w:val="0032772C"/>
    <w:rsid w:val="00327C26"/>
    <w:rsid w:val="00340694"/>
    <w:rsid w:val="003457E3"/>
    <w:rsid w:val="00352673"/>
    <w:rsid w:val="00360B80"/>
    <w:rsid w:val="00363AF4"/>
    <w:rsid w:val="00373549"/>
    <w:rsid w:val="003769B3"/>
    <w:rsid w:val="00382FE5"/>
    <w:rsid w:val="00383159"/>
    <w:rsid w:val="0038392E"/>
    <w:rsid w:val="0038460B"/>
    <w:rsid w:val="00385BC7"/>
    <w:rsid w:val="00387239"/>
    <w:rsid w:val="003877C6"/>
    <w:rsid w:val="00390916"/>
    <w:rsid w:val="00392898"/>
    <w:rsid w:val="00393335"/>
    <w:rsid w:val="00397591"/>
    <w:rsid w:val="00397F62"/>
    <w:rsid w:val="003A14B1"/>
    <w:rsid w:val="003A25EF"/>
    <w:rsid w:val="003A3B37"/>
    <w:rsid w:val="003A57CE"/>
    <w:rsid w:val="003A7CE9"/>
    <w:rsid w:val="003B0076"/>
    <w:rsid w:val="003B0A31"/>
    <w:rsid w:val="003B18E7"/>
    <w:rsid w:val="003B1C62"/>
    <w:rsid w:val="003B51F1"/>
    <w:rsid w:val="003D0C40"/>
    <w:rsid w:val="003D0D5E"/>
    <w:rsid w:val="003D36B7"/>
    <w:rsid w:val="003D4956"/>
    <w:rsid w:val="003D567E"/>
    <w:rsid w:val="003D6511"/>
    <w:rsid w:val="003D678E"/>
    <w:rsid w:val="003E1029"/>
    <w:rsid w:val="003E1940"/>
    <w:rsid w:val="003F635C"/>
    <w:rsid w:val="00400D54"/>
    <w:rsid w:val="004035DA"/>
    <w:rsid w:val="004053FD"/>
    <w:rsid w:val="0040579C"/>
    <w:rsid w:val="00412273"/>
    <w:rsid w:val="0041232B"/>
    <w:rsid w:val="00412774"/>
    <w:rsid w:val="00417F76"/>
    <w:rsid w:val="00424B27"/>
    <w:rsid w:val="004279CA"/>
    <w:rsid w:val="004305A3"/>
    <w:rsid w:val="00430DE4"/>
    <w:rsid w:val="00434338"/>
    <w:rsid w:val="00434858"/>
    <w:rsid w:val="00434C2A"/>
    <w:rsid w:val="00434F32"/>
    <w:rsid w:val="00435AED"/>
    <w:rsid w:val="0043626D"/>
    <w:rsid w:val="00446715"/>
    <w:rsid w:val="004515BE"/>
    <w:rsid w:val="00452B86"/>
    <w:rsid w:val="00461E9D"/>
    <w:rsid w:val="00461F8F"/>
    <w:rsid w:val="0046404E"/>
    <w:rsid w:val="00465DB6"/>
    <w:rsid w:val="0047475E"/>
    <w:rsid w:val="0047579D"/>
    <w:rsid w:val="004770B3"/>
    <w:rsid w:val="004808DB"/>
    <w:rsid w:val="00485AE9"/>
    <w:rsid w:val="00487BE4"/>
    <w:rsid w:val="0049204A"/>
    <w:rsid w:val="00493524"/>
    <w:rsid w:val="004A3F78"/>
    <w:rsid w:val="004A7121"/>
    <w:rsid w:val="004A7343"/>
    <w:rsid w:val="004A7C7B"/>
    <w:rsid w:val="004B102A"/>
    <w:rsid w:val="004B168F"/>
    <w:rsid w:val="004B26F5"/>
    <w:rsid w:val="004B5130"/>
    <w:rsid w:val="004B6A80"/>
    <w:rsid w:val="004B762A"/>
    <w:rsid w:val="004C003A"/>
    <w:rsid w:val="004C2655"/>
    <w:rsid w:val="004C2A6D"/>
    <w:rsid w:val="004C2F3A"/>
    <w:rsid w:val="004C44D7"/>
    <w:rsid w:val="004D304A"/>
    <w:rsid w:val="004D32F3"/>
    <w:rsid w:val="004E34EA"/>
    <w:rsid w:val="004E69D0"/>
    <w:rsid w:val="004E7195"/>
    <w:rsid w:val="004F746F"/>
    <w:rsid w:val="004F7E75"/>
    <w:rsid w:val="00502E80"/>
    <w:rsid w:val="005037B7"/>
    <w:rsid w:val="005103F5"/>
    <w:rsid w:val="0051693F"/>
    <w:rsid w:val="00516F8D"/>
    <w:rsid w:val="005238EF"/>
    <w:rsid w:val="00525AB5"/>
    <w:rsid w:val="00527C7A"/>
    <w:rsid w:val="0054544C"/>
    <w:rsid w:val="00553A17"/>
    <w:rsid w:val="00557398"/>
    <w:rsid w:val="005574D9"/>
    <w:rsid w:val="005607B3"/>
    <w:rsid w:val="00564740"/>
    <w:rsid w:val="0057116D"/>
    <w:rsid w:val="00580345"/>
    <w:rsid w:val="0058653A"/>
    <w:rsid w:val="00587010"/>
    <w:rsid w:val="005874B3"/>
    <w:rsid w:val="00587D7C"/>
    <w:rsid w:val="00593A0B"/>
    <w:rsid w:val="00594AC8"/>
    <w:rsid w:val="00596B81"/>
    <w:rsid w:val="005A02D1"/>
    <w:rsid w:val="005A3668"/>
    <w:rsid w:val="005B05E7"/>
    <w:rsid w:val="005B18A2"/>
    <w:rsid w:val="005B3CAC"/>
    <w:rsid w:val="005C4280"/>
    <w:rsid w:val="005C45B0"/>
    <w:rsid w:val="005C4CF1"/>
    <w:rsid w:val="005C5BF1"/>
    <w:rsid w:val="005C6900"/>
    <w:rsid w:val="005D0222"/>
    <w:rsid w:val="005D04FB"/>
    <w:rsid w:val="005D08A0"/>
    <w:rsid w:val="005D4348"/>
    <w:rsid w:val="005D4589"/>
    <w:rsid w:val="005E18F0"/>
    <w:rsid w:val="005E1F69"/>
    <w:rsid w:val="005E21C2"/>
    <w:rsid w:val="005E5222"/>
    <w:rsid w:val="005F376B"/>
    <w:rsid w:val="005F4006"/>
    <w:rsid w:val="00600262"/>
    <w:rsid w:val="006006A4"/>
    <w:rsid w:val="0060323D"/>
    <w:rsid w:val="00603A8B"/>
    <w:rsid w:val="00611C03"/>
    <w:rsid w:val="006159D5"/>
    <w:rsid w:val="00617CF0"/>
    <w:rsid w:val="006241E6"/>
    <w:rsid w:val="00624E17"/>
    <w:rsid w:val="00625F43"/>
    <w:rsid w:val="0062731A"/>
    <w:rsid w:val="006328F0"/>
    <w:rsid w:val="00636DB2"/>
    <w:rsid w:val="0064058C"/>
    <w:rsid w:val="00640780"/>
    <w:rsid w:val="00640DF2"/>
    <w:rsid w:val="00642D6A"/>
    <w:rsid w:val="006447AE"/>
    <w:rsid w:val="006607B1"/>
    <w:rsid w:val="00674C48"/>
    <w:rsid w:val="006924BF"/>
    <w:rsid w:val="00696BA2"/>
    <w:rsid w:val="006979D8"/>
    <w:rsid w:val="006A0426"/>
    <w:rsid w:val="006A422F"/>
    <w:rsid w:val="006B03A2"/>
    <w:rsid w:val="006B062E"/>
    <w:rsid w:val="006B3B0C"/>
    <w:rsid w:val="006C3F25"/>
    <w:rsid w:val="006C54CE"/>
    <w:rsid w:val="006C5A89"/>
    <w:rsid w:val="006D0B34"/>
    <w:rsid w:val="006D334B"/>
    <w:rsid w:val="006D40CE"/>
    <w:rsid w:val="006E4B32"/>
    <w:rsid w:val="006E4C99"/>
    <w:rsid w:val="006E5205"/>
    <w:rsid w:val="006E5EA6"/>
    <w:rsid w:val="006E7A95"/>
    <w:rsid w:val="006F2013"/>
    <w:rsid w:val="006F5177"/>
    <w:rsid w:val="006F79D0"/>
    <w:rsid w:val="0070123B"/>
    <w:rsid w:val="00701965"/>
    <w:rsid w:val="00703CB1"/>
    <w:rsid w:val="007054A7"/>
    <w:rsid w:val="00713DD9"/>
    <w:rsid w:val="00715C44"/>
    <w:rsid w:val="00723B7A"/>
    <w:rsid w:val="0072703D"/>
    <w:rsid w:val="00727BF2"/>
    <w:rsid w:val="00731DFF"/>
    <w:rsid w:val="007323F0"/>
    <w:rsid w:val="00733089"/>
    <w:rsid w:val="007334AA"/>
    <w:rsid w:val="007342EF"/>
    <w:rsid w:val="007346F2"/>
    <w:rsid w:val="00743A54"/>
    <w:rsid w:val="007462D8"/>
    <w:rsid w:val="00747B1A"/>
    <w:rsid w:val="00760E00"/>
    <w:rsid w:val="00764D47"/>
    <w:rsid w:val="00766057"/>
    <w:rsid w:val="00771B48"/>
    <w:rsid w:val="00773F7E"/>
    <w:rsid w:val="00777BFA"/>
    <w:rsid w:val="007843E2"/>
    <w:rsid w:val="0078643C"/>
    <w:rsid w:val="00791EB6"/>
    <w:rsid w:val="00792E8C"/>
    <w:rsid w:val="00793FC7"/>
    <w:rsid w:val="007A2F7E"/>
    <w:rsid w:val="007A5159"/>
    <w:rsid w:val="007A76FE"/>
    <w:rsid w:val="007A79A9"/>
    <w:rsid w:val="007B0161"/>
    <w:rsid w:val="007B0C93"/>
    <w:rsid w:val="007B29EA"/>
    <w:rsid w:val="007B49A6"/>
    <w:rsid w:val="007B6F49"/>
    <w:rsid w:val="007C0E79"/>
    <w:rsid w:val="007C767C"/>
    <w:rsid w:val="007D22A3"/>
    <w:rsid w:val="007D2DC9"/>
    <w:rsid w:val="007D3540"/>
    <w:rsid w:val="007E1221"/>
    <w:rsid w:val="007E77D5"/>
    <w:rsid w:val="007F6DBF"/>
    <w:rsid w:val="007F6DEB"/>
    <w:rsid w:val="008002E3"/>
    <w:rsid w:val="008032E2"/>
    <w:rsid w:val="00803A07"/>
    <w:rsid w:val="0080521E"/>
    <w:rsid w:val="00805816"/>
    <w:rsid w:val="008058C8"/>
    <w:rsid w:val="0081259F"/>
    <w:rsid w:val="00812D5A"/>
    <w:rsid w:val="0081320C"/>
    <w:rsid w:val="00813CE1"/>
    <w:rsid w:val="00855FA0"/>
    <w:rsid w:val="00855FD4"/>
    <w:rsid w:val="008614BE"/>
    <w:rsid w:val="008630B8"/>
    <w:rsid w:val="008635E5"/>
    <w:rsid w:val="00864EF2"/>
    <w:rsid w:val="00864F1C"/>
    <w:rsid w:val="00873C00"/>
    <w:rsid w:val="00877F44"/>
    <w:rsid w:val="00881DCA"/>
    <w:rsid w:val="00881F8C"/>
    <w:rsid w:val="00887B45"/>
    <w:rsid w:val="00890306"/>
    <w:rsid w:val="00891055"/>
    <w:rsid w:val="00897FA0"/>
    <w:rsid w:val="008A0B7B"/>
    <w:rsid w:val="008A2AF1"/>
    <w:rsid w:val="008B0851"/>
    <w:rsid w:val="008B3153"/>
    <w:rsid w:val="008B5547"/>
    <w:rsid w:val="008B7FE1"/>
    <w:rsid w:val="008C5D17"/>
    <w:rsid w:val="008C76DE"/>
    <w:rsid w:val="008D5331"/>
    <w:rsid w:val="008D6327"/>
    <w:rsid w:val="008E285B"/>
    <w:rsid w:val="008E478E"/>
    <w:rsid w:val="008E6010"/>
    <w:rsid w:val="008E6C95"/>
    <w:rsid w:val="008E7BF5"/>
    <w:rsid w:val="008F1BA2"/>
    <w:rsid w:val="008F2313"/>
    <w:rsid w:val="008F3FA3"/>
    <w:rsid w:val="008F5A70"/>
    <w:rsid w:val="008F607A"/>
    <w:rsid w:val="009000DA"/>
    <w:rsid w:val="00901388"/>
    <w:rsid w:val="0090166E"/>
    <w:rsid w:val="00901C9E"/>
    <w:rsid w:val="00902007"/>
    <w:rsid w:val="00904209"/>
    <w:rsid w:val="009042FC"/>
    <w:rsid w:val="0090582D"/>
    <w:rsid w:val="00914082"/>
    <w:rsid w:val="009162C8"/>
    <w:rsid w:val="009205A8"/>
    <w:rsid w:val="00920A98"/>
    <w:rsid w:val="009237E7"/>
    <w:rsid w:val="00925A6D"/>
    <w:rsid w:val="00931B5F"/>
    <w:rsid w:val="00935D79"/>
    <w:rsid w:val="00941272"/>
    <w:rsid w:val="00945174"/>
    <w:rsid w:val="00945B66"/>
    <w:rsid w:val="00945E93"/>
    <w:rsid w:val="00947CC0"/>
    <w:rsid w:val="0095068D"/>
    <w:rsid w:val="00952EA8"/>
    <w:rsid w:val="00956259"/>
    <w:rsid w:val="00960B9B"/>
    <w:rsid w:val="00961CA2"/>
    <w:rsid w:val="00965832"/>
    <w:rsid w:val="009722DA"/>
    <w:rsid w:val="00972BCF"/>
    <w:rsid w:val="00973FAF"/>
    <w:rsid w:val="00977182"/>
    <w:rsid w:val="00977A48"/>
    <w:rsid w:val="00987A0E"/>
    <w:rsid w:val="00992AE6"/>
    <w:rsid w:val="009A0A29"/>
    <w:rsid w:val="009A2227"/>
    <w:rsid w:val="009A7C3B"/>
    <w:rsid w:val="009B3075"/>
    <w:rsid w:val="009B31FE"/>
    <w:rsid w:val="009C0AFC"/>
    <w:rsid w:val="009C2EFA"/>
    <w:rsid w:val="009C56C2"/>
    <w:rsid w:val="009D0693"/>
    <w:rsid w:val="009D2535"/>
    <w:rsid w:val="009D2F6A"/>
    <w:rsid w:val="009D3C73"/>
    <w:rsid w:val="009D7229"/>
    <w:rsid w:val="009D7C4B"/>
    <w:rsid w:val="009E05F5"/>
    <w:rsid w:val="009E2B9B"/>
    <w:rsid w:val="009E3DC2"/>
    <w:rsid w:val="009E4BDE"/>
    <w:rsid w:val="009E67AE"/>
    <w:rsid w:val="009F00F3"/>
    <w:rsid w:val="009F3BFC"/>
    <w:rsid w:val="009F4086"/>
    <w:rsid w:val="009F45A1"/>
    <w:rsid w:val="009F597D"/>
    <w:rsid w:val="009F5AAA"/>
    <w:rsid w:val="009F5B33"/>
    <w:rsid w:val="00A00A3D"/>
    <w:rsid w:val="00A05813"/>
    <w:rsid w:val="00A05C71"/>
    <w:rsid w:val="00A05DC2"/>
    <w:rsid w:val="00A068D1"/>
    <w:rsid w:val="00A07A60"/>
    <w:rsid w:val="00A07C6D"/>
    <w:rsid w:val="00A10E53"/>
    <w:rsid w:val="00A11B2A"/>
    <w:rsid w:val="00A12451"/>
    <w:rsid w:val="00A14111"/>
    <w:rsid w:val="00A14F4E"/>
    <w:rsid w:val="00A21C34"/>
    <w:rsid w:val="00A30445"/>
    <w:rsid w:val="00A30954"/>
    <w:rsid w:val="00A35030"/>
    <w:rsid w:val="00A4034C"/>
    <w:rsid w:val="00A4397D"/>
    <w:rsid w:val="00A44A78"/>
    <w:rsid w:val="00A45626"/>
    <w:rsid w:val="00A501E5"/>
    <w:rsid w:val="00A5049C"/>
    <w:rsid w:val="00A53A91"/>
    <w:rsid w:val="00A5446B"/>
    <w:rsid w:val="00A57469"/>
    <w:rsid w:val="00A60BB7"/>
    <w:rsid w:val="00A65D12"/>
    <w:rsid w:val="00A6609B"/>
    <w:rsid w:val="00A71D2F"/>
    <w:rsid w:val="00A7271E"/>
    <w:rsid w:val="00A730FA"/>
    <w:rsid w:val="00A75CE1"/>
    <w:rsid w:val="00A976F5"/>
    <w:rsid w:val="00AA1478"/>
    <w:rsid w:val="00AA600F"/>
    <w:rsid w:val="00AB0D53"/>
    <w:rsid w:val="00AB193A"/>
    <w:rsid w:val="00AB3B62"/>
    <w:rsid w:val="00AB4F5E"/>
    <w:rsid w:val="00AB5AB3"/>
    <w:rsid w:val="00AC529D"/>
    <w:rsid w:val="00AC6789"/>
    <w:rsid w:val="00AC6D15"/>
    <w:rsid w:val="00AD0AEB"/>
    <w:rsid w:val="00AD249D"/>
    <w:rsid w:val="00AD4AAA"/>
    <w:rsid w:val="00AD5359"/>
    <w:rsid w:val="00AD5AE2"/>
    <w:rsid w:val="00AE1589"/>
    <w:rsid w:val="00AE359F"/>
    <w:rsid w:val="00AF2948"/>
    <w:rsid w:val="00AF77B9"/>
    <w:rsid w:val="00B05A8C"/>
    <w:rsid w:val="00B06E43"/>
    <w:rsid w:val="00B06FC0"/>
    <w:rsid w:val="00B13922"/>
    <w:rsid w:val="00B14190"/>
    <w:rsid w:val="00B14524"/>
    <w:rsid w:val="00B239BB"/>
    <w:rsid w:val="00B278DA"/>
    <w:rsid w:val="00B3065D"/>
    <w:rsid w:val="00B36BB8"/>
    <w:rsid w:val="00B37D1C"/>
    <w:rsid w:val="00B40E72"/>
    <w:rsid w:val="00B41BE5"/>
    <w:rsid w:val="00B42C17"/>
    <w:rsid w:val="00B5566F"/>
    <w:rsid w:val="00B65F90"/>
    <w:rsid w:val="00B73BD2"/>
    <w:rsid w:val="00B74023"/>
    <w:rsid w:val="00B74CAD"/>
    <w:rsid w:val="00B83916"/>
    <w:rsid w:val="00B83DDC"/>
    <w:rsid w:val="00B85FC3"/>
    <w:rsid w:val="00B93514"/>
    <w:rsid w:val="00B93691"/>
    <w:rsid w:val="00B93C5C"/>
    <w:rsid w:val="00BA4FC5"/>
    <w:rsid w:val="00BB0028"/>
    <w:rsid w:val="00BB004B"/>
    <w:rsid w:val="00BB05D5"/>
    <w:rsid w:val="00BB1D40"/>
    <w:rsid w:val="00BB3C9F"/>
    <w:rsid w:val="00BC15C9"/>
    <w:rsid w:val="00BC2273"/>
    <w:rsid w:val="00BC3DFA"/>
    <w:rsid w:val="00BC640D"/>
    <w:rsid w:val="00BC7417"/>
    <w:rsid w:val="00BD1EBE"/>
    <w:rsid w:val="00BD27A7"/>
    <w:rsid w:val="00BD3372"/>
    <w:rsid w:val="00BE0B6D"/>
    <w:rsid w:val="00BE2D2F"/>
    <w:rsid w:val="00BE3276"/>
    <w:rsid w:val="00BE4BB8"/>
    <w:rsid w:val="00BF2D18"/>
    <w:rsid w:val="00BF5DDF"/>
    <w:rsid w:val="00C02BAB"/>
    <w:rsid w:val="00C0395D"/>
    <w:rsid w:val="00C03A80"/>
    <w:rsid w:val="00C05979"/>
    <w:rsid w:val="00C06F87"/>
    <w:rsid w:val="00C11060"/>
    <w:rsid w:val="00C14037"/>
    <w:rsid w:val="00C142B3"/>
    <w:rsid w:val="00C1461B"/>
    <w:rsid w:val="00C15BEF"/>
    <w:rsid w:val="00C21AF7"/>
    <w:rsid w:val="00C25697"/>
    <w:rsid w:val="00C2578F"/>
    <w:rsid w:val="00C27597"/>
    <w:rsid w:val="00C3556F"/>
    <w:rsid w:val="00C358D8"/>
    <w:rsid w:val="00C36FAC"/>
    <w:rsid w:val="00C41E79"/>
    <w:rsid w:val="00C435A8"/>
    <w:rsid w:val="00C44CBD"/>
    <w:rsid w:val="00C51B2E"/>
    <w:rsid w:val="00C528F8"/>
    <w:rsid w:val="00C5363C"/>
    <w:rsid w:val="00C54548"/>
    <w:rsid w:val="00C55FDA"/>
    <w:rsid w:val="00C642ED"/>
    <w:rsid w:val="00C64C86"/>
    <w:rsid w:val="00C66CFD"/>
    <w:rsid w:val="00C73639"/>
    <w:rsid w:val="00C74FB3"/>
    <w:rsid w:val="00C75554"/>
    <w:rsid w:val="00C80199"/>
    <w:rsid w:val="00C837EC"/>
    <w:rsid w:val="00C9233D"/>
    <w:rsid w:val="00C949C4"/>
    <w:rsid w:val="00C95FE4"/>
    <w:rsid w:val="00C96566"/>
    <w:rsid w:val="00CA5533"/>
    <w:rsid w:val="00CA55E8"/>
    <w:rsid w:val="00CB0740"/>
    <w:rsid w:val="00CB295C"/>
    <w:rsid w:val="00CB44FF"/>
    <w:rsid w:val="00CB5A28"/>
    <w:rsid w:val="00CC7C04"/>
    <w:rsid w:val="00CD03A7"/>
    <w:rsid w:val="00CD2F3B"/>
    <w:rsid w:val="00CD37C5"/>
    <w:rsid w:val="00CD3D53"/>
    <w:rsid w:val="00CD43DD"/>
    <w:rsid w:val="00CD4F3C"/>
    <w:rsid w:val="00CE0F1B"/>
    <w:rsid w:val="00CE52D7"/>
    <w:rsid w:val="00CE7513"/>
    <w:rsid w:val="00CF0DB9"/>
    <w:rsid w:val="00CF2028"/>
    <w:rsid w:val="00CF538F"/>
    <w:rsid w:val="00D01AE5"/>
    <w:rsid w:val="00D02E27"/>
    <w:rsid w:val="00D037C1"/>
    <w:rsid w:val="00D03A2E"/>
    <w:rsid w:val="00D07D22"/>
    <w:rsid w:val="00D1063A"/>
    <w:rsid w:val="00D113C2"/>
    <w:rsid w:val="00D136AC"/>
    <w:rsid w:val="00D13AD2"/>
    <w:rsid w:val="00D16512"/>
    <w:rsid w:val="00D16F41"/>
    <w:rsid w:val="00D16FD4"/>
    <w:rsid w:val="00D20DAC"/>
    <w:rsid w:val="00D24C72"/>
    <w:rsid w:val="00D31AEA"/>
    <w:rsid w:val="00D34203"/>
    <w:rsid w:val="00D35053"/>
    <w:rsid w:val="00D40169"/>
    <w:rsid w:val="00D40B0F"/>
    <w:rsid w:val="00D42CA5"/>
    <w:rsid w:val="00D42FF6"/>
    <w:rsid w:val="00D4428E"/>
    <w:rsid w:val="00D44F3E"/>
    <w:rsid w:val="00D51696"/>
    <w:rsid w:val="00D5236B"/>
    <w:rsid w:val="00D62B25"/>
    <w:rsid w:val="00D6419B"/>
    <w:rsid w:val="00D6447C"/>
    <w:rsid w:val="00D707D5"/>
    <w:rsid w:val="00D72834"/>
    <w:rsid w:val="00D80778"/>
    <w:rsid w:val="00D808A8"/>
    <w:rsid w:val="00D8476F"/>
    <w:rsid w:val="00D848CE"/>
    <w:rsid w:val="00D852EA"/>
    <w:rsid w:val="00D86153"/>
    <w:rsid w:val="00D86184"/>
    <w:rsid w:val="00D9147A"/>
    <w:rsid w:val="00D915DA"/>
    <w:rsid w:val="00D96D48"/>
    <w:rsid w:val="00DA29F5"/>
    <w:rsid w:val="00DA453E"/>
    <w:rsid w:val="00DA489A"/>
    <w:rsid w:val="00DA4939"/>
    <w:rsid w:val="00DA5336"/>
    <w:rsid w:val="00DA6257"/>
    <w:rsid w:val="00DA7535"/>
    <w:rsid w:val="00DB1C03"/>
    <w:rsid w:val="00DB2C51"/>
    <w:rsid w:val="00DB4258"/>
    <w:rsid w:val="00DB4EB8"/>
    <w:rsid w:val="00DB53F3"/>
    <w:rsid w:val="00DB54AA"/>
    <w:rsid w:val="00DB67EB"/>
    <w:rsid w:val="00DB70A1"/>
    <w:rsid w:val="00DC1CBA"/>
    <w:rsid w:val="00DC2BB5"/>
    <w:rsid w:val="00DC3A01"/>
    <w:rsid w:val="00DC5F2E"/>
    <w:rsid w:val="00DD2864"/>
    <w:rsid w:val="00DD59EB"/>
    <w:rsid w:val="00DD603C"/>
    <w:rsid w:val="00DD6321"/>
    <w:rsid w:val="00DD6BA8"/>
    <w:rsid w:val="00DE01D6"/>
    <w:rsid w:val="00DE042C"/>
    <w:rsid w:val="00DE0F3E"/>
    <w:rsid w:val="00DE1620"/>
    <w:rsid w:val="00DE64B1"/>
    <w:rsid w:val="00DE7651"/>
    <w:rsid w:val="00DF5D5C"/>
    <w:rsid w:val="00DF6978"/>
    <w:rsid w:val="00E01D7E"/>
    <w:rsid w:val="00E022F0"/>
    <w:rsid w:val="00E06516"/>
    <w:rsid w:val="00E0727B"/>
    <w:rsid w:val="00E1132A"/>
    <w:rsid w:val="00E13A26"/>
    <w:rsid w:val="00E16FF3"/>
    <w:rsid w:val="00E17091"/>
    <w:rsid w:val="00E17C05"/>
    <w:rsid w:val="00E22668"/>
    <w:rsid w:val="00E24491"/>
    <w:rsid w:val="00E26300"/>
    <w:rsid w:val="00E37150"/>
    <w:rsid w:val="00E40CD3"/>
    <w:rsid w:val="00E43A4D"/>
    <w:rsid w:val="00E471BB"/>
    <w:rsid w:val="00E50744"/>
    <w:rsid w:val="00E50751"/>
    <w:rsid w:val="00E52BF7"/>
    <w:rsid w:val="00E5435A"/>
    <w:rsid w:val="00E64275"/>
    <w:rsid w:val="00E664AF"/>
    <w:rsid w:val="00E71D97"/>
    <w:rsid w:val="00E73BBA"/>
    <w:rsid w:val="00E7573F"/>
    <w:rsid w:val="00E778A8"/>
    <w:rsid w:val="00E82351"/>
    <w:rsid w:val="00E85CD8"/>
    <w:rsid w:val="00E87C18"/>
    <w:rsid w:val="00E9170C"/>
    <w:rsid w:val="00E91AEF"/>
    <w:rsid w:val="00E94545"/>
    <w:rsid w:val="00EA0D89"/>
    <w:rsid w:val="00EA17AD"/>
    <w:rsid w:val="00EA4350"/>
    <w:rsid w:val="00EA700B"/>
    <w:rsid w:val="00EA7D3F"/>
    <w:rsid w:val="00EB03E0"/>
    <w:rsid w:val="00EB05E5"/>
    <w:rsid w:val="00EB1FC2"/>
    <w:rsid w:val="00EB2F94"/>
    <w:rsid w:val="00EB3491"/>
    <w:rsid w:val="00EB5962"/>
    <w:rsid w:val="00EC2173"/>
    <w:rsid w:val="00EC679B"/>
    <w:rsid w:val="00EC6DBE"/>
    <w:rsid w:val="00ED3374"/>
    <w:rsid w:val="00ED76BA"/>
    <w:rsid w:val="00EE295A"/>
    <w:rsid w:val="00EE35E6"/>
    <w:rsid w:val="00EE7190"/>
    <w:rsid w:val="00EF056F"/>
    <w:rsid w:val="00EF0BC3"/>
    <w:rsid w:val="00F017E9"/>
    <w:rsid w:val="00F0248F"/>
    <w:rsid w:val="00F02F4D"/>
    <w:rsid w:val="00F03590"/>
    <w:rsid w:val="00F0440A"/>
    <w:rsid w:val="00F04623"/>
    <w:rsid w:val="00F07463"/>
    <w:rsid w:val="00F1283F"/>
    <w:rsid w:val="00F1553F"/>
    <w:rsid w:val="00F22709"/>
    <w:rsid w:val="00F2317B"/>
    <w:rsid w:val="00F31059"/>
    <w:rsid w:val="00F3206D"/>
    <w:rsid w:val="00F320D4"/>
    <w:rsid w:val="00F35FD8"/>
    <w:rsid w:val="00F36499"/>
    <w:rsid w:val="00F36FAC"/>
    <w:rsid w:val="00F41B1A"/>
    <w:rsid w:val="00F430A0"/>
    <w:rsid w:val="00F46450"/>
    <w:rsid w:val="00F50C18"/>
    <w:rsid w:val="00F52022"/>
    <w:rsid w:val="00F55F48"/>
    <w:rsid w:val="00F56C89"/>
    <w:rsid w:val="00F60FC8"/>
    <w:rsid w:val="00F63FE9"/>
    <w:rsid w:val="00F6771F"/>
    <w:rsid w:val="00F7198A"/>
    <w:rsid w:val="00F844A0"/>
    <w:rsid w:val="00F8470A"/>
    <w:rsid w:val="00F908F0"/>
    <w:rsid w:val="00F972DA"/>
    <w:rsid w:val="00FA0EF7"/>
    <w:rsid w:val="00FC040D"/>
    <w:rsid w:val="00FC1928"/>
    <w:rsid w:val="00FD052C"/>
    <w:rsid w:val="00FD0ACE"/>
    <w:rsid w:val="00FD2E5B"/>
    <w:rsid w:val="00FD396A"/>
    <w:rsid w:val="00FD63F9"/>
    <w:rsid w:val="00FE4262"/>
    <w:rsid w:val="00FF08FF"/>
    <w:rsid w:val="00FF4190"/>
    <w:rsid w:val="00FF42FC"/>
    <w:rsid w:val="00FF4C06"/>
    <w:rsid w:val="00FF657F"/>
    <w:rsid w:val="00FF7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2059C"/>
  <w15:docId w15:val="{082557FF-E494-43AC-8A38-6985ABD1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qFormat/>
    <w:rsid w:val="00BD3372"/>
    <w:pPr>
      <w:keepNext/>
      <w:tabs>
        <w:tab w:val="num" w:pos="360"/>
      </w:tabs>
      <w:spacing w:before="240" w:after="60" w:line="240" w:lineRule="auto"/>
      <w:outlineLvl w:val="0"/>
    </w:pPr>
    <w:rPr>
      <w:rFonts w:ascii="Arial" w:eastAsia="Times New Roman" w:hAnsi="Arial" w:cs="Times New Roman"/>
      <w:b/>
      <w:kern w:val="28"/>
      <w:sz w:val="28"/>
      <w:szCs w:val="20"/>
      <w:lang w:val="es-ES"/>
    </w:rPr>
  </w:style>
  <w:style w:type="paragraph" w:styleId="Heading2">
    <w:name w:val="heading 2"/>
    <w:basedOn w:val="Normal"/>
    <w:link w:val="Heading2Char"/>
    <w:qFormat/>
    <w:rsid w:val="00D44F3E"/>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qFormat/>
    <w:rsid w:val="00D44F3E"/>
    <w:pPr>
      <w:widowControl w:val="0"/>
      <w:spacing w:after="0" w:line="240" w:lineRule="auto"/>
      <w:ind w:left="820" w:hanging="720"/>
      <w:outlineLvl w:val="2"/>
    </w:pPr>
    <w:rPr>
      <w:rFonts w:ascii="Times New Roman" w:eastAsia="Times New Roman" w:hAnsi="Times New Roman"/>
      <w:b/>
      <w:bCs/>
      <w:i/>
      <w:sz w:val="24"/>
      <w:szCs w:val="24"/>
    </w:rPr>
  </w:style>
  <w:style w:type="paragraph" w:styleId="Heading4">
    <w:name w:val="heading 4"/>
    <w:basedOn w:val="Normal"/>
    <w:next w:val="Normal"/>
    <w:link w:val="Heading4Char"/>
    <w:qFormat/>
    <w:rsid w:val="00BD3372"/>
    <w:pPr>
      <w:keepNext/>
      <w:tabs>
        <w:tab w:val="num" w:pos="2520"/>
      </w:tabs>
      <w:spacing w:before="240" w:after="60" w:line="240" w:lineRule="auto"/>
      <w:ind w:left="2160"/>
      <w:outlineLvl w:val="3"/>
    </w:pPr>
    <w:rPr>
      <w:rFonts w:ascii="Arial" w:eastAsia="Times New Roman" w:hAnsi="Arial" w:cs="Times New Roman"/>
      <w:b/>
      <w:sz w:val="24"/>
      <w:szCs w:val="20"/>
      <w:lang w:val="es-ES"/>
    </w:rPr>
  </w:style>
  <w:style w:type="paragraph" w:styleId="Heading5">
    <w:name w:val="heading 5"/>
    <w:basedOn w:val="Normal"/>
    <w:next w:val="Normal"/>
    <w:link w:val="Heading5Char"/>
    <w:qFormat/>
    <w:rsid w:val="00BD3372"/>
    <w:pPr>
      <w:numPr>
        <w:ilvl w:val="4"/>
        <w:numId w:val="5"/>
      </w:numPr>
      <w:spacing w:before="240" w:after="60" w:line="240" w:lineRule="auto"/>
      <w:outlineLvl w:val="4"/>
    </w:pPr>
    <w:rPr>
      <w:rFonts w:ascii="Times New Roman" w:eastAsia="Times New Roman" w:hAnsi="Times New Roman" w:cs="Times New Roman"/>
      <w:szCs w:val="20"/>
      <w:lang w:val="es-ES"/>
    </w:rPr>
  </w:style>
  <w:style w:type="paragraph" w:styleId="Heading6">
    <w:name w:val="heading 6"/>
    <w:basedOn w:val="Normal"/>
    <w:next w:val="Normal"/>
    <w:link w:val="Heading6Char"/>
    <w:qFormat/>
    <w:rsid w:val="00BD3372"/>
    <w:pPr>
      <w:numPr>
        <w:ilvl w:val="5"/>
        <w:numId w:val="5"/>
      </w:numPr>
      <w:spacing w:before="240" w:after="60" w:line="240" w:lineRule="auto"/>
      <w:outlineLvl w:val="5"/>
    </w:pPr>
    <w:rPr>
      <w:rFonts w:ascii="Times New Roman" w:eastAsia="Times New Roman" w:hAnsi="Times New Roman" w:cs="Times New Roman"/>
      <w:i/>
      <w:szCs w:val="20"/>
      <w:lang w:val="es-ES"/>
    </w:rPr>
  </w:style>
  <w:style w:type="paragraph" w:styleId="Heading7">
    <w:name w:val="heading 7"/>
    <w:basedOn w:val="Normal"/>
    <w:next w:val="Normal"/>
    <w:link w:val="Heading7Char"/>
    <w:qFormat/>
    <w:rsid w:val="00BD3372"/>
    <w:pPr>
      <w:numPr>
        <w:ilvl w:val="6"/>
        <w:numId w:val="5"/>
      </w:numPr>
      <w:spacing w:before="240" w:after="60" w:line="240" w:lineRule="auto"/>
      <w:outlineLvl w:val="6"/>
    </w:pPr>
    <w:rPr>
      <w:rFonts w:ascii="Arial" w:eastAsia="Times New Roman" w:hAnsi="Arial" w:cs="Times New Roman"/>
      <w:sz w:val="24"/>
      <w:szCs w:val="20"/>
      <w:lang w:val="es-ES"/>
    </w:rPr>
  </w:style>
  <w:style w:type="paragraph" w:styleId="Heading8">
    <w:name w:val="heading 8"/>
    <w:basedOn w:val="Normal"/>
    <w:next w:val="Normal"/>
    <w:link w:val="Heading8Char"/>
    <w:qFormat/>
    <w:rsid w:val="00BD3372"/>
    <w:pPr>
      <w:numPr>
        <w:ilvl w:val="7"/>
        <w:numId w:val="5"/>
      </w:numPr>
      <w:spacing w:before="240" w:after="60" w:line="240" w:lineRule="auto"/>
      <w:outlineLvl w:val="7"/>
    </w:pPr>
    <w:rPr>
      <w:rFonts w:ascii="Arial" w:eastAsia="Times New Roman" w:hAnsi="Arial" w:cs="Times New Roman"/>
      <w:i/>
      <w:sz w:val="24"/>
      <w:szCs w:val="20"/>
      <w:lang w:val="es-ES"/>
    </w:rPr>
  </w:style>
  <w:style w:type="paragraph" w:styleId="Heading9">
    <w:name w:val="heading 9"/>
    <w:basedOn w:val="Normal"/>
    <w:next w:val="Normal"/>
    <w:link w:val="Heading9Char"/>
    <w:qFormat/>
    <w:rsid w:val="00BD3372"/>
    <w:pPr>
      <w:numPr>
        <w:ilvl w:val="8"/>
        <w:numId w:val="5"/>
      </w:numPr>
      <w:spacing w:before="240" w:after="60" w:line="240" w:lineRule="auto"/>
      <w:outlineLvl w:val="8"/>
    </w:pPr>
    <w:rPr>
      <w:rFonts w:ascii="Arial" w:eastAsia="Times New Roman" w:hAnsi="Arial" w:cs="Times New Roman"/>
      <w:b/>
      <w:i/>
      <w:sz w:val="18"/>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table" w:styleId="TableGrid">
    <w:name w:val="Table Grid"/>
    <w:basedOn w:val="TableNormal"/>
    <w:uiPriority w:val="39"/>
    <w:rsid w:val="00DD5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rsid w:val="00DD59EB"/>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subpar">
    <w:name w:val="subpar"/>
    <w:basedOn w:val="Normal"/>
    <w:uiPriority w:val="99"/>
    <w:rsid w:val="00DD59EB"/>
    <w:pPr>
      <w:numPr>
        <w:ilvl w:val="2"/>
        <w:numId w:val="1"/>
      </w:numPr>
      <w:spacing w:before="120" w:after="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rsid w:val="00DD59EB"/>
    <w:pPr>
      <w:numPr>
        <w:ilvl w:val="0"/>
        <w:numId w:val="0"/>
      </w:numPr>
      <w:tabs>
        <w:tab w:val="left" w:pos="0"/>
        <w:tab w:val="num" w:pos="1152"/>
        <w:tab w:val="num" w:pos="1296"/>
        <w:tab w:val="num" w:pos="1584"/>
      </w:tabs>
    </w:pPr>
  </w:style>
  <w:style w:type="paragraph" w:customStyle="1" w:styleId="Paragraph">
    <w:name w:val="Paragraph"/>
    <w:aliases w:val="paragraph,p,PARAGRAPH,PG,pa,at"/>
    <w:basedOn w:val="Normal"/>
    <w:link w:val="ParagraphChar"/>
    <w:qFormat/>
    <w:rsid w:val="00DD59EB"/>
    <w:pPr>
      <w:numPr>
        <w:ilvl w:val="1"/>
        <w:numId w:val="1"/>
      </w:numPr>
      <w:spacing w:before="120" w:after="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locked/>
    <w:rsid w:val="002846E1"/>
    <w:rPr>
      <w:rFonts w:ascii="Times New Roman" w:hAnsi="Times New Roman" w:cs="Times New Roman"/>
      <w:sz w:val="24"/>
      <w:szCs w:val="24"/>
      <w:lang w:val="es-ES"/>
    </w:rPr>
  </w:style>
  <w:style w:type="character" w:customStyle="1" w:styleId="ChapterChar">
    <w:name w:val="Chapter Char"/>
    <w:basedOn w:val="DefaultParagraphFont"/>
    <w:link w:val="Chapter"/>
    <w:uiPriority w:val="99"/>
    <w:locked/>
    <w:rsid w:val="00DB1C03"/>
    <w:rPr>
      <w:rFonts w:ascii="Times New Roman" w:hAnsi="Times New Roman" w:cs="Times New Roman"/>
      <w:b/>
      <w:smallCaps/>
      <w:sz w:val="24"/>
      <w:szCs w:val="24"/>
      <w:lang w:val="es-ES"/>
    </w:rPr>
  </w:style>
  <w:style w:type="character" w:customStyle="1" w:styleId="Refdenotaderodap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sid w:val="00DB1C03"/>
    <w:rPr>
      <w:vertAlign w:val="superscript"/>
    </w:rPr>
  </w:style>
  <w:style w:type="paragraph" w:styleId="FootnoteText">
    <w:name w:val="footnote text"/>
    <w:aliases w:val="foottextfra,footnote,F,Texto nota pie Car Car,Texto de rodapé,nota_rodapé,nota de rodapé,FOOTNOTES,single space,footnote text,Footnote Text Char Char,ADB,texto de nota al pie,Nota a pie/Bibliog,Texto nota pie Car Car Car,f,ft,single spac"/>
    <w:basedOn w:val="Normal"/>
    <w:link w:val="FootnoteTextChar"/>
    <w:unhideWhenUsed/>
    <w:qFormat/>
    <w:rsid w:val="00F31059"/>
    <w:pPr>
      <w:spacing w:after="0" w:line="240" w:lineRule="auto"/>
    </w:pPr>
    <w:rPr>
      <w:sz w:val="20"/>
      <w:szCs w:val="20"/>
    </w:rPr>
  </w:style>
  <w:style w:type="character" w:customStyle="1" w:styleId="FootnoteTextChar">
    <w:name w:val="Footnote Text Char"/>
    <w:aliases w:val="foottextfra Char1,footnote Char1,F Char1,Texto nota pie Car Car Char1,Texto de rodapé Char1,nota_rodapé Char1,nota de rodapé Char1,FOOTNOTES Char1,single space Char1,footnote text Char1,Footnote Text Char Char Char,ADB Char1,f Char1"/>
    <w:basedOn w:val="DefaultParagraphFont"/>
    <w:link w:val="FootnoteText"/>
    <w:rsid w:val="00F31059"/>
    <w:rPr>
      <w:sz w:val="20"/>
      <w:szCs w:val="20"/>
      <w:lang w:val="es-ES_tradnl"/>
    </w:rPr>
  </w:style>
  <w:style w:type="character" w:styleId="FootnoteReference">
    <w:name w:val="footnote reference"/>
    <w:aliases w:val="Referência de rodapé,SUPERS"/>
    <w:basedOn w:val="DefaultParagraphFont"/>
    <w:link w:val="Char2"/>
    <w:uiPriority w:val="99"/>
    <w:unhideWhenUsed/>
    <w:qFormat/>
    <w:rsid w:val="00F31059"/>
    <w:rPr>
      <w:vertAlign w:val="superscript"/>
    </w:rPr>
  </w:style>
  <w:style w:type="character" w:styleId="Hyperlink">
    <w:name w:val="Hyperlink"/>
    <w:basedOn w:val="DefaultParagraphFont"/>
    <w:uiPriority w:val="99"/>
    <w:unhideWhenUsed/>
    <w:rsid w:val="00F31059"/>
    <w:rPr>
      <w:color w:val="0000FF" w:themeColor="hyperlink"/>
      <w:u w:val="single"/>
    </w:rPr>
  </w:style>
  <w:style w:type="character" w:styleId="FollowedHyperlink">
    <w:name w:val="FollowedHyperlink"/>
    <w:basedOn w:val="DefaultParagraphFont"/>
    <w:uiPriority w:val="99"/>
    <w:semiHidden/>
    <w:unhideWhenUsed/>
    <w:rsid w:val="006E4C99"/>
    <w:rPr>
      <w:color w:val="800080" w:themeColor="followedHyperlink"/>
      <w:u w:val="single"/>
    </w:rPr>
  </w:style>
  <w:style w:type="paragraph" w:customStyle="1" w:styleId="Default">
    <w:name w:val="Default"/>
    <w:rsid w:val="009E2B9B"/>
    <w:pPr>
      <w:autoSpaceDE w:val="0"/>
      <w:autoSpaceDN w:val="0"/>
      <w:adjustRightInd w:val="0"/>
      <w:spacing w:after="0" w:line="240" w:lineRule="auto"/>
    </w:pPr>
    <w:rPr>
      <w:rFonts w:ascii="Cambria" w:hAnsi="Cambria" w:cs="Cambria"/>
      <w:color w:val="000000"/>
      <w:sz w:val="24"/>
      <w:szCs w:val="24"/>
    </w:rPr>
  </w:style>
  <w:style w:type="character" w:customStyle="1" w:styleId="TextodenotaderodapChar">
    <w:name w:val="Texto de nota de rodapé Char"/>
    <w:aliases w:val="fn Char,Footnote Text Char1,foottextfra Char,footnote Char,F Char,Texto nota pie Car Car Char,Texto de rodapé Char,nota_rodapé Char,nota de rodapé Char,FOOTNOTES Char,single space Char,footnote text Char,ADB Char,f Char"/>
    <w:basedOn w:val="DefaultParagraphFont"/>
    <w:link w:val="Textodenotaderodap1"/>
    <w:uiPriority w:val="99"/>
    <w:locked/>
    <w:rsid w:val="00C21AF7"/>
    <w:rPr>
      <w:spacing w:val="-3"/>
      <w:lang w:val="x-none" w:eastAsia="x-none"/>
    </w:rPr>
  </w:style>
  <w:style w:type="paragraph" w:customStyle="1" w:styleId="Textodenotaderodap1">
    <w:name w:val="Texto de nota de rodapé1"/>
    <w:aliases w:val="fn"/>
    <w:basedOn w:val="Normal"/>
    <w:link w:val="TextodenotaderodapChar"/>
    <w:rsid w:val="00C21AF7"/>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rsid w:val="00640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780"/>
    <w:rPr>
      <w:rFonts w:ascii="Tahoma" w:hAnsi="Tahoma" w:cs="Tahoma"/>
      <w:sz w:val="16"/>
      <w:szCs w:val="16"/>
      <w:lang w:val="es-ES_tradnl"/>
    </w:rPr>
  </w:style>
  <w:style w:type="character" w:styleId="CommentReference">
    <w:name w:val="annotation reference"/>
    <w:basedOn w:val="DefaultParagraphFont"/>
    <w:uiPriority w:val="99"/>
    <w:unhideWhenUsed/>
    <w:rsid w:val="00642D6A"/>
    <w:rPr>
      <w:sz w:val="18"/>
      <w:szCs w:val="18"/>
    </w:rPr>
  </w:style>
  <w:style w:type="paragraph" w:styleId="CommentText">
    <w:name w:val="annotation text"/>
    <w:basedOn w:val="Normal"/>
    <w:link w:val="CommentTextChar"/>
    <w:uiPriority w:val="99"/>
    <w:unhideWhenUsed/>
    <w:rsid w:val="00642D6A"/>
    <w:pPr>
      <w:spacing w:line="240" w:lineRule="auto"/>
    </w:pPr>
    <w:rPr>
      <w:sz w:val="24"/>
      <w:szCs w:val="24"/>
    </w:rPr>
  </w:style>
  <w:style w:type="character" w:customStyle="1" w:styleId="CommentTextChar">
    <w:name w:val="Comment Text Char"/>
    <w:basedOn w:val="DefaultParagraphFont"/>
    <w:link w:val="CommentText"/>
    <w:uiPriority w:val="99"/>
    <w:rsid w:val="00642D6A"/>
    <w:rPr>
      <w:sz w:val="24"/>
      <w:szCs w:val="24"/>
    </w:rPr>
  </w:style>
  <w:style w:type="paragraph" w:styleId="CommentSubject">
    <w:name w:val="annotation subject"/>
    <w:basedOn w:val="CommentText"/>
    <w:next w:val="CommentText"/>
    <w:link w:val="CommentSubjectChar"/>
    <w:uiPriority w:val="99"/>
    <w:semiHidden/>
    <w:unhideWhenUsed/>
    <w:rsid w:val="00642D6A"/>
    <w:rPr>
      <w:b/>
      <w:bCs/>
      <w:sz w:val="20"/>
      <w:szCs w:val="20"/>
    </w:rPr>
  </w:style>
  <w:style w:type="character" w:customStyle="1" w:styleId="CommentSubjectChar">
    <w:name w:val="Comment Subject Char"/>
    <w:basedOn w:val="CommentTextChar"/>
    <w:link w:val="CommentSubject"/>
    <w:uiPriority w:val="99"/>
    <w:semiHidden/>
    <w:rsid w:val="00642D6A"/>
    <w:rPr>
      <w:b/>
      <w:bCs/>
      <w:sz w:val="20"/>
      <w:szCs w:val="20"/>
    </w:rPr>
  </w:style>
  <w:style w:type="paragraph" w:styleId="Header">
    <w:name w:val="header"/>
    <w:basedOn w:val="Normal"/>
    <w:link w:val="HeaderChar"/>
    <w:uiPriority w:val="99"/>
    <w:unhideWhenUsed/>
    <w:rsid w:val="005A36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3668"/>
  </w:style>
  <w:style w:type="paragraph" w:styleId="Footer">
    <w:name w:val="footer"/>
    <w:basedOn w:val="Normal"/>
    <w:link w:val="FooterChar"/>
    <w:uiPriority w:val="99"/>
    <w:unhideWhenUsed/>
    <w:rsid w:val="005A36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3668"/>
  </w:style>
  <w:style w:type="paragraph" w:styleId="Revision">
    <w:name w:val="Revision"/>
    <w:hidden/>
    <w:uiPriority w:val="99"/>
    <w:semiHidden/>
    <w:rsid w:val="00E17091"/>
    <w:pPr>
      <w:spacing w:after="0" w:line="240" w:lineRule="auto"/>
    </w:pPr>
  </w:style>
  <w:style w:type="character" w:customStyle="1" w:styleId="Heading2Char">
    <w:name w:val="Heading 2 Char"/>
    <w:basedOn w:val="DefaultParagraphFont"/>
    <w:link w:val="Heading2"/>
    <w:uiPriority w:val="1"/>
    <w:rsid w:val="00D44F3E"/>
    <w:rPr>
      <w:rFonts w:ascii="Times New Roman" w:eastAsia="Times New Roman" w:hAnsi="Times New Roman"/>
      <w:b/>
      <w:bCs/>
      <w:sz w:val="24"/>
      <w:szCs w:val="24"/>
    </w:rPr>
  </w:style>
  <w:style w:type="character" w:customStyle="1" w:styleId="Heading3Char">
    <w:name w:val="Heading 3 Char"/>
    <w:basedOn w:val="DefaultParagraphFont"/>
    <w:link w:val="Heading3"/>
    <w:uiPriority w:val="1"/>
    <w:rsid w:val="00D44F3E"/>
    <w:rPr>
      <w:rFonts w:ascii="Times New Roman" w:eastAsia="Times New Roman" w:hAnsi="Times New Roman"/>
      <w:b/>
      <w:bCs/>
      <w:i/>
      <w:sz w:val="24"/>
      <w:szCs w:val="24"/>
    </w:rPr>
  </w:style>
  <w:style w:type="table" w:customStyle="1" w:styleId="TableNormal1">
    <w:name w:val="Table Normal1"/>
    <w:uiPriority w:val="2"/>
    <w:semiHidden/>
    <w:unhideWhenUsed/>
    <w:qFormat/>
    <w:rsid w:val="00D44F3E"/>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D44F3E"/>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44F3E"/>
    <w:rPr>
      <w:rFonts w:ascii="Times New Roman" w:eastAsia="Times New Roman" w:hAnsi="Times New Roman"/>
      <w:sz w:val="24"/>
      <w:szCs w:val="24"/>
    </w:rPr>
  </w:style>
  <w:style w:type="paragraph" w:customStyle="1" w:styleId="TableParagraph">
    <w:name w:val="Table Paragraph"/>
    <w:basedOn w:val="Normal"/>
    <w:uiPriority w:val="1"/>
    <w:qFormat/>
    <w:rsid w:val="00D44F3E"/>
    <w:pPr>
      <w:widowControl w:val="0"/>
      <w:spacing w:after="0" w:line="240" w:lineRule="auto"/>
    </w:pPr>
    <w:rPr>
      <w:rFonts w:eastAsiaTheme="minorHAnsi"/>
    </w:rPr>
  </w:style>
  <w:style w:type="paragraph" w:styleId="NormalWeb">
    <w:name w:val="Normal (Web)"/>
    <w:basedOn w:val="Normal"/>
    <w:uiPriority w:val="99"/>
    <w:semiHidden/>
    <w:unhideWhenUsed/>
    <w:rsid w:val="00E50744"/>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sid w:val="00BD3372"/>
    <w:rPr>
      <w:rFonts w:ascii="Arial" w:eastAsia="Times New Roman" w:hAnsi="Arial" w:cs="Times New Roman"/>
      <w:b/>
      <w:kern w:val="28"/>
      <w:sz w:val="28"/>
      <w:szCs w:val="20"/>
      <w:lang w:val="es-ES"/>
    </w:rPr>
  </w:style>
  <w:style w:type="character" w:customStyle="1" w:styleId="Heading4Char">
    <w:name w:val="Heading 4 Char"/>
    <w:basedOn w:val="DefaultParagraphFont"/>
    <w:link w:val="Heading4"/>
    <w:rsid w:val="00BD3372"/>
    <w:rPr>
      <w:rFonts w:ascii="Arial" w:eastAsia="Times New Roman" w:hAnsi="Arial" w:cs="Times New Roman"/>
      <w:b/>
      <w:sz w:val="24"/>
      <w:szCs w:val="20"/>
      <w:lang w:val="es-ES"/>
    </w:rPr>
  </w:style>
  <w:style w:type="character" w:customStyle="1" w:styleId="Heading5Char">
    <w:name w:val="Heading 5 Char"/>
    <w:basedOn w:val="DefaultParagraphFont"/>
    <w:link w:val="Heading5"/>
    <w:rsid w:val="00BD3372"/>
    <w:rPr>
      <w:rFonts w:ascii="Times New Roman" w:eastAsia="Times New Roman" w:hAnsi="Times New Roman" w:cs="Times New Roman"/>
      <w:szCs w:val="20"/>
      <w:lang w:val="es-ES"/>
    </w:rPr>
  </w:style>
  <w:style w:type="character" w:customStyle="1" w:styleId="Heading6Char">
    <w:name w:val="Heading 6 Char"/>
    <w:basedOn w:val="DefaultParagraphFont"/>
    <w:link w:val="Heading6"/>
    <w:rsid w:val="00BD3372"/>
    <w:rPr>
      <w:rFonts w:ascii="Times New Roman" w:eastAsia="Times New Roman" w:hAnsi="Times New Roman" w:cs="Times New Roman"/>
      <w:i/>
      <w:szCs w:val="20"/>
      <w:lang w:val="es-ES"/>
    </w:rPr>
  </w:style>
  <w:style w:type="character" w:customStyle="1" w:styleId="Heading7Char">
    <w:name w:val="Heading 7 Char"/>
    <w:basedOn w:val="DefaultParagraphFont"/>
    <w:link w:val="Heading7"/>
    <w:rsid w:val="00BD3372"/>
    <w:rPr>
      <w:rFonts w:ascii="Arial" w:eastAsia="Times New Roman" w:hAnsi="Arial" w:cs="Times New Roman"/>
      <w:sz w:val="24"/>
      <w:szCs w:val="20"/>
      <w:lang w:val="es-ES"/>
    </w:rPr>
  </w:style>
  <w:style w:type="character" w:customStyle="1" w:styleId="Heading8Char">
    <w:name w:val="Heading 8 Char"/>
    <w:basedOn w:val="DefaultParagraphFont"/>
    <w:link w:val="Heading8"/>
    <w:rsid w:val="00BD3372"/>
    <w:rPr>
      <w:rFonts w:ascii="Arial" w:eastAsia="Times New Roman" w:hAnsi="Arial" w:cs="Times New Roman"/>
      <w:i/>
      <w:sz w:val="24"/>
      <w:szCs w:val="20"/>
      <w:lang w:val="es-ES"/>
    </w:rPr>
  </w:style>
  <w:style w:type="character" w:customStyle="1" w:styleId="Heading9Char">
    <w:name w:val="Heading 9 Char"/>
    <w:basedOn w:val="DefaultParagraphFont"/>
    <w:link w:val="Heading9"/>
    <w:rsid w:val="00BD3372"/>
    <w:rPr>
      <w:rFonts w:ascii="Arial" w:eastAsia="Times New Roman" w:hAnsi="Arial" w:cs="Times New Roman"/>
      <w:b/>
      <w:i/>
      <w:sz w:val="18"/>
      <w:szCs w:val="20"/>
      <w:lang w:val="es-ES"/>
    </w:rPr>
  </w:style>
  <w:style w:type="paragraph" w:customStyle="1" w:styleId="FirstHeading">
    <w:name w:val="FirstHeading"/>
    <w:basedOn w:val="Normal"/>
    <w:next w:val="Normal"/>
    <w:rsid w:val="00BD3372"/>
    <w:pPr>
      <w:keepNext/>
      <w:numPr>
        <w:numId w:val="5"/>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BD3372"/>
    <w:pPr>
      <w:keepNext/>
      <w:numPr>
        <w:ilvl w:val="1"/>
        <w:numId w:val="5"/>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
    </w:rPr>
  </w:style>
  <w:style w:type="paragraph" w:customStyle="1" w:styleId="SubHeading1">
    <w:name w:val="SubHeading1"/>
    <w:basedOn w:val="SecHeading"/>
    <w:rsid w:val="00BD3372"/>
    <w:pPr>
      <w:numPr>
        <w:ilvl w:val="2"/>
      </w:numPr>
      <w:tabs>
        <w:tab w:val="clear" w:pos="5976"/>
        <w:tab w:val="num" w:pos="1872"/>
      </w:tabs>
      <w:ind w:left="1872"/>
    </w:pPr>
  </w:style>
  <w:style w:type="paragraph" w:customStyle="1" w:styleId="Subheading2">
    <w:name w:val="Subheading2"/>
    <w:basedOn w:val="SecHeading"/>
    <w:rsid w:val="00BD3372"/>
    <w:pPr>
      <w:numPr>
        <w:ilvl w:val="3"/>
      </w:numPr>
      <w:tabs>
        <w:tab w:val="clear" w:pos="6480"/>
        <w:tab w:val="num" w:pos="2376"/>
      </w:tabs>
      <w:ind w:left="2376"/>
    </w:pPr>
  </w:style>
  <w:style w:type="character" w:customStyle="1" w:styleId="Mention1">
    <w:name w:val="Mention1"/>
    <w:basedOn w:val="DefaultParagraphFont"/>
    <w:uiPriority w:val="99"/>
    <w:semiHidden/>
    <w:unhideWhenUsed/>
    <w:rsid w:val="00EA4350"/>
    <w:rPr>
      <w:color w:val="2B579A"/>
      <w:shd w:val="clear" w:color="auto" w:fill="E6E6E6"/>
    </w:rPr>
  </w:style>
  <w:style w:type="paragraph" w:styleId="TOCHeading">
    <w:name w:val="TOC Heading"/>
    <w:basedOn w:val="Heading1"/>
    <w:next w:val="Normal"/>
    <w:uiPriority w:val="39"/>
    <w:unhideWhenUsed/>
    <w:qFormat/>
    <w:rsid w:val="00EB03E0"/>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3">
    <w:name w:val="toc 3"/>
    <w:basedOn w:val="Normal"/>
    <w:next w:val="Normal"/>
    <w:autoRedefine/>
    <w:uiPriority w:val="39"/>
    <w:unhideWhenUsed/>
    <w:rsid w:val="00EB03E0"/>
    <w:pPr>
      <w:spacing w:after="100"/>
      <w:ind w:left="440"/>
    </w:pPr>
  </w:style>
  <w:style w:type="paragraph" w:styleId="TOC1">
    <w:name w:val="toc 1"/>
    <w:basedOn w:val="Normal"/>
    <w:next w:val="Normal"/>
    <w:autoRedefine/>
    <w:uiPriority w:val="39"/>
    <w:unhideWhenUsed/>
    <w:rsid w:val="00417F76"/>
    <w:pPr>
      <w:tabs>
        <w:tab w:val="left" w:pos="440"/>
        <w:tab w:val="right" w:leader="dot" w:pos="9016"/>
      </w:tabs>
      <w:spacing w:after="100"/>
      <w:jc w:val="center"/>
    </w:pPr>
  </w:style>
  <w:style w:type="paragraph" w:styleId="TOC2">
    <w:name w:val="toc 2"/>
    <w:basedOn w:val="Normal"/>
    <w:next w:val="Normal"/>
    <w:autoRedefine/>
    <w:uiPriority w:val="39"/>
    <w:unhideWhenUsed/>
    <w:rsid w:val="00EB03E0"/>
    <w:pPr>
      <w:spacing w:after="100"/>
      <w:ind w:left="220"/>
    </w:pPr>
  </w:style>
  <w:style w:type="paragraph" w:styleId="Caption">
    <w:name w:val="caption"/>
    <w:basedOn w:val="Normal"/>
    <w:next w:val="Normal"/>
    <w:semiHidden/>
    <w:unhideWhenUsed/>
    <w:qFormat/>
    <w:rsid w:val="00DC5F2E"/>
    <w:pPr>
      <w:spacing w:after="0" w:line="240" w:lineRule="auto"/>
    </w:pPr>
    <w:rPr>
      <w:rFonts w:ascii="Times New Roman" w:eastAsia="Times New Roman" w:hAnsi="Times New Roman" w:cs="Times New Roman"/>
      <w:b/>
      <w:bCs/>
      <w:noProof/>
      <w:sz w:val="20"/>
      <w:szCs w:val="20"/>
      <w:lang w:val="es-ES" w:eastAsia="es-ES"/>
    </w:rPr>
  </w:style>
  <w:style w:type="character" w:styleId="PlaceholderText">
    <w:name w:val="Placeholder Text"/>
    <w:basedOn w:val="DefaultParagraphFont"/>
    <w:uiPriority w:val="99"/>
    <w:semiHidden/>
    <w:rsid w:val="00B05A8C"/>
    <w:rPr>
      <w:color w:val="808080"/>
    </w:rPr>
  </w:style>
  <w:style w:type="character" w:styleId="Mention">
    <w:name w:val="Mention"/>
    <w:basedOn w:val="DefaultParagraphFont"/>
    <w:uiPriority w:val="99"/>
    <w:semiHidden/>
    <w:unhideWhenUsed/>
    <w:rsid w:val="00073648"/>
    <w:rPr>
      <w:color w:val="2B579A"/>
      <w:shd w:val="clear" w:color="auto" w:fill="E6E6E6"/>
    </w:rPr>
  </w:style>
  <w:style w:type="paragraph" w:customStyle="1" w:styleId="Char2">
    <w:name w:val="Char2"/>
    <w:basedOn w:val="Normal"/>
    <w:link w:val="FootnoteReference"/>
    <w:uiPriority w:val="99"/>
    <w:rsid w:val="00B74023"/>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43374">
      <w:bodyDiv w:val="1"/>
      <w:marLeft w:val="0"/>
      <w:marRight w:val="0"/>
      <w:marTop w:val="0"/>
      <w:marBottom w:val="0"/>
      <w:divBdr>
        <w:top w:val="none" w:sz="0" w:space="0" w:color="auto"/>
        <w:left w:val="none" w:sz="0" w:space="0" w:color="auto"/>
        <w:bottom w:val="none" w:sz="0" w:space="0" w:color="auto"/>
        <w:right w:val="none" w:sz="0" w:space="0" w:color="auto"/>
      </w:divBdr>
    </w:div>
    <w:div w:id="198327114">
      <w:bodyDiv w:val="1"/>
      <w:marLeft w:val="0"/>
      <w:marRight w:val="0"/>
      <w:marTop w:val="0"/>
      <w:marBottom w:val="0"/>
      <w:divBdr>
        <w:top w:val="none" w:sz="0" w:space="0" w:color="auto"/>
        <w:left w:val="none" w:sz="0" w:space="0" w:color="auto"/>
        <w:bottom w:val="none" w:sz="0" w:space="0" w:color="auto"/>
        <w:right w:val="none" w:sz="0" w:space="0" w:color="auto"/>
      </w:divBdr>
    </w:div>
    <w:div w:id="270011840">
      <w:bodyDiv w:val="1"/>
      <w:marLeft w:val="0"/>
      <w:marRight w:val="0"/>
      <w:marTop w:val="0"/>
      <w:marBottom w:val="0"/>
      <w:divBdr>
        <w:top w:val="none" w:sz="0" w:space="0" w:color="auto"/>
        <w:left w:val="none" w:sz="0" w:space="0" w:color="auto"/>
        <w:bottom w:val="none" w:sz="0" w:space="0" w:color="auto"/>
        <w:right w:val="none" w:sz="0" w:space="0" w:color="auto"/>
      </w:divBdr>
    </w:div>
    <w:div w:id="275674487">
      <w:bodyDiv w:val="1"/>
      <w:marLeft w:val="0"/>
      <w:marRight w:val="0"/>
      <w:marTop w:val="0"/>
      <w:marBottom w:val="0"/>
      <w:divBdr>
        <w:top w:val="none" w:sz="0" w:space="0" w:color="auto"/>
        <w:left w:val="none" w:sz="0" w:space="0" w:color="auto"/>
        <w:bottom w:val="none" w:sz="0" w:space="0" w:color="auto"/>
        <w:right w:val="none" w:sz="0" w:space="0" w:color="auto"/>
      </w:divBdr>
    </w:div>
    <w:div w:id="383649291">
      <w:bodyDiv w:val="1"/>
      <w:marLeft w:val="0"/>
      <w:marRight w:val="0"/>
      <w:marTop w:val="0"/>
      <w:marBottom w:val="0"/>
      <w:divBdr>
        <w:top w:val="none" w:sz="0" w:space="0" w:color="auto"/>
        <w:left w:val="none" w:sz="0" w:space="0" w:color="auto"/>
        <w:bottom w:val="none" w:sz="0" w:space="0" w:color="auto"/>
        <w:right w:val="none" w:sz="0" w:space="0" w:color="auto"/>
      </w:divBdr>
    </w:div>
    <w:div w:id="488523229">
      <w:bodyDiv w:val="1"/>
      <w:marLeft w:val="0"/>
      <w:marRight w:val="0"/>
      <w:marTop w:val="0"/>
      <w:marBottom w:val="0"/>
      <w:divBdr>
        <w:top w:val="none" w:sz="0" w:space="0" w:color="auto"/>
        <w:left w:val="none" w:sz="0" w:space="0" w:color="auto"/>
        <w:bottom w:val="none" w:sz="0" w:space="0" w:color="auto"/>
        <w:right w:val="none" w:sz="0" w:space="0" w:color="auto"/>
      </w:divBdr>
    </w:div>
    <w:div w:id="547104417">
      <w:bodyDiv w:val="1"/>
      <w:marLeft w:val="0"/>
      <w:marRight w:val="0"/>
      <w:marTop w:val="0"/>
      <w:marBottom w:val="0"/>
      <w:divBdr>
        <w:top w:val="none" w:sz="0" w:space="0" w:color="auto"/>
        <w:left w:val="none" w:sz="0" w:space="0" w:color="auto"/>
        <w:bottom w:val="none" w:sz="0" w:space="0" w:color="auto"/>
        <w:right w:val="none" w:sz="0" w:space="0" w:color="auto"/>
      </w:divBdr>
    </w:div>
    <w:div w:id="564413563">
      <w:bodyDiv w:val="1"/>
      <w:marLeft w:val="0"/>
      <w:marRight w:val="0"/>
      <w:marTop w:val="0"/>
      <w:marBottom w:val="0"/>
      <w:divBdr>
        <w:top w:val="none" w:sz="0" w:space="0" w:color="auto"/>
        <w:left w:val="none" w:sz="0" w:space="0" w:color="auto"/>
        <w:bottom w:val="none" w:sz="0" w:space="0" w:color="auto"/>
        <w:right w:val="none" w:sz="0" w:space="0" w:color="auto"/>
      </w:divBdr>
    </w:div>
    <w:div w:id="631639082">
      <w:bodyDiv w:val="1"/>
      <w:marLeft w:val="0"/>
      <w:marRight w:val="0"/>
      <w:marTop w:val="0"/>
      <w:marBottom w:val="0"/>
      <w:divBdr>
        <w:top w:val="none" w:sz="0" w:space="0" w:color="auto"/>
        <w:left w:val="none" w:sz="0" w:space="0" w:color="auto"/>
        <w:bottom w:val="none" w:sz="0" w:space="0" w:color="auto"/>
        <w:right w:val="none" w:sz="0" w:space="0" w:color="auto"/>
      </w:divBdr>
    </w:div>
    <w:div w:id="637498391">
      <w:bodyDiv w:val="1"/>
      <w:marLeft w:val="0"/>
      <w:marRight w:val="0"/>
      <w:marTop w:val="0"/>
      <w:marBottom w:val="0"/>
      <w:divBdr>
        <w:top w:val="none" w:sz="0" w:space="0" w:color="auto"/>
        <w:left w:val="none" w:sz="0" w:space="0" w:color="auto"/>
        <w:bottom w:val="none" w:sz="0" w:space="0" w:color="auto"/>
        <w:right w:val="none" w:sz="0" w:space="0" w:color="auto"/>
      </w:divBdr>
    </w:div>
    <w:div w:id="663433244">
      <w:bodyDiv w:val="1"/>
      <w:marLeft w:val="0"/>
      <w:marRight w:val="0"/>
      <w:marTop w:val="0"/>
      <w:marBottom w:val="0"/>
      <w:divBdr>
        <w:top w:val="none" w:sz="0" w:space="0" w:color="auto"/>
        <w:left w:val="none" w:sz="0" w:space="0" w:color="auto"/>
        <w:bottom w:val="none" w:sz="0" w:space="0" w:color="auto"/>
        <w:right w:val="none" w:sz="0" w:space="0" w:color="auto"/>
      </w:divBdr>
    </w:div>
    <w:div w:id="690839964">
      <w:bodyDiv w:val="1"/>
      <w:marLeft w:val="0"/>
      <w:marRight w:val="0"/>
      <w:marTop w:val="0"/>
      <w:marBottom w:val="0"/>
      <w:divBdr>
        <w:top w:val="none" w:sz="0" w:space="0" w:color="auto"/>
        <w:left w:val="none" w:sz="0" w:space="0" w:color="auto"/>
        <w:bottom w:val="none" w:sz="0" w:space="0" w:color="auto"/>
        <w:right w:val="none" w:sz="0" w:space="0" w:color="auto"/>
      </w:divBdr>
    </w:div>
    <w:div w:id="716590910">
      <w:bodyDiv w:val="1"/>
      <w:marLeft w:val="0"/>
      <w:marRight w:val="0"/>
      <w:marTop w:val="0"/>
      <w:marBottom w:val="0"/>
      <w:divBdr>
        <w:top w:val="none" w:sz="0" w:space="0" w:color="auto"/>
        <w:left w:val="none" w:sz="0" w:space="0" w:color="auto"/>
        <w:bottom w:val="none" w:sz="0" w:space="0" w:color="auto"/>
        <w:right w:val="none" w:sz="0" w:space="0" w:color="auto"/>
      </w:divBdr>
    </w:div>
    <w:div w:id="720904336">
      <w:bodyDiv w:val="1"/>
      <w:marLeft w:val="0"/>
      <w:marRight w:val="0"/>
      <w:marTop w:val="0"/>
      <w:marBottom w:val="0"/>
      <w:divBdr>
        <w:top w:val="none" w:sz="0" w:space="0" w:color="auto"/>
        <w:left w:val="none" w:sz="0" w:space="0" w:color="auto"/>
        <w:bottom w:val="none" w:sz="0" w:space="0" w:color="auto"/>
        <w:right w:val="none" w:sz="0" w:space="0" w:color="auto"/>
      </w:divBdr>
    </w:div>
    <w:div w:id="750472730">
      <w:bodyDiv w:val="1"/>
      <w:marLeft w:val="0"/>
      <w:marRight w:val="0"/>
      <w:marTop w:val="0"/>
      <w:marBottom w:val="0"/>
      <w:divBdr>
        <w:top w:val="none" w:sz="0" w:space="0" w:color="auto"/>
        <w:left w:val="none" w:sz="0" w:space="0" w:color="auto"/>
        <w:bottom w:val="none" w:sz="0" w:space="0" w:color="auto"/>
        <w:right w:val="none" w:sz="0" w:space="0" w:color="auto"/>
      </w:divBdr>
    </w:div>
    <w:div w:id="799112992">
      <w:bodyDiv w:val="1"/>
      <w:marLeft w:val="0"/>
      <w:marRight w:val="0"/>
      <w:marTop w:val="0"/>
      <w:marBottom w:val="0"/>
      <w:divBdr>
        <w:top w:val="none" w:sz="0" w:space="0" w:color="auto"/>
        <w:left w:val="none" w:sz="0" w:space="0" w:color="auto"/>
        <w:bottom w:val="none" w:sz="0" w:space="0" w:color="auto"/>
        <w:right w:val="none" w:sz="0" w:space="0" w:color="auto"/>
      </w:divBdr>
    </w:div>
    <w:div w:id="841703978">
      <w:bodyDiv w:val="1"/>
      <w:marLeft w:val="0"/>
      <w:marRight w:val="0"/>
      <w:marTop w:val="0"/>
      <w:marBottom w:val="0"/>
      <w:divBdr>
        <w:top w:val="none" w:sz="0" w:space="0" w:color="auto"/>
        <w:left w:val="none" w:sz="0" w:space="0" w:color="auto"/>
        <w:bottom w:val="none" w:sz="0" w:space="0" w:color="auto"/>
        <w:right w:val="none" w:sz="0" w:space="0" w:color="auto"/>
      </w:divBdr>
    </w:div>
    <w:div w:id="864683091">
      <w:bodyDiv w:val="1"/>
      <w:marLeft w:val="0"/>
      <w:marRight w:val="0"/>
      <w:marTop w:val="0"/>
      <w:marBottom w:val="0"/>
      <w:divBdr>
        <w:top w:val="none" w:sz="0" w:space="0" w:color="auto"/>
        <w:left w:val="none" w:sz="0" w:space="0" w:color="auto"/>
        <w:bottom w:val="none" w:sz="0" w:space="0" w:color="auto"/>
        <w:right w:val="none" w:sz="0" w:space="0" w:color="auto"/>
      </w:divBdr>
    </w:div>
    <w:div w:id="1102337644">
      <w:bodyDiv w:val="1"/>
      <w:marLeft w:val="0"/>
      <w:marRight w:val="0"/>
      <w:marTop w:val="0"/>
      <w:marBottom w:val="0"/>
      <w:divBdr>
        <w:top w:val="none" w:sz="0" w:space="0" w:color="auto"/>
        <w:left w:val="none" w:sz="0" w:space="0" w:color="auto"/>
        <w:bottom w:val="none" w:sz="0" w:space="0" w:color="auto"/>
        <w:right w:val="none" w:sz="0" w:space="0" w:color="auto"/>
      </w:divBdr>
    </w:div>
    <w:div w:id="1168715484">
      <w:bodyDiv w:val="1"/>
      <w:marLeft w:val="0"/>
      <w:marRight w:val="0"/>
      <w:marTop w:val="0"/>
      <w:marBottom w:val="0"/>
      <w:divBdr>
        <w:top w:val="none" w:sz="0" w:space="0" w:color="auto"/>
        <w:left w:val="none" w:sz="0" w:space="0" w:color="auto"/>
        <w:bottom w:val="none" w:sz="0" w:space="0" w:color="auto"/>
        <w:right w:val="none" w:sz="0" w:space="0" w:color="auto"/>
      </w:divBdr>
    </w:div>
    <w:div w:id="1171988000">
      <w:bodyDiv w:val="1"/>
      <w:marLeft w:val="0"/>
      <w:marRight w:val="0"/>
      <w:marTop w:val="0"/>
      <w:marBottom w:val="0"/>
      <w:divBdr>
        <w:top w:val="none" w:sz="0" w:space="0" w:color="auto"/>
        <w:left w:val="none" w:sz="0" w:space="0" w:color="auto"/>
        <w:bottom w:val="none" w:sz="0" w:space="0" w:color="auto"/>
        <w:right w:val="none" w:sz="0" w:space="0" w:color="auto"/>
      </w:divBdr>
    </w:div>
    <w:div w:id="1212158166">
      <w:bodyDiv w:val="1"/>
      <w:marLeft w:val="0"/>
      <w:marRight w:val="0"/>
      <w:marTop w:val="0"/>
      <w:marBottom w:val="0"/>
      <w:divBdr>
        <w:top w:val="none" w:sz="0" w:space="0" w:color="auto"/>
        <w:left w:val="none" w:sz="0" w:space="0" w:color="auto"/>
        <w:bottom w:val="none" w:sz="0" w:space="0" w:color="auto"/>
        <w:right w:val="none" w:sz="0" w:space="0" w:color="auto"/>
      </w:divBdr>
    </w:div>
    <w:div w:id="1284194260">
      <w:bodyDiv w:val="1"/>
      <w:marLeft w:val="0"/>
      <w:marRight w:val="0"/>
      <w:marTop w:val="0"/>
      <w:marBottom w:val="0"/>
      <w:divBdr>
        <w:top w:val="none" w:sz="0" w:space="0" w:color="auto"/>
        <w:left w:val="none" w:sz="0" w:space="0" w:color="auto"/>
        <w:bottom w:val="none" w:sz="0" w:space="0" w:color="auto"/>
        <w:right w:val="none" w:sz="0" w:space="0" w:color="auto"/>
      </w:divBdr>
    </w:div>
    <w:div w:id="1288897474">
      <w:bodyDiv w:val="1"/>
      <w:marLeft w:val="0"/>
      <w:marRight w:val="0"/>
      <w:marTop w:val="0"/>
      <w:marBottom w:val="0"/>
      <w:divBdr>
        <w:top w:val="none" w:sz="0" w:space="0" w:color="auto"/>
        <w:left w:val="none" w:sz="0" w:space="0" w:color="auto"/>
        <w:bottom w:val="none" w:sz="0" w:space="0" w:color="auto"/>
        <w:right w:val="none" w:sz="0" w:space="0" w:color="auto"/>
      </w:divBdr>
    </w:div>
    <w:div w:id="1290549818">
      <w:bodyDiv w:val="1"/>
      <w:marLeft w:val="0"/>
      <w:marRight w:val="0"/>
      <w:marTop w:val="0"/>
      <w:marBottom w:val="0"/>
      <w:divBdr>
        <w:top w:val="none" w:sz="0" w:space="0" w:color="auto"/>
        <w:left w:val="none" w:sz="0" w:space="0" w:color="auto"/>
        <w:bottom w:val="none" w:sz="0" w:space="0" w:color="auto"/>
        <w:right w:val="none" w:sz="0" w:space="0" w:color="auto"/>
      </w:divBdr>
    </w:div>
    <w:div w:id="1326206789">
      <w:bodyDiv w:val="1"/>
      <w:marLeft w:val="0"/>
      <w:marRight w:val="0"/>
      <w:marTop w:val="0"/>
      <w:marBottom w:val="0"/>
      <w:divBdr>
        <w:top w:val="none" w:sz="0" w:space="0" w:color="auto"/>
        <w:left w:val="none" w:sz="0" w:space="0" w:color="auto"/>
        <w:bottom w:val="none" w:sz="0" w:space="0" w:color="auto"/>
        <w:right w:val="none" w:sz="0" w:space="0" w:color="auto"/>
      </w:divBdr>
    </w:div>
    <w:div w:id="1369262736">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400908581">
      <w:bodyDiv w:val="1"/>
      <w:marLeft w:val="0"/>
      <w:marRight w:val="0"/>
      <w:marTop w:val="0"/>
      <w:marBottom w:val="0"/>
      <w:divBdr>
        <w:top w:val="none" w:sz="0" w:space="0" w:color="auto"/>
        <w:left w:val="none" w:sz="0" w:space="0" w:color="auto"/>
        <w:bottom w:val="none" w:sz="0" w:space="0" w:color="auto"/>
        <w:right w:val="none" w:sz="0" w:space="0" w:color="auto"/>
      </w:divBdr>
    </w:div>
    <w:div w:id="1419866774">
      <w:bodyDiv w:val="1"/>
      <w:marLeft w:val="0"/>
      <w:marRight w:val="0"/>
      <w:marTop w:val="0"/>
      <w:marBottom w:val="0"/>
      <w:divBdr>
        <w:top w:val="none" w:sz="0" w:space="0" w:color="auto"/>
        <w:left w:val="none" w:sz="0" w:space="0" w:color="auto"/>
        <w:bottom w:val="none" w:sz="0" w:space="0" w:color="auto"/>
        <w:right w:val="none" w:sz="0" w:space="0" w:color="auto"/>
      </w:divBdr>
    </w:div>
    <w:div w:id="1698121789">
      <w:bodyDiv w:val="1"/>
      <w:marLeft w:val="0"/>
      <w:marRight w:val="0"/>
      <w:marTop w:val="0"/>
      <w:marBottom w:val="0"/>
      <w:divBdr>
        <w:top w:val="none" w:sz="0" w:space="0" w:color="auto"/>
        <w:left w:val="none" w:sz="0" w:space="0" w:color="auto"/>
        <w:bottom w:val="none" w:sz="0" w:space="0" w:color="auto"/>
        <w:right w:val="none" w:sz="0" w:space="0" w:color="auto"/>
      </w:divBdr>
    </w:div>
    <w:div w:id="1801535905">
      <w:bodyDiv w:val="1"/>
      <w:marLeft w:val="0"/>
      <w:marRight w:val="0"/>
      <w:marTop w:val="0"/>
      <w:marBottom w:val="0"/>
      <w:divBdr>
        <w:top w:val="none" w:sz="0" w:space="0" w:color="auto"/>
        <w:left w:val="none" w:sz="0" w:space="0" w:color="auto"/>
        <w:bottom w:val="none" w:sz="0" w:space="0" w:color="auto"/>
        <w:right w:val="none" w:sz="0" w:space="0" w:color="auto"/>
      </w:divBdr>
    </w:div>
    <w:div w:id="1864198313">
      <w:bodyDiv w:val="1"/>
      <w:marLeft w:val="0"/>
      <w:marRight w:val="0"/>
      <w:marTop w:val="0"/>
      <w:marBottom w:val="0"/>
      <w:divBdr>
        <w:top w:val="none" w:sz="0" w:space="0" w:color="auto"/>
        <w:left w:val="none" w:sz="0" w:space="0" w:color="auto"/>
        <w:bottom w:val="none" w:sz="0" w:space="0" w:color="auto"/>
        <w:right w:val="none" w:sz="0" w:space="0" w:color="auto"/>
      </w:divBdr>
    </w:div>
    <w:div w:id="1926835939">
      <w:bodyDiv w:val="1"/>
      <w:marLeft w:val="0"/>
      <w:marRight w:val="0"/>
      <w:marTop w:val="0"/>
      <w:marBottom w:val="0"/>
      <w:divBdr>
        <w:top w:val="none" w:sz="0" w:space="0" w:color="auto"/>
        <w:left w:val="none" w:sz="0" w:space="0" w:color="auto"/>
        <w:bottom w:val="none" w:sz="0" w:space="0" w:color="auto"/>
        <w:right w:val="none" w:sz="0" w:space="0" w:color="auto"/>
      </w:divBdr>
    </w:div>
    <w:div w:id="1954555506">
      <w:bodyDiv w:val="1"/>
      <w:marLeft w:val="0"/>
      <w:marRight w:val="0"/>
      <w:marTop w:val="0"/>
      <w:marBottom w:val="0"/>
      <w:divBdr>
        <w:top w:val="none" w:sz="0" w:space="0" w:color="auto"/>
        <w:left w:val="none" w:sz="0" w:space="0" w:color="auto"/>
        <w:bottom w:val="none" w:sz="0" w:space="0" w:color="auto"/>
        <w:right w:val="none" w:sz="0" w:space="0" w:color="auto"/>
      </w:divBdr>
    </w:div>
    <w:div w:id="1979338845">
      <w:bodyDiv w:val="1"/>
      <w:marLeft w:val="0"/>
      <w:marRight w:val="0"/>
      <w:marTop w:val="0"/>
      <w:marBottom w:val="0"/>
      <w:divBdr>
        <w:top w:val="none" w:sz="0" w:space="0" w:color="auto"/>
        <w:left w:val="none" w:sz="0" w:space="0" w:color="auto"/>
        <w:bottom w:val="none" w:sz="0" w:space="0" w:color="auto"/>
        <w:right w:val="none" w:sz="0" w:space="0" w:color="auto"/>
      </w:divBdr>
    </w:div>
    <w:div w:id="2007587277">
      <w:bodyDiv w:val="1"/>
      <w:marLeft w:val="0"/>
      <w:marRight w:val="0"/>
      <w:marTop w:val="0"/>
      <w:marBottom w:val="0"/>
      <w:divBdr>
        <w:top w:val="none" w:sz="0" w:space="0" w:color="auto"/>
        <w:left w:val="none" w:sz="0" w:space="0" w:color="auto"/>
        <w:bottom w:val="none" w:sz="0" w:space="0" w:color="auto"/>
        <w:right w:val="none" w:sz="0" w:space="0" w:color="auto"/>
      </w:divBdr>
    </w:div>
    <w:div w:id="2017805155">
      <w:bodyDiv w:val="1"/>
      <w:marLeft w:val="0"/>
      <w:marRight w:val="0"/>
      <w:marTop w:val="0"/>
      <w:marBottom w:val="0"/>
      <w:divBdr>
        <w:top w:val="none" w:sz="0" w:space="0" w:color="auto"/>
        <w:left w:val="none" w:sz="0" w:space="0" w:color="auto"/>
        <w:bottom w:val="none" w:sz="0" w:space="0" w:color="auto"/>
        <w:right w:val="none" w:sz="0" w:space="0" w:color="auto"/>
      </w:divBdr>
    </w:div>
    <w:div w:id="2018998233">
      <w:bodyDiv w:val="1"/>
      <w:marLeft w:val="0"/>
      <w:marRight w:val="0"/>
      <w:marTop w:val="0"/>
      <w:marBottom w:val="0"/>
      <w:divBdr>
        <w:top w:val="none" w:sz="0" w:space="0" w:color="auto"/>
        <w:left w:val="none" w:sz="0" w:space="0" w:color="auto"/>
        <w:bottom w:val="none" w:sz="0" w:space="0" w:color="auto"/>
        <w:right w:val="none" w:sz="0" w:space="0" w:color="auto"/>
      </w:divBdr>
    </w:div>
    <w:div w:id="202836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ii.gov.do/dgii/estructura/Documents/Organigrama2016.pdf" TargetMode="Externa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4.emf"/><Relationship Id="rId32" Type="http://schemas.openxmlformats.org/officeDocument/2006/relationships/image" Target="media/image22.e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emf"/><Relationship Id="rId28" Type="http://schemas.openxmlformats.org/officeDocument/2006/relationships/image" Target="media/image18.emf"/><Relationship Id="rId10" Type="http://schemas.openxmlformats.org/officeDocument/2006/relationships/hyperlink" Target="https://idbg.sharepoint.com/teams/EZ-DR-LON/DR-L1117/_layouts/15/DocIdRedir.aspx?ID=EZSHARE-791216214-64" TargetMode="External"/><Relationship Id="rId19" Type="http://schemas.openxmlformats.org/officeDocument/2006/relationships/image" Target="media/image9.emf"/><Relationship Id="rId31" Type="http://schemas.openxmlformats.org/officeDocument/2006/relationships/image" Target="media/image21.emf"/><Relationship Id="rId4" Type="http://schemas.openxmlformats.org/officeDocument/2006/relationships/settings" Target="settings.xml"/><Relationship Id="rId9" Type="http://schemas.openxmlformats.org/officeDocument/2006/relationships/hyperlink" Target="https://idbg.sharepoint.com/teams/EZ-DR-LON/DR-L1117/_layouts/15/DocIdRedir.aspx?ID=EZSHARE-791216214-50" TargetMode="External"/><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s>
</file>

<file path=word/_rels/footnotes.xml.rels><?xml version="1.0" encoding="UTF-8" standalone="yes"?>
<Relationships xmlns="http://schemas.openxmlformats.org/package/2006/relationships"><Relationship Id="rId8" Type="http://schemas.openxmlformats.org/officeDocument/2006/relationships/hyperlink" Target="https://idbg.sharepoint.com/teams/EZ-DR-LON/DR-L1117/_layouts/15/DocIdRedir.aspx?ID=EZSHARE-791216214-52" TargetMode="External"/><Relationship Id="rId3" Type="http://schemas.openxmlformats.org/officeDocument/2006/relationships/hyperlink" Target="http://idbdocs.iadb.org/wsdocs/getdocument.aspx?docnum=1779520" TargetMode="External"/><Relationship Id="rId7" Type="http://schemas.openxmlformats.org/officeDocument/2006/relationships/hyperlink" Target="http://www.ilo.org/wcmsp5/groups/public/---dgreports/---gender/documents/meetingdocument/wcms_524929.pdf" TargetMode="External"/><Relationship Id="rId2" Type="http://schemas.openxmlformats.org/officeDocument/2006/relationships/hyperlink" Target="https://idbg.sharepoint.com/teams/EZ-DR-LON/DR-L1117/_layouts/15/DocIdRedir.aspx?ID=EZSHARE-791216214-51" TargetMode="External"/><Relationship Id="rId1" Type="http://schemas.openxmlformats.org/officeDocument/2006/relationships/hyperlink" Target="http://www.iadb.org/Document.cfm?id=38246883" TargetMode="External"/><Relationship Id="rId6" Type="http://schemas.openxmlformats.org/officeDocument/2006/relationships/hyperlink" Target="http://countryoffice.unfpa.org/filemanager/files/dominicanrepublic/informe_final_de_resultados_de_la_investigacion_acoso_sexual_2.pdf" TargetMode="External"/><Relationship Id="rId11" Type="http://schemas.openxmlformats.org/officeDocument/2006/relationships/hyperlink" Target="http://www.dgii.gov.do/informacionTributaria/publicaciones/estudios/Documents/SolucionesFiscales2016.pdf" TargetMode="External"/><Relationship Id="rId5" Type="http://schemas.openxmlformats.org/officeDocument/2006/relationships/hyperlink" Target="https://idbg.sharepoint.com/teams/EZ-DR-LON/DR-L1117/_layouts/15/DocIdRedir.aspx?ID=EZSHARE-791216214-50" TargetMode="External"/><Relationship Id="rId10" Type="http://schemas.openxmlformats.org/officeDocument/2006/relationships/hyperlink" Target="https://drive.google.com/file/d/0B7LkbF0DRcmJVzdyS0taYXdXRmM/view" TargetMode="External"/><Relationship Id="rId4" Type="http://schemas.openxmlformats.org/officeDocument/2006/relationships/hyperlink" Target="http://www.revistaespacios.com/a15v36n17/15361703.html" TargetMode="External"/><Relationship Id="rId9" Type="http://schemas.openxmlformats.org/officeDocument/2006/relationships/hyperlink" Target="http://www.hacienda.gob.do/images/noticias/2016/pefa-2016/0134-11%20PEFA%20RD%202016%20Informe%20Final.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F04D6-A81E-49EE-813E-523F2B9F5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7814</Words>
  <Characters>42978</Characters>
  <Application>Microsoft Office Word</Application>
  <DocSecurity>0</DocSecurity>
  <Lines>358</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 Cracel</dc:creator>
  <cp:keywords/>
  <dc:description/>
  <cp:lastModifiedBy>Canillas Gomez, Mariana Belen</cp:lastModifiedBy>
  <cp:revision>5</cp:revision>
  <cp:lastPrinted>2016-09-21T14:03:00Z</cp:lastPrinted>
  <dcterms:created xsi:type="dcterms:W3CDTF">2017-06-01T19:32:00Z</dcterms:created>
  <dcterms:modified xsi:type="dcterms:W3CDTF">2017-06-02T14:50:00Z</dcterms:modified>
</cp:coreProperties>
</file>